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139F8" w14:textId="69018641" w:rsidR="00025543" w:rsidRDefault="00B91265" w:rsidP="00B91265">
      <w:pPr>
        <w:pStyle w:val="Pagedecouverture"/>
        <w:rPr>
          <w:noProof/>
        </w:rPr>
      </w:pPr>
      <w:bookmarkStart w:id="0" w:name="LW_BM_COVERPAGE"/>
      <w:r>
        <w:rPr>
          <w:noProof/>
        </w:rPr>
        <w:pict w14:anchorId="1C005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A2CECD4F-3C49-498B-A3AD-E2382AD7B2EA" style="width:455.25pt;height:438.75pt">
            <v:imagedata r:id="rId11" o:title=""/>
          </v:shape>
        </w:pict>
      </w:r>
    </w:p>
    <w:bookmarkEnd w:id="0"/>
    <w:p w14:paraId="20DA94ED" w14:textId="77777777" w:rsidR="00025543" w:rsidRDefault="00025543">
      <w:pPr>
        <w:rPr>
          <w:noProof/>
        </w:rPr>
        <w:sectPr w:rsidR="00025543" w:rsidSect="00B91265">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1"/>
          <w:cols w:space="720"/>
          <w:docGrid w:linePitch="360"/>
        </w:sectPr>
      </w:pPr>
    </w:p>
    <w:p w14:paraId="13AE0CE6" w14:textId="65D3124C" w:rsidR="00025543" w:rsidRDefault="007E3A2F">
      <w:pPr>
        <w:pStyle w:val="P68B1DB1-Normal1"/>
        <w:keepNext/>
        <w:tabs>
          <w:tab w:val="left" w:pos="850"/>
        </w:tabs>
        <w:spacing w:line="240" w:lineRule="auto"/>
        <w:jc w:val="center"/>
        <w:outlineLvl w:val="0"/>
        <w:rPr>
          <w:noProof/>
        </w:rPr>
      </w:pPr>
      <w:bookmarkStart w:id="1" w:name="_GoBack"/>
      <w:bookmarkEnd w:id="1"/>
      <w:r>
        <w:rPr>
          <w:noProof/>
        </w:rPr>
        <w:lastRenderedPageBreak/>
        <w:t>ANNEXE</w:t>
      </w:r>
    </w:p>
    <w:p w14:paraId="6D71E079" w14:textId="77777777" w:rsidR="00025543" w:rsidRDefault="00025543">
      <w:pPr>
        <w:keepNext/>
        <w:tabs>
          <w:tab w:val="left" w:pos="850"/>
        </w:tabs>
        <w:spacing w:line="240" w:lineRule="auto"/>
        <w:jc w:val="center"/>
        <w:outlineLvl w:val="0"/>
        <w:rPr>
          <w:b/>
          <w:smallCaps/>
          <w:noProof/>
        </w:rPr>
      </w:pPr>
    </w:p>
    <w:p w14:paraId="63BFEABC" w14:textId="4548C4AD" w:rsidR="00025543" w:rsidRDefault="007E3A2F">
      <w:pPr>
        <w:pStyle w:val="P68B1DB1-Normal2"/>
        <w:keepNext/>
        <w:tabs>
          <w:tab w:val="left" w:pos="850"/>
        </w:tabs>
        <w:spacing w:line="240" w:lineRule="auto"/>
        <w:jc w:val="both"/>
        <w:outlineLvl w:val="0"/>
        <w:rPr>
          <w:noProof/>
          <w:color w:val="4F81BD"/>
        </w:rPr>
      </w:pPr>
      <w:r>
        <w:rPr>
          <w:noProof/>
        </w:rPr>
        <w:t>A. VOLET 1.1: Services numériques aux citoyens et aux entreprises</w:t>
      </w:r>
    </w:p>
    <w:p w14:paraId="549D2488" w14:textId="2D4E24BB" w:rsidR="00025543" w:rsidRDefault="007E3A2F">
      <w:pPr>
        <w:spacing w:line="240" w:lineRule="auto"/>
        <w:jc w:val="both"/>
        <w:rPr>
          <w:noProof/>
        </w:rPr>
      </w:pPr>
      <w:r>
        <w:rPr>
          <w:noProof/>
        </w:rPr>
        <w:t>Ce volet du plan tchèque contribue à relever le défi de la fourniture naissante de services publics numériques, en augmentant le nombre et la convivialité des services publics numériques fournis aux citoyens et aux entreprises, et en garantissant une gestion cohérente et de qualité des données dans l’administration publique. Selon les résultats de l’indice relatif à l’économie et à la société numériques (DESI 2020), la Tchéquie présente un niveau inférieur à la moyenne de fourniture de services publics numériques aux citoyens et aux entreprises.</w:t>
      </w:r>
    </w:p>
    <w:p w14:paraId="2B8F6760" w14:textId="77777777" w:rsidR="00025543" w:rsidRDefault="007E3A2F">
      <w:pPr>
        <w:pStyle w:val="P68B1DB1-Normal3"/>
        <w:spacing w:line="240" w:lineRule="auto"/>
        <w:jc w:val="both"/>
        <w:rPr>
          <w:noProof/>
        </w:rPr>
      </w:pPr>
      <w:r>
        <w:rPr>
          <w:noProof/>
        </w:rPr>
        <w:t>L’objectif de ce volet est de créer des portails axés sur le client (Citoyens, Justice, Entrepreneur, Healthcare) et de promouvoir la facilitation du partage et de la gestion des données au sein de l’administration afin de s’aligner sur le principe «une fois pour toutes».</w:t>
      </w:r>
    </w:p>
    <w:p w14:paraId="377D8BEB" w14:textId="77777777" w:rsidR="00025543" w:rsidRDefault="007E3A2F">
      <w:pPr>
        <w:pStyle w:val="P68B1DB1-Normal3"/>
        <w:spacing w:line="240" w:lineRule="auto"/>
        <w:jc w:val="both"/>
        <w:rPr>
          <w:noProof/>
        </w:rPr>
      </w:pPr>
      <w:r>
        <w:rPr>
          <w:noProof/>
        </w:rPr>
        <w:t>La mise en œuvre des réformes au titre de ce volet garantit les conditions d’une bonne gestion des bases de données et d’un accès contrôlé aux données. Elles facilitent également la fourniture de solutions de santé en ligne, y compris le développement d’un portail sur la santé en ligne, l’interconnexion et l’interopérabilité accrues des prestataires de soins de santé et des registres centraux, la télémédecine et l’utilisation secondaire des données de santé.</w:t>
      </w:r>
    </w:p>
    <w:p w14:paraId="666D7921" w14:textId="59A19DB5" w:rsidR="00025543" w:rsidRDefault="007E3A2F">
      <w:pPr>
        <w:pStyle w:val="P68B1DB1-Normal3"/>
        <w:spacing w:line="256" w:lineRule="auto"/>
        <w:jc w:val="both"/>
        <w:rPr>
          <w:noProof/>
        </w:rPr>
      </w:pPr>
      <w:r>
        <w:rPr>
          <w:noProof/>
        </w:rPr>
        <w:t>Les investissements visent à mettre en œuvre 22 projets visant à améliorer les services d’administration en ligne fournis aux utilisateurs finaux et cinq projets visant à améliorer l’accès aux données ouvertes dans l’administration publique. Cette composante accroît également la numérisation du système judiciaire en équipant les tribunaux d’installations audiovisuelles d’enregistrement et de production de données et en créant un portail «Justice» fournissant aux parties concernées un accès aisé et des services numériques.</w:t>
      </w:r>
    </w:p>
    <w:p w14:paraId="10CCE120" w14:textId="77777777" w:rsidR="00025543" w:rsidRDefault="007E3A2F">
      <w:pPr>
        <w:spacing w:line="240" w:lineRule="auto"/>
        <w:jc w:val="both"/>
        <w:rPr>
          <w:noProof/>
        </w:rPr>
      </w:pPr>
      <w:r>
        <w:rPr>
          <w:noProof/>
        </w:rPr>
        <w:t>Le</w:t>
      </w:r>
      <w:r>
        <w:rPr>
          <w:rFonts w:eastAsia="Times New Roman"/>
          <w:noProof/>
          <w:color w:val="000000"/>
        </w:rPr>
        <w:t xml:space="preserve">volet soutient </w:t>
      </w:r>
      <w:r>
        <w:rPr>
          <w:rFonts w:eastAsia="Times New Roman"/>
          <w:noProof/>
        </w:rPr>
        <w:t xml:space="preserve">la mise en œuvre </w:t>
      </w:r>
      <w:r>
        <w:rPr>
          <w:noProof/>
        </w:rPr>
        <w:t xml:space="preserve">de la recommandation spécifique par pays 3 </w:t>
      </w:r>
      <w:r>
        <w:rPr>
          <w:rFonts w:eastAsia="Times New Roman"/>
          <w:noProof/>
        </w:rPr>
        <w:t>2019, selon laquelle la Tchéquie concentre</w:t>
      </w:r>
      <w:r>
        <w:rPr>
          <w:noProof/>
        </w:rPr>
        <w:t xml:space="preserve"> la politique économique liée aux investissements sur les infrastructures numériques, la recommandation spécifique par pays no 1 2020</w:t>
      </w:r>
      <w:r>
        <w:rPr>
          <w:rFonts w:eastAsia="Times New Roman"/>
          <w:noProof/>
          <w:color w:val="000000"/>
        </w:rPr>
        <w:t>, selon</w:t>
      </w:r>
      <w:r>
        <w:rPr>
          <w:i/>
          <w:noProof/>
          <w:color w:val="000000"/>
        </w:rPr>
        <w:t xml:space="preserve">laquelle la Tchéquie </w:t>
      </w:r>
      <w:r>
        <w:rPr>
          <w:rFonts w:eastAsia="Times New Roman"/>
          <w:noProof/>
          <w:color w:val="000000"/>
        </w:rPr>
        <w:t xml:space="preserve">renforce le déploiement des services de santé en ligne, et la recommandation spécifique par </w:t>
      </w:r>
      <w:r>
        <w:rPr>
          <w:noProof/>
        </w:rPr>
        <w:t xml:space="preserve">pays 3 </w:t>
      </w:r>
      <w:r>
        <w:rPr>
          <w:rFonts w:eastAsia="Times New Roman"/>
          <w:noProof/>
        </w:rPr>
        <w:t>2020</w:t>
      </w:r>
      <w:r>
        <w:rPr>
          <w:rFonts w:eastAsia="Times New Roman"/>
          <w:noProof/>
          <w:color w:val="000000"/>
        </w:rPr>
        <w:t>, selon laquelle la Tchéquie</w:t>
      </w:r>
      <w:r>
        <w:rPr>
          <w:noProof/>
        </w:rPr>
        <w:t>soutient</w:t>
      </w:r>
      <w:r>
        <w:rPr>
          <w:i/>
          <w:noProof/>
          <w:color w:val="000000"/>
        </w:rPr>
        <w:t xml:space="preserve"> </w:t>
      </w:r>
      <w:r>
        <w:rPr>
          <w:noProof/>
        </w:rPr>
        <w:t>les petites et moyennes entreprises en réduisant la charge administrative et concentre les investissements sur la transition numérique.</w:t>
      </w:r>
    </w:p>
    <w:p w14:paraId="28827071" w14:textId="168C91CE" w:rsidR="00025543" w:rsidRDefault="007E3A2F">
      <w:pPr>
        <w:pStyle w:val="P68B1DB1-Normal4"/>
        <w:spacing w:line="276" w:lineRule="auto"/>
        <w:jc w:val="both"/>
        <w:rPr>
          <w:noProof/>
        </w:rPr>
      </w:pPr>
      <w:r>
        <w:rPr>
          <w:noProof/>
        </w:rPr>
        <w:t>Aucune mesure relevant de ce volet ne devrait nuire gravement aux objectifs environnementaux au sens de l’article 17 du règlement (UE) 2020/852, compte tenu de la description des mesures et des mesures d’atténuation prévues dans le plan pour la reprise et la résilience conformément aux orientations techniques de la DNSH (2021/C58/01).</w:t>
      </w:r>
    </w:p>
    <w:p w14:paraId="0D09A723" w14:textId="77777777" w:rsidR="00025543" w:rsidRDefault="007E3A2F">
      <w:pPr>
        <w:pStyle w:val="P68B1DB1-Normal5"/>
        <w:spacing w:line="240" w:lineRule="auto"/>
        <w:jc w:val="both"/>
        <w:rPr>
          <w:noProof/>
        </w:rPr>
      </w:pPr>
      <w:r>
        <w:rPr>
          <w:noProof/>
        </w:rPr>
        <w:t>A.1. Description des réformes et des investissements en vue du soutien financier non remboursable</w:t>
      </w:r>
    </w:p>
    <w:p w14:paraId="465D9FD0" w14:textId="77777777" w:rsidR="00025543" w:rsidRDefault="007E3A2F">
      <w:pPr>
        <w:pStyle w:val="P68B1DB1-Normal7"/>
        <w:spacing w:line="240" w:lineRule="auto"/>
        <w:rPr>
          <w:noProof/>
        </w:rPr>
      </w:pPr>
      <w:r>
        <w:rPr>
          <w:noProof/>
        </w:rPr>
        <w:t>Réforme 1: Conditions relatives à la gestion du pool de données de qualité et à la garantie d’un accès contrôlé aux données</w:t>
      </w:r>
    </w:p>
    <w:p w14:paraId="10C8CDF3" w14:textId="1275166E" w:rsidR="00025543" w:rsidRDefault="007E3A2F">
      <w:pPr>
        <w:spacing w:line="240" w:lineRule="auto"/>
        <w:jc w:val="both"/>
        <w:rPr>
          <w:noProof/>
        </w:rPr>
      </w:pPr>
      <w:r>
        <w:rPr>
          <w:noProof/>
        </w:rPr>
        <w:t>La réforme vise à établir un cadre législatif, de normalisation et d’organisation complet pour une gouvernance et une gestion des données de l’administration publique de haute qualité. La réforme conduira à la création d’une méthodologie de partage des données («accès géré») afin de permettre à d’autres parties de l’administration publique, ainsi qu’à des entités tierces qualifiées, d’accéder aux données publiques non publiques conformément aux principes FAIR (Finabilité, Accessibilité, Interopérabilité et Reusability).</w:t>
      </w:r>
    </w:p>
    <w:p w14:paraId="02919F86" w14:textId="2390F861" w:rsidR="00025543" w:rsidRDefault="007E3A2F">
      <w:pPr>
        <w:tabs>
          <w:tab w:val="right" w:pos="9639"/>
        </w:tabs>
        <w:spacing w:line="240" w:lineRule="auto"/>
        <w:jc w:val="both"/>
        <w:rPr>
          <w:noProof/>
          <w:color w:val="000000"/>
        </w:rPr>
      </w:pPr>
      <w:r>
        <w:rPr>
          <w:noProof/>
        </w:rPr>
        <w:t>La mise en œuvre de cette mesure est achevée au plus tard le 31 décembre 2025.</w:t>
      </w:r>
    </w:p>
    <w:p w14:paraId="27A18CA8" w14:textId="77777777" w:rsidR="00025543" w:rsidRDefault="007E3A2F">
      <w:pPr>
        <w:pStyle w:val="P68B1DB1-Normal7"/>
        <w:spacing w:line="240" w:lineRule="auto"/>
        <w:jc w:val="both"/>
        <w:rPr>
          <w:noProof/>
        </w:rPr>
      </w:pPr>
      <w:r>
        <w:rPr>
          <w:noProof/>
        </w:rPr>
        <w:t>Réforme 2: services de santé en ligne</w:t>
      </w:r>
    </w:p>
    <w:p w14:paraId="7B9DCC9E" w14:textId="77777777" w:rsidR="00025543" w:rsidRDefault="007E3A2F">
      <w:pPr>
        <w:spacing w:line="240" w:lineRule="auto"/>
        <w:jc w:val="both"/>
        <w:rPr>
          <w:noProof/>
        </w:rPr>
      </w:pPr>
      <w:r>
        <w:rPr>
          <w:noProof/>
        </w:rPr>
        <w:t>Cette réforme accroît la numérisation du secteur de la santé en mettant en œuvre les activités suivantes:</w:t>
      </w:r>
    </w:p>
    <w:p w14:paraId="6FBFB418" w14:textId="77777777" w:rsidR="00025543" w:rsidRDefault="007E3A2F">
      <w:pPr>
        <w:numPr>
          <w:ilvl w:val="0"/>
          <w:numId w:val="194"/>
        </w:numPr>
        <w:spacing w:line="240" w:lineRule="auto"/>
        <w:ind w:left="360"/>
        <w:jc w:val="both"/>
        <w:rPr>
          <w:noProof/>
        </w:rPr>
      </w:pPr>
      <w:r>
        <w:rPr>
          <w:noProof/>
        </w:rPr>
        <w:t>définition de normes d’interopérabilité conformément au cadre d’interopérabilité européen pour la santé en ligne et définition des règles régissant la télémédecine;</w:t>
      </w:r>
    </w:p>
    <w:p w14:paraId="286CEFBC" w14:textId="6C0C3588" w:rsidR="00025543" w:rsidRDefault="007E3A2F">
      <w:pPr>
        <w:numPr>
          <w:ilvl w:val="0"/>
          <w:numId w:val="194"/>
        </w:numPr>
        <w:spacing w:line="240" w:lineRule="auto"/>
        <w:ind w:left="360"/>
        <w:jc w:val="both"/>
        <w:rPr>
          <w:noProof/>
        </w:rPr>
      </w:pPr>
      <w:r>
        <w:rPr>
          <w:noProof/>
        </w:rPr>
        <w:t>création d’un catalogue de services comprenant les nouveaux services de santé en ligne suivants: I) Journal des activités; (II) catalogue des services numériques; III) registre de référence des professionnels de la santé; IV) registre de référence des patients; V) services d’identification/d’authentification pour les patients et les professionnels de la santé; VI) services d’information des patients; VII) registre de référence des prestataires de services de santé;</w:t>
      </w:r>
    </w:p>
    <w:p w14:paraId="09CF714A" w14:textId="747FB85A" w:rsidR="00025543" w:rsidRDefault="007E3A2F">
      <w:pPr>
        <w:numPr>
          <w:ilvl w:val="0"/>
          <w:numId w:val="194"/>
        </w:numPr>
        <w:spacing w:line="240" w:lineRule="auto"/>
        <w:ind w:left="360"/>
        <w:jc w:val="both"/>
        <w:rPr>
          <w:noProof/>
        </w:rPr>
      </w:pPr>
      <w:r>
        <w:rPr>
          <w:noProof/>
        </w:rPr>
        <w:t xml:space="preserve">la connexion des </w:t>
      </w:r>
      <w:r>
        <w:rPr>
          <w:rFonts w:eastAsia="Times New Roman"/>
          <w:noProof/>
        </w:rPr>
        <w:t>prestataires de soins de santé au système d’interopérabilité conformément aux règles d’interopérabilité applicables aux services de santé en ligne;</w:t>
      </w:r>
    </w:p>
    <w:p w14:paraId="222C6424" w14:textId="3BF7CA89" w:rsidR="00025543" w:rsidRDefault="007E3A2F">
      <w:pPr>
        <w:numPr>
          <w:ilvl w:val="0"/>
          <w:numId w:val="194"/>
        </w:numPr>
        <w:spacing w:line="240" w:lineRule="auto"/>
        <w:ind w:left="360"/>
        <w:jc w:val="both"/>
        <w:rPr>
          <w:noProof/>
        </w:rPr>
      </w:pPr>
      <w:r>
        <w:rPr>
          <w:noProof/>
        </w:rPr>
        <w:t>augmenter le nombre de services de télémédecine mis à la disposition des patients.</w:t>
      </w:r>
    </w:p>
    <w:p w14:paraId="234FBE5F" w14:textId="77777777" w:rsidR="00025543" w:rsidRDefault="007E3A2F">
      <w:pPr>
        <w:spacing w:line="240" w:lineRule="auto"/>
        <w:jc w:val="both"/>
        <w:rPr>
          <w:noProof/>
        </w:rPr>
      </w:pPr>
      <w:r>
        <w:rPr>
          <w:noProof/>
        </w:rPr>
        <w:t>La réforme doit être achevée au plus tard le 31 décembre 2025.</w:t>
      </w:r>
    </w:p>
    <w:p w14:paraId="45471741" w14:textId="49C3F0FD" w:rsidR="00025543" w:rsidRDefault="007E3A2F">
      <w:pPr>
        <w:pStyle w:val="P68B1DB1-Normal7"/>
        <w:spacing w:line="240" w:lineRule="auto"/>
        <w:jc w:val="both"/>
        <w:rPr>
          <w:noProof/>
        </w:rPr>
      </w:pPr>
      <w:r>
        <w:rPr>
          <w:noProof/>
        </w:rPr>
        <w:t>Investissement 1: Services numériques pour les utilisateurs finaux</w:t>
      </w:r>
    </w:p>
    <w:p w14:paraId="53540329" w14:textId="1723B237" w:rsidR="00025543" w:rsidRDefault="007E3A2F">
      <w:pPr>
        <w:spacing w:line="240" w:lineRule="auto"/>
        <w:jc w:val="both"/>
        <w:rPr>
          <w:noProof/>
        </w:rPr>
      </w:pPr>
      <w:r>
        <w:rPr>
          <w:noProof/>
        </w:rPr>
        <w:t>L’investissement met en œuvre des projets interconnectés afin d’accroître le nombre de services d’administration en ligne disponibles sur les portails des citoyens et des entrepreneurs et le nombre de formulaires préremplis sur la base des informations stockées dans le système d’information de l’administration publique. L’investissement vise à simplifier l’accès des citoyens et des entreprises aux services publics numériques au moyen d’une plateforme unique de portails fédérés et à la connexion des systèmes d’information. En conséquence, un nombre accru de services numériques sera mis à la disposition des utilisateurs finaux au moyen d’une plateforme de connexion unique et le nombre de formulaires préremplis et de soumissions électroniques à l’administration publique augmentera.</w:t>
      </w:r>
    </w:p>
    <w:p w14:paraId="590A20F9" w14:textId="77777777" w:rsidR="00025543" w:rsidRDefault="007E3A2F">
      <w:pPr>
        <w:spacing w:line="240" w:lineRule="auto"/>
        <w:jc w:val="both"/>
        <w:rPr>
          <w:noProof/>
        </w:rPr>
      </w:pPr>
      <w:r>
        <w:rPr>
          <w:noProof/>
        </w:rPr>
        <w:t>Cet investissement sera achevé au plus tard le 31 mars 2026.</w:t>
      </w:r>
    </w:p>
    <w:p w14:paraId="749FCB91" w14:textId="77777777" w:rsidR="00025543" w:rsidRDefault="007E3A2F">
      <w:pPr>
        <w:pStyle w:val="P68B1DB1-Normal7"/>
        <w:spacing w:line="240" w:lineRule="auto"/>
        <w:jc w:val="both"/>
        <w:rPr>
          <w:noProof/>
        </w:rPr>
      </w:pPr>
      <w:r>
        <w:rPr>
          <w:noProof/>
        </w:rPr>
        <w:t>Investissement 2: Développement de données ouvertes et d’un fonds public pour les données</w:t>
      </w:r>
    </w:p>
    <w:p w14:paraId="31517515" w14:textId="7764F190" w:rsidR="00025543" w:rsidRDefault="007E3A2F">
      <w:pPr>
        <w:spacing w:line="240" w:lineRule="auto"/>
        <w:jc w:val="both"/>
        <w:rPr>
          <w:noProof/>
        </w:rPr>
      </w:pPr>
      <w:r>
        <w:rPr>
          <w:noProof/>
        </w:rPr>
        <w:t>Les investissements financent des projets visant à améliorer la qualité du catalogue national des données ouvertes: la publication de listes de codes utilisées dans l’administration publique dans les bases de données publiques, l’élaboration d’un catalogue national des données ouvertes et l’amélioration des outils permettant d’augmenter le nombre de producteurs de données ouvertes dans l’administration publique publiant des données ouvertes dans le catalogue national des données ouvertes.</w:t>
      </w:r>
    </w:p>
    <w:p w14:paraId="1D0586C4" w14:textId="77777777" w:rsidR="00025543" w:rsidRDefault="007E3A2F">
      <w:pPr>
        <w:spacing w:line="240" w:lineRule="auto"/>
        <w:jc w:val="both"/>
        <w:rPr>
          <w:noProof/>
        </w:rPr>
      </w:pPr>
      <w:r>
        <w:rPr>
          <w:noProof/>
        </w:rPr>
        <w:t>Cet investissement est mis en œuvre au plus tard le 31 décembre 2024.</w:t>
      </w:r>
    </w:p>
    <w:p w14:paraId="5E09EEBC" w14:textId="3989AEE8" w:rsidR="00025543" w:rsidRDefault="007E3A2F">
      <w:pPr>
        <w:pStyle w:val="P68B1DB1-Normal7"/>
        <w:spacing w:line="240" w:lineRule="auto"/>
        <w:jc w:val="both"/>
        <w:rPr>
          <w:noProof/>
        </w:rPr>
      </w:pPr>
      <w:r>
        <w:rPr>
          <w:noProof/>
        </w:rPr>
        <w:t>Investissement 3: Services numériques pour la justice</w:t>
      </w:r>
    </w:p>
    <w:p w14:paraId="0FA1C1E9" w14:textId="77777777" w:rsidR="00025543" w:rsidRDefault="007E3A2F">
      <w:pPr>
        <w:spacing w:line="240" w:lineRule="auto"/>
        <w:jc w:val="both"/>
        <w:rPr>
          <w:noProof/>
        </w:rPr>
      </w:pPr>
      <w:r>
        <w:rPr>
          <w:noProof/>
        </w:rPr>
        <w:t>L’investissement a pour objectif d’accroître la transparence du système judiciaire national en créant un portail eJustice qui réponde aux exigences en matière de cybersécurité et fournit des services en ligne et un accès à l’information aux utilisateurs finaux. Ce portail est interconnecté avec le portail des citoyens. En outre, la transparence et l’efficacité sont encore accrues en numérisant les comptes rendus des audiences et en équipant les salles des audiences d’enregistreurs de données audiovisuels.</w:t>
      </w:r>
    </w:p>
    <w:p w14:paraId="79617156" w14:textId="4075B04A" w:rsidR="00025543" w:rsidRDefault="007E3A2F">
      <w:pPr>
        <w:pBdr>
          <w:top w:val="nil"/>
          <w:left w:val="nil"/>
          <w:bottom w:val="nil"/>
          <w:right w:val="nil"/>
          <w:between w:val="nil"/>
        </w:pBdr>
        <w:spacing w:line="240" w:lineRule="auto"/>
        <w:rPr>
          <w:b/>
          <w:noProof/>
        </w:rPr>
      </w:pPr>
      <w:r>
        <w:rPr>
          <w:noProof/>
        </w:rPr>
        <w:t>Cet investissement est mis en œuvre au plus tard le 31 décembre 2023.</w:t>
      </w:r>
    </w:p>
    <w:p w14:paraId="0932BF32" w14:textId="6194AA14" w:rsidR="00025543" w:rsidRDefault="00025543">
      <w:pPr>
        <w:pBdr>
          <w:top w:val="nil"/>
          <w:left w:val="nil"/>
          <w:bottom w:val="nil"/>
          <w:right w:val="nil"/>
          <w:between w:val="nil"/>
        </w:pBdr>
        <w:spacing w:line="240" w:lineRule="auto"/>
        <w:rPr>
          <w:b/>
          <w:noProof/>
        </w:rPr>
        <w:sectPr w:rsidR="00025543" w:rsidSect="00803EC1">
          <w:headerReference w:type="even" r:id="rId18"/>
          <w:headerReference w:type="default" r:id="rId19"/>
          <w:footerReference w:type="even" r:id="rId20"/>
          <w:footerReference w:type="default" r:id="rId21"/>
          <w:headerReference w:type="first" r:id="rId22"/>
          <w:footerReference w:type="first" r:id="rId23"/>
          <w:pgSz w:w="11907" w:h="16839"/>
          <w:pgMar w:top="1134" w:right="1134" w:bottom="1134" w:left="1134" w:header="567" w:footer="567" w:gutter="0"/>
          <w:pgNumType w:start="1"/>
          <w:cols w:space="720"/>
          <w:docGrid w:linePitch="360"/>
        </w:sectPr>
      </w:pPr>
    </w:p>
    <w:p w14:paraId="3F306221" w14:textId="7DF8D002" w:rsidR="00025543" w:rsidRDefault="007E3A2F">
      <w:pPr>
        <w:pStyle w:val="P68B1DB1-Normal8"/>
        <w:pBdr>
          <w:top w:val="nil"/>
          <w:left w:val="nil"/>
          <w:bottom w:val="nil"/>
          <w:right w:val="nil"/>
          <w:between w:val="nil"/>
        </w:pBdr>
        <w:tabs>
          <w:tab w:val="left" w:pos="993"/>
        </w:tabs>
        <w:spacing w:line="240" w:lineRule="auto"/>
        <w:rPr>
          <w:rFonts w:ascii="Calibri" w:hAnsi="Calibri"/>
          <w:noProof/>
          <w:sz w:val="22"/>
        </w:rPr>
      </w:pPr>
      <w:r>
        <w:rPr>
          <w:noProof/>
        </w:rPr>
        <w:t xml:space="preserve">A.2. Jalons, cibles, indicateurs et calendrier de suivi et de mise en œuvre en vue du soutien financier non remboursable </w:t>
      </w:r>
    </w:p>
    <w:tbl>
      <w:tblPr>
        <w:tblW w:w="1456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38"/>
        <w:gridCol w:w="1198"/>
        <w:gridCol w:w="996"/>
        <w:gridCol w:w="1689"/>
        <w:gridCol w:w="1099"/>
        <w:gridCol w:w="996"/>
        <w:gridCol w:w="996"/>
        <w:gridCol w:w="996"/>
        <w:gridCol w:w="996"/>
        <w:gridCol w:w="996"/>
        <w:gridCol w:w="3964"/>
      </w:tblGrid>
      <w:tr w:rsidR="00025543" w14:paraId="31249A5F" w14:textId="77777777">
        <w:trPr>
          <w:trHeight w:val="331"/>
          <w:tblHeader/>
          <w:jc w:val="center"/>
        </w:trPr>
        <w:tc>
          <w:tcPr>
            <w:tcW w:w="681" w:type="dxa"/>
            <w:vMerge w:val="restart"/>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BDD7EE"/>
            <w:vAlign w:val="center"/>
            <w:hideMark/>
          </w:tcPr>
          <w:p w14:paraId="3E317124" w14:textId="77777777" w:rsidR="00025543" w:rsidRDefault="007E3A2F">
            <w:pPr>
              <w:pStyle w:val="P68B1DB1-Normal9"/>
              <w:spacing w:line="240" w:lineRule="auto"/>
              <w:jc w:val="center"/>
              <w:rPr>
                <w:noProof/>
              </w:rPr>
            </w:pPr>
            <w:r>
              <w:rPr>
                <w:noProof/>
              </w:rPr>
              <w:t>Séquence NUM.</w:t>
            </w:r>
          </w:p>
        </w:tc>
        <w:tc>
          <w:tcPr>
            <w:tcW w:w="1300" w:type="dxa"/>
            <w:vMerge w:val="restart"/>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BDD7EE"/>
            <w:vAlign w:val="center"/>
            <w:hideMark/>
          </w:tcPr>
          <w:p w14:paraId="09CE542A" w14:textId="77777777" w:rsidR="00025543" w:rsidRDefault="007E3A2F">
            <w:pPr>
              <w:pStyle w:val="P68B1DB1-Normal9"/>
              <w:spacing w:line="240" w:lineRule="auto"/>
              <w:jc w:val="center"/>
              <w:rPr>
                <w:noProof/>
              </w:rPr>
            </w:pPr>
            <w:r>
              <w:rPr>
                <w:noProof/>
              </w:rPr>
              <w:t xml:space="preserve">Mesure connexe (réforme ou investissement) </w:t>
            </w:r>
          </w:p>
        </w:tc>
        <w:tc>
          <w:tcPr>
            <w:tcW w:w="1077" w:type="dxa"/>
            <w:vMerge w:val="restart"/>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BDD7EE"/>
            <w:vAlign w:val="center"/>
            <w:hideMark/>
          </w:tcPr>
          <w:p w14:paraId="4B7F79D1" w14:textId="77777777" w:rsidR="00025543" w:rsidRDefault="007E3A2F">
            <w:pPr>
              <w:pStyle w:val="P68B1DB1-Normal9"/>
              <w:spacing w:line="240" w:lineRule="auto"/>
              <w:jc w:val="center"/>
              <w:rPr>
                <w:noProof/>
              </w:rPr>
            </w:pPr>
            <w:r>
              <w:rPr>
                <w:noProof/>
              </w:rPr>
              <w:t xml:space="preserve">Jalon/cible </w:t>
            </w:r>
          </w:p>
        </w:tc>
        <w:tc>
          <w:tcPr>
            <w:tcW w:w="1843" w:type="dxa"/>
            <w:vMerge w:val="restart"/>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BDD7EE"/>
            <w:vAlign w:val="center"/>
            <w:hideMark/>
          </w:tcPr>
          <w:p w14:paraId="7471275B" w14:textId="77777777" w:rsidR="00025543" w:rsidRDefault="007E3A2F">
            <w:pPr>
              <w:pStyle w:val="P68B1DB1-Normal9"/>
              <w:spacing w:line="240" w:lineRule="auto"/>
              <w:jc w:val="center"/>
              <w:rPr>
                <w:noProof/>
              </w:rPr>
            </w:pPr>
            <w:r>
              <w:rPr>
                <w:noProof/>
              </w:rPr>
              <w:t xml:space="preserve">Nom </w:t>
            </w:r>
          </w:p>
        </w:tc>
        <w:tc>
          <w:tcPr>
            <w:tcW w:w="1191" w:type="dxa"/>
            <w:vMerge w:val="restart"/>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BDD7EE"/>
            <w:vAlign w:val="center"/>
            <w:hideMark/>
          </w:tcPr>
          <w:p w14:paraId="33FFC57F" w14:textId="77777777" w:rsidR="00025543" w:rsidRDefault="007E3A2F">
            <w:pPr>
              <w:pStyle w:val="P68B1DB1-Normal10"/>
              <w:spacing w:line="240" w:lineRule="auto"/>
              <w:jc w:val="center"/>
              <w:rPr>
                <w:noProof/>
              </w:rPr>
            </w:pPr>
            <w:r>
              <w:rPr>
                <w:b/>
                <w:noProof/>
              </w:rPr>
              <w:t>Qualitatifs</w:t>
            </w:r>
            <w:r>
              <w:rPr>
                <w:noProof/>
              </w:rPr>
              <w:br/>
            </w:r>
            <w:r>
              <w:rPr>
                <w:b/>
                <w:noProof/>
              </w:rPr>
              <w:t xml:space="preserve"> (pour les jalons)</w:t>
            </w:r>
          </w:p>
        </w:tc>
        <w:tc>
          <w:tcPr>
            <w:tcW w:w="107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vAlign w:val="center"/>
            <w:hideMark/>
          </w:tcPr>
          <w:p w14:paraId="7648614A" w14:textId="77777777" w:rsidR="00025543" w:rsidRDefault="007E3A2F">
            <w:pPr>
              <w:pStyle w:val="P68B1DB1-Normal10"/>
              <w:spacing w:line="240" w:lineRule="auto"/>
              <w:jc w:val="center"/>
              <w:rPr>
                <w:noProof/>
              </w:rPr>
            </w:pPr>
            <w:r>
              <w:rPr>
                <w:b/>
                <w:noProof/>
              </w:rPr>
              <w:t>Indicateurs quantitatifs</w:t>
            </w:r>
            <w:r>
              <w:rPr>
                <w:noProof/>
              </w:rPr>
              <w:br/>
            </w:r>
            <w:r>
              <w:rPr>
                <w:b/>
                <w:noProof/>
              </w:rPr>
              <w:t xml:space="preserve"> (pour les objectifs)</w:t>
            </w:r>
          </w:p>
        </w:tc>
        <w:tc>
          <w:tcPr>
            <w:tcW w:w="1077" w:type="dxa"/>
            <w:gridSpan w:val="2"/>
            <w:tcBorders>
              <w:top w:val="single" w:sz="8" w:space="0" w:color="000000" w:themeColor="text1"/>
              <w:left w:val="nil"/>
              <w:bottom w:val="single" w:sz="8" w:space="0" w:color="000000" w:themeColor="text1"/>
              <w:right w:val="single" w:sz="8" w:space="0" w:color="000000" w:themeColor="text1"/>
            </w:tcBorders>
            <w:shd w:val="clear" w:color="auto" w:fill="BDD7EE"/>
            <w:vAlign w:val="center"/>
            <w:hideMark/>
          </w:tcPr>
          <w:p w14:paraId="51C95103" w14:textId="77777777" w:rsidR="00025543" w:rsidRDefault="007E3A2F">
            <w:pPr>
              <w:pStyle w:val="P68B1DB1-Normal9"/>
              <w:spacing w:line="240" w:lineRule="auto"/>
              <w:jc w:val="center"/>
              <w:rPr>
                <w:noProof/>
              </w:rPr>
            </w:pPr>
            <w:r>
              <w:rPr>
                <w:noProof/>
              </w:rPr>
              <w:t xml:space="preserve">Calendrier indicatif de réalisation </w:t>
            </w:r>
          </w:p>
        </w:tc>
        <w:tc>
          <w:tcPr>
            <w:tcW w:w="4360" w:type="dxa"/>
            <w:vMerge w:val="restart"/>
            <w:tcBorders>
              <w:top w:val="single" w:sz="8" w:space="0" w:color="000000" w:themeColor="text1"/>
              <w:left w:val="nil"/>
              <w:bottom w:val="single" w:sz="4" w:space="0" w:color="000000" w:themeColor="text1"/>
              <w:right w:val="single" w:sz="8" w:space="0" w:color="000000" w:themeColor="text1"/>
            </w:tcBorders>
            <w:shd w:val="clear" w:color="auto" w:fill="BDD7EE"/>
            <w:vAlign w:val="center"/>
            <w:hideMark/>
          </w:tcPr>
          <w:p w14:paraId="3335C71E" w14:textId="77777777" w:rsidR="00025543" w:rsidRDefault="007E3A2F">
            <w:pPr>
              <w:pStyle w:val="P68B1DB1-Normal9"/>
              <w:spacing w:line="240" w:lineRule="auto"/>
              <w:jc w:val="center"/>
              <w:rPr>
                <w:noProof/>
              </w:rPr>
            </w:pPr>
            <w:r>
              <w:rPr>
                <w:noProof/>
              </w:rPr>
              <w:t>Description et définition claire de chaque jalon et cible</w:t>
            </w:r>
          </w:p>
        </w:tc>
      </w:tr>
      <w:tr w:rsidR="00025543" w14:paraId="458ED37B" w14:textId="77777777">
        <w:trPr>
          <w:trHeight w:val="416"/>
          <w:tblHeader/>
          <w:jc w:val="center"/>
        </w:trPr>
        <w:tc>
          <w:tcPr>
            <w:tcW w:w="681" w:type="dxa"/>
            <w:vMerge/>
            <w:vAlign w:val="center"/>
            <w:hideMark/>
          </w:tcPr>
          <w:p w14:paraId="64430B7F" w14:textId="77777777" w:rsidR="00025543" w:rsidRDefault="00025543">
            <w:pPr>
              <w:spacing w:before="0" w:after="0" w:line="240" w:lineRule="auto"/>
              <w:rPr>
                <w:rFonts w:eastAsia="Times New Roman"/>
                <w:noProof/>
                <w:sz w:val="18"/>
              </w:rPr>
            </w:pPr>
          </w:p>
        </w:tc>
        <w:tc>
          <w:tcPr>
            <w:tcW w:w="1300" w:type="dxa"/>
            <w:vMerge/>
            <w:vAlign w:val="center"/>
            <w:hideMark/>
          </w:tcPr>
          <w:p w14:paraId="7B1CF0EF" w14:textId="77777777" w:rsidR="00025543" w:rsidRDefault="00025543">
            <w:pPr>
              <w:spacing w:before="0" w:after="0" w:line="240" w:lineRule="auto"/>
              <w:rPr>
                <w:rFonts w:eastAsia="Times New Roman"/>
                <w:noProof/>
                <w:sz w:val="18"/>
              </w:rPr>
            </w:pPr>
          </w:p>
        </w:tc>
        <w:tc>
          <w:tcPr>
            <w:tcW w:w="1077" w:type="dxa"/>
            <w:vMerge/>
            <w:vAlign w:val="center"/>
            <w:hideMark/>
          </w:tcPr>
          <w:p w14:paraId="2053ECF3" w14:textId="77777777" w:rsidR="00025543" w:rsidRDefault="00025543">
            <w:pPr>
              <w:spacing w:before="0" w:after="0" w:line="240" w:lineRule="auto"/>
              <w:rPr>
                <w:rFonts w:eastAsia="Times New Roman"/>
                <w:noProof/>
                <w:sz w:val="18"/>
              </w:rPr>
            </w:pPr>
          </w:p>
        </w:tc>
        <w:tc>
          <w:tcPr>
            <w:tcW w:w="1843" w:type="dxa"/>
            <w:vMerge/>
            <w:vAlign w:val="center"/>
            <w:hideMark/>
          </w:tcPr>
          <w:p w14:paraId="4EB5DDF3" w14:textId="77777777" w:rsidR="00025543" w:rsidRDefault="00025543">
            <w:pPr>
              <w:spacing w:before="0" w:after="0" w:line="240" w:lineRule="auto"/>
              <w:rPr>
                <w:rFonts w:eastAsia="Times New Roman"/>
                <w:noProof/>
                <w:sz w:val="18"/>
              </w:rPr>
            </w:pPr>
          </w:p>
        </w:tc>
        <w:tc>
          <w:tcPr>
            <w:tcW w:w="1191" w:type="dxa"/>
            <w:vMerge/>
            <w:vAlign w:val="center"/>
            <w:hideMark/>
          </w:tcPr>
          <w:p w14:paraId="32108B8B" w14:textId="77777777" w:rsidR="00025543" w:rsidRDefault="00025543">
            <w:pPr>
              <w:spacing w:before="0" w:after="0" w:line="240" w:lineRule="auto"/>
              <w:rPr>
                <w:rFonts w:eastAsia="Times New Roman"/>
                <w:noProof/>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vAlign w:val="center"/>
            <w:hideMark/>
          </w:tcPr>
          <w:p w14:paraId="3FC62C49" w14:textId="77777777" w:rsidR="00025543" w:rsidRDefault="007E3A2F">
            <w:pPr>
              <w:pStyle w:val="P68B1DB1-Normal9"/>
              <w:spacing w:line="240" w:lineRule="auto"/>
              <w:jc w:val="center"/>
              <w:rPr>
                <w:noProof/>
              </w:rPr>
            </w:pPr>
            <w:r>
              <w:rPr>
                <w:noProof/>
              </w:rPr>
              <w:t>Unité de mesure</w:t>
            </w:r>
          </w:p>
        </w:tc>
        <w:tc>
          <w:tcPr>
            <w:tcW w:w="1077"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hideMark/>
          </w:tcPr>
          <w:p w14:paraId="309DCFBA" w14:textId="77777777" w:rsidR="00025543" w:rsidRDefault="007E3A2F">
            <w:pPr>
              <w:pStyle w:val="P68B1DB1-Normal9"/>
              <w:spacing w:line="240" w:lineRule="auto"/>
              <w:jc w:val="center"/>
              <w:rPr>
                <w:noProof/>
              </w:rPr>
            </w:pPr>
            <w:r>
              <w:rPr>
                <w:noProof/>
              </w:rPr>
              <w:t>Scénario de référence</w:t>
            </w:r>
          </w:p>
        </w:tc>
        <w:tc>
          <w:tcPr>
            <w:tcW w:w="1077"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hideMark/>
          </w:tcPr>
          <w:p w14:paraId="3136D8EE" w14:textId="77777777" w:rsidR="00025543" w:rsidRDefault="007E3A2F">
            <w:pPr>
              <w:pStyle w:val="P68B1DB1-Normal9"/>
              <w:spacing w:line="240" w:lineRule="auto"/>
              <w:jc w:val="center"/>
              <w:rPr>
                <w:noProof/>
              </w:rPr>
            </w:pPr>
            <w:r>
              <w:rPr>
                <w:noProof/>
              </w:rPr>
              <w:t>Objectif</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vAlign w:val="center"/>
            <w:hideMark/>
          </w:tcPr>
          <w:p w14:paraId="202CEB72" w14:textId="77777777" w:rsidR="00025543" w:rsidRDefault="007E3A2F">
            <w:pPr>
              <w:pStyle w:val="P68B1DB1-Normal9"/>
              <w:spacing w:line="240" w:lineRule="auto"/>
              <w:jc w:val="center"/>
              <w:rPr>
                <w:noProof/>
              </w:rPr>
            </w:pPr>
            <w:r>
              <w:rPr>
                <w:noProof/>
              </w:rPr>
              <w:t>Trimestre</w:t>
            </w:r>
          </w:p>
        </w:tc>
        <w:tc>
          <w:tcPr>
            <w:tcW w:w="1077"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hideMark/>
          </w:tcPr>
          <w:p w14:paraId="765124BD" w14:textId="77777777" w:rsidR="00025543" w:rsidRDefault="007E3A2F">
            <w:pPr>
              <w:pStyle w:val="P68B1DB1-Normal9"/>
              <w:spacing w:line="240" w:lineRule="auto"/>
              <w:jc w:val="center"/>
              <w:rPr>
                <w:noProof/>
              </w:rPr>
            </w:pPr>
            <w:r>
              <w:rPr>
                <w:noProof/>
              </w:rPr>
              <w:t>Année</w:t>
            </w:r>
          </w:p>
        </w:tc>
        <w:tc>
          <w:tcPr>
            <w:tcW w:w="4360" w:type="dxa"/>
            <w:vMerge/>
            <w:vAlign w:val="center"/>
            <w:hideMark/>
          </w:tcPr>
          <w:p w14:paraId="21FB6CEF" w14:textId="77777777" w:rsidR="00025543" w:rsidRDefault="00025543">
            <w:pPr>
              <w:spacing w:before="0" w:after="0" w:line="240" w:lineRule="auto"/>
              <w:rPr>
                <w:rFonts w:eastAsia="Times New Roman"/>
                <w:noProof/>
                <w:sz w:val="18"/>
              </w:rPr>
            </w:pPr>
          </w:p>
        </w:tc>
      </w:tr>
      <w:tr w:rsidR="00025543" w14:paraId="08D1755C" w14:textId="77777777">
        <w:trPr>
          <w:trHeight w:val="945"/>
          <w:jc w:val="center"/>
        </w:trPr>
        <w:tc>
          <w:tcPr>
            <w:tcW w:w="6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353FA8A" w14:textId="77777777" w:rsidR="00025543" w:rsidRDefault="007E3A2F">
            <w:pPr>
              <w:pStyle w:val="P68B1DB1-Normal11"/>
              <w:spacing w:line="240" w:lineRule="auto"/>
              <w:jc w:val="center"/>
              <w:rPr>
                <w:noProof/>
              </w:rPr>
            </w:pPr>
            <w:r>
              <w:rPr>
                <w:noProof/>
              </w:rPr>
              <w:t>1</w:t>
            </w:r>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7BF4658" w14:textId="77777777" w:rsidR="00025543" w:rsidRDefault="007E3A2F">
            <w:pPr>
              <w:pStyle w:val="P68B1DB1-Normal11"/>
              <w:spacing w:line="240" w:lineRule="auto"/>
              <w:rPr>
                <w:noProof/>
              </w:rPr>
            </w:pPr>
            <w:r>
              <w:rPr>
                <w:noProof/>
              </w:rPr>
              <w:t>Réforme 1: Conditions relatives à la gestion du pool de données de qualité et à la garantie d’un accès contrôlé aux données</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FFA5904" w14:textId="77777777" w:rsidR="00025543" w:rsidRDefault="007E3A2F">
            <w:pPr>
              <w:pStyle w:val="P68B1DB1-Normal11"/>
              <w:spacing w:line="240" w:lineRule="auto"/>
              <w:rPr>
                <w:noProof/>
              </w:rPr>
            </w:pPr>
            <w:r>
              <w:rPr>
                <w:noProof/>
              </w:rPr>
              <w:t>Étapes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6235A706" w14:textId="77777777" w:rsidR="00025543" w:rsidRDefault="007E3A2F">
            <w:pPr>
              <w:pStyle w:val="P68B1DB1-Normal11"/>
              <w:spacing w:line="240" w:lineRule="auto"/>
              <w:rPr>
                <w:noProof/>
              </w:rPr>
            </w:pPr>
            <w:r>
              <w:rPr>
                <w:noProof/>
              </w:rPr>
              <w:t>Finalisation de l’audit des données au niveau de l’administration centrale et adoption par le gouvernement du document conceptuel intitulé «Stratégie d’accès contrôlé aux données pour garantir les conditions d’une gestion de la qualité de la collecte des données de l’administration publique», qui constitue la base d’une nouvelle législation en matière de gestion des données</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3F557057" w14:textId="4D50E7B8" w:rsidR="00025543" w:rsidRDefault="007E3A2F">
            <w:pPr>
              <w:pStyle w:val="P68B1DB1-Normal11"/>
              <w:spacing w:line="240" w:lineRule="auto"/>
              <w:rPr>
                <w:noProof/>
              </w:rPr>
            </w:pPr>
            <w:r>
              <w:rPr>
                <w:noProof/>
              </w:rPr>
              <w:t>Conclusion de l’audit des données des organismes de l’administration centrale (32 institutions au total) et adoption du document conceptuel de stratégie par le gouvernement</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BC3874E" w14:textId="77777777" w:rsidR="00025543" w:rsidRDefault="00025543">
            <w:pPr>
              <w:spacing w:line="240" w:lineRule="auto"/>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72AA30A" w14:textId="77777777" w:rsidR="00025543" w:rsidRDefault="00025543">
            <w:pPr>
              <w:spacing w:line="240" w:lineRule="auto"/>
              <w:jc w:val="center"/>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9BD7919" w14:textId="77777777" w:rsidR="00025543" w:rsidRDefault="00025543">
            <w:pPr>
              <w:spacing w:line="240" w:lineRule="auto"/>
              <w:jc w:val="center"/>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64DB6BFA" w14:textId="77777777" w:rsidR="00025543" w:rsidRDefault="007E3A2F">
            <w:pPr>
              <w:pStyle w:val="P68B1DB1-Normal11"/>
              <w:spacing w:line="240" w:lineRule="auto"/>
              <w:jc w:val="center"/>
              <w:rPr>
                <w:noProof/>
              </w:rPr>
            </w:pPr>
            <w:r>
              <w:rPr>
                <w:noProof/>
              </w:rPr>
              <w:t>TRIMESTRE 4</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50CA42FD" w14:textId="77777777" w:rsidR="00025543" w:rsidRDefault="007E3A2F">
            <w:pPr>
              <w:pStyle w:val="P68B1DB1-Normal11"/>
              <w:spacing w:line="240" w:lineRule="auto"/>
              <w:jc w:val="center"/>
              <w:rPr>
                <w:noProof/>
              </w:rPr>
            </w:pPr>
            <w:r>
              <w:rPr>
                <w:noProof/>
              </w:rPr>
              <w:t>2023</w:t>
            </w:r>
          </w:p>
        </w:tc>
        <w:tc>
          <w:tcPr>
            <w:tcW w:w="4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7A78D6B2" w14:textId="47942944" w:rsidR="00025543" w:rsidRDefault="007E3A2F">
            <w:pPr>
              <w:pStyle w:val="P68B1DB1-Normal11"/>
              <w:spacing w:before="0" w:line="240" w:lineRule="auto"/>
              <w:rPr>
                <w:noProof/>
              </w:rPr>
            </w:pPr>
            <w:r>
              <w:rPr>
                <w:noProof/>
              </w:rPr>
              <w:t>L’audit des données et la stratégie qui en découle servent de base à la préparation des modifications législatives visant à intégrer une bonne gestion des données dans l’administration publique, conformément aux principes FAIR et à l’acte européen sur la gouvernance des données envisagé.</w:t>
            </w:r>
          </w:p>
        </w:tc>
      </w:tr>
      <w:tr w:rsidR="00025543" w14:paraId="61EC50F1" w14:textId="77777777">
        <w:trPr>
          <w:trHeight w:val="945"/>
          <w:jc w:val="center"/>
        </w:trPr>
        <w:tc>
          <w:tcPr>
            <w:tcW w:w="6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6690064A" w14:textId="77777777" w:rsidR="00025543" w:rsidRDefault="007E3A2F">
            <w:pPr>
              <w:pStyle w:val="P68B1DB1-Normal11"/>
              <w:spacing w:line="240" w:lineRule="auto"/>
              <w:jc w:val="center"/>
              <w:rPr>
                <w:noProof/>
              </w:rPr>
            </w:pPr>
            <w:r>
              <w:rPr>
                <w:noProof/>
              </w:rPr>
              <w:t>2</w:t>
            </w:r>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3E4E23BE" w14:textId="77777777" w:rsidR="00025543" w:rsidRDefault="007E3A2F">
            <w:pPr>
              <w:pStyle w:val="P68B1DB1-Normal11"/>
              <w:spacing w:line="240" w:lineRule="auto"/>
              <w:rPr>
                <w:noProof/>
              </w:rPr>
            </w:pPr>
            <w:r>
              <w:rPr>
                <w:noProof/>
              </w:rPr>
              <w:t>Réforme 1: Conditions relatives à la gestion du pool de données de qualité et à la garantie d’un accès contrôlé aux données</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56BE0837" w14:textId="77777777" w:rsidR="00025543" w:rsidRDefault="007E3A2F">
            <w:pPr>
              <w:pStyle w:val="P68B1DB1-Normal11"/>
              <w:spacing w:line="240" w:lineRule="auto"/>
              <w:rPr>
                <w:noProof/>
              </w:rPr>
            </w:pPr>
            <w:r>
              <w:rPr>
                <w:noProof/>
              </w:rPr>
              <w:t>Cible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534DF7CD" w14:textId="77777777" w:rsidR="00025543" w:rsidRDefault="007E3A2F">
            <w:pPr>
              <w:pStyle w:val="P68B1DB1-Normal11"/>
              <w:spacing w:line="240" w:lineRule="auto"/>
              <w:rPr>
                <w:noProof/>
              </w:rPr>
            </w:pPr>
            <w:r>
              <w:rPr>
                <w:noProof/>
              </w:rPr>
              <w:t>Introduction de nouvelles méthodes de gestion des données dans l’administration publique</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71285ACC" w14:textId="77777777" w:rsidR="00025543" w:rsidRDefault="00025543">
            <w:pPr>
              <w:spacing w:line="240" w:lineRule="auto"/>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4303075" w14:textId="12B97777" w:rsidR="00025543" w:rsidRDefault="007E3A2F">
            <w:pPr>
              <w:pStyle w:val="P68B1DB1-Normal11"/>
              <w:spacing w:line="240" w:lineRule="auto"/>
              <w:rPr>
                <w:noProof/>
              </w:rPr>
            </w:pPr>
            <w:r>
              <w:rPr>
                <w:noProof/>
              </w:rPr>
              <w:t>Nombre d’autorités de l’administration publique</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7BFC528" w14:textId="77777777" w:rsidR="00025543" w:rsidRDefault="007E3A2F">
            <w:pPr>
              <w:pStyle w:val="P68B1DB1-Normal11"/>
              <w:spacing w:line="240" w:lineRule="auto"/>
              <w:jc w:val="center"/>
              <w:rPr>
                <w:noProof/>
              </w:rPr>
            </w:pPr>
            <w:r>
              <w:rPr>
                <w:noProof/>
              </w:rPr>
              <w:t>0</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2FB6267" w14:textId="7154E25A" w:rsidR="00025543" w:rsidRDefault="007E3A2F">
            <w:pPr>
              <w:pStyle w:val="P68B1DB1-Normal11"/>
              <w:spacing w:line="240" w:lineRule="auto"/>
              <w:jc w:val="center"/>
              <w:rPr>
                <w:noProof/>
              </w:rPr>
            </w:pPr>
            <w:r>
              <w:rPr>
                <w:noProof/>
              </w:rPr>
              <w:t>32</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0FADF37" w14:textId="77777777" w:rsidR="00025543" w:rsidRDefault="007E3A2F">
            <w:pPr>
              <w:pStyle w:val="P68B1DB1-Normal11"/>
              <w:spacing w:line="240" w:lineRule="auto"/>
              <w:jc w:val="center"/>
              <w:rPr>
                <w:noProof/>
              </w:rPr>
            </w:pPr>
            <w:r>
              <w:rPr>
                <w:noProof/>
              </w:rPr>
              <w:t>TRIMESTRE 4</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0351F3A3" w14:textId="77777777" w:rsidR="00025543" w:rsidRDefault="007E3A2F">
            <w:pPr>
              <w:pStyle w:val="P68B1DB1-Normal11"/>
              <w:spacing w:line="240" w:lineRule="auto"/>
              <w:jc w:val="center"/>
              <w:rPr>
                <w:noProof/>
              </w:rPr>
            </w:pPr>
            <w:r>
              <w:rPr>
                <w:noProof/>
              </w:rPr>
              <w:t>2025</w:t>
            </w:r>
          </w:p>
        </w:tc>
        <w:tc>
          <w:tcPr>
            <w:tcW w:w="4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79FC5F98" w14:textId="0359E0B3" w:rsidR="00025543" w:rsidRDefault="007E3A2F">
            <w:pPr>
              <w:pStyle w:val="P68B1DB1-Normal11"/>
              <w:spacing w:before="0" w:line="240" w:lineRule="auto"/>
              <w:rPr>
                <w:noProof/>
              </w:rPr>
            </w:pPr>
            <w:r>
              <w:rPr>
                <w:noProof/>
              </w:rPr>
              <w:t xml:space="preserve">Des normes de bonne gestion des données conformes au principe FAIR, qui doivent être élaborées en vue de leur application dans l’administration publique, qui doivent être adoptées et mises en œuvre par les autorités. </w:t>
            </w:r>
          </w:p>
        </w:tc>
      </w:tr>
      <w:tr w:rsidR="00025543" w14:paraId="07B649D4" w14:textId="77777777">
        <w:trPr>
          <w:trHeight w:val="373"/>
          <w:jc w:val="center"/>
        </w:trPr>
        <w:tc>
          <w:tcPr>
            <w:tcW w:w="6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41EA0EBC" w14:textId="77777777" w:rsidR="00025543" w:rsidRDefault="007E3A2F">
            <w:pPr>
              <w:pStyle w:val="P68B1DB1-Normal11"/>
              <w:spacing w:line="240" w:lineRule="auto"/>
              <w:jc w:val="center"/>
              <w:rPr>
                <w:noProof/>
              </w:rPr>
            </w:pPr>
            <w:r>
              <w:rPr>
                <w:noProof/>
              </w:rPr>
              <w:t>3</w:t>
            </w:r>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4B440C53" w14:textId="77777777" w:rsidR="00025543" w:rsidRDefault="007E3A2F">
            <w:pPr>
              <w:pStyle w:val="P68B1DB1-Normal11"/>
              <w:spacing w:line="240" w:lineRule="auto"/>
              <w:rPr>
                <w:noProof/>
              </w:rPr>
            </w:pPr>
            <w:r>
              <w:rPr>
                <w:noProof/>
              </w:rPr>
              <w:t>Réforme 2: santé en ligne</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0C99B7AE" w14:textId="77777777" w:rsidR="00025543" w:rsidRDefault="007E3A2F">
            <w:pPr>
              <w:pStyle w:val="P68B1DB1-Normal11"/>
              <w:spacing w:line="240" w:lineRule="auto"/>
              <w:rPr>
                <w:noProof/>
              </w:rPr>
            </w:pPr>
            <w:r>
              <w:rPr>
                <w:noProof/>
              </w:rPr>
              <w:t>Étapes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0028346E" w14:textId="77777777" w:rsidR="00025543" w:rsidRDefault="007E3A2F">
            <w:pPr>
              <w:pStyle w:val="P68B1DB1-Normal11"/>
              <w:spacing w:line="240" w:lineRule="auto"/>
              <w:rPr>
                <w:noProof/>
              </w:rPr>
            </w:pPr>
            <w:r>
              <w:rPr>
                <w:noProof/>
              </w:rPr>
              <w:t>Définition de normes d’interopérabilité conformément au cadre d’interopérabilité européen pour la santé en ligne et définition des règles régissant la télémédecine</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21700581" w14:textId="77777777" w:rsidR="00025543" w:rsidRDefault="007E3A2F">
            <w:pPr>
              <w:pStyle w:val="P68B1DB1-Normal11"/>
              <w:spacing w:line="240" w:lineRule="auto"/>
              <w:rPr>
                <w:noProof/>
              </w:rPr>
            </w:pPr>
            <w:r>
              <w:rPr>
                <w:noProof/>
              </w:rPr>
              <w:t>Adoption de normes et de règles par le ministère de la santé</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18FD96A" w14:textId="77777777" w:rsidR="00025543" w:rsidRDefault="00025543">
            <w:pPr>
              <w:spacing w:line="240" w:lineRule="auto"/>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6949E88" w14:textId="77777777" w:rsidR="00025543" w:rsidRDefault="00025543">
            <w:pPr>
              <w:spacing w:line="240" w:lineRule="auto"/>
              <w:jc w:val="center"/>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E92BE3D" w14:textId="77777777" w:rsidR="00025543" w:rsidRDefault="00025543">
            <w:pPr>
              <w:spacing w:line="240" w:lineRule="auto"/>
              <w:jc w:val="center"/>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0E992D83" w14:textId="77777777" w:rsidR="00025543" w:rsidRDefault="007E3A2F">
            <w:pPr>
              <w:pStyle w:val="P68B1DB1-Normal11"/>
              <w:spacing w:line="240" w:lineRule="auto"/>
              <w:jc w:val="center"/>
              <w:rPr>
                <w:noProof/>
              </w:rPr>
            </w:pPr>
            <w:r>
              <w:rPr>
                <w:noProof/>
              </w:rPr>
              <w:t>TRIMESTRE 1</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2573BE1A" w14:textId="77777777" w:rsidR="00025543" w:rsidRDefault="007E3A2F">
            <w:pPr>
              <w:pStyle w:val="P68B1DB1-Normal11"/>
              <w:spacing w:line="240" w:lineRule="auto"/>
              <w:jc w:val="center"/>
              <w:rPr>
                <w:noProof/>
              </w:rPr>
            </w:pPr>
            <w:r>
              <w:rPr>
                <w:noProof/>
              </w:rPr>
              <w:t>2022</w:t>
            </w:r>
          </w:p>
        </w:tc>
        <w:tc>
          <w:tcPr>
            <w:tcW w:w="4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6450B82C" w14:textId="77777777" w:rsidR="00025543" w:rsidRDefault="007E3A2F">
            <w:pPr>
              <w:pStyle w:val="P68B1DB1-Normal11"/>
              <w:spacing w:before="0" w:line="240" w:lineRule="auto"/>
              <w:rPr>
                <w:noProof/>
              </w:rPr>
            </w:pPr>
            <w:r>
              <w:rPr>
                <w:noProof/>
              </w:rPr>
              <w:t xml:space="preserve">La mesure fixe les normes, règles et exigences régissant l’interopérabilité des prestataires de soins de santé et sert de base à l’adaptation des systèmes de santé. Des règles régissant les services de télémédecine sont fixées pour définir les conditions de prestation de ces services. </w:t>
            </w:r>
          </w:p>
        </w:tc>
      </w:tr>
      <w:tr w:rsidR="00025543" w14:paraId="7B1ADD74" w14:textId="77777777">
        <w:trPr>
          <w:trHeight w:val="945"/>
          <w:jc w:val="center"/>
        </w:trPr>
        <w:tc>
          <w:tcPr>
            <w:tcW w:w="6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773AF552" w14:textId="77777777" w:rsidR="00025543" w:rsidRDefault="007E3A2F">
            <w:pPr>
              <w:pStyle w:val="P68B1DB1-Normal11"/>
              <w:spacing w:line="240" w:lineRule="auto"/>
              <w:jc w:val="center"/>
              <w:rPr>
                <w:noProof/>
              </w:rPr>
            </w:pPr>
            <w:r>
              <w:rPr>
                <w:noProof/>
              </w:rPr>
              <w:t>4</w:t>
            </w:r>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2BE24A8B" w14:textId="77777777" w:rsidR="00025543" w:rsidRDefault="007E3A2F">
            <w:pPr>
              <w:pStyle w:val="P68B1DB1-Normal11"/>
              <w:spacing w:line="240" w:lineRule="auto"/>
              <w:rPr>
                <w:noProof/>
              </w:rPr>
            </w:pPr>
            <w:r>
              <w:rPr>
                <w:noProof/>
              </w:rPr>
              <w:t>Réforme 2: santé en ligne</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235284CC" w14:textId="77777777" w:rsidR="00025543" w:rsidRDefault="007E3A2F">
            <w:pPr>
              <w:pStyle w:val="P68B1DB1-Normal11"/>
              <w:spacing w:line="240" w:lineRule="auto"/>
              <w:rPr>
                <w:noProof/>
              </w:rPr>
            </w:pPr>
            <w:r>
              <w:rPr>
                <w:noProof/>
              </w:rPr>
              <w:t>Cible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2FBD58D5" w14:textId="77777777" w:rsidR="00025543" w:rsidRDefault="007E3A2F">
            <w:pPr>
              <w:pStyle w:val="P68B1DB1-Normal11"/>
              <w:spacing w:line="259" w:lineRule="auto"/>
              <w:rPr>
                <w:noProof/>
              </w:rPr>
            </w:pPr>
            <w:r>
              <w:rPr>
                <w:noProof/>
              </w:rPr>
              <w:t>Nombre de nouveaux services de télémédecine introduits et mis à la disposition des patients</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E05AB3D" w14:textId="77777777" w:rsidR="00025543" w:rsidRDefault="00025543">
            <w:pPr>
              <w:spacing w:line="240" w:lineRule="auto"/>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0A86FE0F" w14:textId="77777777" w:rsidR="00025543" w:rsidRDefault="007E3A2F">
            <w:pPr>
              <w:pStyle w:val="P68B1DB1-Normal11"/>
              <w:spacing w:line="240" w:lineRule="auto"/>
              <w:rPr>
                <w:noProof/>
              </w:rPr>
            </w:pPr>
            <w:r>
              <w:rPr>
                <w:noProof/>
              </w:rPr>
              <w:t>Numéro</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77CD3015" w14:textId="77777777" w:rsidR="00025543" w:rsidRDefault="007E3A2F">
            <w:pPr>
              <w:pStyle w:val="P68B1DB1-Normal11"/>
              <w:spacing w:line="240" w:lineRule="auto"/>
              <w:jc w:val="center"/>
              <w:rPr>
                <w:noProof/>
              </w:rPr>
            </w:pPr>
            <w:r>
              <w:rPr>
                <w:noProof/>
              </w:rPr>
              <w:t>0</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5BA7D08" w14:textId="77777777" w:rsidR="00025543" w:rsidRDefault="007E3A2F">
            <w:pPr>
              <w:pStyle w:val="P68B1DB1-Normal11"/>
              <w:spacing w:line="240" w:lineRule="auto"/>
              <w:jc w:val="center"/>
              <w:rPr>
                <w:noProof/>
              </w:rPr>
            </w:pPr>
            <w:r>
              <w:rPr>
                <w:noProof/>
              </w:rPr>
              <w:t>5</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2E5B68DC" w14:textId="77777777" w:rsidR="00025543" w:rsidRDefault="007E3A2F">
            <w:pPr>
              <w:pStyle w:val="P68B1DB1-Normal11"/>
              <w:spacing w:line="240" w:lineRule="auto"/>
              <w:jc w:val="center"/>
              <w:rPr>
                <w:noProof/>
              </w:rPr>
            </w:pPr>
            <w:r>
              <w:rPr>
                <w:noProof/>
              </w:rPr>
              <w:t>TRIMESTRE 4</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03D2884E" w14:textId="77777777" w:rsidR="00025543" w:rsidRDefault="007E3A2F">
            <w:pPr>
              <w:pStyle w:val="P68B1DB1-Normal11"/>
              <w:spacing w:line="240" w:lineRule="auto"/>
              <w:jc w:val="center"/>
              <w:rPr>
                <w:noProof/>
              </w:rPr>
            </w:pPr>
            <w:r>
              <w:rPr>
                <w:noProof/>
              </w:rPr>
              <w:t>2025</w:t>
            </w:r>
          </w:p>
        </w:tc>
        <w:tc>
          <w:tcPr>
            <w:tcW w:w="4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3EC3DDA5" w14:textId="77777777" w:rsidR="00025543" w:rsidRDefault="007E3A2F">
            <w:pPr>
              <w:pStyle w:val="P68B1DB1-Normal11"/>
              <w:spacing w:line="259" w:lineRule="auto"/>
              <w:rPr>
                <w:noProof/>
              </w:rPr>
            </w:pPr>
            <w:r>
              <w:rPr>
                <w:noProof/>
              </w:rPr>
              <w:t>De nouveaux services de télémédecine ont été développés et mis à la disposition des patients à la suite de l’approbation du projet par le ministère de la santé.</w:t>
            </w:r>
          </w:p>
        </w:tc>
      </w:tr>
      <w:tr w:rsidR="00025543" w14:paraId="634812D5" w14:textId="77777777">
        <w:trPr>
          <w:trHeight w:val="945"/>
          <w:jc w:val="center"/>
        </w:trPr>
        <w:tc>
          <w:tcPr>
            <w:tcW w:w="6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50AE952A" w14:textId="77777777" w:rsidR="00025543" w:rsidRDefault="007E3A2F">
            <w:pPr>
              <w:pStyle w:val="P68B1DB1-Normal11"/>
              <w:spacing w:line="240" w:lineRule="auto"/>
              <w:jc w:val="center"/>
              <w:rPr>
                <w:noProof/>
              </w:rPr>
            </w:pPr>
            <w:r>
              <w:rPr>
                <w:noProof/>
              </w:rPr>
              <w:t>5</w:t>
            </w:r>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549D46FF" w14:textId="77777777" w:rsidR="00025543" w:rsidRDefault="007E3A2F">
            <w:pPr>
              <w:pStyle w:val="P68B1DB1-Normal11"/>
              <w:spacing w:line="240" w:lineRule="auto"/>
              <w:rPr>
                <w:noProof/>
              </w:rPr>
            </w:pPr>
            <w:r>
              <w:rPr>
                <w:noProof/>
              </w:rPr>
              <w:t>Réforme 2: santé en ligne</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30B97D34" w14:textId="77777777" w:rsidR="00025543" w:rsidRDefault="007E3A2F">
            <w:pPr>
              <w:pStyle w:val="P68B1DB1-Normal11"/>
              <w:spacing w:line="240" w:lineRule="auto"/>
              <w:rPr>
                <w:noProof/>
              </w:rPr>
            </w:pPr>
            <w:r>
              <w:rPr>
                <w:noProof/>
              </w:rPr>
              <w:t>Cible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57050231" w14:textId="33D65596" w:rsidR="00025543" w:rsidRDefault="007E3A2F">
            <w:pPr>
              <w:pStyle w:val="P68B1DB1-Normal11"/>
              <w:spacing w:before="0" w:line="240" w:lineRule="auto"/>
              <w:rPr>
                <w:noProof/>
              </w:rPr>
            </w:pPr>
            <w:r>
              <w:rPr>
                <w:noProof/>
              </w:rPr>
              <w:t>Achèvement des projets conduisant à la mise en œuvre de nouveaux services de santé numériques</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631E485" w14:textId="77777777" w:rsidR="00025543" w:rsidRDefault="00025543">
            <w:pPr>
              <w:spacing w:line="240" w:lineRule="auto"/>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7318B088" w14:textId="77777777" w:rsidR="00025543" w:rsidRDefault="007E3A2F">
            <w:pPr>
              <w:pStyle w:val="P68B1DB1-Normal11"/>
              <w:spacing w:line="240" w:lineRule="auto"/>
              <w:rPr>
                <w:noProof/>
              </w:rPr>
            </w:pPr>
            <w:r>
              <w:rPr>
                <w:noProof/>
              </w:rPr>
              <w:t>Numéro</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539591B" w14:textId="77777777" w:rsidR="00025543" w:rsidRDefault="007E3A2F">
            <w:pPr>
              <w:pStyle w:val="P68B1DB1-Normal11"/>
              <w:spacing w:line="240" w:lineRule="auto"/>
              <w:jc w:val="center"/>
              <w:rPr>
                <w:noProof/>
              </w:rPr>
            </w:pPr>
            <w:r>
              <w:rPr>
                <w:noProof/>
              </w:rPr>
              <w:t>1</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541C127C" w14:textId="77777777" w:rsidR="00025543" w:rsidRDefault="007E3A2F">
            <w:pPr>
              <w:pStyle w:val="P68B1DB1-Normal11"/>
              <w:spacing w:line="240" w:lineRule="auto"/>
              <w:jc w:val="center"/>
              <w:rPr>
                <w:noProof/>
              </w:rPr>
            </w:pPr>
            <w:r>
              <w:rPr>
                <w:noProof/>
              </w:rPr>
              <w:t>8</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53FE094B" w14:textId="77777777" w:rsidR="00025543" w:rsidRDefault="007E3A2F">
            <w:pPr>
              <w:pStyle w:val="P68B1DB1-Normal11"/>
              <w:spacing w:line="240" w:lineRule="auto"/>
              <w:jc w:val="center"/>
              <w:rPr>
                <w:noProof/>
              </w:rPr>
            </w:pPr>
            <w:r>
              <w:rPr>
                <w:noProof/>
              </w:rPr>
              <w:t>TRIMESTRE 4</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53B771D0" w14:textId="77777777" w:rsidR="00025543" w:rsidRDefault="007E3A2F">
            <w:pPr>
              <w:pStyle w:val="P68B1DB1-Normal11"/>
              <w:spacing w:line="240" w:lineRule="auto"/>
              <w:jc w:val="center"/>
              <w:rPr>
                <w:noProof/>
              </w:rPr>
            </w:pPr>
            <w:r>
              <w:rPr>
                <w:noProof/>
              </w:rPr>
              <w:t>2025</w:t>
            </w:r>
          </w:p>
        </w:tc>
        <w:tc>
          <w:tcPr>
            <w:tcW w:w="4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0D35D137" w14:textId="409E29DE" w:rsidR="00025543" w:rsidRDefault="007E3A2F">
            <w:pPr>
              <w:pStyle w:val="P68B1DB1-Normal12"/>
              <w:spacing w:before="0" w:line="240" w:lineRule="auto"/>
              <w:rPr>
                <w:rFonts w:eastAsia="Times New Roman"/>
                <w:noProof/>
                <w:color w:val="006100"/>
              </w:rPr>
            </w:pPr>
            <w:r>
              <w:rPr>
                <w:rFonts w:eastAsia="Times New Roman"/>
                <w:noProof/>
                <w:color w:val="006100"/>
              </w:rPr>
              <w:t>Les projets achevés comprennent la quarantaine intelligente 2.0; promotion des services de santé numériques; solutions de portail «Santé en ligne» et utilisation secondaire des données de santé. Ces projets déboucheront sur la mise en place des services suivants:</w:t>
            </w:r>
            <w:r>
              <w:rPr>
                <w:noProof/>
              </w:rPr>
              <w:br/>
            </w:r>
            <w:r>
              <w:rPr>
                <w:rFonts w:eastAsia="Times New Roman"/>
                <w:noProof/>
                <w:color w:val="006100"/>
              </w:rPr>
              <w:t xml:space="preserve">(1) Journal des activités, </w:t>
            </w:r>
          </w:p>
          <w:p w14:paraId="3F962429" w14:textId="56120AD1" w:rsidR="00025543" w:rsidRDefault="007E3A2F">
            <w:pPr>
              <w:pStyle w:val="P68B1DB1-Normal11"/>
              <w:spacing w:before="0" w:line="240" w:lineRule="auto"/>
              <w:rPr>
                <w:noProof/>
              </w:rPr>
            </w:pPr>
            <w:r>
              <w:rPr>
                <w:noProof/>
              </w:rPr>
              <w:t>(2) Catalogue des services numériques</w:t>
            </w:r>
          </w:p>
          <w:p w14:paraId="17DFD6BD" w14:textId="77777777" w:rsidR="00025543" w:rsidRDefault="007E3A2F">
            <w:pPr>
              <w:pStyle w:val="P68B1DB1-Normal11"/>
              <w:spacing w:before="0" w:line="240" w:lineRule="auto"/>
              <w:rPr>
                <w:noProof/>
              </w:rPr>
            </w:pPr>
            <w:r>
              <w:rPr>
                <w:noProof/>
              </w:rPr>
              <w:t xml:space="preserve">(3) Registre de référence des professionnels de la santé </w:t>
            </w:r>
          </w:p>
          <w:p w14:paraId="3A71DAB0" w14:textId="77777777" w:rsidR="00025543" w:rsidRDefault="007E3A2F">
            <w:pPr>
              <w:pStyle w:val="P68B1DB1-Normal11"/>
              <w:spacing w:before="0" w:line="240" w:lineRule="auto"/>
              <w:rPr>
                <w:noProof/>
              </w:rPr>
            </w:pPr>
            <w:r>
              <w:rPr>
                <w:noProof/>
              </w:rPr>
              <w:t xml:space="preserve">(4) Registre de référence des patients, </w:t>
            </w:r>
          </w:p>
          <w:p w14:paraId="61D1F2F4" w14:textId="77777777" w:rsidR="00025543" w:rsidRDefault="007E3A2F">
            <w:pPr>
              <w:pStyle w:val="P68B1DB1-Normal11"/>
              <w:spacing w:before="0" w:line="240" w:lineRule="auto"/>
              <w:rPr>
                <w:noProof/>
              </w:rPr>
            </w:pPr>
            <w:r>
              <w:rPr>
                <w:noProof/>
              </w:rPr>
              <w:t xml:space="preserve">(5) Services d’identification/d’authentification pour les patients et les professionnels de la santé, </w:t>
            </w:r>
          </w:p>
          <w:p w14:paraId="306920AA" w14:textId="0EB90357" w:rsidR="00025543" w:rsidRDefault="007E3A2F">
            <w:pPr>
              <w:pStyle w:val="P68B1DB1-Normal11"/>
              <w:spacing w:before="0" w:line="240" w:lineRule="auto"/>
              <w:rPr>
                <w:noProof/>
              </w:rPr>
            </w:pPr>
            <w:r>
              <w:rPr>
                <w:noProof/>
              </w:rPr>
              <w:t xml:space="preserve">(6) Services d’information des patients, </w:t>
            </w:r>
          </w:p>
          <w:p w14:paraId="7DF60C70" w14:textId="6AC1E457" w:rsidR="00025543" w:rsidRDefault="007E3A2F">
            <w:pPr>
              <w:pStyle w:val="P68B1DB1-Normal11"/>
              <w:spacing w:before="0" w:line="240" w:lineRule="auto"/>
              <w:rPr>
                <w:noProof/>
              </w:rPr>
            </w:pPr>
            <w:r>
              <w:rPr>
                <w:noProof/>
              </w:rPr>
              <w:t>(7) Registre de référence des prestataires de services de santé.</w:t>
            </w:r>
          </w:p>
        </w:tc>
      </w:tr>
      <w:tr w:rsidR="00025543" w14:paraId="186B1903" w14:textId="77777777">
        <w:trPr>
          <w:trHeight w:val="338"/>
          <w:jc w:val="center"/>
        </w:trPr>
        <w:tc>
          <w:tcPr>
            <w:tcW w:w="6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5F074FD1" w14:textId="77777777" w:rsidR="00025543" w:rsidRDefault="007E3A2F">
            <w:pPr>
              <w:pStyle w:val="P68B1DB1-Normal11"/>
              <w:spacing w:line="240" w:lineRule="auto"/>
              <w:jc w:val="center"/>
              <w:rPr>
                <w:noProof/>
              </w:rPr>
            </w:pPr>
            <w:r>
              <w:rPr>
                <w:noProof/>
              </w:rPr>
              <w:t>6</w:t>
            </w:r>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368DE7FB" w14:textId="77777777" w:rsidR="00025543" w:rsidRDefault="007E3A2F">
            <w:pPr>
              <w:pStyle w:val="P68B1DB1-Normal11"/>
              <w:spacing w:line="240" w:lineRule="auto"/>
              <w:rPr>
                <w:noProof/>
              </w:rPr>
            </w:pPr>
            <w:r>
              <w:rPr>
                <w:noProof/>
              </w:rPr>
              <w:t>Réforme 2: santé en ligne</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7D0966F7" w14:textId="77777777" w:rsidR="00025543" w:rsidRDefault="007E3A2F">
            <w:pPr>
              <w:pStyle w:val="P68B1DB1-Normal11"/>
              <w:spacing w:line="240" w:lineRule="auto"/>
              <w:rPr>
                <w:noProof/>
              </w:rPr>
            </w:pPr>
            <w:r>
              <w:rPr>
                <w:noProof/>
              </w:rPr>
              <w:t>Cible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CC00950" w14:textId="5A6444FC" w:rsidR="00025543" w:rsidRDefault="007E3A2F">
            <w:pPr>
              <w:pStyle w:val="P68B1DB1-Normal11"/>
              <w:spacing w:before="0" w:line="240" w:lineRule="auto"/>
              <w:rPr>
                <w:noProof/>
              </w:rPr>
            </w:pPr>
            <w:r>
              <w:rPr>
                <w:noProof/>
              </w:rPr>
              <w:t xml:space="preserve">Connexion des prestataires de soins de santé au système d’interopérabilité conformément aux règles d’interopérabilité pour les services de santé en ligne </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E323E5F" w14:textId="77777777" w:rsidR="00025543" w:rsidRDefault="00025543">
            <w:pPr>
              <w:spacing w:line="240" w:lineRule="auto"/>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88F832E" w14:textId="77777777" w:rsidR="00025543" w:rsidRDefault="00025543">
            <w:pPr>
              <w:spacing w:line="240" w:lineRule="auto"/>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4A825D3" w14:textId="77777777" w:rsidR="00025543" w:rsidRDefault="007E3A2F">
            <w:pPr>
              <w:pStyle w:val="P68B1DB1-Normal11"/>
              <w:spacing w:line="240" w:lineRule="auto"/>
              <w:jc w:val="center"/>
              <w:rPr>
                <w:noProof/>
              </w:rPr>
            </w:pPr>
            <w:r>
              <w:rPr>
                <w:noProof/>
              </w:rPr>
              <w:t>0</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1BFC646" w14:textId="77777777" w:rsidR="00025543" w:rsidRDefault="007E3A2F">
            <w:pPr>
              <w:pStyle w:val="P68B1DB1-Normal11"/>
              <w:spacing w:line="240" w:lineRule="auto"/>
              <w:jc w:val="center"/>
              <w:rPr>
                <w:noProof/>
              </w:rPr>
            </w:pPr>
            <w:r>
              <w:rPr>
                <w:noProof/>
              </w:rPr>
              <w:t>15</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7526553A" w14:textId="77777777" w:rsidR="00025543" w:rsidRDefault="007E3A2F">
            <w:pPr>
              <w:pStyle w:val="P68B1DB1-Normal11"/>
              <w:spacing w:line="240" w:lineRule="auto"/>
              <w:jc w:val="center"/>
              <w:rPr>
                <w:noProof/>
              </w:rPr>
            </w:pPr>
            <w:r>
              <w:rPr>
                <w:noProof/>
              </w:rPr>
              <w:t>TRIMESTRE 4</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5AA07E31" w14:textId="77777777" w:rsidR="00025543" w:rsidRDefault="007E3A2F">
            <w:pPr>
              <w:pStyle w:val="P68B1DB1-Normal11"/>
              <w:spacing w:line="240" w:lineRule="auto"/>
              <w:jc w:val="center"/>
              <w:rPr>
                <w:noProof/>
              </w:rPr>
            </w:pPr>
            <w:r>
              <w:rPr>
                <w:noProof/>
              </w:rPr>
              <w:t>2025</w:t>
            </w:r>
          </w:p>
        </w:tc>
        <w:tc>
          <w:tcPr>
            <w:tcW w:w="4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5A15FBD6" w14:textId="7412A270" w:rsidR="00025543" w:rsidRDefault="007E3A2F">
            <w:pPr>
              <w:pStyle w:val="P68B1DB1-Normal11"/>
              <w:spacing w:before="0" w:line="240" w:lineRule="auto"/>
              <w:rPr>
                <w:noProof/>
              </w:rPr>
            </w:pPr>
            <w:r>
              <w:rPr>
                <w:noProof/>
              </w:rPr>
              <w:t>La mesure devrait permettre de relier les prestataires de soins de santé à un système interopérable conformément aux règles d’interopérabilité applicables aux services de santé en ligne.</w:t>
            </w:r>
          </w:p>
        </w:tc>
      </w:tr>
      <w:tr w:rsidR="00025543" w14:paraId="5FE7B0C2" w14:textId="77777777">
        <w:trPr>
          <w:trHeight w:val="945"/>
          <w:jc w:val="center"/>
        </w:trPr>
        <w:tc>
          <w:tcPr>
            <w:tcW w:w="6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5FAB3A84" w14:textId="77777777" w:rsidR="00025543" w:rsidRDefault="007E3A2F">
            <w:pPr>
              <w:pStyle w:val="P68B1DB1-Normal11"/>
              <w:spacing w:line="240" w:lineRule="auto"/>
              <w:jc w:val="center"/>
              <w:rPr>
                <w:noProof/>
              </w:rPr>
            </w:pPr>
            <w:r>
              <w:rPr>
                <w:noProof/>
              </w:rPr>
              <w:t>7</w:t>
            </w:r>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46F0BD28" w14:textId="77777777" w:rsidR="00025543" w:rsidRDefault="007E3A2F">
            <w:pPr>
              <w:pStyle w:val="P68B1DB1-Normal11"/>
              <w:spacing w:line="240" w:lineRule="auto"/>
              <w:rPr>
                <w:noProof/>
              </w:rPr>
            </w:pPr>
            <w:r>
              <w:rPr>
                <w:noProof/>
              </w:rPr>
              <w:t>Investissement 1: Services numériques pour les utilisateurs finaux</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C959441" w14:textId="77777777" w:rsidR="00025543" w:rsidRDefault="007E3A2F">
            <w:pPr>
              <w:pStyle w:val="P68B1DB1-Normal11"/>
              <w:spacing w:line="240" w:lineRule="auto"/>
              <w:rPr>
                <w:noProof/>
              </w:rPr>
            </w:pPr>
            <w:r>
              <w:rPr>
                <w:noProof/>
              </w:rPr>
              <w:t>Étapes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31654A98" w14:textId="77777777" w:rsidR="00025543" w:rsidRDefault="007E3A2F">
            <w:pPr>
              <w:pStyle w:val="P68B1DB1-Normal11"/>
              <w:spacing w:line="240" w:lineRule="auto"/>
              <w:rPr>
                <w:noProof/>
              </w:rPr>
            </w:pPr>
            <w:r>
              <w:rPr>
                <w:noProof/>
              </w:rPr>
              <w:t>Pleine exploitation du portail numérique unique</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5EB7FEA" w14:textId="77777777" w:rsidR="00025543" w:rsidRDefault="007E3A2F">
            <w:pPr>
              <w:pStyle w:val="P68B1DB1-Normal11"/>
              <w:spacing w:line="240" w:lineRule="auto"/>
              <w:rPr>
                <w:noProof/>
              </w:rPr>
            </w:pPr>
            <w:r>
              <w:rPr>
                <w:noProof/>
              </w:rPr>
              <w:t xml:space="preserve">Mise en service du portail numérique unique fournissant les services aux citoyens et aux entreprises </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696ED8E" w14:textId="77777777" w:rsidR="00025543" w:rsidRDefault="00025543">
            <w:pPr>
              <w:spacing w:line="240" w:lineRule="auto"/>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724273E" w14:textId="77777777" w:rsidR="00025543" w:rsidRDefault="00025543">
            <w:pPr>
              <w:spacing w:line="240" w:lineRule="auto"/>
              <w:jc w:val="center"/>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1025A60" w14:textId="77777777" w:rsidR="00025543" w:rsidRDefault="00025543">
            <w:pPr>
              <w:spacing w:line="240" w:lineRule="auto"/>
              <w:jc w:val="center"/>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02520173" w14:textId="3965E96D" w:rsidR="00025543" w:rsidRDefault="007E3A2F">
            <w:pPr>
              <w:pStyle w:val="P68B1DB1-Normal11"/>
              <w:spacing w:line="240" w:lineRule="auto"/>
              <w:jc w:val="center"/>
              <w:rPr>
                <w:noProof/>
              </w:rPr>
            </w:pPr>
            <w:r>
              <w:rPr>
                <w:noProof/>
              </w:rPr>
              <w:t>TRIMESTRE 4</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F0E53E6" w14:textId="09EEA7C4" w:rsidR="00025543" w:rsidRDefault="007E3A2F">
            <w:pPr>
              <w:pStyle w:val="P68B1DB1-Normal11"/>
              <w:spacing w:line="240" w:lineRule="auto"/>
              <w:jc w:val="center"/>
              <w:rPr>
                <w:noProof/>
              </w:rPr>
            </w:pPr>
            <w:r>
              <w:rPr>
                <w:noProof/>
              </w:rPr>
              <w:t>2023</w:t>
            </w:r>
          </w:p>
        </w:tc>
        <w:tc>
          <w:tcPr>
            <w:tcW w:w="4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03B55E1A" w14:textId="1BB23906" w:rsidR="00025543" w:rsidRDefault="007E3A2F">
            <w:pPr>
              <w:pStyle w:val="P68B1DB1-Normal11"/>
              <w:spacing w:before="0" w:line="240" w:lineRule="auto"/>
              <w:rPr>
                <w:noProof/>
              </w:rPr>
            </w:pPr>
            <w:r>
              <w:rPr>
                <w:noProof/>
              </w:rPr>
              <w:t>Une plateforme unique pour les citoyens et les entreprises permettant au moins: introduction d’une première demande d’admission dans un établissement d’enseignement supérieur public; demande de désignation de la législation applicable conformément au titre II du règlement (CE) no 883/2004 portant sur la coordination des systèmes de sécurité sociale; demande de pension et de préretraite au titre de régimes obligatoires; demande de financement pour l’enseignement supérieur, par exemple sous la forme d’une bourse et d’un prêt d’une autorité ou d’une institution publique.</w:t>
            </w:r>
          </w:p>
        </w:tc>
      </w:tr>
      <w:tr w:rsidR="00025543" w14:paraId="35CC724D" w14:textId="77777777">
        <w:trPr>
          <w:trHeight w:val="573"/>
          <w:jc w:val="center"/>
        </w:trPr>
        <w:tc>
          <w:tcPr>
            <w:tcW w:w="6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5674EDD9" w14:textId="77777777" w:rsidR="00025543" w:rsidRDefault="007E3A2F">
            <w:pPr>
              <w:pStyle w:val="P68B1DB1-Normal11"/>
              <w:spacing w:line="240" w:lineRule="auto"/>
              <w:jc w:val="center"/>
              <w:rPr>
                <w:noProof/>
              </w:rPr>
            </w:pPr>
            <w:r>
              <w:rPr>
                <w:noProof/>
              </w:rPr>
              <w:t>8</w:t>
            </w:r>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5ED582D5" w14:textId="77777777" w:rsidR="00025543" w:rsidRDefault="007E3A2F">
            <w:pPr>
              <w:pStyle w:val="P68B1DB1-Normal11"/>
              <w:spacing w:line="240" w:lineRule="auto"/>
              <w:rPr>
                <w:noProof/>
              </w:rPr>
            </w:pPr>
            <w:r>
              <w:rPr>
                <w:noProof/>
              </w:rPr>
              <w:t>Investissement 1: Services numériques pour les utilisateurs finaux</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40091FE3" w14:textId="77777777" w:rsidR="00025543" w:rsidRDefault="007E3A2F">
            <w:pPr>
              <w:pStyle w:val="P68B1DB1-Normal11"/>
              <w:spacing w:line="240" w:lineRule="auto"/>
              <w:rPr>
                <w:noProof/>
              </w:rPr>
            </w:pPr>
            <w:r>
              <w:rPr>
                <w:noProof/>
              </w:rPr>
              <w:t>Étapes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391920A1" w14:textId="1D07B5D3" w:rsidR="00025543" w:rsidRDefault="007E3A2F">
            <w:pPr>
              <w:pStyle w:val="P68B1DB1-Normal11"/>
              <w:spacing w:line="240" w:lineRule="auto"/>
              <w:rPr>
                <w:noProof/>
              </w:rPr>
            </w:pPr>
            <w:r>
              <w:rPr>
                <w:noProof/>
              </w:rPr>
              <w:t>Achèvement des nouveaux systèmes d’information</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405A02D" w14:textId="4BD72F00" w:rsidR="00025543" w:rsidRDefault="007E3A2F">
            <w:pPr>
              <w:pStyle w:val="P68B1DB1-Normal11"/>
              <w:spacing w:line="240" w:lineRule="auto"/>
              <w:rPr>
                <w:noProof/>
              </w:rPr>
            </w:pPr>
            <w:r>
              <w:rPr>
                <w:noProof/>
              </w:rPr>
              <w:t>Mise à niveau réussie des systèmes existants et mise au point de nouveaux systèmes</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6DE901A" w14:textId="77777777" w:rsidR="00025543" w:rsidRDefault="00025543">
            <w:pPr>
              <w:spacing w:line="240" w:lineRule="auto"/>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34B004D" w14:textId="77777777" w:rsidR="00025543" w:rsidRDefault="00025543">
            <w:pPr>
              <w:spacing w:line="240" w:lineRule="auto"/>
              <w:jc w:val="center"/>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F574F0F" w14:textId="77777777" w:rsidR="00025543" w:rsidRDefault="00025543">
            <w:pPr>
              <w:spacing w:line="240" w:lineRule="auto"/>
              <w:jc w:val="center"/>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380B810" w14:textId="77777777" w:rsidR="00025543" w:rsidRDefault="007E3A2F">
            <w:pPr>
              <w:pStyle w:val="P68B1DB1-Normal11"/>
              <w:spacing w:line="240" w:lineRule="auto"/>
              <w:jc w:val="center"/>
              <w:rPr>
                <w:noProof/>
              </w:rPr>
            </w:pPr>
            <w:r>
              <w:rPr>
                <w:noProof/>
              </w:rPr>
              <w:t>TRIMESTRE 4</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4C21E779" w14:textId="77777777" w:rsidR="00025543" w:rsidRDefault="007E3A2F">
            <w:pPr>
              <w:pStyle w:val="P68B1DB1-Normal11"/>
              <w:spacing w:line="240" w:lineRule="auto"/>
              <w:jc w:val="center"/>
              <w:rPr>
                <w:noProof/>
              </w:rPr>
            </w:pPr>
            <w:r>
              <w:rPr>
                <w:noProof/>
              </w:rPr>
              <w:t>2023</w:t>
            </w:r>
          </w:p>
        </w:tc>
        <w:tc>
          <w:tcPr>
            <w:tcW w:w="4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4BB9E67F" w14:textId="69ADCFCB" w:rsidR="00025543" w:rsidRDefault="007E3A2F">
            <w:pPr>
              <w:pStyle w:val="P68B1DB1-Normal11"/>
              <w:spacing w:line="240" w:lineRule="auto"/>
              <w:jc w:val="both"/>
              <w:rPr>
                <w:noProof/>
              </w:rPr>
            </w:pPr>
            <w:r>
              <w:rPr>
                <w:noProof/>
              </w:rPr>
              <w:t>Achèvement de nouveaux systèmes d’information pour les projets suivants: DIP — Base de données sur les obligations d’information, liste des experts et interprètes médico-légaux, zone client, création d’une autorité d’enregistrement au ministère de l’intérieur.</w:t>
            </w:r>
          </w:p>
        </w:tc>
      </w:tr>
      <w:tr w:rsidR="00025543" w14:paraId="29DC7A59" w14:textId="77777777">
        <w:trPr>
          <w:trHeight w:val="339"/>
          <w:jc w:val="center"/>
        </w:trPr>
        <w:tc>
          <w:tcPr>
            <w:tcW w:w="6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7F49B77B" w14:textId="77777777" w:rsidR="00025543" w:rsidRDefault="007E3A2F">
            <w:pPr>
              <w:pStyle w:val="P68B1DB1-Normal11"/>
              <w:spacing w:line="240" w:lineRule="auto"/>
              <w:jc w:val="center"/>
              <w:rPr>
                <w:noProof/>
              </w:rPr>
            </w:pPr>
            <w:r>
              <w:rPr>
                <w:noProof/>
              </w:rPr>
              <w:t>9</w:t>
            </w:r>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4A10DCC6" w14:textId="77777777" w:rsidR="00025543" w:rsidRDefault="007E3A2F">
            <w:pPr>
              <w:pStyle w:val="P68B1DB1-Normal11"/>
              <w:spacing w:line="240" w:lineRule="auto"/>
              <w:rPr>
                <w:noProof/>
              </w:rPr>
            </w:pPr>
            <w:r>
              <w:rPr>
                <w:noProof/>
              </w:rPr>
              <w:t>Investissement 1: Services numériques pour les utilisateurs finaux</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03F271C6" w14:textId="77777777" w:rsidR="00025543" w:rsidRDefault="007E3A2F">
            <w:pPr>
              <w:pStyle w:val="P68B1DB1-Normal11"/>
              <w:spacing w:line="240" w:lineRule="auto"/>
              <w:rPr>
                <w:noProof/>
              </w:rPr>
            </w:pPr>
            <w:r>
              <w:rPr>
                <w:noProof/>
              </w:rPr>
              <w:t>Étapes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0703643E" w14:textId="77777777" w:rsidR="00025543" w:rsidRDefault="007E3A2F">
            <w:pPr>
              <w:pStyle w:val="P68B1DB1-Normal10"/>
              <w:spacing w:line="240" w:lineRule="auto"/>
              <w:rPr>
                <w:noProof/>
                <w:color w:val="006100"/>
              </w:rPr>
            </w:pPr>
            <w:r>
              <w:rPr>
                <w:noProof/>
                <w:color w:val="006100"/>
              </w:rPr>
              <w:t xml:space="preserve">Fonctionnement complet </w:t>
            </w:r>
            <w:r>
              <w:rPr>
                <w:noProof/>
                <w:color w:val="004300"/>
              </w:rPr>
              <w:t>de 4 tiges sœurs d’information</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2829518D" w14:textId="77777777" w:rsidR="00025543" w:rsidRDefault="007E3A2F">
            <w:pPr>
              <w:pStyle w:val="P68B1DB1-Normal11"/>
              <w:spacing w:line="240" w:lineRule="auto"/>
              <w:rPr>
                <w:noProof/>
              </w:rPr>
            </w:pPr>
            <w:r>
              <w:rPr>
                <w:noProof/>
              </w:rPr>
              <w:t>Mise en service des quatre systèmes d’information développés fournissant des services aux utilisateurs finaux</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42A5C72" w14:textId="77777777" w:rsidR="00025543" w:rsidRDefault="00025543">
            <w:pPr>
              <w:spacing w:line="240" w:lineRule="auto"/>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8297387" w14:textId="77777777" w:rsidR="00025543" w:rsidRDefault="00025543">
            <w:pPr>
              <w:spacing w:line="240" w:lineRule="auto"/>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941F462" w14:textId="77777777" w:rsidR="00025543" w:rsidRDefault="00025543">
            <w:pPr>
              <w:spacing w:line="240" w:lineRule="auto"/>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224934A3" w14:textId="77777777" w:rsidR="00025543" w:rsidRDefault="007E3A2F">
            <w:pPr>
              <w:pStyle w:val="P68B1DB1-Normal11"/>
              <w:spacing w:line="240" w:lineRule="auto"/>
              <w:jc w:val="center"/>
              <w:rPr>
                <w:noProof/>
              </w:rPr>
            </w:pPr>
            <w:r>
              <w:rPr>
                <w:noProof/>
              </w:rPr>
              <w:t>TRIMESTRE 4</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6D750D4E" w14:textId="77777777" w:rsidR="00025543" w:rsidRDefault="007E3A2F">
            <w:pPr>
              <w:pStyle w:val="P68B1DB1-Normal11"/>
              <w:spacing w:line="240" w:lineRule="auto"/>
              <w:jc w:val="center"/>
              <w:rPr>
                <w:noProof/>
              </w:rPr>
            </w:pPr>
            <w:r>
              <w:rPr>
                <w:noProof/>
              </w:rPr>
              <w:t>2024</w:t>
            </w:r>
          </w:p>
        </w:tc>
        <w:tc>
          <w:tcPr>
            <w:tcW w:w="4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3E8C5D1A" w14:textId="2A735AC2" w:rsidR="00025543" w:rsidRDefault="007E3A2F">
            <w:pPr>
              <w:pStyle w:val="P68B1DB1-Normal11"/>
              <w:spacing w:line="259" w:lineRule="auto"/>
              <w:rPr>
                <w:noProof/>
              </w:rPr>
            </w:pPr>
            <w:r>
              <w:rPr>
                <w:noProof/>
              </w:rPr>
              <w:t>Les projets suivants sont achevés: Développement du registre numérique; Portail d’enregistrement unique des contrôles (JePEK); SIS_2 Outils pour la tâche centrale de traitement statistique; le tourisme électronique.</w:t>
            </w:r>
          </w:p>
        </w:tc>
      </w:tr>
      <w:tr w:rsidR="00025543" w14:paraId="7562A58D" w14:textId="77777777">
        <w:trPr>
          <w:trHeight w:val="945"/>
          <w:jc w:val="center"/>
        </w:trPr>
        <w:tc>
          <w:tcPr>
            <w:tcW w:w="6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0A4E8240" w14:textId="77777777" w:rsidR="00025543" w:rsidRDefault="007E3A2F">
            <w:pPr>
              <w:pStyle w:val="P68B1DB1-Normal11"/>
              <w:spacing w:line="259" w:lineRule="auto"/>
              <w:jc w:val="center"/>
              <w:rPr>
                <w:noProof/>
              </w:rPr>
            </w:pPr>
            <w:r>
              <w:rPr>
                <w:noProof/>
              </w:rPr>
              <w:t>10</w:t>
            </w:r>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00E78388" w14:textId="77777777" w:rsidR="00025543" w:rsidRDefault="007E3A2F">
            <w:pPr>
              <w:pStyle w:val="P68B1DB1-Normal11"/>
              <w:spacing w:line="240" w:lineRule="auto"/>
              <w:rPr>
                <w:noProof/>
              </w:rPr>
            </w:pPr>
            <w:r>
              <w:rPr>
                <w:noProof/>
              </w:rPr>
              <w:t>Investissement 1: Services numériques pour les utilisateurs finaux</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4CADA750" w14:textId="77777777" w:rsidR="00025543" w:rsidRDefault="007E3A2F">
            <w:pPr>
              <w:pStyle w:val="P68B1DB1-Normal11"/>
              <w:spacing w:line="240" w:lineRule="auto"/>
              <w:rPr>
                <w:noProof/>
              </w:rPr>
            </w:pPr>
            <w:r>
              <w:rPr>
                <w:noProof/>
              </w:rPr>
              <w:t> Cible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3CF876AA" w14:textId="77777777" w:rsidR="00025543" w:rsidRDefault="007E3A2F">
            <w:pPr>
              <w:pStyle w:val="P68B1DB1-Normal11"/>
              <w:spacing w:line="240" w:lineRule="auto"/>
              <w:rPr>
                <w:noProof/>
              </w:rPr>
            </w:pPr>
            <w:r>
              <w:rPr>
                <w:noProof/>
              </w:rPr>
              <w:t>Achèvement des projets énumérés entraînant une augmentation du nombre de formulaires remplis envoyés par des personnes physiques et morales aux autorités publiques de manière numérique (par l’intermédiaire de portails ou de boîtes aux lettres électroniques)</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22ED2B74" w14:textId="77777777" w:rsidR="00025543" w:rsidRDefault="007E3A2F">
            <w:pPr>
              <w:pStyle w:val="P68B1DB1-Normal11"/>
              <w:spacing w:line="240" w:lineRule="auto"/>
              <w:rPr>
                <w:noProof/>
              </w:rPr>
            </w:pPr>
            <w:r>
              <w:rPr>
                <w:noProof/>
              </w:rPr>
              <w:t> </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7FA8D6DB" w14:textId="77777777" w:rsidR="00025543" w:rsidRDefault="007E3A2F">
            <w:pPr>
              <w:pStyle w:val="P68B1DB1-Normal11"/>
              <w:spacing w:line="240" w:lineRule="auto"/>
              <w:rPr>
                <w:noProof/>
              </w:rPr>
            </w:pPr>
            <w:r>
              <w:rPr>
                <w:noProof/>
              </w:rPr>
              <w:t>Numéro</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0B4787F9" w14:textId="2834E12D" w:rsidR="00025543" w:rsidRDefault="007E3A2F">
            <w:pPr>
              <w:pStyle w:val="P68B1DB1-Normal11"/>
              <w:spacing w:line="240" w:lineRule="auto"/>
              <w:jc w:val="center"/>
              <w:rPr>
                <w:noProof/>
              </w:rPr>
            </w:pPr>
            <w:r>
              <w:rPr>
                <w:b/>
                <w:noProof/>
              </w:rPr>
              <w:t xml:space="preserve"> </w:t>
            </w:r>
            <w:r>
              <w:rPr>
                <w:noProof/>
              </w:rPr>
              <w:t>13 942 722</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52380B09" w14:textId="77777777" w:rsidR="00025543" w:rsidRDefault="007E3A2F">
            <w:pPr>
              <w:pStyle w:val="P68B1DB1-Normal11"/>
              <w:spacing w:line="240" w:lineRule="auto"/>
              <w:jc w:val="center"/>
              <w:rPr>
                <w:noProof/>
              </w:rPr>
            </w:pPr>
            <w:r>
              <w:rPr>
                <w:noProof/>
              </w:rPr>
              <w:t> </w:t>
            </w:r>
          </w:p>
          <w:p w14:paraId="4B0C3F38" w14:textId="0FAF3C04" w:rsidR="00025543" w:rsidRDefault="007E3A2F">
            <w:pPr>
              <w:pStyle w:val="P68B1DB1-Normal11"/>
              <w:spacing w:before="0" w:after="0" w:line="240" w:lineRule="auto"/>
              <w:jc w:val="center"/>
              <w:rPr>
                <w:noProof/>
              </w:rPr>
            </w:pPr>
            <w:r>
              <w:rPr>
                <w:noProof/>
              </w:rPr>
              <w:t>27 885 444</w:t>
            </w:r>
          </w:p>
          <w:p w14:paraId="2FE23737" w14:textId="77777777" w:rsidR="00025543" w:rsidRDefault="00025543">
            <w:pPr>
              <w:spacing w:line="240" w:lineRule="auto"/>
              <w:jc w:val="center"/>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46CF3BA" w14:textId="77777777" w:rsidR="00025543" w:rsidRDefault="007E3A2F">
            <w:pPr>
              <w:pStyle w:val="P68B1DB1-Normal11"/>
              <w:spacing w:line="240" w:lineRule="auto"/>
              <w:jc w:val="center"/>
              <w:rPr>
                <w:noProof/>
              </w:rPr>
            </w:pPr>
            <w:r>
              <w:rPr>
                <w:noProof/>
              </w:rPr>
              <w:t>TRIMESTRE 1 </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32CEE9A2" w14:textId="77777777" w:rsidR="00025543" w:rsidRDefault="007E3A2F">
            <w:pPr>
              <w:pStyle w:val="P68B1DB1-Normal11"/>
              <w:spacing w:line="240" w:lineRule="auto"/>
              <w:jc w:val="center"/>
              <w:rPr>
                <w:noProof/>
              </w:rPr>
            </w:pPr>
            <w:r>
              <w:rPr>
                <w:noProof/>
              </w:rPr>
              <w:t>2026 </w:t>
            </w:r>
          </w:p>
        </w:tc>
        <w:tc>
          <w:tcPr>
            <w:tcW w:w="4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46E5B522" w14:textId="418E2169" w:rsidR="00025543" w:rsidRDefault="007E3A2F">
            <w:pPr>
              <w:pStyle w:val="P68B1DB1-Normal11"/>
              <w:spacing w:line="240" w:lineRule="auto"/>
              <w:rPr>
                <w:noProof/>
              </w:rPr>
            </w:pPr>
            <w:r>
              <w:rPr>
                <w:noProof/>
              </w:rPr>
              <w:t xml:space="preserve">Les mesures entraînent une augmentation de 100 % du nombre de formulaires remplis électroniques soumis par l’intermédiaire de portails et de boîtes aux lettres électroniques sur une période d’un an par rapport à la base de référence de 2019. Cet objectif est atteint par l’achèvement des projets sous-jacents suivants: mise en œuvre des modifications législatives dans le système d’information du cadastre immobilier (ISKN); de nouveaux services numériques pour les petites organisations; Service numérique dans le cadre du système d’information intégré de l’administration tchèque de la sécurité sociale (IIS ČSSZ); Système de filtrage des investissements; Outil électronique national; Journal des marchés publics; Liste des fournisseurs qualifiés; Portail de l’entrepreneur; Portail de l’administration publique 2.0 (portail des citoyens); SIS1_Point unique de collecte — Interface uniforme pour la fourniture de données; Services de systèmes techniques et de systèmes d’information sur les brevets; transmission électronique au service de l’environnement; élaboration de soumissions à l’administration tchèque de la sécurité sociale et lien avec les services numériques vers l’administration publique; poursuite du développement de l’administration tchèque de la sécurité sociale — interface d’information et de communication — solution de portail unifié pour le travail et les affaires sociales et sa connexion du service numérique à l’administration publique; élaboration des nouvelles présentations en ligne pour le ministère </w:t>
            </w:r>
            <w:r>
              <w:rPr>
                <w:noProof/>
                <w:u w:val="single"/>
              </w:rPr>
              <w:t>des affaires étrangères.</w:t>
            </w:r>
          </w:p>
        </w:tc>
      </w:tr>
      <w:tr w:rsidR="00025543" w14:paraId="220D5F87" w14:textId="77777777">
        <w:trPr>
          <w:trHeight w:val="450"/>
          <w:jc w:val="center"/>
        </w:trPr>
        <w:tc>
          <w:tcPr>
            <w:tcW w:w="6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64760802" w14:textId="77777777" w:rsidR="00025543" w:rsidRDefault="007E3A2F">
            <w:pPr>
              <w:pStyle w:val="P68B1DB1-Normal11"/>
              <w:spacing w:line="240" w:lineRule="auto"/>
              <w:jc w:val="center"/>
              <w:rPr>
                <w:noProof/>
              </w:rPr>
            </w:pPr>
            <w:r>
              <w:rPr>
                <w:noProof/>
              </w:rPr>
              <w:t> 11</w:t>
            </w:r>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F1E2340" w14:textId="77777777" w:rsidR="00025543" w:rsidRDefault="007E3A2F">
            <w:pPr>
              <w:pStyle w:val="P68B1DB1-Normal11"/>
              <w:spacing w:line="240" w:lineRule="auto"/>
              <w:rPr>
                <w:noProof/>
              </w:rPr>
            </w:pPr>
            <w:r>
              <w:rPr>
                <w:noProof/>
              </w:rPr>
              <w:t>Investissement 2: Développement de données ouvertes et de données publiques</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623AFEA7" w14:textId="77777777" w:rsidR="00025543" w:rsidRDefault="007E3A2F">
            <w:pPr>
              <w:pStyle w:val="P68B1DB1-Normal11"/>
              <w:spacing w:line="240" w:lineRule="auto"/>
              <w:rPr>
                <w:noProof/>
              </w:rPr>
            </w:pPr>
            <w:r>
              <w:rPr>
                <w:noProof/>
              </w:rPr>
              <w:t> Étapes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0C48338C" w14:textId="77777777" w:rsidR="00025543" w:rsidRDefault="007E3A2F">
            <w:pPr>
              <w:pStyle w:val="P68B1DB1-Normal11"/>
              <w:spacing w:line="240" w:lineRule="auto"/>
              <w:rPr>
                <w:noProof/>
                <w:color w:val="FF0000"/>
              </w:rPr>
            </w:pPr>
            <w:r>
              <w:rPr>
                <w:noProof/>
              </w:rPr>
              <w:t xml:space="preserve">Extension du catalogue national des données ouvertes avec des fonctionnalités avancées </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48EE4465" w14:textId="04A47EE8" w:rsidR="00025543" w:rsidRDefault="007E3A2F">
            <w:pPr>
              <w:pStyle w:val="P68B1DB1-Normal11"/>
              <w:spacing w:line="240" w:lineRule="auto"/>
              <w:rPr>
                <w:noProof/>
              </w:rPr>
            </w:pPr>
            <w:r>
              <w:rPr>
                <w:noProof/>
              </w:rPr>
              <w:t xml:space="preserve">Un catalogue national de données ouvertes pleinement opérationnel, doté de fonctionnalités et de services avancés, </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77C2BBEB" w14:textId="77777777" w:rsidR="00025543" w:rsidRDefault="007E3A2F">
            <w:pPr>
              <w:pStyle w:val="P68B1DB1-Normal11"/>
              <w:spacing w:line="240" w:lineRule="auto"/>
              <w:rPr>
                <w:noProof/>
              </w:rPr>
            </w:pPr>
            <w:r>
              <w:rPr>
                <w:noProof/>
              </w:rPr>
              <w:t> </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04B00F6D" w14:textId="77777777" w:rsidR="00025543" w:rsidRDefault="007E3A2F">
            <w:pPr>
              <w:pStyle w:val="P68B1DB1-Normal11"/>
              <w:spacing w:line="240" w:lineRule="auto"/>
              <w:jc w:val="center"/>
              <w:rPr>
                <w:noProof/>
              </w:rPr>
            </w:pPr>
            <w:r>
              <w:rPr>
                <w:noProof/>
              </w:rPr>
              <w:t> </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714C6F2F" w14:textId="77777777" w:rsidR="00025543" w:rsidRDefault="007E3A2F">
            <w:pPr>
              <w:pStyle w:val="P68B1DB1-Normal11"/>
              <w:spacing w:line="240" w:lineRule="auto"/>
              <w:jc w:val="center"/>
              <w:rPr>
                <w:noProof/>
              </w:rPr>
            </w:pPr>
            <w:r>
              <w:rPr>
                <w:noProof/>
              </w:rPr>
              <w:t> </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C524CD2" w14:textId="77777777" w:rsidR="00025543" w:rsidRDefault="007E3A2F">
            <w:pPr>
              <w:pStyle w:val="P68B1DB1-Normal11"/>
              <w:spacing w:line="240" w:lineRule="auto"/>
              <w:jc w:val="center"/>
              <w:rPr>
                <w:noProof/>
              </w:rPr>
            </w:pPr>
            <w:r>
              <w:rPr>
                <w:noProof/>
              </w:rPr>
              <w:t> TRIMESTRE 4</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C59D9C0" w14:textId="35A541E1" w:rsidR="00025543" w:rsidRDefault="007E3A2F">
            <w:pPr>
              <w:pStyle w:val="P68B1DB1-Normal11"/>
              <w:spacing w:line="240" w:lineRule="auto"/>
              <w:jc w:val="center"/>
              <w:rPr>
                <w:noProof/>
              </w:rPr>
            </w:pPr>
            <w:r>
              <w:rPr>
                <w:noProof/>
              </w:rPr>
              <w:t>2024 </w:t>
            </w:r>
          </w:p>
        </w:tc>
        <w:tc>
          <w:tcPr>
            <w:tcW w:w="4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3E035CD6" w14:textId="1FDD260A" w:rsidR="00025543" w:rsidRDefault="007E3A2F">
            <w:pPr>
              <w:pStyle w:val="P68B1DB1-Normal11"/>
              <w:spacing w:line="259" w:lineRule="auto"/>
              <w:rPr>
                <w:noProof/>
              </w:rPr>
            </w:pPr>
            <w:r>
              <w:rPr>
                <w:noProof/>
              </w:rPr>
              <w:t>Le catalogue national des données ouvertes enregistre et publie en un seul endroit les données et informations ouvertes et publiques provenant de l’ensemble de l’administration publique. Il dispose de fonctionnalités avancées pour la recherche et l’augmentation des données et services catalogés, y compris la publication de listes de codes dans un fonds public de données.</w:t>
            </w:r>
          </w:p>
        </w:tc>
      </w:tr>
      <w:tr w:rsidR="00025543" w14:paraId="17C2CC44" w14:textId="77777777">
        <w:trPr>
          <w:trHeight w:val="287"/>
          <w:jc w:val="center"/>
        </w:trPr>
        <w:tc>
          <w:tcPr>
            <w:tcW w:w="6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76167317" w14:textId="77777777" w:rsidR="00025543" w:rsidRDefault="007E3A2F">
            <w:pPr>
              <w:pStyle w:val="P68B1DB1-Normal11"/>
              <w:spacing w:line="240" w:lineRule="auto"/>
              <w:jc w:val="center"/>
              <w:rPr>
                <w:noProof/>
              </w:rPr>
            </w:pPr>
            <w:r>
              <w:rPr>
                <w:noProof/>
              </w:rPr>
              <w:t> 12</w:t>
            </w:r>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564A2A45" w14:textId="77777777" w:rsidR="00025543" w:rsidRDefault="007E3A2F">
            <w:pPr>
              <w:pStyle w:val="P68B1DB1-Normal11"/>
              <w:spacing w:line="240" w:lineRule="auto"/>
              <w:rPr>
                <w:noProof/>
              </w:rPr>
            </w:pPr>
            <w:r>
              <w:rPr>
                <w:noProof/>
              </w:rPr>
              <w:t>Investissement 2: Développement de données ouvertes et de données publiques</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76448F13" w14:textId="77777777" w:rsidR="00025543" w:rsidRDefault="007E3A2F">
            <w:pPr>
              <w:pStyle w:val="P68B1DB1-Normal11"/>
              <w:spacing w:line="240" w:lineRule="auto"/>
              <w:rPr>
                <w:noProof/>
              </w:rPr>
            </w:pPr>
            <w:r>
              <w:rPr>
                <w:noProof/>
              </w:rPr>
              <w:t> Cible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3F31CF54" w14:textId="77777777" w:rsidR="00025543" w:rsidRDefault="007E3A2F">
            <w:pPr>
              <w:pStyle w:val="P68B1DB1-Normal11"/>
              <w:spacing w:line="240" w:lineRule="auto"/>
              <w:rPr>
                <w:noProof/>
              </w:rPr>
            </w:pPr>
            <w:r>
              <w:rPr>
                <w:noProof/>
              </w:rPr>
              <w:t>Augmentation du nombre de producteurs de données ouvertes dans l’administration publique publiant des données ouvertes dans le catalogue national des données ouvertes</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74EB9411" w14:textId="77777777" w:rsidR="00025543" w:rsidRDefault="007E3A2F">
            <w:pPr>
              <w:pStyle w:val="P68B1DB1-Normal11"/>
              <w:spacing w:line="240" w:lineRule="auto"/>
              <w:rPr>
                <w:noProof/>
              </w:rPr>
            </w:pPr>
            <w:r>
              <w:rPr>
                <w:noProof/>
              </w:rPr>
              <w:t> </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0C9C461E" w14:textId="77777777" w:rsidR="00025543" w:rsidRDefault="007E3A2F">
            <w:pPr>
              <w:pStyle w:val="P68B1DB1-Normal11"/>
              <w:spacing w:line="240" w:lineRule="auto"/>
              <w:rPr>
                <w:noProof/>
              </w:rPr>
            </w:pPr>
            <w:r>
              <w:rPr>
                <w:noProof/>
              </w:rPr>
              <w:t>Nombre de nouvelles entités publiques</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623A9CC7" w14:textId="77777777" w:rsidR="00025543" w:rsidRDefault="007E3A2F">
            <w:pPr>
              <w:pStyle w:val="P68B1DB1-Normal11"/>
              <w:spacing w:line="240" w:lineRule="auto"/>
              <w:jc w:val="center"/>
              <w:rPr>
                <w:noProof/>
              </w:rPr>
            </w:pPr>
            <w:r>
              <w:rPr>
                <w:noProof/>
              </w:rPr>
              <w:t>23 </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7D9D5AC0" w14:textId="77777777" w:rsidR="00025543" w:rsidRDefault="007E3A2F">
            <w:pPr>
              <w:pStyle w:val="P68B1DB1-Normal11"/>
              <w:spacing w:line="240" w:lineRule="auto"/>
              <w:jc w:val="center"/>
              <w:rPr>
                <w:noProof/>
              </w:rPr>
            </w:pPr>
            <w:r>
              <w:rPr>
                <w:noProof/>
              </w:rPr>
              <w:t> 100</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8AF7D80" w14:textId="77777777" w:rsidR="00025543" w:rsidRDefault="007E3A2F">
            <w:pPr>
              <w:pStyle w:val="P68B1DB1-Normal11"/>
              <w:spacing w:line="240" w:lineRule="auto"/>
              <w:jc w:val="center"/>
              <w:rPr>
                <w:noProof/>
              </w:rPr>
            </w:pPr>
            <w:r>
              <w:rPr>
                <w:noProof/>
              </w:rPr>
              <w:t> TRIMESTRE 4</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F6E53D2" w14:textId="0209042F" w:rsidR="00025543" w:rsidRDefault="007E3A2F">
            <w:pPr>
              <w:pStyle w:val="P68B1DB1-Normal11"/>
              <w:spacing w:line="240" w:lineRule="auto"/>
              <w:jc w:val="center"/>
              <w:rPr>
                <w:noProof/>
              </w:rPr>
            </w:pPr>
            <w:r>
              <w:rPr>
                <w:noProof/>
              </w:rPr>
              <w:t> 2022</w:t>
            </w:r>
          </w:p>
        </w:tc>
        <w:tc>
          <w:tcPr>
            <w:tcW w:w="4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66925B3B" w14:textId="2EF23B8B" w:rsidR="00025543" w:rsidRDefault="007E3A2F">
            <w:pPr>
              <w:pStyle w:val="P68B1DB1-Normal11"/>
              <w:spacing w:line="240" w:lineRule="auto"/>
              <w:rPr>
                <w:noProof/>
              </w:rPr>
            </w:pPr>
            <w:r>
              <w:rPr>
                <w:noProof/>
              </w:rPr>
              <w:t>Cet objectif entraînera une augmentation de 77 nouvelles entités publiant des données ouvertes dans l’administration publique.</w:t>
            </w:r>
          </w:p>
        </w:tc>
      </w:tr>
      <w:tr w:rsidR="00025543" w14:paraId="31AF9685" w14:textId="77777777">
        <w:trPr>
          <w:trHeight w:val="287"/>
          <w:jc w:val="center"/>
        </w:trPr>
        <w:tc>
          <w:tcPr>
            <w:tcW w:w="6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E98F479" w14:textId="5C78EC7B" w:rsidR="00025543" w:rsidRDefault="007E3A2F">
            <w:pPr>
              <w:pStyle w:val="P68B1DB1-Normal11"/>
              <w:spacing w:line="240" w:lineRule="auto"/>
              <w:jc w:val="center"/>
              <w:rPr>
                <w:noProof/>
              </w:rPr>
            </w:pPr>
            <w:r>
              <w:rPr>
                <w:noProof/>
              </w:rPr>
              <w:t>245</w:t>
            </w:r>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CE7AFE8" w14:textId="205E127E" w:rsidR="00025543" w:rsidRDefault="007E3A2F">
            <w:pPr>
              <w:pStyle w:val="P68B1DB1-Normal11"/>
              <w:spacing w:line="240" w:lineRule="auto"/>
              <w:rPr>
                <w:noProof/>
              </w:rPr>
            </w:pPr>
            <w:r>
              <w:rPr>
                <w:noProof/>
              </w:rPr>
              <w:t>Investissement 2: Développement de données ouvertes et de données publiques</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F542B20" w14:textId="53F833DB" w:rsidR="00025543" w:rsidRDefault="007E3A2F">
            <w:pPr>
              <w:pStyle w:val="P68B1DB1-Normal11"/>
              <w:spacing w:line="240" w:lineRule="auto"/>
              <w:rPr>
                <w:noProof/>
              </w:rPr>
            </w:pPr>
            <w:r>
              <w:rPr>
                <w:noProof/>
              </w:rPr>
              <w:t>Cible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B074E48" w14:textId="1DE30D61" w:rsidR="00025543" w:rsidRDefault="007E3A2F">
            <w:pPr>
              <w:pStyle w:val="P68B1DB1-Normal11"/>
              <w:spacing w:line="240" w:lineRule="auto"/>
              <w:rPr>
                <w:noProof/>
              </w:rPr>
            </w:pPr>
            <w:r>
              <w:rPr>
                <w:noProof/>
              </w:rPr>
              <w:t xml:space="preserve">Augmentation du nombre d’ensembles de données ouvertes nouveaux ou améliorés publiés dans le catalogue national des données ouvertes </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252EA1D" w14:textId="77777777" w:rsidR="00025543" w:rsidRDefault="00025543">
            <w:pPr>
              <w:spacing w:line="240" w:lineRule="auto"/>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1EC18BA" w14:textId="2A851077" w:rsidR="00025543" w:rsidRDefault="007E3A2F">
            <w:pPr>
              <w:pStyle w:val="P68B1DB1-Normal11"/>
              <w:spacing w:line="240" w:lineRule="auto"/>
              <w:rPr>
                <w:noProof/>
              </w:rPr>
            </w:pPr>
            <w:r>
              <w:rPr>
                <w:noProof/>
              </w:rPr>
              <w:t>Nombre d’ensembles de données</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97D6845" w14:textId="575A2CA4" w:rsidR="00025543" w:rsidRDefault="007E3A2F">
            <w:pPr>
              <w:pStyle w:val="P68B1DB1-Normal11"/>
              <w:spacing w:line="240" w:lineRule="auto"/>
              <w:jc w:val="center"/>
              <w:rPr>
                <w:noProof/>
              </w:rPr>
            </w:pPr>
            <w:r>
              <w:rPr>
                <w:noProof/>
              </w:rPr>
              <w:t>0</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B15EA98" w14:textId="293FEC80" w:rsidR="00025543" w:rsidRDefault="007E3A2F">
            <w:pPr>
              <w:pStyle w:val="P68B1DB1-Normal11"/>
              <w:spacing w:line="240" w:lineRule="auto"/>
              <w:jc w:val="center"/>
              <w:rPr>
                <w:noProof/>
              </w:rPr>
            </w:pPr>
            <w:r>
              <w:rPr>
                <w:noProof/>
              </w:rPr>
              <w:t>125</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2D5A6A8" w14:textId="1460A266" w:rsidR="00025543" w:rsidRDefault="007E3A2F">
            <w:pPr>
              <w:pStyle w:val="P68B1DB1-Normal11"/>
              <w:spacing w:line="240" w:lineRule="auto"/>
              <w:jc w:val="center"/>
              <w:rPr>
                <w:noProof/>
              </w:rPr>
            </w:pPr>
            <w:r>
              <w:rPr>
                <w:noProof/>
              </w:rPr>
              <w:t>TRIMESTRE 4</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96741FE" w14:textId="5A42E9DC" w:rsidR="00025543" w:rsidRDefault="007E3A2F">
            <w:pPr>
              <w:pStyle w:val="P68B1DB1-Normal11"/>
              <w:spacing w:line="240" w:lineRule="auto"/>
              <w:jc w:val="center"/>
              <w:rPr>
                <w:noProof/>
              </w:rPr>
            </w:pPr>
            <w:r>
              <w:rPr>
                <w:noProof/>
              </w:rPr>
              <w:t>2024</w:t>
            </w:r>
          </w:p>
        </w:tc>
        <w:tc>
          <w:tcPr>
            <w:tcW w:w="4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95B6146" w14:textId="105C3F87" w:rsidR="00025543" w:rsidRDefault="007E3A2F">
            <w:pPr>
              <w:pStyle w:val="P68B1DB1-Normal11"/>
              <w:spacing w:line="240" w:lineRule="auto"/>
              <w:rPr>
                <w:noProof/>
              </w:rPr>
            </w:pPr>
            <w:bookmarkStart w:id="2" w:name="_Hlk136249708"/>
            <w:r>
              <w:rPr>
                <w:noProof/>
              </w:rPr>
              <w:t>125 ensembles de données ouvertes nouveaux ou améliorés (listes de codes, données contraignantes, données statistiques) publiés dans le catalogue national des données ouvertes.</w:t>
            </w:r>
            <w:bookmarkEnd w:id="2"/>
          </w:p>
        </w:tc>
      </w:tr>
      <w:tr w:rsidR="00025543" w14:paraId="15E1AE93" w14:textId="77777777">
        <w:trPr>
          <w:trHeight w:val="514"/>
          <w:jc w:val="center"/>
        </w:trPr>
        <w:tc>
          <w:tcPr>
            <w:tcW w:w="6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2722FA69" w14:textId="77777777" w:rsidR="00025543" w:rsidRDefault="007E3A2F">
            <w:pPr>
              <w:pStyle w:val="P68B1DB1-Normal11"/>
              <w:spacing w:line="240" w:lineRule="auto"/>
              <w:jc w:val="center"/>
              <w:rPr>
                <w:noProof/>
              </w:rPr>
            </w:pPr>
            <w:r>
              <w:rPr>
                <w:noProof/>
              </w:rPr>
              <w:t>13</w:t>
            </w:r>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03ED6058" w14:textId="77777777" w:rsidR="00025543" w:rsidRDefault="007E3A2F">
            <w:pPr>
              <w:pStyle w:val="P68B1DB1-Normal11"/>
              <w:spacing w:line="240" w:lineRule="auto"/>
              <w:rPr>
                <w:noProof/>
              </w:rPr>
            </w:pPr>
            <w:r>
              <w:rPr>
                <w:noProof/>
              </w:rPr>
              <w:t>Investissement 3: Service numérique pour la justice</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4495CD69" w14:textId="77777777" w:rsidR="00025543" w:rsidRDefault="007E3A2F">
            <w:pPr>
              <w:pStyle w:val="P68B1DB1-Normal11"/>
              <w:spacing w:line="240" w:lineRule="auto"/>
              <w:rPr>
                <w:noProof/>
              </w:rPr>
            </w:pPr>
            <w:r>
              <w:rPr>
                <w:noProof/>
              </w:rPr>
              <w:t>Étapes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41F60CE3" w14:textId="77777777" w:rsidR="00025543" w:rsidRDefault="007E3A2F">
            <w:pPr>
              <w:pStyle w:val="P68B1DB1-Normal11"/>
              <w:spacing w:before="0" w:line="240" w:lineRule="auto"/>
              <w:rPr>
                <w:noProof/>
              </w:rPr>
            </w:pPr>
            <w:r>
              <w:rPr>
                <w:noProof/>
              </w:rPr>
              <w:t>Déploiement d’une nouvelle plateforme technologique du portail «Justice», qui met des services numériques à la disposition des citoyens et est connectée au portail central des citoyens</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7592ED8" w14:textId="77777777" w:rsidR="00025543" w:rsidRDefault="007E3A2F">
            <w:pPr>
              <w:pStyle w:val="P68B1DB1-Normal11"/>
              <w:spacing w:line="240" w:lineRule="auto"/>
              <w:rPr>
                <w:noProof/>
              </w:rPr>
            </w:pPr>
            <w:r>
              <w:rPr>
                <w:noProof/>
              </w:rPr>
              <w:t>Mise à jour et pleine exploitation du portail «Justice» avec des fonctionnalités étendues</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366C7CB" w14:textId="77777777" w:rsidR="00025543" w:rsidRDefault="00025543">
            <w:pPr>
              <w:spacing w:line="240" w:lineRule="auto"/>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90BA0D9" w14:textId="77777777" w:rsidR="00025543" w:rsidRDefault="00025543">
            <w:pPr>
              <w:spacing w:line="240" w:lineRule="auto"/>
              <w:jc w:val="center"/>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E26601A" w14:textId="77777777" w:rsidR="00025543" w:rsidRDefault="00025543">
            <w:pPr>
              <w:spacing w:line="240" w:lineRule="auto"/>
              <w:jc w:val="center"/>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614192EB" w14:textId="77777777" w:rsidR="00025543" w:rsidRDefault="007E3A2F">
            <w:pPr>
              <w:pStyle w:val="P68B1DB1-Normal11"/>
              <w:spacing w:line="240" w:lineRule="auto"/>
              <w:jc w:val="center"/>
              <w:rPr>
                <w:noProof/>
              </w:rPr>
            </w:pPr>
            <w:r>
              <w:rPr>
                <w:noProof/>
              </w:rPr>
              <w:t>TRIMESTRE 4</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2BAE3A88" w14:textId="77777777" w:rsidR="00025543" w:rsidRDefault="007E3A2F">
            <w:pPr>
              <w:pStyle w:val="P68B1DB1-Normal11"/>
              <w:spacing w:line="240" w:lineRule="auto"/>
              <w:jc w:val="center"/>
              <w:rPr>
                <w:noProof/>
              </w:rPr>
            </w:pPr>
            <w:r>
              <w:rPr>
                <w:noProof/>
              </w:rPr>
              <w:t>2023</w:t>
            </w:r>
          </w:p>
        </w:tc>
        <w:tc>
          <w:tcPr>
            <w:tcW w:w="4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5608423B" w14:textId="7B197257" w:rsidR="00025543" w:rsidRDefault="007E3A2F">
            <w:pPr>
              <w:pStyle w:val="P68B1DB1-Normal11"/>
              <w:spacing w:line="240" w:lineRule="auto"/>
              <w:rPr>
                <w:noProof/>
                <w:highlight w:val="yellow"/>
              </w:rPr>
            </w:pPr>
            <w:r>
              <w:rPr>
                <w:noProof/>
              </w:rPr>
              <w:t xml:space="preserve">La mesure crée un nouveau portail «Justice» connecté au portail des citoyens. Les fonctionnalités et la conception sont définies à la suite d’une évaluation des besoins et d’enquêtes auprès des utilisateurs. La reconception du portail justice.cz sera mise en œuvre en 8 paquets de sites thématiques similaires. Chaque paquet devrait se composer d’une phase d’enquête axée sur les utilisateurs et d’une phase de conception du contenu. </w:t>
            </w:r>
          </w:p>
        </w:tc>
      </w:tr>
      <w:tr w:rsidR="00025543" w14:paraId="497564ED" w14:textId="77777777">
        <w:trPr>
          <w:trHeight w:val="945"/>
          <w:jc w:val="center"/>
        </w:trPr>
        <w:tc>
          <w:tcPr>
            <w:tcW w:w="6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0DF2E86A" w14:textId="77777777" w:rsidR="00025543" w:rsidRDefault="007E3A2F">
            <w:pPr>
              <w:pStyle w:val="P68B1DB1-Normal11"/>
              <w:spacing w:line="240" w:lineRule="auto"/>
              <w:jc w:val="center"/>
              <w:rPr>
                <w:noProof/>
              </w:rPr>
            </w:pPr>
            <w:r>
              <w:rPr>
                <w:noProof/>
              </w:rPr>
              <w:t>14</w:t>
            </w:r>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3ACAE806" w14:textId="77777777" w:rsidR="00025543" w:rsidRDefault="007E3A2F">
            <w:pPr>
              <w:pStyle w:val="P68B1DB1-Normal11"/>
              <w:spacing w:line="240" w:lineRule="auto"/>
              <w:rPr>
                <w:noProof/>
              </w:rPr>
            </w:pPr>
            <w:r>
              <w:rPr>
                <w:noProof/>
              </w:rPr>
              <w:t>Investissement 3: Service numérique pour la justice</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5340CE4" w14:textId="77777777" w:rsidR="00025543" w:rsidRDefault="007E3A2F">
            <w:pPr>
              <w:pStyle w:val="P68B1DB1-Normal11"/>
              <w:spacing w:line="240" w:lineRule="auto"/>
              <w:rPr>
                <w:noProof/>
              </w:rPr>
            </w:pPr>
            <w:r>
              <w:rPr>
                <w:noProof/>
              </w:rPr>
              <w:t>Cible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08DF5116" w14:textId="77777777" w:rsidR="00025543" w:rsidRDefault="007E3A2F">
            <w:pPr>
              <w:pStyle w:val="P68B1DB1-Normal11"/>
              <w:spacing w:before="0" w:line="240" w:lineRule="auto"/>
              <w:rPr>
                <w:noProof/>
              </w:rPr>
            </w:pPr>
            <w:r>
              <w:rPr>
                <w:noProof/>
              </w:rPr>
              <w:t>Équipement de salles d’audience avec enregistreurs de données audiovisuels</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A366CB1" w14:textId="77777777" w:rsidR="00025543" w:rsidRDefault="00025543">
            <w:pPr>
              <w:spacing w:line="240" w:lineRule="auto"/>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4F4A8E1" w14:textId="77777777" w:rsidR="00025543" w:rsidRDefault="007E3A2F">
            <w:pPr>
              <w:pStyle w:val="P68B1DB1-Normal11"/>
              <w:spacing w:line="240" w:lineRule="auto"/>
              <w:rPr>
                <w:noProof/>
              </w:rPr>
            </w:pPr>
            <w:r>
              <w:rPr>
                <w:noProof/>
              </w:rPr>
              <w:t>Nombre de salles d’audience</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08FF8CD8" w14:textId="77777777" w:rsidR="00025543" w:rsidRDefault="007E3A2F">
            <w:pPr>
              <w:pStyle w:val="P68B1DB1-Normal11"/>
              <w:spacing w:line="240" w:lineRule="auto"/>
              <w:jc w:val="center"/>
              <w:rPr>
                <w:noProof/>
              </w:rPr>
            </w:pPr>
            <w:r>
              <w:rPr>
                <w:noProof/>
              </w:rPr>
              <w:t>370</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4ECAEA6C" w14:textId="77777777" w:rsidR="00025543" w:rsidRDefault="007E3A2F">
            <w:pPr>
              <w:pStyle w:val="P68B1DB1-Normal11"/>
              <w:spacing w:line="240" w:lineRule="auto"/>
              <w:jc w:val="center"/>
              <w:rPr>
                <w:noProof/>
              </w:rPr>
            </w:pPr>
            <w:r>
              <w:rPr>
                <w:noProof/>
              </w:rPr>
              <w:t>1100</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599014AA" w14:textId="77777777" w:rsidR="00025543" w:rsidRDefault="007E3A2F">
            <w:pPr>
              <w:pStyle w:val="P68B1DB1-Normal11"/>
              <w:spacing w:line="240" w:lineRule="auto"/>
              <w:jc w:val="center"/>
              <w:rPr>
                <w:noProof/>
              </w:rPr>
            </w:pPr>
            <w:r>
              <w:rPr>
                <w:noProof/>
              </w:rPr>
              <w:t>TRIMESTRE 4</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07759906" w14:textId="77777777" w:rsidR="00025543" w:rsidRDefault="007E3A2F">
            <w:pPr>
              <w:pStyle w:val="P68B1DB1-Normal11"/>
              <w:spacing w:line="240" w:lineRule="auto"/>
              <w:jc w:val="center"/>
              <w:rPr>
                <w:noProof/>
              </w:rPr>
            </w:pPr>
            <w:r>
              <w:rPr>
                <w:noProof/>
              </w:rPr>
              <w:t>2023</w:t>
            </w:r>
          </w:p>
        </w:tc>
        <w:tc>
          <w:tcPr>
            <w:tcW w:w="4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457C37CC" w14:textId="77777777" w:rsidR="00025543" w:rsidRDefault="007E3A2F">
            <w:pPr>
              <w:pStyle w:val="P68B1DB1-Normal11"/>
              <w:spacing w:line="240" w:lineRule="auto"/>
              <w:rPr>
                <w:noProof/>
              </w:rPr>
            </w:pPr>
            <w:r>
              <w:rPr>
                <w:noProof/>
              </w:rPr>
              <w:t>La mesure consiste à acquérir du matériel audiovisuel pour les salles d’audience afin de permettre l’enregistrement numérique des auditions et des procédures en vue d’une plus grande transparence.</w:t>
            </w:r>
          </w:p>
        </w:tc>
      </w:tr>
    </w:tbl>
    <w:p w14:paraId="7CD0AE75" w14:textId="38F8E1B9" w:rsidR="00025543" w:rsidRDefault="00025543">
      <w:pPr>
        <w:rPr>
          <w:noProof/>
        </w:rPr>
      </w:pPr>
    </w:p>
    <w:p w14:paraId="3BA4596A" w14:textId="77777777" w:rsidR="00025543" w:rsidRDefault="00025543">
      <w:pPr>
        <w:pBdr>
          <w:top w:val="nil"/>
          <w:left w:val="nil"/>
          <w:bottom w:val="nil"/>
          <w:right w:val="nil"/>
          <w:between w:val="nil"/>
        </w:pBdr>
        <w:spacing w:line="240" w:lineRule="auto"/>
        <w:rPr>
          <w:b/>
          <w:noProof/>
        </w:rPr>
        <w:sectPr w:rsidR="00025543" w:rsidSect="00FA0A0D">
          <w:headerReference w:type="even" r:id="rId24"/>
          <w:headerReference w:type="default" r:id="rId25"/>
          <w:footerReference w:type="even" r:id="rId26"/>
          <w:footerReference w:type="default" r:id="rId27"/>
          <w:headerReference w:type="first" r:id="rId28"/>
          <w:footerReference w:type="first" r:id="rId29"/>
          <w:pgSz w:w="16839" w:h="11907" w:orient="landscape"/>
          <w:pgMar w:top="1134" w:right="1134" w:bottom="1134" w:left="1134" w:header="567" w:footer="567" w:gutter="0"/>
          <w:cols w:space="720"/>
          <w:docGrid w:linePitch="360"/>
        </w:sectPr>
      </w:pPr>
    </w:p>
    <w:p w14:paraId="45C89E91" w14:textId="3578DD55" w:rsidR="00025543" w:rsidRDefault="007E3A2F">
      <w:pPr>
        <w:pStyle w:val="P68B1DB1-Normal5"/>
        <w:pBdr>
          <w:top w:val="nil"/>
          <w:left w:val="nil"/>
          <w:bottom w:val="nil"/>
          <w:right w:val="nil"/>
          <w:between w:val="nil"/>
        </w:pBdr>
        <w:spacing w:line="240" w:lineRule="auto"/>
        <w:rPr>
          <w:noProof/>
        </w:rPr>
      </w:pPr>
      <w:r>
        <w:rPr>
          <w:noProof/>
        </w:rPr>
        <w:t>A.3. Description des réformes et des investissements en vue du prêt</w:t>
      </w:r>
    </w:p>
    <w:p w14:paraId="3C77F2CC" w14:textId="77777777" w:rsidR="00025543" w:rsidRDefault="007E3A2F">
      <w:pPr>
        <w:pStyle w:val="P68B1DB1-Normal7"/>
        <w:pBdr>
          <w:top w:val="nil"/>
          <w:left w:val="nil"/>
          <w:bottom w:val="nil"/>
          <w:right w:val="nil"/>
          <w:between w:val="nil"/>
        </w:pBdr>
        <w:spacing w:line="240" w:lineRule="auto"/>
        <w:rPr>
          <w:noProof/>
        </w:rPr>
      </w:pPr>
      <w:r>
        <w:rPr>
          <w:noProof/>
        </w:rPr>
        <w:t>Investissement 4: Services numériques pour les utilisateurs finaux dans le domaine social</w:t>
      </w:r>
    </w:p>
    <w:p w14:paraId="60AA58F2" w14:textId="32DAD67F" w:rsidR="00025543" w:rsidRDefault="007E3A2F">
      <w:pPr>
        <w:spacing w:line="240" w:lineRule="auto"/>
        <w:jc w:val="both"/>
        <w:rPr>
          <w:rFonts w:eastAsia="Times New Roman"/>
          <w:noProof/>
        </w:rPr>
      </w:pPr>
      <w:r>
        <w:rPr>
          <w:noProof/>
        </w:rPr>
        <w:t xml:space="preserve">L’investissement consiste en la mise à niveau du portail en libre-service pour le Bureau de l’emploi par la mise en place de la zone client II, en mettant en œuvre de nouvelles fonctionnalités pour les utilisateurs finaux. En particulier, il </w:t>
      </w:r>
      <w:r>
        <w:rPr>
          <w:rFonts w:eastAsia="Times New Roman"/>
          <w:noProof/>
          <w:color w:val="000000" w:themeColor="text1"/>
        </w:rPr>
        <w:t xml:space="preserve">permet de soutenir les demandes d’allocations de logement en ligne, l’échange électronique complet de données avec les utilisateurs finaux ainsi que certains processus dans le programme pour l’emploi. </w:t>
      </w:r>
    </w:p>
    <w:p w14:paraId="3569420B" w14:textId="77777777" w:rsidR="00025543" w:rsidRDefault="007E3A2F">
      <w:pPr>
        <w:spacing w:line="240" w:lineRule="auto"/>
        <w:jc w:val="both"/>
        <w:rPr>
          <w:noProof/>
        </w:rPr>
        <w:sectPr w:rsidR="00025543" w:rsidSect="00FA0A0D">
          <w:headerReference w:type="even" r:id="rId30"/>
          <w:headerReference w:type="default" r:id="rId31"/>
          <w:footerReference w:type="even" r:id="rId32"/>
          <w:footerReference w:type="default" r:id="rId33"/>
          <w:headerReference w:type="first" r:id="rId34"/>
          <w:footerReference w:type="first" r:id="rId35"/>
          <w:pgSz w:w="11907" w:h="16839"/>
          <w:pgMar w:top="1134" w:right="1134" w:bottom="1134" w:left="1134" w:header="567" w:footer="567" w:gutter="0"/>
          <w:cols w:space="720"/>
          <w:docGrid w:linePitch="360"/>
        </w:sectPr>
      </w:pPr>
      <w:r>
        <w:rPr>
          <w:noProof/>
        </w:rPr>
        <w:t>Cet investissement est mis en œuvre au plus tard le 30 juin 2026.</w:t>
      </w:r>
    </w:p>
    <w:p w14:paraId="00AE9D74" w14:textId="1063968A" w:rsidR="00025543" w:rsidRDefault="007E3A2F">
      <w:pPr>
        <w:pStyle w:val="P68B1DB1-Normal8"/>
        <w:pBdr>
          <w:top w:val="nil"/>
          <w:left w:val="nil"/>
          <w:bottom w:val="nil"/>
          <w:right w:val="nil"/>
          <w:between w:val="nil"/>
        </w:pBdr>
        <w:tabs>
          <w:tab w:val="left" w:pos="993"/>
        </w:tabs>
        <w:spacing w:line="240" w:lineRule="auto"/>
        <w:rPr>
          <w:rFonts w:ascii="Calibri" w:hAnsi="Calibri"/>
          <w:noProof/>
          <w:sz w:val="22"/>
        </w:rPr>
      </w:pPr>
      <w:r>
        <w:rPr>
          <w:noProof/>
        </w:rPr>
        <w:t xml:space="preserve">A.4. Jalons, cibles, indicateurs et calendrier de suivi et de mise en œuvre en vue du prêt </w:t>
      </w:r>
    </w:p>
    <w:tbl>
      <w:tblPr>
        <w:tblW w:w="1456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35"/>
        <w:gridCol w:w="1188"/>
        <w:gridCol w:w="1091"/>
        <w:gridCol w:w="1676"/>
        <w:gridCol w:w="1092"/>
        <w:gridCol w:w="990"/>
        <w:gridCol w:w="990"/>
        <w:gridCol w:w="990"/>
        <w:gridCol w:w="990"/>
        <w:gridCol w:w="990"/>
        <w:gridCol w:w="3932"/>
      </w:tblGrid>
      <w:tr w:rsidR="00025543" w14:paraId="0C2F377E" w14:textId="77777777">
        <w:trPr>
          <w:trHeight w:val="331"/>
          <w:tblHeader/>
          <w:jc w:val="center"/>
        </w:trPr>
        <w:tc>
          <w:tcPr>
            <w:tcW w:w="682" w:type="dxa"/>
            <w:vMerge w:val="restart"/>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BDD7EE"/>
            <w:vAlign w:val="center"/>
            <w:hideMark/>
          </w:tcPr>
          <w:p w14:paraId="45DB261C" w14:textId="77777777" w:rsidR="00025543" w:rsidRDefault="007E3A2F">
            <w:pPr>
              <w:pStyle w:val="P68B1DB1-Normal9"/>
              <w:spacing w:line="240" w:lineRule="auto"/>
              <w:jc w:val="center"/>
              <w:rPr>
                <w:noProof/>
              </w:rPr>
            </w:pPr>
            <w:r>
              <w:rPr>
                <w:noProof/>
              </w:rPr>
              <w:t>Séquence NUM.</w:t>
            </w:r>
          </w:p>
        </w:tc>
        <w:tc>
          <w:tcPr>
            <w:tcW w:w="1300" w:type="dxa"/>
            <w:vMerge w:val="restart"/>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BDD7EE"/>
            <w:vAlign w:val="center"/>
            <w:hideMark/>
          </w:tcPr>
          <w:p w14:paraId="0351D825" w14:textId="77777777" w:rsidR="00025543" w:rsidRDefault="007E3A2F">
            <w:pPr>
              <w:pStyle w:val="P68B1DB1-Normal9"/>
              <w:spacing w:line="240" w:lineRule="auto"/>
              <w:jc w:val="center"/>
              <w:rPr>
                <w:noProof/>
              </w:rPr>
            </w:pPr>
            <w:r>
              <w:rPr>
                <w:noProof/>
              </w:rPr>
              <w:t xml:space="preserve">Mesure connexe (réforme ou investissement) </w:t>
            </w:r>
          </w:p>
        </w:tc>
        <w:tc>
          <w:tcPr>
            <w:tcW w:w="1191" w:type="dxa"/>
            <w:vMerge w:val="restart"/>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BDD7EE"/>
            <w:vAlign w:val="center"/>
            <w:hideMark/>
          </w:tcPr>
          <w:p w14:paraId="75DDA575" w14:textId="77777777" w:rsidR="00025543" w:rsidRDefault="007E3A2F">
            <w:pPr>
              <w:pStyle w:val="P68B1DB1-Normal9"/>
              <w:spacing w:line="240" w:lineRule="auto"/>
              <w:jc w:val="center"/>
              <w:rPr>
                <w:noProof/>
              </w:rPr>
            </w:pPr>
            <w:r>
              <w:rPr>
                <w:noProof/>
              </w:rPr>
              <w:t xml:space="preserve">Jalon/cible </w:t>
            </w:r>
          </w:p>
        </w:tc>
        <w:tc>
          <w:tcPr>
            <w:tcW w:w="1843" w:type="dxa"/>
            <w:vMerge w:val="restart"/>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BDD7EE"/>
            <w:vAlign w:val="center"/>
            <w:hideMark/>
          </w:tcPr>
          <w:p w14:paraId="5321652D" w14:textId="77777777" w:rsidR="00025543" w:rsidRDefault="007E3A2F">
            <w:pPr>
              <w:pStyle w:val="P68B1DB1-Normal9"/>
              <w:spacing w:line="240" w:lineRule="auto"/>
              <w:jc w:val="center"/>
              <w:rPr>
                <w:noProof/>
              </w:rPr>
            </w:pPr>
            <w:r>
              <w:rPr>
                <w:noProof/>
              </w:rPr>
              <w:t xml:space="preserve">Nom </w:t>
            </w:r>
          </w:p>
        </w:tc>
        <w:tc>
          <w:tcPr>
            <w:tcW w:w="1191" w:type="dxa"/>
            <w:vMerge w:val="restart"/>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BDD7EE"/>
            <w:vAlign w:val="center"/>
            <w:hideMark/>
          </w:tcPr>
          <w:p w14:paraId="433360DD" w14:textId="77777777" w:rsidR="00025543" w:rsidRDefault="007E3A2F">
            <w:pPr>
              <w:pStyle w:val="P68B1DB1-Normal10"/>
              <w:spacing w:line="240" w:lineRule="auto"/>
              <w:jc w:val="center"/>
              <w:rPr>
                <w:noProof/>
              </w:rPr>
            </w:pPr>
            <w:r>
              <w:rPr>
                <w:b/>
                <w:noProof/>
              </w:rPr>
              <w:t>Qualitatifs</w:t>
            </w:r>
            <w:r>
              <w:rPr>
                <w:noProof/>
              </w:rPr>
              <w:br/>
            </w:r>
            <w:r>
              <w:rPr>
                <w:b/>
                <w:noProof/>
              </w:rPr>
              <w:t xml:space="preserve"> (pour les jalons)</w:t>
            </w:r>
          </w:p>
        </w:tc>
        <w:tc>
          <w:tcPr>
            <w:tcW w:w="107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vAlign w:val="center"/>
            <w:hideMark/>
          </w:tcPr>
          <w:p w14:paraId="2517DF3F" w14:textId="77777777" w:rsidR="00025543" w:rsidRDefault="007E3A2F">
            <w:pPr>
              <w:pStyle w:val="P68B1DB1-Normal10"/>
              <w:spacing w:line="240" w:lineRule="auto"/>
              <w:jc w:val="center"/>
              <w:rPr>
                <w:noProof/>
              </w:rPr>
            </w:pPr>
            <w:r>
              <w:rPr>
                <w:b/>
                <w:noProof/>
              </w:rPr>
              <w:t>Indicateurs quantitatifs</w:t>
            </w:r>
            <w:r>
              <w:rPr>
                <w:noProof/>
              </w:rPr>
              <w:br/>
            </w:r>
            <w:r>
              <w:rPr>
                <w:b/>
                <w:noProof/>
              </w:rPr>
              <w:t xml:space="preserve"> (pour les objectifs)</w:t>
            </w:r>
          </w:p>
        </w:tc>
        <w:tc>
          <w:tcPr>
            <w:tcW w:w="1077" w:type="dxa"/>
            <w:gridSpan w:val="2"/>
            <w:tcBorders>
              <w:top w:val="single" w:sz="8" w:space="0" w:color="000000" w:themeColor="text1"/>
              <w:left w:val="nil"/>
              <w:bottom w:val="single" w:sz="8" w:space="0" w:color="000000" w:themeColor="text1"/>
              <w:right w:val="single" w:sz="8" w:space="0" w:color="000000" w:themeColor="text1"/>
            </w:tcBorders>
            <w:shd w:val="clear" w:color="auto" w:fill="BDD7EE"/>
            <w:vAlign w:val="center"/>
            <w:hideMark/>
          </w:tcPr>
          <w:p w14:paraId="1FDC2903" w14:textId="77777777" w:rsidR="00025543" w:rsidRDefault="007E3A2F">
            <w:pPr>
              <w:pStyle w:val="P68B1DB1-Normal9"/>
              <w:spacing w:line="240" w:lineRule="auto"/>
              <w:jc w:val="center"/>
              <w:rPr>
                <w:noProof/>
              </w:rPr>
            </w:pPr>
            <w:r>
              <w:rPr>
                <w:noProof/>
              </w:rPr>
              <w:t xml:space="preserve">Calendrier indicatif de réalisation </w:t>
            </w:r>
          </w:p>
        </w:tc>
        <w:tc>
          <w:tcPr>
            <w:tcW w:w="4361" w:type="dxa"/>
            <w:vMerge w:val="restart"/>
            <w:tcBorders>
              <w:top w:val="single" w:sz="8" w:space="0" w:color="000000" w:themeColor="text1"/>
              <w:left w:val="nil"/>
              <w:bottom w:val="single" w:sz="4" w:space="0" w:color="000000" w:themeColor="text1"/>
              <w:right w:val="single" w:sz="8" w:space="0" w:color="000000" w:themeColor="text1"/>
            </w:tcBorders>
            <w:shd w:val="clear" w:color="auto" w:fill="BDD7EE"/>
            <w:vAlign w:val="center"/>
            <w:hideMark/>
          </w:tcPr>
          <w:p w14:paraId="5C1E299C" w14:textId="77777777" w:rsidR="00025543" w:rsidRDefault="007E3A2F">
            <w:pPr>
              <w:pStyle w:val="P68B1DB1-Normal9"/>
              <w:spacing w:line="240" w:lineRule="auto"/>
              <w:jc w:val="center"/>
              <w:rPr>
                <w:noProof/>
              </w:rPr>
            </w:pPr>
            <w:r>
              <w:rPr>
                <w:noProof/>
              </w:rPr>
              <w:t>Description et définition claire de chaque jalon et cible</w:t>
            </w:r>
          </w:p>
        </w:tc>
      </w:tr>
      <w:tr w:rsidR="00025543" w14:paraId="1564244F" w14:textId="77777777">
        <w:trPr>
          <w:trHeight w:val="416"/>
          <w:tblHeader/>
          <w:jc w:val="center"/>
        </w:trPr>
        <w:tc>
          <w:tcPr>
            <w:tcW w:w="682" w:type="dxa"/>
            <w:vMerge/>
            <w:vAlign w:val="center"/>
            <w:hideMark/>
          </w:tcPr>
          <w:p w14:paraId="0A708CE2" w14:textId="77777777" w:rsidR="00025543" w:rsidRDefault="00025543">
            <w:pPr>
              <w:spacing w:before="0" w:after="0" w:line="240" w:lineRule="auto"/>
              <w:rPr>
                <w:rFonts w:eastAsia="Times New Roman"/>
                <w:noProof/>
                <w:sz w:val="18"/>
              </w:rPr>
            </w:pPr>
          </w:p>
        </w:tc>
        <w:tc>
          <w:tcPr>
            <w:tcW w:w="1300" w:type="dxa"/>
            <w:vMerge/>
            <w:vAlign w:val="center"/>
            <w:hideMark/>
          </w:tcPr>
          <w:p w14:paraId="1AD95EBE" w14:textId="77777777" w:rsidR="00025543" w:rsidRDefault="00025543">
            <w:pPr>
              <w:spacing w:before="0" w:after="0" w:line="240" w:lineRule="auto"/>
              <w:rPr>
                <w:rFonts w:eastAsia="Times New Roman"/>
                <w:noProof/>
                <w:sz w:val="18"/>
              </w:rPr>
            </w:pPr>
          </w:p>
        </w:tc>
        <w:tc>
          <w:tcPr>
            <w:tcW w:w="1191" w:type="dxa"/>
            <w:vMerge/>
            <w:vAlign w:val="center"/>
            <w:hideMark/>
          </w:tcPr>
          <w:p w14:paraId="2014720C" w14:textId="77777777" w:rsidR="00025543" w:rsidRDefault="00025543">
            <w:pPr>
              <w:spacing w:before="0" w:after="0" w:line="240" w:lineRule="auto"/>
              <w:rPr>
                <w:rFonts w:eastAsia="Times New Roman"/>
                <w:noProof/>
                <w:sz w:val="18"/>
              </w:rPr>
            </w:pPr>
          </w:p>
        </w:tc>
        <w:tc>
          <w:tcPr>
            <w:tcW w:w="1843" w:type="dxa"/>
            <w:vMerge/>
            <w:vAlign w:val="center"/>
            <w:hideMark/>
          </w:tcPr>
          <w:p w14:paraId="4B67F3BA" w14:textId="77777777" w:rsidR="00025543" w:rsidRDefault="00025543">
            <w:pPr>
              <w:spacing w:before="0" w:after="0" w:line="240" w:lineRule="auto"/>
              <w:rPr>
                <w:rFonts w:eastAsia="Times New Roman"/>
                <w:noProof/>
                <w:sz w:val="18"/>
              </w:rPr>
            </w:pPr>
          </w:p>
        </w:tc>
        <w:tc>
          <w:tcPr>
            <w:tcW w:w="1191" w:type="dxa"/>
            <w:vMerge/>
            <w:vAlign w:val="center"/>
            <w:hideMark/>
          </w:tcPr>
          <w:p w14:paraId="6DFDF757" w14:textId="77777777" w:rsidR="00025543" w:rsidRDefault="00025543">
            <w:pPr>
              <w:spacing w:before="0" w:after="0" w:line="240" w:lineRule="auto"/>
              <w:rPr>
                <w:rFonts w:eastAsia="Times New Roman"/>
                <w:noProof/>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vAlign w:val="center"/>
            <w:hideMark/>
          </w:tcPr>
          <w:p w14:paraId="4306BD77" w14:textId="77777777" w:rsidR="00025543" w:rsidRDefault="007E3A2F">
            <w:pPr>
              <w:pStyle w:val="P68B1DB1-Normal9"/>
              <w:spacing w:line="240" w:lineRule="auto"/>
              <w:jc w:val="center"/>
              <w:rPr>
                <w:noProof/>
              </w:rPr>
            </w:pPr>
            <w:r>
              <w:rPr>
                <w:noProof/>
              </w:rPr>
              <w:t>Unité de mesure</w:t>
            </w:r>
          </w:p>
        </w:tc>
        <w:tc>
          <w:tcPr>
            <w:tcW w:w="1077"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hideMark/>
          </w:tcPr>
          <w:p w14:paraId="749F579E" w14:textId="77777777" w:rsidR="00025543" w:rsidRDefault="007E3A2F">
            <w:pPr>
              <w:pStyle w:val="P68B1DB1-Normal9"/>
              <w:spacing w:line="240" w:lineRule="auto"/>
              <w:jc w:val="center"/>
              <w:rPr>
                <w:noProof/>
              </w:rPr>
            </w:pPr>
            <w:r>
              <w:rPr>
                <w:noProof/>
              </w:rPr>
              <w:t>Scénario de référence</w:t>
            </w:r>
          </w:p>
        </w:tc>
        <w:tc>
          <w:tcPr>
            <w:tcW w:w="1077"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hideMark/>
          </w:tcPr>
          <w:p w14:paraId="1FF13CFD" w14:textId="77777777" w:rsidR="00025543" w:rsidRDefault="007E3A2F">
            <w:pPr>
              <w:pStyle w:val="P68B1DB1-Normal9"/>
              <w:spacing w:line="240" w:lineRule="auto"/>
              <w:jc w:val="center"/>
              <w:rPr>
                <w:noProof/>
              </w:rPr>
            </w:pPr>
            <w:r>
              <w:rPr>
                <w:noProof/>
              </w:rPr>
              <w:t>Objectif</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vAlign w:val="center"/>
            <w:hideMark/>
          </w:tcPr>
          <w:p w14:paraId="04BD81AB" w14:textId="77777777" w:rsidR="00025543" w:rsidRDefault="007E3A2F">
            <w:pPr>
              <w:pStyle w:val="P68B1DB1-Normal9"/>
              <w:spacing w:line="240" w:lineRule="auto"/>
              <w:jc w:val="center"/>
              <w:rPr>
                <w:noProof/>
              </w:rPr>
            </w:pPr>
            <w:r>
              <w:rPr>
                <w:noProof/>
              </w:rPr>
              <w:t>Trimestre</w:t>
            </w:r>
          </w:p>
        </w:tc>
        <w:tc>
          <w:tcPr>
            <w:tcW w:w="1077"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hideMark/>
          </w:tcPr>
          <w:p w14:paraId="752422BB" w14:textId="77777777" w:rsidR="00025543" w:rsidRDefault="007E3A2F">
            <w:pPr>
              <w:pStyle w:val="P68B1DB1-Normal9"/>
              <w:spacing w:line="240" w:lineRule="auto"/>
              <w:jc w:val="center"/>
              <w:rPr>
                <w:noProof/>
              </w:rPr>
            </w:pPr>
            <w:r>
              <w:rPr>
                <w:noProof/>
              </w:rPr>
              <w:t>Année</w:t>
            </w:r>
          </w:p>
        </w:tc>
        <w:tc>
          <w:tcPr>
            <w:tcW w:w="4361" w:type="dxa"/>
            <w:vMerge/>
            <w:vAlign w:val="center"/>
            <w:hideMark/>
          </w:tcPr>
          <w:p w14:paraId="0655672F" w14:textId="77777777" w:rsidR="00025543" w:rsidRDefault="00025543">
            <w:pPr>
              <w:spacing w:before="0" w:after="0" w:line="240" w:lineRule="auto"/>
              <w:rPr>
                <w:rFonts w:eastAsia="Times New Roman"/>
                <w:noProof/>
                <w:sz w:val="18"/>
              </w:rPr>
            </w:pPr>
          </w:p>
        </w:tc>
      </w:tr>
      <w:tr w:rsidR="00025543" w14:paraId="0AA1BBE4" w14:textId="77777777">
        <w:trPr>
          <w:trHeight w:val="945"/>
          <w:jc w:val="center"/>
        </w:trPr>
        <w:tc>
          <w:tcPr>
            <w:tcW w:w="6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3DD1A0F3" w14:textId="686E0446" w:rsidR="00025543" w:rsidRDefault="007E3A2F">
            <w:pPr>
              <w:pStyle w:val="P68B1DB1-Normal11"/>
              <w:spacing w:line="240" w:lineRule="auto"/>
              <w:jc w:val="center"/>
              <w:rPr>
                <w:noProof/>
              </w:rPr>
            </w:pPr>
            <w:r>
              <w:rPr>
                <w:noProof/>
              </w:rPr>
              <w:t>246</w:t>
            </w:r>
          </w:p>
        </w:tc>
        <w:tc>
          <w:tcPr>
            <w:tcW w:w="13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2E18513C" w14:textId="661765D1" w:rsidR="00025543" w:rsidRDefault="007E3A2F">
            <w:pPr>
              <w:pStyle w:val="P68B1DB1-Normal11"/>
              <w:spacing w:line="240" w:lineRule="auto"/>
              <w:rPr>
                <w:noProof/>
              </w:rPr>
            </w:pPr>
            <w:r>
              <w:rPr>
                <w:noProof/>
              </w:rPr>
              <w:t>Investissement 4: Services numériques pour les utilisateurs finaux dans le domaine social </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75F14528" w14:textId="77777777" w:rsidR="00025543" w:rsidRDefault="007E3A2F">
            <w:pPr>
              <w:pStyle w:val="P68B1DB1-Normal11"/>
              <w:spacing w:line="240" w:lineRule="auto"/>
              <w:rPr>
                <w:noProof/>
              </w:rPr>
            </w:pPr>
            <w:r>
              <w:rPr>
                <w:noProof/>
              </w:rPr>
              <w:t>Étapes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43F711FB" w14:textId="59F23959" w:rsidR="00025543" w:rsidRDefault="007E3A2F">
            <w:pPr>
              <w:spacing w:line="240" w:lineRule="auto"/>
              <w:rPr>
                <w:rFonts w:eastAsia="Times New Roman"/>
                <w:noProof/>
                <w:color w:val="006100"/>
                <w:sz w:val="18"/>
              </w:rPr>
            </w:pPr>
            <w:r>
              <w:rPr>
                <w:rStyle w:val="normaltextrun"/>
                <w:noProof/>
                <w:color w:val="006100"/>
                <w:sz w:val="18"/>
              </w:rPr>
              <w:t>Portail en libre-service modernisé pour l’Office du travail — Client zone II </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7879AD29" w14:textId="38069BF1" w:rsidR="00025543" w:rsidRDefault="007E3A2F">
            <w:pPr>
              <w:spacing w:line="240" w:lineRule="auto"/>
              <w:rPr>
                <w:rStyle w:val="eop"/>
                <w:noProof/>
                <w:color w:val="006100"/>
                <w:sz w:val="18"/>
              </w:rPr>
            </w:pPr>
            <w:r>
              <w:rPr>
                <w:rStyle w:val="normaltextrun"/>
                <w:noProof/>
                <w:color w:val="006100"/>
                <w:sz w:val="18"/>
              </w:rPr>
              <w:t>Mise en service du portail en libre-service mis à niveau pour l’Office du travail</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EF4FC12" w14:textId="77777777" w:rsidR="00025543" w:rsidRDefault="00025543">
            <w:pPr>
              <w:spacing w:line="240" w:lineRule="auto"/>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7773A3F" w14:textId="77777777" w:rsidR="00025543" w:rsidRDefault="00025543">
            <w:pPr>
              <w:spacing w:line="240" w:lineRule="auto"/>
              <w:jc w:val="center"/>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4025888" w14:textId="77777777" w:rsidR="00025543" w:rsidRDefault="00025543">
            <w:pPr>
              <w:spacing w:line="240" w:lineRule="auto"/>
              <w:jc w:val="center"/>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290B247C" w14:textId="693F42C6" w:rsidR="00025543" w:rsidRDefault="007E3A2F">
            <w:pPr>
              <w:pStyle w:val="P68B1DB1-Normal11"/>
              <w:spacing w:line="240" w:lineRule="auto"/>
              <w:jc w:val="center"/>
              <w:rPr>
                <w:noProof/>
              </w:rPr>
            </w:pPr>
            <w:r>
              <w:rPr>
                <w:noProof/>
              </w:rPr>
              <w:t>TRIMESTRE 2</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2B83830A" w14:textId="0B047792" w:rsidR="00025543" w:rsidRDefault="007E3A2F">
            <w:pPr>
              <w:pStyle w:val="P68B1DB1-Normal11"/>
              <w:spacing w:line="240" w:lineRule="auto"/>
              <w:jc w:val="center"/>
              <w:rPr>
                <w:noProof/>
              </w:rPr>
            </w:pPr>
            <w:r>
              <w:rPr>
                <w:noProof/>
              </w:rPr>
              <w:t>2026</w:t>
            </w:r>
          </w:p>
        </w:tc>
        <w:tc>
          <w:tcPr>
            <w:tcW w:w="43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93B928A" w14:textId="709931EF" w:rsidR="00025543" w:rsidRDefault="007E3A2F">
            <w:pPr>
              <w:spacing w:before="0" w:line="240" w:lineRule="auto"/>
              <w:rPr>
                <w:rFonts w:eastAsia="Times New Roman"/>
                <w:noProof/>
                <w:color w:val="006100"/>
                <w:sz w:val="18"/>
              </w:rPr>
            </w:pPr>
            <w:r>
              <w:rPr>
                <w:rFonts w:eastAsia="Times New Roman"/>
                <w:noProof/>
                <w:color w:val="006100"/>
                <w:sz w:val="18"/>
              </w:rPr>
              <w:t xml:space="preserve">Le </w:t>
            </w:r>
            <w:r>
              <w:rPr>
                <w:rStyle w:val="normaltextrun"/>
                <w:noProof/>
                <w:color w:val="006100"/>
                <w:sz w:val="18"/>
              </w:rPr>
              <w:t xml:space="preserve"> portail en libre-service mis à jour pour l’Office du travail</w:t>
            </w:r>
            <w:r>
              <w:rPr>
                <w:rFonts w:eastAsia="Times New Roman"/>
                <w:noProof/>
                <w:color w:val="006100"/>
                <w:sz w:val="18"/>
              </w:rPr>
              <w:t xml:space="preserve"> est opérationnel et prend en charge les fonctionnalités suivantes: </w:t>
            </w:r>
          </w:p>
          <w:p w14:paraId="1D716E29" w14:textId="0483728D" w:rsidR="00025543" w:rsidRDefault="007E3A2F">
            <w:pPr>
              <w:pStyle w:val="P68B1DB1-Normal11"/>
              <w:spacing w:before="0" w:line="240" w:lineRule="auto"/>
              <w:rPr>
                <w:noProof/>
              </w:rPr>
            </w:pPr>
            <w:r>
              <w:rPr>
                <w:noProof/>
              </w:rPr>
              <w:t>— Demande en ligne d’allocations de logement, </w:t>
            </w:r>
          </w:p>
          <w:p w14:paraId="239BCCF3" w14:textId="0483728D" w:rsidR="00025543" w:rsidRDefault="007E3A2F">
            <w:pPr>
              <w:pStyle w:val="P68B1DB1-Normal11"/>
              <w:spacing w:before="0" w:line="240" w:lineRule="auto"/>
              <w:rPr>
                <w:noProof/>
              </w:rPr>
            </w:pPr>
            <w:r>
              <w:rPr>
                <w:noProof/>
              </w:rPr>
              <w:t>— Échange électronique complet de données avec les utilisateurs finaux, </w:t>
            </w:r>
          </w:p>
          <w:p w14:paraId="6F46CFE0" w14:textId="0483728D" w:rsidR="00025543" w:rsidRDefault="007E3A2F">
            <w:pPr>
              <w:pStyle w:val="P68B1DB1-Normal11"/>
              <w:spacing w:before="0" w:line="240" w:lineRule="auto"/>
              <w:rPr>
                <w:noProof/>
              </w:rPr>
            </w:pPr>
            <w:r>
              <w:rPr>
                <w:noProof/>
              </w:rPr>
              <w:t>— Des processus sélectionnés dans le programme pour l’emploi. </w:t>
            </w:r>
          </w:p>
        </w:tc>
      </w:tr>
    </w:tbl>
    <w:p w14:paraId="37ADAD71" w14:textId="5D14D894" w:rsidR="00025543" w:rsidRDefault="00025543">
      <w:pPr>
        <w:spacing w:before="0" w:after="0" w:line="240" w:lineRule="auto"/>
        <w:rPr>
          <w:b/>
          <w:noProof/>
          <w:u w:val="single"/>
        </w:rPr>
        <w:sectPr w:rsidR="00025543" w:rsidSect="00FA0A0D">
          <w:headerReference w:type="even" r:id="rId36"/>
          <w:headerReference w:type="default" r:id="rId37"/>
          <w:footerReference w:type="even" r:id="rId38"/>
          <w:footerReference w:type="default" r:id="rId39"/>
          <w:headerReference w:type="first" r:id="rId40"/>
          <w:footerReference w:type="first" r:id="rId41"/>
          <w:pgSz w:w="16839" w:h="11907" w:orient="landscape"/>
          <w:pgMar w:top="1134" w:right="1134" w:bottom="1134" w:left="1134" w:header="567" w:footer="567" w:gutter="0"/>
          <w:cols w:space="720"/>
          <w:docGrid w:linePitch="360"/>
        </w:sectPr>
      </w:pPr>
    </w:p>
    <w:p w14:paraId="1CE39D9F" w14:textId="77777777" w:rsidR="00025543" w:rsidRDefault="007E3A2F">
      <w:pPr>
        <w:pStyle w:val="P68B1DB1-Normal2"/>
        <w:keepNext/>
        <w:tabs>
          <w:tab w:val="left" w:pos="850"/>
        </w:tabs>
        <w:spacing w:before="360" w:line="240" w:lineRule="auto"/>
        <w:jc w:val="both"/>
        <w:outlineLvl w:val="0"/>
        <w:rPr>
          <w:noProof/>
        </w:rPr>
      </w:pPr>
      <w:r>
        <w:rPr>
          <w:noProof/>
        </w:rPr>
        <w:t>B. VOLET 1.2: Systèmes d’administration publique numérique</w:t>
      </w:r>
    </w:p>
    <w:p w14:paraId="6322A0DF" w14:textId="77777777" w:rsidR="00025543" w:rsidRDefault="007E3A2F">
      <w:pPr>
        <w:spacing w:line="240" w:lineRule="auto"/>
        <w:jc w:val="both"/>
        <w:rPr>
          <w:noProof/>
        </w:rPr>
      </w:pPr>
      <w:r>
        <w:rPr>
          <w:noProof/>
        </w:rPr>
        <w:t>Ce volet du plan pour la reprise et la résilience de la République tchèque vise à relever le défi de l’intensification de la transformation numérique dans l’administration publique tchèque et de la promotion de la collaboration et des échanges entre les institutions publiques.</w:t>
      </w:r>
    </w:p>
    <w:p w14:paraId="4282691F" w14:textId="77777777" w:rsidR="00025543" w:rsidRDefault="007E3A2F">
      <w:pPr>
        <w:spacing w:line="240" w:lineRule="auto"/>
        <w:jc w:val="both"/>
        <w:rPr>
          <w:noProof/>
          <w:color w:val="000000"/>
        </w:rPr>
      </w:pPr>
      <w:r>
        <w:rPr>
          <w:noProof/>
          <w:color w:val="000000"/>
        </w:rPr>
        <w:t xml:space="preserve">Il vise à assurer le développement d’un réservoir de données interconnecté des systèmes informatiques de l’administration publique, en soutenant et en rendant possible la composante 1.1, qui soutient le développement des services d’administration en ligne fournis aux utilisateurs finaux. Ce volet met au point des </w:t>
      </w:r>
      <w:r>
        <w:rPr>
          <w:noProof/>
        </w:rPr>
        <w:t xml:space="preserve"> </w:t>
      </w:r>
      <w:r>
        <w:rPr>
          <w:noProof/>
          <w:color w:val="000000"/>
        </w:rPr>
        <w:t xml:space="preserve">registres de base, y compris des registres de santé, et connecte les bases de données de l’administration publique et les systèmes informatiques pertinents afin de réduire </w:t>
      </w:r>
      <w:r>
        <w:rPr>
          <w:noProof/>
        </w:rPr>
        <w:t xml:space="preserve">la </w:t>
      </w:r>
      <w:r>
        <w:rPr>
          <w:noProof/>
          <w:color w:val="000000"/>
        </w:rPr>
        <w:t xml:space="preserve">complexité des procédures pour les entreprises et les citoyens et de garantir un partage sécurisé des données au sein de l’administration publique. </w:t>
      </w:r>
    </w:p>
    <w:p w14:paraId="2007A97F" w14:textId="77777777" w:rsidR="00025543" w:rsidRDefault="007E3A2F">
      <w:pPr>
        <w:pStyle w:val="P68B1DB1-Normal13"/>
        <w:spacing w:line="240" w:lineRule="auto"/>
        <w:jc w:val="both"/>
        <w:rPr>
          <w:noProof/>
        </w:rPr>
      </w:pPr>
      <w:r>
        <w:rPr>
          <w:noProof/>
        </w:rPr>
        <w:t>La mise en œuvre des réformes au titre de ce volet vise à garantir une approche normalisée et cohérente du développement des systèmes d’information sur l’agenda au sein de l’administration publique. Ils fournissent des services d’expertise et de conseil par l’intermédiaire des centres de compétences. Elles élaborent et consolident également les registres de santé fragmentés afin de les préparer à la fourniture de services partagés et à l’échange d’informations.</w:t>
      </w:r>
    </w:p>
    <w:p w14:paraId="60FE41CE" w14:textId="77777777" w:rsidR="00025543" w:rsidRDefault="007E3A2F">
      <w:pPr>
        <w:pStyle w:val="P68B1DB1-Normal13"/>
        <w:spacing w:line="240" w:lineRule="auto"/>
        <w:jc w:val="both"/>
        <w:rPr>
          <w:noProof/>
        </w:rPr>
      </w:pPr>
      <w:r>
        <w:rPr>
          <w:noProof/>
        </w:rPr>
        <w:t>Les investissements se concentrent sur le développement et la connexion des registres de base, sur la promotion de l’interconnexion et de la mise à jour des systèmes d’information relatifs à l’âge, sur les investissements dans les équipements et les infrastructures des services de justice en ligne et sur l’amélioration de la cybersécurité de l’administration publique.</w:t>
      </w:r>
    </w:p>
    <w:p w14:paraId="152F5F6B" w14:textId="77777777" w:rsidR="00025543" w:rsidRDefault="007E3A2F">
      <w:pPr>
        <w:spacing w:line="240" w:lineRule="auto"/>
        <w:jc w:val="both"/>
        <w:rPr>
          <w:noProof/>
          <w:color w:val="000000"/>
        </w:rPr>
      </w:pPr>
      <w:r>
        <w:rPr>
          <w:noProof/>
        </w:rPr>
        <w:t>Le</w:t>
      </w:r>
      <w:r>
        <w:rPr>
          <w:rFonts w:eastAsia="Times New Roman"/>
          <w:noProof/>
          <w:color w:val="000000"/>
        </w:rPr>
        <w:t xml:space="preserve">volet soutient </w:t>
      </w:r>
      <w:r>
        <w:rPr>
          <w:rFonts w:eastAsia="Times New Roman"/>
          <w:noProof/>
        </w:rPr>
        <w:t xml:space="preserve">la mise en œuvre </w:t>
      </w:r>
      <w:r>
        <w:rPr>
          <w:noProof/>
        </w:rPr>
        <w:t xml:space="preserve">de la recommandation spécifique par pays no </w:t>
      </w:r>
      <w:r>
        <w:rPr>
          <w:rFonts w:eastAsia="Times New Roman"/>
          <w:noProof/>
        </w:rPr>
        <w:t xml:space="preserve">2019 3, selon laquelle la Tchéquie </w:t>
      </w:r>
      <w:r>
        <w:rPr>
          <w:noProof/>
        </w:rPr>
        <w:t>concentre</w:t>
      </w:r>
      <w:r>
        <w:rPr>
          <w:noProof/>
          <w:color w:val="000000"/>
        </w:rPr>
        <w:t xml:space="preserve">la politique économique liée aux investissements sur les infrastructures </w:t>
      </w:r>
      <w:r>
        <w:rPr>
          <w:rFonts w:eastAsia="Times New Roman"/>
          <w:noProof/>
        </w:rPr>
        <w:t>numériques, la recommandation spécifique par</w:t>
      </w:r>
      <w:r>
        <w:rPr>
          <w:noProof/>
          <w:color w:val="000000"/>
        </w:rPr>
        <w:t>pays no 2020 1</w:t>
      </w:r>
      <w:r>
        <w:rPr>
          <w:rFonts w:eastAsia="Times New Roman"/>
          <w:noProof/>
          <w:color w:val="000000"/>
        </w:rPr>
        <w:t>, selon laquelle la Tchéquie</w:t>
      </w:r>
      <w:r>
        <w:rPr>
          <w:noProof/>
        </w:rPr>
        <w:t xml:space="preserve"> </w:t>
      </w:r>
      <w:r>
        <w:rPr>
          <w:i/>
          <w:noProof/>
          <w:color w:val="000000"/>
        </w:rPr>
        <w:t xml:space="preserve"> </w:t>
      </w:r>
      <w:r>
        <w:rPr>
          <w:noProof/>
          <w:color w:val="000000"/>
        </w:rPr>
        <w:t xml:space="preserve">renforce le déploiement des services de santé en ligne, et la recommandation spécifique </w:t>
      </w:r>
      <w:r>
        <w:rPr>
          <w:noProof/>
        </w:rPr>
        <w:t xml:space="preserve">par pays no </w:t>
      </w:r>
      <w:r>
        <w:rPr>
          <w:rFonts w:eastAsia="Times New Roman"/>
          <w:noProof/>
        </w:rPr>
        <w:t xml:space="preserve">2020 3, selon laquelle la Tchéquie soutient </w:t>
      </w:r>
      <w:r>
        <w:rPr>
          <w:noProof/>
        </w:rPr>
        <w:t>les petites et moyennes entreprises en réduisant la charge administrative et concentre les investissements sur la transition numérique.</w:t>
      </w:r>
    </w:p>
    <w:p w14:paraId="16A4C649" w14:textId="75643F82" w:rsidR="00025543" w:rsidRDefault="007E3A2F">
      <w:pPr>
        <w:spacing w:line="276" w:lineRule="auto"/>
        <w:jc w:val="both"/>
        <w:rPr>
          <w:noProof/>
          <w:sz w:val="22"/>
        </w:rPr>
      </w:pPr>
      <w:r>
        <w:rPr>
          <w:noProof/>
        </w:rPr>
        <w:t>Aucune mesure relevant de ce volet ne devrait nuire gravement aux objectifs environnementaux au sens de l’article 17 du règlement (UE) 2020/852, compte tenu de la description des mesures et des mesures d’atténuation prévues dans le plan pour la reprise et la résilience conformément aux orientations techniques de la DNSH (2021/C58/01).</w:t>
      </w:r>
    </w:p>
    <w:p w14:paraId="3714507E" w14:textId="78371411" w:rsidR="00025543" w:rsidRDefault="00025543">
      <w:pPr>
        <w:spacing w:line="240" w:lineRule="auto"/>
        <w:jc w:val="both"/>
        <w:rPr>
          <w:rFonts w:eastAsia="Times New Roman"/>
          <w:noProof/>
          <w:sz w:val="22"/>
        </w:rPr>
      </w:pPr>
    </w:p>
    <w:p w14:paraId="2160CA57" w14:textId="77777777" w:rsidR="00025543" w:rsidRDefault="007E3A2F">
      <w:pPr>
        <w:pStyle w:val="P68B1DB1-Normal8"/>
        <w:spacing w:line="240" w:lineRule="auto"/>
        <w:jc w:val="both"/>
        <w:rPr>
          <w:i/>
          <w:noProof/>
        </w:rPr>
      </w:pPr>
      <w:r>
        <w:rPr>
          <w:noProof/>
        </w:rPr>
        <w:t>B.1. Description des réformes et des investissements en vue du soutien financier non remboursable</w:t>
      </w:r>
    </w:p>
    <w:p w14:paraId="46210799" w14:textId="49D658F6" w:rsidR="00025543" w:rsidRDefault="007E3A2F">
      <w:pPr>
        <w:pStyle w:val="P68B1DB1-Normal14"/>
        <w:spacing w:line="240" w:lineRule="auto"/>
        <w:jc w:val="both"/>
        <w:rPr>
          <w:noProof/>
        </w:rPr>
      </w:pPr>
      <w:r>
        <w:rPr>
          <w:noProof/>
        </w:rPr>
        <w:t>Investissement 1: Développement et amélioration des systèmes d’information individuels</w:t>
      </w:r>
    </w:p>
    <w:p w14:paraId="7C2D6467" w14:textId="2709B749" w:rsidR="00025543" w:rsidRDefault="007E3A2F">
      <w:pPr>
        <w:pStyle w:val="P68B1DB1-Normal13"/>
        <w:spacing w:line="240" w:lineRule="auto"/>
        <w:jc w:val="both"/>
        <w:rPr>
          <w:noProof/>
        </w:rPr>
      </w:pPr>
      <w:r>
        <w:rPr>
          <w:noProof/>
        </w:rPr>
        <w:t>L’investissement soutient des projets visant à mettre à jour, améliorer et connecter les systèmes d’information dormants liés à l’âge, afin de permettre la fourniture de services nouveaux et améliorés aux citoyens et aux entreprises dans les domaines de la politique de l’emploi, de la sécurité sociale, de l’évaluation médicale, des statistiques, des passeports et des visas et des services, comme le prévoit le volet 1.1. Ces projets doivent conduire au développement ou à l’amélioration d’au moins dix systèmes d’information au total.</w:t>
      </w:r>
    </w:p>
    <w:p w14:paraId="7471ABDD" w14:textId="3AC9418A" w:rsidR="00025543" w:rsidRDefault="007E3A2F">
      <w:pPr>
        <w:pStyle w:val="P68B1DB1-Normal13"/>
        <w:spacing w:line="240" w:lineRule="auto"/>
        <w:jc w:val="both"/>
        <w:rPr>
          <w:noProof/>
        </w:rPr>
      </w:pPr>
      <w:r>
        <w:rPr>
          <w:noProof/>
        </w:rPr>
        <w:t>L’investissement est mis en œuvre au plus tard le 31 mars 2026.</w:t>
      </w:r>
    </w:p>
    <w:p w14:paraId="47DB4594" w14:textId="77777777" w:rsidR="00025543" w:rsidRDefault="007E3A2F">
      <w:pPr>
        <w:pStyle w:val="P68B1DB1-Normal14"/>
        <w:keepNext/>
        <w:spacing w:line="240" w:lineRule="auto"/>
        <w:jc w:val="both"/>
        <w:rPr>
          <w:noProof/>
        </w:rPr>
      </w:pPr>
      <w:r>
        <w:rPr>
          <w:noProof/>
        </w:rPr>
        <w:t>Investissement 2: Mise en place de registres et d’installations de base pour l’administration en ligne</w:t>
      </w:r>
    </w:p>
    <w:p w14:paraId="42092831" w14:textId="0CEB7C0F" w:rsidR="00025543" w:rsidRDefault="007E3A2F">
      <w:pPr>
        <w:pStyle w:val="P68B1DB1-Normal13"/>
        <w:spacing w:line="240" w:lineRule="auto"/>
        <w:jc w:val="both"/>
        <w:rPr>
          <w:noProof/>
        </w:rPr>
      </w:pPr>
      <w:r>
        <w:rPr>
          <w:noProof/>
        </w:rPr>
        <w:t>L’investissement vise à créer et à mettre à jour des registres de base en Tchéquie, notamment le registre des personnes, le registre de la population, le registre des droits et obligations, le registre des identifications territoriales, des adresses et des biens immobiliers, le système d’information ORG, et comprend le développement d’un système de partage d’informations sur les services qui relie les données provenant de différents systèmes d’information à un réservoir de données interconnecté. Pour ce faire, vingt projets interconnectés seront mis en œuvre. Outre les registres, les projets bénéficiant d’un soutien comprennent un nouveau centre de données et le développement d’un nuage d’administration en ligne pour les services informatiques et le développement d’infrastructures technologiques de l’administration publique.</w:t>
      </w:r>
    </w:p>
    <w:p w14:paraId="7457A914" w14:textId="42D2389D" w:rsidR="00025543" w:rsidRDefault="007E3A2F">
      <w:pPr>
        <w:pStyle w:val="P68B1DB1-Normal13"/>
        <w:spacing w:line="240" w:lineRule="auto"/>
        <w:jc w:val="both"/>
        <w:rPr>
          <w:strike/>
          <w:noProof/>
        </w:rPr>
      </w:pPr>
      <w:r>
        <w:rPr>
          <w:noProof/>
        </w:rPr>
        <w:t>Cet investissement est mis en œuvre au plus tard le 30 juin 2026.</w:t>
      </w:r>
    </w:p>
    <w:p w14:paraId="61FE56D4" w14:textId="77777777" w:rsidR="00025543" w:rsidRDefault="007E3A2F">
      <w:pPr>
        <w:pStyle w:val="P68B1DB1-Normal14"/>
        <w:spacing w:line="240" w:lineRule="auto"/>
        <w:jc w:val="both"/>
        <w:rPr>
          <w:noProof/>
        </w:rPr>
      </w:pPr>
      <w:r>
        <w:rPr>
          <w:noProof/>
        </w:rPr>
        <w:t>Investissement 3: Cybersécurité</w:t>
      </w:r>
    </w:p>
    <w:p w14:paraId="7555F8E0" w14:textId="1F9F3B99" w:rsidR="00025543" w:rsidRDefault="007E3A2F">
      <w:pPr>
        <w:pStyle w:val="P68B1DB1-Normal13"/>
        <w:spacing w:line="240" w:lineRule="auto"/>
        <w:jc w:val="both"/>
        <w:rPr>
          <w:noProof/>
        </w:rPr>
      </w:pPr>
      <w:r>
        <w:rPr>
          <w:noProof/>
        </w:rPr>
        <w:t>L’investissement vise à accroître la cybersécurité de l’administration publique et de l’infrastructure et des systèmes d’information et d’information dans le domaine des soins de santé, au titre du règlement sur la cybersécurité, conformément à la stratégie nationale de cybersécurité. La mesure comprend des projets conduisant i) à la modernisation et au renforcement de la capacité des forces de police en Tchéquie à détecter les incidents liés à la sécurité et aux TIC et à y réagir, ainsi qu’à ii) renforcer la cybersécurité d’au moins 87 systèmes d’information.</w:t>
      </w:r>
    </w:p>
    <w:p w14:paraId="7E399EDC" w14:textId="508F1801" w:rsidR="00025543" w:rsidRDefault="007E3A2F">
      <w:pPr>
        <w:pStyle w:val="P68B1DB1-Normal13"/>
        <w:spacing w:line="240" w:lineRule="auto"/>
        <w:jc w:val="both"/>
        <w:rPr>
          <w:noProof/>
        </w:rPr>
      </w:pPr>
      <w:r>
        <w:rPr>
          <w:noProof/>
        </w:rPr>
        <w:t>L’investissement est mis en œuvre au plus tard le 31 décembre 2025.</w:t>
      </w:r>
    </w:p>
    <w:p w14:paraId="257DEB3B" w14:textId="3ABE165A" w:rsidR="00025543" w:rsidRDefault="007E3A2F">
      <w:pPr>
        <w:pStyle w:val="P68B1DB1-Normal14"/>
        <w:spacing w:line="240" w:lineRule="auto"/>
        <w:jc w:val="both"/>
        <w:rPr>
          <w:noProof/>
        </w:rPr>
      </w:pPr>
      <w:r>
        <w:rPr>
          <w:noProof/>
        </w:rPr>
        <w:t>Réforme 1: Centres de compétence pour soutenir l’administration en ligne, la cybersécurité et la santé en ligne</w:t>
      </w:r>
    </w:p>
    <w:p w14:paraId="6AB5FE23" w14:textId="508F1801" w:rsidR="00025543" w:rsidRDefault="007E3A2F">
      <w:pPr>
        <w:pStyle w:val="P68B1DB1-Normal13"/>
        <w:spacing w:line="240" w:lineRule="auto"/>
        <w:jc w:val="both"/>
        <w:rPr>
          <w:noProof/>
        </w:rPr>
      </w:pPr>
      <w:r>
        <w:rPr>
          <w:noProof/>
        </w:rPr>
        <w:t>La réforme met en place des centres de compétence pour l’administration en ligne, qui fournissent des orientations, une expertise, des services de conseil et des normes communes dans l’ensemble de l’administration publique, afin d’assurer la mise en œuvre cohérente des mesures de numérisation et de modernisation des systèmes d’information envisagées au titre des volets 1.1 et 1.2. Elle sera mise en œuvre par l’intermédiaire de trois centres de compétences (cybersécurité; santé en ligne; centres de compétences en matière d’administration en ligne), ancrés dans l’administration publique, apportant un soutien aux autorités publiques dans les domaines de l’analyse, de l’architecture des systèmes, de l’expérience utilisateur et de la conception des interfaces utilisateurs, de la cybersécurité ou des solutions de portail, et de la gestion de projets.</w:t>
      </w:r>
    </w:p>
    <w:p w14:paraId="62E37E66" w14:textId="508F1801" w:rsidR="00025543" w:rsidRDefault="007E3A2F">
      <w:pPr>
        <w:pStyle w:val="P68B1DB1-Normal13"/>
        <w:spacing w:line="240" w:lineRule="auto"/>
        <w:jc w:val="both"/>
        <w:rPr>
          <w:b/>
          <w:noProof/>
        </w:rPr>
      </w:pPr>
      <w:r>
        <w:rPr>
          <w:noProof/>
        </w:rPr>
        <w:t>Cette réforme est mise en œuvre au plus tard le 31 décembre 2025.</w:t>
      </w:r>
    </w:p>
    <w:p w14:paraId="4C74E84B" w14:textId="0BE1DA0B" w:rsidR="00025543" w:rsidRDefault="007E3A2F">
      <w:pPr>
        <w:pStyle w:val="P68B1DB1-Normal14"/>
        <w:spacing w:line="240" w:lineRule="auto"/>
        <w:jc w:val="both"/>
        <w:rPr>
          <w:noProof/>
        </w:rPr>
      </w:pPr>
      <w:r>
        <w:rPr>
          <w:noProof/>
        </w:rPr>
        <w:t>Réforme 2: Développement de systèmes soutenant la numérisation de la santé</w:t>
      </w:r>
    </w:p>
    <w:p w14:paraId="77382A8C" w14:textId="2B8C9D08" w:rsidR="00025543" w:rsidRDefault="007E3A2F">
      <w:pPr>
        <w:pStyle w:val="P68B1DB1-Normal13"/>
        <w:spacing w:line="240" w:lineRule="auto"/>
        <w:jc w:val="both"/>
        <w:rPr>
          <w:noProof/>
        </w:rPr>
      </w:pPr>
      <w:r>
        <w:rPr>
          <w:noProof/>
        </w:rPr>
        <w:t>La réforme accélère et facilite la création d’une infrastructure cohérente de santé en ligne, y compris la stabilisation et la normalisation de la réserve de données sur les soins de santé. La mesure est divisée en plusieurs projets interconnectés mettant en œuvre des registres de référence des prestataires de services de santé, des professionnels de la santé et des patients, interconnectés avec les registres de référence de l’administration en ligne; registres de santé du service d’hygiène et registres de santé des maladies oncologiques, cardiovasculaires et autres;  projet de mise en place d’un système d’information pour le soutien à la gestion du service d’hygiène en Tchéquie; extension de la fonctionnalité existante de la prescription électronique en incluant des prescriptions pour les stupéfiants et les substances psychotropes et en introduisant le service de bons électroniques, en construisant des infrastructures soutenant le système de prise en charge des patients atteints de maladies rares. La mesure comprend également la mise en place de programmes de formation visant à étendre l’utilisation des services de santé en ligne et des services numériques dans le secteur de la santé, destinés principalement au personnel de santé.</w:t>
      </w:r>
    </w:p>
    <w:p w14:paraId="1650505E" w14:textId="1C6A7468" w:rsidR="00025543" w:rsidRDefault="007E3A2F">
      <w:pPr>
        <w:pStyle w:val="P68B1DB1-Normal13"/>
        <w:spacing w:line="240" w:lineRule="auto"/>
        <w:jc w:val="both"/>
        <w:rPr>
          <w:noProof/>
        </w:rPr>
      </w:pPr>
      <w:r>
        <w:rPr>
          <w:noProof/>
        </w:rPr>
        <w:t>La réforme est mise en œuvre au plus tard le 31 décembre 2025.</w:t>
      </w:r>
    </w:p>
    <w:p w14:paraId="039056EF" w14:textId="112E47C4" w:rsidR="00025543" w:rsidRDefault="007E3A2F">
      <w:pPr>
        <w:pStyle w:val="P68B1DB1-Normal14"/>
        <w:keepNext/>
        <w:spacing w:line="240" w:lineRule="auto"/>
        <w:jc w:val="both"/>
        <w:rPr>
          <w:noProof/>
        </w:rPr>
      </w:pPr>
      <w:r>
        <w:rPr>
          <w:noProof/>
        </w:rPr>
        <w:t>Investissement 4: Créer les conditions d’une justice numérique</w:t>
      </w:r>
    </w:p>
    <w:p w14:paraId="5363CFC9" w14:textId="77777777" w:rsidR="00025543" w:rsidRDefault="007E3A2F">
      <w:pPr>
        <w:pStyle w:val="P68B1DB1-Normal13"/>
        <w:spacing w:line="240" w:lineRule="auto"/>
        <w:jc w:val="both"/>
        <w:rPr>
          <w:noProof/>
        </w:rPr>
      </w:pPr>
      <w:r>
        <w:rPr>
          <w:noProof/>
        </w:rPr>
        <w:t>L’investissement vise à moderniser l’environnement de travail du système judiciaire et à permettre la poursuite du travail en période de contacts physiques limités, renforçant ainsi la résilience du système judiciaire national. L’investissement consiste en trois projets interconnectés, qui comprennent i) l’analyse de l’utilisation des données et la cartographie des besoins de numérisation dans le secteur de la justice, ainsi que le déploiement d’un entrepôt de données et l’augmentation de la capacité de stockage, ii) l’augmentation de la capacité des infrastructures permettant l’accès à distance et iii) l’augmentation du nombre de salles de visioconférence équipées pour le pouvoir judiciaire.</w:t>
      </w:r>
    </w:p>
    <w:p w14:paraId="52080596" w14:textId="296C5642" w:rsidR="00025543" w:rsidRDefault="007E3A2F">
      <w:pPr>
        <w:pStyle w:val="P68B1DB1-Normal13"/>
        <w:pBdr>
          <w:top w:val="nil"/>
          <w:left w:val="nil"/>
          <w:bottom w:val="nil"/>
          <w:right w:val="nil"/>
          <w:between w:val="nil"/>
        </w:pBdr>
        <w:spacing w:line="240" w:lineRule="auto"/>
        <w:rPr>
          <w:noProof/>
          <w:color w:val="000000" w:themeColor="text1"/>
        </w:rPr>
      </w:pPr>
      <w:r>
        <w:rPr>
          <w:noProof/>
        </w:rPr>
        <w:t>L’investissement est mis en œuvre au plus tard le 31 décembre 2024.</w:t>
      </w:r>
    </w:p>
    <w:p w14:paraId="76C492C3" w14:textId="420E70F8" w:rsidR="00025543" w:rsidRDefault="00025543">
      <w:pPr>
        <w:pBdr>
          <w:top w:val="nil"/>
          <w:left w:val="nil"/>
          <w:bottom w:val="nil"/>
          <w:right w:val="nil"/>
          <w:between w:val="nil"/>
        </w:pBdr>
        <w:spacing w:line="240" w:lineRule="auto"/>
        <w:rPr>
          <w:noProof/>
          <w:color w:val="000000" w:themeColor="text1"/>
        </w:rPr>
        <w:sectPr w:rsidR="00025543" w:rsidSect="001B1626">
          <w:headerReference w:type="even" r:id="rId42"/>
          <w:headerReference w:type="default" r:id="rId43"/>
          <w:footerReference w:type="even" r:id="rId44"/>
          <w:footerReference w:type="default" r:id="rId45"/>
          <w:headerReference w:type="first" r:id="rId46"/>
          <w:footerReference w:type="first" r:id="rId47"/>
          <w:pgSz w:w="11907" w:h="16839"/>
          <w:pgMar w:top="1134" w:right="1134" w:bottom="1134" w:left="1134" w:header="567" w:footer="567" w:gutter="0"/>
          <w:cols w:space="720"/>
          <w:docGrid w:linePitch="326"/>
        </w:sectPr>
      </w:pPr>
    </w:p>
    <w:p w14:paraId="7A0B9399" w14:textId="7CD38B78" w:rsidR="00025543" w:rsidRDefault="007E3A2F">
      <w:pPr>
        <w:pStyle w:val="P68B1DB1-Normal8"/>
        <w:pBdr>
          <w:top w:val="nil"/>
          <w:left w:val="nil"/>
          <w:bottom w:val="nil"/>
          <w:right w:val="nil"/>
          <w:between w:val="nil"/>
        </w:pBdr>
        <w:spacing w:line="240" w:lineRule="auto"/>
        <w:rPr>
          <w:noProof/>
        </w:rPr>
      </w:pPr>
      <w:r>
        <w:rPr>
          <w:noProof/>
        </w:rPr>
        <w:t>B.2. Jalons, cibles, indicateurs et calendrier de suivi et de mise en œuvre en vue du soutien financier non remboursable</w:t>
      </w:r>
    </w:p>
    <w:tbl>
      <w:tblPr>
        <w:tblW w:w="1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89"/>
        <w:gridCol w:w="1409"/>
        <w:gridCol w:w="1105"/>
        <w:gridCol w:w="1654"/>
        <w:gridCol w:w="1791"/>
        <w:gridCol w:w="1050"/>
        <w:gridCol w:w="997"/>
        <w:gridCol w:w="694"/>
        <w:gridCol w:w="968"/>
        <w:gridCol w:w="694"/>
        <w:gridCol w:w="3570"/>
      </w:tblGrid>
      <w:tr w:rsidR="00025543" w14:paraId="7976A06F" w14:textId="77777777">
        <w:trPr>
          <w:trHeight w:val="620"/>
          <w:tblHeader/>
          <w:jc w:val="center"/>
        </w:trPr>
        <w:tc>
          <w:tcPr>
            <w:tcW w:w="704" w:type="dxa"/>
            <w:vMerge w:val="restart"/>
            <w:shd w:val="clear" w:color="auto" w:fill="BDD7EE"/>
            <w:vAlign w:val="center"/>
            <w:hideMark/>
          </w:tcPr>
          <w:p w14:paraId="292A58FB" w14:textId="77777777" w:rsidR="00025543" w:rsidRDefault="007E3A2F">
            <w:pPr>
              <w:pStyle w:val="P68B1DB1-Normal9"/>
              <w:spacing w:before="0" w:after="0" w:line="240" w:lineRule="auto"/>
              <w:jc w:val="center"/>
              <w:rPr>
                <w:noProof/>
              </w:rPr>
            </w:pPr>
            <w:r>
              <w:rPr>
                <w:noProof/>
              </w:rPr>
              <w:t>Séquence NUM.</w:t>
            </w:r>
          </w:p>
        </w:tc>
        <w:tc>
          <w:tcPr>
            <w:tcW w:w="1448" w:type="dxa"/>
            <w:vMerge w:val="restart"/>
            <w:shd w:val="clear" w:color="auto" w:fill="BDD7EE"/>
            <w:vAlign w:val="center"/>
            <w:hideMark/>
          </w:tcPr>
          <w:p w14:paraId="58A46D86" w14:textId="77777777" w:rsidR="00025543" w:rsidRDefault="007E3A2F">
            <w:pPr>
              <w:pStyle w:val="P68B1DB1-Normal9"/>
              <w:spacing w:before="0" w:after="0" w:line="240" w:lineRule="auto"/>
              <w:jc w:val="center"/>
              <w:rPr>
                <w:noProof/>
              </w:rPr>
            </w:pPr>
            <w:r>
              <w:rPr>
                <w:noProof/>
              </w:rPr>
              <w:t>Mesure connexe (réforme ou investissement)</w:t>
            </w:r>
          </w:p>
        </w:tc>
        <w:tc>
          <w:tcPr>
            <w:tcW w:w="1134" w:type="dxa"/>
            <w:vMerge w:val="restart"/>
            <w:shd w:val="clear" w:color="auto" w:fill="BDD7EE"/>
            <w:vAlign w:val="center"/>
            <w:hideMark/>
          </w:tcPr>
          <w:p w14:paraId="370A8D70" w14:textId="77777777" w:rsidR="00025543" w:rsidRDefault="007E3A2F">
            <w:pPr>
              <w:pStyle w:val="P68B1DB1-Normal9"/>
              <w:spacing w:before="0" w:after="0" w:line="240" w:lineRule="auto"/>
              <w:jc w:val="center"/>
              <w:rPr>
                <w:noProof/>
              </w:rPr>
            </w:pPr>
            <w:r>
              <w:rPr>
                <w:noProof/>
              </w:rPr>
              <w:t>Jalon/cible</w:t>
            </w:r>
          </w:p>
        </w:tc>
        <w:tc>
          <w:tcPr>
            <w:tcW w:w="1701" w:type="dxa"/>
            <w:vMerge w:val="restart"/>
            <w:shd w:val="clear" w:color="auto" w:fill="BDD7EE"/>
            <w:vAlign w:val="center"/>
            <w:hideMark/>
          </w:tcPr>
          <w:p w14:paraId="2AE0E0C6" w14:textId="77777777" w:rsidR="00025543" w:rsidRDefault="007E3A2F">
            <w:pPr>
              <w:pStyle w:val="P68B1DB1-Normal9"/>
              <w:spacing w:before="0" w:after="0" w:line="240" w:lineRule="auto"/>
              <w:jc w:val="center"/>
              <w:rPr>
                <w:noProof/>
              </w:rPr>
            </w:pPr>
            <w:r>
              <w:rPr>
                <w:noProof/>
              </w:rPr>
              <w:t>Nom</w:t>
            </w:r>
          </w:p>
        </w:tc>
        <w:tc>
          <w:tcPr>
            <w:tcW w:w="1843" w:type="dxa"/>
            <w:vMerge w:val="restart"/>
            <w:shd w:val="clear" w:color="auto" w:fill="BDD7EE"/>
            <w:vAlign w:val="center"/>
            <w:hideMark/>
          </w:tcPr>
          <w:p w14:paraId="101BD2AA" w14:textId="77777777" w:rsidR="00025543" w:rsidRDefault="007E3A2F">
            <w:pPr>
              <w:pStyle w:val="P68B1DB1-Normal12"/>
              <w:spacing w:before="0" w:after="0" w:line="240" w:lineRule="auto"/>
              <w:jc w:val="center"/>
              <w:rPr>
                <w:rFonts w:eastAsia="Times New Roman"/>
                <w:b/>
                <w:noProof/>
              </w:rPr>
            </w:pPr>
            <w:r>
              <w:rPr>
                <w:rFonts w:eastAsia="Times New Roman"/>
                <w:b/>
                <w:noProof/>
              </w:rPr>
              <w:t>Qualitatifs</w:t>
            </w:r>
            <w:r>
              <w:rPr>
                <w:rFonts w:ascii="Calibri" w:hAnsi="Calibri"/>
                <w:noProof/>
              </w:rPr>
              <w:br/>
            </w:r>
            <w:r>
              <w:rPr>
                <w:rFonts w:eastAsia="Times New Roman"/>
                <w:b/>
                <w:noProof/>
              </w:rPr>
              <w:t>(pour les jalons)</w:t>
            </w:r>
          </w:p>
        </w:tc>
        <w:tc>
          <w:tcPr>
            <w:tcW w:w="2551" w:type="dxa"/>
            <w:gridSpan w:val="3"/>
            <w:shd w:val="clear" w:color="auto" w:fill="BDD7EE"/>
            <w:vAlign w:val="center"/>
            <w:hideMark/>
          </w:tcPr>
          <w:p w14:paraId="166D8938" w14:textId="77777777" w:rsidR="00025543" w:rsidRDefault="007E3A2F">
            <w:pPr>
              <w:pStyle w:val="P68B1DB1-Normal12"/>
              <w:spacing w:before="0" w:after="0" w:line="240" w:lineRule="auto"/>
              <w:jc w:val="center"/>
              <w:rPr>
                <w:rFonts w:eastAsia="Times New Roman"/>
                <w:b/>
                <w:noProof/>
              </w:rPr>
            </w:pPr>
            <w:r>
              <w:rPr>
                <w:rFonts w:eastAsia="Times New Roman"/>
                <w:b/>
                <w:noProof/>
              </w:rPr>
              <w:t>Indicateurs quantitatifs</w:t>
            </w:r>
            <w:r>
              <w:rPr>
                <w:rFonts w:ascii="Calibri" w:hAnsi="Calibri"/>
                <w:noProof/>
              </w:rPr>
              <w:br/>
            </w:r>
            <w:r>
              <w:rPr>
                <w:rFonts w:eastAsia="Times New Roman"/>
                <w:b/>
                <w:noProof/>
              </w:rPr>
              <w:t>(pour les objectifs)</w:t>
            </w:r>
          </w:p>
        </w:tc>
        <w:tc>
          <w:tcPr>
            <w:tcW w:w="1701" w:type="dxa"/>
            <w:gridSpan w:val="2"/>
            <w:shd w:val="clear" w:color="auto" w:fill="BDD7EE"/>
            <w:vAlign w:val="center"/>
            <w:hideMark/>
          </w:tcPr>
          <w:p w14:paraId="0335EB6F" w14:textId="77777777" w:rsidR="00025543" w:rsidRDefault="007E3A2F">
            <w:pPr>
              <w:pStyle w:val="P68B1DB1-Normal9"/>
              <w:spacing w:before="0" w:after="0" w:line="240" w:lineRule="auto"/>
              <w:jc w:val="center"/>
              <w:rPr>
                <w:noProof/>
              </w:rPr>
            </w:pPr>
            <w:r>
              <w:rPr>
                <w:noProof/>
              </w:rPr>
              <w:t>Calendrier indicatif de réalisation</w:t>
            </w:r>
          </w:p>
        </w:tc>
        <w:tc>
          <w:tcPr>
            <w:tcW w:w="3681" w:type="dxa"/>
            <w:vMerge w:val="restart"/>
            <w:shd w:val="clear" w:color="auto" w:fill="BDD7EE"/>
            <w:vAlign w:val="center"/>
            <w:hideMark/>
          </w:tcPr>
          <w:p w14:paraId="4695BCBE" w14:textId="77777777" w:rsidR="00025543" w:rsidRDefault="007E3A2F">
            <w:pPr>
              <w:pStyle w:val="P68B1DB1-Normal9"/>
              <w:spacing w:before="0" w:after="0" w:line="240" w:lineRule="auto"/>
              <w:jc w:val="center"/>
              <w:rPr>
                <w:noProof/>
              </w:rPr>
            </w:pPr>
            <w:r>
              <w:rPr>
                <w:noProof/>
              </w:rPr>
              <w:t>Description de chaque jalon et cible</w:t>
            </w:r>
          </w:p>
        </w:tc>
      </w:tr>
      <w:tr w:rsidR="00025543" w14:paraId="7217F275" w14:textId="77777777">
        <w:trPr>
          <w:trHeight w:val="558"/>
          <w:tblHeader/>
          <w:jc w:val="center"/>
        </w:trPr>
        <w:tc>
          <w:tcPr>
            <w:tcW w:w="704" w:type="dxa"/>
            <w:vMerge/>
            <w:vAlign w:val="center"/>
            <w:hideMark/>
          </w:tcPr>
          <w:p w14:paraId="56F5CA3E" w14:textId="77777777" w:rsidR="00025543" w:rsidRDefault="00025543">
            <w:pPr>
              <w:spacing w:before="0" w:after="0" w:line="240" w:lineRule="auto"/>
              <w:rPr>
                <w:rFonts w:eastAsia="Times New Roman"/>
                <w:b/>
                <w:noProof/>
                <w:sz w:val="18"/>
              </w:rPr>
            </w:pPr>
          </w:p>
        </w:tc>
        <w:tc>
          <w:tcPr>
            <w:tcW w:w="1448" w:type="dxa"/>
            <w:vMerge/>
            <w:vAlign w:val="center"/>
            <w:hideMark/>
          </w:tcPr>
          <w:p w14:paraId="2E5C998C" w14:textId="77777777" w:rsidR="00025543" w:rsidRDefault="00025543">
            <w:pPr>
              <w:spacing w:before="0" w:after="0" w:line="240" w:lineRule="auto"/>
              <w:rPr>
                <w:rFonts w:eastAsia="Times New Roman"/>
                <w:b/>
                <w:noProof/>
                <w:sz w:val="18"/>
              </w:rPr>
            </w:pPr>
          </w:p>
        </w:tc>
        <w:tc>
          <w:tcPr>
            <w:tcW w:w="1134" w:type="dxa"/>
            <w:vMerge/>
            <w:vAlign w:val="center"/>
            <w:hideMark/>
          </w:tcPr>
          <w:p w14:paraId="317B4E5A" w14:textId="77777777" w:rsidR="00025543" w:rsidRDefault="00025543">
            <w:pPr>
              <w:spacing w:before="0" w:after="0" w:line="240" w:lineRule="auto"/>
              <w:rPr>
                <w:rFonts w:eastAsia="Times New Roman"/>
                <w:b/>
                <w:noProof/>
                <w:sz w:val="18"/>
              </w:rPr>
            </w:pPr>
          </w:p>
        </w:tc>
        <w:tc>
          <w:tcPr>
            <w:tcW w:w="1701" w:type="dxa"/>
            <w:vMerge/>
            <w:vAlign w:val="center"/>
            <w:hideMark/>
          </w:tcPr>
          <w:p w14:paraId="627998E7" w14:textId="77777777" w:rsidR="00025543" w:rsidRDefault="00025543">
            <w:pPr>
              <w:spacing w:before="0" w:after="0" w:line="240" w:lineRule="auto"/>
              <w:rPr>
                <w:rFonts w:eastAsia="Times New Roman"/>
                <w:b/>
                <w:noProof/>
                <w:sz w:val="18"/>
              </w:rPr>
            </w:pPr>
          </w:p>
        </w:tc>
        <w:tc>
          <w:tcPr>
            <w:tcW w:w="1843" w:type="dxa"/>
            <w:vMerge/>
            <w:vAlign w:val="center"/>
            <w:hideMark/>
          </w:tcPr>
          <w:p w14:paraId="6DEBB753" w14:textId="77777777" w:rsidR="00025543" w:rsidRDefault="00025543">
            <w:pPr>
              <w:spacing w:before="0" w:after="0" w:line="240" w:lineRule="auto"/>
              <w:rPr>
                <w:rFonts w:eastAsia="Times New Roman"/>
                <w:b/>
                <w:noProof/>
                <w:sz w:val="18"/>
              </w:rPr>
            </w:pPr>
          </w:p>
        </w:tc>
        <w:tc>
          <w:tcPr>
            <w:tcW w:w="1077" w:type="dxa"/>
            <w:shd w:val="clear" w:color="auto" w:fill="BDD7EE"/>
            <w:vAlign w:val="center"/>
            <w:hideMark/>
          </w:tcPr>
          <w:p w14:paraId="06E4CA17" w14:textId="77777777" w:rsidR="00025543" w:rsidRDefault="007E3A2F">
            <w:pPr>
              <w:pStyle w:val="P68B1DB1-Normal9"/>
              <w:spacing w:before="0" w:after="0" w:line="240" w:lineRule="auto"/>
              <w:jc w:val="center"/>
              <w:rPr>
                <w:noProof/>
              </w:rPr>
            </w:pPr>
            <w:r>
              <w:rPr>
                <w:noProof/>
              </w:rPr>
              <w:t>Unité de mesure</w:t>
            </w:r>
          </w:p>
        </w:tc>
        <w:tc>
          <w:tcPr>
            <w:tcW w:w="1022" w:type="dxa"/>
            <w:shd w:val="clear" w:color="auto" w:fill="BDD7EE"/>
            <w:vAlign w:val="center"/>
            <w:hideMark/>
          </w:tcPr>
          <w:p w14:paraId="12298D3B" w14:textId="77777777" w:rsidR="00025543" w:rsidRDefault="007E3A2F">
            <w:pPr>
              <w:pStyle w:val="P68B1DB1-Normal9"/>
              <w:spacing w:before="0" w:after="0" w:line="240" w:lineRule="auto"/>
              <w:jc w:val="center"/>
              <w:rPr>
                <w:noProof/>
              </w:rPr>
            </w:pPr>
            <w:r>
              <w:rPr>
                <w:noProof/>
              </w:rPr>
              <w:t xml:space="preserve">Scénario de référence </w:t>
            </w:r>
          </w:p>
        </w:tc>
        <w:tc>
          <w:tcPr>
            <w:tcW w:w="709" w:type="dxa"/>
            <w:shd w:val="clear" w:color="auto" w:fill="BDD7EE"/>
            <w:vAlign w:val="center"/>
            <w:hideMark/>
          </w:tcPr>
          <w:p w14:paraId="5F1BBEBD" w14:textId="77777777" w:rsidR="00025543" w:rsidRDefault="007E3A2F">
            <w:pPr>
              <w:pStyle w:val="P68B1DB1-Normal9"/>
              <w:spacing w:before="0" w:after="0" w:line="240" w:lineRule="auto"/>
              <w:jc w:val="center"/>
              <w:rPr>
                <w:noProof/>
              </w:rPr>
            </w:pPr>
            <w:r>
              <w:rPr>
                <w:noProof/>
              </w:rPr>
              <w:t xml:space="preserve">Objectif </w:t>
            </w:r>
          </w:p>
        </w:tc>
        <w:tc>
          <w:tcPr>
            <w:tcW w:w="992" w:type="dxa"/>
            <w:shd w:val="clear" w:color="auto" w:fill="BDD7EE"/>
            <w:vAlign w:val="center"/>
            <w:hideMark/>
          </w:tcPr>
          <w:p w14:paraId="46713C3D" w14:textId="77777777" w:rsidR="00025543" w:rsidRDefault="007E3A2F">
            <w:pPr>
              <w:pStyle w:val="P68B1DB1-Normal9"/>
              <w:spacing w:before="0" w:after="0" w:line="240" w:lineRule="auto"/>
              <w:jc w:val="center"/>
              <w:rPr>
                <w:noProof/>
              </w:rPr>
            </w:pPr>
            <w:r>
              <w:rPr>
                <w:noProof/>
              </w:rPr>
              <w:t>Trimestre</w:t>
            </w:r>
          </w:p>
        </w:tc>
        <w:tc>
          <w:tcPr>
            <w:tcW w:w="709" w:type="dxa"/>
            <w:shd w:val="clear" w:color="auto" w:fill="BDD7EE"/>
            <w:vAlign w:val="center"/>
            <w:hideMark/>
          </w:tcPr>
          <w:p w14:paraId="0120D95D" w14:textId="77777777" w:rsidR="00025543" w:rsidRDefault="007E3A2F">
            <w:pPr>
              <w:pStyle w:val="P68B1DB1-Normal9"/>
              <w:spacing w:before="0" w:after="0" w:line="240" w:lineRule="auto"/>
              <w:jc w:val="center"/>
              <w:rPr>
                <w:noProof/>
              </w:rPr>
            </w:pPr>
            <w:r>
              <w:rPr>
                <w:noProof/>
              </w:rPr>
              <w:t>Année</w:t>
            </w:r>
          </w:p>
        </w:tc>
        <w:tc>
          <w:tcPr>
            <w:tcW w:w="3681" w:type="dxa"/>
            <w:vMerge/>
            <w:vAlign w:val="center"/>
            <w:hideMark/>
          </w:tcPr>
          <w:p w14:paraId="643F7928" w14:textId="77777777" w:rsidR="00025543" w:rsidRDefault="00025543">
            <w:pPr>
              <w:spacing w:before="0" w:after="0" w:line="240" w:lineRule="auto"/>
              <w:rPr>
                <w:rFonts w:eastAsia="Times New Roman"/>
                <w:b/>
                <w:noProof/>
                <w:sz w:val="18"/>
              </w:rPr>
            </w:pPr>
          </w:p>
        </w:tc>
      </w:tr>
      <w:tr w:rsidR="00025543" w14:paraId="6008479E" w14:textId="77777777">
        <w:trPr>
          <w:trHeight w:val="309"/>
          <w:jc w:val="center"/>
        </w:trPr>
        <w:tc>
          <w:tcPr>
            <w:tcW w:w="704" w:type="dxa"/>
            <w:shd w:val="clear" w:color="auto" w:fill="C6EFCE"/>
            <w:vAlign w:val="center"/>
            <w:hideMark/>
          </w:tcPr>
          <w:p w14:paraId="1BBD72A2" w14:textId="77777777" w:rsidR="00025543" w:rsidRDefault="007E3A2F">
            <w:pPr>
              <w:pStyle w:val="P68B1DB1-Normal15"/>
              <w:spacing w:before="0" w:after="0" w:line="240" w:lineRule="auto"/>
              <w:jc w:val="center"/>
              <w:rPr>
                <w:noProof/>
              </w:rPr>
            </w:pPr>
            <w:r>
              <w:rPr>
                <w:noProof/>
              </w:rPr>
              <w:t>15</w:t>
            </w:r>
          </w:p>
        </w:tc>
        <w:tc>
          <w:tcPr>
            <w:tcW w:w="1448" w:type="dxa"/>
            <w:shd w:val="clear" w:color="auto" w:fill="C6EFCE"/>
            <w:vAlign w:val="center"/>
            <w:hideMark/>
          </w:tcPr>
          <w:p w14:paraId="4DE37BB4" w14:textId="77777777" w:rsidR="00025543" w:rsidRDefault="007E3A2F">
            <w:pPr>
              <w:pStyle w:val="P68B1DB1-Normal16"/>
              <w:spacing w:before="0" w:after="0" w:line="240" w:lineRule="auto"/>
              <w:rPr>
                <w:noProof/>
              </w:rPr>
            </w:pPr>
            <w:r>
              <w:rPr>
                <w:noProof/>
              </w:rPr>
              <w:t>Investissement 1:</w:t>
            </w:r>
          </w:p>
          <w:p w14:paraId="2B0D93D7" w14:textId="77777777" w:rsidR="00025543" w:rsidRDefault="007E3A2F">
            <w:pPr>
              <w:pStyle w:val="P68B1DB1-Normal16"/>
              <w:spacing w:before="0" w:after="0" w:line="240" w:lineRule="auto"/>
              <w:rPr>
                <w:rFonts w:eastAsia="Times New Roman"/>
                <w:noProof/>
              </w:rPr>
            </w:pPr>
            <w:r>
              <w:rPr>
                <w:noProof/>
              </w:rPr>
              <w:t>Développement des systèmes d’information</w:t>
            </w:r>
          </w:p>
        </w:tc>
        <w:tc>
          <w:tcPr>
            <w:tcW w:w="1134" w:type="dxa"/>
            <w:shd w:val="clear" w:color="auto" w:fill="C6EFCE"/>
            <w:vAlign w:val="center"/>
            <w:hideMark/>
          </w:tcPr>
          <w:p w14:paraId="42ED64B7" w14:textId="77777777" w:rsidR="00025543" w:rsidRDefault="007E3A2F">
            <w:pPr>
              <w:pStyle w:val="P68B1DB1-Normal16"/>
              <w:spacing w:before="0" w:after="0" w:line="240" w:lineRule="auto"/>
              <w:rPr>
                <w:rFonts w:eastAsia="Times New Roman"/>
                <w:noProof/>
              </w:rPr>
            </w:pPr>
            <w:r>
              <w:rPr>
                <w:noProof/>
              </w:rPr>
              <w:t>Étapes</w:t>
            </w:r>
          </w:p>
        </w:tc>
        <w:tc>
          <w:tcPr>
            <w:tcW w:w="1701" w:type="dxa"/>
            <w:shd w:val="clear" w:color="auto" w:fill="C6EFCE"/>
            <w:vAlign w:val="center"/>
          </w:tcPr>
          <w:p w14:paraId="283D9081" w14:textId="040BB68F" w:rsidR="00025543" w:rsidRDefault="007E3A2F">
            <w:pPr>
              <w:pStyle w:val="P68B1DB1-Normal16"/>
              <w:spacing w:before="0" w:after="0" w:line="240" w:lineRule="auto"/>
              <w:rPr>
                <w:noProof/>
              </w:rPr>
            </w:pPr>
            <w:r>
              <w:rPr>
                <w:noProof/>
              </w:rPr>
              <w:t xml:space="preserve">Mise en œuvre et exploitation des systèmes Tchèque 2.0 et CAAIS </w:t>
            </w:r>
          </w:p>
          <w:p w14:paraId="5CDD7E67" w14:textId="77777777" w:rsidR="00025543" w:rsidRDefault="00025543">
            <w:pPr>
              <w:spacing w:before="0" w:after="0" w:line="240" w:lineRule="auto"/>
              <w:rPr>
                <w:rFonts w:eastAsia="Times New Roman"/>
                <w:noProof/>
                <w:color w:val="004300"/>
                <w:sz w:val="18"/>
              </w:rPr>
            </w:pPr>
          </w:p>
        </w:tc>
        <w:tc>
          <w:tcPr>
            <w:tcW w:w="1843" w:type="dxa"/>
            <w:shd w:val="clear" w:color="auto" w:fill="C6EFCE"/>
            <w:vAlign w:val="center"/>
            <w:hideMark/>
          </w:tcPr>
          <w:p w14:paraId="38471195" w14:textId="251E3D15" w:rsidR="00025543" w:rsidRDefault="007E3A2F">
            <w:pPr>
              <w:pStyle w:val="P68B1DB1-Normal15"/>
              <w:spacing w:before="0" w:after="0" w:line="240" w:lineRule="auto"/>
              <w:rPr>
                <w:noProof/>
              </w:rPr>
            </w:pPr>
            <w:r>
              <w:rPr>
                <w:noProof/>
              </w:rPr>
              <w:t>Le système Tchèque 2.0 (en ce qui concerne les citoyens et les fonctionnaires) et l’espace central d’authentification de l’administration publique, appelé CAAIS (pour les fonctionnaires), sont opérationnels.</w:t>
            </w:r>
          </w:p>
        </w:tc>
        <w:tc>
          <w:tcPr>
            <w:tcW w:w="1077" w:type="dxa"/>
            <w:shd w:val="clear" w:color="auto" w:fill="C6EFCE"/>
            <w:vAlign w:val="center"/>
          </w:tcPr>
          <w:p w14:paraId="197A44A4" w14:textId="77777777" w:rsidR="00025543" w:rsidRDefault="00025543">
            <w:pPr>
              <w:spacing w:before="0" w:after="0" w:line="240" w:lineRule="auto"/>
              <w:rPr>
                <w:rFonts w:eastAsia="Times New Roman"/>
                <w:noProof/>
                <w:color w:val="004300"/>
                <w:sz w:val="18"/>
              </w:rPr>
            </w:pPr>
          </w:p>
        </w:tc>
        <w:tc>
          <w:tcPr>
            <w:tcW w:w="1022" w:type="dxa"/>
            <w:shd w:val="clear" w:color="auto" w:fill="C6EFCE"/>
            <w:vAlign w:val="center"/>
          </w:tcPr>
          <w:p w14:paraId="02A8144F" w14:textId="77777777" w:rsidR="00025543" w:rsidRDefault="00025543">
            <w:pPr>
              <w:spacing w:before="0" w:after="0" w:line="240" w:lineRule="auto"/>
              <w:jc w:val="center"/>
              <w:rPr>
                <w:rFonts w:eastAsia="Times New Roman"/>
                <w:noProof/>
                <w:color w:val="004300"/>
                <w:sz w:val="18"/>
              </w:rPr>
            </w:pPr>
          </w:p>
        </w:tc>
        <w:tc>
          <w:tcPr>
            <w:tcW w:w="709" w:type="dxa"/>
            <w:shd w:val="clear" w:color="auto" w:fill="C6EFCE"/>
            <w:vAlign w:val="center"/>
          </w:tcPr>
          <w:p w14:paraId="051FCE2E" w14:textId="77777777" w:rsidR="00025543" w:rsidRDefault="00025543">
            <w:pPr>
              <w:spacing w:before="0" w:after="0" w:line="240" w:lineRule="auto"/>
              <w:jc w:val="center"/>
              <w:rPr>
                <w:rFonts w:eastAsia="Times New Roman"/>
                <w:noProof/>
                <w:color w:val="004300"/>
                <w:sz w:val="18"/>
              </w:rPr>
            </w:pPr>
          </w:p>
        </w:tc>
        <w:tc>
          <w:tcPr>
            <w:tcW w:w="992" w:type="dxa"/>
            <w:shd w:val="clear" w:color="auto" w:fill="C6EFCE"/>
            <w:vAlign w:val="center"/>
            <w:hideMark/>
          </w:tcPr>
          <w:p w14:paraId="30356606" w14:textId="77777777" w:rsidR="00025543" w:rsidRDefault="007E3A2F">
            <w:pPr>
              <w:pStyle w:val="P68B1DB1-Normal15"/>
              <w:spacing w:before="0" w:after="0" w:line="240" w:lineRule="auto"/>
              <w:jc w:val="center"/>
              <w:rPr>
                <w:noProof/>
              </w:rPr>
            </w:pPr>
            <w:r>
              <w:rPr>
                <w:noProof/>
              </w:rPr>
              <w:t>TRIMESTRE 4</w:t>
            </w:r>
          </w:p>
        </w:tc>
        <w:tc>
          <w:tcPr>
            <w:tcW w:w="709" w:type="dxa"/>
            <w:shd w:val="clear" w:color="auto" w:fill="C6EFCE"/>
            <w:vAlign w:val="center"/>
            <w:hideMark/>
          </w:tcPr>
          <w:p w14:paraId="0B97BE34" w14:textId="77777777" w:rsidR="00025543" w:rsidRDefault="007E3A2F">
            <w:pPr>
              <w:pStyle w:val="P68B1DB1-Normal15"/>
              <w:spacing w:before="0" w:after="0" w:line="240" w:lineRule="auto"/>
              <w:jc w:val="center"/>
              <w:rPr>
                <w:noProof/>
              </w:rPr>
            </w:pPr>
            <w:r>
              <w:rPr>
                <w:noProof/>
              </w:rPr>
              <w:t>2022</w:t>
            </w:r>
          </w:p>
        </w:tc>
        <w:tc>
          <w:tcPr>
            <w:tcW w:w="3681" w:type="dxa"/>
            <w:shd w:val="clear" w:color="auto" w:fill="C6EFCE"/>
            <w:vAlign w:val="center"/>
            <w:hideMark/>
          </w:tcPr>
          <w:p w14:paraId="576886CD" w14:textId="77777777" w:rsidR="00025543" w:rsidRDefault="007E3A2F">
            <w:pPr>
              <w:pStyle w:val="P68B1DB1-Normal16"/>
              <w:spacing w:before="0" w:after="0" w:line="240" w:lineRule="auto"/>
              <w:rPr>
                <w:rFonts w:eastAsia="Times New Roman"/>
                <w:noProof/>
              </w:rPr>
            </w:pPr>
            <w:r>
              <w:rPr>
                <w:noProof/>
              </w:rPr>
              <w:t>Le jalon doit mettre en œuvre le système TECHPOINT 2.0 fournissant au public l’éventail des services assistés, des extraits des systèmes d’information de l’administration publique et la possibilité de soumettre des formulaires remplis à l’administration publique ou de communiquer avec elle. Le jalon comprend également le système d’information pour l’authentification centrale (appelé CAAIS). Le jalon est considéré comme atteint lorsque les deux parties sont mises en œuvre et mises à la disposition des utilisateurs finaux.</w:t>
            </w:r>
          </w:p>
        </w:tc>
      </w:tr>
      <w:tr w:rsidR="00025543" w14:paraId="1CE0025F" w14:textId="77777777">
        <w:trPr>
          <w:trHeight w:val="309"/>
          <w:jc w:val="center"/>
        </w:trPr>
        <w:tc>
          <w:tcPr>
            <w:tcW w:w="704" w:type="dxa"/>
            <w:shd w:val="clear" w:color="auto" w:fill="C6EFCE"/>
            <w:vAlign w:val="center"/>
            <w:hideMark/>
          </w:tcPr>
          <w:p w14:paraId="38B0522A" w14:textId="77777777" w:rsidR="00025543" w:rsidRDefault="007E3A2F">
            <w:pPr>
              <w:pStyle w:val="P68B1DB1-Normal16"/>
              <w:spacing w:line="240" w:lineRule="auto"/>
              <w:jc w:val="center"/>
              <w:rPr>
                <w:noProof/>
              </w:rPr>
            </w:pPr>
            <w:r>
              <w:rPr>
                <w:noProof/>
              </w:rPr>
              <w:t>16</w:t>
            </w:r>
          </w:p>
        </w:tc>
        <w:tc>
          <w:tcPr>
            <w:tcW w:w="1448" w:type="dxa"/>
            <w:shd w:val="clear" w:color="auto" w:fill="C6EFCE"/>
            <w:vAlign w:val="center"/>
            <w:hideMark/>
          </w:tcPr>
          <w:p w14:paraId="5F4CDFF6" w14:textId="77777777" w:rsidR="00025543" w:rsidRDefault="007E3A2F">
            <w:pPr>
              <w:pStyle w:val="P68B1DB1-Normal16"/>
              <w:spacing w:before="0" w:after="0" w:line="240" w:lineRule="auto"/>
              <w:rPr>
                <w:noProof/>
              </w:rPr>
            </w:pPr>
            <w:r>
              <w:rPr>
                <w:noProof/>
              </w:rPr>
              <w:t>Investissement 1:</w:t>
            </w:r>
          </w:p>
          <w:p w14:paraId="2338BDE1" w14:textId="77777777" w:rsidR="00025543" w:rsidRDefault="007E3A2F">
            <w:pPr>
              <w:pStyle w:val="P68B1DB1-Normal16"/>
              <w:spacing w:before="0" w:after="0" w:line="240" w:lineRule="auto"/>
              <w:rPr>
                <w:rFonts w:eastAsia="Times New Roman"/>
                <w:noProof/>
              </w:rPr>
            </w:pPr>
            <w:r>
              <w:rPr>
                <w:noProof/>
              </w:rPr>
              <w:t>Développement des systèmes d’information</w:t>
            </w:r>
          </w:p>
        </w:tc>
        <w:tc>
          <w:tcPr>
            <w:tcW w:w="1134" w:type="dxa"/>
            <w:shd w:val="clear" w:color="auto" w:fill="C6EFCE"/>
            <w:vAlign w:val="center"/>
            <w:hideMark/>
          </w:tcPr>
          <w:p w14:paraId="52D92E97" w14:textId="77777777" w:rsidR="00025543" w:rsidRDefault="007E3A2F">
            <w:pPr>
              <w:pStyle w:val="P68B1DB1-Normal16"/>
              <w:spacing w:line="240" w:lineRule="auto"/>
              <w:rPr>
                <w:noProof/>
              </w:rPr>
            </w:pPr>
            <w:r>
              <w:rPr>
                <w:noProof/>
              </w:rPr>
              <w:t>Étapes</w:t>
            </w:r>
          </w:p>
        </w:tc>
        <w:tc>
          <w:tcPr>
            <w:tcW w:w="1701" w:type="dxa"/>
            <w:shd w:val="clear" w:color="auto" w:fill="C6EFCE"/>
            <w:vAlign w:val="center"/>
            <w:hideMark/>
          </w:tcPr>
          <w:p w14:paraId="70DD2620" w14:textId="515E0D10" w:rsidR="00025543" w:rsidRDefault="007E3A2F">
            <w:pPr>
              <w:pStyle w:val="P68B1DB1-Normal16"/>
              <w:spacing w:line="240" w:lineRule="auto"/>
              <w:rPr>
                <w:noProof/>
              </w:rPr>
            </w:pPr>
            <w:r>
              <w:rPr>
                <w:noProof/>
              </w:rPr>
              <w:t>Mise à niveau et exploitation fructueuses du passeport électronique (système ePasy) et du système de visas EVC2</w:t>
            </w:r>
          </w:p>
        </w:tc>
        <w:tc>
          <w:tcPr>
            <w:tcW w:w="1843" w:type="dxa"/>
            <w:shd w:val="clear" w:color="auto" w:fill="C6EFCE"/>
            <w:vAlign w:val="center"/>
            <w:hideMark/>
          </w:tcPr>
          <w:p w14:paraId="6F0CA091" w14:textId="073C5BC1" w:rsidR="00025543" w:rsidRDefault="007E3A2F">
            <w:pPr>
              <w:pStyle w:val="P68B1DB1-Normal15"/>
              <w:spacing w:line="240" w:lineRule="auto"/>
              <w:rPr>
                <w:noProof/>
              </w:rPr>
            </w:pPr>
            <w:r>
              <w:rPr>
                <w:noProof/>
              </w:rPr>
              <w:t xml:space="preserve">Modification du système ePasy conformément à la loi modifiée sur les documents de voyage et mise à niveau du système de visas EVC2 </w:t>
            </w:r>
          </w:p>
        </w:tc>
        <w:tc>
          <w:tcPr>
            <w:tcW w:w="1077" w:type="dxa"/>
            <w:shd w:val="clear" w:color="auto" w:fill="C6EFCE"/>
            <w:vAlign w:val="center"/>
          </w:tcPr>
          <w:p w14:paraId="5278E01F" w14:textId="77777777" w:rsidR="00025543" w:rsidRDefault="00025543">
            <w:pPr>
              <w:spacing w:line="240" w:lineRule="auto"/>
              <w:rPr>
                <w:rFonts w:eastAsia="Times New Roman"/>
                <w:noProof/>
                <w:color w:val="004300"/>
                <w:sz w:val="18"/>
              </w:rPr>
            </w:pPr>
          </w:p>
        </w:tc>
        <w:tc>
          <w:tcPr>
            <w:tcW w:w="1022" w:type="dxa"/>
            <w:shd w:val="clear" w:color="auto" w:fill="C6EFCE"/>
            <w:vAlign w:val="center"/>
          </w:tcPr>
          <w:p w14:paraId="023AF270" w14:textId="77777777" w:rsidR="00025543" w:rsidRDefault="00025543">
            <w:pPr>
              <w:spacing w:line="240" w:lineRule="auto"/>
              <w:jc w:val="center"/>
              <w:rPr>
                <w:rFonts w:eastAsia="Times New Roman"/>
                <w:noProof/>
                <w:color w:val="004300"/>
                <w:sz w:val="18"/>
              </w:rPr>
            </w:pPr>
          </w:p>
        </w:tc>
        <w:tc>
          <w:tcPr>
            <w:tcW w:w="709" w:type="dxa"/>
            <w:shd w:val="clear" w:color="auto" w:fill="C6EFCE"/>
            <w:vAlign w:val="center"/>
          </w:tcPr>
          <w:p w14:paraId="2A7358C1" w14:textId="77777777" w:rsidR="00025543" w:rsidRDefault="00025543">
            <w:pPr>
              <w:spacing w:line="240" w:lineRule="auto"/>
              <w:jc w:val="center"/>
              <w:rPr>
                <w:rFonts w:eastAsia="Times New Roman"/>
                <w:noProof/>
                <w:color w:val="004300"/>
                <w:sz w:val="18"/>
              </w:rPr>
            </w:pPr>
          </w:p>
        </w:tc>
        <w:tc>
          <w:tcPr>
            <w:tcW w:w="992" w:type="dxa"/>
            <w:shd w:val="clear" w:color="auto" w:fill="C6EFCE"/>
            <w:vAlign w:val="center"/>
            <w:hideMark/>
          </w:tcPr>
          <w:p w14:paraId="2620A215" w14:textId="77777777" w:rsidR="00025543" w:rsidRDefault="007E3A2F">
            <w:pPr>
              <w:pStyle w:val="P68B1DB1-Normal15"/>
              <w:spacing w:line="240" w:lineRule="auto"/>
              <w:jc w:val="center"/>
              <w:rPr>
                <w:noProof/>
              </w:rPr>
            </w:pPr>
            <w:r>
              <w:rPr>
                <w:noProof/>
              </w:rPr>
              <w:t>TRIMESTRE 4</w:t>
            </w:r>
          </w:p>
        </w:tc>
        <w:tc>
          <w:tcPr>
            <w:tcW w:w="709" w:type="dxa"/>
            <w:shd w:val="clear" w:color="auto" w:fill="C6EFCE"/>
            <w:vAlign w:val="center"/>
            <w:hideMark/>
          </w:tcPr>
          <w:p w14:paraId="4CF6D26D" w14:textId="77777777" w:rsidR="00025543" w:rsidRDefault="007E3A2F">
            <w:pPr>
              <w:pStyle w:val="P68B1DB1-Normal15"/>
              <w:spacing w:line="240" w:lineRule="auto"/>
              <w:jc w:val="center"/>
              <w:rPr>
                <w:noProof/>
              </w:rPr>
            </w:pPr>
            <w:r>
              <w:rPr>
                <w:noProof/>
              </w:rPr>
              <w:t>2022</w:t>
            </w:r>
          </w:p>
        </w:tc>
        <w:tc>
          <w:tcPr>
            <w:tcW w:w="3681" w:type="dxa"/>
            <w:shd w:val="clear" w:color="auto" w:fill="C6EFCE"/>
            <w:vAlign w:val="center"/>
            <w:hideMark/>
          </w:tcPr>
          <w:p w14:paraId="33F36E6C" w14:textId="4E61E52B" w:rsidR="00025543" w:rsidRDefault="007E3A2F">
            <w:pPr>
              <w:pStyle w:val="P68B1DB1-Normal15"/>
              <w:spacing w:line="240" w:lineRule="auto"/>
              <w:rPr>
                <w:noProof/>
              </w:rPr>
            </w:pPr>
            <w:r>
              <w:rPr>
                <w:noProof/>
              </w:rPr>
              <w:t xml:space="preserve">Le système d’information sur l’agenda ePasy est modifié conformément à la modification de la loi no 329/1999 Rec. sur les documents de voyage et mis à la disposition des utilisateurs finaux. Le système de visas EVC2 est mis à niveau avec les fonctionnalités relatives aux visas à court et à long terme, conformément au système d’entrée/sortie (EES), et peut être testé conformément au programme euINIS. </w:t>
            </w:r>
          </w:p>
        </w:tc>
      </w:tr>
      <w:tr w:rsidR="00025543" w14:paraId="6C6038F9" w14:textId="77777777">
        <w:trPr>
          <w:trHeight w:val="309"/>
          <w:jc w:val="center"/>
        </w:trPr>
        <w:tc>
          <w:tcPr>
            <w:tcW w:w="704" w:type="dxa"/>
            <w:shd w:val="clear" w:color="auto" w:fill="C6EFCE"/>
            <w:vAlign w:val="center"/>
            <w:hideMark/>
          </w:tcPr>
          <w:p w14:paraId="58C7C7E2" w14:textId="77777777" w:rsidR="00025543" w:rsidRDefault="007E3A2F">
            <w:pPr>
              <w:pStyle w:val="P68B1DB1-Normal15"/>
              <w:spacing w:before="0" w:after="0" w:line="240" w:lineRule="auto"/>
              <w:jc w:val="center"/>
              <w:rPr>
                <w:noProof/>
              </w:rPr>
            </w:pPr>
            <w:r>
              <w:rPr>
                <w:noProof/>
              </w:rPr>
              <w:t>17</w:t>
            </w:r>
          </w:p>
        </w:tc>
        <w:tc>
          <w:tcPr>
            <w:tcW w:w="1448" w:type="dxa"/>
            <w:shd w:val="clear" w:color="auto" w:fill="C6EFCE"/>
            <w:vAlign w:val="center"/>
            <w:hideMark/>
          </w:tcPr>
          <w:p w14:paraId="034C0CFC" w14:textId="77777777" w:rsidR="00025543" w:rsidRDefault="007E3A2F">
            <w:pPr>
              <w:pStyle w:val="P68B1DB1-Normal16"/>
              <w:spacing w:before="0" w:after="0" w:line="240" w:lineRule="auto"/>
              <w:rPr>
                <w:rFonts w:eastAsia="Times New Roman"/>
                <w:noProof/>
              </w:rPr>
            </w:pPr>
            <w:r>
              <w:rPr>
                <w:noProof/>
              </w:rPr>
              <w:t>Investissement 1: Développement des systèmes d’information</w:t>
            </w:r>
          </w:p>
        </w:tc>
        <w:tc>
          <w:tcPr>
            <w:tcW w:w="1134" w:type="dxa"/>
            <w:shd w:val="clear" w:color="auto" w:fill="C6EFCE"/>
            <w:vAlign w:val="center"/>
            <w:hideMark/>
          </w:tcPr>
          <w:p w14:paraId="179AD7E5" w14:textId="77777777" w:rsidR="00025543" w:rsidRDefault="007E3A2F">
            <w:pPr>
              <w:pStyle w:val="P68B1DB1-Normal16"/>
              <w:spacing w:before="0" w:after="0" w:line="240" w:lineRule="auto"/>
              <w:rPr>
                <w:rFonts w:eastAsia="Times New Roman"/>
                <w:noProof/>
              </w:rPr>
            </w:pPr>
            <w:r>
              <w:rPr>
                <w:noProof/>
              </w:rPr>
              <w:t>Étapes</w:t>
            </w:r>
          </w:p>
        </w:tc>
        <w:tc>
          <w:tcPr>
            <w:tcW w:w="1701" w:type="dxa"/>
            <w:shd w:val="clear" w:color="auto" w:fill="C6EFCE"/>
            <w:vAlign w:val="center"/>
            <w:hideMark/>
          </w:tcPr>
          <w:p w14:paraId="2A593673" w14:textId="77777777" w:rsidR="00025543" w:rsidRDefault="007E3A2F">
            <w:pPr>
              <w:pStyle w:val="P68B1DB1-Normal16"/>
              <w:spacing w:before="0" w:after="0" w:line="240" w:lineRule="auto"/>
              <w:rPr>
                <w:rFonts w:eastAsia="Times New Roman"/>
                <w:noProof/>
              </w:rPr>
            </w:pPr>
            <w:r>
              <w:rPr>
                <w:noProof/>
              </w:rPr>
              <w:t>Bon fonctionnement du système intégré des étrangers réduisant la charge administrative des étrangers et des fonctionnaires</w:t>
            </w:r>
          </w:p>
        </w:tc>
        <w:tc>
          <w:tcPr>
            <w:tcW w:w="1843" w:type="dxa"/>
            <w:shd w:val="clear" w:color="auto" w:fill="C6EFCE"/>
            <w:vAlign w:val="center"/>
            <w:hideMark/>
          </w:tcPr>
          <w:p w14:paraId="3B8AA47B" w14:textId="77777777" w:rsidR="00025543" w:rsidRDefault="007E3A2F">
            <w:pPr>
              <w:pStyle w:val="P68B1DB1-Normal16"/>
              <w:spacing w:before="0" w:after="0" w:line="240" w:lineRule="auto"/>
              <w:rPr>
                <w:rFonts w:eastAsia="Times New Roman"/>
                <w:noProof/>
              </w:rPr>
            </w:pPr>
            <w:r>
              <w:rPr>
                <w:noProof/>
              </w:rPr>
              <w:t>Un nouveau système intégré pour les étrangers est opérationnel et fournit des services aux utilisateurs finaux</w:t>
            </w:r>
          </w:p>
        </w:tc>
        <w:tc>
          <w:tcPr>
            <w:tcW w:w="1077" w:type="dxa"/>
            <w:shd w:val="clear" w:color="auto" w:fill="C6EFCE"/>
            <w:vAlign w:val="center"/>
          </w:tcPr>
          <w:p w14:paraId="50D4E032" w14:textId="77777777" w:rsidR="00025543" w:rsidRDefault="00025543">
            <w:pPr>
              <w:spacing w:before="0" w:after="0" w:line="240" w:lineRule="auto"/>
              <w:rPr>
                <w:rFonts w:eastAsia="Times New Roman"/>
                <w:noProof/>
                <w:color w:val="004300"/>
                <w:sz w:val="18"/>
              </w:rPr>
            </w:pPr>
          </w:p>
        </w:tc>
        <w:tc>
          <w:tcPr>
            <w:tcW w:w="1022" w:type="dxa"/>
            <w:shd w:val="clear" w:color="auto" w:fill="C6EFCE"/>
            <w:vAlign w:val="center"/>
          </w:tcPr>
          <w:p w14:paraId="11A9AC05" w14:textId="77777777" w:rsidR="00025543" w:rsidRDefault="00025543">
            <w:pPr>
              <w:spacing w:before="0" w:after="0" w:line="240" w:lineRule="auto"/>
              <w:jc w:val="center"/>
              <w:rPr>
                <w:rFonts w:eastAsia="Times New Roman"/>
                <w:noProof/>
                <w:color w:val="004300"/>
                <w:sz w:val="18"/>
              </w:rPr>
            </w:pPr>
          </w:p>
        </w:tc>
        <w:tc>
          <w:tcPr>
            <w:tcW w:w="709" w:type="dxa"/>
            <w:shd w:val="clear" w:color="auto" w:fill="C6EFCE"/>
            <w:vAlign w:val="center"/>
          </w:tcPr>
          <w:p w14:paraId="3538E4BA" w14:textId="77777777" w:rsidR="00025543" w:rsidRDefault="00025543">
            <w:pPr>
              <w:spacing w:before="0" w:after="0" w:line="240" w:lineRule="auto"/>
              <w:jc w:val="center"/>
              <w:rPr>
                <w:rFonts w:eastAsia="Times New Roman"/>
                <w:noProof/>
                <w:color w:val="004300"/>
                <w:sz w:val="18"/>
              </w:rPr>
            </w:pPr>
          </w:p>
        </w:tc>
        <w:tc>
          <w:tcPr>
            <w:tcW w:w="992" w:type="dxa"/>
            <w:shd w:val="clear" w:color="auto" w:fill="C6EFCE"/>
            <w:vAlign w:val="center"/>
            <w:hideMark/>
          </w:tcPr>
          <w:p w14:paraId="62AB9427" w14:textId="1CA17532" w:rsidR="00025543" w:rsidRDefault="007E3A2F">
            <w:pPr>
              <w:pStyle w:val="P68B1DB1-Normal15"/>
              <w:spacing w:before="0" w:after="0" w:line="240" w:lineRule="auto"/>
              <w:jc w:val="center"/>
              <w:rPr>
                <w:noProof/>
              </w:rPr>
            </w:pPr>
            <w:r>
              <w:rPr>
                <w:noProof/>
              </w:rPr>
              <w:t>TRIMESTRE 1</w:t>
            </w:r>
          </w:p>
        </w:tc>
        <w:tc>
          <w:tcPr>
            <w:tcW w:w="709" w:type="dxa"/>
            <w:shd w:val="clear" w:color="auto" w:fill="C6EFCE"/>
            <w:vAlign w:val="center"/>
            <w:hideMark/>
          </w:tcPr>
          <w:p w14:paraId="6B5F7B2D" w14:textId="7919B915" w:rsidR="00025543" w:rsidRDefault="007E3A2F">
            <w:pPr>
              <w:pStyle w:val="P68B1DB1-Normal15"/>
              <w:spacing w:before="0" w:after="0" w:line="240" w:lineRule="auto"/>
              <w:jc w:val="center"/>
              <w:rPr>
                <w:noProof/>
              </w:rPr>
            </w:pPr>
            <w:r>
              <w:rPr>
                <w:noProof/>
              </w:rPr>
              <w:t>2026</w:t>
            </w:r>
          </w:p>
        </w:tc>
        <w:tc>
          <w:tcPr>
            <w:tcW w:w="3681" w:type="dxa"/>
            <w:shd w:val="clear" w:color="auto" w:fill="C6EFCE"/>
            <w:vAlign w:val="center"/>
            <w:hideMark/>
          </w:tcPr>
          <w:p w14:paraId="4905537A" w14:textId="500CCA51" w:rsidR="00025543" w:rsidRDefault="007E3A2F">
            <w:pPr>
              <w:pStyle w:val="P68B1DB1-Normal16"/>
              <w:spacing w:before="0" w:after="0" w:line="240" w:lineRule="auto"/>
              <w:rPr>
                <w:rFonts w:eastAsia="Times New Roman"/>
                <w:noProof/>
              </w:rPr>
            </w:pPr>
            <w:r>
              <w:rPr>
                <w:noProof/>
              </w:rPr>
              <w:t xml:space="preserve">Ce jalon établit un nouveau système intégré pour les étrangers (ICAS), qui permettra aux étrangers enregistrés en Tchéquie de gérer leurs affaires liées à la résidence au moyen de nouveaux services numériques pour les clients de l’administration publique dans la section concernée. </w:t>
            </w:r>
          </w:p>
        </w:tc>
      </w:tr>
      <w:tr w:rsidR="00025543" w14:paraId="159CAB5B" w14:textId="77777777">
        <w:trPr>
          <w:trHeight w:val="982"/>
          <w:jc w:val="center"/>
        </w:trPr>
        <w:tc>
          <w:tcPr>
            <w:tcW w:w="704" w:type="dxa"/>
            <w:shd w:val="clear" w:color="auto" w:fill="C6EFCE"/>
            <w:vAlign w:val="center"/>
            <w:hideMark/>
          </w:tcPr>
          <w:p w14:paraId="42769780" w14:textId="77777777" w:rsidR="00025543" w:rsidRDefault="007E3A2F">
            <w:pPr>
              <w:pStyle w:val="P68B1DB1-Normal15"/>
              <w:spacing w:before="0" w:after="0" w:line="240" w:lineRule="auto"/>
              <w:jc w:val="center"/>
              <w:rPr>
                <w:noProof/>
              </w:rPr>
            </w:pPr>
            <w:r>
              <w:rPr>
                <w:noProof/>
              </w:rPr>
              <w:t>18</w:t>
            </w:r>
          </w:p>
        </w:tc>
        <w:tc>
          <w:tcPr>
            <w:tcW w:w="1448" w:type="dxa"/>
            <w:shd w:val="clear" w:color="auto" w:fill="C6EFCE"/>
            <w:vAlign w:val="center"/>
            <w:hideMark/>
          </w:tcPr>
          <w:p w14:paraId="5A9EEAD5" w14:textId="77777777" w:rsidR="00025543" w:rsidRDefault="007E3A2F">
            <w:pPr>
              <w:pStyle w:val="P68B1DB1-Normal16"/>
              <w:spacing w:before="0" w:after="0" w:line="240" w:lineRule="auto"/>
              <w:rPr>
                <w:noProof/>
              </w:rPr>
            </w:pPr>
            <w:r>
              <w:rPr>
                <w:noProof/>
              </w:rPr>
              <w:t>Investissement 1:</w:t>
            </w:r>
          </w:p>
          <w:p w14:paraId="1DA3C559" w14:textId="77777777" w:rsidR="00025543" w:rsidRDefault="007E3A2F">
            <w:pPr>
              <w:pStyle w:val="P68B1DB1-Normal16"/>
              <w:spacing w:before="0" w:after="0" w:line="240" w:lineRule="auto"/>
              <w:rPr>
                <w:rFonts w:eastAsia="Times New Roman"/>
                <w:noProof/>
              </w:rPr>
            </w:pPr>
            <w:r>
              <w:rPr>
                <w:noProof/>
              </w:rPr>
              <w:t>Développement des systèmes d’information</w:t>
            </w:r>
          </w:p>
        </w:tc>
        <w:tc>
          <w:tcPr>
            <w:tcW w:w="1134" w:type="dxa"/>
            <w:shd w:val="clear" w:color="auto" w:fill="C6EFCE"/>
            <w:vAlign w:val="center"/>
            <w:hideMark/>
          </w:tcPr>
          <w:p w14:paraId="2ED6A440" w14:textId="77777777" w:rsidR="00025543" w:rsidRDefault="007E3A2F">
            <w:pPr>
              <w:pStyle w:val="P68B1DB1-Normal16"/>
              <w:spacing w:before="0" w:after="0" w:line="240" w:lineRule="auto"/>
              <w:rPr>
                <w:rFonts w:eastAsia="Times New Roman"/>
                <w:noProof/>
              </w:rPr>
            </w:pPr>
            <w:r>
              <w:rPr>
                <w:noProof/>
              </w:rPr>
              <w:t>Cible</w:t>
            </w:r>
          </w:p>
        </w:tc>
        <w:tc>
          <w:tcPr>
            <w:tcW w:w="1701" w:type="dxa"/>
            <w:shd w:val="clear" w:color="auto" w:fill="C6EFCE"/>
            <w:vAlign w:val="center"/>
          </w:tcPr>
          <w:p w14:paraId="7B67F893" w14:textId="77777777" w:rsidR="00025543" w:rsidRDefault="007E3A2F">
            <w:pPr>
              <w:pStyle w:val="P68B1DB1-Normal16"/>
              <w:spacing w:before="0" w:after="0" w:line="240" w:lineRule="auto"/>
              <w:rPr>
                <w:rFonts w:eastAsia="Times New Roman"/>
                <w:noProof/>
              </w:rPr>
            </w:pPr>
            <w:r>
              <w:rPr>
                <w:noProof/>
              </w:rPr>
              <w:t>Passation de marchés pour l’exécution des projets de systèmes d’information énumérés qui constituent la base dorsale du développement des systèmes d’information pour l’administration publique</w:t>
            </w:r>
          </w:p>
        </w:tc>
        <w:tc>
          <w:tcPr>
            <w:tcW w:w="1843" w:type="dxa"/>
            <w:shd w:val="clear" w:color="auto" w:fill="C6EFCE"/>
            <w:vAlign w:val="center"/>
          </w:tcPr>
          <w:p w14:paraId="5EB80AA0" w14:textId="77777777" w:rsidR="00025543" w:rsidRDefault="00025543">
            <w:pPr>
              <w:spacing w:before="0" w:after="0" w:line="240" w:lineRule="auto"/>
              <w:rPr>
                <w:rFonts w:eastAsia="Times New Roman"/>
                <w:noProof/>
                <w:color w:val="004300"/>
                <w:sz w:val="18"/>
              </w:rPr>
            </w:pPr>
          </w:p>
        </w:tc>
        <w:tc>
          <w:tcPr>
            <w:tcW w:w="1077" w:type="dxa"/>
            <w:shd w:val="clear" w:color="auto" w:fill="C6EFCE"/>
            <w:vAlign w:val="center"/>
            <w:hideMark/>
          </w:tcPr>
          <w:p w14:paraId="557C7344" w14:textId="77777777" w:rsidR="00025543" w:rsidRDefault="007E3A2F">
            <w:pPr>
              <w:pStyle w:val="P68B1DB1-Normal16"/>
              <w:spacing w:before="0" w:after="0" w:line="240" w:lineRule="auto"/>
              <w:rPr>
                <w:rFonts w:eastAsia="Times New Roman"/>
                <w:noProof/>
              </w:rPr>
            </w:pPr>
            <w:r>
              <w:rPr>
                <w:noProof/>
              </w:rPr>
              <w:t>Numéro</w:t>
            </w:r>
          </w:p>
        </w:tc>
        <w:tc>
          <w:tcPr>
            <w:tcW w:w="1022" w:type="dxa"/>
            <w:shd w:val="clear" w:color="auto" w:fill="C6EFCE"/>
            <w:vAlign w:val="center"/>
            <w:hideMark/>
          </w:tcPr>
          <w:p w14:paraId="225EDB0F" w14:textId="77777777" w:rsidR="00025543" w:rsidRDefault="007E3A2F">
            <w:pPr>
              <w:pStyle w:val="P68B1DB1-Normal15"/>
              <w:spacing w:before="0" w:after="0" w:line="240" w:lineRule="auto"/>
              <w:jc w:val="center"/>
              <w:rPr>
                <w:noProof/>
              </w:rPr>
            </w:pPr>
            <w:r>
              <w:rPr>
                <w:noProof/>
              </w:rPr>
              <w:t>0</w:t>
            </w:r>
          </w:p>
        </w:tc>
        <w:tc>
          <w:tcPr>
            <w:tcW w:w="709" w:type="dxa"/>
            <w:shd w:val="clear" w:color="auto" w:fill="C6EFCE"/>
            <w:vAlign w:val="center"/>
            <w:hideMark/>
          </w:tcPr>
          <w:p w14:paraId="2C06A2BF" w14:textId="77777777" w:rsidR="00025543" w:rsidRDefault="007E3A2F">
            <w:pPr>
              <w:pStyle w:val="P68B1DB1-Normal15"/>
              <w:spacing w:before="0" w:after="0" w:line="240" w:lineRule="auto"/>
              <w:jc w:val="center"/>
              <w:rPr>
                <w:noProof/>
              </w:rPr>
            </w:pPr>
            <w:r>
              <w:rPr>
                <w:noProof/>
              </w:rPr>
              <w:t>8</w:t>
            </w:r>
          </w:p>
        </w:tc>
        <w:tc>
          <w:tcPr>
            <w:tcW w:w="992" w:type="dxa"/>
            <w:shd w:val="clear" w:color="auto" w:fill="C6EFCE"/>
            <w:vAlign w:val="center"/>
            <w:hideMark/>
          </w:tcPr>
          <w:p w14:paraId="159E3A21" w14:textId="77777777" w:rsidR="00025543" w:rsidRDefault="007E3A2F">
            <w:pPr>
              <w:pStyle w:val="P68B1DB1-Normal15"/>
              <w:spacing w:before="0" w:after="0" w:line="240" w:lineRule="auto"/>
              <w:jc w:val="center"/>
              <w:rPr>
                <w:noProof/>
              </w:rPr>
            </w:pPr>
            <w:r>
              <w:rPr>
                <w:noProof/>
              </w:rPr>
              <w:t xml:space="preserve">TRIMESTRE 2 </w:t>
            </w:r>
          </w:p>
        </w:tc>
        <w:tc>
          <w:tcPr>
            <w:tcW w:w="709" w:type="dxa"/>
            <w:shd w:val="clear" w:color="auto" w:fill="C6EFCE"/>
            <w:vAlign w:val="center"/>
            <w:hideMark/>
          </w:tcPr>
          <w:p w14:paraId="7228B510" w14:textId="77777777" w:rsidR="00025543" w:rsidRDefault="007E3A2F">
            <w:pPr>
              <w:pStyle w:val="P68B1DB1-Normal15"/>
              <w:spacing w:before="0" w:after="0" w:line="240" w:lineRule="auto"/>
              <w:jc w:val="center"/>
              <w:rPr>
                <w:noProof/>
              </w:rPr>
            </w:pPr>
            <w:r>
              <w:rPr>
                <w:noProof/>
              </w:rPr>
              <w:t>2024</w:t>
            </w:r>
          </w:p>
        </w:tc>
        <w:tc>
          <w:tcPr>
            <w:tcW w:w="3681" w:type="dxa"/>
            <w:shd w:val="clear" w:color="auto" w:fill="C6EFCE"/>
            <w:vAlign w:val="center"/>
            <w:hideMark/>
          </w:tcPr>
          <w:p w14:paraId="1EB7260B" w14:textId="77777777" w:rsidR="00025543" w:rsidRDefault="007E3A2F">
            <w:pPr>
              <w:pStyle w:val="P68B1DB1-Normal16"/>
              <w:spacing w:before="0" w:after="0" w:line="240" w:lineRule="auto"/>
              <w:rPr>
                <w:noProof/>
              </w:rPr>
            </w:pPr>
            <w:r>
              <w:rPr>
                <w:noProof/>
              </w:rPr>
              <w:t xml:space="preserve">L’objectif est atteint grâce à la passation de marchés pour les projets suivants: </w:t>
            </w:r>
          </w:p>
          <w:p w14:paraId="733B37F4" w14:textId="77777777" w:rsidR="00025543" w:rsidRDefault="007E3A2F">
            <w:pPr>
              <w:pStyle w:val="P68B1DB1-Normal16"/>
              <w:spacing w:before="0" w:after="0" w:line="240" w:lineRule="auto"/>
              <w:rPr>
                <w:noProof/>
              </w:rPr>
            </w:pPr>
            <w:r>
              <w:rPr>
                <w:noProof/>
              </w:rPr>
              <w:t>1. Centralisation du système pour les travailleurs indépendants</w:t>
            </w:r>
          </w:p>
          <w:p w14:paraId="41DE822D" w14:textId="77777777" w:rsidR="00025543" w:rsidRDefault="007E3A2F">
            <w:pPr>
              <w:pStyle w:val="P68B1DB1-Normal16"/>
              <w:spacing w:before="0" w:after="0" w:line="240" w:lineRule="auto"/>
              <w:rPr>
                <w:noProof/>
              </w:rPr>
            </w:pPr>
            <w:r>
              <w:rPr>
                <w:noProof/>
              </w:rPr>
              <w:t>2. Échange électronique d’informations sur la sécurité sociale</w:t>
            </w:r>
          </w:p>
          <w:p w14:paraId="1034DFFA" w14:textId="77777777" w:rsidR="00025543" w:rsidRDefault="007E3A2F">
            <w:pPr>
              <w:pStyle w:val="P68B1DB1-Normal16"/>
              <w:spacing w:before="0" w:after="0" w:line="240" w:lineRule="auto"/>
              <w:rPr>
                <w:noProof/>
              </w:rPr>
            </w:pPr>
            <w:r>
              <w:rPr>
                <w:noProof/>
              </w:rPr>
              <w:t>3. Système d’information sur les subventions</w:t>
            </w:r>
          </w:p>
          <w:p w14:paraId="57813550" w14:textId="77777777" w:rsidR="00025543" w:rsidRDefault="007E3A2F">
            <w:pPr>
              <w:pStyle w:val="P68B1DB1-Normal16"/>
              <w:spacing w:before="0" w:after="0" w:line="240" w:lineRule="auto"/>
              <w:rPr>
                <w:noProof/>
              </w:rPr>
            </w:pPr>
            <w:r>
              <w:rPr>
                <w:noProof/>
              </w:rPr>
              <w:t>4. Service d’évaluation médicale</w:t>
            </w:r>
          </w:p>
          <w:p w14:paraId="12E72072" w14:textId="77777777" w:rsidR="00025543" w:rsidRDefault="007E3A2F">
            <w:pPr>
              <w:pStyle w:val="P68B1DB1-Normal16"/>
              <w:spacing w:before="0" w:after="0" w:line="240" w:lineRule="auto"/>
              <w:rPr>
                <w:noProof/>
              </w:rPr>
            </w:pPr>
            <w:r>
              <w:rPr>
                <w:noProof/>
              </w:rPr>
              <w:t>5. Optimiser le répertoire de données pour l’administration de la sécurité sociale</w:t>
            </w:r>
          </w:p>
          <w:p w14:paraId="47D47BD9" w14:textId="77777777" w:rsidR="00025543" w:rsidRDefault="007E3A2F">
            <w:pPr>
              <w:pStyle w:val="P68B1DB1-Normal16"/>
              <w:spacing w:before="0" w:after="0" w:line="240" w:lineRule="auto"/>
              <w:rPr>
                <w:noProof/>
              </w:rPr>
            </w:pPr>
            <w:r>
              <w:rPr>
                <w:noProof/>
              </w:rPr>
              <w:t>6. Système de succursales de services de dépôt électronique</w:t>
            </w:r>
          </w:p>
          <w:p w14:paraId="3DA003C8" w14:textId="77777777" w:rsidR="00025543" w:rsidRDefault="007E3A2F">
            <w:pPr>
              <w:pStyle w:val="P68B1DB1-Normal16"/>
              <w:spacing w:before="0" w:after="0" w:line="240" w:lineRule="auto"/>
              <w:rPr>
                <w:noProof/>
              </w:rPr>
            </w:pPr>
            <w:r>
              <w:rPr>
                <w:noProof/>
              </w:rPr>
              <w:t xml:space="preserve">7. Point central d’authentification pour l’Office statistique tchèque et intégration des registres statistiques dans la réserve de données connectée </w:t>
            </w:r>
          </w:p>
          <w:p w14:paraId="3EBDE23A" w14:textId="77777777" w:rsidR="00025543" w:rsidRDefault="007E3A2F">
            <w:pPr>
              <w:pStyle w:val="P68B1DB1-Normal16"/>
              <w:spacing w:before="0" w:after="0" w:line="240" w:lineRule="auto"/>
              <w:rPr>
                <w:noProof/>
              </w:rPr>
            </w:pPr>
            <w:r>
              <w:rPr>
                <w:noProof/>
              </w:rPr>
              <w:t>8. Système d’information sur les collections de musées</w:t>
            </w:r>
          </w:p>
        </w:tc>
      </w:tr>
      <w:tr w:rsidR="00025543" w14:paraId="5C29798A" w14:textId="77777777">
        <w:trPr>
          <w:trHeight w:val="309"/>
          <w:jc w:val="center"/>
        </w:trPr>
        <w:tc>
          <w:tcPr>
            <w:tcW w:w="704" w:type="dxa"/>
            <w:shd w:val="clear" w:color="auto" w:fill="C6EFCE"/>
            <w:vAlign w:val="center"/>
            <w:hideMark/>
          </w:tcPr>
          <w:p w14:paraId="36668532" w14:textId="77777777" w:rsidR="00025543" w:rsidRDefault="007E3A2F">
            <w:pPr>
              <w:pStyle w:val="P68B1DB1-Normal15"/>
              <w:spacing w:before="0" w:after="0" w:line="240" w:lineRule="auto"/>
              <w:jc w:val="center"/>
              <w:rPr>
                <w:noProof/>
              </w:rPr>
            </w:pPr>
            <w:r>
              <w:rPr>
                <w:noProof/>
              </w:rPr>
              <w:t>19</w:t>
            </w:r>
          </w:p>
        </w:tc>
        <w:tc>
          <w:tcPr>
            <w:tcW w:w="1448" w:type="dxa"/>
            <w:shd w:val="clear" w:color="auto" w:fill="C6EFCE"/>
            <w:vAlign w:val="center"/>
            <w:hideMark/>
          </w:tcPr>
          <w:p w14:paraId="16109F6A" w14:textId="77777777" w:rsidR="00025543" w:rsidRDefault="007E3A2F">
            <w:pPr>
              <w:pStyle w:val="P68B1DB1-Normal15"/>
              <w:spacing w:before="0" w:after="0" w:line="240" w:lineRule="auto"/>
              <w:rPr>
                <w:noProof/>
              </w:rPr>
            </w:pPr>
            <w:r>
              <w:rPr>
                <w:noProof/>
              </w:rPr>
              <w:t>Investissement 1:</w:t>
            </w:r>
          </w:p>
          <w:p w14:paraId="16C06D97" w14:textId="77777777" w:rsidR="00025543" w:rsidRDefault="007E3A2F">
            <w:pPr>
              <w:pStyle w:val="P68B1DB1-Normal15"/>
              <w:spacing w:before="0" w:after="0" w:line="240" w:lineRule="auto"/>
              <w:rPr>
                <w:noProof/>
              </w:rPr>
            </w:pPr>
            <w:r>
              <w:rPr>
                <w:noProof/>
              </w:rPr>
              <w:t>Développement des systèmes d’information</w:t>
            </w:r>
          </w:p>
        </w:tc>
        <w:tc>
          <w:tcPr>
            <w:tcW w:w="1134" w:type="dxa"/>
            <w:shd w:val="clear" w:color="auto" w:fill="C6EFCE"/>
            <w:vAlign w:val="center"/>
            <w:hideMark/>
          </w:tcPr>
          <w:p w14:paraId="6F3909A7" w14:textId="77777777" w:rsidR="00025543" w:rsidRDefault="007E3A2F">
            <w:pPr>
              <w:pStyle w:val="P68B1DB1-Normal15"/>
              <w:spacing w:before="0" w:after="0" w:line="240" w:lineRule="auto"/>
              <w:rPr>
                <w:noProof/>
              </w:rPr>
            </w:pPr>
            <w:r>
              <w:rPr>
                <w:noProof/>
              </w:rPr>
              <w:t> Cible</w:t>
            </w:r>
          </w:p>
        </w:tc>
        <w:tc>
          <w:tcPr>
            <w:tcW w:w="1701" w:type="dxa"/>
            <w:shd w:val="clear" w:color="auto" w:fill="C6EFCE"/>
            <w:vAlign w:val="center"/>
            <w:hideMark/>
          </w:tcPr>
          <w:p w14:paraId="7A3436AA" w14:textId="15BA5C45" w:rsidR="00025543" w:rsidRDefault="007E3A2F">
            <w:pPr>
              <w:pStyle w:val="P68B1DB1-Normal16"/>
              <w:spacing w:before="0" w:after="0" w:line="240" w:lineRule="auto"/>
              <w:rPr>
                <w:rFonts w:eastAsia="Times New Roman"/>
                <w:noProof/>
              </w:rPr>
            </w:pPr>
            <w:r>
              <w:rPr>
                <w:noProof/>
              </w:rPr>
              <w:t xml:space="preserve">Bon fonctionnement des systèmes d’information nouveaux ou modernisés de l’administration publique (achèvement des projets faisant l’objet d’un contrat au titre de l’ </w:t>
            </w:r>
            <w:r>
              <w:rPr>
                <w:noProof/>
                <w:u w:val="single"/>
              </w:rPr>
              <w:t>objectif 18)</w:t>
            </w:r>
          </w:p>
        </w:tc>
        <w:tc>
          <w:tcPr>
            <w:tcW w:w="1843" w:type="dxa"/>
            <w:shd w:val="clear" w:color="auto" w:fill="C6EFCE"/>
            <w:vAlign w:val="center"/>
          </w:tcPr>
          <w:p w14:paraId="40220048" w14:textId="77777777" w:rsidR="00025543" w:rsidRDefault="00025543">
            <w:pPr>
              <w:spacing w:before="0" w:after="0" w:line="240" w:lineRule="auto"/>
              <w:rPr>
                <w:rFonts w:eastAsia="Times New Roman"/>
                <w:noProof/>
                <w:color w:val="004300"/>
                <w:sz w:val="18"/>
              </w:rPr>
            </w:pPr>
          </w:p>
        </w:tc>
        <w:tc>
          <w:tcPr>
            <w:tcW w:w="1077" w:type="dxa"/>
            <w:shd w:val="clear" w:color="auto" w:fill="C6EFCE"/>
            <w:vAlign w:val="center"/>
            <w:hideMark/>
          </w:tcPr>
          <w:p w14:paraId="7371B2FA" w14:textId="29728A8D" w:rsidR="00025543" w:rsidRDefault="007E3A2F">
            <w:pPr>
              <w:pStyle w:val="P68B1DB1-Normal15"/>
              <w:spacing w:before="0" w:after="0" w:line="240" w:lineRule="auto"/>
              <w:rPr>
                <w:noProof/>
              </w:rPr>
            </w:pPr>
            <w:r>
              <w:rPr>
                <w:noProof/>
              </w:rPr>
              <w:t>Numéro</w:t>
            </w:r>
          </w:p>
        </w:tc>
        <w:tc>
          <w:tcPr>
            <w:tcW w:w="1022" w:type="dxa"/>
            <w:shd w:val="clear" w:color="auto" w:fill="C6EFCE"/>
            <w:vAlign w:val="center"/>
            <w:hideMark/>
          </w:tcPr>
          <w:p w14:paraId="6BEC2571" w14:textId="77777777" w:rsidR="00025543" w:rsidRDefault="007E3A2F">
            <w:pPr>
              <w:pStyle w:val="P68B1DB1-Normal15"/>
              <w:spacing w:before="0" w:after="0" w:line="240" w:lineRule="auto"/>
              <w:jc w:val="center"/>
              <w:rPr>
                <w:noProof/>
              </w:rPr>
            </w:pPr>
            <w:r>
              <w:rPr>
                <w:noProof/>
              </w:rPr>
              <w:t>0</w:t>
            </w:r>
          </w:p>
        </w:tc>
        <w:tc>
          <w:tcPr>
            <w:tcW w:w="709" w:type="dxa"/>
            <w:shd w:val="clear" w:color="auto" w:fill="C6EFCE"/>
            <w:vAlign w:val="center"/>
            <w:hideMark/>
          </w:tcPr>
          <w:p w14:paraId="5D654D5F" w14:textId="77777777" w:rsidR="00025543" w:rsidRDefault="007E3A2F">
            <w:pPr>
              <w:pStyle w:val="P68B1DB1-Normal15"/>
              <w:spacing w:before="0" w:after="0" w:line="240" w:lineRule="auto"/>
              <w:jc w:val="center"/>
              <w:rPr>
                <w:noProof/>
              </w:rPr>
            </w:pPr>
            <w:r>
              <w:rPr>
                <w:noProof/>
              </w:rPr>
              <w:t>8</w:t>
            </w:r>
          </w:p>
        </w:tc>
        <w:tc>
          <w:tcPr>
            <w:tcW w:w="992" w:type="dxa"/>
            <w:shd w:val="clear" w:color="auto" w:fill="C6EFCE"/>
            <w:vAlign w:val="center"/>
            <w:hideMark/>
          </w:tcPr>
          <w:p w14:paraId="12560FF4" w14:textId="77777777" w:rsidR="00025543" w:rsidRDefault="007E3A2F">
            <w:pPr>
              <w:pStyle w:val="P68B1DB1-Normal15"/>
              <w:spacing w:before="0" w:after="0" w:line="240" w:lineRule="auto"/>
              <w:jc w:val="center"/>
              <w:rPr>
                <w:noProof/>
              </w:rPr>
            </w:pPr>
            <w:r>
              <w:rPr>
                <w:noProof/>
              </w:rPr>
              <w:t>TRIMESTRE 4</w:t>
            </w:r>
          </w:p>
        </w:tc>
        <w:tc>
          <w:tcPr>
            <w:tcW w:w="709" w:type="dxa"/>
            <w:shd w:val="clear" w:color="auto" w:fill="C6EFCE"/>
            <w:vAlign w:val="center"/>
            <w:hideMark/>
          </w:tcPr>
          <w:p w14:paraId="0AAEC056" w14:textId="77777777" w:rsidR="00025543" w:rsidRDefault="007E3A2F">
            <w:pPr>
              <w:pStyle w:val="P68B1DB1-Normal15"/>
              <w:spacing w:before="0" w:after="0" w:line="240" w:lineRule="auto"/>
              <w:jc w:val="center"/>
              <w:rPr>
                <w:noProof/>
              </w:rPr>
            </w:pPr>
            <w:r>
              <w:rPr>
                <w:noProof/>
              </w:rPr>
              <w:t>2025</w:t>
            </w:r>
          </w:p>
        </w:tc>
        <w:tc>
          <w:tcPr>
            <w:tcW w:w="3681" w:type="dxa"/>
            <w:shd w:val="clear" w:color="auto" w:fill="C6EFCE"/>
            <w:vAlign w:val="center"/>
            <w:hideMark/>
          </w:tcPr>
          <w:p w14:paraId="6D155BA9" w14:textId="13781962" w:rsidR="00025543" w:rsidRDefault="007E3A2F">
            <w:pPr>
              <w:pStyle w:val="P68B1DB1-Normal16"/>
              <w:spacing w:before="0" w:after="0" w:line="240" w:lineRule="auto"/>
              <w:rPr>
                <w:noProof/>
              </w:rPr>
            </w:pPr>
            <w:r>
              <w:rPr>
                <w:noProof/>
              </w:rPr>
              <w:t>Les systèmes d’information nouveaux ou modernisés doivent être complétés par les projets suivants:</w:t>
            </w:r>
          </w:p>
          <w:p w14:paraId="676A59FA" w14:textId="77777777" w:rsidR="00025543" w:rsidRDefault="007E3A2F">
            <w:pPr>
              <w:pStyle w:val="P68B1DB1-Normal16"/>
              <w:spacing w:before="0" w:after="0" w:line="240" w:lineRule="auto"/>
              <w:rPr>
                <w:noProof/>
              </w:rPr>
            </w:pPr>
            <w:r>
              <w:rPr>
                <w:noProof/>
              </w:rPr>
              <w:t>1. Centralisation du système pour les travailleurs indépendants</w:t>
            </w:r>
          </w:p>
          <w:p w14:paraId="760AC820" w14:textId="77777777" w:rsidR="00025543" w:rsidRDefault="007E3A2F">
            <w:pPr>
              <w:pStyle w:val="P68B1DB1-Normal16"/>
              <w:spacing w:before="0" w:after="0" w:line="240" w:lineRule="auto"/>
              <w:rPr>
                <w:noProof/>
              </w:rPr>
            </w:pPr>
            <w:r>
              <w:rPr>
                <w:noProof/>
              </w:rPr>
              <w:t>2. Échange électronique d’informations sur la sécurité sociale</w:t>
            </w:r>
          </w:p>
          <w:p w14:paraId="16AC5A94" w14:textId="77777777" w:rsidR="00025543" w:rsidRDefault="007E3A2F">
            <w:pPr>
              <w:pStyle w:val="P68B1DB1-Normal16"/>
              <w:spacing w:before="0" w:after="0" w:line="240" w:lineRule="auto"/>
              <w:rPr>
                <w:noProof/>
              </w:rPr>
            </w:pPr>
            <w:r>
              <w:rPr>
                <w:noProof/>
              </w:rPr>
              <w:t>3. Système d’information sur les subventions</w:t>
            </w:r>
          </w:p>
          <w:p w14:paraId="6D1BA96B" w14:textId="77777777" w:rsidR="00025543" w:rsidRDefault="007E3A2F">
            <w:pPr>
              <w:pStyle w:val="P68B1DB1-Normal16"/>
              <w:spacing w:before="0" w:after="0" w:line="240" w:lineRule="auto"/>
              <w:rPr>
                <w:noProof/>
              </w:rPr>
            </w:pPr>
            <w:r>
              <w:rPr>
                <w:noProof/>
              </w:rPr>
              <w:t>4. Service d’évaluation médicale</w:t>
            </w:r>
          </w:p>
          <w:p w14:paraId="593F5CEA" w14:textId="77777777" w:rsidR="00025543" w:rsidRDefault="007E3A2F">
            <w:pPr>
              <w:pStyle w:val="P68B1DB1-Normal16"/>
              <w:spacing w:before="0" w:after="0" w:line="240" w:lineRule="auto"/>
              <w:rPr>
                <w:noProof/>
              </w:rPr>
            </w:pPr>
            <w:r>
              <w:rPr>
                <w:noProof/>
              </w:rPr>
              <w:t>5. Optimiser le répertoire de données pour l’administration de la sécurité sociale</w:t>
            </w:r>
          </w:p>
          <w:p w14:paraId="6EDC5E56" w14:textId="77777777" w:rsidR="00025543" w:rsidRDefault="007E3A2F">
            <w:pPr>
              <w:pStyle w:val="P68B1DB1-Normal16"/>
              <w:spacing w:before="0" w:after="0" w:line="240" w:lineRule="auto"/>
              <w:rPr>
                <w:noProof/>
              </w:rPr>
            </w:pPr>
            <w:r>
              <w:rPr>
                <w:noProof/>
              </w:rPr>
              <w:t>6. Système de succursales de services de dépôt électronique</w:t>
            </w:r>
          </w:p>
          <w:p w14:paraId="171C0793" w14:textId="77777777" w:rsidR="00025543" w:rsidRDefault="007E3A2F">
            <w:pPr>
              <w:pStyle w:val="P68B1DB1-Normal16"/>
              <w:spacing w:before="0" w:after="0" w:line="240" w:lineRule="auto"/>
              <w:rPr>
                <w:noProof/>
              </w:rPr>
            </w:pPr>
            <w:r>
              <w:rPr>
                <w:noProof/>
              </w:rPr>
              <w:t xml:space="preserve">7. Point central d’authentification pour l’Office statistique tchèque et intégration des registres statistiques dans la réserve de données connectée </w:t>
            </w:r>
          </w:p>
          <w:p w14:paraId="295B4F78" w14:textId="7650D3FC" w:rsidR="00025543" w:rsidRDefault="007E3A2F">
            <w:pPr>
              <w:pStyle w:val="P68B1DB1-Normal16"/>
              <w:spacing w:before="0" w:after="0" w:line="240" w:lineRule="auto"/>
              <w:rPr>
                <w:noProof/>
              </w:rPr>
            </w:pPr>
            <w:r>
              <w:rPr>
                <w:noProof/>
              </w:rPr>
              <w:t>8. Système d’information sur les collections de musées</w:t>
            </w:r>
          </w:p>
          <w:p w14:paraId="2F0489DC" w14:textId="77777777" w:rsidR="00025543" w:rsidRDefault="00025543">
            <w:pPr>
              <w:spacing w:before="0" w:after="0" w:line="240" w:lineRule="auto"/>
              <w:rPr>
                <w:noProof/>
                <w:color w:val="004300"/>
                <w:sz w:val="18"/>
              </w:rPr>
            </w:pPr>
          </w:p>
        </w:tc>
      </w:tr>
      <w:tr w:rsidR="00025543" w14:paraId="4480DD1E" w14:textId="77777777">
        <w:trPr>
          <w:trHeight w:val="309"/>
          <w:jc w:val="center"/>
        </w:trPr>
        <w:tc>
          <w:tcPr>
            <w:tcW w:w="704" w:type="dxa"/>
            <w:shd w:val="clear" w:color="auto" w:fill="C6EFCE"/>
            <w:vAlign w:val="center"/>
            <w:hideMark/>
          </w:tcPr>
          <w:p w14:paraId="3E287AF3" w14:textId="77777777" w:rsidR="00025543" w:rsidRDefault="007E3A2F">
            <w:pPr>
              <w:pStyle w:val="P68B1DB1-Normal15"/>
              <w:spacing w:before="0" w:after="0" w:line="240" w:lineRule="auto"/>
              <w:jc w:val="center"/>
              <w:rPr>
                <w:noProof/>
              </w:rPr>
            </w:pPr>
            <w:r>
              <w:rPr>
                <w:noProof/>
              </w:rPr>
              <w:t>20</w:t>
            </w:r>
          </w:p>
        </w:tc>
        <w:tc>
          <w:tcPr>
            <w:tcW w:w="1448" w:type="dxa"/>
            <w:shd w:val="clear" w:color="auto" w:fill="C6EFCE"/>
            <w:vAlign w:val="center"/>
            <w:hideMark/>
          </w:tcPr>
          <w:p w14:paraId="3201919F" w14:textId="77777777" w:rsidR="00025543" w:rsidRDefault="007E3A2F">
            <w:pPr>
              <w:pStyle w:val="P68B1DB1-Normal15"/>
              <w:spacing w:before="0" w:after="0" w:line="240" w:lineRule="auto"/>
              <w:rPr>
                <w:noProof/>
              </w:rPr>
            </w:pPr>
            <w:r>
              <w:rPr>
                <w:noProof/>
              </w:rPr>
              <w:t>Investissement 2:</w:t>
            </w:r>
          </w:p>
          <w:p w14:paraId="013C5656" w14:textId="77777777" w:rsidR="00025543" w:rsidRDefault="007E3A2F">
            <w:pPr>
              <w:pStyle w:val="P68B1DB1-Normal15"/>
              <w:spacing w:before="0" w:after="0" w:line="240" w:lineRule="auto"/>
              <w:rPr>
                <w:noProof/>
              </w:rPr>
            </w:pPr>
            <w:r>
              <w:rPr>
                <w:noProof/>
              </w:rPr>
              <w:t>Mise en place de registres et d’installations essentiels pour l’administration en ligne</w:t>
            </w:r>
          </w:p>
        </w:tc>
        <w:tc>
          <w:tcPr>
            <w:tcW w:w="1134" w:type="dxa"/>
            <w:shd w:val="clear" w:color="auto" w:fill="C6EFCE"/>
            <w:vAlign w:val="center"/>
            <w:hideMark/>
          </w:tcPr>
          <w:p w14:paraId="02C8BEFE" w14:textId="77777777" w:rsidR="00025543" w:rsidRDefault="007E3A2F">
            <w:pPr>
              <w:pStyle w:val="P68B1DB1-Normal15"/>
              <w:spacing w:before="0" w:after="0" w:line="240" w:lineRule="auto"/>
              <w:rPr>
                <w:noProof/>
              </w:rPr>
            </w:pPr>
            <w:r>
              <w:rPr>
                <w:noProof/>
              </w:rPr>
              <w:t> Étapes</w:t>
            </w:r>
          </w:p>
        </w:tc>
        <w:tc>
          <w:tcPr>
            <w:tcW w:w="1701" w:type="dxa"/>
            <w:shd w:val="clear" w:color="auto" w:fill="C6EFCE"/>
            <w:vAlign w:val="center"/>
            <w:hideMark/>
          </w:tcPr>
          <w:p w14:paraId="6A53CE05" w14:textId="0172765C" w:rsidR="00025543" w:rsidRDefault="007E3A2F">
            <w:pPr>
              <w:pStyle w:val="P68B1DB1-Normal15"/>
              <w:spacing w:before="0" w:after="0" w:line="240" w:lineRule="auto"/>
              <w:rPr>
                <w:noProof/>
              </w:rPr>
            </w:pPr>
            <w:r>
              <w:rPr>
                <w:noProof/>
              </w:rPr>
              <w:t>Achèvement d’un centre de données entièrement opérationnel défini par logiciel, comprenant des conteneurs de données</w:t>
            </w:r>
          </w:p>
        </w:tc>
        <w:tc>
          <w:tcPr>
            <w:tcW w:w="1843" w:type="dxa"/>
            <w:shd w:val="clear" w:color="auto" w:fill="C6EFCE"/>
            <w:vAlign w:val="center"/>
            <w:hideMark/>
          </w:tcPr>
          <w:p w14:paraId="2C13808D" w14:textId="77777777" w:rsidR="00025543" w:rsidRDefault="007E3A2F">
            <w:pPr>
              <w:pStyle w:val="P68B1DB1-Normal16"/>
              <w:spacing w:before="0" w:after="0" w:line="240" w:lineRule="auto"/>
              <w:rPr>
                <w:noProof/>
              </w:rPr>
            </w:pPr>
            <w:r>
              <w:rPr>
                <w:noProof/>
              </w:rPr>
              <w:t>Test réussi et adoption de la mise en place d’un nouveau centre de données par le ministère du travail et des affaires sociales</w:t>
            </w:r>
          </w:p>
        </w:tc>
        <w:tc>
          <w:tcPr>
            <w:tcW w:w="1077" w:type="dxa"/>
            <w:shd w:val="clear" w:color="auto" w:fill="C6EFCE"/>
            <w:vAlign w:val="center"/>
            <w:hideMark/>
          </w:tcPr>
          <w:p w14:paraId="03376D94" w14:textId="77777777" w:rsidR="00025543" w:rsidRDefault="007E3A2F">
            <w:pPr>
              <w:pStyle w:val="P68B1DB1-Normal15"/>
              <w:spacing w:before="0" w:after="0" w:line="240" w:lineRule="auto"/>
              <w:rPr>
                <w:noProof/>
              </w:rPr>
            </w:pPr>
            <w:r>
              <w:rPr>
                <w:noProof/>
              </w:rPr>
              <w:t> </w:t>
            </w:r>
          </w:p>
        </w:tc>
        <w:tc>
          <w:tcPr>
            <w:tcW w:w="1022" w:type="dxa"/>
            <w:shd w:val="clear" w:color="auto" w:fill="C6EFCE"/>
            <w:vAlign w:val="center"/>
            <w:hideMark/>
          </w:tcPr>
          <w:p w14:paraId="00737DC4" w14:textId="77777777" w:rsidR="00025543" w:rsidRDefault="00025543">
            <w:pPr>
              <w:spacing w:before="0" w:after="0" w:line="240" w:lineRule="auto"/>
              <w:jc w:val="center"/>
              <w:rPr>
                <w:rFonts w:eastAsia="Times New Roman"/>
                <w:noProof/>
                <w:color w:val="004300"/>
                <w:sz w:val="18"/>
              </w:rPr>
            </w:pPr>
          </w:p>
        </w:tc>
        <w:tc>
          <w:tcPr>
            <w:tcW w:w="709" w:type="dxa"/>
            <w:shd w:val="clear" w:color="auto" w:fill="C6EFCE"/>
            <w:vAlign w:val="center"/>
            <w:hideMark/>
          </w:tcPr>
          <w:p w14:paraId="69AC881E" w14:textId="77777777" w:rsidR="00025543" w:rsidRDefault="00025543">
            <w:pPr>
              <w:spacing w:before="0" w:after="0" w:line="240" w:lineRule="auto"/>
              <w:jc w:val="center"/>
              <w:rPr>
                <w:rFonts w:eastAsia="Times New Roman"/>
                <w:noProof/>
                <w:color w:val="004300"/>
                <w:sz w:val="18"/>
              </w:rPr>
            </w:pPr>
          </w:p>
        </w:tc>
        <w:tc>
          <w:tcPr>
            <w:tcW w:w="992" w:type="dxa"/>
            <w:shd w:val="clear" w:color="auto" w:fill="C6EFCE"/>
            <w:vAlign w:val="center"/>
            <w:hideMark/>
          </w:tcPr>
          <w:p w14:paraId="1AEED56A" w14:textId="77777777" w:rsidR="00025543" w:rsidRDefault="007E3A2F">
            <w:pPr>
              <w:pStyle w:val="P68B1DB1-Normal15"/>
              <w:spacing w:before="0" w:after="0" w:line="240" w:lineRule="auto"/>
              <w:jc w:val="center"/>
              <w:rPr>
                <w:noProof/>
              </w:rPr>
            </w:pPr>
            <w:r>
              <w:rPr>
                <w:noProof/>
              </w:rPr>
              <w:t>TRIMESTRE 4</w:t>
            </w:r>
          </w:p>
        </w:tc>
        <w:tc>
          <w:tcPr>
            <w:tcW w:w="709" w:type="dxa"/>
            <w:shd w:val="clear" w:color="auto" w:fill="C6EFCE"/>
            <w:vAlign w:val="center"/>
            <w:hideMark/>
          </w:tcPr>
          <w:p w14:paraId="577E072B" w14:textId="77777777" w:rsidR="00025543" w:rsidRDefault="007E3A2F">
            <w:pPr>
              <w:pStyle w:val="P68B1DB1-Normal15"/>
              <w:spacing w:before="0" w:after="0" w:line="240" w:lineRule="auto"/>
              <w:jc w:val="center"/>
              <w:rPr>
                <w:noProof/>
              </w:rPr>
            </w:pPr>
            <w:r>
              <w:rPr>
                <w:noProof/>
              </w:rPr>
              <w:t>2022</w:t>
            </w:r>
          </w:p>
        </w:tc>
        <w:tc>
          <w:tcPr>
            <w:tcW w:w="3681" w:type="dxa"/>
            <w:shd w:val="clear" w:color="auto" w:fill="C6EFCE"/>
            <w:vAlign w:val="center"/>
            <w:hideMark/>
          </w:tcPr>
          <w:p w14:paraId="18E5D749" w14:textId="1F334BEA" w:rsidR="00025543" w:rsidRDefault="007E3A2F">
            <w:pPr>
              <w:pStyle w:val="P68B1DB1-Normal16"/>
              <w:spacing w:before="0" w:after="0" w:line="240" w:lineRule="auto"/>
              <w:rPr>
                <w:rFonts w:eastAsia="Times New Roman"/>
                <w:noProof/>
              </w:rPr>
            </w:pPr>
            <w:r>
              <w:rPr>
                <w:noProof/>
              </w:rPr>
              <w:t>Le jalon est considéré comme atteint une fois que le nouveau centre de données sera pleinement opérationnel et mis à la disposition des utilisateurs finaux.</w:t>
            </w:r>
          </w:p>
        </w:tc>
      </w:tr>
      <w:tr w:rsidR="00025543" w14:paraId="5A8C1FFF" w14:textId="77777777">
        <w:trPr>
          <w:trHeight w:val="309"/>
          <w:jc w:val="center"/>
        </w:trPr>
        <w:tc>
          <w:tcPr>
            <w:tcW w:w="704" w:type="dxa"/>
            <w:shd w:val="clear" w:color="auto" w:fill="C6EFCE"/>
            <w:vAlign w:val="center"/>
            <w:hideMark/>
          </w:tcPr>
          <w:p w14:paraId="1EAF9A52" w14:textId="77777777" w:rsidR="00025543" w:rsidRDefault="007E3A2F">
            <w:pPr>
              <w:pStyle w:val="P68B1DB1-Normal15"/>
              <w:spacing w:before="0" w:after="0" w:line="240" w:lineRule="auto"/>
              <w:jc w:val="center"/>
              <w:rPr>
                <w:noProof/>
              </w:rPr>
            </w:pPr>
            <w:r>
              <w:rPr>
                <w:noProof/>
              </w:rPr>
              <w:t>21</w:t>
            </w:r>
          </w:p>
        </w:tc>
        <w:tc>
          <w:tcPr>
            <w:tcW w:w="1448" w:type="dxa"/>
            <w:shd w:val="clear" w:color="auto" w:fill="C6EFCE"/>
            <w:vAlign w:val="center"/>
            <w:hideMark/>
          </w:tcPr>
          <w:p w14:paraId="51C00E22" w14:textId="77777777" w:rsidR="00025543" w:rsidRDefault="007E3A2F">
            <w:pPr>
              <w:pStyle w:val="P68B1DB1-Normal15"/>
              <w:spacing w:before="0" w:after="0" w:line="240" w:lineRule="auto"/>
              <w:rPr>
                <w:noProof/>
              </w:rPr>
            </w:pPr>
            <w:r>
              <w:rPr>
                <w:noProof/>
              </w:rPr>
              <w:t>Investissement 2:</w:t>
            </w:r>
          </w:p>
          <w:p w14:paraId="4FEB2018" w14:textId="77777777" w:rsidR="00025543" w:rsidRDefault="007E3A2F">
            <w:pPr>
              <w:pStyle w:val="P68B1DB1-Normal15"/>
              <w:spacing w:before="0" w:after="0" w:line="240" w:lineRule="auto"/>
              <w:rPr>
                <w:noProof/>
              </w:rPr>
            </w:pPr>
            <w:r>
              <w:rPr>
                <w:noProof/>
              </w:rPr>
              <w:t>Mise en place de registres et d’installations essentiels pour l’administration en ligne</w:t>
            </w:r>
          </w:p>
        </w:tc>
        <w:tc>
          <w:tcPr>
            <w:tcW w:w="1134" w:type="dxa"/>
            <w:shd w:val="clear" w:color="auto" w:fill="C6EFCE"/>
            <w:vAlign w:val="center"/>
            <w:hideMark/>
          </w:tcPr>
          <w:p w14:paraId="0A3B0839" w14:textId="77777777" w:rsidR="00025543" w:rsidRDefault="007E3A2F">
            <w:pPr>
              <w:pStyle w:val="P68B1DB1-Normal15"/>
              <w:spacing w:before="0" w:after="0" w:line="240" w:lineRule="auto"/>
              <w:rPr>
                <w:noProof/>
              </w:rPr>
            </w:pPr>
            <w:r>
              <w:rPr>
                <w:noProof/>
              </w:rPr>
              <w:t>Étapes</w:t>
            </w:r>
          </w:p>
        </w:tc>
        <w:tc>
          <w:tcPr>
            <w:tcW w:w="1701" w:type="dxa"/>
            <w:shd w:val="clear" w:color="auto" w:fill="C6EFCE"/>
            <w:vAlign w:val="center"/>
            <w:hideMark/>
          </w:tcPr>
          <w:p w14:paraId="15B71B79" w14:textId="77777777" w:rsidR="00025543" w:rsidRDefault="007E3A2F">
            <w:pPr>
              <w:pStyle w:val="P68B1DB1-Normal12"/>
              <w:spacing w:before="0" w:after="0" w:line="240" w:lineRule="auto"/>
              <w:rPr>
                <w:rFonts w:eastAsia="Times New Roman"/>
                <w:noProof/>
                <w:color w:val="004300"/>
              </w:rPr>
            </w:pPr>
            <w:r>
              <w:rPr>
                <w:noProof/>
                <w:color w:val="004300"/>
              </w:rPr>
              <w:t xml:space="preserve">Achèvement des projets énumérés qui augmentent la capacité </w:t>
            </w:r>
            <w:r>
              <w:rPr>
                <w:rFonts w:eastAsia="Times New Roman"/>
                <w:noProof/>
                <w:color w:val="004300"/>
              </w:rPr>
              <w:t>de transmission du point central des services et</w:t>
            </w:r>
            <w:r>
              <w:rPr>
                <w:rFonts w:eastAsia="Times New Roman"/>
                <w:noProof/>
              </w:rPr>
              <w:t xml:space="preserve"> </w:t>
            </w:r>
            <w:r>
              <w:rPr>
                <w:rFonts w:eastAsia="Times New Roman"/>
                <w:noProof/>
                <w:color w:val="004300"/>
              </w:rPr>
              <w:t>modernisent et optimisent</w:t>
            </w:r>
            <w:r>
              <w:rPr>
                <w:noProof/>
                <w:color w:val="004300"/>
              </w:rPr>
              <w:t>l’infrastructure de communication et d’information et les systèmes d’information.</w:t>
            </w:r>
          </w:p>
        </w:tc>
        <w:tc>
          <w:tcPr>
            <w:tcW w:w="1843" w:type="dxa"/>
            <w:shd w:val="clear" w:color="auto" w:fill="C6EFCE"/>
            <w:vAlign w:val="center"/>
            <w:hideMark/>
          </w:tcPr>
          <w:p w14:paraId="2CA59D3E" w14:textId="77777777" w:rsidR="00025543" w:rsidRDefault="007E3A2F">
            <w:pPr>
              <w:pStyle w:val="P68B1DB1-Normal15"/>
              <w:spacing w:before="0" w:after="0" w:line="240" w:lineRule="auto"/>
              <w:rPr>
                <w:noProof/>
              </w:rPr>
            </w:pPr>
            <w:r>
              <w:rPr>
                <w:noProof/>
              </w:rPr>
              <w:t xml:space="preserve">L’étape est considérée comme atteinte lorsque le point central des services sera modernisé, que sa capacité et sa sécurité seront renforcées et que les projets visant à améliorer les systèmes d’information et de communication des registres centraux auront été menés à bien par les entités adjudicatrices/chargées de la mise en œuvre. </w:t>
            </w:r>
          </w:p>
        </w:tc>
        <w:tc>
          <w:tcPr>
            <w:tcW w:w="1077" w:type="dxa"/>
            <w:shd w:val="clear" w:color="auto" w:fill="C6EFCE"/>
            <w:vAlign w:val="center"/>
          </w:tcPr>
          <w:p w14:paraId="49EF4E26" w14:textId="77777777" w:rsidR="00025543" w:rsidRDefault="00025543">
            <w:pPr>
              <w:spacing w:before="0" w:after="0" w:line="240" w:lineRule="auto"/>
              <w:rPr>
                <w:rFonts w:eastAsia="Times New Roman"/>
                <w:noProof/>
                <w:color w:val="004300"/>
                <w:sz w:val="18"/>
              </w:rPr>
            </w:pPr>
          </w:p>
          <w:p w14:paraId="1AAB4363" w14:textId="77777777" w:rsidR="00025543" w:rsidRDefault="00025543">
            <w:pPr>
              <w:rPr>
                <w:rFonts w:eastAsia="Times New Roman"/>
                <w:noProof/>
                <w:sz w:val="18"/>
              </w:rPr>
            </w:pPr>
          </w:p>
          <w:p w14:paraId="69B091B8" w14:textId="77777777" w:rsidR="00025543" w:rsidRDefault="00025543">
            <w:pPr>
              <w:rPr>
                <w:rFonts w:eastAsia="Times New Roman"/>
                <w:noProof/>
                <w:color w:val="004300"/>
                <w:sz w:val="18"/>
              </w:rPr>
            </w:pPr>
          </w:p>
          <w:p w14:paraId="688E1469" w14:textId="3744E922" w:rsidR="00025543" w:rsidRDefault="00025543">
            <w:pPr>
              <w:rPr>
                <w:rFonts w:eastAsia="Times New Roman"/>
                <w:noProof/>
                <w:sz w:val="18"/>
              </w:rPr>
            </w:pPr>
          </w:p>
        </w:tc>
        <w:tc>
          <w:tcPr>
            <w:tcW w:w="1022" w:type="dxa"/>
            <w:shd w:val="clear" w:color="auto" w:fill="C6EFCE"/>
            <w:vAlign w:val="center"/>
          </w:tcPr>
          <w:p w14:paraId="2DB1E586" w14:textId="77777777" w:rsidR="00025543" w:rsidRDefault="00025543">
            <w:pPr>
              <w:spacing w:before="0" w:after="0" w:line="240" w:lineRule="auto"/>
              <w:jc w:val="center"/>
              <w:rPr>
                <w:rFonts w:eastAsia="Times New Roman"/>
                <w:noProof/>
                <w:color w:val="004300"/>
                <w:sz w:val="18"/>
              </w:rPr>
            </w:pPr>
          </w:p>
        </w:tc>
        <w:tc>
          <w:tcPr>
            <w:tcW w:w="709" w:type="dxa"/>
            <w:shd w:val="clear" w:color="auto" w:fill="C6EFCE"/>
            <w:vAlign w:val="center"/>
          </w:tcPr>
          <w:p w14:paraId="1CBF164E" w14:textId="77777777" w:rsidR="00025543" w:rsidRDefault="00025543">
            <w:pPr>
              <w:spacing w:before="0" w:after="0" w:line="240" w:lineRule="auto"/>
              <w:jc w:val="center"/>
              <w:rPr>
                <w:rFonts w:eastAsia="Times New Roman"/>
                <w:noProof/>
                <w:color w:val="004300"/>
                <w:sz w:val="18"/>
              </w:rPr>
            </w:pPr>
          </w:p>
        </w:tc>
        <w:tc>
          <w:tcPr>
            <w:tcW w:w="992" w:type="dxa"/>
            <w:shd w:val="clear" w:color="auto" w:fill="C6EFCE"/>
            <w:vAlign w:val="center"/>
            <w:hideMark/>
          </w:tcPr>
          <w:p w14:paraId="69C772E5" w14:textId="0DF41519" w:rsidR="00025543" w:rsidRDefault="007E3A2F">
            <w:pPr>
              <w:pStyle w:val="P68B1DB1-Normal15"/>
              <w:spacing w:before="0" w:after="0" w:line="240" w:lineRule="auto"/>
              <w:jc w:val="center"/>
              <w:rPr>
                <w:noProof/>
              </w:rPr>
            </w:pPr>
            <w:r>
              <w:rPr>
                <w:noProof/>
              </w:rPr>
              <w:t>TRIMESTRE 1</w:t>
            </w:r>
          </w:p>
        </w:tc>
        <w:tc>
          <w:tcPr>
            <w:tcW w:w="709" w:type="dxa"/>
            <w:shd w:val="clear" w:color="auto" w:fill="C6EFCE"/>
            <w:vAlign w:val="center"/>
            <w:hideMark/>
          </w:tcPr>
          <w:p w14:paraId="238F9CC0" w14:textId="67DA0AD4" w:rsidR="00025543" w:rsidRDefault="007E3A2F">
            <w:pPr>
              <w:pStyle w:val="P68B1DB1-Normal15"/>
              <w:spacing w:before="0" w:after="0" w:line="240" w:lineRule="auto"/>
              <w:jc w:val="center"/>
              <w:rPr>
                <w:noProof/>
              </w:rPr>
            </w:pPr>
            <w:r>
              <w:rPr>
                <w:noProof/>
              </w:rPr>
              <w:t>2025</w:t>
            </w:r>
          </w:p>
        </w:tc>
        <w:tc>
          <w:tcPr>
            <w:tcW w:w="3681" w:type="dxa"/>
            <w:shd w:val="clear" w:color="auto" w:fill="C6EFCE"/>
            <w:vAlign w:val="center"/>
            <w:hideMark/>
          </w:tcPr>
          <w:p w14:paraId="577D3842" w14:textId="77777777" w:rsidR="00025543" w:rsidRDefault="007E3A2F">
            <w:pPr>
              <w:pStyle w:val="P68B1DB1-Normal16"/>
              <w:spacing w:before="0" w:after="0" w:line="240" w:lineRule="auto"/>
              <w:rPr>
                <w:noProof/>
              </w:rPr>
            </w:pPr>
            <w:r>
              <w:rPr>
                <w:noProof/>
              </w:rPr>
              <w:t>La mesure consiste à développer des registres de base et à développer l’infrastructure technologique de l’administration publique, y compris l’augmentation de sa capacité de transmission et la mise en œuvre de nouveaux services à la clientèle et de services à forte intensité de capacité de transport. Le jalon est considéré comme atteint à l’achèvement des projets suivants:</w:t>
            </w:r>
          </w:p>
          <w:p w14:paraId="79E412E4" w14:textId="77777777" w:rsidR="00025543" w:rsidRDefault="007E3A2F">
            <w:pPr>
              <w:pStyle w:val="P68B1DB1-Normal16"/>
              <w:spacing w:before="0" w:after="0" w:line="240" w:lineRule="auto"/>
              <w:rPr>
                <w:noProof/>
              </w:rPr>
            </w:pPr>
            <w:r>
              <w:rPr>
                <w:noProof/>
              </w:rPr>
              <w:t>1. Développement des capacités et de la sécurité du point central des services</w:t>
            </w:r>
          </w:p>
          <w:p w14:paraId="3DB5A9A4" w14:textId="77777777" w:rsidR="00025543" w:rsidRDefault="007E3A2F">
            <w:pPr>
              <w:pStyle w:val="P68B1DB1-Normal16"/>
              <w:spacing w:before="0" w:after="0" w:line="240" w:lineRule="auto"/>
              <w:rPr>
                <w:noProof/>
              </w:rPr>
            </w:pPr>
            <w:r>
              <w:rPr>
                <w:noProof/>
              </w:rPr>
              <w:t>2. Modernisation et optimisation de l’infrastructure de communication et d’information pour le changement de label multiprotocole (MPLS)</w:t>
            </w:r>
          </w:p>
          <w:p w14:paraId="7D39D94F" w14:textId="77777777" w:rsidR="00025543" w:rsidRDefault="007E3A2F">
            <w:pPr>
              <w:pStyle w:val="P68B1DB1-Normal16"/>
              <w:spacing w:before="0" w:after="0" w:line="240" w:lineRule="auto"/>
              <w:rPr>
                <w:noProof/>
              </w:rPr>
            </w:pPr>
            <w:r>
              <w:rPr>
                <w:noProof/>
              </w:rPr>
              <w:t>3. L’autorité nationale de certification doit fournir des certifications aux entités de l’administration publique</w:t>
            </w:r>
          </w:p>
          <w:p w14:paraId="2F5298A5" w14:textId="77777777" w:rsidR="00025543" w:rsidRDefault="007E3A2F">
            <w:pPr>
              <w:pStyle w:val="P68B1DB1-Normal16"/>
              <w:spacing w:before="0" w:after="0" w:line="240" w:lineRule="auto"/>
              <w:rPr>
                <w:noProof/>
              </w:rPr>
            </w:pPr>
            <w:r>
              <w:rPr>
                <w:noProof/>
              </w:rPr>
              <w:t>4. Accroître la capacité des centres de données et des produits de stockage de données</w:t>
            </w:r>
          </w:p>
          <w:p w14:paraId="0EB6CFFB" w14:textId="77777777" w:rsidR="00025543" w:rsidRDefault="007E3A2F">
            <w:pPr>
              <w:pStyle w:val="P68B1DB1-Normal16"/>
              <w:spacing w:before="0" w:after="0" w:line="240" w:lineRule="auto"/>
              <w:rPr>
                <w:noProof/>
              </w:rPr>
            </w:pPr>
            <w:r>
              <w:rPr>
                <w:noProof/>
              </w:rPr>
              <w:t>5. Remplacements de matériel et de logiciels pour les registres centraux</w:t>
            </w:r>
          </w:p>
          <w:p w14:paraId="16558217" w14:textId="02EFBB61" w:rsidR="00025543" w:rsidRDefault="007E3A2F">
            <w:pPr>
              <w:pStyle w:val="P68B1DB1-Normal16"/>
              <w:spacing w:before="0" w:after="0" w:line="240" w:lineRule="auto"/>
              <w:rPr>
                <w:noProof/>
              </w:rPr>
            </w:pPr>
            <w:r>
              <w:rPr>
                <w:noProof/>
              </w:rPr>
              <w:t>6. Mise à niveau et amélioration des registres de base, notamment: Registre des personnes, registre de la population, registre des droits et obligations, registre des identifications territoriales, adresses et biens immobiliers, système d’information ORG</w:t>
            </w:r>
          </w:p>
          <w:p w14:paraId="696C5EC8" w14:textId="77777777" w:rsidR="00025543" w:rsidRDefault="007E3A2F">
            <w:pPr>
              <w:pStyle w:val="P68B1DB1-Normal16"/>
              <w:spacing w:before="0" w:after="0" w:line="240" w:lineRule="auto"/>
              <w:rPr>
                <w:rFonts w:eastAsia="Times New Roman"/>
                <w:noProof/>
              </w:rPr>
            </w:pPr>
            <w:r>
              <w:rPr>
                <w:noProof/>
              </w:rPr>
              <w:t>7. Développement et amélioration connexes du système intégré de registres de base et du système de partage d’informations sur les services</w:t>
            </w:r>
          </w:p>
          <w:p w14:paraId="7D7D01DC" w14:textId="77777777" w:rsidR="00025543" w:rsidRDefault="007E3A2F">
            <w:pPr>
              <w:pStyle w:val="P68B1DB1-Normal15"/>
              <w:spacing w:before="0" w:after="0" w:line="240" w:lineRule="auto"/>
              <w:rPr>
                <w:rFonts w:ascii="Calibri" w:hAnsi="Calibri"/>
                <w:noProof/>
              </w:rPr>
            </w:pPr>
            <w:r>
              <w:rPr>
                <w:noProof/>
              </w:rPr>
              <w:t>8. Amélioration du point national d’identité et d’authentification</w:t>
            </w:r>
          </w:p>
          <w:p w14:paraId="3FBD41A5" w14:textId="77777777" w:rsidR="00025543" w:rsidRDefault="007E3A2F">
            <w:pPr>
              <w:pStyle w:val="P68B1DB1-Normal15"/>
              <w:spacing w:before="0" w:after="0" w:line="240" w:lineRule="auto"/>
              <w:rPr>
                <w:noProof/>
                <w:color w:val="008080"/>
                <w:u w:val="single"/>
              </w:rPr>
            </w:pPr>
            <w:r>
              <w:rPr>
                <w:noProof/>
              </w:rPr>
              <w:t>9. Développement d’une interface consolidée pour les registres centraux</w:t>
            </w:r>
          </w:p>
        </w:tc>
      </w:tr>
      <w:tr w:rsidR="00025543" w14:paraId="2419A11D" w14:textId="77777777">
        <w:trPr>
          <w:trHeight w:val="309"/>
          <w:jc w:val="center"/>
        </w:trPr>
        <w:tc>
          <w:tcPr>
            <w:tcW w:w="704" w:type="dxa"/>
            <w:shd w:val="clear" w:color="auto" w:fill="C6EFCE"/>
            <w:vAlign w:val="center"/>
            <w:hideMark/>
          </w:tcPr>
          <w:p w14:paraId="4CB4574C" w14:textId="77777777" w:rsidR="00025543" w:rsidRDefault="007E3A2F">
            <w:pPr>
              <w:pStyle w:val="P68B1DB1-Normal15"/>
              <w:spacing w:before="0" w:after="0" w:line="240" w:lineRule="auto"/>
              <w:jc w:val="center"/>
              <w:rPr>
                <w:noProof/>
              </w:rPr>
            </w:pPr>
            <w:r>
              <w:rPr>
                <w:noProof/>
              </w:rPr>
              <w:t>22</w:t>
            </w:r>
          </w:p>
        </w:tc>
        <w:tc>
          <w:tcPr>
            <w:tcW w:w="1448" w:type="dxa"/>
            <w:shd w:val="clear" w:color="auto" w:fill="C6EFCE"/>
            <w:vAlign w:val="center"/>
            <w:hideMark/>
          </w:tcPr>
          <w:p w14:paraId="3D85DA66" w14:textId="77777777" w:rsidR="00025543" w:rsidRDefault="007E3A2F">
            <w:pPr>
              <w:pStyle w:val="P68B1DB1-Normal16"/>
              <w:spacing w:before="0" w:after="0" w:line="240" w:lineRule="auto"/>
              <w:rPr>
                <w:noProof/>
              </w:rPr>
            </w:pPr>
            <w:r>
              <w:rPr>
                <w:noProof/>
              </w:rPr>
              <w:t>Investissement 2:</w:t>
            </w:r>
          </w:p>
          <w:p w14:paraId="53184216" w14:textId="77777777" w:rsidR="00025543" w:rsidRDefault="007E3A2F">
            <w:pPr>
              <w:pStyle w:val="P68B1DB1-Normal16"/>
              <w:spacing w:before="0" w:after="0" w:line="240" w:lineRule="auto"/>
              <w:rPr>
                <w:rFonts w:eastAsia="Times New Roman"/>
                <w:noProof/>
              </w:rPr>
            </w:pPr>
            <w:r>
              <w:rPr>
                <w:noProof/>
              </w:rPr>
              <w:t>Mise en place de registres et d’installations essentiels pour l’administration en ligne</w:t>
            </w:r>
          </w:p>
        </w:tc>
        <w:tc>
          <w:tcPr>
            <w:tcW w:w="1134" w:type="dxa"/>
            <w:shd w:val="clear" w:color="auto" w:fill="C6EFCE"/>
            <w:vAlign w:val="center"/>
            <w:hideMark/>
          </w:tcPr>
          <w:p w14:paraId="64AC2752" w14:textId="77777777" w:rsidR="00025543" w:rsidRDefault="007E3A2F">
            <w:pPr>
              <w:pStyle w:val="P68B1DB1-Normal16"/>
              <w:spacing w:before="0" w:after="0" w:line="240" w:lineRule="auto"/>
              <w:rPr>
                <w:rFonts w:eastAsia="Times New Roman"/>
                <w:noProof/>
              </w:rPr>
            </w:pPr>
            <w:r>
              <w:rPr>
                <w:noProof/>
              </w:rPr>
              <w:t>Étapes</w:t>
            </w:r>
          </w:p>
        </w:tc>
        <w:tc>
          <w:tcPr>
            <w:tcW w:w="1701" w:type="dxa"/>
            <w:shd w:val="clear" w:color="auto" w:fill="C6EFCE"/>
            <w:vAlign w:val="center"/>
            <w:hideMark/>
          </w:tcPr>
          <w:p w14:paraId="3B6D731E" w14:textId="77777777" w:rsidR="00025543" w:rsidRDefault="007E3A2F">
            <w:pPr>
              <w:pStyle w:val="P68B1DB1-Normal15"/>
              <w:spacing w:before="0" w:after="0" w:line="240" w:lineRule="auto"/>
              <w:rPr>
                <w:noProof/>
              </w:rPr>
            </w:pPr>
            <w:r>
              <w:rPr>
                <w:noProof/>
              </w:rPr>
              <w:t>Fourniture de services d’informatique en nuage aux pouvoirs publics</w:t>
            </w:r>
          </w:p>
        </w:tc>
        <w:tc>
          <w:tcPr>
            <w:tcW w:w="1843" w:type="dxa"/>
            <w:shd w:val="clear" w:color="auto" w:fill="C6EFCE"/>
            <w:vAlign w:val="center"/>
            <w:hideMark/>
          </w:tcPr>
          <w:p w14:paraId="70E6292D" w14:textId="77777777" w:rsidR="00025543" w:rsidRDefault="007E3A2F">
            <w:pPr>
              <w:pStyle w:val="P68B1DB1-Normal16"/>
              <w:spacing w:before="0" w:after="0" w:line="240" w:lineRule="auto"/>
              <w:rPr>
                <w:rFonts w:eastAsia="Times New Roman"/>
                <w:noProof/>
              </w:rPr>
            </w:pPr>
            <w:r>
              <w:rPr>
                <w:noProof/>
              </w:rPr>
              <w:t xml:space="preserve">le nuage d’administration en ligne devient accessible aux utilisateurs finaux et capable de fournir des services d’informatique en nuage à l’administration publique </w:t>
            </w:r>
          </w:p>
        </w:tc>
        <w:tc>
          <w:tcPr>
            <w:tcW w:w="1077" w:type="dxa"/>
            <w:shd w:val="clear" w:color="auto" w:fill="C6EFCE"/>
            <w:vAlign w:val="center"/>
          </w:tcPr>
          <w:p w14:paraId="48C69709" w14:textId="77777777" w:rsidR="00025543" w:rsidRDefault="00025543">
            <w:pPr>
              <w:spacing w:before="0" w:after="0" w:line="240" w:lineRule="auto"/>
              <w:rPr>
                <w:rFonts w:eastAsia="Times New Roman"/>
                <w:noProof/>
                <w:color w:val="004300"/>
                <w:sz w:val="18"/>
              </w:rPr>
            </w:pPr>
          </w:p>
        </w:tc>
        <w:tc>
          <w:tcPr>
            <w:tcW w:w="1022" w:type="dxa"/>
            <w:shd w:val="clear" w:color="auto" w:fill="C6EFCE"/>
            <w:vAlign w:val="center"/>
          </w:tcPr>
          <w:p w14:paraId="059D1F7F" w14:textId="77777777" w:rsidR="00025543" w:rsidRDefault="00025543">
            <w:pPr>
              <w:spacing w:before="0" w:after="0" w:line="240" w:lineRule="auto"/>
              <w:jc w:val="center"/>
              <w:rPr>
                <w:rFonts w:eastAsia="Times New Roman"/>
                <w:noProof/>
                <w:color w:val="004300"/>
                <w:sz w:val="18"/>
              </w:rPr>
            </w:pPr>
          </w:p>
        </w:tc>
        <w:tc>
          <w:tcPr>
            <w:tcW w:w="709" w:type="dxa"/>
            <w:shd w:val="clear" w:color="auto" w:fill="C6EFCE"/>
            <w:vAlign w:val="center"/>
          </w:tcPr>
          <w:p w14:paraId="77CDFBD6" w14:textId="77777777" w:rsidR="00025543" w:rsidRDefault="00025543">
            <w:pPr>
              <w:spacing w:before="0" w:after="0" w:line="240" w:lineRule="auto"/>
              <w:jc w:val="center"/>
              <w:rPr>
                <w:rFonts w:eastAsia="Times New Roman"/>
                <w:noProof/>
                <w:color w:val="004300"/>
                <w:sz w:val="18"/>
              </w:rPr>
            </w:pPr>
          </w:p>
        </w:tc>
        <w:tc>
          <w:tcPr>
            <w:tcW w:w="992" w:type="dxa"/>
            <w:shd w:val="clear" w:color="auto" w:fill="C6EFCE"/>
            <w:vAlign w:val="center"/>
            <w:hideMark/>
          </w:tcPr>
          <w:p w14:paraId="3443437E" w14:textId="77777777" w:rsidR="00025543" w:rsidRDefault="007E3A2F">
            <w:pPr>
              <w:pStyle w:val="P68B1DB1-Normal15"/>
              <w:spacing w:before="0" w:after="0" w:line="240" w:lineRule="auto"/>
              <w:jc w:val="center"/>
              <w:rPr>
                <w:noProof/>
              </w:rPr>
            </w:pPr>
            <w:r>
              <w:rPr>
                <w:noProof/>
              </w:rPr>
              <w:t>TRIMESTRE 2</w:t>
            </w:r>
          </w:p>
        </w:tc>
        <w:tc>
          <w:tcPr>
            <w:tcW w:w="709" w:type="dxa"/>
            <w:shd w:val="clear" w:color="auto" w:fill="C6EFCE"/>
            <w:vAlign w:val="center"/>
            <w:hideMark/>
          </w:tcPr>
          <w:p w14:paraId="13811144" w14:textId="77777777" w:rsidR="00025543" w:rsidRDefault="007E3A2F">
            <w:pPr>
              <w:pStyle w:val="P68B1DB1-Normal15"/>
              <w:spacing w:before="0" w:after="0" w:line="240" w:lineRule="auto"/>
              <w:jc w:val="center"/>
              <w:rPr>
                <w:noProof/>
              </w:rPr>
            </w:pPr>
            <w:r>
              <w:rPr>
                <w:noProof/>
              </w:rPr>
              <w:t>2026</w:t>
            </w:r>
          </w:p>
        </w:tc>
        <w:tc>
          <w:tcPr>
            <w:tcW w:w="3681" w:type="dxa"/>
            <w:shd w:val="clear" w:color="auto" w:fill="C6EFCE"/>
            <w:vAlign w:val="center"/>
            <w:hideMark/>
          </w:tcPr>
          <w:p w14:paraId="59802509" w14:textId="77777777" w:rsidR="00025543" w:rsidRDefault="007E3A2F">
            <w:pPr>
              <w:pStyle w:val="P68B1DB1-Normal16"/>
              <w:spacing w:before="0" w:after="0" w:line="240" w:lineRule="auto"/>
              <w:rPr>
                <w:rFonts w:eastAsia="Times New Roman"/>
                <w:noProof/>
              </w:rPr>
            </w:pPr>
            <w:r>
              <w:rPr>
                <w:noProof/>
              </w:rPr>
              <w:t>Le projet met en place une infrastructure et des applications logicielles de communication et de TIC pour un centre de données Zeleneč étendu en Tchéquie et des systèmes d’information de l’informatique en nuage et du portail de l’administration en ligne afin de fournir des services de données au nuage d’administration en ligne afin de permettre la fourniture de services d’informatique en nuage (IaaS, SaaS) aux autorités de l’administration publique. L’étape intermédiaire est considérée comme réalisée lorsque les services d’informatique en nuage peuvent être fournis.</w:t>
            </w:r>
          </w:p>
        </w:tc>
      </w:tr>
      <w:tr w:rsidR="00025543" w14:paraId="5CE34BAA" w14:textId="77777777">
        <w:trPr>
          <w:trHeight w:val="309"/>
          <w:jc w:val="center"/>
        </w:trPr>
        <w:tc>
          <w:tcPr>
            <w:tcW w:w="704" w:type="dxa"/>
            <w:shd w:val="clear" w:color="auto" w:fill="C6EFCE"/>
            <w:vAlign w:val="center"/>
            <w:hideMark/>
          </w:tcPr>
          <w:p w14:paraId="06469D05" w14:textId="77777777" w:rsidR="00025543" w:rsidRDefault="007E3A2F">
            <w:pPr>
              <w:pStyle w:val="P68B1DB1-Normal15"/>
              <w:spacing w:before="0" w:after="0" w:line="240" w:lineRule="auto"/>
              <w:jc w:val="center"/>
              <w:rPr>
                <w:noProof/>
              </w:rPr>
            </w:pPr>
            <w:r>
              <w:rPr>
                <w:noProof/>
              </w:rPr>
              <w:t>23</w:t>
            </w:r>
          </w:p>
        </w:tc>
        <w:tc>
          <w:tcPr>
            <w:tcW w:w="1448" w:type="dxa"/>
            <w:shd w:val="clear" w:color="auto" w:fill="C6EFCE"/>
            <w:vAlign w:val="center"/>
            <w:hideMark/>
          </w:tcPr>
          <w:p w14:paraId="5E02873B" w14:textId="77777777" w:rsidR="00025543" w:rsidRDefault="007E3A2F">
            <w:pPr>
              <w:pStyle w:val="P68B1DB1-Normal16"/>
              <w:spacing w:before="0" w:after="0" w:line="240" w:lineRule="auto"/>
              <w:rPr>
                <w:noProof/>
              </w:rPr>
            </w:pPr>
            <w:r>
              <w:rPr>
                <w:noProof/>
              </w:rPr>
              <w:t>Investissement 3:</w:t>
            </w:r>
          </w:p>
          <w:p w14:paraId="220AC80A" w14:textId="77777777" w:rsidR="00025543" w:rsidRDefault="007E3A2F">
            <w:pPr>
              <w:pStyle w:val="P68B1DB1-Normal16"/>
              <w:spacing w:before="0" w:after="0" w:line="240" w:lineRule="auto"/>
              <w:rPr>
                <w:rFonts w:eastAsia="Times New Roman"/>
                <w:noProof/>
              </w:rPr>
            </w:pPr>
            <w:r>
              <w:rPr>
                <w:noProof/>
              </w:rPr>
              <w:t>Cybersécurité</w:t>
            </w:r>
          </w:p>
        </w:tc>
        <w:tc>
          <w:tcPr>
            <w:tcW w:w="1134" w:type="dxa"/>
            <w:shd w:val="clear" w:color="auto" w:fill="C6EFCE"/>
            <w:vAlign w:val="center"/>
            <w:hideMark/>
          </w:tcPr>
          <w:p w14:paraId="12A8E6CD" w14:textId="77777777" w:rsidR="00025543" w:rsidRDefault="007E3A2F">
            <w:pPr>
              <w:pStyle w:val="P68B1DB1-Normal16"/>
              <w:spacing w:before="0" w:after="0" w:line="240" w:lineRule="auto"/>
              <w:rPr>
                <w:rFonts w:eastAsia="Times New Roman"/>
                <w:noProof/>
              </w:rPr>
            </w:pPr>
            <w:r>
              <w:rPr>
                <w:noProof/>
              </w:rPr>
              <w:t>Étapes</w:t>
            </w:r>
          </w:p>
        </w:tc>
        <w:tc>
          <w:tcPr>
            <w:tcW w:w="1701" w:type="dxa"/>
            <w:shd w:val="clear" w:color="auto" w:fill="C6EFCE"/>
            <w:vAlign w:val="center"/>
          </w:tcPr>
          <w:p w14:paraId="74AAFEAA" w14:textId="0D479804" w:rsidR="00025543" w:rsidRDefault="007E3A2F">
            <w:pPr>
              <w:pStyle w:val="P68B1DB1-Normal16"/>
              <w:spacing w:before="0" w:after="0" w:line="240" w:lineRule="auto"/>
              <w:rPr>
                <w:rFonts w:eastAsia="Times New Roman"/>
                <w:noProof/>
              </w:rPr>
            </w:pPr>
            <w:r>
              <w:rPr>
                <w:noProof/>
              </w:rPr>
              <w:t>Modernisation du système d’information et de gestion des événements de la police tchèque en matière de sécurité et extension de son utilisation pour la protection de la cybersécurité de cinq systèmes d’information supplémentaires</w:t>
            </w:r>
          </w:p>
        </w:tc>
        <w:tc>
          <w:tcPr>
            <w:tcW w:w="1843" w:type="dxa"/>
            <w:shd w:val="clear" w:color="auto" w:fill="C6EFCE"/>
            <w:vAlign w:val="center"/>
            <w:hideMark/>
          </w:tcPr>
          <w:p w14:paraId="5EF8C8CD" w14:textId="170C4389" w:rsidR="00025543" w:rsidRDefault="007E3A2F">
            <w:pPr>
              <w:pStyle w:val="P68B1DB1-Normal16"/>
              <w:spacing w:before="0" w:after="0" w:line="240" w:lineRule="auto"/>
              <w:rPr>
                <w:noProof/>
              </w:rPr>
            </w:pPr>
            <w:r>
              <w:rPr>
                <w:noProof/>
              </w:rPr>
              <w:t>Mise en service du système de gestion des informations et des événements en matière de sécurité, pleinement opérationnel et actualisé, ainsi que de cinq systèmes d’information supplémentaires sélectionnés sur la base d’une étude de risques et de faisabilité.</w:t>
            </w:r>
          </w:p>
        </w:tc>
        <w:tc>
          <w:tcPr>
            <w:tcW w:w="1077" w:type="dxa"/>
            <w:shd w:val="clear" w:color="auto" w:fill="C6EFCE"/>
            <w:vAlign w:val="center"/>
          </w:tcPr>
          <w:p w14:paraId="093C42DB" w14:textId="77777777" w:rsidR="00025543" w:rsidRDefault="00025543">
            <w:pPr>
              <w:spacing w:before="0" w:after="0" w:line="240" w:lineRule="auto"/>
              <w:rPr>
                <w:rFonts w:eastAsia="Times New Roman"/>
                <w:noProof/>
                <w:color w:val="004300"/>
                <w:sz w:val="18"/>
              </w:rPr>
            </w:pPr>
          </w:p>
        </w:tc>
        <w:tc>
          <w:tcPr>
            <w:tcW w:w="1022" w:type="dxa"/>
            <w:shd w:val="clear" w:color="auto" w:fill="C6EFCE"/>
            <w:vAlign w:val="center"/>
          </w:tcPr>
          <w:p w14:paraId="67DD91FD" w14:textId="77777777" w:rsidR="00025543" w:rsidRDefault="00025543">
            <w:pPr>
              <w:spacing w:before="0" w:after="0" w:line="240" w:lineRule="auto"/>
              <w:jc w:val="center"/>
              <w:rPr>
                <w:rFonts w:eastAsia="Times New Roman"/>
                <w:noProof/>
                <w:color w:val="004300"/>
                <w:sz w:val="18"/>
              </w:rPr>
            </w:pPr>
          </w:p>
        </w:tc>
        <w:tc>
          <w:tcPr>
            <w:tcW w:w="709" w:type="dxa"/>
            <w:shd w:val="clear" w:color="auto" w:fill="C6EFCE"/>
            <w:vAlign w:val="center"/>
          </w:tcPr>
          <w:p w14:paraId="3A368D39" w14:textId="77777777" w:rsidR="00025543" w:rsidRDefault="00025543">
            <w:pPr>
              <w:spacing w:before="0" w:after="0" w:line="240" w:lineRule="auto"/>
              <w:jc w:val="center"/>
              <w:rPr>
                <w:rFonts w:eastAsia="Times New Roman"/>
                <w:noProof/>
                <w:color w:val="004300"/>
                <w:sz w:val="18"/>
              </w:rPr>
            </w:pPr>
          </w:p>
        </w:tc>
        <w:tc>
          <w:tcPr>
            <w:tcW w:w="992" w:type="dxa"/>
            <w:shd w:val="clear" w:color="auto" w:fill="C6EFCE"/>
            <w:vAlign w:val="center"/>
            <w:hideMark/>
          </w:tcPr>
          <w:p w14:paraId="59D49647" w14:textId="77777777" w:rsidR="00025543" w:rsidRDefault="007E3A2F">
            <w:pPr>
              <w:pStyle w:val="P68B1DB1-Normal15"/>
              <w:spacing w:before="0" w:after="0" w:line="240" w:lineRule="auto"/>
              <w:jc w:val="center"/>
              <w:rPr>
                <w:noProof/>
              </w:rPr>
            </w:pPr>
            <w:r>
              <w:rPr>
                <w:noProof/>
              </w:rPr>
              <w:t>TRIMESTRE 4</w:t>
            </w:r>
          </w:p>
        </w:tc>
        <w:tc>
          <w:tcPr>
            <w:tcW w:w="709" w:type="dxa"/>
            <w:shd w:val="clear" w:color="auto" w:fill="C6EFCE"/>
            <w:vAlign w:val="center"/>
            <w:hideMark/>
          </w:tcPr>
          <w:p w14:paraId="4B960213" w14:textId="77777777" w:rsidR="00025543" w:rsidRDefault="007E3A2F">
            <w:pPr>
              <w:pStyle w:val="P68B1DB1-Normal15"/>
              <w:spacing w:before="0" w:after="0" w:line="240" w:lineRule="auto"/>
              <w:jc w:val="center"/>
              <w:rPr>
                <w:noProof/>
              </w:rPr>
            </w:pPr>
            <w:r>
              <w:rPr>
                <w:noProof/>
              </w:rPr>
              <w:t>2022</w:t>
            </w:r>
          </w:p>
        </w:tc>
        <w:tc>
          <w:tcPr>
            <w:tcW w:w="3681" w:type="dxa"/>
            <w:shd w:val="clear" w:color="auto" w:fill="C6EFCE"/>
            <w:vAlign w:val="center"/>
            <w:hideMark/>
          </w:tcPr>
          <w:p w14:paraId="54DA7C67" w14:textId="0F72C4DB" w:rsidR="00025543" w:rsidRDefault="007E3A2F">
            <w:pPr>
              <w:pStyle w:val="P68B1DB1-Normal16"/>
              <w:spacing w:before="0" w:after="0" w:line="240" w:lineRule="auto"/>
              <w:rPr>
                <w:rFonts w:eastAsia="Times New Roman"/>
                <w:noProof/>
              </w:rPr>
            </w:pPr>
            <w:r>
              <w:rPr>
                <w:noProof/>
              </w:rPr>
              <w:t xml:space="preserve">L’investissement </w:t>
            </w:r>
            <w:r>
              <w:rPr>
                <w:rFonts w:eastAsia="Times New Roman"/>
                <w:noProof/>
              </w:rPr>
              <w:t xml:space="preserve">accroît la disponibilité de l’infrastructure de surveillance de la sécurité des informations et de la gestion des événements en matière de sécurité permettant d’enregistrer et d’évaluer les incidents </w:t>
            </w:r>
            <w:r>
              <w:rPr>
                <w:noProof/>
              </w:rPr>
              <w:t>de sécurité et élargit les capacités et les capacités de la police et du ministère de l’intérieur de Tchéquie à identifier les incidents et incidents de sécurité dans les TIC et à y réagir même à distance lorsque l’accès à l’infrastructure de bureau est limité.</w:t>
            </w:r>
          </w:p>
        </w:tc>
      </w:tr>
      <w:tr w:rsidR="00025543" w14:paraId="4D05C13E" w14:textId="77777777">
        <w:trPr>
          <w:trHeight w:val="309"/>
          <w:jc w:val="center"/>
        </w:trPr>
        <w:tc>
          <w:tcPr>
            <w:tcW w:w="704" w:type="dxa"/>
            <w:shd w:val="clear" w:color="auto" w:fill="C6EFCE"/>
            <w:vAlign w:val="center"/>
            <w:hideMark/>
          </w:tcPr>
          <w:p w14:paraId="16DAA734" w14:textId="77777777" w:rsidR="00025543" w:rsidRDefault="007E3A2F">
            <w:pPr>
              <w:pStyle w:val="P68B1DB1-Normal15"/>
              <w:spacing w:before="0" w:after="0" w:line="240" w:lineRule="auto"/>
              <w:jc w:val="center"/>
              <w:rPr>
                <w:noProof/>
              </w:rPr>
            </w:pPr>
            <w:r>
              <w:rPr>
                <w:noProof/>
              </w:rPr>
              <w:t>24</w:t>
            </w:r>
          </w:p>
        </w:tc>
        <w:tc>
          <w:tcPr>
            <w:tcW w:w="1448" w:type="dxa"/>
            <w:shd w:val="clear" w:color="auto" w:fill="C6EFCE"/>
            <w:vAlign w:val="center"/>
            <w:hideMark/>
          </w:tcPr>
          <w:p w14:paraId="5D4D45B0" w14:textId="77777777" w:rsidR="00025543" w:rsidRDefault="007E3A2F">
            <w:pPr>
              <w:pStyle w:val="P68B1DB1-Normal16"/>
              <w:spacing w:before="0" w:after="0" w:line="240" w:lineRule="auto"/>
              <w:rPr>
                <w:noProof/>
              </w:rPr>
            </w:pPr>
            <w:r>
              <w:rPr>
                <w:noProof/>
              </w:rPr>
              <w:t>Investissement 3:</w:t>
            </w:r>
          </w:p>
          <w:p w14:paraId="78775BEF" w14:textId="77777777" w:rsidR="00025543" w:rsidRDefault="007E3A2F">
            <w:pPr>
              <w:pStyle w:val="P68B1DB1-Normal16"/>
              <w:spacing w:before="0" w:after="0" w:line="240" w:lineRule="auto"/>
              <w:rPr>
                <w:rFonts w:eastAsia="Times New Roman"/>
                <w:noProof/>
              </w:rPr>
            </w:pPr>
            <w:r>
              <w:rPr>
                <w:noProof/>
              </w:rPr>
              <w:t>Cybersécurité</w:t>
            </w:r>
          </w:p>
        </w:tc>
        <w:tc>
          <w:tcPr>
            <w:tcW w:w="1134" w:type="dxa"/>
            <w:shd w:val="clear" w:color="auto" w:fill="C6EFCE"/>
            <w:vAlign w:val="center"/>
            <w:hideMark/>
          </w:tcPr>
          <w:p w14:paraId="160EC85A" w14:textId="77777777" w:rsidR="00025543" w:rsidRDefault="007E3A2F">
            <w:pPr>
              <w:pStyle w:val="P68B1DB1-Normal16"/>
              <w:spacing w:before="0" w:after="0" w:line="240" w:lineRule="auto"/>
              <w:rPr>
                <w:rFonts w:eastAsia="Times New Roman"/>
                <w:noProof/>
              </w:rPr>
            </w:pPr>
            <w:r>
              <w:rPr>
                <w:noProof/>
              </w:rPr>
              <w:t>Cible</w:t>
            </w:r>
          </w:p>
        </w:tc>
        <w:tc>
          <w:tcPr>
            <w:tcW w:w="1701" w:type="dxa"/>
            <w:shd w:val="clear" w:color="auto" w:fill="C6EFCE"/>
            <w:vAlign w:val="center"/>
            <w:hideMark/>
          </w:tcPr>
          <w:p w14:paraId="5028E728" w14:textId="0897C5D6" w:rsidR="00025543" w:rsidRDefault="007E3A2F">
            <w:pPr>
              <w:pStyle w:val="P68B1DB1-Normal15"/>
              <w:spacing w:before="0" w:after="0" w:line="240" w:lineRule="auto"/>
              <w:rPr>
                <w:noProof/>
              </w:rPr>
            </w:pPr>
            <w:r>
              <w:rPr>
                <w:noProof/>
              </w:rPr>
              <w:t>Nombre de systèmes d’information dont la cybersécurité a été renforcée conformément à la loi no 181/2014 Rec., sur la cybersécurité</w:t>
            </w:r>
          </w:p>
        </w:tc>
        <w:tc>
          <w:tcPr>
            <w:tcW w:w="1843" w:type="dxa"/>
            <w:shd w:val="clear" w:color="auto" w:fill="C6EFCE"/>
            <w:vAlign w:val="center"/>
          </w:tcPr>
          <w:p w14:paraId="4C38C7CA" w14:textId="77777777" w:rsidR="00025543" w:rsidRDefault="00025543">
            <w:pPr>
              <w:spacing w:before="0" w:after="0" w:line="240" w:lineRule="auto"/>
              <w:rPr>
                <w:rFonts w:eastAsia="Times New Roman"/>
                <w:noProof/>
                <w:color w:val="004300"/>
                <w:sz w:val="18"/>
              </w:rPr>
            </w:pPr>
          </w:p>
        </w:tc>
        <w:tc>
          <w:tcPr>
            <w:tcW w:w="1077" w:type="dxa"/>
            <w:shd w:val="clear" w:color="auto" w:fill="C6EFCE"/>
            <w:vAlign w:val="center"/>
            <w:hideMark/>
          </w:tcPr>
          <w:p w14:paraId="39557D8E" w14:textId="1D2342B4" w:rsidR="00025543" w:rsidRDefault="007E3A2F">
            <w:pPr>
              <w:pStyle w:val="P68B1DB1-Normal16"/>
              <w:spacing w:before="0" w:after="0" w:line="240" w:lineRule="auto"/>
              <w:rPr>
                <w:noProof/>
              </w:rPr>
            </w:pPr>
            <w:r>
              <w:rPr>
                <w:noProof/>
              </w:rPr>
              <w:t>Numéro</w:t>
            </w:r>
          </w:p>
        </w:tc>
        <w:tc>
          <w:tcPr>
            <w:tcW w:w="1022" w:type="dxa"/>
            <w:shd w:val="clear" w:color="auto" w:fill="C6EFCE"/>
            <w:vAlign w:val="center"/>
            <w:hideMark/>
          </w:tcPr>
          <w:p w14:paraId="1FBE7D04" w14:textId="77777777" w:rsidR="00025543" w:rsidRDefault="007E3A2F">
            <w:pPr>
              <w:pStyle w:val="P68B1DB1-Normal15"/>
              <w:spacing w:before="0" w:after="0" w:line="240" w:lineRule="auto"/>
              <w:jc w:val="center"/>
              <w:rPr>
                <w:noProof/>
              </w:rPr>
            </w:pPr>
            <w:r>
              <w:rPr>
                <w:noProof/>
              </w:rPr>
              <w:t>0</w:t>
            </w:r>
          </w:p>
        </w:tc>
        <w:tc>
          <w:tcPr>
            <w:tcW w:w="709" w:type="dxa"/>
            <w:shd w:val="clear" w:color="auto" w:fill="C6EFCE"/>
            <w:vAlign w:val="center"/>
            <w:hideMark/>
          </w:tcPr>
          <w:p w14:paraId="69CEC06B" w14:textId="418D65A7" w:rsidR="00025543" w:rsidRDefault="007E3A2F">
            <w:pPr>
              <w:pStyle w:val="P68B1DB1-Normal15"/>
              <w:spacing w:before="0" w:after="0" w:line="240" w:lineRule="auto"/>
              <w:jc w:val="center"/>
              <w:rPr>
                <w:noProof/>
              </w:rPr>
            </w:pPr>
            <w:r>
              <w:rPr>
                <w:noProof/>
              </w:rPr>
              <w:t>87</w:t>
            </w:r>
          </w:p>
        </w:tc>
        <w:tc>
          <w:tcPr>
            <w:tcW w:w="992" w:type="dxa"/>
            <w:shd w:val="clear" w:color="auto" w:fill="C6EFCE"/>
            <w:vAlign w:val="center"/>
            <w:hideMark/>
          </w:tcPr>
          <w:p w14:paraId="3BB8AB07" w14:textId="77777777" w:rsidR="00025543" w:rsidRDefault="007E3A2F">
            <w:pPr>
              <w:pStyle w:val="P68B1DB1-Normal15"/>
              <w:spacing w:before="0" w:after="0" w:line="240" w:lineRule="auto"/>
              <w:jc w:val="center"/>
              <w:rPr>
                <w:noProof/>
              </w:rPr>
            </w:pPr>
            <w:r>
              <w:rPr>
                <w:noProof/>
              </w:rPr>
              <w:t>TRIMESTRE 4</w:t>
            </w:r>
          </w:p>
        </w:tc>
        <w:tc>
          <w:tcPr>
            <w:tcW w:w="709" w:type="dxa"/>
            <w:shd w:val="clear" w:color="auto" w:fill="C6EFCE"/>
            <w:vAlign w:val="center"/>
            <w:hideMark/>
          </w:tcPr>
          <w:p w14:paraId="3686036F" w14:textId="77777777" w:rsidR="00025543" w:rsidRDefault="007E3A2F">
            <w:pPr>
              <w:pStyle w:val="P68B1DB1-Normal15"/>
              <w:spacing w:before="0" w:after="0" w:line="240" w:lineRule="auto"/>
              <w:jc w:val="center"/>
              <w:rPr>
                <w:noProof/>
              </w:rPr>
            </w:pPr>
            <w:r>
              <w:rPr>
                <w:noProof/>
              </w:rPr>
              <w:t>2025</w:t>
            </w:r>
          </w:p>
        </w:tc>
        <w:tc>
          <w:tcPr>
            <w:tcW w:w="3681" w:type="dxa"/>
            <w:shd w:val="clear" w:color="auto" w:fill="C6EFCE"/>
            <w:vAlign w:val="center"/>
          </w:tcPr>
          <w:p w14:paraId="4E3E95A3" w14:textId="77777777" w:rsidR="00025543" w:rsidRDefault="007E3A2F">
            <w:pPr>
              <w:pStyle w:val="P68B1DB1-Normal16"/>
              <w:spacing w:before="0" w:after="0" w:line="240" w:lineRule="auto"/>
              <w:rPr>
                <w:noProof/>
              </w:rPr>
            </w:pPr>
            <w:r>
              <w:rPr>
                <w:noProof/>
              </w:rPr>
              <w:t>La mesure renforce la cybersécurité des systèmes d’information sélectionnés conformément aux exigences de la loi no 181/2014 Rec. sur la cybersécurité.</w:t>
            </w:r>
          </w:p>
          <w:p w14:paraId="51FF5FA9" w14:textId="5E789388" w:rsidR="00025543" w:rsidRDefault="007E3A2F">
            <w:pPr>
              <w:pStyle w:val="P68B1DB1-Normal16"/>
              <w:spacing w:before="0" w:after="0" w:line="240" w:lineRule="auto"/>
              <w:rPr>
                <w:rFonts w:eastAsia="Times New Roman"/>
                <w:noProof/>
              </w:rPr>
            </w:pPr>
            <w:r>
              <w:rPr>
                <w:noProof/>
              </w:rPr>
              <w:t xml:space="preserve">Le jalon est considéré comme atteint à la suite des essais et de la vérification concluants et documentés de la conformité avec les exigences en matière de cybersécurité d’au moins 87 systèmes d’information et que les autorités propriétaires des systèmes respectifs ont approuvé la fourniture des systèmes. </w:t>
            </w:r>
          </w:p>
        </w:tc>
      </w:tr>
      <w:tr w:rsidR="00025543" w14:paraId="3A9B4824" w14:textId="77777777">
        <w:trPr>
          <w:trHeight w:val="309"/>
          <w:jc w:val="center"/>
        </w:trPr>
        <w:tc>
          <w:tcPr>
            <w:tcW w:w="704" w:type="dxa"/>
            <w:shd w:val="clear" w:color="auto" w:fill="C6EFCE"/>
            <w:vAlign w:val="center"/>
            <w:hideMark/>
          </w:tcPr>
          <w:p w14:paraId="70D3421C" w14:textId="77777777" w:rsidR="00025543" w:rsidRDefault="007E3A2F">
            <w:pPr>
              <w:pStyle w:val="P68B1DB1-Normal15"/>
              <w:spacing w:before="0" w:after="0" w:line="240" w:lineRule="auto"/>
              <w:jc w:val="center"/>
              <w:rPr>
                <w:noProof/>
              </w:rPr>
            </w:pPr>
            <w:r>
              <w:rPr>
                <w:noProof/>
              </w:rPr>
              <w:t>25</w:t>
            </w:r>
          </w:p>
        </w:tc>
        <w:tc>
          <w:tcPr>
            <w:tcW w:w="1448" w:type="dxa"/>
            <w:shd w:val="clear" w:color="auto" w:fill="C6EFCE"/>
            <w:vAlign w:val="center"/>
            <w:hideMark/>
          </w:tcPr>
          <w:p w14:paraId="739C1D29" w14:textId="77777777" w:rsidR="00025543" w:rsidRDefault="007E3A2F">
            <w:pPr>
              <w:pStyle w:val="P68B1DB1-Normal16"/>
              <w:spacing w:before="0" w:after="0" w:line="240" w:lineRule="auto"/>
              <w:rPr>
                <w:noProof/>
              </w:rPr>
            </w:pPr>
            <w:r>
              <w:rPr>
                <w:noProof/>
              </w:rPr>
              <w:t>Réformes 1:</w:t>
            </w:r>
          </w:p>
          <w:p w14:paraId="4717AACD" w14:textId="782246E7" w:rsidR="00025543" w:rsidRDefault="007E3A2F">
            <w:pPr>
              <w:pStyle w:val="P68B1DB1-Normal16"/>
              <w:spacing w:before="0" w:after="0" w:line="240" w:lineRule="auto"/>
              <w:rPr>
                <w:rFonts w:eastAsia="Times New Roman"/>
                <w:noProof/>
              </w:rPr>
            </w:pPr>
            <w:r>
              <w:rPr>
                <w:noProof/>
              </w:rPr>
              <w:t>Centres de compétence pour soutenir l’administration en ligne, la cybersécurité et la santé en ligne</w:t>
            </w:r>
          </w:p>
        </w:tc>
        <w:tc>
          <w:tcPr>
            <w:tcW w:w="1134" w:type="dxa"/>
            <w:shd w:val="clear" w:color="auto" w:fill="C6EFCE"/>
            <w:vAlign w:val="center"/>
            <w:hideMark/>
          </w:tcPr>
          <w:p w14:paraId="72004C84" w14:textId="77777777" w:rsidR="00025543" w:rsidRDefault="007E3A2F">
            <w:pPr>
              <w:pStyle w:val="P68B1DB1-Normal16"/>
              <w:spacing w:before="0" w:after="0" w:line="240" w:lineRule="auto"/>
              <w:rPr>
                <w:rFonts w:eastAsia="Times New Roman"/>
                <w:noProof/>
              </w:rPr>
            </w:pPr>
            <w:r>
              <w:rPr>
                <w:noProof/>
              </w:rPr>
              <w:t>Étapes</w:t>
            </w:r>
          </w:p>
        </w:tc>
        <w:tc>
          <w:tcPr>
            <w:tcW w:w="1701" w:type="dxa"/>
            <w:shd w:val="clear" w:color="auto" w:fill="C6EFCE"/>
            <w:vAlign w:val="center"/>
            <w:hideMark/>
          </w:tcPr>
          <w:p w14:paraId="10846030" w14:textId="3050BF46" w:rsidR="00025543" w:rsidRDefault="007E3A2F">
            <w:pPr>
              <w:pStyle w:val="P68B1DB1-Normal16"/>
              <w:spacing w:before="0" w:after="0" w:line="240" w:lineRule="auto"/>
              <w:rPr>
                <w:noProof/>
              </w:rPr>
            </w:pPr>
            <w:r>
              <w:rPr>
                <w:noProof/>
              </w:rPr>
              <w:t>Fonctionnement complet de trois centres de compétences fournissant des services de conseil aux autorités mettant en œuvre les changements dans les systèmes d’information et l’écosystème d’administration en ligne prévus au titre des volets 1.1 et 1.2</w:t>
            </w:r>
          </w:p>
        </w:tc>
        <w:tc>
          <w:tcPr>
            <w:tcW w:w="1843" w:type="dxa"/>
            <w:shd w:val="clear" w:color="auto" w:fill="C6EFCE"/>
            <w:vAlign w:val="center"/>
            <w:hideMark/>
          </w:tcPr>
          <w:p w14:paraId="416ACB35" w14:textId="77777777" w:rsidR="00025543" w:rsidRDefault="007E3A2F">
            <w:pPr>
              <w:pStyle w:val="P68B1DB1-Normal16"/>
              <w:spacing w:before="0" w:after="0" w:line="240" w:lineRule="auto"/>
              <w:rPr>
                <w:rFonts w:eastAsia="Times New Roman"/>
                <w:noProof/>
              </w:rPr>
            </w:pPr>
            <w:r>
              <w:rPr>
                <w:noProof/>
              </w:rPr>
              <w:t>Les centres de compétences sont considérés comme pleinement opérationnels dès que les autorités publiques ont présenté des demandes officielles de services de consultation et que les centres de compétences ont reçu un agrément.</w:t>
            </w:r>
          </w:p>
        </w:tc>
        <w:tc>
          <w:tcPr>
            <w:tcW w:w="1077" w:type="dxa"/>
            <w:shd w:val="clear" w:color="auto" w:fill="C6EFCE"/>
            <w:vAlign w:val="center"/>
          </w:tcPr>
          <w:p w14:paraId="39028BD1" w14:textId="77777777" w:rsidR="00025543" w:rsidRDefault="00025543">
            <w:pPr>
              <w:spacing w:before="0" w:after="0" w:line="240" w:lineRule="auto"/>
              <w:rPr>
                <w:rFonts w:eastAsia="Times New Roman"/>
                <w:noProof/>
                <w:color w:val="004300"/>
                <w:sz w:val="18"/>
              </w:rPr>
            </w:pPr>
          </w:p>
        </w:tc>
        <w:tc>
          <w:tcPr>
            <w:tcW w:w="1022" w:type="dxa"/>
            <w:shd w:val="clear" w:color="auto" w:fill="C6EFCE"/>
            <w:vAlign w:val="center"/>
          </w:tcPr>
          <w:p w14:paraId="31BAA96B" w14:textId="77777777" w:rsidR="00025543" w:rsidRDefault="00025543">
            <w:pPr>
              <w:spacing w:before="0" w:after="0" w:line="240" w:lineRule="auto"/>
              <w:jc w:val="center"/>
              <w:rPr>
                <w:rFonts w:eastAsia="Times New Roman"/>
                <w:noProof/>
                <w:color w:val="004300"/>
                <w:sz w:val="18"/>
              </w:rPr>
            </w:pPr>
          </w:p>
        </w:tc>
        <w:tc>
          <w:tcPr>
            <w:tcW w:w="709" w:type="dxa"/>
            <w:shd w:val="clear" w:color="auto" w:fill="C6EFCE"/>
            <w:vAlign w:val="center"/>
          </w:tcPr>
          <w:p w14:paraId="61023533" w14:textId="77777777" w:rsidR="00025543" w:rsidRDefault="00025543">
            <w:pPr>
              <w:spacing w:before="0" w:after="0" w:line="240" w:lineRule="auto"/>
              <w:jc w:val="center"/>
              <w:rPr>
                <w:rFonts w:eastAsia="Times New Roman"/>
                <w:noProof/>
                <w:color w:val="004300"/>
                <w:sz w:val="18"/>
              </w:rPr>
            </w:pPr>
          </w:p>
        </w:tc>
        <w:tc>
          <w:tcPr>
            <w:tcW w:w="992" w:type="dxa"/>
            <w:shd w:val="clear" w:color="auto" w:fill="C6EFCE"/>
            <w:vAlign w:val="center"/>
            <w:hideMark/>
          </w:tcPr>
          <w:p w14:paraId="2CBFE2BC" w14:textId="77777777" w:rsidR="00025543" w:rsidRDefault="007E3A2F">
            <w:pPr>
              <w:pStyle w:val="P68B1DB1-Normal15"/>
              <w:spacing w:before="0" w:after="0" w:line="240" w:lineRule="auto"/>
              <w:jc w:val="center"/>
              <w:rPr>
                <w:noProof/>
              </w:rPr>
            </w:pPr>
            <w:r>
              <w:rPr>
                <w:noProof/>
              </w:rPr>
              <w:t>TRIMESTRE 4</w:t>
            </w:r>
          </w:p>
        </w:tc>
        <w:tc>
          <w:tcPr>
            <w:tcW w:w="709" w:type="dxa"/>
            <w:shd w:val="clear" w:color="auto" w:fill="C6EFCE"/>
            <w:vAlign w:val="center"/>
            <w:hideMark/>
          </w:tcPr>
          <w:p w14:paraId="586A0DC7" w14:textId="77777777" w:rsidR="00025543" w:rsidRDefault="007E3A2F">
            <w:pPr>
              <w:pStyle w:val="P68B1DB1-Normal15"/>
              <w:spacing w:before="0" w:after="0" w:line="240" w:lineRule="auto"/>
              <w:jc w:val="center"/>
              <w:rPr>
                <w:noProof/>
              </w:rPr>
            </w:pPr>
            <w:r>
              <w:rPr>
                <w:noProof/>
              </w:rPr>
              <w:t>2022</w:t>
            </w:r>
          </w:p>
        </w:tc>
        <w:tc>
          <w:tcPr>
            <w:tcW w:w="3681" w:type="dxa"/>
            <w:shd w:val="clear" w:color="auto" w:fill="C6EFCE"/>
            <w:vAlign w:val="center"/>
            <w:hideMark/>
          </w:tcPr>
          <w:p w14:paraId="779F7012" w14:textId="3029291D" w:rsidR="00025543" w:rsidRDefault="007E3A2F">
            <w:pPr>
              <w:pStyle w:val="P68B1DB1-Normal16"/>
              <w:spacing w:before="0" w:after="0" w:line="240" w:lineRule="auto"/>
              <w:rPr>
                <w:noProof/>
              </w:rPr>
            </w:pPr>
            <w:r>
              <w:rPr>
                <w:rFonts w:eastAsia="Times New Roman"/>
                <w:noProof/>
              </w:rPr>
              <w:t>Trois centres de compétences dans les domaines de l’administration en ligne, de la cybersécurité et de la santé en ligne fournissent des services de consultation et de conseil aux autorités lors de la mise en œuvre des projets relevant des volets 1.1 et 1.2.</w:t>
            </w:r>
            <w:r>
              <w:rPr>
                <w:noProof/>
              </w:rPr>
              <w:t xml:space="preserve"> </w:t>
            </w:r>
          </w:p>
        </w:tc>
      </w:tr>
      <w:tr w:rsidR="00025543" w14:paraId="6D09F246" w14:textId="77777777">
        <w:trPr>
          <w:trHeight w:val="309"/>
          <w:jc w:val="center"/>
        </w:trPr>
        <w:tc>
          <w:tcPr>
            <w:tcW w:w="704" w:type="dxa"/>
            <w:shd w:val="clear" w:color="auto" w:fill="C6EFCE"/>
            <w:vAlign w:val="center"/>
            <w:hideMark/>
          </w:tcPr>
          <w:p w14:paraId="722B729A" w14:textId="77777777" w:rsidR="00025543" w:rsidRDefault="007E3A2F">
            <w:pPr>
              <w:pStyle w:val="P68B1DB1-Normal15"/>
              <w:spacing w:before="0" w:after="0" w:line="240" w:lineRule="auto"/>
              <w:jc w:val="center"/>
              <w:rPr>
                <w:noProof/>
              </w:rPr>
            </w:pPr>
            <w:r>
              <w:rPr>
                <w:noProof/>
              </w:rPr>
              <w:t>26</w:t>
            </w:r>
          </w:p>
        </w:tc>
        <w:tc>
          <w:tcPr>
            <w:tcW w:w="1448" w:type="dxa"/>
            <w:shd w:val="clear" w:color="auto" w:fill="C6EFCE"/>
            <w:vAlign w:val="center"/>
            <w:hideMark/>
          </w:tcPr>
          <w:p w14:paraId="07D882DF" w14:textId="77777777" w:rsidR="00025543" w:rsidRDefault="007E3A2F">
            <w:pPr>
              <w:pStyle w:val="P68B1DB1-Normal16"/>
              <w:spacing w:before="0" w:after="0" w:line="240" w:lineRule="auto"/>
              <w:rPr>
                <w:noProof/>
              </w:rPr>
            </w:pPr>
            <w:r>
              <w:rPr>
                <w:noProof/>
              </w:rPr>
              <w:t>Réforme 1:</w:t>
            </w:r>
          </w:p>
          <w:p w14:paraId="1821617B" w14:textId="38D564DE" w:rsidR="00025543" w:rsidRDefault="007E3A2F">
            <w:pPr>
              <w:pStyle w:val="P68B1DB1-Normal16"/>
              <w:spacing w:before="0" w:after="0" w:line="240" w:lineRule="auto"/>
              <w:rPr>
                <w:rFonts w:eastAsia="Times New Roman"/>
                <w:noProof/>
              </w:rPr>
            </w:pPr>
            <w:r>
              <w:rPr>
                <w:noProof/>
              </w:rPr>
              <w:t>Centres de compétence pour soutenir l’administration en ligne, la cybersécurité et la santé en ligne</w:t>
            </w:r>
          </w:p>
        </w:tc>
        <w:tc>
          <w:tcPr>
            <w:tcW w:w="1134" w:type="dxa"/>
            <w:shd w:val="clear" w:color="auto" w:fill="C6EFCE"/>
            <w:vAlign w:val="center"/>
            <w:hideMark/>
          </w:tcPr>
          <w:p w14:paraId="53A57590" w14:textId="77777777" w:rsidR="00025543" w:rsidRDefault="007E3A2F">
            <w:pPr>
              <w:pStyle w:val="P68B1DB1-Normal16"/>
              <w:spacing w:before="0" w:after="0" w:line="240" w:lineRule="auto"/>
              <w:rPr>
                <w:rFonts w:eastAsia="Times New Roman"/>
                <w:noProof/>
              </w:rPr>
            </w:pPr>
            <w:r>
              <w:rPr>
                <w:noProof/>
              </w:rPr>
              <w:t>Cible</w:t>
            </w:r>
          </w:p>
        </w:tc>
        <w:tc>
          <w:tcPr>
            <w:tcW w:w="1701" w:type="dxa"/>
            <w:shd w:val="clear" w:color="auto" w:fill="C6EFCE"/>
            <w:vAlign w:val="center"/>
            <w:hideMark/>
          </w:tcPr>
          <w:p w14:paraId="0D9BF2E7" w14:textId="361B0159" w:rsidR="00025543" w:rsidRDefault="007E3A2F">
            <w:pPr>
              <w:pStyle w:val="P68B1DB1-Normal16"/>
              <w:spacing w:before="0" w:after="0" w:line="240" w:lineRule="auto"/>
              <w:rPr>
                <w:rFonts w:eastAsia="Times New Roman"/>
                <w:noProof/>
              </w:rPr>
            </w:pPr>
            <w:r>
              <w:rPr>
                <w:noProof/>
              </w:rPr>
              <w:t>Consultations et assistance fournies sur des sujets liés aux mesures relevant des volets 1.1 et 1.2 dans le cadre d’au moins 5 jours-hommes, fournies à des organismes spécifiques de l’administration publique</w:t>
            </w:r>
          </w:p>
        </w:tc>
        <w:tc>
          <w:tcPr>
            <w:tcW w:w="1843" w:type="dxa"/>
            <w:shd w:val="clear" w:color="auto" w:fill="C6EFCE"/>
            <w:vAlign w:val="center"/>
          </w:tcPr>
          <w:p w14:paraId="32C23660" w14:textId="77777777" w:rsidR="00025543" w:rsidRDefault="00025543">
            <w:pPr>
              <w:spacing w:before="0" w:after="0" w:line="240" w:lineRule="auto"/>
              <w:rPr>
                <w:rFonts w:eastAsia="Times New Roman"/>
                <w:noProof/>
                <w:color w:val="004300"/>
                <w:sz w:val="18"/>
              </w:rPr>
            </w:pPr>
          </w:p>
        </w:tc>
        <w:tc>
          <w:tcPr>
            <w:tcW w:w="1077" w:type="dxa"/>
            <w:shd w:val="clear" w:color="auto" w:fill="C6EFCE"/>
            <w:vAlign w:val="center"/>
            <w:hideMark/>
          </w:tcPr>
          <w:p w14:paraId="5FACCC07" w14:textId="1173E65A" w:rsidR="00025543" w:rsidRDefault="007E3A2F">
            <w:pPr>
              <w:pStyle w:val="P68B1DB1-Normal16"/>
              <w:spacing w:before="0" w:after="0" w:line="240" w:lineRule="auto"/>
              <w:rPr>
                <w:rFonts w:eastAsia="Times New Roman"/>
                <w:noProof/>
              </w:rPr>
            </w:pPr>
            <w:r>
              <w:rPr>
                <w:noProof/>
              </w:rPr>
              <w:t>Nombre de consultations prévues dans le champ d’application d’au moins 5 personnes-jours</w:t>
            </w:r>
          </w:p>
        </w:tc>
        <w:tc>
          <w:tcPr>
            <w:tcW w:w="1022" w:type="dxa"/>
            <w:shd w:val="clear" w:color="auto" w:fill="C6EFCE"/>
            <w:vAlign w:val="center"/>
            <w:hideMark/>
          </w:tcPr>
          <w:p w14:paraId="031C0981" w14:textId="77777777" w:rsidR="00025543" w:rsidRDefault="007E3A2F">
            <w:pPr>
              <w:pStyle w:val="P68B1DB1-Normal15"/>
              <w:spacing w:before="0" w:after="0" w:line="240" w:lineRule="auto"/>
              <w:jc w:val="center"/>
              <w:rPr>
                <w:noProof/>
              </w:rPr>
            </w:pPr>
            <w:r>
              <w:rPr>
                <w:noProof/>
              </w:rPr>
              <w:t>0</w:t>
            </w:r>
          </w:p>
        </w:tc>
        <w:tc>
          <w:tcPr>
            <w:tcW w:w="709" w:type="dxa"/>
            <w:shd w:val="clear" w:color="auto" w:fill="C6EFCE"/>
            <w:vAlign w:val="center"/>
            <w:hideMark/>
          </w:tcPr>
          <w:p w14:paraId="65A54EFC" w14:textId="77777777" w:rsidR="00025543" w:rsidRDefault="007E3A2F">
            <w:pPr>
              <w:pStyle w:val="P68B1DB1-Normal15"/>
              <w:spacing w:before="0" w:after="0" w:line="240" w:lineRule="auto"/>
              <w:jc w:val="center"/>
              <w:rPr>
                <w:noProof/>
              </w:rPr>
            </w:pPr>
            <w:r>
              <w:rPr>
                <w:noProof/>
              </w:rPr>
              <w:t>50</w:t>
            </w:r>
          </w:p>
        </w:tc>
        <w:tc>
          <w:tcPr>
            <w:tcW w:w="992" w:type="dxa"/>
            <w:shd w:val="clear" w:color="auto" w:fill="C6EFCE"/>
            <w:vAlign w:val="center"/>
            <w:hideMark/>
          </w:tcPr>
          <w:p w14:paraId="11D41170" w14:textId="77777777" w:rsidR="00025543" w:rsidRDefault="007E3A2F">
            <w:pPr>
              <w:pStyle w:val="P68B1DB1-Normal15"/>
              <w:spacing w:before="0" w:after="0" w:line="240" w:lineRule="auto"/>
              <w:jc w:val="center"/>
              <w:rPr>
                <w:noProof/>
              </w:rPr>
            </w:pPr>
            <w:r>
              <w:rPr>
                <w:noProof/>
              </w:rPr>
              <w:t>TRIMESTRE 4</w:t>
            </w:r>
          </w:p>
        </w:tc>
        <w:tc>
          <w:tcPr>
            <w:tcW w:w="709" w:type="dxa"/>
            <w:shd w:val="clear" w:color="auto" w:fill="C6EFCE"/>
            <w:vAlign w:val="center"/>
            <w:hideMark/>
          </w:tcPr>
          <w:p w14:paraId="0FADB1C9" w14:textId="77777777" w:rsidR="00025543" w:rsidRDefault="007E3A2F">
            <w:pPr>
              <w:pStyle w:val="P68B1DB1-Normal15"/>
              <w:spacing w:before="0" w:after="0" w:line="240" w:lineRule="auto"/>
              <w:jc w:val="center"/>
              <w:rPr>
                <w:noProof/>
              </w:rPr>
            </w:pPr>
            <w:r>
              <w:rPr>
                <w:noProof/>
              </w:rPr>
              <w:t>2025</w:t>
            </w:r>
          </w:p>
        </w:tc>
        <w:tc>
          <w:tcPr>
            <w:tcW w:w="3681" w:type="dxa"/>
            <w:shd w:val="clear" w:color="auto" w:fill="C6EFCE"/>
            <w:vAlign w:val="center"/>
            <w:hideMark/>
          </w:tcPr>
          <w:p w14:paraId="158A130F" w14:textId="450F7592" w:rsidR="00025543" w:rsidRDefault="007E3A2F">
            <w:pPr>
              <w:pStyle w:val="P68B1DB1-Normal16"/>
              <w:spacing w:before="0" w:after="0" w:line="240" w:lineRule="auto"/>
              <w:rPr>
                <w:rFonts w:eastAsia="Times New Roman"/>
                <w:noProof/>
              </w:rPr>
            </w:pPr>
            <w:r>
              <w:rPr>
                <w:noProof/>
              </w:rPr>
              <w:t>La mesure fournit aux organismes de l’administration publique une expertise pour la mise en œuvre des investissements et des réformes au titre des volets 1.1 et 1.2. Seules les consultations nécessitant un minimum de cinq personnes-jours sont prises en compte pour la réalisation de l’objectif.</w:t>
            </w:r>
          </w:p>
        </w:tc>
      </w:tr>
      <w:tr w:rsidR="00025543" w14:paraId="47D46F91" w14:textId="77777777">
        <w:trPr>
          <w:trHeight w:val="309"/>
          <w:jc w:val="center"/>
        </w:trPr>
        <w:tc>
          <w:tcPr>
            <w:tcW w:w="704" w:type="dxa"/>
            <w:shd w:val="clear" w:color="auto" w:fill="C6EFCE"/>
            <w:vAlign w:val="center"/>
            <w:hideMark/>
          </w:tcPr>
          <w:p w14:paraId="31A060BD" w14:textId="77777777" w:rsidR="00025543" w:rsidRDefault="007E3A2F">
            <w:pPr>
              <w:pStyle w:val="P68B1DB1-Normal15"/>
              <w:spacing w:before="0" w:after="0" w:line="240" w:lineRule="auto"/>
              <w:jc w:val="center"/>
              <w:rPr>
                <w:noProof/>
              </w:rPr>
            </w:pPr>
            <w:r>
              <w:rPr>
                <w:noProof/>
              </w:rPr>
              <w:t>27</w:t>
            </w:r>
          </w:p>
        </w:tc>
        <w:tc>
          <w:tcPr>
            <w:tcW w:w="1448" w:type="dxa"/>
            <w:shd w:val="clear" w:color="auto" w:fill="C6EFCE"/>
            <w:vAlign w:val="center"/>
            <w:hideMark/>
          </w:tcPr>
          <w:p w14:paraId="70AC0F7E" w14:textId="25BB2683" w:rsidR="00025543" w:rsidRDefault="007E3A2F">
            <w:pPr>
              <w:pStyle w:val="P68B1DB1-Normal16"/>
              <w:spacing w:before="0" w:after="0" w:line="240" w:lineRule="auto"/>
              <w:rPr>
                <w:noProof/>
              </w:rPr>
            </w:pPr>
            <w:r>
              <w:rPr>
                <w:noProof/>
              </w:rPr>
              <w:t>Réforme 2:</w:t>
            </w:r>
          </w:p>
          <w:p w14:paraId="13DB5700" w14:textId="77777777" w:rsidR="00025543" w:rsidRDefault="007E3A2F">
            <w:pPr>
              <w:pStyle w:val="P68B1DB1-Normal16"/>
              <w:spacing w:before="0" w:after="0" w:line="240" w:lineRule="auto"/>
              <w:rPr>
                <w:rFonts w:eastAsia="Times New Roman"/>
                <w:noProof/>
              </w:rPr>
            </w:pPr>
            <w:r>
              <w:rPr>
                <w:noProof/>
              </w:rPr>
              <w:t>Développement de systèmes soutenant la santé en ligne</w:t>
            </w:r>
          </w:p>
        </w:tc>
        <w:tc>
          <w:tcPr>
            <w:tcW w:w="1134" w:type="dxa"/>
            <w:shd w:val="clear" w:color="auto" w:fill="C6EFCE"/>
            <w:vAlign w:val="center"/>
            <w:hideMark/>
          </w:tcPr>
          <w:p w14:paraId="60A56926" w14:textId="77777777" w:rsidR="00025543" w:rsidRDefault="007E3A2F">
            <w:pPr>
              <w:pStyle w:val="P68B1DB1-Normal16"/>
              <w:spacing w:before="0" w:after="0" w:line="240" w:lineRule="auto"/>
              <w:rPr>
                <w:rFonts w:eastAsia="Times New Roman"/>
                <w:noProof/>
              </w:rPr>
            </w:pPr>
            <w:r>
              <w:rPr>
                <w:noProof/>
              </w:rPr>
              <w:t>Étapes</w:t>
            </w:r>
          </w:p>
        </w:tc>
        <w:tc>
          <w:tcPr>
            <w:tcW w:w="1701" w:type="dxa"/>
            <w:shd w:val="clear" w:color="auto" w:fill="C6EFCE"/>
            <w:vAlign w:val="center"/>
            <w:hideMark/>
          </w:tcPr>
          <w:p w14:paraId="44BFC1F4" w14:textId="7D1E2B64" w:rsidR="00025543" w:rsidRDefault="007E3A2F">
            <w:pPr>
              <w:pStyle w:val="P68B1DB1-Normal16"/>
              <w:spacing w:before="0" w:after="0" w:line="240" w:lineRule="auto"/>
              <w:rPr>
                <w:rFonts w:eastAsia="Times New Roman"/>
                <w:noProof/>
              </w:rPr>
            </w:pPr>
            <w:r>
              <w:rPr>
                <w:noProof/>
              </w:rPr>
              <w:t>Extension de l’enregistrement partagé des médicaments (prescription électronique) aux stupéfiants et aux substances psychotropes et aux bons électroniques pour dispositifs médicaux</w:t>
            </w:r>
          </w:p>
        </w:tc>
        <w:tc>
          <w:tcPr>
            <w:tcW w:w="1843" w:type="dxa"/>
            <w:shd w:val="clear" w:color="auto" w:fill="C6EFCE"/>
            <w:vAlign w:val="center"/>
            <w:hideMark/>
          </w:tcPr>
          <w:p w14:paraId="0B807DBE" w14:textId="77777777" w:rsidR="00025543" w:rsidRDefault="007E3A2F">
            <w:pPr>
              <w:pStyle w:val="P68B1DB1-Normal16"/>
              <w:spacing w:before="0" w:after="0" w:line="240" w:lineRule="auto"/>
              <w:rPr>
                <w:rFonts w:eastAsia="Times New Roman"/>
                <w:noProof/>
              </w:rPr>
            </w:pPr>
            <w:r>
              <w:rPr>
                <w:noProof/>
              </w:rPr>
              <w:t>Les fonctionnalités de la prescription électronique sont étendues aux prescriptions pour les stupéfiants et les substances psychotropes et à la prescription de bons pour dispositifs médicaux.</w:t>
            </w:r>
          </w:p>
        </w:tc>
        <w:tc>
          <w:tcPr>
            <w:tcW w:w="1077" w:type="dxa"/>
            <w:shd w:val="clear" w:color="auto" w:fill="C6EFCE"/>
            <w:vAlign w:val="center"/>
          </w:tcPr>
          <w:p w14:paraId="5B649C2B" w14:textId="77777777" w:rsidR="00025543" w:rsidRDefault="00025543">
            <w:pPr>
              <w:spacing w:before="0" w:after="0" w:line="240" w:lineRule="auto"/>
              <w:rPr>
                <w:rFonts w:eastAsia="Times New Roman"/>
                <w:noProof/>
                <w:color w:val="004300"/>
                <w:sz w:val="18"/>
              </w:rPr>
            </w:pPr>
          </w:p>
        </w:tc>
        <w:tc>
          <w:tcPr>
            <w:tcW w:w="1022" w:type="dxa"/>
            <w:shd w:val="clear" w:color="auto" w:fill="C6EFCE"/>
            <w:vAlign w:val="center"/>
          </w:tcPr>
          <w:p w14:paraId="3DC7F5AA" w14:textId="77777777" w:rsidR="00025543" w:rsidRDefault="00025543">
            <w:pPr>
              <w:spacing w:before="0" w:after="0" w:line="240" w:lineRule="auto"/>
              <w:jc w:val="center"/>
              <w:rPr>
                <w:rFonts w:eastAsia="Times New Roman"/>
                <w:noProof/>
                <w:color w:val="004300"/>
                <w:sz w:val="18"/>
              </w:rPr>
            </w:pPr>
          </w:p>
        </w:tc>
        <w:tc>
          <w:tcPr>
            <w:tcW w:w="709" w:type="dxa"/>
            <w:shd w:val="clear" w:color="auto" w:fill="C6EFCE"/>
            <w:vAlign w:val="center"/>
          </w:tcPr>
          <w:p w14:paraId="3B283EA5" w14:textId="77777777" w:rsidR="00025543" w:rsidRDefault="00025543">
            <w:pPr>
              <w:spacing w:before="0" w:after="0" w:line="240" w:lineRule="auto"/>
              <w:jc w:val="center"/>
              <w:rPr>
                <w:rFonts w:eastAsia="Times New Roman"/>
                <w:noProof/>
                <w:color w:val="004300"/>
                <w:sz w:val="18"/>
              </w:rPr>
            </w:pPr>
          </w:p>
        </w:tc>
        <w:tc>
          <w:tcPr>
            <w:tcW w:w="992" w:type="dxa"/>
            <w:shd w:val="clear" w:color="auto" w:fill="C6EFCE"/>
            <w:vAlign w:val="center"/>
            <w:hideMark/>
          </w:tcPr>
          <w:p w14:paraId="11F80926" w14:textId="77777777" w:rsidR="00025543" w:rsidRDefault="007E3A2F">
            <w:pPr>
              <w:pStyle w:val="P68B1DB1-Normal15"/>
              <w:spacing w:before="0" w:after="0" w:line="240" w:lineRule="auto"/>
              <w:jc w:val="center"/>
              <w:rPr>
                <w:noProof/>
              </w:rPr>
            </w:pPr>
            <w:r>
              <w:rPr>
                <w:noProof/>
              </w:rPr>
              <w:t>TRIMESTRE 4</w:t>
            </w:r>
          </w:p>
        </w:tc>
        <w:tc>
          <w:tcPr>
            <w:tcW w:w="709" w:type="dxa"/>
            <w:shd w:val="clear" w:color="auto" w:fill="C6EFCE"/>
            <w:vAlign w:val="center"/>
            <w:hideMark/>
          </w:tcPr>
          <w:p w14:paraId="7383BC09" w14:textId="77777777" w:rsidR="00025543" w:rsidRDefault="007E3A2F">
            <w:pPr>
              <w:pStyle w:val="P68B1DB1-Normal15"/>
              <w:spacing w:before="0" w:after="0" w:line="240" w:lineRule="auto"/>
              <w:jc w:val="center"/>
              <w:rPr>
                <w:noProof/>
              </w:rPr>
            </w:pPr>
            <w:r>
              <w:rPr>
                <w:noProof/>
              </w:rPr>
              <w:t>2023</w:t>
            </w:r>
          </w:p>
        </w:tc>
        <w:tc>
          <w:tcPr>
            <w:tcW w:w="3681" w:type="dxa"/>
            <w:shd w:val="clear" w:color="auto" w:fill="C6EFCE"/>
            <w:vAlign w:val="center"/>
            <w:hideMark/>
          </w:tcPr>
          <w:p w14:paraId="1FD19F2E" w14:textId="77777777" w:rsidR="00025543" w:rsidRDefault="007E3A2F">
            <w:pPr>
              <w:pStyle w:val="P68B1DB1-Normal15"/>
              <w:spacing w:before="0" w:after="0" w:line="240" w:lineRule="auto"/>
              <w:rPr>
                <w:noProof/>
              </w:rPr>
            </w:pPr>
            <w:r>
              <w:rPr>
                <w:noProof/>
              </w:rPr>
              <w:t>Les fonctionnalités existantes de la prescription électronique sont étendues par cette mesure permettant la prescription de stupéfiants et de substances psychotropes et de bons pour l’achat de dispositifs médicaux.</w:t>
            </w:r>
          </w:p>
        </w:tc>
      </w:tr>
      <w:tr w:rsidR="00025543" w14:paraId="6AD81F9E" w14:textId="77777777">
        <w:trPr>
          <w:trHeight w:val="309"/>
          <w:jc w:val="center"/>
        </w:trPr>
        <w:tc>
          <w:tcPr>
            <w:tcW w:w="704" w:type="dxa"/>
            <w:shd w:val="clear" w:color="auto" w:fill="C6EFCE"/>
            <w:vAlign w:val="center"/>
            <w:hideMark/>
          </w:tcPr>
          <w:p w14:paraId="3BC8EEEF" w14:textId="77777777" w:rsidR="00025543" w:rsidRDefault="007E3A2F">
            <w:pPr>
              <w:pStyle w:val="P68B1DB1-Normal15"/>
              <w:spacing w:before="0" w:after="0" w:line="240" w:lineRule="auto"/>
              <w:jc w:val="center"/>
              <w:rPr>
                <w:noProof/>
              </w:rPr>
            </w:pPr>
            <w:r>
              <w:rPr>
                <w:noProof/>
              </w:rPr>
              <w:t>28</w:t>
            </w:r>
          </w:p>
        </w:tc>
        <w:tc>
          <w:tcPr>
            <w:tcW w:w="1448" w:type="dxa"/>
            <w:shd w:val="clear" w:color="auto" w:fill="C6EFCE"/>
            <w:vAlign w:val="center"/>
            <w:hideMark/>
          </w:tcPr>
          <w:p w14:paraId="268317D3" w14:textId="5CF11B27" w:rsidR="00025543" w:rsidRDefault="007E3A2F">
            <w:pPr>
              <w:pStyle w:val="P68B1DB1-Normal16"/>
              <w:spacing w:before="0" w:after="0" w:line="240" w:lineRule="auto"/>
              <w:rPr>
                <w:noProof/>
              </w:rPr>
            </w:pPr>
            <w:r>
              <w:rPr>
                <w:noProof/>
              </w:rPr>
              <w:t>Réforme 2:</w:t>
            </w:r>
          </w:p>
          <w:p w14:paraId="0E35BAB2" w14:textId="77777777" w:rsidR="00025543" w:rsidRDefault="007E3A2F">
            <w:pPr>
              <w:pStyle w:val="P68B1DB1-Normal16"/>
              <w:spacing w:before="0" w:after="0" w:line="240" w:lineRule="auto"/>
              <w:rPr>
                <w:rFonts w:eastAsia="Times New Roman"/>
                <w:noProof/>
              </w:rPr>
            </w:pPr>
            <w:r>
              <w:rPr>
                <w:noProof/>
              </w:rPr>
              <w:t>Développement de systèmes soutenant la santé en ligne</w:t>
            </w:r>
          </w:p>
        </w:tc>
        <w:tc>
          <w:tcPr>
            <w:tcW w:w="1134" w:type="dxa"/>
            <w:shd w:val="clear" w:color="auto" w:fill="C6EFCE"/>
            <w:vAlign w:val="center"/>
            <w:hideMark/>
          </w:tcPr>
          <w:p w14:paraId="3E47E541" w14:textId="77777777" w:rsidR="00025543" w:rsidRDefault="007E3A2F">
            <w:pPr>
              <w:pStyle w:val="P68B1DB1-Normal16"/>
              <w:spacing w:before="0" w:after="0" w:line="240" w:lineRule="auto"/>
              <w:rPr>
                <w:rFonts w:eastAsia="Times New Roman"/>
                <w:noProof/>
              </w:rPr>
            </w:pPr>
            <w:r>
              <w:rPr>
                <w:noProof/>
              </w:rPr>
              <w:t>Étapes</w:t>
            </w:r>
          </w:p>
        </w:tc>
        <w:tc>
          <w:tcPr>
            <w:tcW w:w="1701" w:type="dxa"/>
            <w:shd w:val="clear" w:color="auto" w:fill="C6EFCE"/>
            <w:vAlign w:val="center"/>
          </w:tcPr>
          <w:p w14:paraId="6732B6FE" w14:textId="77777777" w:rsidR="00025543" w:rsidRDefault="007E3A2F">
            <w:pPr>
              <w:pStyle w:val="P68B1DB1-Normal16"/>
              <w:spacing w:before="0" w:after="0" w:line="240" w:lineRule="auto"/>
              <w:rPr>
                <w:noProof/>
              </w:rPr>
            </w:pPr>
            <w:r>
              <w:rPr>
                <w:noProof/>
              </w:rPr>
              <w:t>Achèvement des projets de consolidation et de développement de l’infrastructure de santé électronique afin de créer des bases de données interconnectées et d’améliorer les services de soins de santé numériques</w:t>
            </w:r>
          </w:p>
          <w:p w14:paraId="1FA319F3" w14:textId="77777777" w:rsidR="00025543" w:rsidRDefault="00025543">
            <w:pPr>
              <w:spacing w:before="0" w:after="0" w:line="240" w:lineRule="auto"/>
              <w:rPr>
                <w:rFonts w:eastAsia="Times New Roman"/>
                <w:noProof/>
                <w:color w:val="004300"/>
                <w:sz w:val="18"/>
              </w:rPr>
            </w:pPr>
          </w:p>
        </w:tc>
        <w:tc>
          <w:tcPr>
            <w:tcW w:w="1843" w:type="dxa"/>
            <w:shd w:val="clear" w:color="auto" w:fill="C6EFCE"/>
            <w:vAlign w:val="center"/>
            <w:hideMark/>
          </w:tcPr>
          <w:p w14:paraId="4F27336D" w14:textId="77777777" w:rsidR="00025543" w:rsidRDefault="007E3A2F">
            <w:pPr>
              <w:pStyle w:val="P68B1DB1-Normal16"/>
              <w:spacing w:before="0" w:after="0" w:line="240" w:lineRule="auto"/>
              <w:rPr>
                <w:rFonts w:eastAsia="Times New Roman"/>
                <w:noProof/>
              </w:rPr>
            </w:pPr>
            <w:r>
              <w:rPr>
                <w:noProof/>
              </w:rPr>
              <w:t>Les nouveaux services consolidés fournis par les projets sont utilisés par les utilisateurs finaux et les registres sont reliés.</w:t>
            </w:r>
          </w:p>
        </w:tc>
        <w:tc>
          <w:tcPr>
            <w:tcW w:w="1077" w:type="dxa"/>
            <w:shd w:val="clear" w:color="auto" w:fill="C6EFCE"/>
            <w:vAlign w:val="center"/>
          </w:tcPr>
          <w:p w14:paraId="2DECC69F" w14:textId="77777777" w:rsidR="00025543" w:rsidRDefault="00025543">
            <w:pPr>
              <w:spacing w:before="0" w:after="0" w:line="240" w:lineRule="auto"/>
              <w:rPr>
                <w:rFonts w:eastAsia="Times New Roman"/>
                <w:noProof/>
                <w:color w:val="004300"/>
                <w:sz w:val="18"/>
              </w:rPr>
            </w:pPr>
          </w:p>
        </w:tc>
        <w:tc>
          <w:tcPr>
            <w:tcW w:w="1022" w:type="dxa"/>
            <w:shd w:val="clear" w:color="auto" w:fill="C6EFCE"/>
            <w:vAlign w:val="center"/>
          </w:tcPr>
          <w:p w14:paraId="6F8C9C6C" w14:textId="77777777" w:rsidR="00025543" w:rsidRDefault="00025543">
            <w:pPr>
              <w:spacing w:before="0" w:after="0" w:line="240" w:lineRule="auto"/>
              <w:jc w:val="center"/>
              <w:rPr>
                <w:rFonts w:eastAsia="Times New Roman"/>
                <w:noProof/>
                <w:color w:val="004300"/>
                <w:sz w:val="18"/>
              </w:rPr>
            </w:pPr>
          </w:p>
        </w:tc>
        <w:tc>
          <w:tcPr>
            <w:tcW w:w="709" w:type="dxa"/>
            <w:shd w:val="clear" w:color="auto" w:fill="C6EFCE"/>
            <w:vAlign w:val="center"/>
          </w:tcPr>
          <w:p w14:paraId="0059D333" w14:textId="77777777" w:rsidR="00025543" w:rsidRDefault="00025543">
            <w:pPr>
              <w:spacing w:before="0" w:after="0" w:line="240" w:lineRule="auto"/>
              <w:jc w:val="center"/>
              <w:rPr>
                <w:rFonts w:eastAsia="Times New Roman"/>
                <w:noProof/>
                <w:color w:val="004300"/>
                <w:sz w:val="18"/>
              </w:rPr>
            </w:pPr>
          </w:p>
        </w:tc>
        <w:tc>
          <w:tcPr>
            <w:tcW w:w="992" w:type="dxa"/>
            <w:shd w:val="clear" w:color="auto" w:fill="C6EFCE"/>
            <w:vAlign w:val="center"/>
            <w:hideMark/>
          </w:tcPr>
          <w:p w14:paraId="1107F7AA" w14:textId="77777777" w:rsidR="00025543" w:rsidRDefault="007E3A2F">
            <w:pPr>
              <w:pStyle w:val="P68B1DB1-Normal15"/>
              <w:spacing w:before="0" w:after="0" w:line="240" w:lineRule="auto"/>
              <w:jc w:val="center"/>
              <w:rPr>
                <w:noProof/>
              </w:rPr>
            </w:pPr>
            <w:r>
              <w:rPr>
                <w:noProof/>
              </w:rPr>
              <w:t>TRIMESTRE 4</w:t>
            </w:r>
          </w:p>
        </w:tc>
        <w:tc>
          <w:tcPr>
            <w:tcW w:w="709" w:type="dxa"/>
            <w:shd w:val="clear" w:color="auto" w:fill="C6EFCE"/>
            <w:vAlign w:val="center"/>
            <w:hideMark/>
          </w:tcPr>
          <w:p w14:paraId="79B4E7B5" w14:textId="77777777" w:rsidR="00025543" w:rsidRDefault="007E3A2F">
            <w:pPr>
              <w:pStyle w:val="P68B1DB1-Normal15"/>
              <w:spacing w:before="0" w:after="0" w:line="240" w:lineRule="auto"/>
              <w:jc w:val="center"/>
              <w:rPr>
                <w:noProof/>
              </w:rPr>
            </w:pPr>
            <w:r>
              <w:rPr>
                <w:noProof/>
              </w:rPr>
              <w:t>2025</w:t>
            </w:r>
          </w:p>
        </w:tc>
        <w:tc>
          <w:tcPr>
            <w:tcW w:w="3681" w:type="dxa"/>
            <w:shd w:val="clear" w:color="auto" w:fill="C6EFCE"/>
            <w:vAlign w:val="center"/>
            <w:hideMark/>
          </w:tcPr>
          <w:p w14:paraId="2C2A06BE" w14:textId="77777777" w:rsidR="00025543" w:rsidRDefault="007E3A2F">
            <w:pPr>
              <w:pStyle w:val="P68B1DB1-Normal16"/>
              <w:spacing w:before="0" w:after="0" w:line="240" w:lineRule="auto"/>
              <w:rPr>
                <w:noProof/>
              </w:rPr>
            </w:pPr>
            <w:r>
              <w:rPr>
                <w:noProof/>
              </w:rPr>
              <w:t>Les projets inclus dans cette mesure consolideront le système départemental de registres de santé, y compris les systèmes d’information des stations régionales d’hygiène, les registres d’hygiène, le système national d’information sanitaire et la plateforme éducative intégrée. Les registres des soins de santé concernés sont reliés aux services d’administration en ligne. La réalisation de l’étape intermédiaire est vérifiée par les essais concluants réalisés et documentés par le maître d’ouvrage et par l’approbation par le pouvoir adjudicateur de la livraison du projet à l’issue d’une phase pilote réussie. Les projets comprennent:</w:t>
            </w:r>
          </w:p>
          <w:p w14:paraId="635179F8" w14:textId="77777777" w:rsidR="00025543" w:rsidRDefault="007E3A2F">
            <w:pPr>
              <w:pStyle w:val="P68B1DB1-Normal16"/>
              <w:spacing w:before="0" w:after="0" w:line="240" w:lineRule="auto"/>
              <w:rPr>
                <w:noProof/>
              </w:rPr>
            </w:pPr>
            <w:r>
              <w:rPr>
                <w:noProof/>
              </w:rPr>
              <w:t>1. Optimisation du système de soins de santé pour les patients atteints de maladies rares</w:t>
            </w:r>
          </w:p>
          <w:p w14:paraId="47C0FBDB" w14:textId="77777777" w:rsidR="00025543" w:rsidRDefault="007E3A2F">
            <w:pPr>
              <w:pStyle w:val="P68B1DB1-Normal16"/>
              <w:spacing w:before="0" w:after="0" w:line="240" w:lineRule="auto"/>
              <w:rPr>
                <w:noProof/>
              </w:rPr>
            </w:pPr>
            <w:r>
              <w:rPr>
                <w:noProof/>
              </w:rPr>
              <w:t>2. Mise en place de registres d’hygiène par l’amélioration des registres existants des services sanitaires et des systèmes d’information liés à la gestion des situations de pandémie</w:t>
            </w:r>
          </w:p>
          <w:p w14:paraId="518AD574" w14:textId="23C21DD9" w:rsidR="00025543" w:rsidRDefault="007E3A2F">
            <w:pPr>
              <w:pStyle w:val="P68B1DB1-Normal16"/>
              <w:spacing w:before="0" w:after="0" w:line="240" w:lineRule="auto"/>
              <w:rPr>
                <w:noProof/>
              </w:rPr>
            </w:pPr>
            <w:r>
              <w:rPr>
                <w:noProof/>
              </w:rPr>
              <w:t>3. Développement d’un système d’information pour soutenir les services d’assainissement de la Tchéquie</w:t>
            </w:r>
          </w:p>
          <w:p w14:paraId="562B9543" w14:textId="77777777" w:rsidR="00025543" w:rsidRDefault="007E3A2F">
            <w:pPr>
              <w:pStyle w:val="P68B1DB1-Normal16"/>
              <w:spacing w:before="0" w:after="0" w:line="240" w:lineRule="auto"/>
              <w:rPr>
                <w:noProof/>
              </w:rPr>
            </w:pPr>
            <w:r>
              <w:rPr>
                <w:noProof/>
              </w:rPr>
              <w:t>4. Développement de l’infrastructure des registres de référence «santé en ligne» des prestataires de services de santé, des professionnels de la santé et des patients et des systèmes de soutien</w:t>
            </w:r>
          </w:p>
          <w:p w14:paraId="610A082D" w14:textId="77777777" w:rsidR="00025543" w:rsidRDefault="007E3A2F">
            <w:pPr>
              <w:pStyle w:val="P68B1DB1-Normal16"/>
              <w:spacing w:before="0" w:after="0" w:line="240" w:lineRule="auto"/>
              <w:rPr>
                <w:noProof/>
              </w:rPr>
            </w:pPr>
            <w:r>
              <w:rPr>
                <w:noProof/>
              </w:rPr>
              <w:t>5. Modernisation et amélioration des capacités du système national d’information sanitaire</w:t>
            </w:r>
          </w:p>
          <w:p w14:paraId="58E88235" w14:textId="22AB91DE" w:rsidR="00025543" w:rsidRDefault="007E3A2F">
            <w:pPr>
              <w:pStyle w:val="P68B1DB1-Normal16"/>
              <w:spacing w:before="0" w:after="0" w:line="240" w:lineRule="auto"/>
              <w:rPr>
                <w:noProof/>
              </w:rPr>
            </w:pPr>
            <w:r>
              <w:rPr>
                <w:noProof/>
              </w:rPr>
              <w:t>6. Programme de formation des professionnels de la santé à l’utilisation des systèmes de santé en ligne</w:t>
            </w:r>
          </w:p>
        </w:tc>
      </w:tr>
      <w:tr w:rsidR="00025543" w14:paraId="5E700675" w14:textId="77777777">
        <w:trPr>
          <w:trHeight w:val="309"/>
          <w:jc w:val="center"/>
        </w:trPr>
        <w:tc>
          <w:tcPr>
            <w:tcW w:w="704" w:type="dxa"/>
            <w:shd w:val="clear" w:color="auto" w:fill="C6EFCE"/>
            <w:vAlign w:val="center"/>
            <w:hideMark/>
          </w:tcPr>
          <w:p w14:paraId="0041CD9D" w14:textId="77777777" w:rsidR="00025543" w:rsidRDefault="007E3A2F">
            <w:pPr>
              <w:pStyle w:val="P68B1DB1-Normal15"/>
              <w:spacing w:before="0" w:after="0" w:line="240" w:lineRule="auto"/>
              <w:jc w:val="center"/>
              <w:rPr>
                <w:noProof/>
              </w:rPr>
            </w:pPr>
            <w:r>
              <w:rPr>
                <w:noProof/>
              </w:rPr>
              <w:t>29</w:t>
            </w:r>
          </w:p>
        </w:tc>
        <w:tc>
          <w:tcPr>
            <w:tcW w:w="1448" w:type="dxa"/>
            <w:shd w:val="clear" w:color="auto" w:fill="C6EFCE"/>
            <w:vAlign w:val="center"/>
            <w:hideMark/>
          </w:tcPr>
          <w:p w14:paraId="7779B202" w14:textId="0BDF279F" w:rsidR="00025543" w:rsidRDefault="007E3A2F">
            <w:pPr>
              <w:pStyle w:val="P68B1DB1-Normal16"/>
              <w:spacing w:before="0" w:after="0" w:line="240" w:lineRule="auto"/>
              <w:rPr>
                <w:noProof/>
              </w:rPr>
            </w:pPr>
            <w:r>
              <w:rPr>
                <w:noProof/>
              </w:rPr>
              <w:t>Investissement 4:</w:t>
            </w:r>
          </w:p>
          <w:p w14:paraId="12AEFCDA" w14:textId="77777777" w:rsidR="00025543" w:rsidRDefault="007E3A2F">
            <w:pPr>
              <w:pStyle w:val="P68B1DB1-Normal16"/>
              <w:spacing w:before="0" w:after="0" w:line="240" w:lineRule="auto"/>
              <w:rPr>
                <w:rFonts w:eastAsia="Times New Roman"/>
                <w:noProof/>
              </w:rPr>
            </w:pPr>
            <w:r>
              <w:rPr>
                <w:noProof/>
              </w:rPr>
              <w:t>Créer les conditions d’une justice numérique</w:t>
            </w:r>
          </w:p>
        </w:tc>
        <w:tc>
          <w:tcPr>
            <w:tcW w:w="1134" w:type="dxa"/>
            <w:shd w:val="clear" w:color="auto" w:fill="C6EFCE"/>
            <w:vAlign w:val="center"/>
            <w:hideMark/>
          </w:tcPr>
          <w:p w14:paraId="5E26FE4D" w14:textId="77777777" w:rsidR="00025543" w:rsidRDefault="007E3A2F">
            <w:pPr>
              <w:pStyle w:val="P68B1DB1-Normal16"/>
              <w:spacing w:before="0" w:after="0" w:line="240" w:lineRule="auto"/>
              <w:rPr>
                <w:rFonts w:eastAsia="Times New Roman"/>
                <w:noProof/>
              </w:rPr>
            </w:pPr>
            <w:r>
              <w:rPr>
                <w:noProof/>
              </w:rPr>
              <w:t>Étapes</w:t>
            </w:r>
          </w:p>
        </w:tc>
        <w:tc>
          <w:tcPr>
            <w:tcW w:w="1701" w:type="dxa"/>
            <w:shd w:val="clear" w:color="auto" w:fill="C6EFCE"/>
            <w:vAlign w:val="center"/>
            <w:hideMark/>
          </w:tcPr>
          <w:p w14:paraId="18F6B847" w14:textId="77777777" w:rsidR="00025543" w:rsidRDefault="007E3A2F">
            <w:pPr>
              <w:pStyle w:val="P68B1DB1-Normal16"/>
              <w:spacing w:before="0" w:after="0" w:line="240" w:lineRule="auto"/>
              <w:rPr>
                <w:rFonts w:eastAsia="Times New Roman"/>
                <w:noProof/>
              </w:rPr>
            </w:pPr>
            <w:r>
              <w:rPr>
                <w:noProof/>
              </w:rPr>
              <w:t>Analyse de la gestion et de l’utilisation des données dans le secteur de la justice et déploiement d’un entrepôt de données</w:t>
            </w:r>
          </w:p>
        </w:tc>
        <w:tc>
          <w:tcPr>
            <w:tcW w:w="1843" w:type="dxa"/>
            <w:shd w:val="clear" w:color="auto" w:fill="C6EFCE"/>
            <w:vAlign w:val="center"/>
            <w:hideMark/>
          </w:tcPr>
          <w:p w14:paraId="4C082946" w14:textId="77777777" w:rsidR="00025543" w:rsidRDefault="007E3A2F">
            <w:pPr>
              <w:pStyle w:val="P68B1DB1-Normal16"/>
              <w:spacing w:before="0" w:after="0" w:line="240" w:lineRule="auto"/>
              <w:rPr>
                <w:rFonts w:eastAsia="Times New Roman"/>
                <w:noProof/>
              </w:rPr>
            </w:pPr>
            <w:r>
              <w:rPr>
                <w:noProof/>
              </w:rPr>
              <w:t>L’analyse est approuvée par le ministère de la justice et l’entrepôt de données est déployé.</w:t>
            </w:r>
          </w:p>
        </w:tc>
        <w:tc>
          <w:tcPr>
            <w:tcW w:w="1077" w:type="dxa"/>
            <w:shd w:val="clear" w:color="auto" w:fill="C6EFCE"/>
            <w:vAlign w:val="center"/>
          </w:tcPr>
          <w:p w14:paraId="70244615" w14:textId="77777777" w:rsidR="00025543" w:rsidRDefault="00025543">
            <w:pPr>
              <w:spacing w:before="0" w:after="0" w:line="240" w:lineRule="auto"/>
              <w:rPr>
                <w:rFonts w:eastAsia="Times New Roman"/>
                <w:noProof/>
                <w:color w:val="004300"/>
                <w:sz w:val="18"/>
              </w:rPr>
            </w:pPr>
          </w:p>
        </w:tc>
        <w:tc>
          <w:tcPr>
            <w:tcW w:w="1022" w:type="dxa"/>
            <w:shd w:val="clear" w:color="auto" w:fill="C6EFCE"/>
            <w:vAlign w:val="center"/>
          </w:tcPr>
          <w:p w14:paraId="3AA183CC" w14:textId="77777777" w:rsidR="00025543" w:rsidRDefault="00025543">
            <w:pPr>
              <w:spacing w:before="0" w:after="0" w:line="240" w:lineRule="auto"/>
              <w:jc w:val="center"/>
              <w:rPr>
                <w:rFonts w:eastAsia="Times New Roman"/>
                <w:noProof/>
                <w:color w:val="004300"/>
                <w:sz w:val="18"/>
              </w:rPr>
            </w:pPr>
          </w:p>
        </w:tc>
        <w:tc>
          <w:tcPr>
            <w:tcW w:w="709" w:type="dxa"/>
            <w:shd w:val="clear" w:color="auto" w:fill="C6EFCE"/>
            <w:vAlign w:val="center"/>
          </w:tcPr>
          <w:p w14:paraId="6149FFCD" w14:textId="77777777" w:rsidR="00025543" w:rsidRDefault="00025543">
            <w:pPr>
              <w:spacing w:before="0" w:after="0" w:line="240" w:lineRule="auto"/>
              <w:jc w:val="center"/>
              <w:rPr>
                <w:rFonts w:eastAsia="Times New Roman"/>
                <w:noProof/>
                <w:color w:val="004300"/>
                <w:sz w:val="18"/>
              </w:rPr>
            </w:pPr>
          </w:p>
        </w:tc>
        <w:tc>
          <w:tcPr>
            <w:tcW w:w="992" w:type="dxa"/>
            <w:shd w:val="clear" w:color="auto" w:fill="C6EFCE"/>
            <w:vAlign w:val="center"/>
            <w:hideMark/>
          </w:tcPr>
          <w:p w14:paraId="6EE73B61" w14:textId="77777777" w:rsidR="00025543" w:rsidRDefault="007E3A2F">
            <w:pPr>
              <w:pStyle w:val="P68B1DB1-Normal15"/>
              <w:spacing w:before="0" w:after="0" w:line="240" w:lineRule="auto"/>
              <w:jc w:val="center"/>
              <w:rPr>
                <w:noProof/>
              </w:rPr>
            </w:pPr>
            <w:r>
              <w:rPr>
                <w:noProof/>
              </w:rPr>
              <w:t>TRIMESTRE 2</w:t>
            </w:r>
          </w:p>
        </w:tc>
        <w:tc>
          <w:tcPr>
            <w:tcW w:w="709" w:type="dxa"/>
            <w:shd w:val="clear" w:color="auto" w:fill="C6EFCE"/>
            <w:vAlign w:val="center"/>
            <w:hideMark/>
          </w:tcPr>
          <w:p w14:paraId="37DDE543" w14:textId="77777777" w:rsidR="00025543" w:rsidRDefault="007E3A2F">
            <w:pPr>
              <w:pStyle w:val="P68B1DB1-Normal15"/>
              <w:spacing w:before="0" w:after="0" w:line="240" w:lineRule="auto"/>
              <w:jc w:val="center"/>
              <w:rPr>
                <w:noProof/>
              </w:rPr>
            </w:pPr>
            <w:r>
              <w:rPr>
                <w:noProof/>
              </w:rPr>
              <w:t>2022</w:t>
            </w:r>
          </w:p>
        </w:tc>
        <w:tc>
          <w:tcPr>
            <w:tcW w:w="3681" w:type="dxa"/>
            <w:shd w:val="clear" w:color="auto" w:fill="C6EFCE"/>
            <w:vAlign w:val="center"/>
            <w:hideMark/>
          </w:tcPr>
          <w:p w14:paraId="56B0F9E7" w14:textId="77777777" w:rsidR="00025543" w:rsidRDefault="007E3A2F">
            <w:pPr>
              <w:pStyle w:val="P68B1DB1-Normal16"/>
              <w:spacing w:before="0" w:after="0" w:line="240" w:lineRule="auto"/>
              <w:rPr>
                <w:rFonts w:eastAsia="Times New Roman"/>
                <w:noProof/>
              </w:rPr>
            </w:pPr>
            <w:r>
              <w:rPr>
                <w:noProof/>
              </w:rPr>
              <w:t>Le jalon comprend une analyse cartographiant les besoins en matière d’utilisation et de gestion des données du secteur de la justice et du ministère de la justice, qui servira de base à la préparation de futurs projets visant à la numérisation du secteur et comprend également le déploiement d’un entrepôt de données pour le ministère de la justice.</w:t>
            </w:r>
          </w:p>
        </w:tc>
      </w:tr>
      <w:tr w:rsidR="00025543" w14:paraId="599F54C0" w14:textId="77777777">
        <w:trPr>
          <w:trHeight w:val="309"/>
          <w:jc w:val="center"/>
        </w:trPr>
        <w:tc>
          <w:tcPr>
            <w:tcW w:w="704" w:type="dxa"/>
            <w:shd w:val="clear" w:color="auto" w:fill="C6EFCE"/>
            <w:vAlign w:val="center"/>
            <w:hideMark/>
          </w:tcPr>
          <w:p w14:paraId="0AB493CB" w14:textId="77777777" w:rsidR="00025543" w:rsidRDefault="007E3A2F">
            <w:pPr>
              <w:pStyle w:val="P68B1DB1-Normal15"/>
              <w:spacing w:before="0" w:after="0" w:line="240" w:lineRule="auto"/>
              <w:jc w:val="center"/>
              <w:rPr>
                <w:noProof/>
              </w:rPr>
            </w:pPr>
            <w:r>
              <w:rPr>
                <w:noProof/>
              </w:rPr>
              <w:t>30</w:t>
            </w:r>
          </w:p>
        </w:tc>
        <w:tc>
          <w:tcPr>
            <w:tcW w:w="1448" w:type="dxa"/>
            <w:shd w:val="clear" w:color="auto" w:fill="C6EFCE"/>
            <w:vAlign w:val="center"/>
            <w:hideMark/>
          </w:tcPr>
          <w:p w14:paraId="4C968BB1" w14:textId="559FC140" w:rsidR="00025543" w:rsidRDefault="007E3A2F">
            <w:pPr>
              <w:pStyle w:val="P68B1DB1-Normal15"/>
              <w:spacing w:before="0" w:after="0" w:line="240" w:lineRule="auto"/>
              <w:rPr>
                <w:noProof/>
              </w:rPr>
            </w:pPr>
            <w:r>
              <w:rPr>
                <w:noProof/>
              </w:rPr>
              <w:t>Investissement 4:</w:t>
            </w:r>
          </w:p>
          <w:p w14:paraId="4679E0F0" w14:textId="77777777" w:rsidR="00025543" w:rsidRDefault="007E3A2F">
            <w:pPr>
              <w:pStyle w:val="P68B1DB1-Normal15"/>
              <w:spacing w:before="0" w:after="0" w:line="240" w:lineRule="auto"/>
              <w:rPr>
                <w:noProof/>
              </w:rPr>
            </w:pPr>
            <w:r>
              <w:rPr>
                <w:noProof/>
              </w:rPr>
              <w:t>Créer les conditions d’une justice numérique</w:t>
            </w:r>
          </w:p>
        </w:tc>
        <w:tc>
          <w:tcPr>
            <w:tcW w:w="1134" w:type="dxa"/>
            <w:shd w:val="clear" w:color="auto" w:fill="C6EFCE"/>
            <w:vAlign w:val="center"/>
            <w:hideMark/>
          </w:tcPr>
          <w:p w14:paraId="4CB736A5" w14:textId="77777777" w:rsidR="00025543" w:rsidRDefault="007E3A2F">
            <w:pPr>
              <w:pStyle w:val="P68B1DB1-Normal15"/>
              <w:spacing w:before="0" w:after="0" w:line="240" w:lineRule="auto"/>
              <w:rPr>
                <w:noProof/>
              </w:rPr>
            </w:pPr>
            <w:r>
              <w:rPr>
                <w:noProof/>
              </w:rPr>
              <w:t>Cible</w:t>
            </w:r>
          </w:p>
        </w:tc>
        <w:tc>
          <w:tcPr>
            <w:tcW w:w="1701" w:type="dxa"/>
            <w:shd w:val="clear" w:color="auto" w:fill="C6EFCE"/>
            <w:vAlign w:val="center"/>
            <w:hideMark/>
          </w:tcPr>
          <w:p w14:paraId="2BB84184" w14:textId="68FFDA7B" w:rsidR="00025543" w:rsidRDefault="007E3A2F">
            <w:pPr>
              <w:pStyle w:val="P68B1DB1-Normal16"/>
              <w:spacing w:before="0" w:after="0" w:line="240" w:lineRule="auto"/>
              <w:rPr>
                <w:noProof/>
              </w:rPr>
            </w:pPr>
            <w:r>
              <w:rPr>
                <w:noProof/>
              </w:rPr>
              <w:t>Augmentation du nombre de salles de conférence dans le système judiciaire nouvellement équipées et connectées pour permettre la vidéoconférence</w:t>
            </w:r>
          </w:p>
        </w:tc>
        <w:tc>
          <w:tcPr>
            <w:tcW w:w="1843" w:type="dxa"/>
            <w:shd w:val="clear" w:color="auto" w:fill="C6EFCE"/>
            <w:vAlign w:val="center"/>
          </w:tcPr>
          <w:p w14:paraId="56B63C2B" w14:textId="77777777" w:rsidR="00025543" w:rsidRDefault="00025543">
            <w:pPr>
              <w:spacing w:before="0" w:after="0" w:line="240" w:lineRule="auto"/>
              <w:rPr>
                <w:rFonts w:eastAsia="Times New Roman"/>
                <w:noProof/>
                <w:color w:val="004300"/>
                <w:sz w:val="18"/>
              </w:rPr>
            </w:pPr>
          </w:p>
        </w:tc>
        <w:tc>
          <w:tcPr>
            <w:tcW w:w="1077" w:type="dxa"/>
            <w:shd w:val="clear" w:color="auto" w:fill="C6EFCE"/>
            <w:vAlign w:val="center"/>
            <w:hideMark/>
          </w:tcPr>
          <w:p w14:paraId="282F27F2" w14:textId="1D4DE0D5" w:rsidR="00025543" w:rsidRDefault="007E3A2F">
            <w:pPr>
              <w:pStyle w:val="P68B1DB1-Normal15"/>
              <w:spacing w:before="0" w:after="0" w:line="240" w:lineRule="auto"/>
              <w:rPr>
                <w:noProof/>
              </w:rPr>
            </w:pPr>
            <w:r>
              <w:rPr>
                <w:noProof/>
              </w:rPr>
              <w:t>Nombre de salles de conférence</w:t>
            </w:r>
          </w:p>
        </w:tc>
        <w:tc>
          <w:tcPr>
            <w:tcW w:w="1022" w:type="dxa"/>
            <w:shd w:val="clear" w:color="auto" w:fill="C6EFCE"/>
            <w:vAlign w:val="center"/>
            <w:hideMark/>
          </w:tcPr>
          <w:p w14:paraId="341C3F17" w14:textId="77777777" w:rsidR="00025543" w:rsidRDefault="007E3A2F">
            <w:pPr>
              <w:pStyle w:val="P68B1DB1-Normal15"/>
              <w:spacing w:before="0" w:after="0" w:line="240" w:lineRule="auto"/>
              <w:jc w:val="center"/>
              <w:rPr>
                <w:noProof/>
              </w:rPr>
            </w:pPr>
            <w:r>
              <w:rPr>
                <w:noProof/>
              </w:rPr>
              <w:t>170</w:t>
            </w:r>
          </w:p>
        </w:tc>
        <w:tc>
          <w:tcPr>
            <w:tcW w:w="709" w:type="dxa"/>
            <w:shd w:val="clear" w:color="auto" w:fill="C6EFCE"/>
            <w:vAlign w:val="center"/>
            <w:hideMark/>
          </w:tcPr>
          <w:p w14:paraId="3AAD1678" w14:textId="77777777" w:rsidR="00025543" w:rsidRDefault="007E3A2F">
            <w:pPr>
              <w:pStyle w:val="P68B1DB1-Normal15"/>
              <w:spacing w:before="0" w:after="0" w:line="240" w:lineRule="auto"/>
              <w:jc w:val="center"/>
              <w:rPr>
                <w:noProof/>
              </w:rPr>
            </w:pPr>
            <w:r>
              <w:rPr>
                <w:noProof/>
              </w:rPr>
              <w:t>470</w:t>
            </w:r>
          </w:p>
        </w:tc>
        <w:tc>
          <w:tcPr>
            <w:tcW w:w="992" w:type="dxa"/>
            <w:shd w:val="clear" w:color="auto" w:fill="C6EFCE"/>
            <w:vAlign w:val="center"/>
            <w:hideMark/>
          </w:tcPr>
          <w:p w14:paraId="1D43CD84" w14:textId="77777777" w:rsidR="00025543" w:rsidRDefault="007E3A2F">
            <w:pPr>
              <w:pStyle w:val="P68B1DB1-Normal15"/>
              <w:spacing w:before="0" w:after="0" w:line="240" w:lineRule="auto"/>
              <w:jc w:val="center"/>
              <w:rPr>
                <w:noProof/>
              </w:rPr>
            </w:pPr>
            <w:r>
              <w:rPr>
                <w:noProof/>
              </w:rPr>
              <w:t>TRIMESTRE 4</w:t>
            </w:r>
          </w:p>
        </w:tc>
        <w:tc>
          <w:tcPr>
            <w:tcW w:w="709" w:type="dxa"/>
            <w:shd w:val="clear" w:color="auto" w:fill="C6EFCE"/>
            <w:vAlign w:val="center"/>
            <w:hideMark/>
          </w:tcPr>
          <w:p w14:paraId="4D300536" w14:textId="77777777" w:rsidR="00025543" w:rsidRDefault="007E3A2F">
            <w:pPr>
              <w:pStyle w:val="P68B1DB1-Normal15"/>
              <w:spacing w:before="0" w:after="0" w:line="240" w:lineRule="auto"/>
              <w:jc w:val="center"/>
              <w:rPr>
                <w:noProof/>
              </w:rPr>
            </w:pPr>
            <w:r>
              <w:rPr>
                <w:noProof/>
              </w:rPr>
              <w:t>2022</w:t>
            </w:r>
          </w:p>
        </w:tc>
        <w:tc>
          <w:tcPr>
            <w:tcW w:w="3681" w:type="dxa"/>
            <w:shd w:val="clear" w:color="auto" w:fill="C6EFCE"/>
            <w:vAlign w:val="center"/>
            <w:hideMark/>
          </w:tcPr>
          <w:p w14:paraId="4644D4AA" w14:textId="7513BAFD" w:rsidR="00025543" w:rsidRDefault="007E3A2F">
            <w:pPr>
              <w:pStyle w:val="P68B1DB1-Normal15"/>
              <w:spacing w:before="0" w:after="0" w:line="240" w:lineRule="auto"/>
              <w:rPr>
                <w:noProof/>
              </w:rPr>
            </w:pPr>
            <w:r>
              <w:rPr>
                <w:noProof/>
              </w:rPr>
              <w:t>La mesure augmente le nombre de salles de conférence équipées d’outils de visioconférence.</w:t>
            </w:r>
          </w:p>
        </w:tc>
      </w:tr>
      <w:tr w:rsidR="00025543" w14:paraId="7578D05C" w14:textId="77777777">
        <w:trPr>
          <w:trHeight w:val="309"/>
          <w:jc w:val="center"/>
        </w:trPr>
        <w:tc>
          <w:tcPr>
            <w:tcW w:w="704" w:type="dxa"/>
            <w:shd w:val="clear" w:color="auto" w:fill="C6EFCE"/>
            <w:vAlign w:val="center"/>
            <w:hideMark/>
          </w:tcPr>
          <w:p w14:paraId="50831F2B" w14:textId="77777777" w:rsidR="00025543" w:rsidRDefault="007E3A2F">
            <w:pPr>
              <w:pStyle w:val="P68B1DB1-Normal15"/>
              <w:spacing w:before="0" w:after="0" w:line="240" w:lineRule="auto"/>
              <w:jc w:val="center"/>
              <w:rPr>
                <w:noProof/>
              </w:rPr>
            </w:pPr>
            <w:r>
              <w:rPr>
                <w:noProof/>
              </w:rPr>
              <w:t>31</w:t>
            </w:r>
          </w:p>
        </w:tc>
        <w:tc>
          <w:tcPr>
            <w:tcW w:w="1448" w:type="dxa"/>
            <w:shd w:val="clear" w:color="auto" w:fill="C6EFCE"/>
            <w:vAlign w:val="center"/>
            <w:hideMark/>
          </w:tcPr>
          <w:p w14:paraId="514F9128" w14:textId="73C9E61C" w:rsidR="00025543" w:rsidRDefault="007E3A2F">
            <w:pPr>
              <w:pStyle w:val="P68B1DB1-Normal15"/>
              <w:spacing w:before="0" w:after="0" w:line="240" w:lineRule="auto"/>
              <w:rPr>
                <w:noProof/>
              </w:rPr>
            </w:pPr>
            <w:r>
              <w:rPr>
                <w:noProof/>
              </w:rPr>
              <w:t>Investissement 4:</w:t>
            </w:r>
          </w:p>
          <w:p w14:paraId="748091E1" w14:textId="77777777" w:rsidR="00025543" w:rsidRDefault="007E3A2F">
            <w:pPr>
              <w:pStyle w:val="P68B1DB1-Normal15"/>
              <w:spacing w:before="0" w:after="0" w:line="240" w:lineRule="auto"/>
              <w:rPr>
                <w:noProof/>
              </w:rPr>
            </w:pPr>
            <w:r>
              <w:rPr>
                <w:noProof/>
              </w:rPr>
              <w:t>Créer les conditions d’une justice numérique</w:t>
            </w:r>
          </w:p>
        </w:tc>
        <w:tc>
          <w:tcPr>
            <w:tcW w:w="1134" w:type="dxa"/>
            <w:shd w:val="clear" w:color="auto" w:fill="C6EFCE"/>
            <w:vAlign w:val="center"/>
            <w:hideMark/>
          </w:tcPr>
          <w:p w14:paraId="03696997" w14:textId="77777777" w:rsidR="00025543" w:rsidRDefault="007E3A2F">
            <w:pPr>
              <w:pStyle w:val="P68B1DB1-Normal15"/>
              <w:spacing w:before="0" w:after="0" w:line="240" w:lineRule="auto"/>
              <w:rPr>
                <w:noProof/>
              </w:rPr>
            </w:pPr>
            <w:r>
              <w:rPr>
                <w:noProof/>
              </w:rPr>
              <w:t>Cible</w:t>
            </w:r>
          </w:p>
        </w:tc>
        <w:tc>
          <w:tcPr>
            <w:tcW w:w="1701" w:type="dxa"/>
            <w:shd w:val="clear" w:color="auto" w:fill="C6EFCE"/>
            <w:vAlign w:val="center"/>
            <w:hideMark/>
          </w:tcPr>
          <w:p w14:paraId="7E047B47" w14:textId="77777777" w:rsidR="00025543" w:rsidRDefault="007E3A2F">
            <w:pPr>
              <w:pStyle w:val="P68B1DB1-Normal15"/>
              <w:spacing w:before="0" w:after="0" w:line="240" w:lineRule="auto"/>
              <w:rPr>
                <w:noProof/>
              </w:rPr>
            </w:pPr>
            <w:r>
              <w:rPr>
                <w:noProof/>
              </w:rPr>
              <w:t>Augmentation de la capacité de stockage des données</w:t>
            </w:r>
          </w:p>
        </w:tc>
        <w:tc>
          <w:tcPr>
            <w:tcW w:w="1843" w:type="dxa"/>
            <w:shd w:val="clear" w:color="auto" w:fill="C6EFCE"/>
            <w:vAlign w:val="center"/>
          </w:tcPr>
          <w:p w14:paraId="0CFA4031" w14:textId="77777777" w:rsidR="00025543" w:rsidRDefault="00025543">
            <w:pPr>
              <w:spacing w:before="0" w:after="0" w:line="240" w:lineRule="auto"/>
              <w:rPr>
                <w:rFonts w:eastAsia="Times New Roman"/>
                <w:noProof/>
                <w:color w:val="004300"/>
                <w:sz w:val="18"/>
              </w:rPr>
            </w:pPr>
          </w:p>
        </w:tc>
        <w:tc>
          <w:tcPr>
            <w:tcW w:w="1077" w:type="dxa"/>
            <w:shd w:val="clear" w:color="auto" w:fill="C6EFCE"/>
            <w:vAlign w:val="center"/>
            <w:hideMark/>
          </w:tcPr>
          <w:p w14:paraId="777D52C4" w14:textId="44E3B259" w:rsidR="00025543" w:rsidRDefault="007E3A2F">
            <w:pPr>
              <w:pStyle w:val="P68B1DB1-Normal15"/>
              <w:spacing w:before="0" w:after="0" w:line="240" w:lineRule="auto"/>
              <w:rPr>
                <w:noProof/>
              </w:rPr>
            </w:pPr>
            <w:r>
              <w:rPr>
                <w:noProof/>
              </w:rPr>
              <w:t>Petabyte</w:t>
            </w:r>
          </w:p>
        </w:tc>
        <w:tc>
          <w:tcPr>
            <w:tcW w:w="1022" w:type="dxa"/>
            <w:shd w:val="clear" w:color="auto" w:fill="C6EFCE"/>
            <w:vAlign w:val="center"/>
            <w:hideMark/>
          </w:tcPr>
          <w:p w14:paraId="1DDD2789" w14:textId="77777777" w:rsidR="00025543" w:rsidRDefault="007E3A2F">
            <w:pPr>
              <w:pStyle w:val="P68B1DB1-Normal15"/>
              <w:spacing w:before="0" w:after="0" w:line="240" w:lineRule="auto"/>
              <w:jc w:val="center"/>
              <w:rPr>
                <w:noProof/>
              </w:rPr>
            </w:pPr>
            <w:r>
              <w:rPr>
                <w:noProof/>
              </w:rPr>
              <w:t>2</w:t>
            </w:r>
          </w:p>
        </w:tc>
        <w:tc>
          <w:tcPr>
            <w:tcW w:w="709" w:type="dxa"/>
            <w:shd w:val="clear" w:color="auto" w:fill="C6EFCE"/>
            <w:vAlign w:val="center"/>
            <w:hideMark/>
          </w:tcPr>
          <w:p w14:paraId="48426FD6" w14:textId="77777777" w:rsidR="00025543" w:rsidRDefault="007E3A2F">
            <w:pPr>
              <w:pStyle w:val="P68B1DB1-Normal15"/>
              <w:spacing w:before="0" w:after="0" w:line="240" w:lineRule="auto"/>
              <w:jc w:val="center"/>
              <w:rPr>
                <w:noProof/>
              </w:rPr>
            </w:pPr>
            <w:r>
              <w:rPr>
                <w:noProof/>
              </w:rPr>
              <w:t>4</w:t>
            </w:r>
          </w:p>
        </w:tc>
        <w:tc>
          <w:tcPr>
            <w:tcW w:w="992" w:type="dxa"/>
            <w:shd w:val="clear" w:color="auto" w:fill="C6EFCE"/>
            <w:vAlign w:val="center"/>
            <w:hideMark/>
          </w:tcPr>
          <w:p w14:paraId="37C94001" w14:textId="77777777" w:rsidR="00025543" w:rsidRDefault="007E3A2F">
            <w:pPr>
              <w:pStyle w:val="P68B1DB1-Normal15"/>
              <w:spacing w:before="0" w:after="0" w:line="240" w:lineRule="auto"/>
              <w:jc w:val="center"/>
              <w:rPr>
                <w:noProof/>
              </w:rPr>
            </w:pPr>
            <w:r>
              <w:rPr>
                <w:noProof/>
              </w:rPr>
              <w:t>TRIMESTRE 4</w:t>
            </w:r>
          </w:p>
        </w:tc>
        <w:tc>
          <w:tcPr>
            <w:tcW w:w="709" w:type="dxa"/>
            <w:shd w:val="clear" w:color="auto" w:fill="C6EFCE"/>
            <w:vAlign w:val="center"/>
            <w:hideMark/>
          </w:tcPr>
          <w:p w14:paraId="3EA94958" w14:textId="77777777" w:rsidR="00025543" w:rsidRDefault="007E3A2F">
            <w:pPr>
              <w:pStyle w:val="P68B1DB1-Normal15"/>
              <w:spacing w:before="0" w:after="0" w:line="240" w:lineRule="auto"/>
              <w:jc w:val="center"/>
              <w:rPr>
                <w:noProof/>
              </w:rPr>
            </w:pPr>
            <w:r>
              <w:rPr>
                <w:noProof/>
              </w:rPr>
              <w:t>2024</w:t>
            </w:r>
          </w:p>
        </w:tc>
        <w:tc>
          <w:tcPr>
            <w:tcW w:w="3681" w:type="dxa"/>
            <w:shd w:val="clear" w:color="auto" w:fill="C6EFCE"/>
            <w:vAlign w:val="center"/>
            <w:hideMark/>
          </w:tcPr>
          <w:p w14:paraId="7F6F8CC8" w14:textId="3336AEBB" w:rsidR="00025543" w:rsidRDefault="007E3A2F">
            <w:pPr>
              <w:pStyle w:val="P68B1DB1-Normal15"/>
              <w:spacing w:before="0" w:after="0" w:line="240" w:lineRule="auto"/>
              <w:rPr>
                <w:noProof/>
              </w:rPr>
            </w:pPr>
            <w:r>
              <w:rPr>
                <w:noProof/>
              </w:rPr>
              <w:t>La mesure augmente la capacité de stockage de données du ministère de la justice, en renforçant l’infrastructure pour l’environnement de travail numérique et le travail à distance.</w:t>
            </w:r>
          </w:p>
        </w:tc>
      </w:tr>
    </w:tbl>
    <w:p w14:paraId="36DE556E" w14:textId="77777777" w:rsidR="00025543" w:rsidRDefault="00025543">
      <w:pPr>
        <w:pBdr>
          <w:top w:val="nil"/>
          <w:left w:val="nil"/>
          <w:bottom w:val="nil"/>
          <w:right w:val="nil"/>
          <w:between w:val="nil"/>
        </w:pBdr>
        <w:spacing w:line="240" w:lineRule="auto"/>
        <w:rPr>
          <w:rFonts w:ascii="Calibri" w:hAnsi="Calibri"/>
          <w:b/>
          <w:noProof/>
          <w:color w:val="000000"/>
          <w:sz w:val="22"/>
          <w:u w:val="single"/>
        </w:rPr>
        <w:sectPr w:rsidR="00025543" w:rsidSect="001932DE">
          <w:headerReference w:type="even" r:id="rId48"/>
          <w:headerReference w:type="default" r:id="rId49"/>
          <w:footerReference w:type="even" r:id="rId50"/>
          <w:footerReference w:type="default" r:id="rId51"/>
          <w:headerReference w:type="first" r:id="rId52"/>
          <w:footerReference w:type="first" r:id="rId53"/>
          <w:pgSz w:w="16839" w:h="11907" w:orient="landscape"/>
          <w:pgMar w:top="1134" w:right="1134" w:bottom="1134" w:left="1134" w:header="567" w:footer="567" w:gutter="0"/>
          <w:cols w:space="720"/>
          <w:docGrid w:linePitch="326"/>
        </w:sectPr>
      </w:pPr>
    </w:p>
    <w:p w14:paraId="68DF84A2" w14:textId="47C0C084" w:rsidR="00025543" w:rsidRDefault="007E3A2F">
      <w:pPr>
        <w:pStyle w:val="P68B1DB1-Normal5"/>
        <w:spacing w:line="240" w:lineRule="auto"/>
        <w:jc w:val="both"/>
        <w:rPr>
          <w:noProof/>
        </w:rPr>
      </w:pPr>
      <w:r>
        <w:rPr>
          <w:noProof/>
        </w:rPr>
        <w:t>B.3. Description des réformes et des investissements en vue du prêt</w:t>
      </w:r>
    </w:p>
    <w:p w14:paraId="5EA27F6B" w14:textId="21E54B66" w:rsidR="00025543" w:rsidRDefault="007E3A2F">
      <w:pPr>
        <w:pStyle w:val="P68B1DB1-P68B1DB1-Normln3517"/>
        <w:widowControl w:val="0"/>
        <w:spacing w:after="0" w:line="240" w:lineRule="auto"/>
        <w:jc w:val="both"/>
        <w:rPr>
          <w:noProof/>
        </w:rPr>
      </w:pPr>
      <w:r>
        <w:rPr>
          <w:noProof/>
        </w:rPr>
        <w:t>Investissement 5: Complément aux investissements en matière de cybersécurité</w:t>
      </w:r>
    </w:p>
    <w:p w14:paraId="1AFF0B08" w14:textId="3A6D99EB" w:rsidR="00025543" w:rsidRDefault="007E3A2F">
      <w:pPr>
        <w:pStyle w:val="P68B1DB1-Normal13"/>
        <w:spacing w:line="240" w:lineRule="auto"/>
        <w:jc w:val="both"/>
        <w:rPr>
          <w:noProof/>
        </w:rPr>
      </w:pPr>
      <w:r>
        <w:rPr>
          <w:noProof/>
        </w:rPr>
        <w:t>L’investissement vise à renforcer encore l’investissement en matière de cybersécurité dans le cadre du soutien financier non remboursable en augmentant le nombre de systèmes d’information dont la cybersécurité a été renforcée conformément à la loi no 181/2014 Rec. sur la cybersécurité relative aux systèmes d’information publics.</w:t>
      </w:r>
    </w:p>
    <w:p w14:paraId="4556FF9B" w14:textId="77777777" w:rsidR="00025543" w:rsidRDefault="007E3A2F">
      <w:pPr>
        <w:pStyle w:val="P68B1DB1-Normal13"/>
        <w:spacing w:line="240" w:lineRule="auto"/>
        <w:jc w:val="both"/>
        <w:rPr>
          <w:noProof/>
        </w:rPr>
      </w:pPr>
      <w:r>
        <w:rPr>
          <w:noProof/>
        </w:rPr>
        <w:t>L’investissement est mis en œuvre au plus tard le 31 décembre 2025.</w:t>
      </w:r>
    </w:p>
    <w:p w14:paraId="61F023AD" w14:textId="748A548E" w:rsidR="00025543" w:rsidRDefault="007E3A2F">
      <w:pPr>
        <w:pStyle w:val="P68B1DB1-Normal18"/>
        <w:spacing w:line="240" w:lineRule="auto"/>
        <w:jc w:val="both"/>
        <w:rPr>
          <w:noProof/>
        </w:rPr>
      </w:pPr>
      <w:r>
        <w:rPr>
          <w:noProof/>
        </w:rPr>
        <w:t>Investissement 6: Développement de systèmes d’information dans le domaine social</w:t>
      </w:r>
    </w:p>
    <w:p w14:paraId="5495821B" w14:textId="36A5600D" w:rsidR="00025543" w:rsidRDefault="007E3A2F">
      <w:pPr>
        <w:pStyle w:val="P68B1DB1-P68B1DB1-Normln3519"/>
        <w:widowControl w:val="0"/>
        <w:spacing w:after="0" w:line="240" w:lineRule="auto"/>
        <w:jc w:val="both"/>
        <w:rPr>
          <w:noProof/>
        </w:rPr>
      </w:pPr>
      <w:r>
        <w:rPr>
          <w:noProof/>
        </w:rPr>
        <w:t>L’investissement vise à moderniser les systèmes d’information de l’administration publique dans le domaine de la politique sociale en modernisant au moins six systèmes d’information, dont l’échange électronique d’informations sur la sécurité sociale (EESSI), la modernisation de l’infrastructure logicielle du ministère du travail et des affaires sociales, la numérisation du programme de retraite (EDA) et le soutien aux demandes d’aide à la prise de décision.</w:t>
      </w:r>
    </w:p>
    <w:p w14:paraId="77628D34" w14:textId="01629B2F" w:rsidR="00025543" w:rsidRDefault="007E3A2F">
      <w:pPr>
        <w:pStyle w:val="P68B1DB1-P68B1DB1-Normln3519"/>
        <w:widowControl w:val="0"/>
        <w:spacing w:after="0" w:line="240" w:lineRule="auto"/>
        <w:jc w:val="both"/>
        <w:rPr>
          <w:noProof/>
        </w:rPr>
        <w:sectPr w:rsidR="00025543" w:rsidSect="001932DE">
          <w:headerReference w:type="even" r:id="rId54"/>
          <w:headerReference w:type="default" r:id="rId55"/>
          <w:footerReference w:type="even" r:id="rId56"/>
          <w:footerReference w:type="default" r:id="rId57"/>
          <w:headerReference w:type="first" r:id="rId58"/>
          <w:footerReference w:type="first" r:id="rId59"/>
          <w:pgSz w:w="11907" w:h="16839"/>
          <w:pgMar w:top="1134" w:right="1134" w:bottom="1134" w:left="1134" w:header="567" w:footer="567" w:gutter="0"/>
          <w:cols w:space="720"/>
          <w:docGrid w:linePitch="360"/>
        </w:sectPr>
      </w:pPr>
      <w:r>
        <w:rPr>
          <w:noProof/>
        </w:rPr>
        <w:t>L’investissement est mis en œuvre au plus tard le 30 juin 2026.</w:t>
      </w:r>
    </w:p>
    <w:p w14:paraId="6584B89F" w14:textId="0A6B20C2" w:rsidR="00025543" w:rsidRDefault="007E3A2F">
      <w:pPr>
        <w:pStyle w:val="P68B1DB1-Normal8"/>
        <w:pBdr>
          <w:top w:val="nil"/>
          <w:left w:val="nil"/>
          <w:bottom w:val="nil"/>
          <w:right w:val="nil"/>
          <w:between w:val="nil"/>
        </w:pBdr>
        <w:spacing w:line="240" w:lineRule="auto"/>
        <w:jc w:val="both"/>
        <w:rPr>
          <w:noProof/>
        </w:rPr>
      </w:pPr>
      <w:r>
        <w:rPr>
          <w:noProof/>
        </w:rPr>
        <w:t>B.4. Jalons, cibles, indicateurs et calendrier de suivi et de mise en œuvre en vue du prêt</w:t>
      </w:r>
    </w:p>
    <w:tbl>
      <w:tblPr>
        <w:tblW w:w="14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1"/>
        <w:gridCol w:w="1330"/>
        <w:gridCol w:w="1046"/>
        <w:gridCol w:w="1557"/>
        <w:gridCol w:w="1174"/>
        <w:gridCol w:w="1455"/>
        <w:gridCol w:w="1046"/>
        <w:gridCol w:w="662"/>
        <w:gridCol w:w="918"/>
        <w:gridCol w:w="662"/>
        <w:gridCol w:w="4083"/>
      </w:tblGrid>
      <w:tr w:rsidR="00025543" w14:paraId="71AD521D" w14:textId="77777777">
        <w:trPr>
          <w:trHeight w:val="615"/>
          <w:tblHeader/>
          <w:jc w:val="center"/>
        </w:trPr>
        <w:tc>
          <w:tcPr>
            <w:tcW w:w="675" w:type="dxa"/>
            <w:vMerge w:val="restart"/>
            <w:shd w:val="clear" w:color="auto" w:fill="BDD7EE"/>
            <w:vAlign w:val="center"/>
          </w:tcPr>
          <w:p w14:paraId="0DA2533F" w14:textId="77777777" w:rsidR="00025543" w:rsidRDefault="007E3A2F">
            <w:pPr>
              <w:pStyle w:val="P68B1DB1-Normal9"/>
              <w:spacing w:line="240" w:lineRule="auto"/>
              <w:jc w:val="center"/>
              <w:rPr>
                <w:noProof/>
              </w:rPr>
            </w:pPr>
            <w:r>
              <w:rPr>
                <w:noProof/>
              </w:rPr>
              <w:t xml:space="preserve">Séquence NUM. </w:t>
            </w:r>
          </w:p>
        </w:tc>
        <w:tc>
          <w:tcPr>
            <w:tcW w:w="1449" w:type="dxa"/>
            <w:vMerge w:val="restart"/>
            <w:shd w:val="clear" w:color="auto" w:fill="BDD7EE"/>
            <w:vAlign w:val="center"/>
          </w:tcPr>
          <w:p w14:paraId="276058ED" w14:textId="77777777" w:rsidR="00025543" w:rsidRDefault="007E3A2F">
            <w:pPr>
              <w:pStyle w:val="P68B1DB1-Normal9"/>
              <w:spacing w:line="240" w:lineRule="auto"/>
              <w:jc w:val="center"/>
              <w:rPr>
                <w:noProof/>
              </w:rPr>
            </w:pPr>
            <w:r>
              <w:rPr>
                <w:noProof/>
              </w:rPr>
              <w:t xml:space="preserve">Mesure connexe (réforme ou investissement) </w:t>
            </w:r>
          </w:p>
        </w:tc>
        <w:tc>
          <w:tcPr>
            <w:tcW w:w="1134" w:type="dxa"/>
            <w:vMerge w:val="restart"/>
            <w:shd w:val="clear" w:color="auto" w:fill="BDD7EE"/>
            <w:vAlign w:val="center"/>
          </w:tcPr>
          <w:p w14:paraId="3640490D" w14:textId="77777777" w:rsidR="00025543" w:rsidRDefault="007E3A2F">
            <w:pPr>
              <w:pStyle w:val="P68B1DB1-Normal9"/>
              <w:spacing w:line="240" w:lineRule="auto"/>
              <w:jc w:val="center"/>
              <w:rPr>
                <w:noProof/>
              </w:rPr>
            </w:pPr>
            <w:r>
              <w:rPr>
                <w:noProof/>
              </w:rPr>
              <w:t xml:space="preserve">Jalon/cible </w:t>
            </w:r>
          </w:p>
        </w:tc>
        <w:tc>
          <w:tcPr>
            <w:tcW w:w="1701" w:type="dxa"/>
            <w:vMerge w:val="restart"/>
            <w:shd w:val="clear" w:color="auto" w:fill="BDD7EE"/>
            <w:vAlign w:val="center"/>
          </w:tcPr>
          <w:p w14:paraId="5B3F401A" w14:textId="77777777" w:rsidR="00025543" w:rsidRDefault="007E3A2F">
            <w:pPr>
              <w:pStyle w:val="P68B1DB1-Normal9"/>
              <w:spacing w:line="240" w:lineRule="auto"/>
              <w:jc w:val="center"/>
              <w:rPr>
                <w:noProof/>
              </w:rPr>
            </w:pPr>
            <w:r>
              <w:rPr>
                <w:noProof/>
              </w:rPr>
              <w:t>Nom</w:t>
            </w:r>
          </w:p>
        </w:tc>
        <w:tc>
          <w:tcPr>
            <w:tcW w:w="1276" w:type="dxa"/>
            <w:vMerge w:val="restart"/>
            <w:shd w:val="clear" w:color="auto" w:fill="BDD7EE"/>
            <w:vAlign w:val="center"/>
          </w:tcPr>
          <w:p w14:paraId="248B111F" w14:textId="77777777" w:rsidR="00025543" w:rsidRDefault="007E3A2F">
            <w:pPr>
              <w:pStyle w:val="P68B1DB1-Normal12"/>
              <w:spacing w:line="240" w:lineRule="auto"/>
              <w:jc w:val="center"/>
              <w:rPr>
                <w:rFonts w:eastAsia="Times New Roman"/>
                <w:noProof/>
              </w:rPr>
            </w:pPr>
            <w:r>
              <w:rPr>
                <w:rFonts w:eastAsia="Times New Roman"/>
                <w:b/>
                <w:noProof/>
              </w:rPr>
              <w:t>Qualitatifs</w:t>
            </w:r>
            <w:r>
              <w:rPr>
                <w:noProof/>
              </w:rPr>
              <w:br/>
            </w:r>
            <w:r>
              <w:rPr>
                <w:rFonts w:eastAsia="Times New Roman"/>
                <w:b/>
                <w:noProof/>
              </w:rPr>
              <w:t xml:space="preserve"> (pour les jalons) </w:t>
            </w:r>
          </w:p>
        </w:tc>
        <w:tc>
          <w:tcPr>
            <w:tcW w:w="2268" w:type="dxa"/>
            <w:gridSpan w:val="3"/>
            <w:shd w:val="clear" w:color="auto" w:fill="BDD7EE"/>
            <w:vAlign w:val="center"/>
          </w:tcPr>
          <w:p w14:paraId="061C866A" w14:textId="77777777" w:rsidR="00025543" w:rsidRDefault="007E3A2F">
            <w:pPr>
              <w:pStyle w:val="P68B1DB1-Normal12"/>
              <w:spacing w:line="240" w:lineRule="auto"/>
              <w:jc w:val="center"/>
              <w:rPr>
                <w:rFonts w:eastAsia="Times New Roman"/>
                <w:noProof/>
              </w:rPr>
            </w:pPr>
            <w:r>
              <w:rPr>
                <w:rFonts w:eastAsia="Times New Roman"/>
                <w:b/>
                <w:noProof/>
              </w:rPr>
              <w:t>Indicateurs quantitatifs</w:t>
            </w:r>
            <w:r>
              <w:rPr>
                <w:noProof/>
              </w:rPr>
              <w:br/>
            </w:r>
            <w:r>
              <w:rPr>
                <w:rFonts w:eastAsia="Times New Roman"/>
                <w:b/>
                <w:noProof/>
              </w:rPr>
              <w:t xml:space="preserve"> (pour les objectifs)</w:t>
            </w:r>
          </w:p>
        </w:tc>
        <w:tc>
          <w:tcPr>
            <w:tcW w:w="1701" w:type="dxa"/>
            <w:gridSpan w:val="2"/>
            <w:shd w:val="clear" w:color="auto" w:fill="BDD7EE"/>
            <w:vAlign w:val="center"/>
          </w:tcPr>
          <w:p w14:paraId="0F5D542C" w14:textId="77777777" w:rsidR="00025543" w:rsidRDefault="007E3A2F">
            <w:pPr>
              <w:pStyle w:val="P68B1DB1-Normal9"/>
              <w:spacing w:line="240" w:lineRule="auto"/>
              <w:jc w:val="center"/>
              <w:rPr>
                <w:noProof/>
              </w:rPr>
            </w:pPr>
            <w:r>
              <w:rPr>
                <w:noProof/>
              </w:rPr>
              <w:t>Calendrier indicatif de réalisation</w:t>
            </w:r>
          </w:p>
        </w:tc>
        <w:tc>
          <w:tcPr>
            <w:tcW w:w="4502" w:type="dxa"/>
            <w:vMerge w:val="restart"/>
            <w:shd w:val="clear" w:color="auto" w:fill="BDD7EE"/>
            <w:vAlign w:val="center"/>
          </w:tcPr>
          <w:p w14:paraId="0A72D04A" w14:textId="77777777" w:rsidR="00025543" w:rsidRDefault="007E3A2F">
            <w:pPr>
              <w:pStyle w:val="P68B1DB1-Normal9"/>
              <w:spacing w:line="240" w:lineRule="auto"/>
              <w:jc w:val="center"/>
              <w:rPr>
                <w:noProof/>
              </w:rPr>
            </w:pPr>
            <w:r>
              <w:rPr>
                <w:noProof/>
              </w:rPr>
              <w:t>Description et définition claire de chaque jalon et cible</w:t>
            </w:r>
          </w:p>
        </w:tc>
      </w:tr>
      <w:tr w:rsidR="00025543" w14:paraId="01688C00" w14:textId="77777777">
        <w:trPr>
          <w:trHeight w:val="159"/>
          <w:tblHeader/>
          <w:jc w:val="center"/>
        </w:trPr>
        <w:tc>
          <w:tcPr>
            <w:tcW w:w="675" w:type="dxa"/>
            <w:vMerge/>
            <w:vAlign w:val="center"/>
          </w:tcPr>
          <w:p w14:paraId="21341B52"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c>
          <w:tcPr>
            <w:tcW w:w="1449" w:type="dxa"/>
            <w:vMerge/>
            <w:vAlign w:val="center"/>
          </w:tcPr>
          <w:p w14:paraId="6708EB22"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c>
          <w:tcPr>
            <w:tcW w:w="1134" w:type="dxa"/>
            <w:vMerge/>
            <w:vAlign w:val="center"/>
          </w:tcPr>
          <w:p w14:paraId="5C316917"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c>
          <w:tcPr>
            <w:tcW w:w="1701" w:type="dxa"/>
            <w:vMerge/>
            <w:vAlign w:val="center"/>
          </w:tcPr>
          <w:p w14:paraId="6E998D37"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c>
          <w:tcPr>
            <w:tcW w:w="1276" w:type="dxa"/>
            <w:vMerge/>
            <w:vAlign w:val="center"/>
          </w:tcPr>
          <w:p w14:paraId="13CB6C79"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c>
          <w:tcPr>
            <w:tcW w:w="1588" w:type="dxa"/>
            <w:shd w:val="clear" w:color="auto" w:fill="BDD7EE"/>
            <w:vAlign w:val="center"/>
          </w:tcPr>
          <w:p w14:paraId="7E0D0A3C" w14:textId="77777777" w:rsidR="00025543" w:rsidRDefault="007E3A2F">
            <w:pPr>
              <w:pStyle w:val="P68B1DB1-Normal9"/>
              <w:spacing w:line="240" w:lineRule="auto"/>
              <w:jc w:val="center"/>
              <w:rPr>
                <w:noProof/>
              </w:rPr>
            </w:pPr>
            <w:r>
              <w:rPr>
                <w:noProof/>
              </w:rPr>
              <w:t>Unité de mesure</w:t>
            </w:r>
          </w:p>
        </w:tc>
        <w:tc>
          <w:tcPr>
            <w:tcW w:w="1134" w:type="dxa"/>
            <w:shd w:val="clear" w:color="auto" w:fill="BDD7EE"/>
            <w:vAlign w:val="center"/>
          </w:tcPr>
          <w:p w14:paraId="554EAD69" w14:textId="77777777" w:rsidR="00025543" w:rsidRDefault="007E3A2F">
            <w:pPr>
              <w:pStyle w:val="P68B1DB1-Normal9"/>
              <w:spacing w:line="240" w:lineRule="auto"/>
              <w:jc w:val="center"/>
              <w:rPr>
                <w:noProof/>
              </w:rPr>
            </w:pPr>
            <w:r>
              <w:rPr>
                <w:noProof/>
              </w:rPr>
              <w:t>Scénario de référence</w:t>
            </w:r>
          </w:p>
        </w:tc>
        <w:tc>
          <w:tcPr>
            <w:tcW w:w="709" w:type="dxa"/>
            <w:shd w:val="clear" w:color="auto" w:fill="BDD7EE"/>
            <w:vAlign w:val="center"/>
          </w:tcPr>
          <w:p w14:paraId="465F7AAC" w14:textId="77777777" w:rsidR="00025543" w:rsidRDefault="007E3A2F">
            <w:pPr>
              <w:pStyle w:val="P68B1DB1-Normal9"/>
              <w:spacing w:line="240" w:lineRule="auto"/>
              <w:jc w:val="center"/>
              <w:rPr>
                <w:noProof/>
              </w:rPr>
            </w:pPr>
            <w:r>
              <w:rPr>
                <w:noProof/>
              </w:rPr>
              <w:t>Objectif</w:t>
            </w:r>
          </w:p>
        </w:tc>
        <w:tc>
          <w:tcPr>
            <w:tcW w:w="992" w:type="dxa"/>
            <w:shd w:val="clear" w:color="auto" w:fill="BDD7EE"/>
            <w:vAlign w:val="center"/>
          </w:tcPr>
          <w:p w14:paraId="57F1F70B" w14:textId="77777777" w:rsidR="00025543" w:rsidRDefault="007E3A2F">
            <w:pPr>
              <w:pStyle w:val="P68B1DB1-Normal9"/>
              <w:spacing w:line="240" w:lineRule="auto"/>
              <w:jc w:val="center"/>
              <w:rPr>
                <w:noProof/>
              </w:rPr>
            </w:pPr>
            <w:r>
              <w:rPr>
                <w:noProof/>
              </w:rPr>
              <w:t>Trimestre</w:t>
            </w:r>
          </w:p>
        </w:tc>
        <w:tc>
          <w:tcPr>
            <w:tcW w:w="709" w:type="dxa"/>
            <w:shd w:val="clear" w:color="auto" w:fill="BDD7EE"/>
            <w:vAlign w:val="center"/>
          </w:tcPr>
          <w:p w14:paraId="789F43AC" w14:textId="77777777" w:rsidR="00025543" w:rsidRDefault="007E3A2F">
            <w:pPr>
              <w:pStyle w:val="P68B1DB1-Normal9"/>
              <w:spacing w:line="240" w:lineRule="auto"/>
              <w:jc w:val="center"/>
              <w:rPr>
                <w:noProof/>
              </w:rPr>
            </w:pPr>
            <w:r>
              <w:rPr>
                <w:noProof/>
              </w:rPr>
              <w:t>Année</w:t>
            </w:r>
          </w:p>
        </w:tc>
        <w:tc>
          <w:tcPr>
            <w:tcW w:w="4502" w:type="dxa"/>
            <w:vMerge/>
            <w:vAlign w:val="center"/>
          </w:tcPr>
          <w:p w14:paraId="10F42628"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r>
      <w:tr w:rsidR="00025543" w14:paraId="5B6483FF" w14:textId="77777777">
        <w:trPr>
          <w:trHeight w:val="945"/>
          <w:jc w:val="center"/>
        </w:trPr>
        <w:tc>
          <w:tcPr>
            <w:tcW w:w="675" w:type="dxa"/>
            <w:shd w:val="clear" w:color="auto" w:fill="C6EFCE"/>
            <w:vAlign w:val="center"/>
          </w:tcPr>
          <w:p w14:paraId="22CF89B5" w14:textId="37248A01" w:rsidR="00025543" w:rsidRDefault="007E3A2F">
            <w:pPr>
              <w:pStyle w:val="P68B1DB1-Normal15"/>
              <w:spacing w:line="240" w:lineRule="auto"/>
              <w:jc w:val="center"/>
              <w:rPr>
                <w:noProof/>
              </w:rPr>
            </w:pPr>
            <w:r>
              <w:rPr>
                <w:noProof/>
              </w:rPr>
              <w:t>247</w:t>
            </w:r>
          </w:p>
        </w:tc>
        <w:tc>
          <w:tcPr>
            <w:tcW w:w="1449" w:type="dxa"/>
            <w:shd w:val="clear" w:color="auto" w:fill="C6EFCE"/>
            <w:vAlign w:val="center"/>
          </w:tcPr>
          <w:p w14:paraId="0EE2B6F4" w14:textId="79DAB6E1" w:rsidR="00025543" w:rsidRDefault="007E3A2F">
            <w:pPr>
              <w:pStyle w:val="P68B1DB1-Normal16"/>
              <w:spacing w:before="0" w:after="0" w:line="240" w:lineRule="auto"/>
              <w:rPr>
                <w:noProof/>
              </w:rPr>
            </w:pPr>
            <w:r>
              <w:rPr>
                <w:noProof/>
              </w:rPr>
              <w:t>Investissement 5: Complément aux investissements en matière de cybersécurité</w:t>
            </w:r>
          </w:p>
        </w:tc>
        <w:tc>
          <w:tcPr>
            <w:tcW w:w="1134" w:type="dxa"/>
            <w:shd w:val="clear" w:color="auto" w:fill="C6EFCE"/>
            <w:vAlign w:val="center"/>
          </w:tcPr>
          <w:p w14:paraId="2A917796" w14:textId="16773C00" w:rsidR="00025543" w:rsidRDefault="007E3A2F">
            <w:pPr>
              <w:pStyle w:val="P68B1DB1-Normal16"/>
              <w:spacing w:line="240" w:lineRule="auto"/>
              <w:rPr>
                <w:rFonts w:eastAsia="Times New Roman"/>
                <w:noProof/>
                <w:color w:val="006100"/>
              </w:rPr>
            </w:pPr>
            <w:r>
              <w:rPr>
                <w:noProof/>
              </w:rPr>
              <w:t>Étapes</w:t>
            </w:r>
          </w:p>
        </w:tc>
        <w:tc>
          <w:tcPr>
            <w:tcW w:w="1701" w:type="dxa"/>
            <w:shd w:val="clear" w:color="auto" w:fill="C6EFCE"/>
            <w:vAlign w:val="center"/>
          </w:tcPr>
          <w:p w14:paraId="29A57585" w14:textId="2F0A8273" w:rsidR="00025543" w:rsidRDefault="007E3A2F">
            <w:pPr>
              <w:pStyle w:val="P68B1DB1-Normal16"/>
              <w:spacing w:line="240" w:lineRule="auto"/>
              <w:rPr>
                <w:rFonts w:eastAsia="Times New Roman"/>
                <w:noProof/>
                <w:color w:val="006100"/>
              </w:rPr>
            </w:pPr>
            <w:r>
              <w:rPr>
                <w:noProof/>
              </w:rPr>
              <w:t>Publication de l’appel relatif au renforcement des systèmes d’information conformément à la loi no 181/2014 Rec. sur la cybersécurité</w:t>
            </w:r>
          </w:p>
        </w:tc>
        <w:tc>
          <w:tcPr>
            <w:tcW w:w="1276" w:type="dxa"/>
            <w:shd w:val="clear" w:color="auto" w:fill="C6EFCE"/>
            <w:vAlign w:val="center"/>
          </w:tcPr>
          <w:p w14:paraId="4B9A3E1A" w14:textId="42B0A08A" w:rsidR="00025543" w:rsidRDefault="007E3A2F">
            <w:pPr>
              <w:pStyle w:val="P68B1DB1-Normal15"/>
              <w:spacing w:line="240" w:lineRule="auto"/>
              <w:rPr>
                <w:noProof/>
                <w:color w:val="006100"/>
              </w:rPr>
            </w:pPr>
            <w:r>
              <w:rPr>
                <w:noProof/>
              </w:rPr>
              <w:t>Publication d’un appel à projets</w:t>
            </w:r>
          </w:p>
        </w:tc>
        <w:tc>
          <w:tcPr>
            <w:tcW w:w="1588" w:type="dxa"/>
            <w:shd w:val="clear" w:color="auto" w:fill="C6EFCE"/>
            <w:vAlign w:val="center"/>
          </w:tcPr>
          <w:p w14:paraId="774D5847" w14:textId="77777777" w:rsidR="00025543" w:rsidRDefault="00025543">
            <w:pPr>
              <w:spacing w:line="240" w:lineRule="auto"/>
              <w:rPr>
                <w:rFonts w:eastAsia="Times New Roman"/>
                <w:noProof/>
                <w:color w:val="006100"/>
                <w:sz w:val="18"/>
              </w:rPr>
            </w:pPr>
          </w:p>
        </w:tc>
        <w:tc>
          <w:tcPr>
            <w:tcW w:w="1134" w:type="dxa"/>
            <w:shd w:val="clear" w:color="auto" w:fill="C6EFCE"/>
            <w:vAlign w:val="center"/>
          </w:tcPr>
          <w:p w14:paraId="6D408271" w14:textId="77777777" w:rsidR="00025543" w:rsidRDefault="00025543">
            <w:pPr>
              <w:spacing w:line="240" w:lineRule="auto"/>
              <w:rPr>
                <w:rFonts w:eastAsia="Times New Roman"/>
                <w:noProof/>
                <w:color w:val="006100"/>
                <w:sz w:val="18"/>
              </w:rPr>
            </w:pPr>
          </w:p>
        </w:tc>
        <w:tc>
          <w:tcPr>
            <w:tcW w:w="709" w:type="dxa"/>
            <w:shd w:val="clear" w:color="auto" w:fill="C6EFCE"/>
            <w:vAlign w:val="center"/>
          </w:tcPr>
          <w:p w14:paraId="5ED9238F" w14:textId="77777777" w:rsidR="00025543" w:rsidRDefault="00025543">
            <w:pPr>
              <w:spacing w:line="240" w:lineRule="auto"/>
              <w:rPr>
                <w:rFonts w:eastAsia="Times New Roman"/>
                <w:noProof/>
                <w:color w:val="006100"/>
                <w:sz w:val="18"/>
              </w:rPr>
            </w:pPr>
          </w:p>
        </w:tc>
        <w:tc>
          <w:tcPr>
            <w:tcW w:w="992" w:type="dxa"/>
            <w:shd w:val="clear" w:color="auto" w:fill="C6EFCE"/>
            <w:vAlign w:val="center"/>
          </w:tcPr>
          <w:p w14:paraId="4B35FE30" w14:textId="0D0BB5C3" w:rsidR="00025543" w:rsidRDefault="007E3A2F">
            <w:pPr>
              <w:pStyle w:val="P68B1DB1-Normal15"/>
              <w:spacing w:line="240" w:lineRule="auto"/>
              <w:jc w:val="center"/>
              <w:rPr>
                <w:noProof/>
                <w:color w:val="006100"/>
              </w:rPr>
            </w:pPr>
            <w:r>
              <w:rPr>
                <w:noProof/>
              </w:rPr>
              <w:t>TRIMESTRE 1</w:t>
            </w:r>
          </w:p>
        </w:tc>
        <w:tc>
          <w:tcPr>
            <w:tcW w:w="709" w:type="dxa"/>
            <w:shd w:val="clear" w:color="auto" w:fill="C6EFCE"/>
            <w:vAlign w:val="center"/>
          </w:tcPr>
          <w:p w14:paraId="71655E16" w14:textId="1548B556" w:rsidR="00025543" w:rsidRDefault="007E3A2F">
            <w:pPr>
              <w:pStyle w:val="P68B1DB1-Normal15"/>
              <w:spacing w:line="240" w:lineRule="auto"/>
              <w:jc w:val="center"/>
              <w:rPr>
                <w:noProof/>
                <w:color w:val="006100"/>
              </w:rPr>
            </w:pPr>
            <w:r>
              <w:rPr>
                <w:noProof/>
              </w:rPr>
              <w:t>2024</w:t>
            </w:r>
          </w:p>
        </w:tc>
        <w:tc>
          <w:tcPr>
            <w:tcW w:w="4502" w:type="dxa"/>
            <w:shd w:val="clear" w:color="auto" w:fill="C6EFCE"/>
            <w:vAlign w:val="center"/>
          </w:tcPr>
          <w:p w14:paraId="58D76C59" w14:textId="0F9C7CD0" w:rsidR="00025543" w:rsidRDefault="007E3A2F">
            <w:pPr>
              <w:pStyle w:val="P68B1DB1-Normal16"/>
              <w:spacing w:line="240" w:lineRule="auto"/>
              <w:rPr>
                <w:rFonts w:eastAsia="Times New Roman"/>
                <w:noProof/>
              </w:rPr>
            </w:pPr>
            <w:r>
              <w:rPr>
                <w:noProof/>
              </w:rPr>
              <w:t>Publication d’un appel à projets visant à soutenir le renforcement des systèmes d’information conformément à la loi no 181/2014 Rec. sur la cybersécurité.</w:t>
            </w:r>
          </w:p>
        </w:tc>
      </w:tr>
      <w:tr w:rsidR="00025543" w14:paraId="7015AAB0" w14:textId="77777777">
        <w:trPr>
          <w:trHeight w:val="945"/>
          <w:jc w:val="center"/>
        </w:trPr>
        <w:tc>
          <w:tcPr>
            <w:tcW w:w="675" w:type="dxa"/>
            <w:shd w:val="clear" w:color="auto" w:fill="C6EFCE"/>
            <w:vAlign w:val="center"/>
          </w:tcPr>
          <w:p w14:paraId="065E3D68" w14:textId="4184FEA6" w:rsidR="00025543" w:rsidRDefault="007E3A2F">
            <w:pPr>
              <w:pStyle w:val="P68B1DB1-Normal15"/>
              <w:spacing w:line="240" w:lineRule="auto"/>
              <w:jc w:val="center"/>
              <w:rPr>
                <w:noProof/>
              </w:rPr>
            </w:pPr>
            <w:r>
              <w:rPr>
                <w:noProof/>
              </w:rPr>
              <w:t>248</w:t>
            </w:r>
          </w:p>
        </w:tc>
        <w:tc>
          <w:tcPr>
            <w:tcW w:w="1449" w:type="dxa"/>
            <w:shd w:val="clear" w:color="auto" w:fill="C6EFCE"/>
            <w:vAlign w:val="center"/>
          </w:tcPr>
          <w:p w14:paraId="68666DD6" w14:textId="56A6DA23" w:rsidR="00025543" w:rsidRDefault="007E3A2F">
            <w:pPr>
              <w:pStyle w:val="P68B1DB1-Normal16"/>
              <w:spacing w:before="0" w:after="0" w:line="240" w:lineRule="auto"/>
              <w:rPr>
                <w:noProof/>
              </w:rPr>
            </w:pPr>
            <w:r>
              <w:rPr>
                <w:noProof/>
              </w:rPr>
              <w:t>Investissement 5: Complément aux investissements en matière de cybersécurité</w:t>
            </w:r>
          </w:p>
        </w:tc>
        <w:tc>
          <w:tcPr>
            <w:tcW w:w="1134" w:type="dxa"/>
            <w:shd w:val="clear" w:color="auto" w:fill="C6EFCE"/>
            <w:vAlign w:val="center"/>
          </w:tcPr>
          <w:p w14:paraId="3C908747" w14:textId="11B7DBFC" w:rsidR="00025543" w:rsidRDefault="007E3A2F">
            <w:pPr>
              <w:pStyle w:val="P68B1DB1-Normal16"/>
              <w:spacing w:line="240" w:lineRule="auto"/>
              <w:rPr>
                <w:rFonts w:eastAsia="Times New Roman"/>
                <w:noProof/>
              </w:rPr>
            </w:pPr>
            <w:r>
              <w:rPr>
                <w:noProof/>
              </w:rPr>
              <w:t>Cible</w:t>
            </w:r>
          </w:p>
        </w:tc>
        <w:tc>
          <w:tcPr>
            <w:tcW w:w="1701" w:type="dxa"/>
            <w:shd w:val="clear" w:color="auto" w:fill="C6EFCE"/>
            <w:vAlign w:val="center"/>
          </w:tcPr>
          <w:p w14:paraId="0FA29526" w14:textId="37554B02" w:rsidR="00025543" w:rsidRDefault="007E3A2F">
            <w:pPr>
              <w:pStyle w:val="P68B1DB1-Normal16"/>
              <w:spacing w:before="0" w:after="0" w:line="240" w:lineRule="auto"/>
              <w:rPr>
                <w:noProof/>
              </w:rPr>
            </w:pPr>
            <w:r>
              <w:rPr>
                <w:noProof/>
              </w:rPr>
              <w:t xml:space="preserve">Systèmes d’information dont la cybersécurité a été renforcée conformément à la loi no 181/2014 Rec., sur la cybersécurité </w:t>
            </w:r>
          </w:p>
        </w:tc>
        <w:tc>
          <w:tcPr>
            <w:tcW w:w="1276" w:type="dxa"/>
            <w:shd w:val="clear" w:color="auto" w:fill="C6EFCE"/>
            <w:vAlign w:val="center"/>
          </w:tcPr>
          <w:p w14:paraId="6B408AEC" w14:textId="77777777" w:rsidR="00025543" w:rsidRDefault="00025543">
            <w:pPr>
              <w:spacing w:line="240" w:lineRule="auto"/>
              <w:rPr>
                <w:rFonts w:eastAsia="Times New Roman"/>
                <w:noProof/>
                <w:color w:val="004300"/>
                <w:sz w:val="18"/>
              </w:rPr>
            </w:pPr>
          </w:p>
        </w:tc>
        <w:tc>
          <w:tcPr>
            <w:tcW w:w="1588" w:type="dxa"/>
            <w:shd w:val="clear" w:color="auto" w:fill="C6EFCE"/>
            <w:vAlign w:val="center"/>
          </w:tcPr>
          <w:p w14:paraId="261E81D0" w14:textId="07728AB2" w:rsidR="00025543" w:rsidRDefault="007E3A2F">
            <w:pPr>
              <w:pStyle w:val="P68B1DB1-Normal15"/>
              <w:spacing w:line="240" w:lineRule="auto"/>
              <w:rPr>
                <w:noProof/>
                <w:color w:val="006100"/>
              </w:rPr>
            </w:pPr>
            <w:r>
              <w:rPr>
                <w:noProof/>
              </w:rPr>
              <w:t>Numéro</w:t>
            </w:r>
          </w:p>
        </w:tc>
        <w:tc>
          <w:tcPr>
            <w:tcW w:w="1134" w:type="dxa"/>
            <w:shd w:val="clear" w:color="auto" w:fill="C6EFCE"/>
            <w:vAlign w:val="center"/>
          </w:tcPr>
          <w:p w14:paraId="7B66C89F" w14:textId="685160A1" w:rsidR="00025543" w:rsidRDefault="007E3A2F">
            <w:pPr>
              <w:pStyle w:val="P68B1DB1-Normal15"/>
              <w:spacing w:line="240" w:lineRule="auto"/>
              <w:jc w:val="center"/>
              <w:rPr>
                <w:noProof/>
              </w:rPr>
            </w:pPr>
            <w:r>
              <w:rPr>
                <w:noProof/>
              </w:rPr>
              <w:t>87</w:t>
            </w:r>
          </w:p>
        </w:tc>
        <w:tc>
          <w:tcPr>
            <w:tcW w:w="709" w:type="dxa"/>
            <w:shd w:val="clear" w:color="auto" w:fill="C6EFCE"/>
            <w:vAlign w:val="center"/>
          </w:tcPr>
          <w:p w14:paraId="312B8794" w14:textId="179DADB4" w:rsidR="00025543" w:rsidRDefault="007E3A2F">
            <w:pPr>
              <w:pStyle w:val="P68B1DB1-Normal16"/>
              <w:spacing w:before="0" w:after="0" w:line="240" w:lineRule="auto"/>
              <w:jc w:val="center"/>
              <w:rPr>
                <w:noProof/>
              </w:rPr>
            </w:pPr>
            <w:r>
              <w:rPr>
                <w:noProof/>
              </w:rPr>
              <w:t>331</w:t>
            </w:r>
          </w:p>
        </w:tc>
        <w:tc>
          <w:tcPr>
            <w:tcW w:w="992" w:type="dxa"/>
            <w:shd w:val="clear" w:color="auto" w:fill="C6EFCE"/>
            <w:vAlign w:val="center"/>
          </w:tcPr>
          <w:p w14:paraId="6DFD1081" w14:textId="4E57D2E9" w:rsidR="00025543" w:rsidRDefault="007E3A2F">
            <w:pPr>
              <w:pStyle w:val="P68B1DB1-Normal15"/>
              <w:spacing w:line="240" w:lineRule="auto"/>
              <w:jc w:val="center"/>
              <w:rPr>
                <w:noProof/>
              </w:rPr>
            </w:pPr>
            <w:r>
              <w:rPr>
                <w:noProof/>
              </w:rPr>
              <w:t>TRIMESTRE 4</w:t>
            </w:r>
          </w:p>
        </w:tc>
        <w:tc>
          <w:tcPr>
            <w:tcW w:w="709" w:type="dxa"/>
            <w:shd w:val="clear" w:color="auto" w:fill="C6EFCE"/>
            <w:vAlign w:val="center"/>
          </w:tcPr>
          <w:p w14:paraId="206F199B" w14:textId="1A431F45" w:rsidR="00025543" w:rsidRDefault="007E3A2F">
            <w:pPr>
              <w:pStyle w:val="P68B1DB1-Normal15"/>
              <w:spacing w:line="240" w:lineRule="auto"/>
              <w:jc w:val="center"/>
              <w:rPr>
                <w:noProof/>
              </w:rPr>
            </w:pPr>
            <w:r>
              <w:rPr>
                <w:noProof/>
              </w:rPr>
              <w:t>2025</w:t>
            </w:r>
          </w:p>
        </w:tc>
        <w:tc>
          <w:tcPr>
            <w:tcW w:w="4502" w:type="dxa"/>
            <w:shd w:val="clear" w:color="auto" w:fill="C6EFCE"/>
            <w:vAlign w:val="center"/>
          </w:tcPr>
          <w:p w14:paraId="1C135FC1" w14:textId="26B3CCCD" w:rsidR="00025543" w:rsidRDefault="007E3A2F">
            <w:pPr>
              <w:pStyle w:val="P68B1DB1-Normal16"/>
              <w:spacing w:before="0" w:after="0" w:line="240" w:lineRule="auto"/>
              <w:rPr>
                <w:noProof/>
              </w:rPr>
            </w:pPr>
            <w:r>
              <w:rPr>
                <w:noProof/>
              </w:rPr>
              <w:t>L’objectif augmente la cybersécurité des systèmes d’information sélectionnés conformément aux exigences de la loi no 181/2014 Rec. sur la cybersécurité. </w:t>
            </w:r>
          </w:p>
          <w:p w14:paraId="613602C8" w14:textId="3EE7FFFD" w:rsidR="00025543" w:rsidRDefault="007E3A2F">
            <w:pPr>
              <w:pStyle w:val="P68B1DB1-Normal16"/>
              <w:spacing w:line="240" w:lineRule="auto"/>
              <w:rPr>
                <w:rFonts w:eastAsia="Times New Roman"/>
                <w:noProof/>
              </w:rPr>
            </w:pPr>
            <w:r>
              <w:rPr>
                <w:noProof/>
              </w:rPr>
              <w:t>L’objectif est considéré comme atteint à la suite de l’essai et de la vérification concluants du respect des exigences en matière de cybersécurité des 244 systèmes d’information au moins. Les autorités chargées des systèmes d’information approuvent la fourniture des systèmes respectifs.</w:t>
            </w:r>
          </w:p>
        </w:tc>
      </w:tr>
      <w:tr w:rsidR="00025543" w14:paraId="6B1F83FD" w14:textId="77777777">
        <w:trPr>
          <w:trHeight w:val="945"/>
          <w:jc w:val="center"/>
        </w:trPr>
        <w:tc>
          <w:tcPr>
            <w:tcW w:w="675" w:type="dxa"/>
            <w:shd w:val="clear" w:color="auto" w:fill="C6EFCE"/>
            <w:vAlign w:val="center"/>
          </w:tcPr>
          <w:p w14:paraId="4AC68EF0" w14:textId="6F386389" w:rsidR="00025543" w:rsidRDefault="007E3A2F">
            <w:pPr>
              <w:pStyle w:val="P68B1DB1-Normal15"/>
              <w:spacing w:line="240" w:lineRule="auto"/>
              <w:jc w:val="center"/>
              <w:rPr>
                <w:noProof/>
              </w:rPr>
            </w:pPr>
            <w:r>
              <w:rPr>
                <w:noProof/>
              </w:rPr>
              <w:t>249</w:t>
            </w:r>
          </w:p>
        </w:tc>
        <w:tc>
          <w:tcPr>
            <w:tcW w:w="1449" w:type="dxa"/>
            <w:shd w:val="clear" w:color="auto" w:fill="C6EFCE"/>
            <w:vAlign w:val="center"/>
          </w:tcPr>
          <w:p w14:paraId="3E665E43" w14:textId="5A0B490E" w:rsidR="00025543" w:rsidRDefault="007E3A2F">
            <w:pPr>
              <w:pStyle w:val="P68B1DB1-Normal16"/>
              <w:spacing w:before="0" w:after="0" w:line="240" w:lineRule="auto"/>
              <w:rPr>
                <w:rFonts w:eastAsia="Times New Roman"/>
                <w:noProof/>
              </w:rPr>
            </w:pPr>
            <w:r>
              <w:rPr>
                <w:noProof/>
              </w:rPr>
              <w:t>Investissement 6: Développement de systèmes d’information dans le domaine social</w:t>
            </w:r>
          </w:p>
        </w:tc>
        <w:tc>
          <w:tcPr>
            <w:tcW w:w="1134" w:type="dxa"/>
            <w:shd w:val="clear" w:color="auto" w:fill="C6EFCE"/>
            <w:vAlign w:val="center"/>
          </w:tcPr>
          <w:p w14:paraId="783AF858" w14:textId="14FF8710" w:rsidR="00025543" w:rsidRDefault="007E3A2F">
            <w:pPr>
              <w:pStyle w:val="P68B1DB1-Normal16"/>
              <w:spacing w:line="240" w:lineRule="auto"/>
              <w:rPr>
                <w:rFonts w:eastAsia="Times New Roman"/>
                <w:noProof/>
              </w:rPr>
            </w:pPr>
            <w:r>
              <w:rPr>
                <w:noProof/>
              </w:rPr>
              <w:t>Cible</w:t>
            </w:r>
          </w:p>
        </w:tc>
        <w:tc>
          <w:tcPr>
            <w:tcW w:w="1701" w:type="dxa"/>
            <w:shd w:val="clear" w:color="auto" w:fill="C6EFCE"/>
            <w:vAlign w:val="center"/>
          </w:tcPr>
          <w:p w14:paraId="0956372A" w14:textId="29ED3C31" w:rsidR="00025543" w:rsidRDefault="007E3A2F">
            <w:pPr>
              <w:pStyle w:val="P68B1DB1-Normal16"/>
              <w:spacing w:line="240" w:lineRule="auto"/>
              <w:rPr>
                <w:rFonts w:eastAsia="Times New Roman"/>
                <w:noProof/>
              </w:rPr>
            </w:pPr>
            <w:r>
              <w:rPr>
                <w:noProof/>
              </w:rPr>
              <w:t>Modernisation des systèmes d’information de l’administration publique dans le domaine de la politique sociale</w:t>
            </w:r>
          </w:p>
        </w:tc>
        <w:tc>
          <w:tcPr>
            <w:tcW w:w="1276" w:type="dxa"/>
            <w:shd w:val="clear" w:color="auto" w:fill="C6EFCE"/>
            <w:vAlign w:val="center"/>
          </w:tcPr>
          <w:p w14:paraId="4B8F0F03" w14:textId="77777777" w:rsidR="00025543" w:rsidRDefault="00025543">
            <w:pPr>
              <w:spacing w:line="240" w:lineRule="auto"/>
              <w:rPr>
                <w:rFonts w:eastAsia="Times New Roman"/>
                <w:noProof/>
                <w:color w:val="004300"/>
                <w:sz w:val="18"/>
              </w:rPr>
            </w:pPr>
          </w:p>
        </w:tc>
        <w:tc>
          <w:tcPr>
            <w:tcW w:w="1588" w:type="dxa"/>
            <w:shd w:val="clear" w:color="auto" w:fill="C6EFCE"/>
            <w:vAlign w:val="center"/>
          </w:tcPr>
          <w:p w14:paraId="4A3FCE3D" w14:textId="0D2AF34E" w:rsidR="00025543" w:rsidRDefault="007E3A2F">
            <w:pPr>
              <w:pStyle w:val="P68B1DB1-Normal15"/>
              <w:spacing w:line="240" w:lineRule="auto"/>
              <w:rPr>
                <w:noProof/>
                <w:color w:val="006100"/>
              </w:rPr>
            </w:pPr>
            <w:r>
              <w:rPr>
                <w:noProof/>
              </w:rPr>
              <w:t>Numéro</w:t>
            </w:r>
          </w:p>
        </w:tc>
        <w:tc>
          <w:tcPr>
            <w:tcW w:w="1134" w:type="dxa"/>
            <w:shd w:val="clear" w:color="auto" w:fill="C6EFCE"/>
            <w:vAlign w:val="center"/>
          </w:tcPr>
          <w:p w14:paraId="0CD7E66F" w14:textId="43C4A019" w:rsidR="00025543" w:rsidRDefault="007E3A2F">
            <w:pPr>
              <w:pStyle w:val="P68B1DB1-Normal15"/>
              <w:spacing w:line="240" w:lineRule="auto"/>
              <w:jc w:val="center"/>
              <w:rPr>
                <w:noProof/>
                <w:color w:val="006100"/>
              </w:rPr>
            </w:pPr>
            <w:r>
              <w:rPr>
                <w:noProof/>
              </w:rPr>
              <w:t>0</w:t>
            </w:r>
          </w:p>
        </w:tc>
        <w:tc>
          <w:tcPr>
            <w:tcW w:w="709" w:type="dxa"/>
            <w:shd w:val="clear" w:color="auto" w:fill="C6EFCE"/>
            <w:vAlign w:val="center"/>
          </w:tcPr>
          <w:p w14:paraId="51AFF5DB" w14:textId="03FA3D60" w:rsidR="00025543" w:rsidRDefault="007E3A2F">
            <w:pPr>
              <w:pStyle w:val="P68B1DB1-Normal15"/>
              <w:spacing w:line="240" w:lineRule="auto"/>
              <w:jc w:val="center"/>
              <w:rPr>
                <w:noProof/>
                <w:color w:val="006100"/>
              </w:rPr>
            </w:pPr>
            <w:r>
              <w:rPr>
                <w:noProof/>
              </w:rPr>
              <w:t>6</w:t>
            </w:r>
          </w:p>
        </w:tc>
        <w:tc>
          <w:tcPr>
            <w:tcW w:w="992" w:type="dxa"/>
            <w:shd w:val="clear" w:color="auto" w:fill="C6EFCE"/>
            <w:vAlign w:val="center"/>
          </w:tcPr>
          <w:p w14:paraId="6677C1FA" w14:textId="253513D3" w:rsidR="00025543" w:rsidRDefault="007E3A2F">
            <w:pPr>
              <w:pStyle w:val="P68B1DB1-Normal15"/>
              <w:spacing w:line="240" w:lineRule="auto"/>
              <w:jc w:val="center"/>
              <w:rPr>
                <w:noProof/>
              </w:rPr>
            </w:pPr>
            <w:r>
              <w:rPr>
                <w:noProof/>
              </w:rPr>
              <w:t>TRIMESTRE 2</w:t>
            </w:r>
          </w:p>
        </w:tc>
        <w:tc>
          <w:tcPr>
            <w:tcW w:w="709" w:type="dxa"/>
            <w:shd w:val="clear" w:color="auto" w:fill="C6EFCE"/>
            <w:vAlign w:val="center"/>
          </w:tcPr>
          <w:p w14:paraId="1B59717C" w14:textId="004644AC" w:rsidR="00025543" w:rsidRDefault="007E3A2F">
            <w:pPr>
              <w:pStyle w:val="P68B1DB1-Normal15"/>
              <w:spacing w:line="240" w:lineRule="auto"/>
              <w:jc w:val="center"/>
              <w:rPr>
                <w:noProof/>
              </w:rPr>
            </w:pPr>
            <w:r>
              <w:rPr>
                <w:noProof/>
              </w:rPr>
              <w:t>2026</w:t>
            </w:r>
          </w:p>
        </w:tc>
        <w:tc>
          <w:tcPr>
            <w:tcW w:w="4502" w:type="dxa"/>
            <w:shd w:val="clear" w:color="auto" w:fill="C6EFCE"/>
            <w:vAlign w:val="center"/>
          </w:tcPr>
          <w:p w14:paraId="22C524BF" w14:textId="11DA8593" w:rsidR="00025543" w:rsidRDefault="007E3A2F">
            <w:pPr>
              <w:pStyle w:val="P68B1DB1-Normal16"/>
              <w:spacing w:before="0" w:after="0" w:line="240" w:lineRule="auto"/>
              <w:rPr>
                <w:noProof/>
              </w:rPr>
            </w:pPr>
            <w:r>
              <w:rPr>
                <w:noProof/>
              </w:rPr>
              <w:t xml:space="preserve">6 les systèmes d’information sont mis à niveau et opérationnels dans le domaine de la politique sociale. </w:t>
            </w:r>
          </w:p>
          <w:p w14:paraId="001F77F4" w14:textId="77777777" w:rsidR="00025543" w:rsidRDefault="007E3A2F">
            <w:pPr>
              <w:pStyle w:val="P68B1DB1-Normal16"/>
              <w:spacing w:before="0" w:after="0" w:line="240" w:lineRule="auto"/>
              <w:rPr>
                <w:noProof/>
              </w:rPr>
            </w:pPr>
            <w:r>
              <w:rPr>
                <w:noProof/>
              </w:rPr>
              <w:t>Ces feuilles de route comprennent au moins:  </w:t>
            </w:r>
          </w:p>
          <w:p w14:paraId="52496EDB" w14:textId="77777777" w:rsidR="00025543" w:rsidRDefault="007E3A2F">
            <w:pPr>
              <w:pStyle w:val="P68B1DB1-ListParagraph20"/>
              <w:numPr>
                <w:ilvl w:val="0"/>
                <w:numId w:val="277"/>
              </w:numPr>
              <w:spacing w:before="0" w:after="0" w:line="240" w:lineRule="auto"/>
              <w:rPr>
                <w:noProof/>
              </w:rPr>
            </w:pPr>
            <w:r>
              <w:rPr>
                <w:noProof/>
              </w:rPr>
              <w:t>Échange électronique d’informations sur la sécurité sociale (EESSI), </w:t>
            </w:r>
          </w:p>
          <w:p w14:paraId="662EAFA2" w14:textId="77777777" w:rsidR="00025543" w:rsidRDefault="007E3A2F">
            <w:pPr>
              <w:pStyle w:val="P68B1DB1-ListParagraph20"/>
              <w:numPr>
                <w:ilvl w:val="0"/>
                <w:numId w:val="277"/>
              </w:numPr>
              <w:spacing w:before="0" w:after="0" w:line="240" w:lineRule="auto"/>
              <w:rPr>
                <w:noProof/>
              </w:rPr>
            </w:pPr>
            <w:r>
              <w:rPr>
                <w:noProof/>
              </w:rPr>
              <w:t>Modernisation de l’infrastructure SW au ministère du travail et des affaires sociales, </w:t>
            </w:r>
          </w:p>
          <w:p w14:paraId="074BE050" w14:textId="4FEB19FF" w:rsidR="00025543" w:rsidRDefault="007E3A2F">
            <w:pPr>
              <w:pStyle w:val="P68B1DB1-ListParagraph20"/>
              <w:numPr>
                <w:ilvl w:val="0"/>
                <w:numId w:val="277"/>
              </w:numPr>
              <w:spacing w:before="0" w:after="0" w:line="240" w:lineRule="auto"/>
              <w:rPr>
                <w:rFonts w:eastAsia="Times New Roman"/>
                <w:noProof/>
              </w:rPr>
            </w:pPr>
            <w:r>
              <w:rPr>
                <w:noProof/>
              </w:rPr>
              <w:t>La numérisation de l’agenda des retraites (EDA), </w:t>
            </w:r>
          </w:p>
          <w:p w14:paraId="51635778" w14:textId="3767C88A" w:rsidR="00025543" w:rsidRDefault="007E3A2F">
            <w:pPr>
              <w:pStyle w:val="P68B1DB1-ListParagraph21"/>
              <w:numPr>
                <w:ilvl w:val="0"/>
                <w:numId w:val="277"/>
              </w:numPr>
              <w:spacing w:before="0" w:after="0" w:line="240" w:lineRule="auto"/>
              <w:rPr>
                <w:rFonts w:eastAsia="Times New Roman"/>
                <w:noProof/>
              </w:rPr>
            </w:pPr>
            <w:r>
              <w:rPr>
                <w:noProof/>
              </w:rPr>
              <w:t>Soutien à la demande pour la prise de décision</w:t>
            </w:r>
            <w:r>
              <w:rPr>
                <w:noProof/>
                <w:u w:val="single"/>
              </w:rPr>
              <w:t>.</w:t>
            </w:r>
            <w:r>
              <w:rPr>
                <w:noProof/>
              </w:rPr>
              <w:t> </w:t>
            </w:r>
          </w:p>
        </w:tc>
      </w:tr>
    </w:tbl>
    <w:p w14:paraId="2FDD9C96" w14:textId="1B219718" w:rsidR="00025543" w:rsidRDefault="00025543">
      <w:pPr>
        <w:pBdr>
          <w:top w:val="nil"/>
          <w:left w:val="nil"/>
          <w:bottom w:val="nil"/>
          <w:right w:val="nil"/>
          <w:between w:val="nil"/>
        </w:pBdr>
        <w:spacing w:before="0" w:after="0" w:line="240" w:lineRule="auto"/>
        <w:jc w:val="both"/>
        <w:rPr>
          <w:b/>
          <w:noProof/>
          <w:u w:val="single"/>
        </w:rPr>
        <w:sectPr w:rsidR="00025543" w:rsidSect="001932DE">
          <w:headerReference w:type="even" r:id="rId60"/>
          <w:headerReference w:type="default" r:id="rId61"/>
          <w:footerReference w:type="even" r:id="rId62"/>
          <w:footerReference w:type="default" r:id="rId63"/>
          <w:headerReference w:type="first" r:id="rId64"/>
          <w:footerReference w:type="first" r:id="rId65"/>
          <w:pgSz w:w="16839" w:h="11907" w:orient="landscape"/>
          <w:pgMar w:top="1134" w:right="1134" w:bottom="1134" w:left="1134" w:header="567" w:footer="567" w:gutter="0"/>
          <w:cols w:space="720"/>
          <w:docGrid w:linePitch="360"/>
        </w:sectPr>
      </w:pPr>
    </w:p>
    <w:p w14:paraId="0A80281E" w14:textId="1256C839" w:rsidR="00025543" w:rsidRDefault="007E3A2F">
      <w:pPr>
        <w:pStyle w:val="P68B1DB1-Normal2"/>
        <w:keepNext/>
        <w:tabs>
          <w:tab w:val="left" w:pos="850"/>
        </w:tabs>
        <w:spacing w:before="360" w:line="240" w:lineRule="auto"/>
        <w:jc w:val="both"/>
        <w:outlineLvl w:val="0"/>
        <w:rPr>
          <w:noProof/>
        </w:rPr>
      </w:pPr>
      <w:r>
        <w:rPr>
          <w:noProof/>
        </w:rPr>
        <w:t xml:space="preserve">C. VOLET 1.3: Réseaux numériques à haute capacité </w:t>
      </w:r>
    </w:p>
    <w:p w14:paraId="718FC17D" w14:textId="4F45BEDE" w:rsidR="00025543" w:rsidRDefault="007E3A2F">
      <w:pPr>
        <w:pStyle w:val="P68B1DB1-Normal22"/>
        <w:spacing w:line="240" w:lineRule="auto"/>
        <w:jc w:val="both"/>
        <w:rPr>
          <w:b/>
          <w:smallCaps/>
          <w:noProof/>
        </w:rPr>
      </w:pPr>
      <w:r>
        <w:rPr>
          <w:noProof/>
        </w:rPr>
        <w:t>Ce volet du plan pour la reprise et la résilience de la République tchèque aide à relever le défi du déploiement de réseaux à très haute capacité (VHCN) afin de maximiser l’accès aux services en ligne grâce à la connectivité internet pour les citoyens, les entreprises, les administrations publiques et les institutions, en particulier dans les zones rurales. Le volet vise également à créer les conditions propices au développement des réseaux et services 5G.</w:t>
      </w:r>
    </w:p>
    <w:p w14:paraId="32FEDA43" w14:textId="77777777" w:rsidR="00025543" w:rsidRDefault="007E3A2F">
      <w:pPr>
        <w:spacing w:line="240" w:lineRule="auto"/>
        <w:jc w:val="both"/>
        <w:textAlignment w:val="baseline"/>
        <w:rPr>
          <w:rFonts w:eastAsia="Times New Roman"/>
          <w:noProof/>
        </w:rPr>
      </w:pPr>
      <w:r>
        <w:rPr>
          <w:rFonts w:eastAsia="Times New Roman"/>
          <w:noProof/>
          <w:color w:val="000000"/>
        </w:rPr>
        <w:t xml:space="preserve">Ce volet </w:t>
      </w:r>
      <w:r>
        <w:rPr>
          <w:rFonts w:eastAsia="Times New Roman"/>
          <w:noProof/>
        </w:rPr>
        <w:t>contribue à donner suite à</w:t>
      </w:r>
      <w:r>
        <w:rPr>
          <w:noProof/>
        </w:rPr>
        <w:t>la recommandation spécifique</w:t>
      </w:r>
      <w:r>
        <w:rPr>
          <w:rFonts w:eastAsia="Times New Roman"/>
          <w:noProof/>
        </w:rPr>
        <w:t xml:space="preserve">, selon laquelle la Tchéquie </w:t>
      </w:r>
      <w:r>
        <w:rPr>
          <w:rFonts w:eastAsia="Times New Roman"/>
          <w:noProof/>
          <w:color w:val="000000"/>
        </w:rPr>
        <w:t xml:space="preserve">concentre sa politique économique en matière d’investissement sur les infrastructures numériques (recommandation spécifique par pays no 3 2019), et à la recommandation spécifique par </w:t>
      </w:r>
      <w:r>
        <w:rPr>
          <w:noProof/>
        </w:rPr>
        <w:t>pays, selon laquelle la Tchéquie concentre ses investissements sur la transition numérique, en particulier sur les infrastructures et technologies numériques à haute capacité (recommandation par pays no 3 2020).</w:t>
      </w:r>
    </w:p>
    <w:p w14:paraId="76080DEF" w14:textId="26D5B1D8" w:rsidR="00025543" w:rsidRDefault="007E3A2F">
      <w:pPr>
        <w:spacing w:line="240" w:lineRule="auto"/>
        <w:jc w:val="both"/>
        <w:textAlignment w:val="baseline"/>
        <w:rPr>
          <w:noProof/>
        </w:rPr>
      </w:pPr>
      <w:r>
        <w:rPr>
          <w:noProof/>
        </w:rPr>
        <w:t>Aucune mesure relevant de ce volet ne</w:t>
      </w:r>
      <w:r>
        <w:rPr>
          <w:rFonts w:eastAsia="Times New Roman"/>
          <w:noProof/>
        </w:rPr>
        <w:t xml:space="preserve">devrait causer de préjudice important aux objectifs environnementaux au sens de l’article 17 du règlement (UE) 2020/852, compte tenu de la description des mesures et des mesures d’atténuation prévues dans le plan conformément aux orientations techniques DNSH (2021/C58/01). Pour tous les investissements dans les infrastructures, au </w:t>
      </w:r>
      <w:r>
        <w:rPr>
          <w:noProof/>
        </w:rPr>
        <w:t>moins 70 % des déchets de construction et de démolition sont réutilisés ou recyclés conformément aux orientations techniques «Ne pas causer de préjudice important» (2021/C58/01)</w:t>
      </w:r>
      <w:r w:rsidRPr="00007574">
        <w:rPr>
          <w:rStyle w:val="FootnoteReference"/>
          <w:b w:val="0"/>
          <w:bCs/>
          <w:noProof/>
        </w:rPr>
        <w:footnoteReference w:id="2"/>
      </w:r>
      <w:r>
        <w:rPr>
          <w:noProof/>
        </w:rPr>
        <w:t>.</w:t>
      </w:r>
    </w:p>
    <w:p w14:paraId="2E0B829C" w14:textId="77777777" w:rsidR="00025543" w:rsidRDefault="00025543">
      <w:pPr>
        <w:spacing w:line="240" w:lineRule="auto"/>
        <w:jc w:val="both"/>
        <w:textAlignment w:val="baseline"/>
        <w:rPr>
          <w:rFonts w:eastAsia="Times New Roman"/>
          <w:noProof/>
        </w:rPr>
      </w:pPr>
    </w:p>
    <w:p w14:paraId="0A9E6D06" w14:textId="77777777" w:rsidR="00025543" w:rsidRDefault="007E3A2F">
      <w:pPr>
        <w:pStyle w:val="P68B1DB1-Normal8"/>
        <w:pBdr>
          <w:top w:val="nil"/>
          <w:left w:val="nil"/>
          <w:bottom w:val="nil"/>
          <w:right w:val="nil"/>
          <w:between w:val="nil"/>
        </w:pBdr>
        <w:spacing w:line="240" w:lineRule="auto"/>
        <w:rPr>
          <w:i/>
          <w:noProof/>
        </w:rPr>
      </w:pPr>
      <w:r>
        <w:rPr>
          <w:noProof/>
        </w:rPr>
        <w:t>C.1. Description des réformes et des investissements en vue du soutien financier non remboursable</w:t>
      </w:r>
    </w:p>
    <w:p w14:paraId="7AC92431" w14:textId="77777777" w:rsidR="00025543" w:rsidRDefault="007E3A2F">
      <w:pPr>
        <w:pStyle w:val="P68B1DB1-Normal13"/>
        <w:pBdr>
          <w:top w:val="nil"/>
          <w:left w:val="nil"/>
          <w:bottom w:val="nil"/>
          <w:right w:val="nil"/>
          <w:between w:val="nil"/>
        </w:pBdr>
        <w:spacing w:line="240" w:lineRule="auto"/>
        <w:rPr>
          <w:noProof/>
        </w:rPr>
      </w:pPr>
      <w:r>
        <w:rPr>
          <w:b/>
          <w:noProof/>
        </w:rPr>
        <w:t>Réforme 1: Amélioration de l’environnement pour le déploiement des réseaux de communications électroniques</w:t>
      </w:r>
      <w:r>
        <w:rPr>
          <w:noProof/>
        </w:rPr>
        <w:t xml:space="preserve"> </w:t>
      </w:r>
    </w:p>
    <w:p w14:paraId="117E61AB" w14:textId="77777777" w:rsidR="00025543" w:rsidRDefault="007E3A2F">
      <w:pPr>
        <w:pBdr>
          <w:top w:val="nil"/>
          <w:left w:val="nil"/>
          <w:bottom w:val="nil"/>
          <w:right w:val="nil"/>
          <w:between w:val="nil"/>
        </w:pBdr>
        <w:spacing w:line="240" w:lineRule="auto"/>
        <w:jc w:val="both"/>
        <w:rPr>
          <w:noProof/>
          <w:color w:val="000000"/>
        </w:rPr>
      </w:pPr>
      <w:r>
        <w:rPr>
          <w:noProof/>
          <w:color w:val="000000"/>
        </w:rPr>
        <w:t>Cette réforme vise à améliorer la capacité de collecte d’informations sur l’infrastructure active et passive de la communication électronique. La réforme est alignée sur les objectifs de la législation sectorielle de l’Union visant à réduire le coût du déploiement du réseau, y compris la directive 2014/61/UE relative à des mesures visant à réduire le coût du déploiement de réseaux de communication à haut débit, ainsi qu’avec les objectifs de la directive 2018/1972 (le code des communications électroniques européen).</w:t>
      </w:r>
      <w:r>
        <w:rPr>
          <w:noProof/>
        </w:rPr>
        <w:t xml:space="preserve"> </w:t>
      </w:r>
    </w:p>
    <w:p w14:paraId="387585F5" w14:textId="77777777" w:rsidR="00025543" w:rsidRDefault="007E3A2F">
      <w:pPr>
        <w:pBdr>
          <w:top w:val="nil"/>
          <w:left w:val="nil"/>
          <w:bottom w:val="nil"/>
          <w:right w:val="nil"/>
          <w:between w:val="nil"/>
        </w:pBdr>
        <w:tabs>
          <w:tab w:val="left" w:pos="6823"/>
        </w:tabs>
        <w:spacing w:line="240" w:lineRule="auto"/>
        <w:rPr>
          <w:noProof/>
          <w:color w:val="000000"/>
        </w:rPr>
      </w:pPr>
      <w:r>
        <w:rPr>
          <w:noProof/>
          <w:color w:val="000000"/>
        </w:rPr>
        <w:t xml:space="preserve">La réforme comprend, entre autres: </w:t>
      </w:r>
    </w:p>
    <w:p w14:paraId="0FA0E19F" w14:textId="77777777" w:rsidR="00025543" w:rsidRDefault="007E3A2F">
      <w:pPr>
        <w:pStyle w:val="P68B1DB1-Normal13"/>
        <w:numPr>
          <w:ilvl w:val="0"/>
          <w:numId w:val="159"/>
        </w:numPr>
        <w:pBdr>
          <w:top w:val="nil"/>
          <w:left w:val="nil"/>
          <w:bottom w:val="nil"/>
          <w:right w:val="nil"/>
          <w:between w:val="nil"/>
        </w:pBdr>
        <w:spacing w:line="240" w:lineRule="auto"/>
        <w:jc w:val="both"/>
        <w:rPr>
          <w:noProof/>
        </w:rPr>
      </w:pPr>
      <w:r>
        <w:rPr>
          <w:noProof/>
        </w:rPr>
        <w:t xml:space="preserve">La mise en œuvre de mesures, y compris l’entrée en vigueur des modifications législatives nécessaires et l’achèvement des spécifications techniques, visant à créer des bases de données des projets planifiés.   </w:t>
      </w:r>
    </w:p>
    <w:p w14:paraId="29FC4D88" w14:textId="77777777" w:rsidR="00025543" w:rsidRDefault="007E3A2F">
      <w:pPr>
        <w:numPr>
          <w:ilvl w:val="0"/>
          <w:numId w:val="159"/>
        </w:numPr>
        <w:pBdr>
          <w:top w:val="nil"/>
          <w:left w:val="nil"/>
          <w:bottom w:val="nil"/>
          <w:right w:val="nil"/>
          <w:between w:val="nil"/>
        </w:pBdr>
        <w:spacing w:line="240" w:lineRule="auto"/>
        <w:jc w:val="both"/>
        <w:rPr>
          <w:rFonts w:eastAsia="Times New Roman"/>
          <w:noProof/>
          <w:color w:val="000000"/>
        </w:rPr>
      </w:pPr>
      <w:r>
        <w:rPr>
          <w:noProof/>
          <w:color w:val="000000"/>
        </w:rPr>
        <w:t>La réalisation d’objets de cartes techniques numériques (DTM), permettant l’accès à des</w:t>
      </w:r>
      <w:r>
        <w:rPr>
          <w:noProof/>
        </w:rPr>
        <w:t xml:space="preserve"> informations </w:t>
      </w:r>
      <w:r>
        <w:rPr>
          <w:noProof/>
          <w:color w:val="000000"/>
        </w:rPr>
        <w:t>précises sur la localisation et l’infrastructure technique appartenant à des entités publiques et privées. La mesure vise à numériser au moins 161 000 hectares de situation spatiale de base et 55 000</w:t>
      </w:r>
      <w:r>
        <w:rPr>
          <w:noProof/>
        </w:rPr>
        <w:t xml:space="preserve"> km de réseaux de transport et d’infrastructures techniques. </w:t>
      </w:r>
      <w:r>
        <w:rPr>
          <w:noProof/>
          <w:color w:val="000000"/>
        </w:rPr>
        <w:t xml:space="preserve"> </w:t>
      </w:r>
    </w:p>
    <w:p w14:paraId="4F3719CC" w14:textId="77777777" w:rsidR="00025543" w:rsidRDefault="007E3A2F">
      <w:pPr>
        <w:pStyle w:val="P68B1DB1-Normal13"/>
        <w:numPr>
          <w:ilvl w:val="0"/>
          <w:numId w:val="159"/>
        </w:numPr>
        <w:pBdr>
          <w:top w:val="nil"/>
          <w:left w:val="nil"/>
          <w:bottom w:val="nil"/>
          <w:right w:val="nil"/>
          <w:between w:val="nil"/>
        </w:pBdr>
        <w:spacing w:line="240" w:lineRule="auto"/>
        <w:jc w:val="both"/>
        <w:rPr>
          <w:rFonts w:ascii="Calibri" w:hAnsi="Calibri"/>
          <w:noProof/>
        </w:rPr>
      </w:pPr>
      <w:r>
        <w:rPr>
          <w:noProof/>
        </w:rPr>
        <w:t xml:space="preserve">L’achèvement des mesures de la qualité du réseau pour l’ensemble des 76 districts de Tchéquie et de la capitale, dans le but de fournir de meilleures informations sur la 5G et la qualité du réseau fixe et de réduire les délais de vérification de la couverture du réseau. Les mesures sont conformes aux paramètres de qualité de service, aux définitions et aux méthodes de mesure détaillées à l’annexe X de la directive (UE) 2018/1972 et suivent les lignes directrices de l’ORECE détaillant les paramètres de la qualité du service. </w:t>
      </w:r>
    </w:p>
    <w:p w14:paraId="0FE57437" w14:textId="77777777" w:rsidR="00025543" w:rsidRDefault="007E3A2F">
      <w:pPr>
        <w:pStyle w:val="P68B1DB1-Normal13"/>
        <w:pBdr>
          <w:top w:val="nil"/>
          <w:left w:val="nil"/>
          <w:bottom w:val="nil"/>
          <w:right w:val="nil"/>
          <w:between w:val="nil"/>
        </w:pBdr>
        <w:spacing w:line="240" w:lineRule="auto"/>
        <w:jc w:val="both"/>
        <w:rPr>
          <w:noProof/>
        </w:rPr>
      </w:pPr>
      <w:r>
        <w:rPr>
          <w:noProof/>
        </w:rPr>
        <w:t xml:space="preserve">La disponibilité d’informations sur les infrastructures physiques existantes et les travaux de génie civil financés par des fonds publics rend le partage des infrastructures physiques plus efficace pour le déploiement de réseaux de communications électroniques à haut débit. </w:t>
      </w:r>
    </w:p>
    <w:p w14:paraId="70A811EF" w14:textId="77777777" w:rsidR="00025543" w:rsidRDefault="007E3A2F">
      <w:pPr>
        <w:pStyle w:val="P68B1DB1-Normal13"/>
        <w:pBdr>
          <w:top w:val="nil"/>
          <w:left w:val="nil"/>
          <w:bottom w:val="nil"/>
          <w:right w:val="nil"/>
          <w:between w:val="nil"/>
        </w:pBdr>
        <w:spacing w:line="240" w:lineRule="auto"/>
        <w:jc w:val="both"/>
        <w:rPr>
          <w:noProof/>
        </w:rPr>
      </w:pPr>
      <w:r>
        <w:rPr>
          <w:noProof/>
        </w:rPr>
        <w:t xml:space="preserve">La mesure est achevée au plus tard le 31 décembre 2025. </w:t>
      </w:r>
    </w:p>
    <w:p w14:paraId="7AC4E140" w14:textId="77777777" w:rsidR="00025543" w:rsidRDefault="007E3A2F">
      <w:pPr>
        <w:pStyle w:val="P68B1DB1-Normal14"/>
        <w:pBdr>
          <w:top w:val="nil"/>
          <w:left w:val="nil"/>
          <w:bottom w:val="nil"/>
          <w:right w:val="nil"/>
          <w:between w:val="nil"/>
        </w:pBdr>
        <w:spacing w:line="240" w:lineRule="auto"/>
        <w:rPr>
          <w:noProof/>
        </w:rPr>
      </w:pPr>
      <w:r>
        <w:rPr>
          <w:noProof/>
        </w:rPr>
        <w:t xml:space="preserve">Réforme 2: Soutenir le développement de l’écosystème 5G </w:t>
      </w:r>
    </w:p>
    <w:p w14:paraId="6E0255F3" w14:textId="77777777" w:rsidR="00025543" w:rsidRDefault="007E3A2F">
      <w:pPr>
        <w:pStyle w:val="P68B1DB1-Normal13"/>
        <w:pBdr>
          <w:top w:val="nil"/>
          <w:left w:val="nil"/>
          <w:bottom w:val="nil"/>
          <w:right w:val="nil"/>
          <w:between w:val="nil"/>
        </w:pBdr>
        <w:spacing w:line="240" w:lineRule="auto"/>
        <w:jc w:val="both"/>
        <w:rPr>
          <w:noProof/>
        </w:rPr>
      </w:pPr>
      <w:r>
        <w:rPr>
          <w:noProof/>
        </w:rPr>
        <w:t xml:space="preserve">Cette mesure vise à élaborer le cadre stratégique visant à promouvoir le partage des infrastructures pour les réseaux 5G, en particulier dans les zones moins attrayantes sur le plan commercial, permettant une réduction de la consommation d’énergie, des émissions radioélectriques, ainsi que des coûts de construction et d’exploitation des réseaux. </w:t>
      </w:r>
    </w:p>
    <w:p w14:paraId="6AA8354C" w14:textId="77777777" w:rsidR="00025543" w:rsidRDefault="007E3A2F">
      <w:pPr>
        <w:pStyle w:val="P68B1DB1-Normal13"/>
        <w:pBdr>
          <w:top w:val="nil"/>
          <w:left w:val="nil"/>
          <w:bottom w:val="nil"/>
          <w:right w:val="nil"/>
          <w:between w:val="nil"/>
        </w:pBdr>
        <w:spacing w:line="240" w:lineRule="auto"/>
        <w:jc w:val="both"/>
        <w:rPr>
          <w:noProof/>
        </w:rPr>
      </w:pPr>
      <w:r>
        <w:rPr>
          <w:noProof/>
        </w:rPr>
        <w:t xml:space="preserve">La mesure soutient l’achèvement de 25 études visant à: </w:t>
      </w:r>
    </w:p>
    <w:p w14:paraId="5211A5B6" w14:textId="77777777" w:rsidR="00025543" w:rsidRDefault="007E3A2F">
      <w:pPr>
        <w:numPr>
          <w:ilvl w:val="0"/>
          <w:numId w:val="158"/>
        </w:numPr>
        <w:pBdr>
          <w:top w:val="nil"/>
          <w:left w:val="nil"/>
          <w:bottom w:val="nil"/>
          <w:right w:val="nil"/>
          <w:between w:val="nil"/>
        </w:pBdr>
        <w:spacing w:line="240" w:lineRule="auto"/>
        <w:jc w:val="both"/>
        <w:rPr>
          <w:rFonts w:eastAsia="Times New Roman"/>
          <w:noProof/>
          <w:sz w:val="22"/>
        </w:rPr>
      </w:pPr>
      <w:r>
        <w:rPr>
          <w:noProof/>
        </w:rPr>
        <w:t xml:space="preserve">Réexaminer le plan national en matière de spectre radioélectrique et évaluer les processus existants des plans stratégiques d’attribution et d’attribution des droits de spectre, dans le but d’exploiter les bandes de fréquences harmonisées à des fins commerciales le plus tôt possible, conformément aux critères établis dans la </w:t>
      </w:r>
      <w:r>
        <w:rPr>
          <w:noProof/>
          <w:color w:val="000000"/>
        </w:rPr>
        <w:t>boîte à outils commune de l’Union pour la connectivité</w:t>
      </w:r>
      <w:r w:rsidRPr="007E3A2F">
        <w:rPr>
          <w:rStyle w:val="FootnoteReference"/>
          <w:b w:val="0"/>
          <w:noProof/>
          <w:color w:val="000000"/>
        </w:rPr>
        <w:footnoteReference w:id="3"/>
      </w:r>
      <w:r>
        <w:rPr>
          <w:noProof/>
          <w:color w:val="000000"/>
        </w:rPr>
        <w:t xml:space="preserve">. </w:t>
      </w:r>
    </w:p>
    <w:p w14:paraId="0A0F0FB0" w14:textId="77777777" w:rsidR="00025543" w:rsidRDefault="007E3A2F">
      <w:pPr>
        <w:numPr>
          <w:ilvl w:val="0"/>
          <w:numId w:val="158"/>
        </w:numPr>
        <w:pBdr>
          <w:top w:val="nil"/>
          <w:left w:val="nil"/>
          <w:bottom w:val="nil"/>
          <w:right w:val="nil"/>
          <w:between w:val="nil"/>
        </w:pBdr>
        <w:spacing w:line="240" w:lineRule="auto"/>
        <w:jc w:val="both"/>
        <w:rPr>
          <w:noProof/>
        </w:rPr>
      </w:pPr>
      <w:r>
        <w:rPr>
          <w:noProof/>
        </w:rPr>
        <w:t>Analyser la possibilité de permettre aux opérateurs de payer des redevances d’attribution du spectre radioélectrique par tranches afin de faciliter les investissements dans les infrastructures 5G.</w:t>
      </w:r>
    </w:p>
    <w:p w14:paraId="7ED97ADF" w14:textId="77777777" w:rsidR="00025543" w:rsidRDefault="007E3A2F">
      <w:pPr>
        <w:numPr>
          <w:ilvl w:val="0"/>
          <w:numId w:val="158"/>
        </w:numPr>
        <w:pBdr>
          <w:top w:val="nil"/>
          <w:left w:val="nil"/>
          <w:bottom w:val="nil"/>
          <w:right w:val="nil"/>
          <w:between w:val="nil"/>
        </w:pBdr>
        <w:spacing w:line="240" w:lineRule="auto"/>
        <w:jc w:val="both"/>
        <w:rPr>
          <w:noProof/>
        </w:rPr>
      </w:pPr>
      <w:r>
        <w:rPr>
          <w:noProof/>
        </w:rPr>
        <w:t>Identifier et formuler les défis découlant de la cybersécurité, la construction de réseaux de</w:t>
      </w:r>
      <w:r>
        <w:rPr>
          <w:noProof/>
          <w:color w:val="000000"/>
        </w:rPr>
        <w:t>communications électroniques au sein des municipalités et des villes et le développement des villes.</w:t>
      </w:r>
    </w:p>
    <w:p w14:paraId="784BB618" w14:textId="77777777" w:rsidR="00025543" w:rsidRDefault="007E3A2F">
      <w:pPr>
        <w:pStyle w:val="P68B1DB1-Normal13"/>
        <w:pBdr>
          <w:top w:val="nil"/>
          <w:left w:val="nil"/>
          <w:bottom w:val="nil"/>
          <w:right w:val="nil"/>
          <w:between w:val="nil"/>
        </w:pBdr>
        <w:spacing w:line="240" w:lineRule="auto"/>
        <w:jc w:val="both"/>
        <w:rPr>
          <w:noProof/>
        </w:rPr>
      </w:pPr>
      <w:r>
        <w:rPr>
          <w:noProof/>
        </w:rPr>
        <w:t>Sur la base de ces études, des propositions seront élaborées par l’alliance 5G en ce qui concerne les possibilités de développer davantage l’écosystème 5G. Ces propositions constituent la base de lignes directrices sur le partage d’infrastructures de communications électroniques passives et actives afin de faciliter le déploiement des réseaux 5G, conformément à la boîte à outils commune de l’Union pour la connectivité et compte tenu de la directive 2014/61/UE relative à des mesures visant à réduire le coût du déploiement de réseaux de communications électroniques à haut débit, du rapport FINAL RSPG21-016 sur le partage du spectre et de la loi no 143/2001 sur la protection de la concurrence. La mesure prévoit également l’achèvement d’un projet pilote sur 5G/26 GHz, visant à élaborer des lignes directrices et des algorithmes sur les procédures de coordination du spectre radioélectrique pour la 5G et le partage du spectre avec d’autres services dans la bande de 26 GHz.</w:t>
      </w:r>
    </w:p>
    <w:p w14:paraId="6F0591B8" w14:textId="6BF89C76" w:rsidR="00025543" w:rsidRDefault="007E3A2F">
      <w:pPr>
        <w:pStyle w:val="P68B1DB1-Normal13"/>
        <w:pBdr>
          <w:top w:val="nil"/>
          <w:left w:val="nil"/>
          <w:bottom w:val="nil"/>
          <w:right w:val="nil"/>
          <w:between w:val="nil"/>
        </w:pBdr>
        <w:spacing w:line="240" w:lineRule="auto"/>
        <w:jc w:val="both"/>
        <w:rPr>
          <w:rFonts w:ascii="Calibri" w:hAnsi="Calibri"/>
          <w:noProof/>
          <w:sz w:val="22"/>
        </w:rPr>
      </w:pPr>
      <w:r>
        <w:rPr>
          <w:noProof/>
        </w:rPr>
        <w:t xml:space="preserve">La réforme doit être achevée au plus tard le 31 décembre 2025. </w:t>
      </w:r>
    </w:p>
    <w:p w14:paraId="06E56C86" w14:textId="460CAAE9" w:rsidR="00025543" w:rsidRDefault="007E3A2F">
      <w:pPr>
        <w:pStyle w:val="P68B1DB1-Normal14"/>
        <w:keepNext/>
        <w:pBdr>
          <w:top w:val="nil"/>
          <w:left w:val="nil"/>
          <w:bottom w:val="nil"/>
          <w:right w:val="nil"/>
          <w:between w:val="nil"/>
        </w:pBdr>
        <w:spacing w:line="240" w:lineRule="auto"/>
        <w:jc w:val="both"/>
        <w:rPr>
          <w:rFonts w:ascii="Calibri" w:hAnsi="Calibri"/>
          <w:noProof/>
          <w:sz w:val="22"/>
        </w:rPr>
      </w:pPr>
      <w:r>
        <w:rPr>
          <w:noProof/>
        </w:rPr>
        <w:t xml:space="preserve">Investissement 1: Renforcement de la connectivité à haute capacité </w:t>
      </w:r>
    </w:p>
    <w:p w14:paraId="2A810249" w14:textId="3B973E86" w:rsidR="00025543" w:rsidRDefault="007E3A2F">
      <w:pPr>
        <w:pStyle w:val="P68B1DB1-Normal13"/>
        <w:pBdr>
          <w:top w:val="nil"/>
          <w:left w:val="nil"/>
          <w:bottom w:val="nil"/>
          <w:right w:val="nil"/>
          <w:between w:val="nil"/>
        </w:pBdr>
        <w:spacing w:line="240" w:lineRule="auto"/>
        <w:jc w:val="both"/>
        <w:rPr>
          <w:noProof/>
        </w:rPr>
      </w:pPr>
      <w:r>
        <w:rPr>
          <w:noProof/>
        </w:rPr>
        <w:t>Cette mesure vise à soutenir la construction de réseaux de connectivité à très haute capacité (VHCN), en mettant particulièrement l’accent sur les zones rurales, où les solutions fondées sur le marché ne sont pas rentables et où il existe peu d’incitations commerciales à déployer de tels réseaux. Ces domaines d’intervention sont déterminés conformément aux règles en vigueur en matière d’aides d’État et font l’objet d’une consultation publique.</w:t>
      </w:r>
    </w:p>
    <w:p w14:paraId="32416770" w14:textId="344664A3" w:rsidR="00025543" w:rsidRDefault="007E3A2F">
      <w:pPr>
        <w:pStyle w:val="P68B1DB1-Normal13"/>
        <w:pBdr>
          <w:top w:val="nil"/>
          <w:left w:val="nil"/>
          <w:bottom w:val="nil"/>
          <w:right w:val="nil"/>
          <w:between w:val="nil"/>
        </w:pBdr>
        <w:spacing w:line="240" w:lineRule="auto"/>
        <w:jc w:val="both"/>
        <w:rPr>
          <w:noProof/>
        </w:rPr>
      </w:pPr>
      <w:r>
        <w:rPr>
          <w:noProof/>
        </w:rPr>
        <w:t>Au moins un appel d’offres pour la construction d’une connectivité à très haute capacité est lancé pour cette mesure, dont les résultats sont publiés au plus tard le 31 décembre 2024. Grâce à la mise en œuvre des projets sélectionnés, le nombre de points d’adresse connectés au réseau à très haute capacité tel que défini dans les lignes directrices de l’ORECE sur les réseaux à très haute capacité (connectivité d’au moins 1 Gb/s) augmente d’au moins 23 000 unités.</w:t>
      </w:r>
    </w:p>
    <w:p w14:paraId="122A0104" w14:textId="77777777" w:rsidR="00025543" w:rsidRDefault="007E3A2F">
      <w:pPr>
        <w:pStyle w:val="P68B1DB1-Normal13"/>
        <w:pBdr>
          <w:top w:val="nil"/>
          <w:left w:val="nil"/>
          <w:bottom w:val="nil"/>
          <w:right w:val="nil"/>
          <w:between w:val="nil"/>
        </w:pBdr>
        <w:spacing w:line="240" w:lineRule="auto"/>
        <w:jc w:val="both"/>
        <w:rPr>
          <w:noProof/>
        </w:rPr>
      </w:pPr>
      <w:r>
        <w:rPr>
          <w:noProof/>
        </w:rPr>
        <w:t xml:space="preserve">L’investissement est achevé au plus tard le 31 mars 2026. </w:t>
      </w:r>
    </w:p>
    <w:p w14:paraId="7075BB4F" w14:textId="77777777" w:rsidR="00025543" w:rsidRDefault="007E3A2F">
      <w:pPr>
        <w:pStyle w:val="P68B1DB1-Normal7"/>
        <w:spacing w:line="240" w:lineRule="auto"/>
        <w:jc w:val="both"/>
        <w:rPr>
          <w:noProof/>
        </w:rPr>
      </w:pPr>
      <w:r>
        <w:rPr>
          <w:noProof/>
        </w:rPr>
        <w:t xml:space="preserve">Investissement 2: Couverture des corridors 5G et promotion du développement de la 5G </w:t>
      </w:r>
    </w:p>
    <w:p w14:paraId="6F9FC320" w14:textId="77777777" w:rsidR="00025543" w:rsidRDefault="007E3A2F">
      <w:pPr>
        <w:spacing w:line="240" w:lineRule="auto"/>
        <w:jc w:val="both"/>
        <w:rPr>
          <w:noProof/>
        </w:rPr>
      </w:pPr>
      <w:r>
        <w:rPr>
          <w:noProof/>
        </w:rPr>
        <w:t>Cette mesure vise à améliorer la couverture 5G des corridors de transport au moyen d’investissements dans les équipements, ainsi que dans la recherche et le développement.</w:t>
      </w:r>
    </w:p>
    <w:p w14:paraId="5F0DA586" w14:textId="77777777" w:rsidR="00025543" w:rsidRDefault="007E3A2F">
      <w:pPr>
        <w:spacing w:line="240" w:lineRule="auto"/>
        <w:jc w:val="both"/>
        <w:rPr>
          <w:noProof/>
        </w:rPr>
      </w:pPr>
      <w:r>
        <w:rPr>
          <w:noProof/>
        </w:rPr>
        <w:t xml:space="preserve">Dans la poursuite de cet objectif, les mesures suivantes doivent être menées à bien: </w:t>
      </w:r>
    </w:p>
    <w:p w14:paraId="02AA8BF6" w14:textId="1D4D3870" w:rsidR="00025543" w:rsidRDefault="007E3A2F">
      <w:pPr>
        <w:pStyle w:val="P68B1DB1-Normal3"/>
        <w:numPr>
          <w:ilvl w:val="0"/>
          <w:numId w:val="157"/>
        </w:numPr>
        <w:pBdr>
          <w:top w:val="nil"/>
          <w:left w:val="nil"/>
          <w:bottom w:val="nil"/>
          <w:right w:val="nil"/>
          <w:between w:val="nil"/>
        </w:pBdr>
        <w:spacing w:line="240" w:lineRule="auto"/>
        <w:jc w:val="both"/>
        <w:rPr>
          <w:rFonts w:ascii="Calibri" w:hAnsi="Calibri" w:cs="Calibri"/>
          <w:i/>
          <w:noProof/>
          <w:sz w:val="20"/>
        </w:rPr>
      </w:pPr>
      <w:r>
        <w:rPr>
          <w:noProof/>
        </w:rPr>
        <w:t>assurer une couverture complète des corridors ferroviaires par le signal 5G des deux corridors ferroviaires suivants: Prague — Česká Třebová — Ostrava et ii) Česká Třebová — Brno en augmentant la densité des stations de transfert de base sur ces deux corridors, grâce à la construction de nouvelles STB en plus de celles que les opérateurs de téléphonie mobile doivent construire conformément aux conditions des enchères de fréquences 5G,</w:t>
      </w:r>
    </w:p>
    <w:p w14:paraId="6264BAEE" w14:textId="71A06F9F" w:rsidR="00025543" w:rsidRDefault="007E3A2F">
      <w:pPr>
        <w:numPr>
          <w:ilvl w:val="0"/>
          <w:numId w:val="157"/>
        </w:numPr>
        <w:pBdr>
          <w:top w:val="nil"/>
          <w:left w:val="nil"/>
          <w:bottom w:val="nil"/>
          <w:right w:val="nil"/>
          <w:between w:val="nil"/>
        </w:pBdr>
        <w:spacing w:line="240" w:lineRule="auto"/>
        <w:jc w:val="both"/>
        <w:rPr>
          <w:noProof/>
          <w:color w:val="000000"/>
        </w:rPr>
      </w:pPr>
      <w:r>
        <w:rPr>
          <w:rFonts w:eastAsia="Times New Roman"/>
          <w:noProof/>
        </w:rPr>
        <w:t xml:space="preserve">Assurer la couverture de 350 wagons de chemin de fer équipés de répéteurs de signaux mobiles de haute qualité ou de murs passifs pour le signal 5G. </w:t>
      </w:r>
      <w:r>
        <w:rPr>
          <w:noProof/>
          <w:color w:val="000000" w:themeColor="text1"/>
        </w:rPr>
        <w:t>Construire et tester un système de transport intelligent coopératif pour les corridors ferroviaires (STI-C) dans les réseaux 5G. Des rapports trimestriels sur les essais et l’expérience acquise sont mis à la disposition des autres transporteurs opérant dans les corridors ferroviaires susmentionnés.</w:t>
      </w:r>
    </w:p>
    <w:p w14:paraId="4D642343" w14:textId="32E70FD0" w:rsidR="00025543" w:rsidRDefault="007E3A2F">
      <w:pPr>
        <w:pStyle w:val="P68B1DB1-Normal13"/>
        <w:pBdr>
          <w:top w:val="nil"/>
          <w:left w:val="nil"/>
          <w:bottom w:val="nil"/>
          <w:right w:val="nil"/>
          <w:between w:val="nil"/>
        </w:pBdr>
        <w:spacing w:line="240" w:lineRule="auto"/>
        <w:jc w:val="both"/>
        <w:rPr>
          <w:noProof/>
        </w:rPr>
      </w:pPr>
      <w:r>
        <w:rPr>
          <w:noProof/>
        </w:rPr>
        <w:t xml:space="preserve">Cet investissement sera achevé au plus tard le 30 juin 2026. </w:t>
      </w:r>
    </w:p>
    <w:p w14:paraId="15A9A346" w14:textId="77777777" w:rsidR="00025543" w:rsidRDefault="007E3A2F">
      <w:pPr>
        <w:pStyle w:val="P68B1DB1-Normal13"/>
        <w:pBdr>
          <w:top w:val="nil"/>
          <w:left w:val="nil"/>
          <w:bottom w:val="nil"/>
          <w:right w:val="nil"/>
          <w:between w:val="nil"/>
        </w:pBdr>
        <w:spacing w:line="240" w:lineRule="auto"/>
        <w:jc w:val="both"/>
        <w:rPr>
          <w:noProof/>
        </w:rPr>
      </w:pPr>
      <w:r>
        <w:rPr>
          <w:b/>
          <w:noProof/>
        </w:rPr>
        <w:t>Investissement 3: Soutenir le développement d’infrastructures mobiles 5G dans les zones blanches à forte intensité d’investissements ruraux</w:t>
      </w:r>
      <w:r>
        <w:rPr>
          <w:noProof/>
        </w:rPr>
        <w:t xml:space="preserve"> </w:t>
      </w:r>
    </w:p>
    <w:p w14:paraId="27E9776B" w14:textId="77777777" w:rsidR="00025543" w:rsidRDefault="007E3A2F">
      <w:pPr>
        <w:pBdr>
          <w:top w:val="nil"/>
          <w:left w:val="nil"/>
          <w:bottom w:val="nil"/>
          <w:right w:val="nil"/>
          <w:between w:val="nil"/>
        </w:pBdr>
        <w:spacing w:line="240" w:lineRule="auto"/>
        <w:jc w:val="both"/>
        <w:rPr>
          <w:noProof/>
          <w:color w:val="000000"/>
        </w:rPr>
      </w:pPr>
      <w:r>
        <w:rPr>
          <w:noProof/>
          <w:color w:val="000000"/>
        </w:rPr>
        <w:t xml:space="preserve">Cette mesure vise à améliorer la couverture du réseau 5G dans les «zones blanches», c’est-à-dire les zones qui n’ont jamais été couvertes par un signal mobile supérieur à la 3G et qui peuvent être supposées ne pas être couvertes par les réseaux de base 5G à l’avenir en raison de la faible rentabilité attendue de l’investissement. Cette définition suit les règles en </w:t>
      </w:r>
      <w:r>
        <w:rPr>
          <w:rFonts w:eastAsia="Times New Roman"/>
          <w:noProof/>
        </w:rPr>
        <w:t xml:space="preserve">matière d’aides d’État en vigueur et le plan national de développement des réseaux à très haute capacité. </w:t>
      </w:r>
      <w:r>
        <w:rPr>
          <w:noProof/>
          <w:color w:val="000000"/>
        </w:rPr>
        <w:t xml:space="preserve">Ces zones sont établies sur la base d’une évaluation des unités de base blanches à réaliser par l’Office tchèque des télécommunications et font l’objet d’une consultation publique. </w:t>
      </w:r>
    </w:p>
    <w:p w14:paraId="4297062F" w14:textId="77777777" w:rsidR="00025543" w:rsidRDefault="007E3A2F">
      <w:pPr>
        <w:pStyle w:val="P68B1DB1-Normal13"/>
        <w:pBdr>
          <w:top w:val="nil"/>
          <w:left w:val="nil"/>
          <w:bottom w:val="nil"/>
          <w:right w:val="nil"/>
          <w:between w:val="nil"/>
        </w:pBdr>
        <w:spacing w:line="240" w:lineRule="auto"/>
        <w:jc w:val="both"/>
        <w:rPr>
          <w:noProof/>
        </w:rPr>
      </w:pPr>
      <w:r>
        <w:rPr>
          <w:noProof/>
        </w:rPr>
        <w:t>Pour atteindre cet objectif, des appels d’offres seront lancés pour la construction et la mise en service de stations émetteurs-récepteurs de base (BTS) pour les signaux 5G. Les domaines d’intervention sont proposés par le ministère de l’industrie et du commerce au plus tard le 30 septembre 2021, en veillant à ce que les domaines d’intervention proposés ne soient pas couverts par les opérateurs de télécommunications fondés sur le marché au cours des trois années suivantes. Le résultat des appels d’offres est publié au plus tard le 31 décembre 2024.</w:t>
      </w:r>
    </w:p>
    <w:p w14:paraId="36D50966" w14:textId="77777777" w:rsidR="00025543" w:rsidRDefault="007E3A2F">
      <w:pPr>
        <w:pStyle w:val="P68B1DB1-Normal13"/>
        <w:pBdr>
          <w:top w:val="nil"/>
          <w:left w:val="nil"/>
          <w:bottom w:val="nil"/>
          <w:right w:val="nil"/>
          <w:between w:val="nil"/>
        </w:pBdr>
        <w:spacing w:line="240" w:lineRule="auto"/>
        <w:jc w:val="both"/>
        <w:rPr>
          <w:noProof/>
        </w:rPr>
      </w:pPr>
      <w:r>
        <w:rPr>
          <w:noProof/>
        </w:rPr>
        <w:t xml:space="preserve">Grâce à la mise en œuvre des projets sélectionnés, le nombre de BTS sera augmenté de 120. </w:t>
      </w:r>
    </w:p>
    <w:p w14:paraId="25D65D1B" w14:textId="77777777" w:rsidR="00025543" w:rsidRDefault="007E3A2F">
      <w:pPr>
        <w:pStyle w:val="P68B1DB1-Normal13"/>
        <w:pBdr>
          <w:top w:val="nil"/>
          <w:left w:val="nil"/>
          <w:bottom w:val="nil"/>
          <w:right w:val="nil"/>
          <w:between w:val="nil"/>
        </w:pBdr>
        <w:spacing w:line="240" w:lineRule="auto"/>
        <w:jc w:val="both"/>
        <w:rPr>
          <w:noProof/>
        </w:rPr>
      </w:pPr>
      <w:r>
        <w:rPr>
          <w:noProof/>
        </w:rPr>
        <w:t xml:space="preserve">L’investissement est achevé au plus tard le 31 mars 2026. </w:t>
      </w:r>
    </w:p>
    <w:p w14:paraId="2BBEA07D" w14:textId="77777777" w:rsidR="00025543" w:rsidRDefault="007E3A2F">
      <w:pPr>
        <w:pStyle w:val="P68B1DB1-Normal7"/>
        <w:spacing w:line="240" w:lineRule="auto"/>
        <w:jc w:val="both"/>
        <w:rPr>
          <w:noProof/>
        </w:rPr>
      </w:pPr>
      <w:r>
        <w:rPr>
          <w:noProof/>
        </w:rPr>
        <w:t>Investissement 4: Activités de recherche scientifique liées au développement de réseaux et de services 5G</w:t>
      </w:r>
    </w:p>
    <w:p w14:paraId="4B1FA06B" w14:textId="77777777" w:rsidR="00025543" w:rsidRDefault="007E3A2F">
      <w:pPr>
        <w:spacing w:line="240" w:lineRule="auto"/>
        <w:jc w:val="both"/>
        <w:rPr>
          <w:noProof/>
        </w:rPr>
      </w:pPr>
      <w:r>
        <w:rPr>
          <w:noProof/>
        </w:rPr>
        <w:t xml:space="preserve">Cette mesure vise à soutenir les entités publiques et privées dans la </w:t>
      </w:r>
      <w:r>
        <w:rPr>
          <w:rFonts w:eastAsia="Times New Roman"/>
          <w:noProof/>
        </w:rPr>
        <w:t xml:space="preserve">recherche, le développement et l’innovation </w:t>
      </w:r>
      <w:r>
        <w:rPr>
          <w:noProof/>
        </w:rPr>
        <w:t>liés aux réseaux et services 5G.</w:t>
      </w:r>
    </w:p>
    <w:p w14:paraId="175A0DE1" w14:textId="3F676F56" w:rsidR="00025543" w:rsidRDefault="007E3A2F">
      <w:pPr>
        <w:spacing w:line="240" w:lineRule="auto"/>
        <w:jc w:val="both"/>
        <w:rPr>
          <w:noProof/>
          <w:color w:val="000000"/>
          <w:sz w:val="22"/>
        </w:rPr>
      </w:pPr>
      <w:r>
        <w:rPr>
          <w:noProof/>
        </w:rPr>
        <w:t xml:space="preserve">Dans la poursuite de cet objectif, un appel d’offres pour des projets de recherche scientifique relatifs au développement technologique des réseaux 5G et des applications pour l’écosystème 5G sera lancé. Les projets sont axés sur l’utilisation d’applications 5G dans l’industrie et les services, en particulier l’exploitation des nouvelles technologies dans les processus de production de l’automobile et d’autres secteurs clés, en tenant compte des principes de l’économie circulaire par l’approvisionnement en matières premières secondaires. Le soutien est également axé sur des projets favorisant le développement et la diffusion de l’automatisation, de la robotisation, de l’intelligence artificielle et de la réalité virtuelle ou augmentée. Parmi les bénéficiaires potentiels figurent les entreprises ou les organismes publics de recherche. Les projets sont sélectionnés au plus tard le 31 décembre 2024. </w:t>
      </w:r>
      <w:r>
        <w:rPr>
          <w:noProof/>
          <w:color w:val="000000"/>
        </w:rPr>
        <w:t>Au cours de la phase de mise en œuvre suivante, au moins 22 des projets sélectionnés doivent être achevés.</w:t>
      </w:r>
    </w:p>
    <w:p w14:paraId="74D31E84" w14:textId="77777777" w:rsidR="00025543" w:rsidRDefault="007E3A2F">
      <w:pPr>
        <w:pStyle w:val="P68B1DB1-Normal13"/>
        <w:pBdr>
          <w:top w:val="nil"/>
          <w:left w:val="nil"/>
          <w:bottom w:val="nil"/>
          <w:right w:val="nil"/>
          <w:between w:val="nil"/>
        </w:pBdr>
        <w:spacing w:line="240" w:lineRule="auto"/>
        <w:jc w:val="both"/>
        <w:rPr>
          <w:noProof/>
        </w:rPr>
      </w:pPr>
      <w:r>
        <w:rPr>
          <w:noProof/>
        </w:rPr>
        <w:t xml:space="preserve">L’investissement est achevé au plus tard le 31 décembre 2025. </w:t>
      </w:r>
    </w:p>
    <w:p w14:paraId="6246AD7B" w14:textId="77777777" w:rsidR="00025543" w:rsidRDefault="00025543">
      <w:pPr>
        <w:pBdr>
          <w:top w:val="nil"/>
          <w:left w:val="nil"/>
          <w:bottom w:val="nil"/>
          <w:right w:val="nil"/>
          <w:between w:val="nil"/>
        </w:pBdr>
        <w:spacing w:line="240" w:lineRule="auto"/>
        <w:rPr>
          <w:b/>
          <w:noProof/>
          <w:u w:val="single"/>
        </w:rPr>
        <w:sectPr w:rsidR="00025543" w:rsidSect="00F6585C">
          <w:headerReference w:type="even" r:id="rId66"/>
          <w:headerReference w:type="default" r:id="rId67"/>
          <w:footerReference w:type="even" r:id="rId68"/>
          <w:footerReference w:type="default" r:id="rId69"/>
          <w:headerReference w:type="first" r:id="rId70"/>
          <w:footerReference w:type="first" r:id="rId71"/>
          <w:pgSz w:w="11907" w:h="16839"/>
          <w:pgMar w:top="1134" w:right="1134" w:bottom="1134" w:left="1134" w:header="567" w:footer="567" w:gutter="0"/>
          <w:cols w:space="720"/>
          <w:docGrid w:linePitch="360"/>
        </w:sectPr>
      </w:pPr>
    </w:p>
    <w:p w14:paraId="054AD902" w14:textId="7E26FB8C" w:rsidR="00025543" w:rsidRDefault="007E3A2F">
      <w:pPr>
        <w:pStyle w:val="P68B1DB1-Normal5"/>
        <w:pBdr>
          <w:top w:val="nil"/>
          <w:left w:val="nil"/>
          <w:bottom w:val="nil"/>
          <w:right w:val="nil"/>
          <w:between w:val="nil"/>
        </w:pBdr>
        <w:spacing w:line="240" w:lineRule="auto"/>
        <w:rPr>
          <w:noProof/>
        </w:rPr>
      </w:pPr>
      <w:r>
        <w:rPr>
          <w:noProof/>
        </w:rPr>
        <w:t xml:space="preserve">C.2. Jalons, cibles, indicateurs et calendrier de suivi et de mise en œuvre en vue du soutien financier non remboursable </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18"/>
        <w:gridCol w:w="1290"/>
        <w:gridCol w:w="1073"/>
        <w:gridCol w:w="1510"/>
        <w:gridCol w:w="1141"/>
        <w:gridCol w:w="1412"/>
        <w:gridCol w:w="1017"/>
        <w:gridCol w:w="1017"/>
        <w:gridCol w:w="860"/>
        <w:gridCol w:w="847"/>
        <w:gridCol w:w="3952"/>
      </w:tblGrid>
      <w:tr w:rsidR="00025543" w14:paraId="1A2BED2A" w14:textId="77777777">
        <w:trPr>
          <w:trHeight w:val="615"/>
          <w:tblHeader/>
          <w:jc w:val="center"/>
        </w:trPr>
        <w:tc>
          <w:tcPr>
            <w:tcW w:w="619" w:type="dxa"/>
            <w:vMerge w:val="restart"/>
            <w:shd w:val="clear" w:color="auto" w:fill="BDD7EE"/>
            <w:vAlign w:val="center"/>
          </w:tcPr>
          <w:p w14:paraId="2373E457" w14:textId="77777777" w:rsidR="00025543" w:rsidRDefault="007E3A2F">
            <w:pPr>
              <w:pStyle w:val="P68B1DB1-Normal9"/>
              <w:spacing w:line="240" w:lineRule="auto"/>
              <w:jc w:val="center"/>
              <w:rPr>
                <w:noProof/>
              </w:rPr>
            </w:pPr>
            <w:r>
              <w:rPr>
                <w:noProof/>
              </w:rPr>
              <w:t xml:space="preserve">Séquence NUM. </w:t>
            </w:r>
          </w:p>
        </w:tc>
        <w:tc>
          <w:tcPr>
            <w:tcW w:w="1295" w:type="dxa"/>
            <w:vMerge w:val="restart"/>
            <w:shd w:val="clear" w:color="auto" w:fill="BDD7EE"/>
            <w:vAlign w:val="center"/>
          </w:tcPr>
          <w:p w14:paraId="300BA371" w14:textId="77777777" w:rsidR="00025543" w:rsidRDefault="007E3A2F">
            <w:pPr>
              <w:pStyle w:val="P68B1DB1-Normal9"/>
              <w:spacing w:line="240" w:lineRule="auto"/>
              <w:jc w:val="center"/>
              <w:rPr>
                <w:noProof/>
              </w:rPr>
            </w:pPr>
            <w:r>
              <w:rPr>
                <w:noProof/>
              </w:rPr>
              <w:t xml:space="preserve">Mesure connexe (réforme ou investissement) </w:t>
            </w:r>
          </w:p>
        </w:tc>
        <w:tc>
          <w:tcPr>
            <w:tcW w:w="1077" w:type="dxa"/>
            <w:vMerge w:val="restart"/>
            <w:shd w:val="clear" w:color="auto" w:fill="BDD7EE"/>
            <w:vAlign w:val="center"/>
          </w:tcPr>
          <w:p w14:paraId="4989E49E" w14:textId="77777777" w:rsidR="00025543" w:rsidRDefault="007E3A2F">
            <w:pPr>
              <w:pStyle w:val="P68B1DB1-Normal9"/>
              <w:spacing w:line="240" w:lineRule="auto"/>
              <w:jc w:val="center"/>
              <w:rPr>
                <w:noProof/>
              </w:rPr>
            </w:pPr>
            <w:r>
              <w:rPr>
                <w:noProof/>
              </w:rPr>
              <w:t xml:space="preserve">Jalon/cible </w:t>
            </w:r>
          </w:p>
        </w:tc>
        <w:tc>
          <w:tcPr>
            <w:tcW w:w="1516" w:type="dxa"/>
            <w:vMerge w:val="restart"/>
            <w:shd w:val="clear" w:color="auto" w:fill="BDD7EE"/>
            <w:vAlign w:val="center"/>
          </w:tcPr>
          <w:p w14:paraId="4A144E93" w14:textId="77777777" w:rsidR="00025543" w:rsidRDefault="007E3A2F">
            <w:pPr>
              <w:pStyle w:val="P68B1DB1-Normal9"/>
              <w:spacing w:line="240" w:lineRule="auto"/>
              <w:jc w:val="center"/>
              <w:rPr>
                <w:noProof/>
              </w:rPr>
            </w:pPr>
            <w:r>
              <w:rPr>
                <w:noProof/>
              </w:rPr>
              <w:t>Nom</w:t>
            </w:r>
          </w:p>
        </w:tc>
        <w:tc>
          <w:tcPr>
            <w:tcW w:w="1145" w:type="dxa"/>
            <w:vMerge w:val="restart"/>
            <w:shd w:val="clear" w:color="auto" w:fill="BDD7EE"/>
            <w:vAlign w:val="center"/>
          </w:tcPr>
          <w:p w14:paraId="08173AB1" w14:textId="77777777" w:rsidR="00025543" w:rsidRDefault="007E3A2F">
            <w:pPr>
              <w:pStyle w:val="P68B1DB1-Normal12"/>
              <w:spacing w:line="240" w:lineRule="auto"/>
              <w:jc w:val="center"/>
              <w:rPr>
                <w:rFonts w:eastAsia="Times New Roman"/>
                <w:noProof/>
              </w:rPr>
            </w:pPr>
            <w:r>
              <w:rPr>
                <w:rFonts w:eastAsia="Times New Roman"/>
                <w:b/>
                <w:noProof/>
              </w:rPr>
              <w:t>Qualitatifs</w:t>
            </w:r>
            <w:r>
              <w:rPr>
                <w:noProof/>
              </w:rPr>
              <w:br/>
            </w:r>
            <w:r>
              <w:rPr>
                <w:rFonts w:eastAsia="Times New Roman"/>
                <w:b/>
                <w:noProof/>
              </w:rPr>
              <w:t xml:space="preserve"> (pour les jalons) </w:t>
            </w:r>
          </w:p>
        </w:tc>
        <w:tc>
          <w:tcPr>
            <w:tcW w:w="3459" w:type="dxa"/>
            <w:gridSpan w:val="3"/>
            <w:shd w:val="clear" w:color="auto" w:fill="BDD7EE"/>
            <w:vAlign w:val="center"/>
          </w:tcPr>
          <w:p w14:paraId="7E33513E" w14:textId="77777777" w:rsidR="00025543" w:rsidRDefault="007E3A2F">
            <w:pPr>
              <w:pStyle w:val="P68B1DB1-Normal12"/>
              <w:spacing w:line="240" w:lineRule="auto"/>
              <w:jc w:val="center"/>
              <w:rPr>
                <w:rFonts w:eastAsia="Times New Roman"/>
                <w:noProof/>
              </w:rPr>
            </w:pPr>
            <w:r>
              <w:rPr>
                <w:rFonts w:eastAsia="Times New Roman"/>
                <w:b/>
                <w:noProof/>
              </w:rPr>
              <w:t>Indicateurs quantitatifs</w:t>
            </w:r>
            <w:r>
              <w:rPr>
                <w:noProof/>
              </w:rPr>
              <w:br/>
            </w:r>
            <w:r>
              <w:rPr>
                <w:rFonts w:eastAsia="Times New Roman"/>
                <w:b/>
                <w:noProof/>
              </w:rPr>
              <w:t xml:space="preserve"> (pour les objectifs)</w:t>
            </w:r>
          </w:p>
        </w:tc>
        <w:tc>
          <w:tcPr>
            <w:tcW w:w="1713" w:type="dxa"/>
            <w:gridSpan w:val="2"/>
            <w:shd w:val="clear" w:color="auto" w:fill="BDD7EE"/>
            <w:vAlign w:val="center"/>
          </w:tcPr>
          <w:p w14:paraId="11C0B987" w14:textId="77777777" w:rsidR="00025543" w:rsidRDefault="007E3A2F">
            <w:pPr>
              <w:pStyle w:val="P68B1DB1-Normal9"/>
              <w:spacing w:line="240" w:lineRule="auto"/>
              <w:jc w:val="center"/>
              <w:rPr>
                <w:noProof/>
              </w:rPr>
            </w:pPr>
            <w:r>
              <w:rPr>
                <w:noProof/>
              </w:rPr>
              <w:t>Calendrier indicatif de réalisation</w:t>
            </w:r>
          </w:p>
        </w:tc>
        <w:tc>
          <w:tcPr>
            <w:tcW w:w="3969" w:type="dxa"/>
            <w:vMerge w:val="restart"/>
            <w:shd w:val="clear" w:color="auto" w:fill="BDD7EE"/>
            <w:vAlign w:val="center"/>
          </w:tcPr>
          <w:p w14:paraId="299A2937" w14:textId="77777777" w:rsidR="00025543" w:rsidRDefault="007E3A2F">
            <w:pPr>
              <w:pStyle w:val="P68B1DB1-Normal9"/>
              <w:spacing w:line="240" w:lineRule="auto"/>
              <w:jc w:val="center"/>
              <w:rPr>
                <w:noProof/>
              </w:rPr>
            </w:pPr>
            <w:r>
              <w:rPr>
                <w:noProof/>
              </w:rPr>
              <w:t>Description et définition claire de chaque jalon et cible</w:t>
            </w:r>
          </w:p>
        </w:tc>
      </w:tr>
      <w:tr w:rsidR="00025543" w14:paraId="19E721C6" w14:textId="77777777">
        <w:trPr>
          <w:trHeight w:val="159"/>
          <w:tblHeader/>
          <w:jc w:val="center"/>
        </w:trPr>
        <w:tc>
          <w:tcPr>
            <w:tcW w:w="619" w:type="dxa"/>
            <w:vMerge/>
            <w:vAlign w:val="center"/>
          </w:tcPr>
          <w:p w14:paraId="223610FE"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c>
          <w:tcPr>
            <w:tcW w:w="1295" w:type="dxa"/>
            <w:vMerge/>
            <w:vAlign w:val="center"/>
          </w:tcPr>
          <w:p w14:paraId="0F36A49D"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c>
          <w:tcPr>
            <w:tcW w:w="1077" w:type="dxa"/>
            <w:vMerge/>
            <w:vAlign w:val="center"/>
          </w:tcPr>
          <w:p w14:paraId="3E55C153"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c>
          <w:tcPr>
            <w:tcW w:w="1516" w:type="dxa"/>
            <w:vMerge/>
            <w:vAlign w:val="center"/>
          </w:tcPr>
          <w:p w14:paraId="7AE66005"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c>
          <w:tcPr>
            <w:tcW w:w="1145" w:type="dxa"/>
            <w:vMerge/>
            <w:vAlign w:val="center"/>
          </w:tcPr>
          <w:p w14:paraId="72FE9BF8"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c>
          <w:tcPr>
            <w:tcW w:w="1417" w:type="dxa"/>
            <w:shd w:val="clear" w:color="auto" w:fill="BDD7EE"/>
            <w:vAlign w:val="center"/>
          </w:tcPr>
          <w:p w14:paraId="2CB2788C" w14:textId="77777777" w:rsidR="00025543" w:rsidRDefault="007E3A2F">
            <w:pPr>
              <w:pStyle w:val="P68B1DB1-Normal9"/>
              <w:spacing w:line="240" w:lineRule="auto"/>
              <w:jc w:val="center"/>
              <w:rPr>
                <w:noProof/>
              </w:rPr>
            </w:pPr>
            <w:r>
              <w:rPr>
                <w:noProof/>
              </w:rPr>
              <w:t>Unité de mesure</w:t>
            </w:r>
          </w:p>
        </w:tc>
        <w:tc>
          <w:tcPr>
            <w:tcW w:w="1021" w:type="dxa"/>
            <w:shd w:val="clear" w:color="auto" w:fill="BDD7EE"/>
            <w:vAlign w:val="center"/>
          </w:tcPr>
          <w:p w14:paraId="55C76BA6" w14:textId="77777777" w:rsidR="00025543" w:rsidRDefault="007E3A2F">
            <w:pPr>
              <w:pStyle w:val="P68B1DB1-Normal9"/>
              <w:spacing w:line="240" w:lineRule="auto"/>
              <w:jc w:val="center"/>
              <w:rPr>
                <w:noProof/>
              </w:rPr>
            </w:pPr>
            <w:r>
              <w:rPr>
                <w:noProof/>
              </w:rPr>
              <w:t>Scénario de référence</w:t>
            </w:r>
          </w:p>
        </w:tc>
        <w:tc>
          <w:tcPr>
            <w:tcW w:w="1021" w:type="dxa"/>
            <w:shd w:val="clear" w:color="auto" w:fill="BDD7EE"/>
            <w:vAlign w:val="center"/>
          </w:tcPr>
          <w:p w14:paraId="5E79A282" w14:textId="77777777" w:rsidR="00025543" w:rsidRDefault="007E3A2F">
            <w:pPr>
              <w:pStyle w:val="P68B1DB1-Normal9"/>
              <w:spacing w:line="240" w:lineRule="auto"/>
              <w:jc w:val="center"/>
              <w:rPr>
                <w:noProof/>
              </w:rPr>
            </w:pPr>
            <w:r>
              <w:rPr>
                <w:noProof/>
              </w:rPr>
              <w:t>Objectif</w:t>
            </w:r>
          </w:p>
        </w:tc>
        <w:tc>
          <w:tcPr>
            <w:tcW w:w="863" w:type="dxa"/>
            <w:shd w:val="clear" w:color="auto" w:fill="BDD7EE"/>
            <w:vAlign w:val="center"/>
          </w:tcPr>
          <w:p w14:paraId="7B5C41F2" w14:textId="77777777" w:rsidR="00025543" w:rsidRDefault="007E3A2F">
            <w:pPr>
              <w:pStyle w:val="P68B1DB1-Normal9"/>
              <w:spacing w:line="240" w:lineRule="auto"/>
              <w:jc w:val="center"/>
              <w:rPr>
                <w:noProof/>
              </w:rPr>
            </w:pPr>
            <w:r>
              <w:rPr>
                <w:noProof/>
              </w:rPr>
              <w:t>Trimestre</w:t>
            </w:r>
          </w:p>
        </w:tc>
        <w:tc>
          <w:tcPr>
            <w:tcW w:w="850" w:type="dxa"/>
            <w:shd w:val="clear" w:color="auto" w:fill="BDD7EE"/>
            <w:vAlign w:val="center"/>
          </w:tcPr>
          <w:p w14:paraId="1D5AD043" w14:textId="77777777" w:rsidR="00025543" w:rsidRDefault="007E3A2F">
            <w:pPr>
              <w:pStyle w:val="P68B1DB1-Normal9"/>
              <w:spacing w:line="240" w:lineRule="auto"/>
              <w:jc w:val="center"/>
              <w:rPr>
                <w:noProof/>
              </w:rPr>
            </w:pPr>
            <w:r>
              <w:rPr>
                <w:noProof/>
              </w:rPr>
              <w:t>Année</w:t>
            </w:r>
          </w:p>
        </w:tc>
        <w:tc>
          <w:tcPr>
            <w:tcW w:w="3969" w:type="dxa"/>
            <w:vMerge/>
            <w:vAlign w:val="center"/>
          </w:tcPr>
          <w:p w14:paraId="3FF44AD2"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r>
      <w:tr w:rsidR="00025543" w14:paraId="3C4D46C7" w14:textId="77777777">
        <w:trPr>
          <w:trHeight w:val="945"/>
          <w:jc w:val="center"/>
        </w:trPr>
        <w:tc>
          <w:tcPr>
            <w:tcW w:w="619" w:type="dxa"/>
            <w:shd w:val="clear" w:color="auto" w:fill="C6EFCE"/>
            <w:vAlign w:val="center"/>
          </w:tcPr>
          <w:p w14:paraId="53076758" w14:textId="77777777" w:rsidR="00025543" w:rsidRDefault="007E3A2F">
            <w:pPr>
              <w:pStyle w:val="P68B1DB1-Normal15"/>
              <w:spacing w:line="240" w:lineRule="auto"/>
              <w:jc w:val="center"/>
              <w:rPr>
                <w:noProof/>
              </w:rPr>
            </w:pPr>
            <w:r>
              <w:rPr>
                <w:noProof/>
              </w:rPr>
              <w:t>32</w:t>
            </w:r>
          </w:p>
        </w:tc>
        <w:tc>
          <w:tcPr>
            <w:tcW w:w="1295" w:type="dxa"/>
            <w:shd w:val="clear" w:color="auto" w:fill="C6EFCE"/>
            <w:vAlign w:val="center"/>
          </w:tcPr>
          <w:p w14:paraId="5E148092" w14:textId="638BB5A1" w:rsidR="00025543" w:rsidRDefault="007E3A2F">
            <w:pPr>
              <w:pStyle w:val="P68B1DB1-Normal15"/>
              <w:spacing w:line="240" w:lineRule="auto"/>
              <w:rPr>
                <w:noProof/>
                <w:color w:val="006100"/>
              </w:rPr>
            </w:pPr>
            <w:r>
              <w:rPr>
                <w:noProof/>
              </w:rPr>
              <w:t>Réforme 1: Amélioration de l’environnement pour le déploiement des réseaux de communications électroniques </w:t>
            </w:r>
          </w:p>
        </w:tc>
        <w:tc>
          <w:tcPr>
            <w:tcW w:w="1077" w:type="dxa"/>
            <w:shd w:val="clear" w:color="auto" w:fill="C6EFCE"/>
            <w:vAlign w:val="center"/>
          </w:tcPr>
          <w:p w14:paraId="53954691" w14:textId="77777777" w:rsidR="00025543" w:rsidRDefault="007E3A2F">
            <w:pPr>
              <w:pStyle w:val="P68B1DB1-Normal15"/>
              <w:spacing w:line="240" w:lineRule="auto"/>
              <w:rPr>
                <w:noProof/>
                <w:color w:val="006100"/>
              </w:rPr>
            </w:pPr>
            <w:r>
              <w:rPr>
                <w:noProof/>
              </w:rPr>
              <w:t>Étapes </w:t>
            </w:r>
          </w:p>
        </w:tc>
        <w:tc>
          <w:tcPr>
            <w:tcW w:w="1516" w:type="dxa"/>
            <w:shd w:val="clear" w:color="auto" w:fill="C6EFCE"/>
            <w:vAlign w:val="center"/>
          </w:tcPr>
          <w:p w14:paraId="20C1073D" w14:textId="77777777" w:rsidR="00025543" w:rsidRDefault="007E3A2F">
            <w:pPr>
              <w:pStyle w:val="P68B1DB1-Normal15"/>
              <w:spacing w:line="240" w:lineRule="auto"/>
              <w:rPr>
                <w:noProof/>
                <w:color w:val="006100"/>
              </w:rPr>
            </w:pPr>
            <w:r>
              <w:rPr>
                <w:noProof/>
              </w:rPr>
              <w:t>Entrée en vigueur des mesures préparées par le ministère de l’industrie et du commerce en vue d’établir une base de données des plans de projets d’investissement et d’augmenter le nombre de mesures de la qualité du réseau </w:t>
            </w:r>
          </w:p>
        </w:tc>
        <w:tc>
          <w:tcPr>
            <w:tcW w:w="1145" w:type="dxa"/>
            <w:shd w:val="clear" w:color="auto" w:fill="C6EFCE"/>
            <w:vAlign w:val="center"/>
          </w:tcPr>
          <w:p w14:paraId="283F6B7B" w14:textId="77777777" w:rsidR="00025543" w:rsidRDefault="007E3A2F">
            <w:pPr>
              <w:pStyle w:val="P68B1DB1-Normal15"/>
              <w:spacing w:line="240" w:lineRule="auto"/>
              <w:rPr>
                <w:noProof/>
                <w:color w:val="006100"/>
              </w:rPr>
            </w:pPr>
            <w:r>
              <w:rPr>
                <w:noProof/>
              </w:rPr>
              <w:t>Disposition des actes indiquant l’entrée en vigueur </w:t>
            </w:r>
          </w:p>
        </w:tc>
        <w:tc>
          <w:tcPr>
            <w:tcW w:w="1417" w:type="dxa"/>
            <w:shd w:val="clear" w:color="auto" w:fill="C6EFCE"/>
            <w:vAlign w:val="center"/>
          </w:tcPr>
          <w:p w14:paraId="240B09A1" w14:textId="77777777" w:rsidR="00025543" w:rsidRDefault="00025543">
            <w:pPr>
              <w:spacing w:line="240" w:lineRule="auto"/>
              <w:rPr>
                <w:rFonts w:eastAsia="Times New Roman"/>
                <w:noProof/>
                <w:color w:val="006100"/>
                <w:sz w:val="18"/>
              </w:rPr>
            </w:pPr>
          </w:p>
        </w:tc>
        <w:tc>
          <w:tcPr>
            <w:tcW w:w="1021" w:type="dxa"/>
            <w:shd w:val="clear" w:color="auto" w:fill="C6EFCE"/>
            <w:vAlign w:val="center"/>
          </w:tcPr>
          <w:p w14:paraId="567D24F4" w14:textId="77777777" w:rsidR="00025543" w:rsidRDefault="00025543">
            <w:pPr>
              <w:spacing w:line="240" w:lineRule="auto"/>
              <w:rPr>
                <w:rFonts w:eastAsia="Times New Roman"/>
                <w:noProof/>
                <w:color w:val="006100"/>
                <w:sz w:val="18"/>
              </w:rPr>
            </w:pPr>
          </w:p>
        </w:tc>
        <w:tc>
          <w:tcPr>
            <w:tcW w:w="1021" w:type="dxa"/>
            <w:shd w:val="clear" w:color="auto" w:fill="C6EFCE"/>
            <w:vAlign w:val="center"/>
          </w:tcPr>
          <w:p w14:paraId="19FF78B6" w14:textId="77777777" w:rsidR="00025543" w:rsidRDefault="00025543">
            <w:pPr>
              <w:spacing w:line="240" w:lineRule="auto"/>
              <w:rPr>
                <w:rFonts w:eastAsia="Times New Roman"/>
                <w:noProof/>
                <w:color w:val="006100"/>
                <w:sz w:val="18"/>
              </w:rPr>
            </w:pPr>
          </w:p>
        </w:tc>
        <w:tc>
          <w:tcPr>
            <w:tcW w:w="863" w:type="dxa"/>
            <w:shd w:val="clear" w:color="auto" w:fill="C6EFCE"/>
            <w:vAlign w:val="center"/>
          </w:tcPr>
          <w:p w14:paraId="78C6B04F" w14:textId="77777777" w:rsidR="00025543" w:rsidRDefault="007E3A2F">
            <w:pPr>
              <w:pStyle w:val="P68B1DB1-Normal15"/>
              <w:spacing w:line="240" w:lineRule="auto"/>
              <w:jc w:val="center"/>
              <w:rPr>
                <w:noProof/>
                <w:color w:val="006100"/>
              </w:rPr>
            </w:pPr>
            <w:r>
              <w:rPr>
                <w:noProof/>
              </w:rPr>
              <w:t>TRIMESTRE 2 </w:t>
            </w:r>
          </w:p>
        </w:tc>
        <w:tc>
          <w:tcPr>
            <w:tcW w:w="850" w:type="dxa"/>
            <w:shd w:val="clear" w:color="auto" w:fill="C6EFCE"/>
            <w:vAlign w:val="center"/>
          </w:tcPr>
          <w:p w14:paraId="7966D0DD" w14:textId="2BDE4505" w:rsidR="00025543" w:rsidRDefault="007E3A2F">
            <w:pPr>
              <w:pStyle w:val="P68B1DB1-Normal15"/>
              <w:spacing w:line="240" w:lineRule="auto"/>
              <w:jc w:val="center"/>
              <w:rPr>
                <w:noProof/>
                <w:color w:val="006100"/>
              </w:rPr>
            </w:pPr>
            <w:r>
              <w:rPr>
                <w:noProof/>
              </w:rPr>
              <w:t>2023 </w:t>
            </w:r>
          </w:p>
        </w:tc>
        <w:tc>
          <w:tcPr>
            <w:tcW w:w="3969" w:type="dxa"/>
            <w:shd w:val="clear" w:color="auto" w:fill="C6EFCE"/>
            <w:vAlign w:val="center"/>
          </w:tcPr>
          <w:p w14:paraId="7867AC63" w14:textId="1803640C" w:rsidR="00025543" w:rsidRDefault="007E3A2F">
            <w:pPr>
              <w:pStyle w:val="P68B1DB1-Normal15"/>
              <w:spacing w:line="240" w:lineRule="auto"/>
              <w:rPr>
                <w:noProof/>
              </w:rPr>
            </w:pPr>
            <w:r>
              <w:rPr>
                <w:noProof/>
              </w:rPr>
              <w:t>Les adaptations législatives nécessaires entrent en vigueur et les spécifications techniques sont achevées, tant pour établir des bases de données des intentions de projets d’investissement au sens de la loi no 194/2017 Rec., paragraphes 11 et 2, que pour augmenter le nombre de mesures de la qualité des réseaux de communications électroniques. Le régulateur national mène des procédures d’appel d’offres et achète les équipements nécessaires. La qualité et la facilité d’utilisation des informations fournies doivent être conformes aux paramètres techniques contraignants.</w:t>
            </w:r>
          </w:p>
        </w:tc>
      </w:tr>
      <w:tr w:rsidR="00025543" w14:paraId="3BD5E740" w14:textId="77777777">
        <w:trPr>
          <w:trHeight w:val="945"/>
          <w:jc w:val="center"/>
        </w:trPr>
        <w:tc>
          <w:tcPr>
            <w:tcW w:w="619" w:type="dxa"/>
            <w:shd w:val="clear" w:color="auto" w:fill="C6EFCE"/>
            <w:vAlign w:val="center"/>
          </w:tcPr>
          <w:p w14:paraId="7BA12106" w14:textId="77777777" w:rsidR="00025543" w:rsidRDefault="007E3A2F">
            <w:pPr>
              <w:pStyle w:val="P68B1DB1-Normal15"/>
              <w:spacing w:line="240" w:lineRule="auto"/>
              <w:jc w:val="center"/>
              <w:rPr>
                <w:noProof/>
              </w:rPr>
            </w:pPr>
            <w:r>
              <w:rPr>
                <w:noProof/>
              </w:rPr>
              <w:t>33</w:t>
            </w:r>
          </w:p>
        </w:tc>
        <w:tc>
          <w:tcPr>
            <w:tcW w:w="1295" w:type="dxa"/>
            <w:shd w:val="clear" w:color="auto" w:fill="C6EFCE"/>
            <w:vAlign w:val="center"/>
          </w:tcPr>
          <w:p w14:paraId="6F7CD01F" w14:textId="77777777" w:rsidR="00025543" w:rsidRDefault="007E3A2F">
            <w:pPr>
              <w:pStyle w:val="P68B1DB1-Normal15"/>
              <w:spacing w:line="240" w:lineRule="auto"/>
              <w:rPr>
                <w:noProof/>
                <w:color w:val="006100"/>
              </w:rPr>
            </w:pPr>
            <w:r>
              <w:rPr>
                <w:noProof/>
              </w:rPr>
              <w:t>Réforme 1: Amélioration de l’environnement pour le déploiement des réseaux de communications électroniques </w:t>
            </w:r>
          </w:p>
        </w:tc>
        <w:tc>
          <w:tcPr>
            <w:tcW w:w="1077" w:type="dxa"/>
            <w:shd w:val="clear" w:color="auto" w:fill="C6EFCE"/>
            <w:vAlign w:val="center"/>
          </w:tcPr>
          <w:p w14:paraId="224939AA" w14:textId="77777777" w:rsidR="00025543" w:rsidRDefault="007E3A2F">
            <w:pPr>
              <w:pStyle w:val="P68B1DB1-Normal15"/>
              <w:spacing w:line="240" w:lineRule="auto"/>
              <w:rPr>
                <w:noProof/>
                <w:color w:val="006100"/>
              </w:rPr>
            </w:pPr>
            <w:r>
              <w:rPr>
                <w:noProof/>
              </w:rPr>
              <w:t>Cible </w:t>
            </w:r>
          </w:p>
        </w:tc>
        <w:tc>
          <w:tcPr>
            <w:tcW w:w="1516" w:type="dxa"/>
            <w:shd w:val="clear" w:color="auto" w:fill="C6EFCE"/>
            <w:vAlign w:val="center"/>
          </w:tcPr>
          <w:p w14:paraId="6E35E0BC" w14:textId="77777777" w:rsidR="00025543" w:rsidRDefault="007E3A2F">
            <w:pPr>
              <w:pStyle w:val="P68B1DB1-Normal15"/>
              <w:spacing w:line="240" w:lineRule="auto"/>
              <w:rPr>
                <w:noProof/>
                <w:color w:val="006100"/>
              </w:rPr>
            </w:pPr>
            <w:r>
              <w:rPr>
                <w:noProof/>
              </w:rPr>
              <w:t xml:space="preserve">Réalisation des objets de cartes techniques numériques (DTM) pour la situation spatiale de base </w:t>
            </w:r>
          </w:p>
        </w:tc>
        <w:tc>
          <w:tcPr>
            <w:tcW w:w="1145" w:type="dxa"/>
            <w:shd w:val="clear" w:color="auto" w:fill="C6EFCE"/>
            <w:vAlign w:val="center"/>
          </w:tcPr>
          <w:p w14:paraId="23FB6C0F" w14:textId="77777777" w:rsidR="00025543" w:rsidRDefault="00025543">
            <w:pPr>
              <w:spacing w:line="240" w:lineRule="auto"/>
              <w:rPr>
                <w:rFonts w:eastAsia="Times New Roman"/>
                <w:noProof/>
                <w:color w:val="006100"/>
                <w:sz w:val="18"/>
              </w:rPr>
            </w:pPr>
          </w:p>
        </w:tc>
        <w:tc>
          <w:tcPr>
            <w:tcW w:w="1417" w:type="dxa"/>
            <w:shd w:val="clear" w:color="auto" w:fill="C6EFCE"/>
            <w:vAlign w:val="center"/>
          </w:tcPr>
          <w:p w14:paraId="7F6D3451" w14:textId="77777777" w:rsidR="00025543" w:rsidRDefault="007E3A2F">
            <w:pPr>
              <w:pStyle w:val="P68B1DB1-Normal15"/>
              <w:spacing w:line="240" w:lineRule="auto"/>
              <w:rPr>
                <w:noProof/>
                <w:color w:val="006100"/>
              </w:rPr>
            </w:pPr>
            <w:r>
              <w:rPr>
                <w:noProof/>
              </w:rPr>
              <w:t>Hectares </w:t>
            </w:r>
          </w:p>
        </w:tc>
        <w:tc>
          <w:tcPr>
            <w:tcW w:w="1021" w:type="dxa"/>
            <w:shd w:val="clear" w:color="auto" w:fill="C6EFCE"/>
            <w:vAlign w:val="center"/>
          </w:tcPr>
          <w:p w14:paraId="1B7D0276" w14:textId="77777777" w:rsidR="00025543" w:rsidRDefault="007E3A2F">
            <w:pPr>
              <w:pStyle w:val="P68B1DB1-Normal15"/>
              <w:spacing w:line="240" w:lineRule="auto"/>
              <w:jc w:val="center"/>
              <w:rPr>
                <w:noProof/>
                <w:color w:val="006100"/>
              </w:rPr>
            </w:pPr>
            <w:r>
              <w:rPr>
                <w:noProof/>
              </w:rPr>
              <w:t>0</w:t>
            </w:r>
          </w:p>
        </w:tc>
        <w:tc>
          <w:tcPr>
            <w:tcW w:w="1021" w:type="dxa"/>
            <w:shd w:val="clear" w:color="auto" w:fill="C6EFCE"/>
            <w:vAlign w:val="center"/>
          </w:tcPr>
          <w:p w14:paraId="25D4263C" w14:textId="77777777" w:rsidR="00025543" w:rsidRDefault="007E3A2F">
            <w:pPr>
              <w:pStyle w:val="P68B1DB1-Normal15"/>
              <w:spacing w:line="240" w:lineRule="auto"/>
              <w:jc w:val="center"/>
              <w:rPr>
                <w:noProof/>
                <w:color w:val="006100"/>
              </w:rPr>
            </w:pPr>
            <w:r>
              <w:rPr>
                <w:noProof/>
              </w:rPr>
              <w:t>161 000</w:t>
            </w:r>
          </w:p>
        </w:tc>
        <w:tc>
          <w:tcPr>
            <w:tcW w:w="863" w:type="dxa"/>
            <w:shd w:val="clear" w:color="auto" w:fill="C6EFCE"/>
            <w:vAlign w:val="center"/>
          </w:tcPr>
          <w:p w14:paraId="56CB9C92" w14:textId="77777777" w:rsidR="00025543" w:rsidRDefault="007E3A2F">
            <w:pPr>
              <w:pStyle w:val="P68B1DB1-Normal15"/>
              <w:spacing w:line="240" w:lineRule="auto"/>
              <w:jc w:val="center"/>
              <w:rPr>
                <w:noProof/>
                <w:color w:val="006100"/>
              </w:rPr>
            </w:pPr>
            <w:r>
              <w:rPr>
                <w:noProof/>
              </w:rPr>
              <w:t>TRIMESTRE 4 </w:t>
            </w:r>
          </w:p>
        </w:tc>
        <w:tc>
          <w:tcPr>
            <w:tcW w:w="850" w:type="dxa"/>
            <w:shd w:val="clear" w:color="auto" w:fill="C6EFCE"/>
            <w:vAlign w:val="center"/>
          </w:tcPr>
          <w:p w14:paraId="5C425F89" w14:textId="77777777" w:rsidR="00025543" w:rsidRDefault="007E3A2F">
            <w:pPr>
              <w:pStyle w:val="P68B1DB1-Normal15"/>
              <w:spacing w:line="240" w:lineRule="auto"/>
              <w:jc w:val="center"/>
              <w:rPr>
                <w:noProof/>
                <w:color w:val="006100"/>
              </w:rPr>
            </w:pPr>
            <w:r>
              <w:rPr>
                <w:noProof/>
              </w:rPr>
              <w:t>2025 </w:t>
            </w:r>
          </w:p>
        </w:tc>
        <w:tc>
          <w:tcPr>
            <w:tcW w:w="3969" w:type="dxa"/>
            <w:shd w:val="clear" w:color="auto" w:fill="C6EFCE"/>
            <w:vAlign w:val="center"/>
          </w:tcPr>
          <w:p w14:paraId="7957E415" w14:textId="77777777" w:rsidR="00025543" w:rsidRDefault="007E3A2F">
            <w:pPr>
              <w:pStyle w:val="P68B1DB1-Normal15"/>
              <w:spacing w:line="240" w:lineRule="auto"/>
              <w:rPr>
                <w:noProof/>
              </w:rPr>
            </w:pPr>
            <w:r>
              <w:rPr>
                <w:noProof/>
              </w:rPr>
              <w:t xml:space="preserve">Les objets de cartes techniques numériques (DTM) doivent être complétés, ce qui permet d’accéder à des informations de localisation précises sur les objets de situation géographique de base appartenant à des organismes publics et privés. 161 000 ha d’objets de situation géographique de base doivent être numérisés. Les objets DTM qui en résultent sont accessibles au public. </w:t>
            </w:r>
          </w:p>
        </w:tc>
      </w:tr>
      <w:tr w:rsidR="00025543" w14:paraId="1105512B" w14:textId="77777777">
        <w:trPr>
          <w:trHeight w:val="945"/>
          <w:jc w:val="center"/>
        </w:trPr>
        <w:tc>
          <w:tcPr>
            <w:tcW w:w="619" w:type="dxa"/>
            <w:shd w:val="clear" w:color="auto" w:fill="C6EFCE"/>
            <w:vAlign w:val="center"/>
          </w:tcPr>
          <w:p w14:paraId="18155234" w14:textId="77777777" w:rsidR="00025543" w:rsidRDefault="007E3A2F">
            <w:pPr>
              <w:pStyle w:val="P68B1DB1-Normal15"/>
              <w:spacing w:line="240" w:lineRule="auto"/>
              <w:jc w:val="center"/>
              <w:rPr>
                <w:noProof/>
                <w:color w:val="006100"/>
              </w:rPr>
            </w:pPr>
            <w:r>
              <w:rPr>
                <w:noProof/>
              </w:rPr>
              <w:t>34 </w:t>
            </w:r>
          </w:p>
        </w:tc>
        <w:tc>
          <w:tcPr>
            <w:tcW w:w="1295" w:type="dxa"/>
            <w:shd w:val="clear" w:color="auto" w:fill="C6EFCE"/>
            <w:vAlign w:val="center"/>
          </w:tcPr>
          <w:p w14:paraId="04FF411A" w14:textId="77777777" w:rsidR="00025543" w:rsidRDefault="007E3A2F">
            <w:pPr>
              <w:pStyle w:val="P68B1DB1-Normal15"/>
              <w:spacing w:line="240" w:lineRule="auto"/>
              <w:rPr>
                <w:noProof/>
                <w:color w:val="006100"/>
              </w:rPr>
            </w:pPr>
            <w:r>
              <w:rPr>
                <w:noProof/>
              </w:rPr>
              <w:t>Réforme 1: Amélioration de l’environnement pour le déploiement des réseaux de communications électroniques </w:t>
            </w:r>
          </w:p>
        </w:tc>
        <w:tc>
          <w:tcPr>
            <w:tcW w:w="1077" w:type="dxa"/>
            <w:shd w:val="clear" w:color="auto" w:fill="C6EFCE"/>
            <w:vAlign w:val="center"/>
          </w:tcPr>
          <w:p w14:paraId="4F713C5D" w14:textId="77777777" w:rsidR="00025543" w:rsidRDefault="007E3A2F">
            <w:pPr>
              <w:pStyle w:val="P68B1DB1-Normal15"/>
              <w:spacing w:line="240" w:lineRule="auto"/>
              <w:rPr>
                <w:noProof/>
                <w:color w:val="006100"/>
              </w:rPr>
            </w:pPr>
            <w:r>
              <w:rPr>
                <w:noProof/>
              </w:rPr>
              <w:t>Cible </w:t>
            </w:r>
          </w:p>
        </w:tc>
        <w:tc>
          <w:tcPr>
            <w:tcW w:w="1516" w:type="dxa"/>
            <w:shd w:val="clear" w:color="auto" w:fill="C6EFCE"/>
            <w:vAlign w:val="center"/>
          </w:tcPr>
          <w:p w14:paraId="4625A549" w14:textId="77777777" w:rsidR="00025543" w:rsidRDefault="007E3A2F">
            <w:pPr>
              <w:pStyle w:val="P68B1DB1-Normal15"/>
              <w:spacing w:line="240" w:lineRule="auto"/>
              <w:rPr>
                <w:noProof/>
                <w:color w:val="006100"/>
              </w:rPr>
            </w:pPr>
            <w:r>
              <w:rPr>
                <w:noProof/>
              </w:rPr>
              <w:t>Achèvement des cartes techniques numériques (DTM) pour les réseaux de transport et d’infrastructure technique</w:t>
            </w:r>
          </w:p>
        </w:tc>
        <w:tc>
          <w:tcPr>
            <w:tcW w:w="1145" w:type="dxa"/>
            <w:shd w:val="clear" w:color="auto" w:fill="C6EFCE"/>
            <w:vAlign w:val="center"/>
          </w:tcPr>
          <w:p w14:paraId="2D42B1C5" w14:textId="77777777" w:rsidR="00025543" w:rsidRDefault="00025543">
            <w:pPr>
              <w:spacing w:line="240" w:lineRule="auto"/>
              <w:rPr>
                <w:rFonts w:eastAsia="Times New Roman"/>
                <w:noProof/>
                <w:color w:val="006100"/>
                <w:sz w:val="18"/>
              </w:rPr>
            </w:pPr>
          </w:p>
        </w:tc>
        <w:tc>
          <w:tcPr>
            <w:tcW w:w="1417" w:type="dxa"/>
            <w:shd w:val="clear" w:color="auto" w:fill="C6EFCE"/>
            <w:vAlign w:val="center"/>
          </w:tcPr>
          <w:p w14:paraId="72AA9AA5" w14:textId="77777777" w:rsidR="00025543" w:rsidRDefault="007E3A2F">
            <w:pPr>
              <w:pStyle w:val="P68B1DB1-Normal15"/>
              <w:spacing w:line="240" w:lineRule="auto"/>
              <w:rPr>
                <w:noProof/>
                <w:color w:val="006100"/>
              </w:rPr>
            </w:pPr>
            <w:r>
              <w:rPr>
                <w:noProof/>
              </w:rPr>
              <w:t>Kilomètres </w:t>
            </w:r>
          </w:p>
        </w:tc>
        <w:tc>
          <w:tcPr>
            <w:tcW w:w="1021" w:type="dxa"/>
            <w:shd w:val="clear" w:color="auto" w:fill="C6EFCE"/>
            <w:vAlign w:val="center"/>
          </w:tcPr>
          <w:p w14:paraId="15FBA21B" w14:textId="77777777" w:rsidR="00025543" w:rsidRDefault="007E3A2F">
            <w:pPr>
              <w:pStyle w:val="P68B1DB1-Normal15"/>
              <w:spacing w:line="240" w:lineRule="auto"/>
              <w:jc w:val="center"/>
              <w:rPr>
                <w:noProof/>
                <w:color w:val="006100"/>
              </w:rPr>
            </w:pPr>
            <w:r>
              <w:rPr>
                <w:noProof/>
              </w:rPr>
              <w:t>0</w:t>
            </w:r>
          </w:p>
        </w:tc>
        <w:tc>
          <w:tcPr>
            <w:tcW w:w="1021" w:type="dxa"/>
            <w:shd w:val="clear" w:color="auto" w:fill="C6EFCE"/>
            <w:vAlign w:val="center"/>
          </w:tcPr>
          <w:p w14:paraId="7186AA84" w14:textId="77777777" w:rsidR="00025543" w:rsidRDefault="007E3A2F">
            <w:pPr>
              <w:pStyle w:val="P68B1DB1-Normal15"/>
              <w:spacing w:line="240" w:lineRule="auto"/>
              <w:jc w:val="center"/>
              <w:rPr>
                <w:noProof/>
                <w:color w:val="006100"/>
              </w:rPr>
            </w:pPr>
            <w:r>
              <w:rPr>
                <w:noProof/>
              </w:rPr>
              <w:t>55 000 </w:t>
            </w:r>
          </w:p>
        </w:tc>
        <w:tc>
          <w:tcPr>
            <w:tcW w:w="863" w:type="dxa"/>
            <w:shd w:val="clear" w:color="auto" w:fill="C6EFCE"/>
            <w:vAlign w:val="center"/>
          </w:tcPr>
          <w:p w14:paraId="56487972" w14:textId="77777777" w:rsidR="00025543" w:rsidRDefault="007E3A2F">
            <w:pPr>
              <w:pStyle w:val="P68B1DB1-Normal15"/>
              <w:spacing w:line="240" w:lineRule="auto"/>
              <w:jc w:val="center"/>
              <w:rPr>
                <w:noProof/>
                <w:color w:val="006100"/>
              </w:rPr>
            </w:pPr>
            <w:r>
              <w:rPr>
                <w:noProof/>
              </w:rPr>
              <w:t>TRIMESTRE 4 </w:t>
            </w:r>
          </w:p>
        </w:tc>
        <w:tc>
          <w:tcPr>
            <w:tcW w:w="850" w:type="dxa"/>
            <w:shd w:val="clear" w:color="auto" w:fill="C6EFCE"/>
            <w:vAlign w:val="center"/>
          </w:tcPr>
          <w:p w14:paraId="3567EF0B" w14:textId="77777777" w:rsidR="00025543" w:rsidRDefault="007E3A2F">
            <w:pPr>
              <w:pStyle w:val="P68B1DB1-Normal15"/>
              <w:spacing w:line="240" w:lineRule="auto"/>
              <w:jc w:val="center"/>
              <w:rPr>
                <w:noProof/>
                <w:color w:val="006100"/>
              </w:rPr>
            </w:pPr>
            <w:r>
              <w:rPr>
                <w:noProof/>
              </w:rPr>
              <w:t>2025 </w:t>
            </w:r>
          </w:p>
        </w:tc>
        <w:tc>
          <w:tcPr>
            <w:tcW w:w="3969" w:type="dxa"/>
            <w:shd w:val="clear" w:color="auto" w:fill="C6EFCE"/>
            <w:vAlign w:val="center"/>
          </w:tcPr>
          <w:p w14:paraId="6F4A50A9" w14:textId="77777777" w:rsidR="00025543" w:rsidRDefault="007E3A2F">
            <w:pPr>
              <w:pStyle w:val="P68B1DB1-Normal15"/>
              <w:spacing w:line="240" w:lineRule="auto"/>
              <w:rPr>
                <w:noProof/>
              </w:rPr>
            </w:pPr>
            <w:r>
              <w:rPr>
                <w:noProof/>
              </w:rPr>
              <w:t>Les objets de cartes techniques numériques (DTM) sont complétés, ce qui permet d’accéder à des informations précises sur la localisation et les spécifications techniques des réseaux d’infrastructures physiques détenus par des organismes publics et privés. 55 000 km de réseaux de transport et d’infrastructures techniques sont numérisés. Les objets DTM qui en résultent sont accessibles au public.</w:t>
            </w:r>
          </w:p>
        </w:tc>
      </w:tr>
      <w:tr w:rsidR="00025543" w14:paraId="2134427E" w14:textId="77777777">
        <w:trPr>
          <w:trHeight w:val="945"/>
          <w:jc w:val="center"/>
        </w:trPr>
        <w:tc>
          <w:tcPr>
            <w:tcW w:w="619" w:type="dxa"/>
            <w:shd w:val="clear" w:color="auto" w:fill="C6EFCE"/>
            <w:vAlign w:val="center"/>
          </w:tcPr>
          <w:p w14:paraId="14079625" w14:textId="77777777" w:rsidR="00025543" w:rsidRDefault="007E3A2F">
            <w:pPr>
              <w:pStyle w:val="P68B1DB1-Normal15"/>
              <w:spacing w:line="240" w:lineRule="auto"/>
              <w:jc w:val="center"/>
              <w:rPr>
                <w:noProof/>
                <w:color w:val="006100"/>
              </w:rPr>
            </w:pPr>
            <w:r>
              <w:rPr>
                <w:noProof/>
              </w:rPr>
              <w:t>35 </w:t>
            </w:r>
          </w:p>
        </w:tc>
        <w:tc>
          <w:tcPr>
            <w:tcW w:w="1295" w:type="dxa"/>
            <w:shd w:val="clear" w:color="auto" w:fill="C6EFCE"/>
            <w:vAlign w:val="center"/>
          </w:tcPr>
          <w:p w14:paraId="0217D3C6" w14:textId="77777777" w:rsidR="00025543" w:rsidRDefault="007E3A2F">
            <w:pPr>
              <w:pStyle w:val="P68B1DB1-Normal15"/>
              <w:spacing w:line="240" w:lineRule="auto"/>
              <w:rPr>
                <w:noProof/>
                <w:color w:val="006100"/>
              </w:rPr>
            </w:pPr>
            <w:r>
              <w:rPr>
                <w:noProof/>
              </w:rPr>
              <w:t>Réforme 1: Amélioration de l’environnement pour le déploiement des réseaux de communications électroniques</w:t>
            </w:r>
          </w:p>
        </w:tc>
        <w:tc>
          <w:tcPr>
            <w:tcW w:w="1077" w:type="dxa"/>
            <w:shd w:val="clear" w:color="auto" w:fill="C6EFCE"/>
            <w:vAlign w:val="center"/>
          </w:tcPr>
          <w:p w14:paraId="67240D99" w14:textId="77777777" w:rsidR="00025543" w:rsidRDefault="007E3A2F">
            <w:pPr>
              <w:pStyle w:val="P68B1DB1-Normal15"/>
              <w:spacing w:line="240" w:lineRule="auto"/>
              <w:rPr>
                <w:noProof/>
                <w:color w:val="006100"/>
              </w:rPr>
            </w:pPr>
            <w:r>
              <w:rPr>
                <w:noProof/>
              </w:rPr>
              <w:t>Cible </w:t>
            </w:r>
          </w:p>
        </w:tc>
        <w:tc>
          <w:tcPr>
            <w:tcW w:w="1516" w:type="dxa"/>
            <w:shd w:val="clear" w:color="auto" w:fill="C6EFCE"/>
            <w:vAlign w:val="center"/>
          </w:tcPr>
          <w:p w14:paraId="6D2A890A" w14:textId="77777777" w:rsidR="00025543" w:rsidRDefault="007E3A2F">
            <w:pPr>
              <w:pStyle w:val="P68B1DB1-Normal15"/>
              <w:spacing w:line="240" w:lineRule="auto"/>
              <w:rPr>
                <w:noProof/>
                <w:color w:val="006100"/>
              </w:rPr>
            </w:pPr>
            <w:r>
              <w:rPr>
                <w:noProof/>
              </w:rPr>
              <w:t>Achèvement des mesures de la qualité des communications électroniques </w:t>
            </w:r>
          </w:p>
        </w:tc>
        <w:tc>
          <w:tcPr>
            <w:tcW w:w="1145" w:type="dxa"/>
            <w:shd w:val="clear" w:color="auto" w:fill="C6EFCE"/>
            <w:vAlign w:val="center"/>
          </w:tcPr>
          <w:p w14:paraId="13D8290A" w14:textId="77777777" w:rsidR="00025543" w:rsidRDefault="00025543">
            <w:pPr>
              <w:spacing w:line="240" w:lineRule="auto"/>
              <w:rPr>
                <w:rFonts w:eastAsia="Times New Roman"/>
                <w:noProof/>
                <w:color w:val="006100"/>
                <w:sz w:val="18"/>
              </w:rPr>
            </w:pPr>
          </w:p>
        </w:tc>
        <w:tc>
          <w:tcPr>
            <w:tcW w:w="1417" w:type="dxa"/>
            <w:shd w:val="clear" w:color="auto" w:fill="C6EFCE"/>
            <w:vAlign w:val="center"/>
          </w:tcPr>
          <w:p w14:paraId="66AB2764" w14:textId="77777777" w:rsidR="00025543" w:rsidRDefault="007E3A2F">
            <w:pPr>
              <w:pStyle w:val="P68B1DB1-Normal15"/>
              <w:spacing w:line="240" w:lineRule="auto"/>
              <w:rPr>
                <w:noProof/>
                <w:color w:val="006100"/>
              </w:rPr>
            </w:pPr>
            <w:r>
              <w:rPr>
                <w:noProof/>
              </w:rPr>
              <w:t>Numéro </w:t>
            </w:r>
          </w:p>
        </w:tc>
        <w:tc>
          <w:tcPr>
            <w:tcW w:w="1021" w:type="dxa"/>
            <w:shd w:val="clear" w:color="auto" w:fill="C6EFCE"/>
            <w:vAlign w:val="center"/>
          </w:tcPr>
          <w:p w14:paraId="4F132176" w14:textId="77777777" w:rsidR="00025543" w:rsidRDefault="007E3A2F">
            <w:pPr>
              <w:pStyle w:val="P68B1DB1-Normal11"/>
              <w:spacing w:line="240" w:lineRule="auto"/>
              <w:jc w:val="center"/>
              <w:rPr>
                <w:noProof/>
              </w:rPr>
            </w:pPr>
            <w:r>
              <w:rPr>
                <w:noProof/>
              </w:rPr>
              <w:t>0</w:t>
            </w:r>
          </w:p>
        </w:tc>
        <w:tc>
          <w:tcPr>
            <w:tcW w:w="1021" w:type="dxa"/>
            <w:shd w:val="clear" w:color="auto" w:fill="C6EFCE"/>
            <w:vAlign w:val="center"/>
          </w:tcPr>
          <w:p w14:paraId="2BF7888E" w14:textId="77777777" w:rsidR="00025543" w:rsidRDefault="007E3A2F">
            <w:pPr>
              <w:pStyle w:val="P68B1DB1-Normal11"/>
              <w:spacing w:line="259" w:lineRule="auto"/>
              <w:jc w:val="center"/>
              <w:rPr>
                <w:noProof/>
              </w:rPr>
            </w:pPr>
            <w:r>
              <w:rPr>
                <w:noProof/>
              </w:rPr>
              <w:t>77</w:t>
            </w:r>
          </w:p>
        </w:tc>
        <w:tc>
          <w:tcPr>
            <w:tcW w:w="863" w:type="dxa"/>
            <w:shd w:val="clear" w:color="auto" w:fill="C6EFCE"/>
            <w:vAlign w:val="center"/>
          </w:tcPr>
          <w:p w14:paraId="523E7D83" w14:textId="77777777" w:rsidR="00025543" w:rsidRDefault="007E3A2F">
            <w:pPr>
              <w:pStyle w:val="P68B1DB1-Normal15"/>
              <w:spacing w:line="240" w:lineRule="auto"/>
              <w:jc w:val="center"/>
              <w:rPr>
                <w:noProof/>
                <w:color w:val="006100"/>
              </w:rPr>
            </w:pPr>
            <w:r>
              <w:rPr>
                <w:noProof/>
              </w:rPr>
              <w:t>TRIMESTRE 4 </w:t>
            </w:r>
          </w:p>
        </w:tc>
        <w:tc>
          <w:tcPr>
            <w:tcW w:w="850" w:type="dxa"/>
            <w:shd w:val="clear" w:color="auto" w:fill="C6EFCE"/>
            <w:vAlign w:val="center"/>
          </w:tcPr>
          <w:p w14:paraId="4261E0D5" w14:textId="77777777" w:rsidR="00025543" w:rsidRDefault="007E3A2F">
            <w:pPr>
              <w:pStyle w:val="P68B1DB1-Normal15"/>
              <w:spacing w:line="240" w:lineRule="auto"/>
              <w:jc w:val="center"/>
              <w:rPr>
                <w:noProof/>
                <w:color w:val="006100"/>
              </w:rPr>
            </w:pPr>
            <w:r>
              <w:rPr>
                <w:noProof/>
              </w:rPr>
              <w:t>2025 </w:t>
            </w:r>
          </w:p>
        </w:tc>
        <w:tc>
          <w:tcPr>
            <w:tcW w:w="3969" w:type="dxa"/>
            <w:shd w:val="clear" w:color="auto" w:fill="C6EFCE"/>
            <w:vAlign w:val="center"/>
          </w:tcPr>
          <w:p w14:paraId="3FFB27D7" w14:textId="77777777" w:rsidR="00025543" w:rsidRDefault="007E3A2F">
            <w:pPr>
              <w:pStyle w:val="P68B1DB1-Normal15"/>
              <w:spacing w:line="240" w:lineRule="auto"/>
              <w:rPr>
                <w:noProof/>
                <w:color w:val="006100"/>
              </w:rPr>
            </w:pPr>
            <w:r>
              <w:rPr>
                <w:noProof/>
              </w:rPr>
              <w:t>La mesure de la qualité du réseau est achevée pour l’ensemble des 76 districts de Tchéquie et de la capitale.</w:t>
            </w:r>
          </w:p>
        </w:tc>
      </w:tr>
      <w:tr w:rsidR="00025543" w14:paraId="12F272C5" w14:textId="77777777">
        <w:trPr>
          <w:trHeight w:val="945"/>
          <w:jc w:val="center"/>
        </w:trPr>
        <w:tc>
          <w:tcPr>
            <w:tcW w:w="619" w:type="dxa"/>
            <w:shd w:val="clear" w:color="auto" w:fill="C6EFCE"/>
            <w:vAlign w:val="center"/>
          </w:tcPr>
          <w:p w14:paraId="6CE79803" w14:textId="77777777" w:rsidR="00025543" w:rsidRDefault="007E3A2F">
            <w:pPr>
              <w:pStyle w:val="P68B1DB1-Normal15"/>
              <w:spacing w:line="240" w:lineRule="auto"/>
              <w:jc w:val="center"/>
              <w:rPr>
                <w:noProof/>
                <w:color w:val="006100"/>
              </w:rPr>
            </w:pPr>
            <w:r>
              <w:rPr>
                <w:noProof/>
              </w:rPr>
              <w:t>36 </w:t>
            </w:r>
          </w:p>
        </w:tc>
        <w:tc>
          <w:tcPr>
            <w:tcW w:w="1295" w:type="dxa"/>
            <w:shd w:val="clear" w:color="auto" w:fill="C6EFCE"/>
            <w:vAlign w:val="center"/>
          </w:tcPr>
          <w:p w14:paraId="0BBFACCB" w14:textId="77777777" w:rsidR="00025543" w:rsidRDefault="007E3A2F">
            <w:pPr>
              <w:pStyle w:val="P68B1DB1-Normal15"/>
              <w:spacing w:line="240" w:lineRule="auto"/>
              <w:rPr>
                <w:noProof/>
                <w:color w:val="006100"/>
              </w:rPr>
            </w:pPr>
            <w:r>
              <w:rPr>
                <w:noProof/>
              </w:rPr>
              <w:t>Réforme 2: Soutenir le développement de l’écosystème 5G</w:t>
            </w:r>
          </w:p>
        </w:tc>
        <w:tc>
          <w:tcPr>
            <w:tcW w:w="1077" w:type="dxa"/>
            <w:shd w:val="clear" w:color="auto" w:fill="C6EFCE"/>
            <w:vAlign w:val="center"/>
          </w:tcPr>
          <w:p w14:paraId="5354AB68" w14:textId="77777777" w:rsidR="00025543" w:rsidRDefault="007E3A2F">
            <w:pPr>
              <w:pStyle w:val="P68B1DB1-Normal15"/>
              <w:spacing w:line="240" w:lineRule="auto"/>
              <w:rPr>
                <w:noProof/>
                <w:color w:val="006100"/>
              </w:rPr>
            </w:pPr>
            <w:r>
              <w:rPr>
                <w:noProof/>
              </w:rPr>
              <w:t>Cible </w:t>
            </w:r>
          </w:p>
        </w:tc>
        <w:tc>
          <w:tcPr>
            <w:tcW w:w="1516" w:type="dxa"/>
            <w:shd w:val="clear" w:color="auto" w:fill="C6EFCE"/>
            <w:vAlign w:val="center"/>
          </w:tcPr>
          <w:p w14:paraId="72408F71" w14:textId="77777777" w:rsidR="00025543" w:rsidRDefault="007E3A2F">
            <w:pPr>
              <w:pStyle w:val="P68B1DB1-Normal15"/>
              <w:spacing w:line="240" w:lineRule="auto"/>
              <w:rPr>
                <w:noProof/>
                <w:color w:val="006100"/>
              </w:rPr>
            </w:pPr>
            <w:r>
              <w:rPr>
                <w:noProof/>
              </w:rPr>
              <w:t>Publication d’études visant à améliorer le déploiement des réseaux 5G par le ministère de l’industrie et du commerce </w:t>
            </w:r>
          </w:p>
        </w:tc>
        <w:tc>
          <w:tcPr>
            <w:tcW w:w="1145" w:type="dxa"/>
            <w:shd w:val="clear" w:color="auto" w:fill="C6EFCE"/>
            <w:vAlign w:val="center"/>
          </w:tcPr>
          <w:p w14:paraId="31CBDA03" w14:textId="77777777" w:rsidR="00025543" w:rsidRDefault="00025543">
            <w:pPr>
              <w:spacing w:line="240" w:lineRule="auto"/>
              <w:rPr>
                <w:rFonts w:eastAsia="Times New Roman"/>
                <w:noProof/>
                <w:color w:val="006100"/>
                <w:sz w:val="18"/>
              </w:rPr>
            </w:pPr>
          </w:p>
        </w:tc>
        <w:tc>
          <w:tcPr>
            <w:tcW w:w="1417" w:type="dxa"/>
            <w:shd w:val="clear" w:color="auto" w:fill="C6EFCE"/>
            <w:vAlign w:val="center"/>
          </w:tcPr>
          <w:p w14:paraId="74777795" w14:textId="77777777" w:rsidR="00025543" w:rsidRDefault="007E3A2F">
            <w:pPr>
              <w:pStyle w:val="P68B1DB1-Normal15"/>
              <w:spacing w:line="240" w:lineRule="auto"/>
              <w:rPr>
                <w:noProof/>
                <w:color w:val="006100"/>
              </w:rPr>
            </w:pPr>
            <w:r>
              <w:rPr>
                <w:noProof/>
              </w:rPr>
              <w:t>Numéro </w:t>
            </w:r>
          </w:p>
        </w:tc>
        <w:tc>
          <w:tcPr>
            <w:tcW w:w="1021" w:type="dxa"/>
            <w:shd w:val="clear" w:color="auto" w:fill="C6EFCE"/>
            <w:vAlign w:val="center"/>
          </w:tcPr>
          <w:p w14:paraId="26338ECF" w14:textId="77777777" w:rsidR="00025543" w:rsidRDefault="007E3A2F">
            <w:pPr>
              <w:pStyle w:val="P68B1DB1-Normal11"/>
              <w:spacing w:line="240" w:lineRule="auto"/>
              <w:jc w:val="center"/>
              <w:rPr>
                <w:noProof/>
              </w:rPr>
            </w:pPr>
            <w:r>
              <w:rPr>
                <w:noProof/>
              </w:rPr>
              <w:t>0</w:t>
            </w:r>
          </w:p>
        </w:tc>
        <w:tc>
          <w:tcPr>
            <w:tcW w:w="1021" w:type="dxa"/>
            <w:shd w:val="clear" w:color="auto" w:fill="C6EFCE"/>
            <w:vAlign w:val="center"/>
          </w:tcPr>
          <w:p w14:paraId="22FA6275" w14:textId="77777777" w:rsidR="00025543" w:rsidRDefault="007E3A2F">
            <w:pPr>
              <w:pStyle w:val="P68B1DB1-Normal11"/>
              <w:spacing w:line="240" w:lineRule="auto"/>
              <w:jc w:val="center"/>
              <w:rPr>
                <w:noProof/>
              </w:rPr>
            </w:pPr>
            <w:r>
              <w:rPr>
                <w:noProof/>
              </w:rPr>
              <w:t>25</w:t>
            </w:r>
          </w:p>
        </w:tc>
        <w:tc>
          <w:tcPr>
            <w:tcW w:w="863" w:type="dxa"/>
            <w:shd w:val="clear" w:color="auto" w:fill="C6EFCE"/>
            <w:vAlign w:val="center"/>
          </w:tcPr>
          <w:p w14:paraId="7A9FF260" w14:textId="77777777" w:rsidR="00025543" w:rsidRDefault="007E3A2F">
            <w:pPr>
              <w:pStyle w:val="P68B1DB1-Normal15"/>
              <w:spacing w:line="240" w:lineRule="auto"/>
              <w:jc w:val="center"/>
              <w:rPr>
                <w:noProof/>
                <w:color w:val="006100"/>
              </w:rPr>
            </w:pPr>
            <w:r>
              <w:rPr>
                <w:noProof/>
              </w:rPr>
              <w:t>TRIMESTRE 4 </w:t>
            </w:r>
          </w:p>
        </w:tc>
        <w:tc>
          <w:tcPr>
            <w:tcW w:w="850" w:type="dxa"/>
            <w:shd w:val="clear" w:color="auto" w:fill="C6EFCE"/>
            <w:vAlign w:val="center"/>
          </w:tcPr>
          <w:p w14:paraId="65223ED7" w14:textId="77777777" w:rsidR="00025543" w:rsidRDefault="007E3A2F">
            <w:pPr>
              <w:pStyle w:val="P68B1DB1-Normal15"/>
              <w:spacing w:line="240" w:lineRule="auto"/>
              <w:jc w:val="center"/>
              <w:rPr>
                <w:noProof/>
                <w:color w:val="006100"/>
              </w:rPr>
            </w:pPr>
            <w:r>
              <w:rPr>
                <w:noProof/>
              </w:rPr>
              <w:t>2024 </w:t>
            </w:r>
          </w:p>
        </w:tc>
        <w:tc>
          <w:tcPr>
            <w:tcW w:w="3969" w:type="dxa"/>
            <w:shd w:val="clear" w:color="auto" w:fill="C6EFCE"/>
            <w:vAlign w:val="center"/>
          </w:tcPr>
          <w:p w14:paraId="6DD1A295" w14:textId="77777777" w:rsidR="00025543" w:rsidRDefault="007E3A2F">
            <w:pPr>
              <w:pStyle w:val="P68B1DB1-Normal15"/>
              <w:spacing w:before="0" w:after="0" w:line="240" w:lineRule="auto"/>
              <w:textAlignment w:val="baseline"/>
              <w:rPr>
                <w:noProof/>
              </w:rPr>
            </w:pPr>
            <w:r>
              <w:rPr>
                <w:noProof/>
              </w:rPr>
              <w:t>Les objectifs des études sont les suivants:</w:t>
            </w:r>
          </w:p>
          <w:p w14:paraId="1E571E39" w14:textId="77777777" w:rsidR="00025543" w:rsidRDefault="007E3A2F">
            <w:pPr>
              <w:pStyle w:val="P68B1DB1-Normal15"/>
              <w:numPr>
                <w:ilvl w:val="0"/>
                <w:numId w:val="176"/>
              </w:numPr>
              <w:spacing w:before="0" w:after="0" w:line="240" w:lineRule="auto"/>
              <w:textAlignment w:val="baseline"/>
              <w:rPr>
                <w:noProof/>
              </w:rPr>
            </w:pPr>
            <w:r>
              <w:rPr>
                <w:noProof/>
              </w:rPr>
              <w:t xml:space="preserve">Réexaminer le plan national en matière de spectre radioélectrique et évaluer les processus existants des plans stratégiques d’octroi des droits et d’attribution du spectre, dans le but d’exploiter les bandes harmonisées à des fins commerciales le plus tôt possible. </w:t>
            </w:r>
          </w:p>
          <w:p w14:paraId="0F2F405C" w14:textId="77777777" w:rsidR="00025543" w:rsidRDefault="007E3A2F">
            <w:pPr>
              <w:pStyle w:val="P68B1DB1-Normal15"/>
              <w:numPr>
                <w:ilvl w:val="0"/>
                <w:numId w:val="176"/>
              </w:numPr>
              <w:spacing w:before="0" w:after="0" w:line="240" w:lineRule="auto"/>
              <w:textAlignment w:val="baseline"/>
              <w:rPr>
                <w:noProof/>
                <w:color w:val="006100"/>
              </w:rPr>
            </w:pPr>
            <w:r>
              <w:rPr>
                <w:noProof/>
              </w:rPr>
              <w:t>Analyser la possibilité de permettre aux opérateurs de payer des redevances d’attribution du spectre radioélectrique par tranches afin de faciliter les investissements dans les infrastructures 5G.</w:t>
            </w:r>
          </w:p>
          <w:p w14:paraId="22C4C01F" w14:textId="77777777" w:rsidR="00025543" w:rsidRDefault="007E3A2F">
            <w:pPr>
              <w:pStyle w:val="P68B1DB1-Normal15"/>
              <w:numPr>
                <w:ilvl w:val="0"/>
                <w:numId w:val="176"/>
              </w:numPr>
              <w:spacing w:before="0" w:after="0" w:line="240" w:lineRule="auto"/>
              <w:textAlignment w:val="baseline"/>
              <w:rPr>
                <w:noProof/>
                <w:color w:val="006100"/>
              </w:rPr>
            </w:pPr>
            <w:r>
              <w:rPr>
                <w:noProof/>
              </w:rPr>
              <w:t xml:space="preserve">Identifier les défis découlant de la cybersécurité. </w:t>
            </w:r>
          </w:p>
          <w:p w14:paraId="710B2FAA" w14:textId="77777777" w:rsidR="00025543" w:rsidRDefault="007E3A2F">
            <w:pPr>
              <w:pStyle w:val="P68B1DB1-Normal15"/>
              <w:numPr>
                <w:ilvl w:val="0"/>
                <w:numId w:val="176"/>
              </w:numPr>
              <w:spacing w:before="0" w:after="0" w:line="240" w:lineRule="auto"/>
              <w:textAlignment w:val="baseline"/>
              <w:rPr>
                <w:noProof/>
                <w:color w:val="006100"/>
              </w:rPr>
            </w:pPr>
            <w:r>
              <w:rPr>
                <w:noProof/>
              </w:rPr>
              <w:t>Construction de réseaux de communications électroniques au sein des municipalités et des villes et développement des villes.</w:t>
            </w:r>
          </w:p>
          <w:p w14:paraId="553074C2" w14:textId="77777777" w:rsidR="00025543" w:rsidRDefault="00025543">
            <w:pPr>
              <w:spacing w:before="0" w:after="0" w:line="240" w:lineRule="auto"/>
              <w:textAlignment w:val="baseline"/>
              <w:rPr>
                <w:rFonts w:eastAsia="Times New Roman"/>
                <w:noProof/>
                <w:color w:val="004300"/>
                <w:sz w:val="18"/>
              </w:rPr>
            </w:pPr>
          </w:p>
          <w:p w14:paraId="3EFC14D0" w14:textId="77777777" w:rsidR="00025543" w:rsidRDefault="007E3A2F">
            <w:pPr>
              <w:pStyle w:val="P68B1DB1-Normal15"/>
              <w:spacing w:before="0" w:after="0" w:line="240" w:lineRule="auto"/>
              <w:textAlignment w:val="baseline"/>
              <w:rPr>
                <w:noProof/>
              </w:rPr>
            </w:pPr>
            <w:r>
              <w:rPr>
                <w:noProof/>
              </w:rPr>
              <w:t xml:space="preserve">En particulier, les études se concentreront sur les questions suivantes: </w:t>
            </w:r>
          </w:p>
          <w:p w14:paraId="67B73D56" w14:textId="77777777" w:rsidR="00025543" w:rsidRDefault="007E3A2F">
            <w:pPr>
              <w:pStyle w:val="P68B1DB1-Normal15"/>
              <w:numPr>
                <w:ilvl w:val="0"/>
                <w:numId w:val="175"/>
              </w:numPr>
              <w:autoSpaceDE w:val="0"/>
              <w:autoSpaceDN w:val="0"/>
              <w:adjustRightInd w:val="0"/>
              <w:spacing w:before="0" w:after="0" w:line="240" w:lineRule="auto"/>
              <w:jc w:val="both"/>
              <w:rPr>
                <w:noProof/>
              </w:rPr>
            </w:pPr>
            <w:r>
              <w:rPr>
                <w:noProof/>
              </w:rPr>
              <w:t>applicabilité des caractéristiques et des normes 5G dans les différents secteurs et propositions de mise en œuvre technique et de mesures réglementaires.</w:t>
            </w:r>
          </w:p>
          <w:p w14:paraId="7BB8FAE8" w14:textId="77777777" w:rsidR="00025543" w:rsidRDefault="007E3A2F">
            <w:pPr>
              <w:pStyle w:val="P68B1DB1-Normal15"/>
              <w:numPr>
                <w:ilvl w:val="0"/>
                <w:numId w:val="175"/>
              </w:numPr>
              <w:autoSpaceDE w:val="0"/>
              <w:autoSpaceDN w:val="0"/>
              <w:adjustRightInd w:val="0"/>
              <w:spacing w:before="0" w:after="0" w:line="240" w:lineRule="auto"/>
              <w:jc w:val="both"/>
              <w:rPr>
                <w:noProof/>
              </w:rPr>
            </w:pPr>
            <w:r>
              <w:rPr>
                <w:noProof/>
              </w:rPr>
              <w:t>concept et utilisation du double numérique de l’infrastructure de réseau 5G.</w:t>
            </w:r>
          </w:p>
          <w:p w14:paraId="027EA15A" w14:textId="77777777" w:rsidR="00025543" w:rsidRDefault="007E3A2F">
            <w:pPr>
              <w:pStyle w:val="P68B1DB1-Normal15"/>
              <w:numPr>
                <w:ilvl w:val="0"/>
                <w:numId w:val="175"/>
              </w:numPr>
              <w:autoSpaceDE w:val="0"/>
              <w:autoSpaceDN w:val="0"/>
              <w:adjustRightInd w:val="0"/>
              <w:spacing w:before="0" w:after="0" w:line="240" w:lineRule="auto"/>
              <w:jc w:val="both"/>
              <w:rPr>
                <w:noProof/>
              </w:rPr>
            </w:pPr>
            <w:r>
              <w:rPr>
                <w:noProof/>
              </w:rPr>
              <w:t>utilisation des communications par satellite pour la coexistence 5G et la coopération des réseaux 5G terrestres et satellitaires.</w:t>
            </w:r>
          </w:p>
          <w:p w14:paraId="4F00B1F7" w14:textId="77777777" w:rsidR="00025543" w:rsidRDefault="007E3A2F">
            <w:pPr>
              <w:pStyle w:val="P68B1DB1-Normal15"/>
              <w:numPr>
                <w:ilvl w:val="0"/>
                <w:numId w:val="175"/>
              </w:numPr>
              <w:autoSpaceDE w:val="0"/>
              <w:autoSpaceDN w:val="0"/>
              <w:adjustRightInd w:val="0"/>
              <w:spacing w:before="0" w:after="0" w:line="240" w:lineRule="auto"/>
              <w:jc w:val="both"/>
              <w:rPr>
                <w:noProof/>
              </w:rPr>
            </w:pPr>
            <w:r>
              <w:rPr>
                <w:noProof/>
              </w:rPr>
              <w:t>applicabilité du FeMBMS (service multimédia multimédia Multicast Service) aux réseaux 5G pour la radiodiffusion télévisuelle et les services de médias audiovisuels, y compris une stratégie pour l’utilisation future de la bande de fréquences 600 MHz pour la radiodiffusion télévisuelle.</w:t>
            </w:r>
          </w:p>
          <w:p w14:paraId="68B83A61" w14:textId="77777777" w:rsidR="00025543" w:rsidRDefault="007E3A2F">
            <w:pPr>
              <w:pStyle w:val="P68B1DB1-Normal15"/>
              <w:numPr>
                <w:ilvl w:val="0"/>
                <w:numId w:val="175"/>
              </w:numPr>
              <w:autoSpaceDE w:val="0"/>
              <w:autoSpaceDN w:val="0"/>
              <w:adjustRightInd w:val="0"/>
              <w:spacing w:before="0" w:after="0" w:line="240" w:lineRule="auto"/>
              <w:jc w:val="both"/>
              <w:rPr>
                <w:noProof/>
              </w:rPr>
            </w:pPr>
            <w:r>
              <w:rPr>
                <w:noProof/>
              </w:rPr>
              <w:t>utilisation du FRMCS (futurs systèmes de communications mobiles ferroviaires) pour les chemins de fer dotés de canaux spécialisés dans les bandes de 900 MHz et de 1 900 MHz.</w:t>
            </w:r>
          </w:p>
          <w:p w14:paraId="7EA4906C" w14:textId="77777777" w:rsidR="00025543" w:rsidRDefault="007E3A2F">
            <w:pPr>
              <w:pStyle w:val="P68B1DB1-Normal15"/>
              <w:numPr>
                <w:ilvl w:val="0"/>
                <w:numId w:val="175"/>
              </w:numPr>
              <w:autoSpaceDE w:val="0"/>
              <w:autoSpaceDN w:val="0"/>
              <w:adjustRightInd w:val="0"/>
              <w:spacing w:before="0" w:after="0" w:line="240" w:lineRule="auto"/>
              <w:jc w:val="both"/>
              <w:rPr>
                <w:noProof/>
              </w:rPr>
            </w:pPr>
            <w:r>
              <w:rPr>
                <w:noProof/>
              </w:rPr>
              <w:t>utilisation de la technologie quantique pour accroître la sécurité des réseaux et services 5G.</w:t>
            </w:r>
          </w:p>
          <w:p w14:paraId="0A4582BD" w14:textId="77777777" w:rsidR="00025543" w:rsidRDefault="007E3A2F">
            <w:pPr>
              <w:pStyle w:val="P68B1DB1-Normal15"/>
              <w:numPr>
                <w:ilvl w:val="0"/>
                <w:numId w:val="175"/>
              </w:numPr>
              <w:autoSpaceDE w:val="0"/>
              <w:autoSpaceDN w:val="0"/>
              <w:adjustRightInd w:val="0"/>
              <w:spacing w:before="0" w:after="0" w:line="240" w:lineRule="auto"/>
              <w:jc w:val="both"/>
              <w:rPr>
                <w:noProof/>
              </w:rPr>
            </w:pPr>
            <w:r>
              <w:rPr>
                <w:noProof/>
              </w:rPr>
              <w:t>possibilité de partager le spectre utilisable pour les réseaux 5G.</w:t>
            </w:r>
          </w:p>
          <w:p w14:paraId="27B537BF" w14:textId="77777777" w:rsidR="00025543" w:rsidRDefault="007E3A2F">
            <w:pPr>
              <w:pStyle w:val="P68B1DB1-Normal15"/>
              <w:numPr>
                <w:ilvl w:val="0"/>
                <w:numId w:val="175"/>
              </w:numPr>
              <w:autoSpaceDE w:val="0"/>
              <w:autoSpaceDN w:val="0"/>
              <w:adjustRightInd w:val="0"/>
              <w:spacing w:before="0" w:after="0" w:line="240" w:lineRule="auto"/>
              <w:jc w:val="both"/>
              <w:rPr>
                <w:noProof/>
              </w:rPr>
            </w:pPr>
            <w:r>
              <w:rPr>
                <w:noProof/>
              </w:rPr>
              <w:t>utilisation de la bande de fréquences 26 GHz pour le réseau 5G.</w:t>
            </w:r>
          </w:p>
          <w:p w14:paraId="6E285EDE" w14:textId="77777777" w:rsidR="00025543" w:rsidRDefault="007E3A2F">
            <w:pPr>
              <w:pStyle w:val="P68B1DB1-Normal15"/>
              <w:numPr>
                <w:ilvl w:val="0"/>
                <w:numId w:val="175"/>
              </w:numPr>
              <w:autoSpaceDE w:val="0"/>
              <w:autoSpaceDN w:val="0"/>
              <w:adjustRightInd w:val="0"/>
              <w:spacing w:before="0" w:after="0" w:line="240" w:lineRule="auto"/>
              <w:jc w:val="both"/>
              <w:rPr>
                <w:noProof/>
              </w:rPr>
            </w:pPr>
            <w:r>
              <w:rPr>
                <w:noProof/>
              </w:rPr>
              <w:t>utilisation de systèmes d’information modernes, y compris le partage de logiciels par l’intermédiaire de sources ouvertes ou d’autres formes de partage, telles que des serveurs en nuage, dans les réseaux 5G.</w:t>
            </w:r>
          </w:p>
          <w:p w14:paraId="1DCC6B9A" w14:textId="77777777" w:rsidR="00025543" w:rsidRDefault="007E3A2F">
            <w:pPr>
              <w:pStyle w:val="P68B1DB1-Normal15"/>
              <w:numPr>
                <w:ilvl w:val="0"/>
                <w:numId w:val="175"/>
              </w:numPr>
              <w:autoSpaceDE w:val="0"/>
              <w:autoSpaceDN w:val="0"/>
              <w:adjustRightInd w:val="0"/>
              <w:spacing w:before="0" w:after="0" w:line="240" w:lineRule="auto"/>
              <w:jc w:val="both"/>
              <w:rPr>
                <w:noProof/>
              </w:rPr>
            </w:pPr>
            <w:r>
              <w:rPr>
                <w:noProof/>
              </w:rPr>
              <w:t>utilisation d’un système de tranchage du réseau 5G pour les réseaux 5G publics et privés.</w:t>
            </w:r>
          </w:p>
          <w:p w14:paraId="4648BDA6" w14:textId="77777777" w:rsidR="00025543" w:rsidRDefault="007E3A2F">
            <w:pPr>
              <w:pStyle w:val="P68B1DB1-Normal15"/>
              <w:numPr>
                <w:ilvl w:val="0"/>
                <w:numId w:val="175"/>
              </w:numPr>
              <w:autoSpaceDE w:val="0"/>
              <w:autoSpaceDN w:val="0"/>
              <w:adjustRightInd w:val="0"/>
              <w:spacing w:before="0" w:after="0" w:line="240" w:lineRule="auto"/>
              <w:jc w:val="both"/>
              <w:rPr>
                <w:noProof/>
              </w:rPr>
            </w:pPr>
            <w:r>
              <w:rPr>
                <w:noProof/>
              </w:rPr>
              <w:t>relier les communications de l’internet des objets (IdO) aux réseaux 5G.</w:t>
            </w:r>
          </w:p>
          <w:p w14:paraId="6FA066D0" w14:textId="77777777" w:rsidR="00025543" w:rsidRDefault="007E3A2F">
            <w:pPr>
              <w:pStyle w:val="P68B1DB1-Normal15"/>
              <w:numPr>
                <w:ilvl w:val="0"/>
                <w:numId w:val="175"/>
              </w:numPr>
              <w:autoSpaceDE w:val="0"/>
              <w:autoSpaceDN w:val="0"/>
              <w:adjustRightInd w:val="0"/>
              <w:spacing w:before="0" w:after="0" w:line="240" w:lineRule="auto"/>
              <w:jc w:val="both"/>
              <w:rPr>
                <w:noProof/>
              </w:rPr>
            </w:pPr>
            <w:r>
              <w:rPr>
                <w:noProof/>
              </w:rPr>
              <w:t>utilisation des réseaux 5G pour l’accès fixe sans fil</w:t>
            </w:r>
          </w:p>
          <w:p w14:paraId="77952DC6" w14:textId="77777777" w:rsidR="00025543" w:rsidRDefault="007E3A2F">
            <w:pPr>
              <w:pStyle w:val="P68B1DB1-Normal15"/>
              <w:numPr>
                <w:ilvl w:val="0"/>
                <w:numId w:val="175"/>
              </w:numPr>
              <w:autoSpaceDE w:val="0"/>
              <w:autoSpaceDN w:val="0"/>
              <w:adjustRightInd w:val="0"/>
              <w:spacing w:before="0" w:after="0" w:line="240" w:lineRule="auto"/>
              <w:jc w:val="both"/>
              <w:rPr>
                <w:noProof/>
              </w:rPr>
            </w:pPr>
            <w:r>
              <w:rPr>
                <w:noProof/>
              </w:rPr>
              <w:t>incidence du RSR ouvert (réseau d’accès radio) et de l’accès central ouvert sur la sécurité des réseaux 5G.</w:t>
            </w:r>
          </w:p>
          <w:p w14:paraId="3109FAA5" w14:textId="77777777" w:rsidR="00025543" w:rsidRDefault="007E3A2F">
            <w:pPr>
              <w:pStyle w:val="P68B1DB1-Normal15"/>
              <w:numPr>
                <w:ilvl w:val="0"/>
                <w:numId w:val="175"/>
              </w:numPr>
              <w:autoSpaceDE w:val="0"/>
              <w:autoSpaceDN w:val="0"/>
              <w:adjustRightInd w:val="0"/>
              <w:spacing w:before="0" w:after="0" w:line="240" w:lineRule="auto"/>
              <w:jc w:val="both"/>
              <w:rPr>
                <w:noProof/>
              </w:rPr>
            </w:pPr>
            <w:r>
              <w:rPr>
                <w:noProof/>
              </w:rPr>
              <w:t>plateformes de communication aérienne (drones, UAV, ballons) et leur incidence sur la réglementation des communications électroniques.</w:t>
            </w:r>
          </w:p>
          <w:p w14:paraId="66E14D34" w14:textId="77777777" w:rsidR="00025543" w:rsidRDefault="007E3A2F">
            <w:pPr>
              <w:pStyle w:val="P68B1DB1-Normal15"/>
              <w:numPr>
                <w:ilvl w:val="0"/>
                <w:numId w:val="175"/>
              </w:numPr>
              <w:autoSpaceDE w:val="0"/>
              <w:autoSpaceDN w:val="0"/>
              <w:adjustRightInd w:val="0"/>
              <w:spacing w:before="0" w:after="0" w:line="240" w:lineRule="auto"/>
              <w:jc w:val="both"/>
              <w:rPr>
                <w:noProof/>
              </w:rPr>
            </w:pPr>
            <w:r>
              <w:rPr>
                <w:noProof/>
              </w:rPr>
              <w:t>environnements radio intelligents avec application de mesures en ligne des rayonnements électromagnétiques et de surfaces réfléchissantes intelligentes.</w:t>
            </w:r>
          </w:p>
          <w:p w14:paraId="6C5BA5BF" w14:textId="77777777" w:rsidR="00025543" w:rsidRDefault="007E3A2F">
            <w:pPr>
              <w:pStyle w:val="P68B1DB1-Normal15"/>
              <w:numPr>
                <w:ilvl w:val="0"/>
                <w:numId w:val="175"/>
              </w:numPr>
              <w:autoSpaceDE w:val="0"/>
              <w:autoSpaceDN w:val="0"/>
              <w:adjustRightInd w:val="0"/>
              <w:spacing w:before="0" w:after="0" w:line="240" w:lineRule="auto"/>
              <w:jc w:val="both"/>
              <w:rPr>
                <w:b/>
                <w:i/>
                <w:noProof/>
                <w:color w:val="006100"/>
              </w:rPr>
            </w:pPr>
            <w:r>
              <w:rPr>
                <w:noProof/>
              </w:rPr>
              <w:t>développement des réseaux 6G dans les bandes supérieures à 100 GHz.</w:t>
            </w:r>
          </w:p>
        </w:tc>
      </w:tr>
      <w:tr w:rsidR="00025543" w14:paraId="02F973AF" w14:textId="77777777">
        <w:trPr>
          <w:trHeight w:val="945"/>
          <w:jc w:val="center"/>
        </w:trPr>
        <w:tc>
          <w:tcPr>
            <w:tcW w:w="619" w:type="dxa"/>
            <w:shd w:val="clear" w:color="auto" w:fill="C6EFCE"/>
            <w:vAlign w:val="center"/>
          </w:tcPr>
          <w:p w14:paraId="7A29B612" w14:textId="77777777" w:rsidR="00025543" w:rsidRDefault="007E3A2F">
            <w:pPr>
              <w:pStyle w:val="P68B1DB1-Normal15"/>
              <w:spacing w:line="240" w:lineRule="auto"/>
              <w:jc w:val="center"/>
              <w:rPr>
                <w:noProof/>
                <w:color w:val="006100"/>
              </w:rPr>
            </w:pPr>
            <w:r>
              <w:rPr>
                <w:noProof/>
              </w:rPr>
              <w:t>37 </w:t>
            </w:r>
          </w:p>
        </w:tc>
        <w:tc>
          <w:tcPr>
            <w:tcW w:w="1295" w:type="dxa"/>
            <w:shd w:val="clear" w:color="auto" w:fill="C6EFCE"/>
            <w:vAlign w:val="center"/>
          </w:tcPr>
          <w:p w14:paraId="2D3ACDD2" w14:textId="77777777" w:rsidR="00025543" w:rsidRDefault="007E3A2F">
            <w:pPr>
              <w:pStyle w:val="P68B1DB1-Normal15"/>
              <w:spacing w:line="240" w:lineRule="auto"/>
              <w:rPr>
                <w:noProof/>
                <w:color w:val="006100"/>
              </w:rPr>
            </w:pPr>
            <w:r>
              <w:rPr>
                <w:noProof/>
              </w:rPr>
              <w:t>Réforme 2: Soutenir le développement de l’écosystème 5G </w:t>
            </w:r>
          </w:p>
        </w:tc>
        <w:tc>
          <w:tcPr>
            <w:tcW w:w="1077" w:type="dxa"/>
            <w:shd w:val="clear" w:color="auto" w:fill="C6EFCE"/>
            <w:vAlign w:val="center"/>
          </w:tcPr>
          <w:p w14:paraId="43F6BFBD" w14:textId="77777777" w:rsidR="00025543" w:rsidRDefault="007E3A2F">
            <w:pPr>
              <w:pStyle w:val="P68B1DB1-Normal15"/>
              <w:spacing w:line="240" w:lineRule="auto"/>
              <w:rPr>
                <w:noProof/>
                <w:color w:val="006100"/>
              </w:rPr>
            </w:pPr>
            <w:r>
              <w:rPr>
                <w:noProof/>
              </w:rPr>
              <w:t>Étapes </w:t>
            </w:r>
          </w:p>
        </w:tc>
        <w:tc>
          <w:tcPr>
            <w:tcW w:w="1516" w:type="dxa"/>
            <w:shd w:val="clear" w:color="auto" w:fill="C6EFCE"/>
            <w:vAlign w:val="center"/>
          </w:tcPr>
          <w:p w14:paraId="6C269651" w14:textId="77777777" w:rsidR="00025543" w:rsidRDefault="007E3A2F">
            <w:pPr>
              <w:pStyle w:val="P68B1DB1-Normal15"/>
              <w:spacing w:line="240" w:lineRule="auto"/>
              <w:rPr>
                <w:noProof/>
                <w:color w:val="006100"/>
              </w:rPr>
            </w:pPr>
            <w:r>
              <w:rPr>
                <w:noProof/>
              </w:rPr>
              <w:t>Publication de lignes directrices sur le déploiement des réseaux 5G par le ministère de l’industrie et du commerce </w:t>
            </w:r>
          </w:p>
        </w:tc>
        <w:tc>
          <w:tcPr>
            <w:tcW w:w="1145" w:type="dxa"/>
            <w:shd w:val="clear" w:color="auto" w:fill="C6EFCE"/>
            <w:vAlign w:val="center"/>
          </w:tcPr>
          <w:p w14:paraId="1F618768" w14:textId="77777777" w:rsidR="00025543" w:rsidRDefault="007E3A2F">
            <w:pPr>
              <w:pStyle w:val="P68B1DB1-Normal15"/>
              <w:spacing w:line="240" w:lineRule="auto"/>
              <w:rPr>
                <w:noProof/>
                <w:color w:val="006100"/>
              </w:rPr>
            </w:pPr>
            <w:r>
              <w:rPr>
                <w:noProof/>
              </w:rPr>
              <w:t>Publication des lignes directrices par le ministère de l’industrie et du commerce</w:t>
            </w:r>
          </w:p>
        </w:tc>
        <w:tc>
          <w:tcPr>
            <w:tcW w:w="1417" w:type="dxa"/>
            <w:shd w:val="clear" w:color="auto" w:fill="C6EFCE"/>
            <w:vAlign w:val="center"/>
          </w:tcPr>
          <w:p w14:paraId="7B945C7F" w14:textId="77777777" w:rsidR="00025543" w:rsidRDefault="00025543">
            <w:pPr>
              <w:spacing w:line="240" w:lineRule="auto"/>
              <w:rPr>
                <w:rFonts w:eastAsia="Times New Roman"/>
                <w:noProof/>
                <w:color w:val="006100"/>
                <w:sz w:val="18"/>
              </w:rPr>
            </w:pPr>
          </w:p>
        </w:tc>
        <w:tc>
          <w:tcPr>
            <w:tcW w:w="1021" w:type="dxa"/>
            <w:shd w:val="clear" w:color="auto" w:fill="C6EFCE"/>
            <w:vAlign w:val="center"/>
          </w:tcPr>
          <w:p w14:paraId="05AD6B6D" w14:textId="77777777" w:rsidR="00025543" w:rsidRDefault="00025543">
            <w:pPr>
              <w:spacing w:line="240" w:lineRule="auto"/>
              <w:rPr>
                <w:rFonts w:eastAsia="Times New Roman"/>
                <w:noProof/>
                <w:color w:val="006100"/>
                <w:sz w:val="18"/>
              </w:rPr>
            </w:pPr>
          </w:p>
        </w:tc>
        <w:tc>
          <w:tcPr>
            <w:tcW w:w="1021" w:type="dxa"/>
            <w:shd w:val="clear" w:color="auto" w:fill="C6EFCE"/>
            <w:vAlign w:val="center"/>
          </w:tcPr>
          <w:p w14:paraId="68FEEEAA" w14:textId="77777777" w:rsidR="00025543" w:rsidRDefault="00025543">
            <w:pPr>
              <w:spacing w:line="240" w:lineRule="auto"/>
              <w:rPr>
                <w:rFonts w:eastAsia="Times New Roman"/>
                <w:noProof/>
                <w:color w:val="006100"/>
                <w:sz w:val="18"/>
              </w:rPr>
            </w:pPr>
          </w:p>
        </w:tc>
        <w:tc>
          <w:tcPr>
            <w:tcW w:w="863" w:type="dxa"/>
            <w:shd w:val="clear" w:color="auto" w:fill="C6EFCE"/>
            <w:vAlign w:val="center"/>
          </w:tcPr>
          <w:p w14:paraId="1716E732" w14:textId="77777777" w:rsidR="00025543" w:rsidRDefault="007E3A2F">
            <w:pPr>
              <w:pStyle w:val="P68B1DB1-Normal15"/>
              <w:spacing w:line="240" w:lineRule="auto"/>
              <w:jc w:val="center"/>
              <w:rPr>
                <w:noProof/>
                <w:color w:val="006100"/>
              </w:rPr>
            </w:pPr>
            <w:r>
              <w:rPr>
                <w:noProof/>
              </w:rPr>
              <w:t>TRIMESTRE 4 </w:t>
            </w:r>
          </w:p>
        </w:tc>
        <w:tc>
          <w:tcPr>
            <w:tcW w:w="850" w:type="dxa"/>
            <w:shd w:val="clear" w:color="auto" w:fill="C6EFCE"/>
            <w:vAlign w:val="center"/>
          </w:tcPr>
          <w:p w14:paraId="64B0312B" w14:textId="77777777" w:rsidR="00025543" w:rsidRDefault="007E3A2F">
            <w:pPr>
              <w:pStyle w:val="P68B1DB1-Normal15"/>
              <w:spacing w:line="240" w:lineRule="auto"/>
              <w:jc w:val="center"/>
              <w:rPr>
                <w:noProof/>
                <w:color w:val="006100"/>
              </w:rPr>
            </w:pPr>
            <w:r>
              <w:rPr>
                <w:noProof/>
              </w:rPr>
              <w:t>2025 </w:t>
            </w:r>
          </w:p>
        </w:tc>
        <w:tc>
          <w:tcPr>
            <w:tcW w:w="3969" w:type="dxa"/>
            <w:shd w:val="clear" w:color="auto" w:fill="C6EFCE"/>
            <w:vAlign w:val="center"/>
          </w:tcPr>
          <w:p w14:paraId="565B2DD0" w14:textId="77777777" w:rsidR="00025543" w:rsidRDefault="007E3A2F">
            <w:pPr>
              <w:pStyle w:val="P68B1DB1-Normal15"/>
              <w:spacing w:line="240" w:lineRule="auto"/>
              <w:rPr>
                <w:noProof/>
                <w:color w:val="006100"/>
              </w:rPr>
            </w:pPr>
            <w:r>
              <w:rPr>
                <w:noProof/>
              </w:rPr>
              <w:t xml:space="preserve">Des lignes directrices sont publiées sur le partage d’infrastructures passives et actives en vue de faciliter le déploiement des réseaux 5G, correspondant à la boîte à outils commune de l’Union pour la connectivité et en tenant compte de la directive 2014/61/UE relative à des mesures visant à réduire le coût du déploiement de réseaux de communications électroniques à haut débit, du rapport FINAL RSPG21-016 sur le partage du spectre et de la loi no 143/2001 sur la protection de la concurrence. Les lignes directrices sont fondées sur les études publiées dans le cadre de la même mesure. En particulier, la mesure prévoit l’élaboration de lignes directrices et d’algorithmes sur les procédures de coordination du spectre radioélectrique pour la 5G, ainsi que le partage du spectre avec d’autres services dans la bande de 26 GHz. </w:t>
            </w:r>
          </w:p>
        </w:tc>
      </w:tr>
      <w:tr w:rsidR="00025543" w14:paraId="39E2617A" w14:textId="77777777">
        <w:trPr>
          <w:trHeight w:val="945"/>
          <w:jc w:val="center"/>
        </w:trPr>
        <w:tc>
          <w:tcPr>
            <w:tcW w:w="619" w:type="dxa"/>
            <w:shd w:val="clear" w:color="auto" w:fill="C6EFCE"/>
            <w:vAlign w:val="center"/>
          </w:tcPr>
          <w:p w14:paraId="36D7C25D" w14:textId="77777777" w:rsidR="00025543" w:rsidRDefault="007E3A2F">
            <w:pPr>
              <w:pStyle w:val="P68B1DB1-Normal15"/>
              <w:spacing w:line="240" w:lineRule="auto"/>
              <w:jc w:val="center"/>
              <w:rPr>
                <w:noProof/>
                <w:color w:val="006100"/>
              </w:rPr>
            </w:pPr>
            <w:r>
              <w:rPr>
                <w:noProof/>
              </w:rPr>
              <w:t>38 </w:t>
            </w:r>
          </w:p>
        </w:tc>
        <w:tc>
          <w:tcPr>
            <w:tcW w:w="1295" w:type="dxa"/>
            <w:shd w:val="clear" w:color="auto" w:fill="C6EFCE"/>
            <w:vAlign w:val="center"/>
          </w:tcPr>
          <w:p w14:paraId="0E482FB3" w14:textId="77777777" w:rsidR="00025543" w:rsidRDefault="007E3A2F">
            <w:pPr>
              <w:pStyle w:val="P68B1DB1-Normal15"/>
              <w:spacing w:line="240" w:lineRule="auto"/>
              <w:rPr>
                <w:noProof/>
                <w:color w:val="006100"/>
              </w:rPr>
            </w:pPr>
            <w:r>
              <w:rPr>
                <w:noProof/>
              </w:rPr>
              <w:t>Investissement 1: Mise en place de connexions à haute capacité </w:t>
            </w:r>
          </w:p>
        </w:tc>
        <w:tc>
          <w:tcPr>
            <w:tcW w:w="1077" w:type="dxa"/>
            <w:shd w:val="clear" w:color="auto" w:fill="C6EFCE"/>
            <w:vAlign w:val="center"/>
          </w:tcPr>
          <w:p w14:paraId="025A9C34" w14:textId="77777777" w:rsidR="00025543" w:rsidRDefault="007E3A2F">
            <w:pPr>
              <w:pStyle w:val="P68B1DB1-Normal15"/>
              <w:spacing w:line="240" w:lineRule="auto"/>
              <w:rPr>
                <w:noProof/>
                <w:color w:val="006100"/>
              </w:rPr>
            </w:pPr>
            <w:r>
              <w:rPr>
                <w:noProof/>
              </w:rPr>
              <w:t>Étapes </w:t>
            </w:r>
          </w:p>
        </w:tc>
        <w:tc>
          <w:tcPr>
            <w:tcW w:w="1516" w:type="dxa"/>
            <w:shd w:val="clear" w:color="auto" w:fill="C6EFCE"/>
            <w:vAlign w:val="center"/>
          </w:tcPr>
          <w:p w14:paraId="692736E1" w14:textId="388D2ABD" w:rsidR="00025543" w:rsidRDefault="007E3A2F">
            <w:pPr>
              <w:pStyle w:val="P68B1DB1-Normal15"/>
              <w:spacing w:line="240" w:lineRule="auto"/>
              <w:rPr>
                <w:noProof/>
                <w:color w:val="006100"/>
              </w:rPr>
            </w:pPr>
            <w:r>
              <w:rPr>
                <w:noProof/>
              </w:rPr>
              <w:t>Octroi, par le ministère de l’industrie et du commerce, de toutes les décisions de subvention pour la connexion des points d’adresse au réseau à très haute capacité (VHCN) </w:t>
            </w:r>
          </w:p>
        </w:tc>
        <w:tc>
          <w:tcPr>
            <w:tcW w:w="1145" w:type="dxa"/>
            <w:shd w:val="clear" w:color="auto" w:fill="C6EFCE"/>
            <w:vAlign w:val="center"/>
          </w:tcPr>
          <w:p w14:paraId="2071343A" w14:textId="1AAD5853" w:rsidR="00025543" w:rsidRDefault="007E3A2F">
            <w:pPr>
              <w:pStyle w:val="P68B1DB1-Normal15"/>
              <w:spacing w:line="240" w:lineRule="auto"/>
              <w:rPr>
                <w:noProof/>
                <w:color w:val="006100"/>
              </w:rPr>
            </w:pPr>
            <w:r>
              <w:rPr>
                <w:noProof/>
              </w:rPr>
              <w:t>Notification, par le ministère de l’industrie et du commerce, de toutes les décisions d’octroi de subventions pour le raccordement des points d’adresse au réseau à très haute capacité (VHCN) </w:t>
            </w:r>
          </w:p>
        </w:tc>
        <w:tc>
          <w:tcPr>
            <w:tcW w:w="1417" w:type="dxa"/>
            <w:shd w:val="clear" w:color="auto" w:fill="C6EFCE"/>
            <w:vAlign w:val="center"/>
          </w:tcPr>
          <w:p w14:paraId="31ED616C" w14:textId="77777777" w:rsidR="00025543" w:rsidRDefault="00025543">
            <w:pPr>
              <w:spacing w:line="240" w:lineRule="auto"/>
              <w:rPr>
                <w:rFonts w:eastAsia="Times New Roman"/>
                <w:noProof/>
                <w:color w:val="006100"/>
                <w:sz w:val="18"/>
              </w:rPr>
            </w:pPr>
          </w:p>
        </w:tc>
        <w:tc>
          <w:tcPr>
            <w:tcW w:w="1021" w:type="dxa"/>
            <w:shd w:val="clear" w:color="auto" w:fill="C6EFCE"/>
            <w:vAlign w:val="center"/>
          </w:tcPr>
          <w:p w14:paraId="7ABF4997" w14:textId="77777777" w:rsidR="00025543" w:rsidRDefault="00025543">
            <w:pPr>
              <w:spacing w:line="240" w:lineRule="auto"/>
              <w:rPr>
                <w:rFonts w:eastAsia="Times New Roman"/>
                <w:noProof/>
                <w:color w:val="006100"/>
                <w:sz w:val="18"/>
              </w:rPr>
            </w:pPr>
          </w:p>
        </w:tc>
        <w:tc>
          <w:tcPr>
            <w:tcW w:w="1021" w:type="dxa"/>
            <w:shd w:val="clear" w:color="auto" w:fill="C6EFCE"/>
            <w:vAlign w:val="center"/>
          </w:tcPr>
          <w:p w14:paraId="17773280" w14:textId="77777777" w:rsidR="00025543" w:rsidRDefault="00025543">
            <w:pPr>
              <w:spacing w:line="240" w:lineRule="auto"/>
              <w:rPr>
                <w:rFonts w:eastAsia="Times New Roman"/>
                <w:noProof/>
                <w:color w:val="006100"/>
                <w:sz w:val="18"/>
              </w:rPr>
            </w:pPr>
          </w:p>
        </w:tc>
        <w:tc>
          <w:tcPr>
            <w:tcW w:w="863" w:type="dxa"/>
            <w:shd w:val="clear" w:color="auto" w:fill="C6EFCE"/>
            <w:vAlign w:val="center"/>
          </w:tcPr>
          <w:p w14:paraId="52D909BA" w14:textId="77777777" w:rsidR="00025543" w:rsidRDefault="007E3A2F">
            <w:pPr>
              <w:pStyle w:val="P68B1DB1-Normal15"/>
              <w:spacing w:line="240" w:lineRule="auto"/>
              <w:jc w:val="center"/>
              <w:rPr>
                <w:noProof/>
                <w:color w:val="006100"/>
              </w:rPr>
            </w:pPr>
            <w:r>
              <w:rPr>
                <w:noProof/>
              </w:rPr>
              <w:t>TRIMESTRE 4 </w:t>
            </w:r>
          </w:p>
        </w:tc>
        <w:tc>
          <w:tcPr>
            <w:tcW w:w="850" w:type="dxa"/>
            <w:shd w:val="clear" w:color="auto" w:fill="C6EFCE"/>
            <w:vAlign w:val="center"/>
          </w:tcPr>
          <w:p w14:paraId="6B570B5F" w14:textId="77777777" w:rsidR="00025543" w:rsidRDefault="007E3A2F">
            <w:pPr>
              <w:pStyle w:val="P68B1DB1-Normal15"/>
              <w:spacing w:line="240" w:lineRule="auto"/>
              <w:jc w:val="center"/>
              <w:rPr>
                <w:noProof/>
                <w:color w:val="006100"/>
              </w:rPr>
            </w:pPr>
            <w:r>
              <w:rPr>
                <w:noProof/>
              </w:rPr>
              <w:t>2024 </w:t>
            </w:r>
          </w:p>
        </w:tc>
        <w:tc>
          <w:tcPr>
            <w:tcW w:w="3969" w:type="dxa"/>
            <w:shd w:val="clear" w:color="auto" w:fill="C6EFCE"/>
            <w:vAlign w:val="center"/>
          </w:tcPr>
          <w:p w14:paraId="055C1D72" w14:textId="07221C75" w:rsidR="00025543" w:rsidRDefault="007E3A2F">
            <w:pPr>
              <w:pStyle w:val="P68B1DB1-Normal15"/>
              <w:spacing w:line="240" w:lineRule="auto"/>
              <w:rPr>
                <w:noProof/>
              </w:rPr>
            </w:pPr>
            <w:r>
              <w:rPr>
                <w:noProof/>
              </w:rPr>
              <w:t xml:space="preserve">Notification, par le ministère de l’industrie et du commerce, de toutes les décisions d’octroi de subventions pour le raccordement des points d’adresse au réseau à très haute capacité (VHCN). Les appels d’offres comprennent une définition des dépenses éligibles, des modèles d’évaluation et des critères de sélection et d’évaluation des projets, des règles applicables aux demandeurs et aux bénéficiaires, ainsi que des lignes directrices sur les offres de gros. </w:t>
            </w:r>
          </w:p>
        </w:tc>
      </w:tr>
      <w:tr w:rsidR="00025543" w14:paraId="63EB9C29" w14:textId="77777777">
        <w:trPr>
          <w:trHeight w:val="945"/>
          <w:jc w:val="center"/>
        </w:trPr>
        <w:tc>
          <w:tcPr>
            <w:tcW w:w="619" w:type="dxa"/>
            <w:shd w:val="clear" w:color="auto" w:fill="C6EFCE"/>
            <w:vAlign w:val="center"/>
          </w:tcPr>
          <w:p w14:paraId="3CC24E9A" w14:textId="77777777" w:rsidR="00025543" w:rsidRDefault="007E3A2F">
            <w:pPr>
              <w:pStyle w:val="P68B1DB1-Normal15"/>
              <w:spacing w:line="240" w:lineRule="auto"/>
              <w:jc w:val="center"/>
              <w:rPr>
                <w:noProof/>
                <w:color w:val="006100"/>
              </w:rPr>
            </w:pPr>
            <w:r>
              <w:rPr>
                <w:noProof/>
              </w:rPr>
              <w:t>39 </w:t>
            </w:r>
          </w:p>
        </w:tc>
        <w:tc>
          <w:tcPr>
            <w:tcW w:w="1295" w:type="dxa"/>
            <w:shd w:val="clear" w:color="auto" w:fill="C6EFCE"/>
            <w:vAlign w:val="center"/>
          </w:tcPr>
          <w:p w14:paraId="054E3627" w14:textId="77777777" w:rsidR="00025543" w:rsidRDefault="007E3A2F">
            <w:pPr>
              <w:pStyle w:val="P68B1DB1-Normal15"/>
              <w:spacing w:line="240" w:lineRule="auto"/>
              <w:rPr>
                <w:noProof/>
                <w:color w:val="006100"/>
              </w:rPr>
            </w:pPr>
            <w:r>
              <w:rPr>
                <w:noProof/>
              </w:rPr>
              <w:t>Investissement 1: Mise en place de connexions à haute capacité </w:t>
            </w:r>
          </w:p>
        </w:tc>
        <w:tc>
          <w:tcPr>
            <w:tcW w:w="1077" w:type="dxa"/>
            <w:shd w:val="clear" w:color="auto" w:fill="C6EFCE"/>
            <w:vAlign w:val="center"/>
          </w:tcPr>
          <w:p w14:paraId="24801F3B" w14:textId="77777777" w:rsidR="00025543" w:rsidRDefault="007E3A2F">
            <w:pPr>
              <w:pStyle w:val="P68B1DB1-Normal15"/>
              <w:spacing w:line="240" w:lineRule="auto"/>
              <w:rPr>
                <w:noProof/>
                <w:color w:val="006100"/>
              </w:rPr>
            </w:pPr>
            <w:r>
              <w:rPr>
                <w:noProof/>
              </w:rPr>
              <w:t>Cible </w:t>
            </w:r>
          </w:p>
        </w:tc>
        <w:tc>
          <w:tcPr>
            <w:tcW w:w="1516" w:type="dxa"/>
            <w:shd w:val="clear" w:color="auto" w:fill="C6EFCE"/>
            <w:vAlign w:val="center"/>
          </w:tcPr>
          <w:p w14:paraId="623AE296" w14:textId="42AA5FBD" w:rsidR="00025543" w:rsidRDefault="007E3A2F">
            <w:pPr>
              <w:pStyle w:val="P68B1DB1-Normal15"/>
              <w:spacing w:line="240" w:lineRule="auto"/>
              <w:rPr>
                <w:noProof/>
              </w:rPr>
            </w:pPr>
            <w:r>
              <w:rPr>
                <w:noProof/>
              </w:rPr>
              <w:t xml:space="preserve">Achèvement des points d’adresses reliés au réseau à très haute capacité (VHCN) </w:t>
            </w:r>
          </w:p>
        </w:tc>
        <w:tc>
          <w:tcPr>
            <w:tcW w:w="1145" w:type="dxa"/>
            <w:shd w:val="clear" w:color="auto" w:fill="C6EFCE"/>
            <w:vAlign w:val="center"/>
          </w:tcPr>
          <w:p w14:paraId="081391A0" w14:textId="77777777" w:rsidR="00025543" w:rsidRDefault="00025543">
            <w:pPr>
              <w:spacing w:line="240" w:lineRule="auto"/>
              <w:rPr>
                <w:rFonts w:eastAsia="Times New Roman"/>
                <w:noProof/>
                <w:color w:val="006100"/>
                <w:sz w:val="18"/>
              </w:rPr>
            </w:pPr>
          </w:p>
        </w:tc>
        <w:tc>
          <w:tcPr>
            <w:tcW w:w="1417" w:type="dxa"/>
            <w:shd w:val="clear" w:color="auto" w:fill="C6EFCE"/>
            <w:vAlign w:val="center"/>
          </w:tcPr>
          <w:p w14:paraId="71C667A3" w14:textId="77777777" w:rsidR="00025543" w:rsidRDefault="007E3A2F">
            <w:pPr>
              <w:pStyle w:val="P68B1DB1-Normal15"/>
              <w:spacing w:line="240" w:lineRule="auto"/>
              <w:rPr>
                <w:noProof/>
                <w:color w:val="006100"/>
              </w:rPr>
            </w:pPr>
            <w:r>
              <w:rPr>
                <w:noProof/>
              </w:rPr>
              <w:t>Numéro </w:t>
            </w:r>
          </w:p>
        </w:tc>
        <w:tc>
          <w:tcPr>
            <w:tcW w:w="1021" w:type="dxa"/>
            <w:shd w:val="clear" w:color="auto" w:fill="C6EFCE"/>
            <w:vAlign w:val="center"/>
          </w:tcPr>
          <w:p w14:paraId="6382C11D" w14:textId="77777777" w:rsidR="00025543" w:rsidRDefault="007E3A2F">
            <w:pPr>
              <w:pStyle w:val="P68B1DB1-Normal11"/>
              <w:spacing w:line="240" w:lineRule="auto"/>
              <w:jc w:val="center"/>
              <w:rPr>
                <w:noProof/>
              </w:rPr>
            </w:pPr>
            <w:r>
              <w:rPr>
                <w:noProof/>
              </w:rPr>
              <w:t>0</w:t>
            </w:r>
          </w:p>
        </w:tc>
        <w:tc>
          <w:tcPr>
            <w:tcW w:w="1021" w:type="dxa"/>
            <w:shd w:val="clear" w:color="auto" w:fill="C6EFCE"/>
            <w:vAlign w:val="center"/>
          </w:tcPr>
          <w:p w14:paraId="2A375AC4" w14:textId="77777777" w:rsidR="00025543" w:rsidRDefault="007E3A2F">
            <w:pPr>
              <w:pStyle w:val="P68B1DB1-Normal11"/>
              <w:spacing w:line="240" w:lineRule="auto"/>
              <w:jc w:val="center"/>
              <w:rPr>
                <w:noProof/>
              </w:rPr>
            </w:pPr>
            <w:r>
              <w:rPr>
                <w:noProof/>
              </w:rPr>
              <w:t>23 000</w:t>
            </w:r>
          </w:p>
        </w:tc>
        <w:tc>
          <w:tcPr>
            <w:tcW w:w="863" w:type="dxa"/>
            <w:shd w:val="clear" w:color="auto" w:fill="C6EFCE"/>
            <w:vAlign w:val="center"/>
          </w:tcPr>
          <w:p w14:paraId="28A1D3E4" w14:textId="77777777" w:rsidR="00025543" w:rsidRDefault="007E3A2F">
            <w:pPr>
              <w:pStyle w:val="P68B1DB1-Normal15"/>
              <w:spacing w:line="240" w:lineRule="auto"/>
              <w:jc w:val="center"/>
              <w:rPr>
                <w:noProof/>
                <w:color w:val="006100"/>
              </w:rPr>
            </w:pPr>
            <w:r>
              <w:rPr>
                <w:noProof/>
              </w:rPr>
              <w:t>TRIMESTRE 1 </w:t>
            </w:r>
          </w:p>
        </w:tc>
        <w:tc>
          <w:tcPr>
            <w:tcW w:w="850" w:type="dxa"/>
            <w:shd w:val="clear" w:color="auto" w:fill="C6EFCE"/>
            <w:vAlign w:val="center"/>
          </w:tcPr>
          <w:p w14:paraId="634A9EA1" w14:textId="77777777" w:rsidR="00025543" w:rsidRDefault="007E3A2F">
            <w:pPr>
              <w:pStyle w:val="P68B1DB1-Normal15"/>
              <w:spacing w:line="240" w:lineRule="auto"/>
              <w:jc w:val="center"/>
              <w:rPr>
                <w:noProof/>
                <w:color w:val="006100"/>
              </w:rPr>
            </w:pPr>
            <w:r>
              <w:rPr>
                <w:noProof/>
              </w:rPr>
              <w:t>2026 </w:t>
            </w:r>
          </w:p>
        </w:tc>
        <w:tc>
          <w:tcPr>
            <w:tcW w:w="3969" w:type="dxa"/>
            <w:shd w:val="clear" w:color="auto" w:fill="C6EFCE"/>
            <w:vAlign w:val="center"/>
          </w:tcPr>
          <w:p w14:paraId="40B4674C" w14:textId="51D3E533" w:rsidR="00025543" w:rsidRDefault="007E3A2F">
            <w:pPr>
              <w:pStyle w:val="P68B1DB1-Normal15"/>
              <w:spacing w:line="240" w:lineRule="auto"/>
              <w:rPr>
                <w:noProof/>
                <w:color w:val="006100"/>
              </w:rPr>
            </w:pPr>
            <w:r>
              <w:rPr>
                <w:noProof/>
              </w:rPr>
              <w:t>L’infrastructure permettant d’augmenter le nombre de points d’accès reliés au réseau à très haute capacité (VHCN) doit être construite, ce qui augmente le nombre de points d’adresse connectés d’ici à 23 000. Le réseau à très haute capacité est conforme aux lignes directrices de l’ORECE sur les réseaux à très haute capacité.</w:t>
            </w:r>
          </w:p>
        </w:tc>
      </w:tr>
      <w:tr w:rsidR="00025543" w14:paraId="51AA929F" w14:textId="77777777">
        <w:trPr>
          <w:trHeight w:val="945"/>
          <w:jc w:val="center"/>
        </w:trPr>
        <w:tc>
          <w:tcPr>
            <w:tcW w:w="619" w:type="dxa"/>
            <w:shd w:val="clear" w:color="auto" w:fill="C6EFCE"/>
            <w:vAlign w:val="center"/>
          </w:tcPr>
          <w:p w14:paraId="60D2AAA8" w14:textId="77777777" w:rsidR="00025543" w:rsidRDefault="007E3A2F">
            <w:pPr>
              <w:pStyle w:val="P68B1DB1-Normal15"/>
              <w:spacing w:line="240" w:lineRule="auto"/>
              <w:jc w:val="center"/>
              <w:rPr>
                <w:noProof/>
              </w:rPr>
            </w:pPr>
            <w:r>
              <w:rPr>
                <w:noProof/>
              </w:rPr>
              <w:t>40</w:t>
            </w:r>
          </w:p>
        </w:tc>
        <w:tc>
          <w:tcPr>
            <w:tcW w:w="1295" w:type="dxa"/>
            <w:shd w:val="clear" w:color="auto" w:fill="C6EFCE"/>
            <w:vAlign w:val="center"/>
          </w:tcPr>
          <w:p w14:paraId="0CE9E01A" w14:textId="77777777" w:rsidR="00025543" w:rsidRDefault="007E3A2F">
            <w:pPr>
              <w:pStyle w:val="P68B1DB1-Normal15"/>
              <w:spacing w:line="240" w:lineRule="auto"/>
              <w:rPr>
                <w:noProof/>
                <w:color w:val="006100"/>
              </w:rPr>
            </w:pPr>
            <w:r>
              <w:rPr>
                <w:noProof/>
              </w:rPr>
              <w:t>Investissement 2: Couverture des corridors 5G et promotion du développement de la 5G </w:t>
            </w:r>
          </w:p>
        </w:tc>
        <w:tc>
          <w:tcPr>
            <w:tcW w:w="1077" w:type="dxa"/>
            <w:shd w:val="clear" w:color="auto" w:fill="C6EFCE"/>
            <w:vAlign w:val="center"/>
          </w:tcPr>
          <w:p w14:paraId="0346FC99" w14:textId="77777777" w:rsidR="00025543" w:rsidRDefault="007E3A2F">
            <w:pPr>
              <w:pStyle w:val="P68B1DB1-Normal15"/>
              <w:spacing w:line="240" w:lineRule="auto"/>
              <w:rPr>
                <w:noProof/>
                <w:color w:val="006100"/>
              </w:rPr>
            </w:pPr>
            <w:r>
              <w:rPr>
                <w:noProof/>
              </w:rPr>
              <w:t>Cible </w:t>
            </w:r>
          </w:p>
        </w:tc>
        <w:tc>
          <w:tcPr>
            <w:tcW w:w="1516" w:type="dxa"/>
            <w:shd w:val="clear" w:color="auto" w:fill="C6EFCE"/>
            <w:vAlign w:val="center"/>
          </w:tcPr>
          <w:p w14:paraId="55552111" w14:textId="77777777" w:rsidR="00025543" w:rsidRDefault="007E3A2F">
            <w:pPr>
              <w:pStyle w:val="P68B1DB1-Normal15"/>
              <w:spacing w:line="240" w:lineRule="auto"/>
              <w:rPr>
                <w:noProof/>
                <w:color w:val="006100"/>
              </w:rPr>
            </w:pPr>
            <w:r>
              <w:rPr>
                <w:noProof/>
              </w:rPr>
              <w:t>Achèvement de la couverture 5G renforcée des corridors ferroviaires sélectionnés</w:t>
            </w:r>
          </w:p>
        </w:tc>
        <w:tc>
          <w:tcPr>
            <w:tcW w:w="1145" w:type="dxa"/>
            <w:shd w:val="clear" w:color="auto" w:fill="C6EFCE"/>
            <w:vAlign w:val="center"/>
          </w:tcPr>
          <w:p w14:paraId="3DE27ED1" w14:textId="77777777" w:rsidR="00025543" w:rsidRDefault="00025543">
            <w:pPr>
              <w:spacing w:line="240" w:lineRule="auto"/>
              <w:rPr>
                <w:rFonts w:eastAsia="Times New Roman"/>
                <w:noProof/>
                <w:color w:val="006100"/>
                <w:sz w:val="18"/>
              </w:rPr>
            </w:pPr>
          </w:p>
        </w:tc>
        <w:tc>
          <w:tcPr>
            <w:tcW w:w="1417" w:type="dxa"/>
            <w:shd w:val="clear" w:color="auto" w:fill="C6EFCE"/>
            <w:vAlign w:val="center"/>
          </w:tcPr>
          <w:p w14:paraId="3527E926" w14:textId="77777777" w:rsidR="00025543" w:rsidRDefault="007E3A2F">
            <w:pPr>
              <w:pStyle w:val="P68B1DB1-Normal15"/>
              <w:spacing w:line="240" w:lineRule="auto"/>
              <w:rPr>
                <w:noProof/>
                <w:color w:val="006100"/>
              </w:rPr>
            </w:pPr>
            <w:r>
              <w:rPr>
                <w:noProof/>
              </w:rPr>
              <w:t>Kilomètres </w:t>
            </w:r>
          </w:p>
        </w:tc>
        <w:tc>
          <w:tcPr>
            <w:tcW w:w="1021" w:type="dxa"/>
            <w:shd w:val="clear" w:color="auto" w:fill="C6EFCE"/>
            <w:vAlign w:val="center"/>
          </w:tcPr>
          <w:p w14:paraId="57282CBF" w14:textId="77777777" w:rsidR="00025543" w:rsidRDefault="007E3A2F">
            <w:pPr>
              <w:pStyle w:val="P68B1DB1-Normal11"/>
              <w:spacing w:line="240" w:lineRule="auto"/>
              <w:jc w:val="center"/>
              <w:rPr>
                <w:noProof/>
              </w:rPr>
            </w:pPr>
            <w:r>
              <w:rPr>
                <w:noProof/>
              </w:rPr>
              <w:t>0</w:t>
            </w:r>
          </w:p>
        </w:tc>
        <w:tc>
          <w:tcPr>
            <w:tcW w:w="1021" w:type="dxa"/>
            <w:shd w:val="clear" w:color="auto" w:fill="C6EFCE"/>
            <w:vAlign w:val="center"/>
          </w:tcPr>
          <w:p w14:paraId="3B498257" w14:textId="0523CCAC" w:rsidR="00025543" w:rsidRDefault="007E3A2F">
            <w:pPr>
              <w:pStyle w:val="P68B1DB1-Normal11"/>
              <w:spacing w:line="240" w:lineRule="auto"/>
              <w:jc w:val="center"/>
              <w:rPr>
                <w:noProof/>
              </w:rPr>
            </w:pPr>
            <w:r>
              <w:rPr>
                <w:noProof/>
              </w:rPr>
              <w:t>86</w:t>
            </w:r>
          </w:p>
        </w:tc>
        <w:tc>
          <w:tcPr>
            <w:tcW w:w="863" w:type="dxa"/>
            <w:shd w:val="clear" w:color="auto" w:fill="C6EFCE"/>
            <w:vAlign w:val="center"/>
          </w:tcPr>
          <w:p w14:paraId="0E1A0D1D" w14:textId="496F8EC4" w:rsidR="00025543" w:rsidRDefault="007E3A2F">
            <w:pPr>
              <w:pStyle w:val="P68B1DB1-Normal15"/>
              <w:spacing w:line="240" w:lineRule="auto"/>
              <w:jc w:val="center"/>
              <w:rPr>
                <w:noProof/>
                <w:color w:val="006100"/>
              </w:rPr>
            </w:pPr>
            <w:r>
              <w:rPr>
                <w:noProof/>
              </w:rPr>
              <w:t>TRIMESTRE 2 </w:t>
            </w:r>
          </w:p>
        </w:tc>
        <w:tc>
          <w:tcPr>
            <w:tcW w:w="850" w:type="dxa"/>
            <w:shd w:val="clear" w:color="auto" w:fill="C6EFCE"/>
            <w:vAlign w:val="center"/>
          </w:tcPr>
          <w:p w14:paraId="1875CC48" w14:textId="57C4DC74" w:rsidR="00025543" w:rsidRDefault="007E3A2F">
            <w:pPr>
              <w:pStyle w:val="P68B1DB1-Normal15"/>
              <w:spacing w:line="240" w:lineRule="auto"/>
              <w:jc w:val="center"/>
              <w:rPr>
                <w:noProof/>
                <w:color w:val="006100"/>
              </w:rPr>
            </w:pPr>
            <w:r>
              <w:rPr>
                <w:noProof/>
              </w:rPr>
              <w:t>2026 </w:t>
            </w:r>
          </w:p>
        </w:tc>
        <w:tc>
          <w:tcPr>
            <w:tcW w:w="3969" w:type="dxa"/>
            <w:shd w:val="clear" w:color="auto" w:fill="C6EFCE"/>
            <w:vAlign w:val="center"/>
          </w:tcPr>
          <w:p w14:paraId="6F777E03" w14:textId="4732F31C" w:rsidR="00025543" w:rsidRDefault="007E3A2F">
            <w:pPr>
              <w:pStyle w:val="P68B1DB1-Normal15"/>
              <w:spacing w:line="240" w:lineRule="auto"/>
              <w:rPr>
                <w:noProof/>
              </w:rPr>
            </w:pPr>
            <w:r>
              <w:rPr>
                <w:noProof/>
              </w:rPr>
              <w:t>L’investissement améliore la qualité de la couverture 5G (au-delà des critères de couverture déjà imposés découlant des conditions de l’enchère des fréquences 5G) sur une distance d’au moins 86 km dans les corridors ferroviaires suivants: — Prague — Česká Třebová — Ostrava, — Česká Třebová — Brno</w:t>
            </w:r>
          </w:p>
          <w:p w14:paraId="7A2AA937" w14:textId="4A967E71" w:rsidR="00025543" w:rsidRDefault="007E3A2F">
            <w:pPr>
              <w:pStyle w:val="P68B1DB1-Normal15"/>
              <w:spacing w:line="240" w:lineRule="auto"/>
              <w:rPr>
                <w:noProof/>
                <w:color w:val="006100"/>
              </w:rPr>
            </w:pPr>
            <w:r>
              <w:rPr>
                <w:noProof/>
              </w:rPr>
              <w:t> </w:t>
            </w:r>
          </w:p>
        </w:tc>
      </w:tr>
      <w:tr w:rsidR="00025543" w14:paraId="3AF15FAF" w14:textId="77777777">
        <w:trPr>
          <w:trHeight w:val="945"/>
          <w:jc w:val="center"/>
        </w:trPr>
        <w:tc>
          <w:tcPr>
            <w:tcW w:w="619" w:type="dxa"/>
            <w:shd w:val="clear" w:color="auto" w:fill="C6EFCE"/>
            <w:vAlign w:val="center"/>
          </w:tcPr>
          <w:p w14:paraId="17C7D07B" w14:textId="77777777" w:rsidR="00025543" w:rsidRDefault="007E3A2F">
            <w:pPr>
              <w:pStyle w:val="P68B1DB1-Normal15"/>
              <w:spacing w:line="240" w:lineRule="auto"/>
              <w:jc w:val="center"/>
              <w:rPr>
                <w:noProof/>
                <w:color w:val="006100"/>
              </w:rPr>
            </w:pPr>
            <w:r>
              <w:rPr>
                <w:noProof/>
              </w:rPr>
              <w:t>41 </w:t>
            </w:r>
          </w:p>
        </w:tc>
        <w:tc>
          <w:tcPr>
            <w:tcW w:w="1295" w:type="dxa"/>
            <w:shd w:val="clear" w:color="auto" w:fill="C6EFCE"/>
            <w:vAlign w:val="center"/>
          </w:tcPr>
          <w:p w14:paraId="6795B5AE" w14:textId="77777777" w:rsidR="00025543" w:rsidRDefault="007E3A2F">
            <w:pPr>
              <w:pStyle w:val="P68B1DB1-Normal15"/>
              <w:spacing w:line="240" w:lineRule="auto"/>
              <w:rPr>
                <w:noProof/>
                <w:color w:val="006100"/>
              </w:rPr>
            </w:pPr>
            <w:r>
              <w:rPr>
                <w:noProof/>
              </w:rPr>
              <w:t>Investissement 2: Couverture des corridors 5G et promotion du développement de la 5G </w:t>
            </w:r>
          </w:p>
        </w:tc>
        <w:tc>
          <w:tcPr>
            <w:tcW w:w="1077" w:type="dxa"/>
            <w:shd w:val="clear" w:color="auto" w:fill="C6EFCE"/>
            <w:vAlign w:val="center"/>
          </w:tcPr>
          <w:p w14:paraId="7567BA7C" w14:textId="77777777" w:rsidR="00025543" w:rsidRDefault="007E3A2F">
            <w:pPr>
              <w:pStyle w:val="P68B1DB1-Normal15"/>
              <w:spacing w:line="240" w:lineRule="auto"/>
              <w:rPr>
                <w:noProof/>
                <w:color w:val="006100"/>
              </w:rPr>
            </w:pPr>
            <w:r>
              <w:rPr>
                <w:noProof/>
              </w:rPr>
              <w:t>Cible </w:t>
            </w:r>
          </w:p>
        </w:tc>
        <w:tc>
          <w:tcPr>
            <w:tcW w:w="1516" w:type="dxa"/>
            <w:shd w:val="clear" w:color="auto" w:fill="C6EFCE"/>
            <w:vAlign w:val="center"/>
          </w:tcPr>
          <w:p w14:paraId="276A24EE" w14:textId="080C07B9" w:rsidR="00025543" w:rsidRDefault="007E3A2F">
            <w:pPr>
              <w:pStyle w:val="P68B1DB1-Normal15"/>
              <w:spacing w:line="240" w:lineRule="auto"/>
              <w:rPr>
                <w:noProof/>
                <w:color w:val="006100"/>
              </w:rPr>
            </w:pPr>
            <w:r>
              <w:rPr>
                <w:noProof/>
              </w:rPr>
              <w:t>Achèvement de la couverture des signaux mobiles des wagons de chemin de fer</w:t>
            </w:r>
          </w:p>
        </w:tc>
        <w:tc>
          <w:tcPr>
            <w:tcW w:w="1145" w:type="dxa"/>
            <w:shd w:val="clear" w:color="auto" w:fill="C6EFCE"/>
            <w:vAlign w:val="center"/>
          </w:tcPr>
          <w:p w14:paraId="2E1777EF" w14:textId="77777777" w:rsidR="00025543" w:rsidRDefault="00025543">
            <w:pPr>
              <w:spacing w:line="240" w:lineRule="auto"/>
              <w:rPr>
                <w:rFonts w:eastAsia="Times New Roman"/>
                <w:noProof/>
                <w:color w:val="006100"/>
                <w:sz w:val="18"/>
              </w:rPr>
            </w:pPr>
          </w:p>
        </w:tc>
        <w:tc>
          <w:tcPr>
            <w:tcW w:w="1417" w:type="dxa"/>
            <w:shd w:val="clear" w:color="auto" w:fill="C6EFCE"/>
            <w:vAlign w:val="center"/>
          </w:tcPr>
          <w:p w14:paraId="5560CB83" w14:textId="77777777" w:rsidR="00025543" w:rsidRDefault="007E3A2F">
            <w:pPr>
              <w:pStyle w:val="P68B1DB1-Normal15"/>
              <w:spacing w:line="240" w:lineRule="auto"/>
              <w:rPr>
                <w:noProof/>
                <w:color w:val="006100"/>
              </w:rPr>
            </w:pPr>
            <w:r>
              <w:rPr>
                <w:noProof/>
              </w:rPr>
              <w:t>Numéro </w:t>
            </w:r>
          </w:p>
        </w:tc>
        <w:tc>
          <w:tcPr>
            <w:tcW w:w="1021" w:type="dxa"/>
            <w:shd w:val="clear" w:color="auto" w:fill="C6EFCE"/>
            <w:vAlign w:val="center"/>
          </w:tcPr>
          <w:p w14:paraId="7D6C4990" w14:textId="77777777" w:rsidR="00025543" w:rsidRDefault="007E3A2F">
            <w:pPr>
              <w:pStyle w:val="P68B1DB1-Normal11"/>
              <w:spacing w:line="240" w:lineRule="auto"/>
              <w:jc w:val="center"/>
              <w:rPr>
                <w:noProof/>
              </w:rPr>
            </w:pPr>
            <w:r>
              <w:rPr>
                <w:noProof/>
              </w:rPr>
              <w:t>0</w:t>
            </w:r>
          </w:p>
        </w:tc>
        <w:tc>
          <w:tcPr>
            <w:tcW w:w="1021" w:type="dxa"/>
            <w:shd w:val="clear" w:color="auto" w:fill="C6EFCE"/>
            <w:vAlign w:val="center"/>
          </w:tcPr>
          <w:p w14:paraId="3E4F0582" w14:textId="77777777" w:rsidR="00025543" w:rsidRDefault="007E3A2F">
            <w:pPr>
              <w:pStyle w:val="P68B1DB1-Normal11"/>
              <w:spacing w:line="240" w:lineRule="auto"/>
              <w:jc w:val="center"/>
              <w:rPr>
                <w:noProof/>
              </w:rPr>
            </w:pPr>
            <w:r>
              <w:rPr>
                <w:noProof/>
              </w:rPr>
              <w:t>350</w:t>
            </w:r>
          </w:p>
        </w:tc>
        <w:tc>
          <w:tcPr>
            <w:tcW w:w="863" w:type="dxa"/>
            <w:shd w:val="clear" w:color="auto" w:fill="C6EFCE"/>
            <w:vAlign w:val="center"/>
          </w:tcPr>
          <w:p w14:paraId="78933127" w14:textId="77777777" w:rsidR="00025543" w:rsidRDefault="007E3A2F">
            <w:pPr>
              <w:pStyle w:val="P68B1DB1-Normal15"/>
              <w:spacing w:line="240" w:lineRule="auto"/>
              <w:jc w:val="center"/>
              <w:rPr>
                <w:noProof/>
                <w:color w:val="006100"/>
              </w:rPr>
            </w:pPr>
            <w:r>
              <w:rPr>
                <w:noProof/>
              </w:rPr>
              <w:t>TRIMESTRE 4 </w:t>
            </w:r>
          </w:p>
        </w:tc>
        <w:tc>
          <w:tcPr>
            <w:tcW w:w="850" w:type="dxa"/>
            <w:shd w:val="clear" w:color="auto" w:fill="C6EFCE"/>
            <w:vAlign w:val="center"/>
          </w:tcPr>
          <w:p w14:paraId="41D198B5" w14:textId="77777777" w:rsidR="00025543" w:rsidRDefault="007E3A2F">
            <w:pPr>
              <w:pStyle w:val="P68B1DB1-Normal15"/>
              <w:spacing w:line="240" w:lineRule="auto"/>
              <w:jc w:val="center"/>
              <w:rPr>
                <w:noProof/>
                <w:color w:val="006100"/>
              </w:rPr>
            </w:pPr>
            <w:r>
              <w:rPr>
                <w:noProof/>
              </w:rPr>
              <w:t>2025 </w:t>
            </w:r>
          </w:p>
        </w:tc>
        <w:tc>
          <w:tcPr>
            <w:tcW w:w="3969" w:type="dxa"/>
            <w:shd w:val="clear" w:color="auto" w:fill="C6EFCE"/>
            <w:vAlign w:val="center"/>
          </w:tcPr>
          <w:p w14:paraId="20DC3531" w14:textId="0D6F778C" w:rsidR="00025543" w:rsidRDefault="007E3A2F">
            <w:pPr>
              <w:pStyle w:val="P68B1DB1-Normal15"/>
              <w:spacing w:line="240" w:lineRule="auto"/>
              <w:rPr>
                <w:noProof/>
                <w:color w:val="006100"/>
              </w:rPr>
            </w:pPr>
            <w:r>
              <w:rPr>
                <w:noProof/>
              </w:rPr>
              <w:t>La couverture des wagons de chemin de fer doit être assurée par des répéteurs de signaux mobiles de haute qualité ou des murs passifs pour les signaux 5G.</w:t>
            </w:r>
          </w:p>
        </w:tc>
      </w:tr>
      <w:tr w:rsidR="00025543" w14:paraId="4B48FD63" w14:textId="77777777">
        <w:trPr>
          <w:trHeight w:val="945"/>
          <w:jc w:val="center"/>
        </w:trPr>
        <w:tc>
          <w:tcPr>
            <w:tcW w:w="619" w:type="dxa"/>
            <w:shd w:val="clear" w:color="auto" w:fill="C6EFCE"/>
            <w:vAlign w:val="center"/>
          </w:tcPr>
          <w:p w14:paraId="58F08FF8" w14:textId="77777777" w:rsidR="00025543" w:rsidRDefault="007E3A2F">
            <w:pPr>
              <w:pStyle w:val="P68B1DB1-Normal15"/>
              <w:spacing w:line="240" w:lineRule="auto"/>
              <w:jc w:val="center"/>
              <w:rPr>
                <w:noProof/>
                <w:color w:val="006100"/>
              </w:rPr>
            </w:pPr>
            <w:r>
              <w:rPr>
                <w:noProof/>
              </w:rPr>
              <w:t>42 </w:t>
            </w:r>
          </w:p>
        </w:tc>
        <w:tc>
          <w:tcPr>
            <w:tcW w:w="1295" w:type="dxa"/>
            <w:shd w:val="clear" w:color="auto" w:fill="C6EFCE"/>
            <w:vAlign w:val="center"/>
          </w:tcPr>
          <w:p w14:paraId="1FCFFD4E" w14:textId="77777777" w:rsidR="00025543" w:rsidRDefault="007E3A2F">
            <w:pPr>
              <w:pStyle w:val="P68B1DB1-Normal15"/>
              <w:spacing w:line="240" w:lineRule="auto"/>
              <w:rPr>
                <w:noProof/>
                <w:color w:val="006100"/>
              </w:rPr>
            </w:pPr>
            <w:r>
              <w:rPr>
                <w:noProof/>
              </w:rPr>
              <w:t>Investissement 2: Couverture des corridors 5G et promotion du développement de la 5G </w:t>
            </w:r>
          </w:p>
        </w:tc>
        <w:tc>
          <w:tcPr>
            <w:tcW w:w="1077" w:type="dxa"/>
            <w:shd w:val="clear" w:color="auto" w:fill="C6EFCE"/>
            <w:vAlign w:val="center"/>
          </w:tcPr>
          <w:p w14:paraId="09355582" w14:textId="77777777" w:rsidR="00025543" w:rsidRDefault="007E3A2F">
            <w:pPr>
              <w:pStyle w:val="P68B1DB1-Normal15"/>
              <w:spacing w:line="240" w:lineRule="auto"/>
              <w:rPr>
                <w:noProof/>
                <w:color w:val="006100"/>
              </w:rPr>
            </w:pPr>
            <w:r>
              <w:rPr>
                <w:noProof/>
              </w:rPr>
              <w:t>Étapes </w:t>
            </w:r>
          </w:p>
        </w:tc>
        <w:tc>
          <w:tcPr>
            <w:tcW w:w="1516" w:type="dxa"/>
            <w:shd w:val="clear" w:color="auto" w:fill="C6EFCE"/>
            <w:vAlign w:val="center"/>
          </w:tcPr>
          <w:p w14:paraId="5E1E0A3B" w14:textId="77777777" w:rsidR="00025543" w:rsidRDefault="007E3A2F">
            <w:pPr>
              <w:pStyle w:val="P68B1DB1-Normal15"/>
              <w:spacing w:after="0" w:line="240" w:lineRule="auto"/>
              <w:rPr>
                <w:noProof/>
                <w:color w:val="006100"/>
              </w:rPr>
            </w:pPr>
            <w:r>
              <w:rPr>
                <w:noProof/>
              </w:rPr>
              <w:t>Installation et essai du déploiement d’un système de transport intelligent (STI-C). </w:t>
            </w:r>
          </w:p>
        </w:tc>
        <w:tc>
          <w:tcPr>
            <w:tcW w:w="1145" w:type="dxa"/>
            <w:shd w:val="clear" w:color="auto" w:fill="C6EFCE"/>
            <w:vAlign w:val="center"/>
          </w:tcPr>
          <w:p w14:paraId="417B6781" w14:textId="77777777" w:rsidR="00025543" w:rsidRDefault="007E3A2F">
            <w:pPr>
              <w:pStyle w:val="P68B1DB1-Normal15"/>
              <w:spacing w:line="240" w:lineRule="auto"/>
              <w:rPr>
                <w:noProof/>
              </w:rPr>
            </w:pPr>
            <w:r>
              <w:rPr>
                <w:noProof/>
              </w:rPr>
              <w:t xml:space="preserve">Achèvement de l’installation et des essais d’un système STI-C </w:t>
            </w:r>
          </w:p>
        </w:tc>
        <w:tc>
          <w:tcPr>
            <w:tcW w:w="1417" w:type="dxa"/>
            <w:shd w:val="clear" w:color="auto" w:fill="C6EFCE"/>
            <w:vAlign w:val="center"/>
          </w:tcPr>
          <w:p w14:paraId="363E932F" w14:textId="77777777" w:rsidR="00025543" w:rsidRDefault="00025543">
            <w:pPr>
              <w:spacing w:line="240" w:lineRule="auto"/>
              <w:rPr>
                <w:rFonts w:eastAsia="Times New Roman"/>
                <w:noProof/>
                <w:color w:val="006100"/>
                <w:sz w:val="18"/>
              </w:rPr>
            </w:pPr>
          </w:p>
        </w:tc>
        <w:tc>
          <w:tcPr>
            <w:tcW w:w="1021" w:type="dxa"/>
            <w:shd w:val="clear" w:color="auto" w:fill="C6EFCE"/>
            <w:vAlign w:val="center"/>
          </w:tcPr>
          <w:p w14:paraId="19A14B51" w14:textId="77777777" w:rsidR="00025543" w:rsidRDefault="00025543">
            <w:pPr>
              <w:spacing w:line="240" w:lineRule="auto"/>
              <w:rPr>
                <w:rFonts w:eastAsia="Times New Roman"/>
                <w:noProof/>
                <w:color w:val="006100"/>
                <w:sz w:val="18"/>
              </w:rPr>
            </w:pPr>
          </w:p>
        </w:tc>
        <w:tc>
          <w:tcPr>
            <w:tcW w:w="1021" w:type="dxa"/>
            <w:shd w:val="clear" w:color="auto" w:fill="C6EFCE"/>
            <w:vAlign w:val="center"/>
          </w:tcPr>
          <w:p w14:paraId="5BD322B6" w14:textId="77777777" w:rsidR="00025543" w:rsidRDefault="00025543">
            <w:pPr>
              <w:spacing w:line="240" w:lineRule="auto"/>
              <w:jc w:val="center"/>
              <w:rPr>
                <w:rFonts w:eastAsia="Times New Roman"/>
                <w:noProof/>
                <w:color w:val="006100"/>
                <w:sz w:val="18"/>
              </w:rPr>
            </w:pPr>
          </w:p>
        </w:tc>
        <w:tc>
          <w:tcPr>
            <w:tcW w:w="863" w:type="dxa"/>
            <w:shd w:val="clear" w:color="auto" w:fill="C6EFCE"/>
            <w:vAlign w:val="center"/>
          </w:tcPr>
          <w:p w14:paraId="4DE79A79" w14:textId="77777777" w:rsidR="00025543" w:rsidRDefault="007E3A2F">
            <w:pPr>
              <w:pStyle w:val="P68B1DB1-Normal15"/>
              <w:spacing w:line="240" w:lineRule="auto"/>
              <w:jc w:val="center"/>
              <w:rPr>
                <w:noProof/>
                <w:color w:val="006100"/>
              </w:rPr>
            </w:pPr>
            <w:r>
              <w:rPr>
                <w:noProof/>
              </w:rPr>
              <w:t>TRIMESTRE 4 </w:t>
            </w:r>
          </w:p>
        </w:tc>
        <w:tc>
          <w:tcPr>
            <w:tcW w:w="850" w:type="dxa"/>
            <w:shd w:val="clear" w:color="auto" w:fill="C6EFCE"/>
            <w:vAlign w:val="center"/>
          </w:tcPr>
          <w:p w14:paraId="491E058C" w14:textId="77777777" w:rsidR="00025543" w:rsidRDefault="007E3A2F">
            <w:pPr>
              <w:pStyle w:val="P68B1DB1-Normal15"/>
              <w:spacing w:line="240" w:lineRule="auto"/>
              <w:jc w:val="center"/>
              <w:rPr>
                <w:noProof/>
                <w:color w:val="006100"/>
              </w:rPr>
            </w:pPr>
            <w:r>
              <w:rPr>
                <w:noProof/>
              </w:rPr>
              <w:t>2025 </w:t>
            </w:r>
          </w:p>
        </w:tc>
        <w:tc>
          <w:tcPr>
            <w:tcW w:w="3969" w:type="dxa"/>
            <w:shd w:val="clear" w:color="auto" w:fill="C6EFCE"/>
            <w:vAlign w:val="center"/>
          </w:tcPr>
          <w:p w14:paraId="1FC7B3CA" w14:textId="77777777" w:rsidR="00025543" w:rsidRDefault="007E3A2F">
            <w:pPr>
              <w:pStyle w:val="P68B1DB1-Normal15"/>
              <w:spacing w:line="240" w:lineRule="auto"/>
              <w:rPr>
                <w:noProof/>
              </w:rPr>
            </w:pPr>
            <w:r>
              <w:rPr>
                <w:noProof/>
              </w:rPr>
              <w:t>Le soutien aux applications des écosystèmes 5G dans les corridors implique la mise en place et l’essai d’un système de transport intelligent pour les corridors ferroviaires (STI-C). Un rapport sur les résultats de ce projet sera publié par le ministère de l’industrie et du commerce en collaboration avec le ministère des transports.</w:t>
            </w:r>
          </w:p>
        </w:tc>
      </w:tr>
      <w:tr w:rsidR="00025543" w14:paraId="3DA9F526" w14:textId="77777777">
        <w:trPr>
          <w:trHeight w:val="486"/>
          <w:jc w:val="center"/>
        </w:trPr>
        <w:tc>
          <w:tcPr>
            <w:tcW w:w="619" w:type="dxa"/>
            <w:shd w:val="clear" w:color="auto" w:fill="C6EFCE"/>
            <w:vAlign w:val="center"/>
          </w:tcPr>
          <w:p w14:paraId="4A2D90DC" w14:textId="77777777" w:rsidR="00025543" w:rsidRDefault="007E3A2F">
            <w:pPr>
              <w:pStyle w:val="P68B1DB1-Normal15"/>
              <w:spacing w:line="240" w:lineRule="auto"/>
              <w:jc w:val="center"/>
              <w:rPr>
                <w:noProof/>
                <w:color w:val="006100"/>
              </w:rPr>
            </w:pPr>
            <w:r>
              <w:rPr>
                <w:noProof/>
              </w:rPr>
              <w:t>43 </w:t>
            </w:r>
          </w:p>
        </w:tc>
        <w:tc>
          <w:tcPr>
            <w:tcW w:w="1295" w:type="dxa"/>
            <w:shd w:val="clear" w:color="auto" w:fill="C6EFCE"/>
            <w:vAlign w:val="center"/>
          </w:tcPr>
          <w:p w14:paraId="511B3637" w14:textId="77777777" w:rsidR="00025543" w:rsidRDefault="007E3A2F">
            <w:pPr>
              <w:pStyle w:val="P68B1DB1-Normal15"/>
              <w:spacing w:line="240" w:lineRule="auto"/>
              <w:rPr>
                <w:noProof/>
                <w:color w:val="006100"/>
              </w:rPr>
            </w:pPr>
            <w:r>
              <w:rPr>
                <w:noProof/>
              </w:rPr>
              <w:t>Investissement 3: Soutenir le développement d’infrastructures mobiles 5G dans les zones blanches à forte intensité d’investissements ruraux </w:t>
            </w:r>
          </w:p>
        </w:tc>
        <w:tc>
          <w:tcPr>
            <w:tcW w:w="1077" w:type="dxa"/>
            <w:shd w:val="clear" w:color="auto" w:fill="C6EFCE"/>
            <w:vAlign w:val="center"/>
          </w:tcPr>
          <w:p w14:paraId="1BFBC435" w14:textId="77777777" w:rsidR="00025543" w:rsidRDefault="007E3A2F">
            <w:pPr>
              <w:pStyle w:val="P68B1DB1-Normal15"/>
              <w:spacing w:line="240" w:lineRule="auto"/>
              <w:rPr>
                <w:noProof/>
                <w:color w:val="006100"/>
              </w:rPr>
            </w:pPr>
            <w:r>
              <w:rPr>
                <w:noProof/>
              </w:rPr>
              <w:t>Étapes </w:t>
            </w:r>
          </w:p>
        </w:tc>
        <w:tc>
          <w:tcPr>
            <w:tcW w:w="1516" w:type="dxa"/>
            <w:shd w:val="clear" w:color="auto" w:fill="C6EFCE"/>
            <w:vAlign w:val="center"/>
          </w:tcPr>
          <w:p w14:paraId="24A2F222" w14:textId="77777777" w:rsidR="00025543" w:rsidRDefault="007E3A2F">
            <w:pPr>
              <w:pStyle w:val="P68B1DB1-Normal15"/>
              <w:spacing w:line="240" w:lineRule="auto"/>
              <w:rPr>
                <w:noProof/>
                <w:color w:val="006100"/>
              </w:rPr>
            </w:pPr>
            <w:r>
              <w:rPr>
                <w:noProof/>
              </w:rPr>
              <w:t>Octroi de toutes les décisions de subvention pour la connexion de municipalités disposant d’une connexion à haute capacité </w:t>
            </w:r>
          </w:p>
        </w:tc>
        <w:tc>
          <w:tcPr>
            <w:tcW w:w="1145" w:type="dxa"/>
            <w:shd w:val="clear" w:color="auto" w:fill="C6EFCE"/>
            <w:vAlign w:val="center"/>
          </w:tcPr>
          <w:p w14:paraId="1A2FC3C4" w14:textId="77777777" w:rsidR="00025543" w:rsidRDefault="007E3A2F">
            <w:pPr>
              <w:pStyle w:val="P68B1DB1-Normal15"/>
              <w:spacing w:line="240" w:lineRule="auto"/>
              <w:rPr>
                <w:noProof/>
                <w:color w:val="006100"/>
              </w:rPr>
            </w:pPr>
            <w:r>
              <w:rPr>
                <w:noProof/>
              </w:rPr>
              <w:t>Notification, par le ministère de l’industrie et du commerce, de toutes les décisions d’octroi de subventions pour la connexion de municipalités disposant d’une connexion à haute capacité </w:t>
            </w:r>
          </w:p>
        </w:tc>
        <w:tc>
          <w:tcPr>
            <w:tcW w:w="1417" w:type="dxa"/>
            <w:shd w:val="clear" w:color="auto" w:fill="C6EFCE"/>
            <w:vAlign w:val="center"/>
          </w:tcPr>
          <w:p w14:paraId="3575FFA2" w14:textId="77777777" w:rsidR="00025543" w:rsidRDefault="00025543">
            <w:pPr>
              <w:spacing w:line="240" w:lineRule="auto"/>
              <w:rPr>
                <w:rFonts w:eastAsia="Times New Roman"/>
                <w:noProof/>
                <w:color w:val="006100"/>
                <w:sz w:val="18"/>
              </w:rPr>
            </w:pPr>
          </w:p>
        </w:tc>
        <w:tc>
          <w:tcPr>
            <w:tcW w:w="1021" w:type="dxa"/>
            <w:shd w:val="clear" w:color="auto" w:fill="C6EFCE"/>
            <w:vAlign w:val="center"/>
          </w:tcPr>
          <w:p w14:paraId="0ADCC3FE" w14:textId="77777777" w:rsidR="00025543" w:rsidRDefault="007E3A2F">
            <w:pPr>
              <w:pStyle w:val="P68B1DB1-Normal15"/>
              <w:spacing w:line="240" w:lineRule="auto"/>
              <w:rPr>
                <w:noProof/>
                <w:color w:val="006100"/>
              </w:rPr>
            </w:pPr>
            <w:r>
              <w:rPr>
                <w:noProof/>
              </w:rPr>
              <w:t> </w:t>
            </w:r>
          </w:p>
        </w:tc>
        <w:tc>
          <w:tcPr>
            <w:tcW w:w="1021" w:type="dxa"/>
            <w:shd w:val="clear" w:color="auto" w:fill="C6EFCE"/>
            <w:vAlign w:val="center"/>
          </w:tcPr>
          <w:p w14:paraId="5257AE74" w14:textId="77777777" w:rsidR="00025543" w:rsidRDefault="00025543">
            <w:pPr>
              <w:spacing w:line="240" w:lineRule="auto"/>
              <w:rPr>
                <w:rFonts w:eastAsia="Times New Roman"/>
                <w:noProof/>
                <w:color w:val="006100"/>
                <w:sz w:val="18"/>
              </w:rPr>
            </w:pPr>
          </w:p>
        </w:tc>
        <w:tc>
          <w:tcPr>
            <w:tcW w:w="863" w:type="dxa"/>
            <w:shd w:val="clear" w:color="auto" w:fill="C6EFCE"/>
            <w:vAlign w:val="center"/>
          </w:tcPr>
          <w:p w14:paraId="08CC876A" w14:textId="77777777" w:rsidR="00025543" w:rsidRDefault="007E3A2F">
            <w:pPr>
              <w:pStyle w:val="P68B1DB1-Normal15"/>
              <w:spacing w:line="240" w:lineRule="auto"/>
              <w:jc w:val="center"/>
              <w:rPr>
                <w:noProof/>
                <w:color w:val="006100"/>
              </w:rPr>
            </w:pPr>
            <w:r>
              <w:rPr>
                <w:noProof/>
              </w:rPr>
              <w:t>TRIMESTRE 4 </w:t>
            </w:r>
          </w:p>
        </w:tc>
        <w:tc>
          <w:tcPr>
            <w:tcW w:w="850" w:type="dxa"/>
            <w:shd w:val="clear" w:color="auto" w:fill="C6EFCE"/>
            <w:vAlign w:val="center"/>
          </w:tcPr>
          <w:p w14:paraId="297396DF" w14:textId="77777777" w:rsidR="00025543" w:rsidRDefault="007E3A2F">
            <w:pPr>
              <w:pStyle w:val="P68B1DB1-Normal15"/>
              <w:spacing w:line="240" w:lineRule="auto"/>
              <w:jc w:val="center"/>
              <w:rPr>
                <w:noProof/>
                <w:color w:val="006100"/>
              </w:rPr>
            </w:pPr>
            <w:r>
              <w:rPr>
                <w:noProof/>
              </w:rPr>
              <w:t>2024 </w:t>
            </w:r>
          </w:p>
        </w:tc>
        <w:tc>
          <w:tcPr>
            <w:tcW w:w="3969" w:type="dxa"/>
            <w:shd w:val="clear" w:color="auto" w:fill="C6EFCE"/>
            <w:vAlign w:val="center"/>
          </w:tcPr>
          <w:p w14:paraId="526FA6AD" w14:textId="0849F028" w:rsidR="00025543" w:rsidRDefault="007E3A2F">
            <w:pPr>
              <w:pStyle w:val="P68B1DB1-Normal15"/>
              <w:spacing w:line="240" w:lineRule="auto"/>
              <w:rPr>
                <w:noProof/>
              </w:rPr>
            </w:pPr>
            <w:r>
              <w:rPr>
                <w:noProof/>
              </w:rPr>
              <w:t xml:space="preserve">Notification, par le ministère de l’industrie et du commerce, de toutes les décisions d’octroi de subventions pour la connexion de municipalités à haute capacité. Les appels d’offres comprennent une définition des dépenses éligibles, des modèles d’évaluation et des critères de sélection et d’évaluation des projets, des règles applicables aux demandeurs et aux bénéficiaires, ainsi que des lignes directrices sur les offres de gros. Les critères de sélection sont notamment conformes aux lignes directrices de l’ORECE sur les réseaux à très haute capacité. </w:t>
            </w:r>
          </w:p>
          <w:p w14:paraId="205A277F" w14:textId="77777777" w:rsidR="00025543" w:rsidRDefault="007E3A2F">
            <w:pPr>
              <w:pStyle w:val="P68B1DB1-Normal15"/>
              <w:spacing w:line="240" w:lineRule="auto"/>
              <w:rPr>
                <w:noProof/>
              </w:rPr>
            </w:pPr>
            <w:r>
              <w:rPr>
                <w:noProof/>
              </w:rPr>
              <w:t>Les municipalités sont situées exclusivement dans des zones qui n’ont jamais été couvertes par un signal mobile supérieur à la 3G et qui peuvent être supposées ne pas être couvertes par les réseaux de base 5G à l’avenir en raison de la faible rentabilité attendue de l’investissement. Ces zones sont définies conformément aux règles en matière d’aides d’État en vigueur et au plan national de développement des réseaux à très haute capacité.</w:t>
            </w:r>
          </w:p>
        </w:tc>
      </w:tr>
      <w:tr w:rsidR="00025543" w14:paraId="0B172610" w14:textId="77777777">
        <w:trPr>
          <w:trHeight w:val="945"/>
          <w:jc w:val="center"/>
        </w:trPr>
        <w:tc>
          <w:tcPr>
            <w:tcW w:w="619" w:type="dxa"/>
            <w:shd w:val="clear" w:color="auto" w:fill="C6EFCE"/>
            <w:vAlign w:val="center"/>
          </w:tcPr>
          <w:p w14:paraId="3C2E8D9E" w14:textId="77777777" w:rsidR="00025543" w:rsidRDefault="007E3A2F">
            <w:pPr>
              <w:pStyle w:val="P68B1DB1-Normal15"/>
              <w:spacing w:line="240" w:lineRule="auto"/>
              <w:jc w:val="center"/>
              <w:rPr>
                <w:noProof/>
              </w:rPr>
            </w:pPr>
            <w:r>
              <w:rPr>
                <w:noProof/>
              </w:rPr>
              <w:t>44 </w:t>
            </w:r>
          </w:p>
        </w:tc>
        <w:tc>
          <w:tcPr>
            <w:tcW w:w="1295" w:type="dxa"/>
            <w:shd w:val="clear" w:color="auto" w:fill="C6EFCE"/>
            <w:vAlign w:val="center"/>
          </w:tcPr>
          <w:p w14:paraId="60FBC5EE" w14:textId="77777777" w:rsidR="00025543" w:rsidRDefault="007E3A2F">
            <w:pPr>
              <w:pStyle w:val="P68B1DB1-Normal15"/>
              <w:spacing w:line="240" w:lineRule="auto"/>
              <w:rPr>
                <w:noProof/>
              </w:rPr>
            </w:pPr>
            <w:r>
              <w:rPr>
                <w:noProof/>
              </w:rPr>
              <w:t>Investissement 3: Soutenir le développement d’infrastructures mobiles 5G dans les zones blanches à forte intensité d’investissements ruraux </w:t>
            </w:r>
          </w:p>
        </w:tc>
        <w:tc>
          <w:tcPr>
            <w:tcW w:w="1077" w:type="dxa"/>
            <w:shd w:val="clear" w:color="auto" w:fill="C6EFCE"/>
            <w:vAlign w:val="center"/>
          </w:tcPr>
          <w:p w14:paraId="35E52C01" w14:textId="77777777" w:rsidR="00025543" w:rsidRDefault="007E3A2F">
            <w:pPr>
              <w:pStyle w:val="P68B1DB1-Normal15"/>
              <w:spacing w:line="240" w:lineRule="auto"/>
              <w:rPr>
                <w:noProof/>
              </w:rPr>
            </w:pPr>
            <w:r>
              <w:rPr>
                <w:noProof/>
              </w:rPr>
              <w:t>Cible </w:t>
            </w:r>
          </w:p>
        </w:tc>
        <w:tc>
          <w:tcPr>
            <w:tcW w:w="1516" w:type="dxa"/>
            <w:shd w:val="clear" w:color="auto" w:fill="C6EFCE"/>
            <w:vAlign w:val="center"/>
          </w:tcPr>
          <w:p w14:paraId="33D5F576" w14:textId="77777777" w:rsidR="00025543" w:rsidRDefault="007E3A2F">
            <w:pPr>
              <w:pStyle w:val="P68B1DB1-Normal15"/>
              <w:spacing w:line="240" w:lineRule="auto"/>
              <w:rPr>
                <w:noProof/>
              </w:rPr>
            </w:pPr>
            <w:r>
              <w:rPr>
                <w:noProof/>
              </w:rPr>
              <w:t xml:space="preserve">Achèvement des stations de base pour signaux 5G </w:t>
            </w:r>
          </w:p>
        </w:tc>
        <w:tc>
          <w:tcPr>
            <w:tcW w:w="1145" w:type="dxa"/>
            <w:shd w:val="clear" w:color="auto" w:fill="C6EFCE"/>
            <w:vAlign w:val="center"/>
          </w:tcPr>
          <w:p w14:paraId="32367434" w14:textId="77777777" w:rsidR="00025543" w:rsidRDefault="00025543">
            <w:pPr>
              <w:spacing w:line="240" w:lineRule="auto"/>
              <w:rPr>
                <w:rFonts w:eastAsia="Times New Roman"/>
                <w:noProof/>
                <w:color w:val="004300"/>
                <w:sz w:val="18"/>
              </w:rPr>
            </w:pPr>
          </w:p>
        </w:tc>
        <w:tc>
          <w:tcPr>
            <w:tcW w:w="1417" w:type="dxa"/>
            <w:shd w:val="clear" w:color="auto" w:fill="C6EFCE"/>
            <w:vAlign w:val="center"/>
          </w:tcPr>
          <w:p w14:paraId="6E14BB8A" w14:textId="77777777" w:rsidR="00025543" w:rsidRDefault="007E3A2F">
            <w:pPr>
              <w:pStyle w:val="P68B1DB1-Normal15"/>
              <w:spacing w:line="240" w:lineRule="auto"/>
              <w:rPr>
                <w:noProof/>
              </w:rPr>
            </w:pPr>
            <w:r>
              <w:rPr>
                <w:noProof/>
              </w:rPr>
              <w:t>Numéro </w:t>
            </w:r>
          </w:p>
        </w:tc>
        <w:tc>
          <w:tcPr>
            <w:tcW w:w="1021" w:type="dxa"/>
            <w:shd w:val="clear" w:color="auto" w:fill="C6EFCE"/>
            <w:vAlign w:val="center"/>
          </w:tcPr>
          <w:p w14:paraId="2C6B965E" w14:textId="77777777" w:rsidR="00025543" w:rsidRDefault="007E3A2F">
            <w:pPr>
              <w:pStyle w:val="P68B1DB1-Normal15"/>
              <w:spacing w:line="240" w:lineRule="auto"/>
              <w:jc w:val="center"/>
              <w:rPr>
                <w:noProof/>
              </w:rPr>
            </w:pPr>
            <w:r>
              <w:rPr>
                <w:noProof/>
              </w:rPr>
              <w:t>0</w:t>
            </w:r>
          </w:p>
        </w:tc>
        <w:tc>
          <w:tcPr>
            <w:tcW w:w="1021" w:type="dxa"/>
            <w:shd w:val="clear" w:color="auto" w:fill="C6EFCE"/>
            <w:vAlign w:val="center"/>
          </w:tcPr>
          <w:p w14:paraId="36746A18" w14:textId="178EEE26" w:rsidR="00025543" w:rsidRDefault="007E3A2F">
            <w:pPr>
              <w:pStyle w:val="P68B1DB1-Normal15"/>
              <w:spacing w:line="240" w:lineRule="auto"/>
              <w:jc w:val="center"/>
              <w:rPr>
                <w:noProof/>
              </w:rPr>
            </w:pPr>
            <w:r>
              <w:rPr>
                <w:noProof/>
              </w:rPr>
              <w:t>55</w:t>
            </w:r>
          </w:p>
        </w:tc>
        <w:tc>
          <w:tcPr>
            <w:tcW w:w="863" w:type="dxa"/>
            <w:shd w:val="clear" w:color="auto" w:fill="C6EFCE"/>
            <w:vAlign w:val="center"/>
          </w:tcPr>
          <w:p w14:paraId="2B16DB4F" w14:textId="77777777" w:rsidR="00025543" w:rsidRDefault="007E3A2F">
            <w:pPr>
              <w:pStyle w:val="P68B1DB1-Normal15"/>
              <w:spacing w:line="240" w:lineRule="auto"/>
              <w:jc w:val="center"/>
              <w:rPr>
                <w:noProof/>
              </w:rPr>
            </w:pPr>
            <w:r>
              <w:rPr>
                <w:noProof/>
              </w:rPr>
              <w:t>TRIMESTRE 1 </w:t>
            </w:r>
          </w:p>
        </w:tc>
        <w:tc>
          <w:tcPr>
            <w:tcW w:w="850" w:type="dxa"/>
            <w:shd w:val="clear" w:color="auto" w:fill="C6EFCE"/>
            <w:vAlign w:val="center"/>
          </w:tcPr>
          <w:p w14:paraId="26E82F35" w14:textId="77777777" w:rsidR="00025543" w:rsidRDefault="007E3A2F">
            <w:pPr>
              <w:pStyle w:val="P68B1DB1-Normal15"/>
              <w:spacing w:line="240" w:lineRule="auto"/>
              <w:jc w:val="center"/>
              <w:rPr>
                <w:noProof/>
              </w:rPr>
            </w:pPr>
            <w:r>
              <w:rPr>
                <w:noProof/>
              </w:rPr>
              <w:t>2026 </w:t>
            </w:r>
          </w:p>
        </w:tc>
        <w:tc>
          <w:tcPr>
            <w:tcW w:w="3969" w:type="dxa"/>
            <w:shd w:val="clear" w:color="auto" w:fill="C6EFCE"/>
            <w:vAlign w:val="center"/>
          </w:tcPr>
          <w:p w14:paraId="3467BF00" w14:textId="6152E372" w:rsidR="00025543" w:rsidRDefault="007E3A2F">
            <w:pPr>
              <w:pStyle w:val="P68B1DB1-Normal15"/>
              <w:spacing w:line="240" w:lineRule="auto"/>
              <w:rPr>
                <w:noProof/>
              </w:rPr>
            </w:pPr>
            <w:r>
              <w:rPr>
                <w:noProof/>
              </w:rPr>
              <w:t xml:space="preserve">Les infrastructures, dont 55 stations de base, seront construites et opérationnelles pour couvrir par les signaux 5G les municipalités dans les zones rurales à forte intensité d’investissements recensées dans l’investissement 3.  </w:t>
            </w:r>
          </w:p>
        </w:tc>
      </w:tr>
      <w:tr w:rsidR="00025543" w14:paraId="4E8C2E3E" w14:textId="77777777">
        <w:trPr>
          <w:trHeight w:val="945"/>
          <w:jc w:val="center"/>
        </w:trPr>
        <w:tc>
          <w:tcPr>
            <w:tcW w:w="619" w:type="dxa"/>
            <w:shd w:val="clear" w:color="auto" w:fill="C6EFCE"/>
            <w:vAlign w:val="center"/>
          </w:tcPr>
          <w:p w14:paraId="121BFD18" w14:textId="77777777" w:rsidR="00025543" w:rsidRDefault="007E3A2F">
            <w:pPr>
              <w:pStyle w:val="P68B1DB1-Normal15"/>
              <w:spacing w:line="240" w:lineRule="auto"/>
              <w:jc w:val="center"/>
              <w:rPr>
                <w:noProof/>
              </w:rPr>
            </w:pPr>
            <w:r>
              <w:rPr>
                <w:noProof/>
              </w:rPr>
              <w:t>45</w:t>
            </w:r>
          </w:p>
        </w:tc>
        <w:tc>
          <w:tcPr>
            <w:tcW w:w="1295" w:type="dxa"/>
            <w:shd w:val="clear" w:color="auto" w:fill="C6EFCE"/>
            <w:vAlign w:val="center"/>
          </w:tcPr>
          <w:p w14:paraId="56C94DEB" w14:textId="77777777" w:rsidR="00025543" w:rsidRDefault="007E3A2F">
            <w:pPr>
              <w:pStyle w:val="P68B1DB1-Normal15"/>
              <w:spacing w:line="240" w:lineRule="auto"/>
              <w:rPr>
                <w:noProof/>
              </w:rPr>
            </w:pPr>
            <w:r>
              <w:rPr>
                <w:noProof/>
              </w:rPr>
              <w:t>Investissement 4: Activités de recherche scientifique liées au développement de réseaux et de services 5G </w:t>
            </w:r>
          </w:p>
        </w:tc>
        <w:tc>
          <w:tcPr>
            <w:tcW w:w="1077" w:type="dxa"/>
            <w:shd w:val="clear" w:color="auto" w:fill="C6EFCE"/>
            <w:vAlign w:val="center"/>
          </w:tcPr>
          <w:p w14:paraId="03BF262A" w14:textId="77777777" w:rsidR="00025543" w:rsidRDefault="007E3A2F">
            <w:pPr>
              <w:pStyle w:val="P68B1DB1-Normal15"/>
              <w:spacing w:line="240" w:lineRule="auto"/>
              <w:rPr>
                <w:noProof/>
              </w:rPr>
            </w:pPr>
            <w:r>
              <w:rPr>
                <w:noProof/>
              </w:rPr>
              <w:t>Étapes </w:t>
            </w:r>
          </w:p>
        </w:tc>
        <w:tc>
          <w:tcPr>
            <w:tcW w:w="1516" w:type="dxa"/>
            <w:shd w:val="clear" w:color="auto" w:fill="C6EFCE"/>
            <w:vAlign w:val="center"/>
          </w:tcPr>
          <w:p w14:paraId="5727BB0D" w14:textId="77777777" w:rsidR="00025543" w:rsidRDefault="007E3A2F">
            <w:pPr>
              <w:pStyle w:val="P68B1DB1-Normal15"/>
              <w:spacing w:line="240" w:lineRule="auto"/>
              <w:rPr>
                <w:noProof/>
              </w:rPr>
            </w:pPr>
            <w:r>
              <w:rPr>
                <w:noProof/>
              </w:rPr>
              <w:t>Octroi de toutes les décisions de subvention pour des projets de recherche scientifique liés aux réseaux 5G </w:t>
            </w:r>
          </w:p>
        </w:tc>
        <w:tc>
          <w:tcPr>
            <w:tcW w:w="1145" w:type="dxa"/>
            <w:shd w:val="clear" w:color="auto" w:fill="C6EFCE"/>
            <w:vAlign w:val="center"/>
          </w:tcPr>
          <w:p w14:paraId="2A3FB87E" w14:textId="77777777" w:rsidR="00025543" w:rsidRDefault="007E3A2F">
            <w:pPr>
              <w:pStyle w:val="P68B1DB1-Normal15"/>
              <w:spacing w:line="240" w:lineRule="auto"/>
              <w:rPr>
                <w:noProof/>
              </w:rPr>
            </w:pPr>
            <w:r>
              <w:rPr>
                <w:noProof/>
              </w:rPr>
              <w:t>Notification de l’octroi de toutes les décisions de subvention pour des projets de recherche scientifique liés aux réseaux 5G par le ministère de l’industrie et du commerce </w:t>
            </w:r>
          </w:p>
        </w:tc>
        <w:tc>
          <w:tcPr>
            <w:tcW w:w="1417" w:type="dxa"/>
            <w:shd w:val="clear" w:color="auto" w:fill="C6EFCE"/>
            <w:vAlign w:val="center"/>
          </w:tcPr>
          <w:p w14:paraId="69957A49" w14:textId="77777777" w:rsidR="00025543" w:rsidRDefault="00025543">
            <w:pPr>
              <w:spacing w:line="240" w:lineRule="auto"/>
              <w:rPr>
                <w:rFonts w:eastAsia="Times New Roman"/>
                <w:noProof/>
                <w:color w:val="004300"/>
                <w:sz w:val="18"/>
              </w:rPr>
            </w:pPr>
          </w:p>
        </w:tc>
        <w:tc>
          <w:tcPr>
            <w:tcW w:w="1021" w:type="dxa"/>
            <w:shd w:val="clear" w:color="auto" w:fill="C6EFCE"/>
            <w:vAlign w:val="center"/>
          </w:tcPr>
          <w:p w14:paraId="26812B6C" w14:textId="77777777" w:rsidR="00025543" w:rsidRDefault="00025543">
            <w:pPr>
              <w:spacing w:line="240" w:lineRule="auto"/>
              <w:rPr>
                <w:rFonts w:eastAsia="Times New Roman"/>
                <w:noProof/>
                <w:color w:val="004300"/>
                <w:sz w:val="18"/>
              </w:rPr>
            </w:pPr>
          </w:p>
        </w:tc>
        <w:tc>
          <w:tcPr>
            <w:tcW w:w="1021" w:type="dxa"/>
            <w:shd w:val="clear" w:color="auto" w:fill="C6EFCE"/>
            <w:vAlign w:val="center"/>
          </w:tcPr>
          <w:p w14:paraId="446B8D19" w14:textId="77777777" w:rsidR="00025543" w:rsidRDefault="00025543">
            <w:pPr>
              <w:spacing w:line="240" w:lineRule="auto"/>
              <w:rPr>
                <w:rFonts w:eastAsia="Times New Roman"/>
                <w:noProof/>
                <w:color w:val="004300"/>
                <w:sz w:val="18"/>
              </w:rPr>
            </w:pPr>
          </w:p>
        </w:tc>
        <w:tc>
          <w:tcPr>
            <w:tcW w:w="863" w:type="dxa"/>
            <w:shd w:val="clear" w:color="auto" w:fill="C6EFCE"/>
            <w:vAlign w:val="center"/>
          </w:tcPr>
          <w:p w14:paraId="6D10E121" w14:textId="77777777" w:rsidR="00025543" w:rsidRDefault="007E3A2F">
            <w:pPr>
              <w:pStyle w:val="P68B1DB1-Normal15"/>
              <w:spacing w:line="240" w:lineRule="auto"/>
              <w:jc w:val="center"/>
              <w:rPr>
                <w:noProof/>
              </w:rPr>
            </w:pPr>
            <w:r>
              <w:rPr>
                <w:noProof/>
              </w:rPr>
              <w:t>TRIMESTRE 4 </w:t>
            </w:r>
          </w:p>
        </w:tc>
        <w:tc>
          <w:tcPr>
            <w:tcW w:w="850" w:type="dxa"/>
            <w:shd w:val="clear" w:color="auto" w:fill="C6EFCE"/>
            <w:vAlign w:val="center"/>
          </w:tcPr>
          <w:p w14:paraId="3B99A227" w14:textId="77777777" w:rsidR="00025543" w:rsidRDefault="007E3A2F">
            <w:pPr>
              <w:pStyle w:val="P68B1DB1-Normal15"/>
              <w:spacing w:line="240" w:lineRule="auto"/>
              <w:jc w:val="center"/>
              <w:rPr>
                <w:noProof/>
              </w:rPr>
            </w:pPr>
            <w:r>
              <w:rPr>
                <w:noProof/>
              </w:rPr>
              <w:t>2024 </w:t>
            </w:r>
          </w:p>
        </w:tc>
        <w:tc>
          <w:tcPr>
            <w:tcW w:w="3969" w:type="dxa"/>
            <w:shd w:val="clear" w:color="auto" w:fill="C6EFCE"/>
            <w:vAlign w:val="center"/>
          </w:tcPr>
          <w:p w14:paraId="0FEE930E" w14:textId="77777777" w:rsidR="00025543" w:rsidRDefault="007E3A2F">
            <w:pPr>
              <w:pStyle w:val="P68B1DB1-Normal15"/>
              <w:spacing w:line="240" w:lineRule="auto"/>
              <w:rPr>
                <w:noProof/>
              </w:rPr>
            </w:pPr>
            <w:r>
              <w:rPr>
                <w:noProof/>
              </w:rPr>
              <w:t xml:space="preserve">Notification de l’octroi de toutes les décisions de subvention pour des projets de recherche scientifique liés aux réseaux 5G par le ministère de l’industrie et du commerce. Les projets sont axés sur l’utilisation d’applications 5G dans l’industrie et les services, en particulier l’exploitation des nouvelles technologies dans les processus de production de l’automobile et d’autres secteurs clés, en tenant compte des principes de l’économie circulaire par l’approvisionnement en matières premières secondaires. Le soutien est également axé sur des projets favorisant le développement et la diffusion de l’automatisation, de la robotisation, de l’intelligence artificielle et de la réalité virtuelle ou augmentée. Parmi les bénéficiaires potentiels figurent les entreprises ou les organismes publics de recherche. </w:t>
            </w:r>
          </w:p>
        </w:tc>
      </w:tr>
      <w:tr w:rsidR="00025543" w14:paraId="7701490C" w14:textId="77777777">
        <w:trPr>
          <w:trHeight w:val="345"/>
          <w:jc w:val="center"/>
        </w:trPr>
        <w:tc>
          <w:tcPr>
            <w:tcW w:w="619" w:type="dxa"/>
            <w:shd w:val="clear" w:color="auto" w:fill="C6EFCE"/>
            <w:vAlign w:val="center"/>
          </w:tcPr>
          <w:p w14:paraId="72D6D62A" w14:textId="77777777" w:rsidR="00025543" w:rsidRDefault="007E3A2F">
            <w:pPr>
              <w:pStyle w:val="P68B1DB1-Normal15"/>
              <w:spacing w:line="240" w:lineRule="auto"/>
              <w:jc w:val="center"/>
              <w:rPr>
                <w:noProof/>
              </w:rPr>
            </w:pPr>
            <w:r>
              <w:rPr>
                <w:noProof/>
              </w:rPr>
              <w:t>46</w:t>
            </w:r>
          </w:p>
        </w:tc>
        <w:tc>
          <w:tcPr>
            <w:tcW w:w="1295" w:type="dxa"/>
            <w:shd w:val="clear" w:color="auto" w:fill="C6EFCE"/>
            <w:vAlign w:val="center"/>
          </w:tcPr>
          <w:p w14:paraId="36E2FAB3" w14:textId="77777777" w:rsidR="00025543" w:rsidRDefault="007E3A2F">
            <w:pPr>
              <w:pStyle w:val="P68B1DB1-Normal15"/>
              <w:spacing w:line="240" w:lineRule="auto"/>
              <w:rPr>
                <w:noProof/>
              </w:rPr>
            </w:pPr>
            <w:r>
              <w:rPr>
                <w:noProof/>
              </w:rPr>
              <w:t>Investissement 4: Activités de recherche scientifique liées au développement de réseaux et de services 5G </w:t>
            </w:r>
          </w:p>
        </w:tc>
        <w:tc>
          <w:tcPr>
            <w:tcW w:w="1077" w:type="dxa"/>
            <w:shd w:val="clear" w:color="auto" w:fill="C6EFCE"/>
            <w:vAlign w:val="center"/>
          </w:tcPr>
          <w:p w14:paraId="3CB87F2B" w14:textId="77777777" w:rsidR="00025543" w:rsidRDefault="007E3A2F">
            <w:pPr>
              <w:pStyle w:val="P68B1DB1-Normal15"/>
              <w:spacing w:line="240" w:lineRule="auto"/>
              <w:rPr>
                <w:noProof/>
              </w:rPr>
            </w:pPr>
            <w:r>
              <w:rPr>
                <w:noProof/>
              </w:rPr>
              <w:t>Cible</w:t>
            </w:r>
          </w:p>
        </w:tc>
        <w:tc>
          <w:tcPr>
            <w:tcW w:w="1516" w:type="dxa"/>
            <w:shd w:val="clear" w:color="auto" w:fill="C6EFCE"/>
            <w:vAlign w:val="center"/>
          </w:tcPr>
          <w:p w14:paraId="0CF35BCE" w14:textId="77777777" w:rsidR="00025543" w:rsidRDefault="007E3A2F">
            <w:pPr>
              <w:pStyle w:val="P68B1DB1-Normal15"/>
              <w:spacing w:line="240" w:lineRule="auto"/>
              <w:rPr>
                <w:noProof/>
              </w:rPr>
            </w:pPr>
            <w:r>
              <w:rPr>
                <w:noProof/>
              </w:rPr>
              <w:t>Achèvement des projets de recherche scientifique liés aux réseaux 5G</w:t>
            </w:r>
          </w:p>
        </w:tc>
        <w:tc>
          <w:tcPr>
            <w:tcW w:w="1145" w:type="dxa"/>
            <w:shd w:val="clear" w:color="auto" w:fill="C6EFCE"/>
            <w:vAlign w:val="center"/>
          </w:tcPr>
          <w:p w14:paraId="6F15B6BD" w14:textId="77777777" w:rsidR="00025543" w:rsidRDefault="00025543">
            <w:pPr>
              <w:spacing w:line="240" w:lineRule="auto"/>
              <w:rPr>
                <w:rFonts w:eastAsia="Times New Roman"/>
                <w:noProof/>
                <w:color w:val="004300"/>
                <w:sz w:val="18"/>
              </w:rPr>
            </w:pPr>
          </w:p>
        </w:tc>
        <w:tc>
          <w:tcPr>
            <w:tcW w:w="1417" w:type="dxa"/>
            <w:shd w:val="clear" w:color="auto" w:fill="C6EFCE"/>
            <w:vAlign w:val="center"/>
          </w:tcPr>
          <w:p w14:paraId="2F1066C0" w14:textId="77777777" w:rsidR="00025543" w:rsidRDefault="007E3A2F">
            <w:pPr>
              <w:pStyle w:val="P68B1DB1-Normal15"/>
              <w:spacing w:line="240" w:lineRule="auto"/>
              <w:rPr>
                <w:noProof/>
              </w:rPr>
            </w:pPr>
            <w:r>
              <w:rPr>
                <w:noProof/>
              </w:rPr>
              <w:t>Nombre de projets soutenus</w:t>
            </w:r>
          </w:p>
        </w:tc>
        <w:tc>
          <w:tcPr>
            <w:tcW w:w="1021" w:type="dxa"/>
            <w:shd w:val="clear" w:color="auto" w:fill="C6EFCE"/>
            <w:vAlign w:val="center"/>
          </w:tcPr>
          <w:p w14:paraId="2342916B" w14:textId="77777777" w:rsidR="00025543" w:rsidRDefault="007E3A2F">
            <w:pPr>
              <w:pStyle w:val="P68B1DB1-Normal15"/>
              <w:spacing w:line="240" w:lineRule="auto"/>
              <w:jc w:val="center"/>
              <w:rPr>
                <w:noProof/>
              </w:rPr>
            </w:pPr>
            <w:r>
              <w:rPr>
                <w:noProof/>
              </w:rPr>
              <w:t>0</w:t>
            </w:r>
          </w:p>
        </w:tc>
        <w:tc>
          <w:tcPr>
            <w:tcW w:w="1021" w:type="dxa"/>
            <w:shd w:val="clear" w:color="auto" w:fill="C6EFCE"/>
            <w:vAlign w:val="center"/>
          </w:tcPr>
          <w:p w14:paraId="4BD17C27" w14:textId="43EC7CBB" w:rsidR="00025543" w:rsidRDefault="007E3A2F">
            <w:pPr>
              <w:pStyle w:val="P68B1DB1-Normal15"/>
              <w:spacing w:line="240" w:lineRule="auto"/>
              <w:jc w:val="center"/>
              <w:rPr>
                <w:noProof/>
              </w:rPr>
            </w:pPr>
            <w:r>
              <w:rPr>
                <w:noProof/>
              </w:rPr>
              <w:t>22</w:t>
            </w:r>
          </w:p>
        </w:tc>
        <w:tc>
          <w:tcPr>
            <w:tcW w:w="863" w:type="dxa"/>
            <w:shd w:val="clear" w:color="auto" w:fill="C6EFCE"/>
            <w:vAlign w:val="center"/>
          </w:tcPr>
          <w:p w14:paraId="3E94CC8B" w14:textId="77777777" w:rsidR="00025543" w:rsidRDefault="007E3A2F">
            <w:pPr>
              <w:pStyle w:val="P68B1DB1-Normal15"/>
              <w:spacing w:line="240" w:lineRule="auto"/>
              <w:jc w:val="center"/>
              <w:rPr>
                <w:noProof/>
              </w:rPr>
            </w:pPr>
            <w:r>
              <w:rPr>
                <w:noProof/>
              </w:rPr>
              <w:t>TRIMESTRE 4</w:t>
            </w:r>
          </w:p>
        </w:tc>
        <w:tc>
          <w:tcPr>
            <w:tcW w:w="850" w:type="dxa"/>
            <w:shd w:val="clear" w:color="auto" w:fill="C6EFCE"/>
            <w:vAlign w:val="center"/>
          </w:tcPr>
          <w:p w14:paraId="6D77CB4F" w14:textId="77777777" w:rsidR="00025543" w:rsidRDefault="007E3A2F">
            <w:pPr>
              <w:pStyle w:val="P68B1DB1-Normal15"/>
              <w:spacing w:line="240" w:lineRule="auto"/>
              <w:jc w:val="center"/>
              <w:rPr>
                <w:noProof/>
              </w:rPr>
            </w:pPr>
            <w:r>
              <w:rPr>
                <w:noProof/>
              </w:rPr>
              <w:t>2025</w:t>
            </w:r>
          </w:p>
        </w:tc>
        <w:tc>
          <w:tcPr>
            <w:tcW w:w="3969" w:type="dxa"/>
            <w:shd w:val="clear" w:color="auto" w:fill="C6EFCE"/>
            <w:vAlign w:val="center"/>
          </w:tcPr>
          <w:p w14:paraId="27BF753C" w14:textId="7BF1EA1B" w:rsidR="00025543" w:rsidRDefault="007E3A2F">
            <w:pPr>
              <w:pStyle w:val="P68B1DB1-Normal15"/>
              <w:spacing w:line="240" w:lineRule="auto"/>
              <w:rPr>
                <w:noProof/>
              </w:rPr>
            </w:pPr>
            <w:r>
              <w:rPr>
                <w:noProof/>
              </w:rPr>
              <w:t>Au moins 22 des projets de recherche scientifique sélectionnés précédemment sur le développement potentiel des réseaux et services 5G doivent être achevés. Les études qui en résultent sont publiées par le ministère de l’industrie et du commerce.</w:t>
            </w:r>
          </w:p>
        </w:tc>
      </w:tr>
    </w:tbl>
    <w:p w14:paraId="075C51CA" w14:textId="77777777" w:rsidR="00025543" w:rsidRDefault="00025543">
      <w:pPr>
        <w:spacing w:line="240" w:lineRule="auto"/>
        <w:rPr>
          <w:b/>
          <w:smallCaps/>
          <w:noProof/>
        </w:rPr>
        <w:sectPr w:rsidR="00025543" w:rsidSect="001932DE">
          <w:headerReference w:type="even" r:id="rId72"/>
          <w:headerReference w:type="default" r:id="rId73"/>
          <w:footerReference w:type="even" r:id="rId74"/>
          <w:footerReference w:type="default" r:id="rId75"/>
          <w:headerReference w:type="first" r:id="rId76"/>
          <w:footerReference w:type="first" r:id="rId77"/>
          <w:pgSz w:w="16839" w:h="11907" w:orient="landscape"/>
          <w:pgMar w:top="1134" w:right="1134" w:bottom="1134" w:left="1134" w:header="567" w:footer="567" w:gutter="0"/>
          <w:cols w:space="720"/>
          <w:docGrid w:linePitch="360"/>
        </w:sectPr>
      </w:pPr>
    </w:p>
    <w:p w14:paraId="7BBA72BE" w14:textId="77777777" w:rsidR="00025543" w:rsidRDefault="007E3A2F">
      <w:pPr>
        <w:pStyle w:val="P68B1DB1-Normal2"/>
        <w:keepNext/>
        <w:tabs>
          <w:tab w:val="left" w:pos="850"/>
        </w:tabs>
        <w:spacing w:line="240" w:lineRule="auto"/>
        <w:jc w:val="both"/>
        <w:outlineLvl w:val="0"/>
        <w:rPr>
          <w:noProof/>
        </w:rPr>
      </w:pPr>
      <w:r>
        <w:rPr>
          <w:noProof/>
        </w:rPr>
        <w:t>D. ELÉMENT 1.4: Économie et société numériques, start-up innovantes et nouvelles technologies</w:t>
      </w:r>
    </w:p>
    <w:p w14:paraId="3AD0E45A" w14:textId="77777777" w:rsidR="00025543" w:rsidRDefault="007E3A2F">
      <w:pPr>
        <w:spacing w:line="240" w:lineRule="auto"/>
        <w:jc w:val="both"/>
        <w:rPr>
          <w:noProof/>
        </w:rPr>
      </w:pPr>
      <w:r>
        <w:rPr>
          <w:noProof/>
        </w:rPr>
        <w:t>Ce volet du plan pour la reprise et la résilience de la République tchèque contribue à relever le défi consistant à faciliter la numérisation et l’adoption de nouvelles technologies par les entreprises, y compris les PME. Il vise également à mettre en place un organisme chargé de coordonner les projets axés sur la transformation numérique de l’économie, de soutenir le développement et l’adoption de technologies stratégiques sélectionnées, y compris l’intelligence artificielle, et d’améliorer l’écosystème d’innovation, en particulier pour les jeunes pousses, y compris par le renforcement des liens entre les universités et les entreprises. Les investissements prévus devraient favoriser l’accès des jeunes pousses et PME innovantes au financement, notamment au moyen de solutions de financement des technologies financières et des solutions de financement en phase de démarrage, ainsi que l’accès à la formation et aux installations d’essai afin de contribuer à l’adoption de nouvelles technologies numériques. Le volet présente des synergies avec les volets 1.3 [Réseaux numériques à haute capacité] et 1.5 [Transformation numérique des entreprises] du plan tchèque, qui contribuent à remédier à l’accès aux réseaux à haute capacité et à la numérisation des entreprises.</w:t>
      </w:r>
    </w:p>
    <w:p w14:paraId="7AD517F3" w14:textId="77777777" w:rsidR="00025543" w:rsidRDefault="007E3A2F">
      <w:pPr>
        <w:spacing w:line="240" w:lineRule="auto"/>
        <w:jc w:val="both"/>
        <w:rPr>
          <w:rFonts w:eastAsia="Times New Roman"/>
          <w:noProof/>
        </w:rPr>
      </w:pPr>
      <w:r>
        <w:rPr>
          <w:noProof/>
        </w:rPr>
        <w:t>Le</w:t>
      </w:r>
      <w:r>
        <w:rPr>
          <w:rFonts w:eastAsia="Times New Roman"/>
          <w:noProof/>
          <w:color w:val="000000"/>
        </w:rPr>
        <w:t xml:space="preserve">volet soutient </w:t>
      </w:r>
      <w:r>
        <w:rPr>
          <w:rFonts w:eastAsia="Times New Roman"/>
          <w:noProof/>
        </w:rPr>
        <w:t xml:space="preserve">la mise </w:t>
      </w:r>
      <w:r>
        <w:rPr>
          <w:noProof/>
        </w:rPr>
        <w:t xml:space="preserve">en œuvre de la recommandation spécifique par pays 3 </w:t>
      </w:r>
      <w:r>
        <w:rPr>
          <w:rFonts w:eastAsia="Times New Roman"/>
          <w:noProof/>
        </w:rPr>
        <w:t xml:space="preserve">2019, selon laquelle la Tchéquie concentre </w:t>
      </w:r>
      <w:r>
        <w:rPr>
          <w:noProof/>
        </w:rPr>
        <w:t>la politique économique liée aux investissements sur les infrastructures numériques et supprime les obstacles au développement d’un écosystème d’innovation pleinement opérationnel,</w:t>
      </w:r>
      <w:r>
        <w:rPr>
          <w:rFonts w:eastAsia="Times New Roman"/>
          <w:noProof/>
          <w:color w:val="000000"/>
        </w:rPr>
        <w:t xml:space="preserve"> et </w:t>
      </w:r>
      <w:r>
        <w:rPr>
          <w:noProof/>
        </w:rPr>
        <w:t xml:space="preserve">de la recommandation spécifique no 3 </w:t>
      </w:r>
      <w:r>
        <w:rPr>
          <w:rFonts w:eastAsia="Times New Roman"/>
          <w:noProof/>
        </w:rPr>
        <w:t>2020</w:t>
      </w:r>
      <w:r>
        <w:rPr>
          <w:rFonts w:eastAsia="Times New Roman"/>
          <w:noProof/>
          <w:color w:val="000000"/>
        </w:rPr>
        <w:t>, selon laquelle la Tchéquie soutient les petites</w:t>
      </w:r>
      <w:r>
        <w:rPr>
          <w:i/>
          <w:noProof/>
          <w:color w:val="000000"/>
        </w:rPr>
        <w:t xml:space="preserve"> </w:t>
      </w:r>
      <w:r>
        <w:rPr>
          <w:noProof/>
        </w:rPr>
        <w:t>et moyennes entreprises en recourant davantage aux instruments financiers pour garantir un soutien de trésorerie, concentrer les investissements sur la transition numérique, en particulier sur les infrastructures et technologies numériques à haute capacité, garantir l’accès au financement des entreprises innovantes et améliorer la coopération public-privé en matière de R &amp;D.</w:t>
      </w:r>
      <w:r>
        <w:rPr>
          <w:rFonts w:eastAsia="Times New Roman"/>
          <w:noProof/>
        </w:rPr>
        <w:t xml:space="preserve"> </w:t>
      </w:r>
    </w:p>
    <w:p w14:paraId="5C04BB83" w14:textId="78415B2A" w:rsidR="00025543" w:rsidRDefault="007E3A2F">
      <w:pPr>
        <w:pStyle w:val="P68B1DB1-Normal3"/>
        <w:spacing w:line="240" w:lineRule="auto"/>
        <w:jc w:val="both"/>
        <w:rPr>
          <w:noProof/>
        </w:rPr>
      </w:pPr>
      <w:r>
        <w:rPr>
          <w:noProof/>
        </w:rPr>
        <w:t>Aucune mesure relevant de ce volet ne devrait causer de préjudice important aux objectifs environnementaux au sens de l’article 17 du règlement (UE) 2020/852, compte tenu de la description des mesures et des mesures d’atténuation prévues dans le plan conformément aux orientations techniques DNSH (2021/C58/01). En particulier, les résultats du processus de R &amp;Isont technologiquement neutres au niveau de leur application (c’est-à-dire qu’ils doivent être appliqués à toutes les technologies disponibles, y compris les technologies à faible impact), et la mesure exclut ex ante la R &amp;I consacrée aux éléments de la «R &amp;I brun» (à savoir le charbon, le lignite, le pétrole/le pétrole, le gaz naturel non couvert par l’annexe III des orientations techniques DNSH, l’hydrogène bleu et gris, les incinérateurs et les décharges).</w:t>
      </w:r>
    </w:p>
    <w:p w14:paraId="3C9A82B5" w14:textId="77777777" w:rsidR="00025543" w:rsidRDefault="00025543">
      <w:pPr>
        <w:spacing w:line="240" w:lineRule="auto"/>
        <w:jc w:val="both"/>
        <w:rPr>
          <w:noProof/>
        </w:rPr>
      </w:pPr>
    </w:p>
    <w:p w14:paraId="0E9525BC" w14:textId="77777777" w:rsidR="00025543" w:rsidRDefault="007E3A2F">
      <w:pPr>
        <w:pStyle w:val="P68B1DB1-Normal5"/>
        <w:spacing w:line="240" w:lineRule="auto"/>
        <w:jc w:val="both"/>
        <w:rPr>
          <w:noProof/>
        </w:rPr>
      </w:pPr>
      <w:r>
        <w:rPr>
          <w:noProof/>
        </w:rPr>
        <w:t xml:space="preserve">D.1. </w:t>
      </w:r>
      <w:r>
        <w:rPr>
          <w:noProof/>
        </w:rPr>
        <w:tab/>
        <w:t>Description des réformes et des investissements en vue du soutien financier non remboursable</w:t>
      </w:r>
    </w:p>
    <w:p w14:paraId="0AD557D2" w14:textId="77777777" w:rsidR="00025543" w:rsidRDefault="007E3A2F">
      <w:pPr>
        <w:pStyle w:val="P68B1DB1-Normal7"/>
        <w:spacing w:line="240" w:lineRule="auto"/>
        <w:jc w:val="both"/>
        <w:rPr>
          <w:rFonts w:eastAsia="Times New Roman"/>
          <w:noProof/>
        </w:rPr>
      </w:pPr>
      <w:r>
        <w:rPr>
          <w:noProof/>
        </w:rPr>
        <w:t xml:space="preserve">Réforme 1: </w:t>
      </w:r>
      <w:r>
        <w:rPr>
          <w:rFonts w:eastAsia="Times New Roman"/>
          <w:noProof/>
        </w:rPr>
        <w:t>Réforme institutionnelle du système de gestion pour la transformation numérique, y compris la stratégie RIS 3</w:t>
      </w:r>
    </w:p>
    <w:p w14:paraId="3596C172" w14:textId="3352C31D" w:rsidR="00025543" w:rsidRDefault="007E3A2F">
      <w:pPr>
        <w:spacing w:line="240" w:lineRule="auto"/>
        <w:jc w:val="both"/>
        <w:rPr>
          <w:rFonts w:eastAsia="Times New Roman"/>
          <w:noProof/>
        </w:rPr>
      </w:pPr>
      <w:r>
        <w:rPr>
          <w:noProof/>
        </w:rPr>
        <w:t xml:space="preserve">La réforme institutionnelle vise à simplifier la structure organisationnelle qui supervise la transformation numérique. Le nouveau comité pour la transformation numérique (DTC) coopère étroitement avec la stratégie </w:t>
      </w:r>
      <w:r>
        <w:rPr>
          <w:rFonts w:eastAsia="Times New Roman"/>
          <w:noProof/>
        </w:rPr>
        <w:t xml:space="preserve">nationale d’innovation pour une spécialisation intelligente qui définit et diffuse les technologies clés et les domaines pertinents de la recherche et de l’innovation. Il assure la connectivité et la coordination entre les acteurs de l’ensemble de l’écosystème numérique et inclut la représentation des parties prenantes privées et publiques. Elle sensibilise également les entreprises et les citoyens aux possibilités d’appliquer les nouvelles technologies numériques. </w:t>
      </w:r>
    </w:p>
    <w:p w14:paraId="7388080E" w14:textId="4FFA1971" w:rsidR="00025543" w:rsidRDefault="007E3A2F">
      <w:pPr>
        <w:pStyle w:val="P68B1DB1-Normal3"/>
        <w:spacing w:line="240" w:lineRule="auto"/>
        <w:jc w:val="both"/>
        <w:rPr>
          <w:noProof/>
        </w:rPr>
      </w:pPr>
      <w:r>
        <w:rPr>
          <w:noProof/>
        </w:rPr>
        <w:t>La poursuite de l’amélioration de l’écosystème numérique et de l’innovation (y compris les jeunes pousses, les entreprises issues de l’essaimage et les technologies stratégiques) comprend la mise en place, dans le cadre du comité de la transformation numérique, d’un organe de coordination chargé de la mise en œuvre des programmes de soutien aux entreprises relevant de ce volet, conformément à la norme de l’UE pour les start-up, dans le but de fournir des recommandations et des conseils sur la mise en œuvre de la réforme et les investissements y afférents. La réforme conduira à mettre en place une coopération entre les secteurs public et privé et à soutenir les trois fonds pilotes de co-investissement, les programmes de soutien à l’esprit d’entreprise et aux entreprises, les activités visant à renforcer l’internationalisation des jeunes pousses et les bacs à sable réglementaires testant des solutions innovantes dans la pratique, comme proposé dans le cadre du présent volet.</w:t>
      </w:r>
    </w:p>
    <w:p w14:paraId="44A9F287" w14:textId="77777777" w:rsidR="00025543" w:rsidRDefault="007E3A2F">
      <w:pPr>
        <w:pStyle w:val="P68B1DB1-Normal3"/>
        <w:spacing w:line="240" w:lineRule="auto"/>
        <w:jc w:val="both"/>
        <w:rPr>
          <w:noProof/>
        </w:rPr>
      </w:pPr>
      <w:r>
        <w:rPr>
          <w:noProof/>
        </w:rPr>
        <w:t>La réforme est mise en œuvre au plus tard le 31 décembre 2025.</w:t>
      </w:r>
    </w:p>
    <w:p w14:paraId="46C9FF2E" w14:textId="77777777" w:rsidR="00025543" w:rsidRDefault="007E3A2F">
      <w:pPr>
        <w:pStyle w:val="P68B1DB1-Normal7"/>
        <w:spacing w:line="240" w:lineRule="auto"/>
        <w:jc w:val="both"/>
        <w:rPr>
          <w:rFonts w:eastAsia="Times New Roman"/>
          <w:noProof/>
          <w:color w:val="000000"/>
        </w:rPr>
      </w:pPr>
      <w:r>
        <w:rPr>
          <w:noProof/>
        </w:rPr>
        <w:t xml:space="preserve">Réforme 2: </w:t>
      </w:r>
      <w:r>
        <w:rPr>
          <w:rFonts w:eastAsia="Times New Roman"/>
          <w:noProof/>
          <w:color w:val="000000"/>
        </w:rPr>
        <w:t>Groupe conjoint de soutien et de certification en matière de technologies stratégiques avec le comité des technologies stratégiques</w:t>
      </w:r>
    </w:p>
    <w:p w14:paraId="4E4F7541" w14:textId="60C9F280" w:rsidR="00025543" w:rsidRDefault="007E3A2F">
      <w:pPr>
        <w:pStyle w:val="P68B1DB1-Normal4"/>
        <w:spacing w:line="240" w:lineRule="auto"/>
        <w:jc w:val="both"/>
        <w:rPr>
          <w:noProof/>
        </w:rPr>
      </w:pPr>
      <w:r>
        <w:rPr>
          <w:noProof/>
        </w:rPr>
        <w:t>La réforme vise à mettre en place des autorités de gestion de la qualité et de certification des produits accréditées et à mettre en place un réseau de laboratoires accrédités disposant de capacités d’essai et de certification suffisantes, ainsi qu’à partager les bonnes pratiques, en particulier dans des secteurs stratégiques tels que l’industrie aérospatiale et des dispositifs médicaux, ce qui améliorera la qualité des produits et la compétitivité des entreprises tchèques. La réforme soutient des activités telles que: faciliter les processus d’accréditation et l’achat d’équipements, en mettant l’accent sur: matériaux et technologies avancés (composites, fabrication additive, applications laser); technologies vertes (propulsion hybride/électrique, décarbonation, réduction du bruit, biocarburants, durabilité du transport aérien); automatisation et numérisation; Véhicules aériens sans équipage (UAV)/systèmes d’aéronefs sans équipage à bord (UAS); Mobilité aérienne urbaine (MNA); applications logicielles; Industrie 4.0 dans l’aérospatiale (IA, IdO, mégadonnées). Le volet comprend également les services de conseil et de conseil aux entreprises en vue de l’obtention de la certification et de la diffusion des pratiques de fabrication. La réforme comprend également la création de cours de formation à la disposition des parties prenantes sur le processus de certification.</w:t>
      </w:r>
    </w:p>
    <w:p w14:paraId="59522DE1" w14:textId="77777777" w:rsidR="00025543" w:rsidRDefault="007E3A2F">
      <w:pPr>
        <w:pStyle w:val="P68B1DB1-Normal4"/>
        <w:spacing w:line="240" w:lineRule="auto"/>
        <w:jc w:val="both"/>
        <w:rPr>
          <w:noProof/>
        </w:rPr>
      </w:pPr>
      <w:r>
        <w:rPr>
          <w:noProof/>
        </w:rPr>
        <w:t>La réforme est mise en œuvre au plus tard le 31 décembre 2024.</w:t>
      </w:r>
    </w:p>
    <w:p w14:paraId="4D6887B6" w14:textId="77777777" w:rsidR="00025543" w:rsidRDefault="007E3A2F">
      <w:pPr>
        <w:pStyle w:val="P68B1DB1-Normal7"/>
        <w:spacing w:line="240" w:lineRule="auto"/>
        <w:jc w:val="both"/>
        <w:rPr>
          <w:noProof/>
        </w:rPr>
      </w:pPr>
      <w:r>
        <w:rPr>
          <w:noProof/>
        </w:rPr>
        <w:t>Investissement 2: Observatoire européen des médias numériques (EDMO)</w:t>
      </w:r>
    </w:p>
    <w:p w14:paraId="3E2B379F" w14:textId="332B2EC0" w:rsidR="00025543" w:rsidRDefault="007E3A2F">
      <w:pPr>
        <w:spacing w:line="240" w:lineRule="auto"/>
        <w:jc w:val="both"/>
        <w:rPr>
          <w:noProof/>
        </w:rPr>
      </w:pPr>
      <w:r>
        <w:rPr>
          <w:noProof/>
        </w:rPr>
        <w:t>Cet investissement mettra en place l’Observatoire central européen des médias numériques (CEDMO), une institution régionale dirigée par l’université Charles en partenariat avec l’université technique tchèque de Prague (ČVUT) et le site web de vérification des faits démagog.cz. Le CEDMO est lié à l’Observatoire européen des médias numériques et suit le plan d’action contre la désinformation publié par la Commission européenne et le haut représentant de l’Union pour les affaires étrangères et la politique de sécurité. Il fournit des outils et une méthodologie d’IA pour lutter de manière impartiale contre la manipulation de l’information, y compris la désinformation dans l’espace numérique, et fournit une méthodologie pour détecter, analyser et faire connaître les campagnes de désinformation aux niveaux national, transnational et européen et analyser l’incidence des campagnes de désinformation sur la société et la démocratie; soutenir l’éducation aux médias et surveiller les règles des plateformes en ligne et de l’écosystème des médias numériques en coopération avec les autorités nationales. L’investissement comprend également des projets de recherche à long terme publiant des résultats tels que l’éducation au numérique et aux médias, la désinformation et la mésinformation en Tchéquie et l’incidence de l’IA sur les médias.</w:t>
      </w:r>
    </w:p>
    <w:p w14:paraId="1B0194D2" w14:textId="77777777" w:rsidR="00025543" w:rsidRDefault="007E3A2F">
      <w:pPr>
        <w:pStyle w:val="P68B1DB1-Normal3"/>
        <w:spacing w:line="240" w:lineRule="auto"/>
        <w:jc w:val="both"/>
        <w:rPr>
          <w:noProof/>
        </w:rPr>
      </w:pPr>
      <w:r>
        <w:rPr>
          <w:noProof/>
        </w:rPr>
        <w:t>L’investissement est mis en œuvre au plus tard le 31 décembre 2025.</w:t>
      </w:r>
    </w:p>
    <w:p w14:paraId="11369E3C" w14:textId="77777777" w:rsidR="00025543" w:rsidRDefault="007E3A2F">
      <w:pPr>
        <w:pStyle w:val="P68B1DB1-Normal7"/>
        <w:spacing w:line="240" w:lineRule="auto"/>
        <w:jc w:val="both"/>
        <w:rPr>
          <w:noProof/>
        </w:rPr>
      </w:pPr>
      <w:r>
        <w:rPr>
          <w:noProof/>
        </w:rPr>
        <w:t>Investissement 5: Infrastructure européenne de services de chaînes de blocs (EBSI)</w:t>
      </w:r>
    </w:p>
    <w:p w14:paraId="776112D9" w14:textId="59EA5D5C" w:rsidR="00025543" w:rsidRDefault="007E3A2F">
      <w:pPr>
        <w:pStyle w:val="P68B1DB1-Normal3"/>
        <w:spacing w:line="240" w:lineRule="auto"/>
        <w:jc w:val="both"/>
        <w:rPr>
          <w:rFonts w:ascii="Calibri" w:hAnsi="Calibri"/>
          <w:noProof/>
          <w:sz w:val="22"/>
        </w:rPr>
      </w:pPr>
      <w:r>
        <w:rPr>
          <w:noProof/>
        </w:rPr>
        <w:t xml:space="preserve">Les investissements prévus dans l’infrastructure européenne de services de chaînes de blocs (EBSI) relèvent du partenariat européen de la chaîne de blocs (EBP). La mesure soutient la mise en œuvre d’un cas d’utilisation de l’EBSI/EBP axé sur la création d’une plateforme paneuropéenne d’obligations DLT (technologie des registres distribués) pour le financement par l’emprunt des PME. Le projet contribue à faciliter l’accès des PME au financement, à réduire les coûts et à accroître la transparence. </w:t>
      </w:r>
    </w:p>
    <w:p w14:paraId="103E195D" w14:textId="266D7558" w:rsidR="00025543" w:rsidRDefault="007E3A2F">
      <w:pPr>
        <w:pStyle w:val="P68B1DB1-Normal13"/>
        <w:spacing w:line="240" w:lineRule="auto"/>
        <w:jc w:val="both"/>
        <w:rPr>
          <w:noProof/>
        </w:rPr>
      </w:pPr>
      <w:r>
        <w:rPr>
          <w:noProof/>
        </w:rPr>
        <w:t xml:space="preserve">L’investissement est achevé au plus tard le 30 juin 2024. </w:t>
      </w:r>
    </w:p>
    <w:p w14:paraId="395FC3E0" w14:textId="77777777" w:rsidR="00025543" w:rsidRDefault="007E3A2F">
      <w:pPr>
        <w:pStyle w:val="P68B1DB1-Normal7"/>
        <w:spacing w:line="240" w:lineRule="auto"/>
        <w:jc w:val="both"/>
        <w:rPr>
          <w:noProof/>
        </w:rPr>
      </w:pPr>
      <w:r>
        <w:rPr>
          <w:noProof/>
        </w:rPr>
        <w:t>Investissement 6: Projets d’application de démonstration 5G pour les villes et les zones industrielles</w:t>
      </w:r>
    </w:p>
    <w:p w14:paraId="29EA3FF8" w14:textId="77777777" w:rsidR="00025543" w:rsidRDefault="007E3A2F">
      <w:pPr>
        <w:pStyle w:val="P68B1DB1-Normal3"/>
        <w:spacing w:line="240" w:lineRule="auto"/>
        <w:jc w:val="both"/>
        <w:rPr>
          <w:rFonts w:ascii="Calibri" w:hAnsi="Calibri"/>
          <w:noProof/>
          <w:sz w:val="22"/>
        </w:rPr>
      </w:pPr>
      <w:r>
        <w:rPr>
          <w:noProof/>
        </w:rPr>
        <w:t xml:space="preserve">Cette mesure finance le développement d’au moins 52 projets démontrant l’application de l’infrastructure numérique et de la 5G. Les projets s’inscrivent dans le cadre de deux initiatives différentes, à savoir: </w:t>
      </w:r>
    </w:p>
    <w:p w14:paraId="1AA4CD89" w14:textId="77777777" w:rsidR="00025543" w:rsidRDefault="007E3A2F">
      <w:pPr>
        <w:pStyle w:val="P68B1DB1-Normal3"/>
        <w:numPr>
          <w:ilvl w:val="0"/>
          <w:numId w:val="195"/>
        </w:numPr>
        <w:spacing w:line="240" w:lineRule="auto"/>
        <w:ind w:left="360"/>
        <w:jc w:val="both"/>
        <w:rPr>
          <w:rFonts w:ascii="Calibri" w:hAnsi="Calibri"/>
          <w:noProof/>
          <w:sz w:val="22"/>
        </w:rPr>
      </w:pPr>
      <w:r>
        <w:rPr>
          <w:noProof/>
        </w:rPr>
        <w:t xml:space="preserve">Villes intelligentes, qui vise à démontrer l’utilisation de la 5G dans les réseaux urbains, y compris, entre autres, les systèmes de transport intelligents, l’éclairage public, la gestion circulaire des déchets, les transports publics, la gestion des aires de stationnement et les concepts de réduction de la criminalité urbaine; et </w:t>
      </w:r>
    </w:p>
    <w:p w14:paraId="3F6DBC56" w14:textId="77777777" w:rsidR="00025543" w:rsidRDefault="007E3A2F">
      <w:pPr>
        <w:pStyle w:val="P68B1DB1-Normal3"/>
        <w:numPr>
          <w:ilvl w:val="0"/>
          <w:numId w:val="195"/>
        </w:numPr>
        <w:spacing w:line="240" w:lineRule="auto"/>
        <w:ind w:left="360"/>
        <w:jc w:val="both"/>
        <w:rPr>
          <w:rFonts w:ascii="Calibri" w:hAnsi="Calibri"/>
          <w:noProof/>
          <w:sz w:val="22"/>
        </w:rPr>
      </w:pPr>
      <w:r>
        <w:rPr>
          <w:noProof/>
        </w:rPr>
        <w:t xml:space="preserve">Projets de démonstration de l’industrie 4.0 présentant l’application de lignes de production numérisées ou de systèmes robotisés (fondés sur l’utilisation courante de l’intelligence artificielle) et la communication directe des utilisateurs d’équipements mobiles entre eux (communication d’appareil à appareil, D2D). </w:t>
      </w:r>
    </w:p>
    <w:p w14:paraId="6FDF1897" w14:textId="77777777" w:rsidR="00025543" w:rsidRDefault="007E3A2F">
      <w:pPr>
        <w:pStyle w:val="P68B1DB1-Normal13"/>
        <w:spacing w:line="240" w:lineRule="auto"/>
        <w:jc w:val="both"/>
        <w:rPr>
          <w:noProof/>
        </w:rPr>
      </w:pPr>
      <w:r>
        <w:rPr>
          <w:noProof/>
        </w:rPr>
        <w:t xml:space="preserve">L’investissement est achevé au plus tard le 31 décembre 2025. </w:t>
      </w:r>
    </w:p>
    <w:p w14:paraId="5CBF4187" w14:textId="77777777" w:rsidR="00025543" w:rsidRDefault="007E3A2F">
      <w:pPr>
        <w:pStyle w:val="P68B1DB1-Normal7"/>
        <w:spacing w:line="240" w:lineRule="auto"/>
        <w:jc w:val="both"/>
        <w:rPr>
          <w:noProof/>
        </w:rPr>
      </w:pPr>
      <w:r>
        <w:rPr>
          <w:noProof/>
        </w:rPr>
        <w:t>Investissement 7: Programmes tchèques en matière de risques</w:t>
      </w:r>
    </w:p>
    <w:p w14:paraId="3041CECE" w14:textId="126F30BE" w:rsidR="00025543" w:rsidRDefault="007E3A2F">
      <w:pPr>
        <w:pStyle w:val="P68B1DB1-Normal3"/>
        <w:spacing w:line="240" w:lineRule="auto"/>
        <w:jc w:val="both"/>
        <w:rPr>
          <w:rFonts w:ascii="Calibri" w:hAnsi="Calibri"/>
          <w:noProof/>
          <w:sz w:val="22"/>
        </w:rPr>
      </w:pPr>
      <w:r>
        <w:rPr>
          <w:noProof/>
        </w:rPr>
        <w:t>Le programme tchèque «Rise-Up» s’attaque aux conséquences économiques et sociales de la pandémie et comprend deux appels à projets distincts: le premier appel est ouvert aux propositions de projets visant des projets de recherche et de développement médicaux liés à la COVID-19, qui ont atteint le stade de l’achèvement, de la certification ou de la protection juridique. Le deuxième appel est ouvert aux projets visant à trouver des solutions technologiques numériques pour faire face aux conséquences économiques et sociales de la crise de la COVID-19, en particulier dans les domaines de la santé, de l’éducation, de l’audiovisuel et de la transformation numérique des entreprises et secteurs traditionnels.</w:t>
      </w:r>
    </w:p>
    <w:p w14:paraId="67A78ADA" w14:textId="77777777" w:rsidR="00025543" w:rsidRDefault="007E3A2F">
      <w:pPr>
        <w:pStyle w:val="P68B1DB1-Normal13"/>
        <w:spacing w:line="240" w:lineRule="auto"/>
        <w:jc w:val="both"/>
        <w:rPr>
          <w:noProof/>
        </w:rPr>
      </w:pPr>
      <w:r>
        <w:rPr>
          <w:noProof/>
        </w:rPr>
        <w:t xml:space="preserve">L’investissement est achevé au plus tard le 31 décembre 2023. </w:t>
      </w:r>
    </w:p>
    <w:p w14:paraId="2186BB1E" w14:textId="77777777" w:rsidR="00025543" w:rsidRDefault="007E3A2F">
      <w:pPr>
        <w:pStyle w:val="P68B1DB1-Normal7"/>
        <w:spacing w:line="240" w:lineRule="auto"/>
        <w:jc w:val="both"/>
        <w:rPr>
          <w:rFonts w:eastAsia="Times New Roman"/>
          <w:noProof/>
          <w:color w:val="000000"/>
        </w:rPr>
      </w:pPr>
      <w:r>
        <w:rPr>
          <w:noProof/>
        </w:rPr>
        <w:t xml:space="preserve">Investissement 8: </w:t>
      </w:r>
      <w:r>
        <w:rPr>
          <w:rFonts w:eastAsia="Times New Roman"/>
          <w:noProof/>
          <w:color w:val="000000"/>
        </w:rPr>
        <w:t>Encourager l’esprit d’entreprise et les entreprises innovantes</w:t>
      </w:r>
    </w:p>
    <w:p w14:paraId="48C53348" w14:textId="77777777" w:rsidR="00025543" w:rsidRDefault="007E3A2F">
      <w:pPr>
        <w:pStyle w:val="P68B1DB1-Normal3"/>
        <w:spacing w:line="240" w:lineRule="auto"/>
        <w:jc w:val="both"/>
        <w:rPr>
          <w:rFonts w:ascii="Calibri" w:hAnsi="Calibri"/>
          <w:noProof/>
          <w:color w:val="000000"/>
          <w:sz w:val="22"/>
        </w:rPr>
      </w:pPr>
      <w:r>
        <w:rPr>
          <w:noProof/>
        </w:rPr>
        <w:t xml:space="preserve">Cette mesure vise à encourager l’esprit d’entreprise et à soutenir le lancement réussi de nouvelles entreprises dans toute la Tchéquie. La mesure comprend des services de conseil, de conseil et de mentorat fournis par l’intermédiaire de pôles régionaux d’innovation et d’entreprise à des initiatives d’entreprises nouvellement créées et à des jeunes pousses. La mesure comprend également des campagnes de sensibilisation visant à promouvoir l’esprit d’entreprise. </w:t>
      </w:r>
    </w:p>
    <w:p w14:paraId="504D32A3" w14:textId="77777777" w:rsidR="00025543" w:rsidRDefault="007E3A2F">
      <w:pPr>
        <w:pStyle w:val="P68B1DB1-Normal13"/>
        <w:spacing w:line="240" w:lineRule="auto"/>
        <w:jc w:val="both"/>
        <w:rPr>
          <w:noProof/>
        </w:rPr>
      </w:pPr>
      <w:r>
        <w:rPr>
          <w:noProof/>
        </w:rPr>
        <w:t xml:space="preserve">L’investissement est achevé au plus tard le 31 décembre 2024. </w:t>
      </w:r>
    </w:p>
    <w:p w14:paraId="3C9C7D1E" w14:textId="779E520C" w:rsidR="00025543" w:rsidRDefault="007E3A2F">
      <w:pPr>
        <w:pStyle w:val="P68B1DB1-Normal7"/>
        <w:spacing w:line="240" w:lineRule="auto"/>
        <w:jc w:val="both"/>
        <w:rPr>
          <w:noProof/>
        </w:rPr>
      </w:pPr>
      <w:r>
        <w:rPr>
          <w:noProof/>
        </w:rPr>
        <w:t xml:space="preserve">Investissement 9: Fonds pour le développement d’investissements préalables à l’amorçage, de technologies numériques stratégiques et d’essaimage universitaire </w:t>
      </w:r>
    </w:p>
    <w:p w14:paraId="4FF83F5A" w14:textId="7F17C584" w:rsidR="00025543" w:rsidRDefault="007E3A2F">
      <w:pPr>
        <w:pStyle w:val="P68B1DB1-Normal3"/>
        <w:spacing w:line="240" w:lineRule="auto"/>
        <w:jc w:val="both"/>
        <w:rPr>
          <w:noProof/>
        </w:rPr>
      </w:pPr>
      <w:r>
        <w:rPr>
          <w:noProof/>
        </w:rPr>
        <w:t xml:space="preserve">La mesure vise à soutenir le développement du capital-risque et la transformation numérique de l’économie en investissant dans des jeunes pousses innovantes. Il se compose de trois fonds pilotes: un fonds de co-investissement de préamorçage; un fonds stratégique pour les technologies numériques; et iii) un fonds d’IA spinoff. Les trois fonds visent respectivement à investir, par exemple, dans des projets en phase de démarrage et dans des jeunes entreprises technologiques; dans les technologies numériques stratégiques telles que l’IA, les chaînes de blocs, les technologies financières et les applications 5G; et dans des projets d’organismes de recherche et d’universités visant à transférer et à commercialiser leurs résultats de recherche dans la pratique commerciale. Le soutien est fourni par l’intermédiaire de fonds, dans le cadre d’un fonds géré par le Fonds européen d’investissement (FEI). </w:t>
      </w:r>
    </w:p>
    <w:p w14:paraId="01A3502B" w14:textId="77777777" w:rsidR="00025543" w:rsidRDefault="007E3A2F">
      <w:pPr>
        <w:pStyle w:val="P68B1DB1-Normal3"/>
        <w:spacing w:line="240" w:lineRule="auto"/>
        <w:jc w:val="both"/>
        <w:rPr>
          <w:noProof/>
        </w:rPr>
      </w:pPr>
      <w:r>
        <w:rPr>
          <w:noProof/>
        </w:rPr>
        <w:t>Afin de garantir que la mesure est conforme aux orientations techniques «Ne pas causer de préjudice important» (2021/C58/01), l’accord juridique entre la Tchéquie et le FEI et la politique d’investissement ultérieure de l’instrument financier exigent l’application des orientations techniques de la Commission sur l’évaluation de la durabilité du Fonds InvestEU; et exclure de l’éligibilité la liste suivante d’activités et d’actifs: (I) les activités et actifs liés aux combustibles fossiles, y compris leur utilisation en aval</w:t>
      </w:r>
      <w:r w:rsidRPr="007E3A2F">
        <w:rPr>
          <w:noProof/>
          <w:vertAlign w:val="superscript"/>
        </w:rPr>
        <w:footnoteReference w:id="4"/>
      </w:r>
      <w:r>
        <w:rPr>
          <w:noProof/>
        </w:rPr>
        <w:t>; II) les activités et les actifs relevant du système d’échange de quotas d’émission de l’UE (SEQE) permettant d’atteindre les émissions de gaz à effet de serre prévues qui ne sont pas inférieures aux référentiels pertinents</w:t>
      </w:r>
      <w:r w:rsidRPr="007E3A2F">
        <w:rPr>
          <w:noProof/>
          <w:vertAlign w:val="superscript"/>
        </w:rPr>
        <w:footnoteReference w:id="5"/>
      </w:r>
      <w:r>
        <w:rPr>
          <w:noProof/>
        </w:rPr>
        <w:t>; III) les activités et actifs liés aux décharges de déchets, aux incinérateurs</w:t>
      </w:r>
      <w:r w:rsidRPr="007E3A2F">
        <w:rPr>
          <w:noProof/>
          <w:vertAlign w:val="superscript"/>
        </w:rPr>
        <w:footnoteReference w:id="6"/>
      </w:r>
      <w:r>
        <w:rPr>
          <w:noProof/>
        </w:rPr>
        <w:t xml:space="preserve"> et aux installations de traitement biologique mécanique</w:t>
      </w:r>
      <w:r w:rsidRPr="007E3A2F">
        <w:rPr>
          <w:noProof/>
          <w:vertAlign w:val="superscript"/>
        </w:rPr>
        <w:footnoteReference w:id="7"/>
      </w:r>
      <w:r>
        <w:rPr>
          <w:noProof/>
        </w:rPr>
        <w:t xml:space="preserve">; et iv) les activités et les actifs dont l’élimination à long terme des déchets peut nuire à l’environnement; et exiger la vérification de la conformité juridique des projets avec la législation environnementale de l’Union et nationale applicable par l’entité chargée de l’exécution ou l’intermédiaire financier pour toutes les transactions, y compris celles qui sont exemptées de l’évaluation de la durabilité. </w:t>
      </w:r>
    </w:p>
    <w:p w14:paraId="2716D185" w14:textId="170D13D7" w:rsidR="00025543" w:rsidRDefault="007E3A2F">
      <w:pPr>
        <w:pStyle w:val="P68B1DB1-Normal3"/>
        <w:spacing w:line="240" w:lineRule="auto"/>
        <w:jc w:val="both"/>
        <w:rPr>
          <w:noProof/>
        </w:rPr>
      </w:pPr>
      <w:r>
        <w:rPr>
          <w:noProof/>
        </w:rPr>
        <w:t>L’investissement est achevé au plus tard le 30 juin 2026.</w:t>
      </w:r>
    </w:p>
    <w:p w14:paraId="3170AF89" w14:textId="77777777" w:rsidR="00025543" w:rsidRDefault="007E3A2F">
      <w:pPr>
        <w:pStyle w:val="P68B1DB1-Normal7"/>
        <w:spacing w:line="240" w:lineRule="auto"/>
        <w:jc w:val="both"/>
        <w:rPr>
          <w:rFonts w:eastAsia="Times New Roman"/>
          <w:noProof/>
          <w:color w:val="000000"/>
        </w:rPr>
      </w:pPr>
      <w:r>
        <w:rPr>
          <w:noProof/>
        </w:rPr>
        <w:t xml:space="preserve">Investissement 10: </w:t>
      </w:r>
      <w:r>
        <w:rPr>
          <w:rFonts w:eastAsia="Times New Roman"/>
          <w:noProof/>
          <w:color w:val="000000"/>
        </w:rPr>
        <w:t>Internationalisation des jeunes pousses</w:t>
      </w:r>
    </w:p>
    <w:p w14:paraId="4B0AFAE7" w14:textId="77777777" w:rsidR="00025543" w:rsidRDefault="007E3A2F">
      <w:pPr>
        <w:pStyle w:val="P68B1DB1-Normal3"/>
        <w:spacing w:line="240" w:lineRule="auto"/>
        <w:jc w:val="both"/>
        <w:rPr>
          <w:rFonts w:ascii="Calibri" w:hAnsi="Calibri"/>
          <w:noProof/>
          <w:sz w:val="22"/>
        </w:rPr>
      </w:pPr>
      <w:r>
        <w:rPr>
          <w:noProof/>
        </w:rPr>
        <w:t>L’objectif de cette mesure est de fournir aux PME et aux jeunes pousses tchèques des services de formation, de conseil et de consultation par des experts en compétences de gestion et en transférant les meilleures pratiques commerciales, tels que: les négociations; le savoir-faire des marchés étrangers; l’utilisation de nouveaux outils numériques et l’adaptation aux nouvelles tendances numériques; validation des produits pour les marchés étrangers; l’accès au capital-risque; programmes d’accélérateur et mentorat. Le programme est mis en œuvre par Czech Invest dans le cadre de la stratégie d’innovation de la République tchèque pour 2030 et du programme «Pays pour l’avenir».</w:t>
      </w:r>
    </w:p>
    <w:p w14:paraId="7F484B7A" w14:textId="14EE78BE" w:rsidR="00025543" w:rsidRDefault="007E3A2F">
      <w:pPr>
        <w:spacing w:line="240" w:lineRule="auto"/>
        <w:jc w:val="both"/>
        <w:rPr>
          <w:noProof/>
          <w:color w:val="000000"/>
        </w:rPr>
      </w:pPr>
      <w:r>
        <w:rPr>
          <w:noProof/>
          <w:color w:val="000000"/>
        </w:rPr>
        <w:t xml:space="preserve">L’investissement est achevé au plus </w:t>
      </w:r>
      <w:r>
        <w:rPr>
          <w:rFonts w:eastAsia="Times New Roman"/>
          <w:noProof/>
        </w:rPr>
        <w:t>tard le 31 décembre 2025.</w:t>
      </w:r>
    </w:p>
    <w:p w14:paraId="1384862D" w14:textId="0A251C98" w:rsidR="00025543" w:rsidRDefault="007E3A2F">
      <w:pPr>
        <w:pStyle w:val="P68B1DB1-Normal7"/>
        <w:pageBreakBefore/>
        <w:spacing w:line="240" w:lineRule="auto"/>
        <w:jc w:val="both"/>
        <w:rPr>
          <w:noProof/>
        </w:rPr>
      </w:pPr>
      <w:r>
        <w:rPr>
          <w:noProof/>
        </w:rPr>
        <w:t>Investissement 11: Bac à sable réglementaire numérique conforme aux priorités de l’UE</w:t>
      </w:r>
    </w:p>
    <w:p w14:paraId="5E1C33C1" w14:textId="77ADE51A" w:rsidR="00025543" w:rsidRDefault="007E3A2F">
      <w:pPr>
        <w:pStyle w:val="P68B1DB1-Normal3"/>
        <w:spacing w:line="240" w:lineRule="auto"/>
        <w:jc w:val="both"/>
        <w:rPr>
          <w:rFonts w:ascii="Calibri" w:hAnsi="Calibri"/>
          <w:noProof/>
          <w:sz w:val="22"/>
        </w:rPr>
      </w:pPr>
      <w:r>
        <w:rPr>
          <w:noProof/>
        </w:rPr>
        <w:t xml:space="preserve">Cette mesure consiste en le lancement et le fonctionnement initial du bac à sable réglementaire numérique. Le bac à sable est mis en place en coopération avec les autorités compétentes, les régulateurs et les partenaires du secteur concerné et vise à fournir un environnement technique et réglementaire adéquat pour tester les nouvelles technologies telles que les solutions de technologie financière. Elles sont accessibles aux PME et aux jeunes pousses ainsi qu’aux autres entreprises. </w:t>
      </w:r>
    </w:p>
    <w:p w14:paraId="7AFA50EC" w14:textId="730068B9" w:rsidR="00025543" w:rsidRDefault="007E3A2F">
      <w:pPr>
        <w:spacing w:line="240" w:lineRule="auto"/>
        <w:jc w:val="both"/>
        <w:rPr>
          <w:noProof/>
          <w:color w:val="000000"/>
        </w:rPr>
      </w:pPr>
      <w:r>
        <w:rPr>
          <w:noProof/>
          <w:color w:val="000000"/>
        </w:rPr>
        <w:t xml:space="preserve">L’investissement est achevé au plus tard </w:t>
      </w:r>
      <w:r>
        <w:rPr>
          <w:noProof/>
        </w:rPr>
        <w:t>le 30 juin 2025.</w:t>
      </w:r>
    </w:p>
    <w:p w14:paraId="6FFF5775" w14:textId="77777777" w:rsidR="00025543" w:rsidRDefault="007E3A2F">
      <w:pPr>
        <w:pStyle w:val="P68B1DB1-Normal7"/>
        <w:spacing w:line="240" w:lineRule="auto"/>
        <w:jc w:val="both"/>
        <w:rPr>
          <w:noProof/>
        </w:rPr>
      </w:pPr>
      <w:r>
        <w:rPr>
          <w:noProof/>
        </w:rPr>
        <w:t>Investissement 12: Mise en place d’une infrastructure de communication quantique</w:t>
      </w:r>
    </w:p>
    <w:p w14:paraId="31CB08BC" w14:textId="77777777" w:rsidR="00025543" w:rsidRDefault="007E3A2F">
      <w:pPr>
        <w:pStyle w:val="P68B1DB1-Normal3"/>
        <w:spacing w:line="240" w:lineRule="auto"/>
        <w:jc w:val="both"/>
        <w:rPr>
          <w:rFonts w:ascii="Calibri" w:hAnsi="Calibri"/>
          <w:noProof/>
          <w:sz w:val="22"/>
        </w:rPr>
      </w:pPr>
      <w:r>
        <w:rPr>
          <w:noProof/>
        </w:rPr>
        <w:t>L’investissement vise à construire un réseau de communication optique quantique en Tchéquie, conformément aux priorités du programme pour une Europe numérique. Il s’agit notamment de créer un réseau dorsal et des branches secondaires connectées, de connecter les infrastructures critiques et de sécurité, ainsi que de tester et de former des experts. Le réseau doit permettre une transmission et un traitement rapides des données, qui connectent les parties prenantes les plus pertinentes identifiées au cours de la phase de planification et sont en mesure de se connecter à des infrastructures similaires dans les pays voisins.</w:t>
      </w:r>
    </w:p>
    <w:p w14:paraId="551AD70F" w14:textId="77777777" w:rsidR="00025543" w:rsidRDefault="007E3A2F">
      <w:pPr>
        <w:pStyle w:val="P68B1DB1-Normal3"/>
        <w:spacing w:line="240" w:lineRule="auto"/>
        <w:jc w:val="both"/>
        <w:rPr>
          <w:noProof/>
        </w:rPr>
      </w:pPr>
      <w:r>
        <w:rPr>
          <w:noProof/>
        </w:rPr>
        <w:t>L’investissement s’achèvera par l’achèvement des essais et une phase opérationnelle pilote d’ici au 31 décembre 2025 et comprendra au moins des connexions entre Prague, Brno et Ostrava, d’une longueur optique totale de 400 km, 6 segments de distribution de clés quantiques (QKD); mise en œuvre de deux branches métropolitaines secondaires basées sur des équipements commerciaux QKD et de deux autres sur la base de la DKQ expérimentale et des essais de leur application.</w:t>
      </w:r>
    </w:p>
    <w:p w14:paraId="01B92E39" w14:textId="77777777" w:rsidR="00025543" w:rsidRDefault="007E3A2F">
      <w:pPr>
        <w:pStyle w:val="P68B1DB1-Normal3"/>
        <w:spacing w:line="240" w:lineRule="auto"/>
        <w:jc w:val="both"/>
        <w:rPr>
          <w:noProof/>
        </w:rPr>
      </w:pPr>
      <w:r>
        <w:rPr>
          <w:noProof/>
        </w:rPr>
        <w:t>L’investissement est achevé au plus tard le 31 décembre 2025.</w:t>
      </w:r>
    </w:p>
    <w:p w14:paraId="5B395FDB" w14:textId="77777777" w:rsidR="00025543" w:rsidRDefault="00025543">
      <w:pPr>
        <w:spacing w:line="240" w:lineRule="auto"/>
        <w:jc w:val="both"/>
        <w:rPr>
          <w:b/>
          <w:noProof/>
        </w:rPr>
      </w:pPr>
    </w:p>
    <w:p w14:paraId="229F4645" w14:textId="77777777" w:rsidR="00025543" w:rsidRDefault="00025543">
      <w:pPr>
        <w:spacing w:line="240" w:lineRule="auto"/>
        <w:jc w:val="both"/>
        <w:rPr>
          <w:noProof/>
          <w:u w:val="single"/>
        </w:rPr>
        <w:sectPr w:rsidR="00025543" w:rsidSect="001932DE">
          <w:headerReference w:type="even" r:id="rId78"/>
          <w:headerReference w:type="default" r:id="rId79"/>
          <w:footerReference w:type="even" r:id="rId80"/>
          <w:footerReference w:type="default" r:id="rId81"/>
          <w:headerReference w:type="first" r:id="rId82"/>
          <w:footerReference w:type="first" r:id="rId83"/>
          <w:pgSz w:w="11907" w:h="16839"/>
          <w:pgMar w:top="1134" w:right="1134" w:bottom="1134" w:left="1134" w:header="567" w:footer="567" w:gutter="0"/>
          <w:cols w:space="720"/>
          <w:docGrid w:linePitch="360"/>
        </w:sectPr>
      </w:pPr>
    </w:p>
    <w:p w14:paraId="5DC97D64" w14:textId="5D69AA38" w:rsidR="00025543" w:rsidRDefault="007E3A2F">
      <w:pPr>
        <w:pStyle w:val="P68B1DB1-Normal5"/>
        <w:spacing w:line="240" w:lineRule="auto"/>
        <w:jc w:val="both"/>
        <w:rPr>
          <w:noProof/>
        </w:rPr>
      </w:pPr>
      <w:r>
        <w:rPr>
          <w:noProof/>
        </w:rPr>
        <w:t>D.2. Jalons, cibles, indicateurs et calendrier de suivi et de mise en œuvre en vue du soutien financier non remboursable</w:t>
      </w:r>
    </w:p>
    <w:tbl>
      <w:tblPr>
        <w:tblW w:w="15021" w:type="dxa"/>
        <w:jc w:val="center"/>
        <w:tblLayout w:type="fixed"/>
        <w:tblLook w:val="0400" w:firstRow="0" w:lastRow="0" w:firstColumn="0" w:lastColumn="0" w:noHBand="0" w:noVBand="1"/>
      </w:tblPr>
      <w:tblGrid>
        <w:gridCol w:w="632"/>
        <w:gridCol w:w="1554"/>
        <w:gridCol w:w="1093"/>
        <w:gridCol w:w="1479"/>
        <w:gridCol w:w="1719"/>
        <w:gridCol w:w="998"/>
        <w:gridCol w:w="998"/>
        <w:gridCol w:w="998"/>
        <w:gridCol w:w="985"/>
        <w:gridCol w:w="636"/>
        <w:gridCol w:w="3929"/>
      </w:tblGrid>
      <w:tr w:rsidR="00025543" w14:paraId="6DAEA2D4" w14:textId="77777777">
        <w:trPr>
          <w:trHeight w:val="672"/>
          <w:tblHeader/>
          <w:jc w:val="center"/>
        </w:trPr>
        <w:tc>
          <w:tcPr>
            <w:tcW w:w="65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5DC4C5C" w14:textId="77777777" w:rsidR="00025543" w:rsidRDefault="007E3A2F">
            <w:pPr>
              <w:pStyle w:val="P68B1DB1-Normal9"/>
              <w:spacing w:before="0" w:after="0" w:line="240" w:lineRule="auto"/>
              <w:jc w:val="center"/>
              <w:rPr>
                <w:noProof/>
              </w:rPr>
            </w:pPr>
            <w:r>
              <w:rPr>
                <w:noProof/>
              </w:rPr>
              <w:t>Séquence NUM.</w:t>
            </w:r>
          </w:p>
        </w:tc>
        <w:tc>
          <w:tcPr>
            <w:tcW w:w="161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F6A0F88" w14:textId="77777777" w:rsidR="00025543" w:rsidRDefault="007E3A2F">
            <w:pPr>
              <w:pStyle w:val="P68B1DB1-Normal9"/>
              <w:spacing w:before="0" w:after="0" w:line="240" w:lineRule="auto"/>
              <w:jc w:val="center"/>
              <w:rPr>
                <w:noProof/>
              </w:rPr>
            </w:pPr>
            <w:r>
              <w:rPr>
                <w:noProof/>
              </w:rPr>
              <w:t>Mesure connexe (réforme ou investissement)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2E2B164" w14:textId="77777777" w:rsidR="00025543" w:rsidRDefault="007E3A2F">
            <w:pPr>
              <w:pStyle w:val="P68B1DB1-Normal9"/>
              <w:spacing w:before="0" w:after="0" w:line="240" w:lineRule="auto"/>
              <w:jc w:val="center"/>
              <w:rPr>
                <w:noProof/>
              </w:rPr>
            </w:pPr>
            <w:r>
              <w:rPr>
                <w:noProof/>
              </w:rPr>
              <w:t>Jalon/cible</w:t>
            </w:r>
          </w:p>
        </w:tc>
        <w:tc>
          <w:tcPr>
            <w:tcW w:w="153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DBC3321" w14:textId="77777777" w:rsidR="00025543" w:rsidRDefault="007E3A2F">
            <w:pPr>
              <w:pStyle w:val="P68B1DB1-Normal9"/>
              <w:spacing w:before="0" w:after="0" w:line="240" w:lineRule="auto"/>
              <w:jc w:val="center"/>
              <w:rPr>
                <w:noProof/>
              </w:rPr>
            </w:pPr>
            <w:r>
              <w:rPr>
                <w:noProof/>
              </w:rPr>
              <w:t>Nom</w:t>
            </w:r>
          </w:p>
        </w:tc>
        <w:tc>
          <w:tcPr>
            <w:tcW w:w="178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8023EC0" w14:textId="77777777" w:rsidR="00025543" w:rsidRDefault="007E3A2F">
            <w:pPr>
              <w:pStyle w:val="P68B1DB1-Normal9"/>
              <w:spacing w:before="0" w:after="0" w:line="240" w:lineRule="auto"/>
              <w:jc w:val="center"/>
              <w:rPr>
                <w:noProof/>
              </w:rPr>
            </w:pPr>
            <w:r>
              <w:rPr>
                <w:noProof/>
              </w:rPr>
              <w:t xml:space="preserve">Qualitatifs </w:t>
            </w:r>
            <w:r>
              <w:rPr>
                <w:noProof/>
              </w:rPr>
              <w:br/>
              <w:t>(pour les jalons)</w:t>
            </w:r>
          </w:p>
        </w:tc>
        <w:tc>
          <w:tcPr>
            <w:tcW w:w="3102" w:type="dxa"/>
            <w:gridSpan w:val="3"/>
            <w:tcBorders>
              <w:top w:val="single" w:sz="4" w:space="0" w:color="000000" w:themeColor="text1"/>
              <w:left w:val="single" w:sz="4" w:space="0" w:color="auto"/>
              <w:bottom w:val="single" w:sz="4" w:space="0" w:color="000000" w:themeColor="text1"/>
              <w:right w:val="single" w:sz="4" w:space="0" w:color="000000" w:themeColor="text1"/>
            </w:tcBorders>
            <w:shd w:val="clear" w:color="auto" w:fill="BDD7EE"/>
            <w:vAlign w:val="center"/>
            <w:hideMark/>
          </w:tcPr>
          <w:p w14:paraId="792E0358" w14:textId="77777777" w:rsidR="00025543" w:rsidRDefault="007E3A2F">
            <w:pPr>
              <w:pStyle w:val="P68B1DB1-Normal9"/>
              <w:spacing w:before="0" w:after="0" w:line="240" w:lineRule="auto"/>
              <w:jc w:val="center"/>
              <w:rPr>
                <w:noProof/>
              </w:rPr>
            </w:pPr>
            <w:r>
              <w:rPr>
                <w:noProof/>
              </w:rPr>
              <w:t xml:space="preserve">Indicateurs quantitatifs </w:t>
            </w:r>
            <w:r>
              <w:rPr>
                <w:noProof/>
              </w:rPr>
              <w:br/>
              <w:t>(pour les objectifs)</w:t>
            </w:r>
          </w:p>
        </w:tc>
        <w:tc>
          <w:tcPr>
            <w:tcW w:w="1311" w:type="dxa"/>
            <w:gridSpan w:val="2"/>
            <w:tcBorders>
              <w:top w:val="single" w:sz="4" w:space="0" w:color="000000" w:themeColor="text1"/>
              <w:left w:val="nil"/>
              <w:bottom w:val="single" w:sz="4" w:space="0" w:color="000000" w:themeColor="text1"/>
              <w:right w:val="single" w:sz="4" w:space="0" w:color="auto"/>
            </w:tcBorders>
            <w:shd w:val="clear" w:color="auto" w:fill="BDD7EE"/>
            <w:vAlign w:val="center"/>
            <w:hideMark/>
          </w:tcPr>
          <w:p w14:paraId="75433EA0" w14:textId="77777777" w:rsidR="00025543" w:rsidRDefault="007E3A2F">
            <w:pPr>
              <w:pStyle w:val="P68B1DB1-Normal9"/>
              <w:spacing w:before="0" w:after="0" w:line="240" w:lineRule="auto"/>
              <w:jc w:val="center"/>
              <w:rPr>
                <w:noProof/>
              </w:rPr>
            </w:pPr>
            <w:r>
              <w:rPr>
                <w:noProof/>
              </w:rPr>
              <w:t xml:space="preserve">Calendrier indicatif de réalisation </w:t>
            </w:r>
          </w:p>
        </w:tc>
        <w:tc>
          <w:tcPr>
            <w:tcW w:w="410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FC6837A" w14:textId="77777777" w:rsidR="00025543" w:rsidRDefault="007E3A2F">
            <w:pPr>
              <w:pStyle w:val="P68B1DB1-Normal9"/>
              <w:spacing w:before="0" w:after="0" w:line="240" w:lineRule="auto"/>
              <w:jc w:val="center"/>
              <w:rPr>
                <w:noProof/>
              </w:rPr>
            </w:pPr>
            <w:r>
              <w:rPr>
                <w:noProof/>
              </w:rPr>
              <w:t>Description de chaque jalon et cible</w:t>
            </w:r>
          </w:p>
        </w:tc>
      </w:tr>
      <w:tr w:rsidR="00025543" w14:paraId="6697D6A9" w14:textId="77777777">
        <w:trPr>
          <w:trHeight w:val="458"/>
          <w:tblHeader/>
          <w:jc w:val="center"/>
        </w:trPr>
        <w:tc>
          <w:tcPr>
            <w:tcW w:w="651" w:type="dxa"/>
            <w:vMerge/>
            <w:tcBorders>
              <w:top w:val="single" w:sz="4" w:space="0" w:color="auto"/>
              <w:left w:val="single" w:sz="4" w:space="0" w:color="auto"/>
              <w:bottom w:val="single" w:sz="4" w:space="0" w:color="auto"/>
              <w:right w:val="single" w:sz="4" w:space="0" w:color="auto"/>
            </w:tcBorders>
            <w:vAlign w:val="center"/>
            <w:hideMark/>
          </w:tcPr>
          <w:p w14:paraId="5FA9921B" w14:textId="77777777" w:rsidR="00025543" w:rsidRDefault="00025543">
            <w:pPr>
              <w:spacing w:before="0" w:after="0" w:line="240" w:lineRule="auto"/>
              <w:rPr>
                <w:rFonts w:eastAsia="Times New Roman"/>
                <w:b/>
                <w:noProof/>
                <w:sz w:val="18"/>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14:paraId="0756EFA7" w14:textId="77777777" w:rsidR="00025543" w:rsidRDefault="00025543">
            <w:pPr>
              <w:spacing w:before="0" w:after="0" w:line="240" w:lineRule="auto"/>
              <w:rPr>
                <w:rFonts w:eastAsia="Times New Roman"/>
                <w:b/>
                <w:noProof/>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3484FA" w14:textId="77777777" w:rsidR="00025543" w:rsidRDefault="00025543">
            <w:pPr>
              <w:spacing w:before="0" w:after="0" w:line="240" w:lineRule="auto"/>
              <w:rPr>
                <w:rFonts w:eastAsia="Times New Roman"/>
                <w:b/>
                <w:noProof/>
                <w:sz w:val="18"/>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14:paraId="52DE4435" w14:textId="77777777" w:rsidR="00025543" w:rsidRDefault="00025543">
            <w:pPr>
              <w:spacing w:before="0" w:after="0" w:line="240" w:lineRule="auto"/>
              <w:rPr>
                <w:rFonts w:eastAsia="Times New Roman"/>
                <w:b/>
                <w:noProof/>
                <w:sz w:val="18"/>
              </w:rPr>
            </w:pPr>
          </w:p>
        </w:tc>
        <w:tc>
          <w:tcPr>
            <w:tcW w:w="1789" w:type="dxa"/>
            <w:vMerge/>
            <w:tcBorders>
              <w:top w:val="single" w:sz="4" w:space="0" w:color="auto"/>
              <w:left w:val="single" w:sz="4" w:space="0" w:color="auto"/>
              <w:bottom w:val="single" w:sz="4" w:space="0" w:color="auto"/>
            </w:tcBorders>
            <w:vAlign w:val="center"/>
            <w:hideMark/>
          </w:tcPr>
          <w:p w14:paraId="33EB99D8" w14:textId="77777777" w:rsidR="00025543" w:rsidRDefault="00025543">
            <w:pPr>
              <w:spacing w:before="0" w:after="0" w:line="240" w:lineRule="auto"/>
              <w:rPr>
                <w:rFonts w:eastAsia="Times New Roman"/>
                <w:b/>
                <w:noProof/>
                <w:sz w:val="18"/>
              </w:rPr>
            </w:pPr>
          </w:p>
        </w:tc>
        <w:tc>
          <w:tcPr>
            <w:tcW w:w="1034" w:type="dxa"/>
            <w:tcBorders>
              <w:top w:val="nil"/>
              <w:left w:val="single" w:sz="4" w:space="0" w:color="auto"/>
              <w:bottom w:val="single" w:sz="4" w:space="0" w:color="000000" w:themeColor="text1"/>
              <w:right w:val="single" w:sz="4" w:space="0" w:color="000000" w:themeColor="text1"/>
            </w:tcBorders>
            <w:shd w:val="clear" w:color="auto" w:fill="BDD7EE"/>
            <w:vAlign w:val="center"/>
            <w:hideMark/>
          </w:tcPr>
          <w:p w14:paraId="7079BF38" w14:textId="77777777" w:rsidR="00025543" w:rsidRDefault="007E3A2F">
            <w:pPr>
              <w:pStyle w:val="P68B1DB1-Normal9"/>
              <w:spacing w:before="0" w:after="0" w:line="240" w:lineRule="auto"/>
              <w:jc w:val="center"/>
              <w:rPr>
                <w:noProof/>
              </w:rPr>
            </w:pPr>
            <w:r>
              <w:rPr>
                <w:noProof/>
              </w:rPr>
              <w:t>Unité de mesure</w:t>
            </w:r>
          </w:p>
        </w:tc>
        <w:tc>
          <w:tcPr>
            <w:tcW w:w="1034" w:type="dxa"/>
            <w:tcBorders>
              <w:top w:val="nil"/>
              <w:left w:val="nil"/>
              <w:bottom w:val="single" w:sz="4" w:space="0" w:color="000000" w:themeColor="text1"/>
              <w:right w:val="single" w:sz="4" w:space="0" w:color="000000" w:themeColor="text1"/>
            </w:tcBorders>
            <w:shd w:val="clear" w:color="auto" w:fill="BDD7EE"/>
            <w:vAlign w:val="center"/>
            <w:hideMark/>
          </w:tcPr>
          <w:p w14:paraId="09A9B9B0" w14:textId="77777777" w:rsidR="00025543" w:rsidRDefault="007E3A2F">
            <w:pPr>
              <w:pStyle w:val="P68B1DB1-Normal9"/>
              <w:spacing w:before="0" w:after="0" w:line="240" w:lineRule="auto"/>
              <w:jc w:val="center"/>
              <w:rPr>
                <w:noProof/>
              </w:rPr>
            </w:pPr>
            <w:r>
              <w:rPr>
                <w:noProof/>
              </w:rPr>
              <w:t xml:space="preserve">Scénario de référence </w:t>
            </w:r>
          </w:p>
        </w:tc>
        <w:tc>
          <w:tcPr>
            <w:tcW w:w="1034" w:type="dxa"/>
            <w:tcBorders>
              <w:top w:val="nil"/>
              <w:left w:val="nil"/>
              <w:bottom w:val="single" w:sz="4" w:space="0" w:color="000000" w:themeColor="text1"/>
              <w:right w:val="single" w:sz="4" w:space="0" w:color="000000" w:themeColor="text1"/>
            </w:tcBorders>
            <w:shd w:val="clear" w:color="auto" w:fill="BDD7EE"/>
            <w:vAlign w:val="center"/>
            <w:hideMark/>
          </w:tcPr>
          <w:p w14:paraId="4F454F9B" w14:textId="77777777" w:rsidR="00025543" w:rsidRDefault="007E3A2F">
            <w:pPr>
              <w:pStyle w:val="P68B1DB1-Normal9"/>
              <w:spacing w:before="0" w:after="0" w:line="240" w:lineRule="auto"/>
              <w:jc w:val="center"/>
              <w:rPr>
                <w:noProof/>
              </w:rPr>
            </w:pPr>
            <w:r>
              <w:rPr>
                <w:noProof/>
              </w:rPr>
              <w:t xml:space="preserve">Objectif </w:t>
            </w:r>
          </w:p>
        </w:tc>
        <w:tc>
          <w:tcPr>
            <w:tcW w:w="1021" w:type="dxa"/>
            <w:tcBorders>
              <w:top w:val="nil"/>
              <w:left w:val="nil"/>
              <w:bottom w:val="single" w:sz="4" w:space="0" w:color="000000" w:themeColor="text1"/>
              <w:right w:val="single" w:sz="4" w:space="0" w:color="000000" w:themeColor="text1"/>
            </w:tcBorders>
            <w:shd w:val="clear" w:color="auto" w:fill="BDD7EE"/>
            <w:vAlign w:val="center"/>
            <w:hideMark/>
          </w:tcPr>
          <w:p w14:paraId="310BCFC4" w14:textId="77777777" w:rsidR="00025543" w:rsidRDefault="007E3A2F">
            <w:pPr>
              <w:pStyle w:val="P68B1DB1-Normal9"/>
              <w:spacing w:before="0" w:after="0" w:line="240" w:lineRule="auto"/>
              <w:jc w:val="center"/>
              <w:rPr>
                <w:noProof/>
              </w:rPr>
            </w:pPr>
            <w:r>
              <w:rPr>
                <w:noProof/>
              </w:rPr>
              <w:t>Trimestre</w:t>
            </w:r>
          </w:p>
        </w:tc>
        <w:tc>
          <w:tcPr>
            <w:tcW w:w="655" w:type="dxa"/>
            <w:tcBorders>
              <w:top w:val="nil"/>
              <w:left w:val="nil"/>
              <w:bottom w:val="single" w:sz="4" w:space="0" w:color="000000" w:themeColor="text1"/>
              <w:right w:val="single" w:sz="4" w:space="0" w:color="auto"/>
            </w:tcBorders>
            <w:shd w:val="clear" w:color="auto" w:fill="BDD7EE"/>
            <w:vAlign w:val="center"/>
            <w:hideMark/>
          </w:tcPr>
          <w:p w14:paraId="2D2E5F9B" w14:textId="77777777" w:rsidR="00025543" w:rsidRDefault="007E3A2F">
            <w:pPr>
              <w:pStyle w:val="P68B1DB1-Normal9"/>
              <w:spacing w:before="0" w:after="0" w:line="240" w:lineRule="auto"/>
              <w:jc w:val="center"/>
              <w:rPr>
                <w:noProof/>
              </w:rPr>
            </w:pPr>
            <w:r>
              <w:rPr>
                <w:noProof/>
              </w:rPr>
              <w:t>Année</w:t>
            </w:r>
          </w:p>
        </w:tc>
        <w:tc>
          <w:tcPr>
            <w:tcW w:w="4104" w:type="dxa"/>
            <w:vMerge/>
            <w:tcBorders>
              <w:bottom w:val="single" w:sz="4" w:space="0" w:color="auto"/>
              <w:right w:val="single" w:sz="4" w:space="0" w:color="auto"/>
            </w:tcBorders>
            <w:vAlign w:val="center"/>
            <w:hideMark/>
          </w:tcPr>
          <w:p w14:paraId="67168922" w14:textId="77777777" w:rsidR="00025543" w:rsidRDefault="00025543">
            <w:pPr>
              <w:spacing w:before="0" w:after="0" w:line="240" w:lineRule="auto"/>
              <w:rPr>
                <w:rFonts w:eastAsia="Times New Roman"/>
                <w:b/>
                <w:noProof/>
                <w:sz w:val="18"/>
              </w:rPr>
            </w:pPr>
          </w:p>
        </w:tc>
      </w:tr>
      <w:tr w:rsidR="00025543" w14:paraId="72D7ED4D" w14:textId="77777777">
        <w:trPr>
          <w:trHeight w:val="309"/>
          <w:jc w:val="center"/>
        </w:trPr>
        <w:tc>
          <w:tcPr>
            <w:tcW w:w="651"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C6EFCE"/>
            <w:vAlign w:val="center"/>
            <w:hideMark/>
          </w:tcPr>
          <w:p w14:paraId="6A12EE27" w14:textId="77777777" w:rsidR="00025543" w:rsidRDefault="007E3A2F">
            <w:pPr>
              <w:pStyle w:val="P68B1DB1-Normal15"/>
              <w:spacing w:before="0" w:after="0" w:line="240" w:lineRule="auto"/>
              <w:jc w:val="center"/>
              <w:rPr>
                <w:noProof/>
              </w:rPr>
            </w:pPr>
            <w:r>
              <w:rPr>
                <w:noProof/>
              </w:rPr>
              <w:t>47</w:t>
            </w:r>
          </w:p>
        </w:tc>
        <w:tc>
          <w:tcPr>
            <w:tcW w:w="1617" w:type="dxa"/>
            <w:tcBorders>
              <w:top w:val="single" w:sz="4" w:space="0" w:color="auto"/>
              <w:left w:val="nil"/>
              <w:bottom w:val="single" w:sz="4" w:space="0" w:color="000000" w:themeColor="text1"/>
              <w:right w:val="single" w:sz="4" w:space="0" w:color="000000" w:themeColor="text1"/>
            </w:tcBorders>
            <w:shd w:val="clear" w:color="auto" w:fill="C6EFCE"/>
            <w:vAlign w:val="center"/>
            <w:hideMark/>
          </w:tcPr>
          <w:p w14:paraId="7347496C" w14:textId="77777777" w:rsidR="00025543" w:rsidRDefault="007E3A2F">
            <w:pPr>
              <w:pStyle w:val="P68B1DB1-Normal15"/>
              <w:spacing w:before="0" w:after="0" w:line="240" w:lineRule="auto"/>
              <w:rPr>
                <w:noProof/>
              </w:rPr>
            </w:pPr>
            <w:r>
              <w:rPr>
                <w:noProof/>
              </w:rPr>
              <w:t>Réforme 1: Réforme institutionnelle du système de coordination et de soutien à la transformation numérique de l’économie (y compris RIS 3)</w:t>
            </w:r>
          </w:p>
        </w:tc>
        <w:tc>
          <w:tcPr>
            <w:tcW w:w="1134" w:type="dxa"/>
            <w:tcBorders>
              <w:top w:val="single" w:sz="4" w:space="0" w:color="auto"/>
              <w:left w:val="nil"/>
              <w:bottom w:val="single" w:sz="4" w:space="0" w:color="000000" w:themeColor="text1"/>
              <w:right w:val="single" w:sz="4" w:space="0" w:color="000000" w:themeColor="text1"/>
            </w:tcBorders>
            <w:shd w:val="clear" w:color="auto" w:fill="C6EFCE"/>
            <w:vAlign w:val="center"/>
            <w:hideMark/>
          </w:tcPr>
          <w:p w14:paraId="10D8ACB9" w14:textId="77777777" w:rsidR="00025543" w:rsidRDefault="007E3A2F">
            <w:pPr>
              <w:pStyle w:val="P68B1DB1-Normal15"/>
              <w:spacing w:before="0" w:after="0" w:line="240" w:lineRule="auto"/>
              <w:rPr>
                <w:noProof/>
              </w:rPr>
            </w:pPr>
            <w:r>
              <w:rPr>
                <w:noProof/>
              </w:rPr>
              <w:t>Étapes</w:t>
            </w:r>
          </w:p>
        </w:tc>
        <w:tc>
          <w:tcPr>
            <w:tcW w:w="1538" w:type="dxa"/>
            <w:tcBorders>
              <w:top w:val="single" w:sz="4" w:space="0" w:color="auto"/>
              <w:left w:val="nil"/>
              <w:bottom w:val="single" w:sz="4" w:space="0" w:color="000000" w:themeColor="text1"/>
              <w:right w:val="single" w:sz="4" w:space="0" w:color="000000" w:themeColor="text1"/>
            </w:tcBorders>
            <w:shd w:val="clear" w:color="auto" w:fill="C6EFCE"/>
            <w:vAlign w:val="center"/>
            <w:hideMark/>
          </w:tcPr>
          <w:p w14:paraId="6366EBAE" w14:textId="77777777" w:rsidR="00025543" w:rsidRDefault="007E3A2F">
            <w:pPr>
              <w:pStyle w:val="P68B1DB1-Normal15"/>
              <w:spacing w:before="0" w:after="0" w:line="240" w:lineRule="auto"/>
              <w:rPr>
                <w:noProof/>
              </w:rPr>
            </w:pPr>
            <w:r>
              <w:rPr>
                <w:noProof/>
              </w:rPr>
              <w:t>Mise en œuvre de changements organisationnels pour réformer la structure des organismes publics chargés de superviser la transformation numérique de l’économie</w:t>
            </w:r>
          </w:p>
        </w:tc>
        <w:tc>
          <w:tcPr>
            <w:tcW w:w="1789" w:type="dxa"/>
            <w:tcBorders>
              <w:top w:val="single" w:sz="4" w:space="0" w:color="auto"/>
              <w:left w:val="nil"/>
              <w:bottom w:val="single" w:sz="4" w:space="0" w:color="000000" w:themeColor="text1"/>
              <w:right w:val="single" w:sz="4" w:space="0" w:color="000000" w:themeColor="text1"/>
            </w:tcBorders>
            <w:shd w:val="clear" w:color="auto" w:fill="C6EFCE"/>
            <w:vAlign w:val="center"/>
            <w:hideMark/>
          </w:tcPr>
          <w:p w14:paraId="7E6C4E12" w14:textId="77777777" w:rsidR="00025543" w:rsidRDefault="007E3A2F">
            <w:pPr>
              <w:pStyle w:val="P68B1DB1-Normal15"/>
              <w:spacing w:before="0" w:after="0" w:line="240" w:lineRule="auto"/>
              <w:rPr>
                <w:noProof/>
              </w:rPr>
            </w:pPr>
            <w:r>
              <w:rPr>
                <w:noProof/>
              </w:rPr>
              <w:t xml:space="preserve">Mise en place du comité (et du groupe de travail concerné) chargé de la coordination des parties prenantes nationales en vue de préparer des projets de transformation numérique de l’économie tchèque </w:t>
            </w:r>
          </w:p>
        </w:tc>
        <w:tc>
          <w:tcPr>
            <w:tcW w:w="1034" w:type="dxa"/>
            <w:tcBorders>
              <w:top w:val="nil"/>
              <w:left w:val="nil"/>
              <w:bottom w:val="single" w:sz="4" w:space="0" w:color="000000" w:themeColor="text1"/>
              <w:right w:val="single" w:sz="4" w:space="0" w:color="000000" w:themeColor="text1"/>
            </w:tcBorders>
            <w:shd w:val="clear" w:color="auto" w:fill="C6EFCE"/>
            <w:vAlign w:val="center"/>
          </w:tcPr>
          <w:p w14:paraId="1BFBFCE8" w14:textId="77777777" w:rsidR="00025543" w:rsidRDefault="00025543">
            <w:pPr>
              <w:spacing w:before="0" w:after="0" w:line="240" w:lineRule="auto"/>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tcPr>
          <w:p w14:paraId="2D220735" w14:textId="77777777" w:rsidR="00025543" w:rsidRDefault="00025543">
            <w:pPr>
              <w:spacing w:before="0" w:after="0" w:line="240" w:lineRule="auto"/>
              <w:jc w:val="center"/>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tcPr>
          <w:p w14:paraId="0D7B3534" w14:textId="77777777" w:rsidR="00025543" w:rsidRDefault="00025543">
            <w:pPr>
              <w:spacing w:before="0" w:after="0" w:line="240" w:lineRule="auto"/>
              <w:jc w:val="center"/>
              <w:rPr>
                <w:rFonts w:eastAsia="Times New Roman"/>
                <w:noProof/>
                <w:color w:val="004300"/>
                <w:sz w:val="18"/>
              </w:rPr>
            </w:pPr>
          </w:p>
        </w:tc>
        <w:tc>
          <w:tcPr>
            <w:tcW w:w="1021" w:type="dxa"/>
            <w:tcBorders>
              <w:top w:val="nil"/>
              <w:left w:val="nil"/>
              <w:bottom w:val="single" w:sz="4" w:space="0" w:color="000000" w:themeColor="text1"/>
              <w:right w:val="single" w:sz="4" w:space="0" w:color="000000" w:themeColor="text1"/>
            </w:tcBorders>
            <w:shd w:val="clear" w:color="auto" w:fill="C6EFCE"/>
            <w:vAlign w:val="center"/>
            <w:hideMark/>
          </w:tcPr>
          <w:p w14:paraId="4AB4C12A" w14:textId="77777777" w:rsidR="00025543" w:rsidRDefault="007E3A2F">
            <w:pPr>
              <w:pStyle w:val="P68B1DB1-Normal15"/>
              <w:spacing w:before="0" w:after="0" w:line="240" w:lineRule="auto"/>
              <w:jc w:val="center"/>
              <w:rPr>
                <w:noProof/>
              </w:rPr>
            </w:pPr>
            <w:r>
              <w:rPr>
                <w:noProof/>
              </w:rPr>
              <w:t>TRIMESTRE 1</w:t>
            </w:r>
          </w:p>
        </w:tc>
        <w:tc>
          <w:tcPr>
            <w:tcW w:w="655" w:type="dxa"/>
            <w:tcBorders>
              <w:top w:val="nil"/>
              <w:left w:val="nil"/>
              <w:bottom w:val="single" w:sz="4" w:space="0" w:color="000000" w:themeColor="text1"/>
              <w:right w:val="single" w:sz="4" w:space="0" w:color="000000" w:themeColor="text1"/>
            </w:tcBorders>
            <w:shd w:val="clear" w:color="auto" w:fill="C6EFCE"/>
            <w:vAlign w:val="center"/>
            <w:hideMark/>
          </w:tcPr>
          <w:p w14:paraId="136347B8" w14:textId="77777777" w:rsidR="00025543" w:rsidRDefault="007E3A2F">
            <w:pPr>
              <w:pStyle w:val="P68B1DB1-Normal15"/>
              <w:spacing w:before="0" w:after="0" w:line="240" w:lineRule="auto"/>
              <w:jc w:val="center"/>
              <w:rPr>
                <w:noProof/>
              </w:rPr>
            </w:pPr>
            <w:r>
              <w:rPr>
                <w:noProof/>
              </w:rPr>
              <w:t>2025</w:t>
            </w:r>
          </w:p>
        </w:tc>
        <w:tc>
          <w:tcPr>
            <w:tcW w:w="4104" w:type="dxa"/>
            <w:tcBorders>
              <w:top w:val="single" w:sz="4" w:space="0" w:color="auto"/>
              <w:left w:val="nil"/>
              <w:bottom w:val="single" w:sz="4" w:space="0" w:color="000000" w:themeColor="text1"/>
              <w:right w:val="single" w:sz="4" w:space="0" w:color="000000" w:themeColor="text1"/>
            </w:tcBorders>
            <w:shd w:val="clear" w:color="auto" w:fill="C6EFCE"/>
            <w:vAlign w:val="center"/>
            <w:hideMark/>
          </w:tcPr>
          <w:p w14:paraId="62C3210D" w14:textId="39B401D5" w:rsidR="00025543" w:rsidRDefault="007E3A2F">
            <w:pPr>
              <w:pStyle w:val="P68B1DB1-Normal15"/>
              <w:spacing w:before="0" w:after="0" w:line="240" w:lineRule="auto"/>
              <w:rPr>
                <w:noProof/>
              </w:rPr>
            </w:pPr>
            <w:r>
              <w:rPr>
                <w:noProof/>
              </w:rPr>
              <w:t xml:space="preserve">Le comité pour la transformation numérique, y compris la représentation des parties prenantes publiques et privées, coordonne la mise en œuvre des réformes et des investissements au titre des volets 1.4 et 1.5. Cela comprendra également un groupe de travail consultatif/d’experts spécial chargé de superviser la mise en œuvre des normes de l’UE pour les start-up dans le cadre de ce volet et fournira un avis d’experts sur la sélection des méthodes de mise en œuvre. Ce jalon est considéré comme atteint une fois que le comité et le groupe de travail commenceront à travailler. </w:t>
            </w:r>
          </w:p>
        </w:tc>
      </w:tr>
      <w:tr w:rsidR="00025543" w14:paraId="6598B3FE" w14:textId="77777777">
        <w:trPr>
          <w:trHeight w:val="309"/>
          <w:jc w:val="center"/>
        </w:trPr>
        <w:tc>
          <w:tcPr>
            <w:tcW w:w="651" w:type="dxa"/>
            <w:tcBorders>
              <w:top w:val="nil"/>
              <w:left w:val="single" w:sz="4" w:space="0" w:color="000000" w:themeColor="text1"/>
              <w:bottom w:val="single" w:sz="4" w:space="0" w:color="000000" w:themeColor="text1"/>
              <w:right w:val="single" w:sz="4" w:space="0" w:color="000000" w:themeColor="text1"/>
            </w:tcBorders>
            <w:shd w:val="clear" w:color="auto" w:fill="C6EFCE"/>
            <w:vAlign w:val="center"/>
            <w:hideMark/>
          </w:tcPr>
          <w:p w14:paraId="60B78D4B" w14:textId="77777777" w:rsidR="00025543" w:rsidRDefault="007E3A2F">
            <w:pPr>
              <w:pStyle w:val="P68B1DB1-Normal15"/>
              <w:spacing w:before="0" w:after="0" w:line="240" w:lineRule="auto"/>
              <w:jc w:val="center"/>
              <w:rPr>
                <w:noProof/>
              </w:rPr>
            </w:pPr>
            <w:r>
              <w:rPr>
                <w:noProof/>
              </w:rPr>
              <w:t>48</w:t>
            </w:r>
          </w:p>
        </w:tc>
        <w:tc>
          <w:tcPr>
            <w:tcW w:w="1617" w:type="dxa"/>
            <w:tcBorders>
              <w:top w:val="nil"/>
              <w:left w:val="nil"/>
              <w:bottom w:val="single" w:sz="4" w:space="0" w:color="000000" w:themeColor="text1"/>
              <w:right w:val="single" w:sz="4" w:space="0" w:color="000000" w:themeColor="text1"/>
            </w:tcBorders>
            <w:shd w:val="clear" w:color="auto" w:fill="C6EFCE"/>
            <w:vAlign w:val="center"/>
            <w:hideMark/>
          </w:tcPr>
          <w:p w14:paraId="7CB46CDB" w14:textId="77777777" w:rsidR="00025543" w:rsidRDefault="007E3A2F">
            <w:pPr>
              <w:pStyle w:val="P68B1DB1-Normal15"/>
              <w:spacing w:before="0" w:after="0" w:line="240" w:lineRule="auto"/>
              <w:rPr>
                <w:noProof/>
              </w:rPr>
            </w:pPr>
            <w:r>
              <w:rPr>
                <w:noProof/>
              </w:rPr>
              <w:t>Réforme 2: Groupe conjoint de soutien et de certification en matière de technologies stratégiques avec le comité des technologies stratégiques</w:t>
            </w:r>
          </w:p>
        </w:tc>
        <w:tc>
          <w:tcPr>
            <w:tcW w:w="1134" w:type="dxa"/>
            <w:tcBorders>
              <w:top w:val="nil"/>
              <w:left w:val="nil"/>
              <w:bottom w:val="single" w:sz="4" w:space="0" w:color="000000" w:themeColor="text1"/>
              <w:right w:val="single" w:sz="4" w:space="0" w:color="000000" w:themeColor="text1"/>
            </w:tcBorders>
            <w:shd w:val="clear" w:color="auto" w:fill="C6EFCE"/>
            <w:vAlign w:val="center"/>
            <w:hideMark/>
          </w:tcPr>
          <w:p w14:paraId="30C0FC01" w14:textId="77777777" w:rsidR="00025543" w:rsidRDefault="007E3A2F">
            <w:pPr>
              <w:pStyle w:val="P68B1DB1-Normal15"/>
              <w:spacing w:before="0" w:after="0" w:line="240" w:lineRule="auto"/>
              <w:rPr>
                <w:noProof/>
              </w:rPr>
            </w:pPr>
            <w:r>
              <w:rPr>
                <w:noProof/>
              </w:rPr>
              <w:t>Étapes</w:t>
            </w:r>
          </w:p>
        </w:tc>
        <w:tc>
          <w:tcPr>
            <w:tcW w:w="1538" w:type="dxa"/>
            <w:tcBorders>
              <w:top w:val="nil"/>
              <w:left w:val="nil"/>
              <w:bottom w:val="single" w:sz="4" w:space="0" w:color="000000" w:themeColor="text1"/>
              <w:right w:val="single" w:sz="4" w:space="0" w:color="000000" w:themeColor="text1"/>
            </w:tcBorders>
            <w:shd w:val="clear" w:color="auto" w:fill="C6EFCE"/>
            <w:vAlign w:val="center"/>
            <w:hideMark/>
          </w:tcPr>
          <w:p w14:paraId="7690824F" w14:textId="49B719E7" w:rsidR="00025543" w:rsidRDefault="007E3A2F">
            <w:pPr>
              <w:pStyle w:val="P68B1DB1-Normal15"/>
              <w:spacing w:before="0" w:after="0" w:line="240" w:lineRule="auto"/>
              <w:rPr>
                <w:noProof/>
              </w:rPr>
            </w:pPr>
            <w:r>
              <w:rPr>
                <w:noProof/>
              </w:rPr>
              <w:t xml:space="preserve">Mise en place et désignation d’un réseau de certification </w:t>
            </w:r>
          </w:p>
        </w:tc>
        <w:tc>
          <w:tcPr>
            <w:tcW w:w="1789" w:type="dxa"/>
            <w:tcBorders>
              <w:top w:val="nil"/>
              <w:left w:val="nil"/>
              <w:bottom w:val="single" w:sz="4" w:space="0" w:color="000000" w:themeColor="text1"/>
              <w:right w:val="single" w:sz="4" w:space="0" w:color="000000" w:themeColor="text1"/>
            </w:tcBorders>
            <w:shd w:val="clear" w:color="auto" w:fill="C6EFCE"/>
            <w:vAlign w:val="center"/>
            <w:hideMark/>
          </w:tcPr>
          <w:p w14:paraId="20E409A3" w14:textId="45C00811" w:rsidR="00025543" w:rsidRDefault="007E3A2F">
            <w:pPr>
              <w:pStyle w:val="P68B1DB1-Normal15"/>
              <w:spacing w:before="0" w:after="0" w:line="240" w:lineRule="auto"/>
              <w:rPr>
                <w:noProof/>
              </w:rPr>
            </w:pPr>
            <w:r>
              <w:rPr>
                <w:noProof/>
              </w:rPr>
              <w:t>Création d’un réseau d’autorités de certification, d’experts techniques et d’entreprises associées pour les secteurs stratégiques.</w:t>
            </w:r>
          </w:p>
        </w:tc>
        <w:tc>
          <w:tcPr>
            <w:tcW w:w="1034" w:type="dxa"/>
            <w:tcBorders>
              <w:top w:val="nil"/>
              <w:left w:val="nil"/>
              <w:bottom w:val="single" w:sz="4" w:space="0" w:color="000000" w:themeColor="text1"/>
              <w:right w:val="single" w:sz="4" w:space="0" w:color="000000" w:themeColor="text1"/>
            </w:tcBorders>
            <w:shd w:val="clear" w:color="auto" w:fill="C6EFCE"/>
            <w:vAlign w:val="center"/>
          </w:tcPr>
          <w:p w14:paraId="67526C48" w14:textId="77777777" w:rsidR="00025543" w:rsidRDefault="00025543">
            <w:pPr>
              <w:spacing w:before="0" w:after="0" w:line="240" w:lineRule="auto"/>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tcPr>
          <w:p w14:paraId="6010FD97" w14:textId="77777777" w:rsidR="00025543" w:rsidRDefault="00025543">
            <w:pPr>
              <w:spacing w:before="0" w:after="0" w:line="240" w:lineRule="auto"/>
              <w:jc w:val="center"/>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tcPr>
          <w:p w14:paraId="06DD783B" w14:textId="77777777" w:rsidR="00025543" w:rsidRDefault="00025543">
            <w:pPr>
              <w:spacing w:before="0" w:after="0" w:line="240" w:lineRule="auto"/>
              <w:jc w:val="center"/>
              <w:rPr>
                <w:rFonts w:eastAsia="Times New Roman"/>
                <w:noProof/>
                <w:color w:val="004300"/>
                <w:sz w:val="18"/>
              </w:rPr>
            </w:pPr>
          </w:p>
        </w:tc>
        <w:tc>
          <w:tcPr>
            <w:tcW w:w="1021" w:type="dxa"/>
            <w:tcBorders>
              <w:top w:val="nil"/>
              <w:left w:val="nil"/>
              <w:bottom w:val="single" w:sz="4" w:space="0" w:color="000000" w:themeColor="text1"/>
              <w:right w:val="single" w:sz="4" w:space="0" w:color="000000" w:themeColor="text1"/>
            </w:tcBorders>
            <w:shd w:val="clear" w:color="auto" w:fill="C6EFCE"/>
            <w:vAlign w:val="center"/>
            <w:hideMark/>
          </w:tcPr>
          <w:p w14:paraId="795A11E6" w14:textId="10697E60" w:rsidR="00025543" w:rsidRDefault="007E3A2F">
            <w:pPr>
              <w:pStyle w:val="P68B1DB1-Normal15"/>
              <w:spacing w:before="0" w:after="0" w:line="240" w:lineRule="auto"/>
              <w:jc w:val="center"/>
              <w:rPr>
                <w:noProof/>
              </w:rPr>
            </w:pPr>
            <w:r>
              <w:rPr>
                <w:noProof/>
              </w:rPr>
              <w:t>TRIMESTRE 2</w:t>
            </w:r>
          </w:p>
        </w:tc>
        <w:tc>
          <w:tcPr>
            <w:tcW w:w="655" w:type="dxa"/>
            <w:tcBorders>
              <w:top w:val="nil"/>
              <w:left w:val="nil"/>
              <w:bottom w:val="single" w:sz="4" w:space="0" w:color="000000" w:themeColor="text1"/>
              <w:right w:val="single" w:sz="4" w:space="0" w:color="000000" w:themeColor="text1"/>
            </w:tcBorders>
            <w:shd w:val="clear" w:color="auto" w:fill="C6EFCE"/>
            <w:vAlign w:val="center"/>
            <w:hideMark/>
          </w:tcPr>
          <w:p w14:paraId="0F6D93AD" w14:textId="3350EA72" w:rsidR="00025543" w:rsidRDefault="007E3A2F">
            <w:pPr>
              <w:pStyle w:val="P68B1DB1-Normal15"/>
              <w:spacing w:before="0" w:after="0" w:line="240" w:lineRule="auto"/>
              <w:jc w:val="center"/>
              <w:rPr>
                <w:noProof/>
              </w:rPr>
            </w:pPr>
            <w:r>
              <w:rPr>
                <w:noProof/>
              </w:rPr>
              <w:t>2023</w:t>
            </w:r>
          </w:p>
        </w:tc>
        <w:tc>
          <w:tcPr>
            <w:tcW w:w="4104" w:type="dxa"/>
            <w:tcBorders>
              <w:top w:val="nil"/>
              <w:left w:val="nil"/>
              <w:bottom w:val="single" w:sz="4" w:space="0" w:color="000000" w:themeColor="text1"/>
              <w:right w:val="single" w:sz="4" w:space="0" w:color="000000" w:themeColor="text1"/>
            </w:tcBorders>
            <w:shd w:val="clear" w:color="auto" w:fill="C6EFCE"/>
            <w:vAlign w:val="center"/>
            <w:hideMark/>
          </w:tcPr>
          <w:p w14:paraId="79C715B5" w14:textId="3F8DE030" w:rsidR="00025543" w:rsidRDefault="007E3A2F">
            <w:pPr>
              <w:pStyle w:val="P68B1DB1-Normal15"/>
              <w:spacing w:before="0" w:after="0" w:line="240" w:lineRule="auto"/>
              <w:rPr>
                <w:noProof/>
              </w:rPr>
            </w:pPr>
            <w:r>
              <w:rPr>
                <w:noProof/>
              </w:rPr>
              <w:t>Création d’un guichet unique pour le partage des bonnes pratiques, recherche d’informations réelles sur la certification, telles que la qualité et la disponibilité de laboratoires accrédités ou d’organismes notifiés, offres d’assistance technique.</w:t>
            </w:r>
          </w:p>
        </w:tc>
      </w:tr>
      <w:tr w:rsidR="00025543" w14:paraId="4F22C6AF" w14:textId="77777777">
        <w:trPr>
          <w:trHeight w:val="309"/>
          <w:jc w:val="center"/>
        </w:trPr>
        <w:tc>
          <w:tcPr>
            <w:tcW w:w="651" w:type="dxa"/>
            <w:tcBorders>
              <w:top w:val="nil"/>
              <w:left w:val="single" w:sz="4" w:space="0" w:color="000000" w:themeColor="text1"/>
              <w:bottom w:val="single" w:sz="4" w:space="0" w:color="000000" w:themeColor="text1"/>
              <w:right w:val="single" w:sz="4" w:space="0" w:color="000000" w:themeColor="text1"/>
            </w:tcBorders>
            <w:shd w:val="clear" w:color="auto" w:fill="C6EFCE"/>
            <w:vAlign w:val="center"/>
            <w:hideMark/>
          </w:tcPr>
          <w:p w14:paraId="2E3DFF33" w14:textId="77777777" w:rsidR="00025543" w:rsidRDefault="007E3A2F">
            <w:pPr>
              <w:pStyle w:val="P68B1DB1-Normal15"/>
              <w:spacing w:before="0" w:after="0" w:line="240" w:lineRule="auto"/>
              <w:jc w:val="center"/>
              <w:rPr>
                <w:noProof/>
              </w:rPr>
            </w:pPr>
            <w:r>
              <w:rPr>
                <w:noProof/>
              </w:rPr>
              <w:t>49</w:t>
            </w:r>
          </w:p>
        </w:tc>
        <w:tc>
          <w:tcPr>
            <w:tcW w:w="1617" w:type="dxa"/>
            <w:tcBorders>
              <w:top w:val="nil"/>
              <w:left w:val="nil"/>
              <w:bottom w:val="single" w:sz="4" w:space="0" w:color="000000" w:themeColor="text1"/>
              <w:right w:val="single" w:sz="4" w:space="0" w:color="000000" w:themeColor="text1"/>
            </w:tcBorders>
            <w:shd w:val="clear" w:color="auto" w:fill="C6EFCE"/>
            <w:vAlign w:val="center"/>
            <w:hideMark/>
          </w:tcPr>
          <w:p w14:paraId="1B741EE5" w14:textId="77777777" w:rsidR="00025543" w:rsidRDefault="007E3A2F">
            <w:pPr>
              <w:pStyle w:val="P68B1DB1-Normal15"/>
              <w:spacing w:before="0" w:after="0" w:line="240" w:lineRule="auto"/>
              <w:rPr>
                <w:noProof/>
              </w:rPr>
            </w:pPr>
            <w:r>
              <w:rPr>
                <w:noProof/>
              </w:rPr>
              <w:t>Réforme 2: Groupe conjoint de soutien et de certification en matière de technologies stratégiques avec le comité des technologies stratégiques</w:t>
            </w:r>
          </w:p>
        </w:tc>
        <w:tc>
          <w:tcPr>
            <w:tcW w:w="1134" w:type="dxa"/>
            <w:tcBorders>
              <w:top w:val="nil"/>
              <w:left w:val="nil"/>
              <w:bottom w:val="single" w:sz="4" w:space="0" w:color="000000" w:themeColor="text1"/>
              <w:right w:val="single" w:sz="4" w:space="0" w:color="000000" w:themeColor="text1"/>
            </w:tcBorders>
            <w:shd w:val="clear" w:color="auto" w:fill="C6EFCE"/>
            <w:vAlign w:val="center"/>
            <w:hideMark/>
          </w:tcPr>
          <w:p w14:paraId="50D20916" w14:textId="77777777" w:rsidR="00025543" w:rsidRDefault="007E3A2F">
            <w:pPr>
              <w:pStyle w:val="P68B1DB1-Normal15"/>
              <w:spacing w:before="0" w:after="0" w:line="240" w:lineRule="auto"/>
              <w:rPr>
                <w:noProof/>
              </w:rPr>
            </w:pPr>
            <w:r>
              <w:rPr>
                <w:noProof/>
              </w:rPr>
              <w:t> Cible</w:t>
            </w:r>
          </w:p>
        </w:tc>
        <w:tc>
          <w:tcPr>
            <w:tcW w:w="1538" w:type="dxa"/>
            <w:tcBorders>
              <w:top w:val="nil"/>
              <w:left w:val="nil"/>
              <w:bottom w:val="single" w:sz="4" w:space="0" w:color="000000" w:themeColor="text1"/>
              <w:right w:val="single" w:sz="4" w:space="0" w:color="000000" w:themeColor="text1"/>
            </w:tcBorders>
            <w:shd w:val="clear" w:color="auto" w:fill="C6EFCE"/>
            <w:vAlign w:val="center"/>
            <w:hideMark/>
          </w:tcPr>
          <w:p w14:paraId="24B37F4A" w14:textId="77777777" w:rsidR="00025543" w:rsidRDefault="007E3A2F">
            <w:pPr>
              <w:pStyle w:val="P68B1DB1-Normal15"/>
              <w:spacing w:before="0" w:after="0" w:line="240" w:lineRule="auto"/>
              <w:rPr>
                <w:noProof/>
              </w:rPr>
            </w:pPr>
            <w:r>
              <w:rPr>
                <w:noProof/>
              </w:rPr>
              <w:t xml:space="preserve">Nombre d’entreprises bénéficiant d’une certification </w:t>
            </w:r>
          </w:p>
        </w:tc>
        <w:tc>
          <w:tcPr>
            <w:tcW w:w="1789" w:type="dxa"/>
            <w:tcBorders>
              <w:top w:val="nil"/>
              <w:left w:val="nil"/>
              <w:bottom w:val="single" w:sz="4" w:space="0" w:color="000000" w:themeColor="text1"/>
              <w:right w:val="single" w:sz="4" w:space="0" w:color="000000" w:themeColor="text1"/>
            </w:tcBorders>
            <w:shd w:val="clear" w:color="auto" w:fill="C6EFCE"/>
            <w:vAlign w:val="center"/>
            <w:hideMark/>
          </w:tcPr>
          <w:p w14:paraId="1526FBBF" w14:textId="77777777" w:rsidR="00025543" w:rsidRDefault="00025543">
            <w:pPr>
              <w:spacing w:before="0" w:after="0" w:line="240" w:lineRule="auto"/>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13949B44" w14:textId="77777777" w:rsidR="00025543" w:rsidRDefault="007E3A2F">
            <w:pPr>
              <w:pStyle w:val="P68B1DB1-Normal15"/>
              <w:spacing w:before="0" w:after="0" w:line="240" w:lineRule="auto"/>
              <w:rPr>
                <w:noProof/>
              </w:rPr>
            </w:pPr>
            <w:r>
              <w:rPr>
                <w:noProof/>
              </w:rPr>
              <w:t> Numéro</w:t>
            </w: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4715411E" w14:textId="77777777" w:rsidR="00025543" w:rsidRDefault="007E3A2F">
            <w:pPr>
              <w:pStyle w:val="P68B1DB1-Normal15"/>
              <w:spacing w:before="0" w:after="0" w:line="240" w:lineRule="auto"/>
              <w:jc w:val="center"/>
              <w:rPr>
                <w:noProof/>
              </w:rPr>
            </w:pPr>
            <w:r>
              <w:rPr>
                <w:noProof/>
              </w:rPr>
              <w:t>0</w:t>
            </w: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156FE555" w14:textId="77777777" w:rsidR="00025543" w:rsidRDefault="007E3A2F">
            <w:pPr>
              <w:pStyle w:val="P68B1DB1-Normal15"/>
              <w:spacing w:before="0" w:after="0" w:line="240" w:lineRule="auto"/>
              <w:jc w:val="center"/>
              <w:rPr>
                <w:noProof/>
              </w:rPr>
            </w:pPr>
            <w:r>
              <w:rPr>
                <w:noProof/>
              </w:rPr>
              <w:t>50</w:t>
            </w:r>
          </w:p>
        </w:tc>
        <w:tc>
          <w:tcPr>
            <w:tcW w:w="1021" w:type="dxa"/>
            <w:tcBorders>
              <w:top w:val="nil"/>
              <w:left w:val="nil"/>
              <w:bottom w:val="single" w:sz="4" w:space="0" w:color="000000" w:themeColor="text1"/>
              <w:right w:val="single" w:sz="4" w:space="0" w:color="000000" w:themeColor="text1"/>
            </w:tcBorders>
            <w:shd w:val="clear" w:color="auto" w:fill="C6EFCE"/>
            <w:vAlign w:val="center"/>
            <w:hideMark/>
          </w:tcPr>
          <w:p w14:paraId="00BDA1A9" w14:textId="40DE6475" w:rsidR="00025543" w:rsidRDefault="007E3A2F">
            <w:pPr>
              <w:pStyle w:val="P68B1DB1-Normal15"/>
              <w:spacing w:before="0" w:after="0" w:line="240" w:lineRule="auto"/>
              <w:jc w:val="center"/>
              <w:rPr>
                <w:noProof/>
              </w:rPr>
            </w:pPr>
            <w:r>
              <w:rPr>
                <w:noProof/>
              </w:rPr>
              <w:t>TRIMESTRE 4</w:t>
            </w:r>
          </w:p>
        </w:tc>
        <w:tc>
          <w:tcPr>
            <w:tcW w:w="655" w:type="dxa"/>
            <w:tcBorders>
              <w:top w:val="nil"/>
              <w:left w:val="nil"/>
              <w:bottom w:val="single" w:sz="4" w:space="0" w:color="000000" w:themeColor="text1"/>
              <w:right w:val="single" w:sz="4" w:space="0" w:color="000000" w:themeColor="text1"/>
            </w:tcBorders>
            <w:shd w:val="clear" w:color="auto" w:fill="C6EFCE"/>
            <w:vAlign w:val="center"/>
            <w:hideMark/>
          </w:tcPr>
          <w:p w14:paraId="05EF7138" w14:textId="03A03D74" w:rsidR="00025543" w:rsidRDefault="007E3A2F">
            <w:pPr>
              <w:pStyle w:val="P68B1DB1-Normal15"/>
              <w:spacing w:before="0" w:after="0" w:line="240" w:lineRule="auto"/>
              <w:jc w:val="center"/>
              <w:rPr>
                <w:noProof/>
              </w:rPr>
            </w:pPr>
            <w:r>
              <w:rPr>
                <w:noProof/>
              </w:rPr>
              <w:t>2024</w:t>
            </w:r>
          </w:p>
        </w:tc>
        <w:tc>
          <w:tcPr>
            <w:tcW w:w="4104" w:type="dxa"/>
            <w:tcBorders>
              <w:top w:val="nil"/>
              <w:left w:val="nil"/>
              <w:bottom w:val="single" w:sz="4" w:space="0" w:color="000000" w:themeColor="text1"/>
              <w:right w:val="single" w:sz="4" w:space="0" w:color="000000" w:themeColor="text1"/>
            </w:tcBorders>
            <w:shd w:val="clear" w:color="auto" w:fill="C6EFCE"/>
            <w:vAlign w:val="center"/>
            <w:hideMark/>
          </w:tcPr>
          <w:p w14:paraId="6E4E6687" w14:textId="339B8E92" w:rsidR="00025543" w:rsidRDefault="007E3A2F">
            <w:pPr>
              <w:pStyle w:val="P68B1DB1-Normal15"/>
              <w:spacing w:before="0" w:after="0" w:line="240" w:lineRule="auto"/>
              <w:rPr>
                <w:noProof/>
              </w:rPr>
            </w:pPr>
            <w:r>
              <w:rPr>
                <w:noProof/>
              </w:rPr>
              <w:t xml:space="preserve">50 entreprises doivent bénéficier d’une aide pour obtenir la certification par l’intermédiaire d’autorités de certification accréditées. </w:t>
            </w:r>
          </w:p>
          <w:p w14:paraId="0501B364" w14:textId="77777777" w:rsidR="00025543" w:rsidRDefault="00025543">
            <w:pPr>
              <w:spacing w:before="0" w:after="0" w:line="240" w:lineRule="auto"/>
              <w:rPr>
                <w:rFonts w:eastAsia="Times New Roman"/>
                <w:noProof/>
                <w:color w:val="004300"/>
                <w:sz w:val="18"/>
              </w:rPr>
            </w:pPr>
          </w:p>
          <w:p w14:paraId="4DD713E3" w14:textId="4837E433" w:rsidR="00025543" w:rsidRDefault="007E3A2F">
            <w:pPr>
              <w:pStyle w:val="P68B1DB1-Normal15"/>
              <w:spacing w:before="0" w:after="0" w:line="240" w:lineRule="auto"/>
              <w:rPr>
                <w:noProof/>
              </w:rPr>
            </w:pPr>
            <w:r>
              <w:rPr>
                <w:noProof/>
              </w:rPr>
              <w:t xml:space="preserve">Des cours de formation en matière de certification sont créés et mis à disposition. </w:t>
            </w:r>
          </w:p>
        </w:tc>
      </w:tr>
      <w:tr w:rsidR="00025543" w14:paraId="2F91057D" w14:textId="77777777">
        <w:trPr>
          <w:trHeight w:val="309"/>
          <w:jc w:val="center"/>
        </w:trPr>
        <w:tc>
          <w:tcPr>
            <w:tcW w:w="651" w:type="dxa"/>
            <w:tcBorders>
              <w:top w:val="nil"/>
              <w:left w:val="single" w:sz="4" w:space="0" w:color="000000" w:themeColor="text1"/>
              <w:bottom w:val="single" w:sz="4" w:space="0" w:color="000000" w:themeColor="text1"/>
              <w:right w:val="single" w:sz="4" w:space="0" w:color="000000" w:themeColor="text1"/>
            </w:tcBorders>
            <w:shd w:val="clear" w:color="auto" w:fill="C6EFCE"/>
            <w:vAlign w:val="center"/>
            <w:hideMark/>
          </w:tcPr>
          <w:p w14:paraId="726034AF" w14:textId="77777777" w:rsidR="00025543" w:rsidRDefault="007E3A2F">
            <w:pPr>
              <w:pStyle w:val="P68B1DB1-Normal15"/>
              <w:spacing w:before="0" w:after="0" w:line="240" w:lineRule="auto"/>
              <w:jc w:val="center"/>
              <w:rPr>
                <w:noProof/>
              </w:rPr>
            </w:pPr>
            <w:r>
              <w:rPr>
                <w:noProof/>
              </w:rPr>
              <w:t>51</w:t>
            </w:r>
          </w:p>
        </w:tc>
        <w:tc>
          <w:tcPr>
            <w:tcW w:w="1617" w:type="dxa"/>
            <w:tcBorders>
              <w:top w:val="nil"/>
              <w:left w:val="nil"/>
              <w:bottom w:val="single" w:sz="4" w:space="0" w:color="000000" w:themeColor="text1"/>
              <w:right w:val="single" w:sz="4" w:space="0" w:color="000000" w:themeColor="text1"/>
            </w:tcBorders>
            <w:shd w:val="clear" w:color="auto" w:fill="C6EFCE"/>
            <w:vAlign w:val="center"/>
            <w:hideMark/>
          </w:tcPr>
          <w:p w14:paraId="6FD209EB" w14:textId="77777777" w:rsidR="00025543" w:rsidRDefault="007E3A2F">
            <w:pPr>
              <w:pStyle w:val="P68B1DB1-Normal15"/>
              <w:spacing w:before="0" w:after="0" w:line="240" w:lineRule="auto"/>
              <w:rPr>
                <w:noProof/>
              </w:rPr>
            </w:pPr>
            <w:r>
              <w:rPr>
                <w:noProof/>
              </w:rPr>
              <w:t>Investissement 2: Observatoire européen des médias numériques (EDMO)</w:t>
            </w:r>
          </w:p>
        </w:tc>
        <w:tc>
          <w:tcPr>
            <w:tcW w:w="1134" w:type="dxa"/>
            <w:tcBorders>
              <w:top w:val="nil"/>
              <w:left w:val="nil"/>
              <w:bottom w:val="single" w:sz="4" w:space="0" w:color="000000" w:themeColor="text1"/>
              <w:right w:val="single" w:sz="4" w:space="0" w:color="000000" w:themeColor="text1"/>
            </w:tcBorders>
            <w:shd w:val="clear" w:color="auto" w:fill="C6EFCE"/>
            <w:vAlign w:val="center"/>
            <w:hideMark/>
          </w:tcPr>
          <w:p w14:paraId="67D36F62" w14:textId="77777777" w:rsidR="00025543" w:rsidRDefault="007E3A2F">
            <w:pPr>
              <w:pStyle w:val="P68B1DB1-Normal15"/>
              <w:spacing w:before="0" w:after="0" w:line="240" w:lineRule="auto"/>
              <w:rPr>
                <w:noProof/>
              </w:rPr>
            </w:pPr>
            <w:r>
              <w:rPr>
                <w:noProof/>
              </w:rPr>
              <w:t>Étapes</w:t>
            </w:r>
          </w:p>
        </w:tc>
        <w:tc>
          <w:tcPr>
            <w:tcW w:w="1538" w:type="dxa"/>
            <w:tcBorders>
              <w:top w:val="nil"/>
              <w:left w:val="nil"/>
              <w:bottom w:val="single" w:sz="4" w:space="0" w:color="000000" w:themeColor="text1"/>
              <w:right w:val="single" w:sz="4" w:space="0" w:color="000000" w:themeColor="text1"/>
            </w:tcBorders>
            <w:shd w:val="clear" w:color="auto" w:fill="C6EFCE"/>
            <w:vAlign w:val="center"/>
            <w:hideMark/>
          </w:tcPr>
          <w:p w14:paraId="3564FBE9" w14:textId="77777777" w:rsidR="00025543" w:rsidRDefault="007E3A2F">
            <w:pPr>
              <w:pStyle w:val="P68B1DB1-Normal15"/>
              <w:spacing w:before="0" w:after="0" w:line="240" w:lineRule="auto"/>
              <w:rPr>
                <w:noProof/>
              </w:rPr>
            </w:pPr>
            <w:r>
              <w:rPr>
                <w:noProof/>
              </w:rPr>
              <w:t>Lancement de la plateforme de l’Observatoire européen des médias numériques pour les PECO en République tchèque (CEDMO)</w:t>
            </w:r>
          </w:p>
        </w:tc>
        <w:tc>
          <w:tcPr>
            <w:tcW w:w="1789" w:type="dxa"/>
            <w:tcBorders>
              <w:top w:val="nil"/>
              <w:left w:val="nil"/>
              <w:bottom w:val="single" w:sz="4" w:space="0" w:color="000000" w:themeColor="text1"/>
              <w:right w:val="single" w:sz="4" w:space="0" w:color="000000" w:themeColor="text1"/>
            </w:tcBorders>
            <w:shd w:val="clear" w:color="auto" w:fill="C6EFCE"/>
            <w:vAlign w:val="center"/>
            <w:hideMark/>
          </w:tcPr>
          <w:p w14:paraId="7E20F667" w14:textId="77777777" w:rsidR="00025543" w:rsidRDefault="007E3A2F">
            <w:pPr>
              <w:pStyle w:val="P68B1DB1-Normal15"/>
              <w:spacing w:before="0" w:after="0" w:line="240" w:lineRule="auto"/>
              <w:rPr>
                <w:noProof/>
              </w:rPr>
            </w:pPr>
            <w:r>
              <w:rPr>
                <w:noProof/>
              </w:rPr>
              <w:t>Lancement de la plateforme CEDMO créée par le consortium universitaire avec l’université Charles de Prague en tant que partenaire de premier plan</w:t>
            </w:r>
          </w:p>
        </w:tc>
        <w:tc>
          <w:tcPr>
            <w:tcW w:w="1034" w:type="dxa"/>
            <w:tcBorders>
              <w:top w:val="nil"/>
              <w:left w:val="nil"/>
              <w:bottom w:val="single" w:sz="4" w:space="0" w:color="000000" w:themeColor="text1"/>
              <w:right w:val="single" w:sz="4" w:space="0" w:color="000000" w:themeColor="text1"/>
            </w:tcBorders>
            <w:shd w:val="clear" w:color="auto" w:fill="C6EFCE"/>
            <w:vAlign w:val="center"/>
          </w:tcPr>
          <w:p w14:paraId="5199C8AD" w14:textId="77777777" w:rsidR="00025543" w:rsidRDefault="00025543">
            <w:pPr>
              <w:spacing w:before="0" w:after="0" w:line="240" w:lineRule="auto"/>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tcPr>
          <w:p w14:paraId="13B4670C" w14:textId="77777777" w:rsidR="00025543" w:rsidRDefault="00025543">
            <w:pPr>
              <w:spacing w:before="0" w:after="0" w:line="240" w:lineRule="auto"/>
              <w:jc w:val="center"/>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tcPr>
          <w:p w14:paraId="0AE1F4CE" w14:textId="77777777" w:rsidR="00025543" w:rsidRDefault="00025543">
            <w:pPr>
              <w:spacing w:before="0" w:after="0" w:line="240" w:lineRule="auto"/>
              <w:jc w:val="center"/>
              <w:rPr>
                <w:rFonts w:eastAsia="Times New Roman"/>
                <w:noProof/>
                <w:color w:val="004300"/>
                <w:sz w:val="18"/>
              </w:rPr>
            </w:pPr>
          </w:p>
        </w:tc>
        <w:tc>
          <w:tcPr>
            <w:tcW w:w="1021" w:type="dxa"/>
            <w:tcBorders>
              <w:top w:val="nil"/>
              <w:left w:val="nil"/>
              <w:bottom w:val="single" w:sz="4" w:space="0" w:color="000000" w:themeColor="text1"/>
              <w:right w:val="single" w:sz="4" w:space="0" w:color="000000" w:themeColor="text1"/>
            </w:tcBorders>
            <w:shd w:val="clear" w:color="auto" w:fill="C6EFCE"/>
            <w:vAlign w:val="center"/>
            <w:hideMark/>
          </w:tcPr>
          <w:p w14:paraId="19793437" w14:textId="77777777" w:rsidR="00025543" w:rsidRDefault="007E3A2F">
            <w:pPr>
              <w:pStyle w:val="P68B1DB1-Normal15"/>
              <w:spacing w:before="0" w:after="0" w:line="240" w:lineRule="auto"/>
              <w:jc w:val="center"/>
              <w:rPr>
                <w:noProof/>
              </w:rPr>
            </w:pPr>
            <w:r>
              <w:rPr>
                <w:noProof/>
              </w:rPr>
              <w:t>TRIMESTRE 4</w:t>
            </w:r>
          </w:p>
        </w:tc>
        <w:tc>
          <w:tcPr>
            <w:tcW w:w="655" w:type="dxa"/>
            <w:tcBorders>
              <w:top w:val="nil"/>
              <w:left w:val="nil"/>
              <w:bottom w:val="single" w:sz="4" w:space="0" w:color="000000" w:themeColor="text1"/>
              <w:right w:val="single" w:sz="4" w:space="0" w:color="000000" w:themeColor="text1"/>
            </w:tcBorders>
            <w:shd w:val="clear" w:color="auto" w:fill="C6EFCE"/>
            <w:vAlign w:val="center"/>
            <w:hideMark/>
          </w:tcPr>
          <w:p w14:paraId="59D4F05B" w14:textId="77777777" w:rsidR="00025543" w:rsidRDefault="007E3A2F">
            <w:pPr>
              <w:pStyle w:val="P68B1DB1-Normal15"/>
              <w:spacing w:before="0" w:after="0" w:line="240" w:lineRule="auto"/>
              <w:jc w:val="center"/>
              <w:rPr>
                <w:noProof/>
              </w:rPr>
            </w:pPr>
            <w:r>
              <w:rPr>
                <w:noProof/>
              </w:rPr>
              <w:t>2021</w:t>
            </w:r>
          </w:p>
        </w:tc>
        <w:tc>
          <w:tcPr>
            <w:tcW w:w="4104" w:type="dxa"/>
            <w:tcBorders>
              <w:top w:val="nil"/>
              <w:left w:val="nil"/>
              <w:bottom w:val="single" w:sz="4" w:space="0" w:color="000000" w:themeColor="text1"/>
              <w:right w:val="single" w:sz="4" w:space="0" w:color="000000" w:themeColor="text1"/>
            </w:tcBorders>
            <w:shd w:val="clear" w:color="auto" w:fill="C6EFCE"/>
            <w:vAlign w:val="center"/>
            <w:hideMark/>
          </w:tcPr>
          <w:p w14:paraId="5915ACBF" w14:textId="77777777" w:rsidR="00025543" w:rsidRDefault="007E3A2F">
            <w:pPr>
              <w:pStyle w:val="P68B1DB1-Normal15"/>
              <w:spacing w:before="0" w:after="0" w:line="240" w:lineRule="auto"/>
              <w:rPr>
                <w:noProof/>
              </w:rPr>
            </w:pPr>
            <w:r>
              <w:rPr>
                <w:noProof/>
              </w:rPr>
              <w:t>Le pôle de médias numériques, qui fait partie du réseau EDMO, se concentre sur l’analyse et la lutte contre la diffusion de fausses informations telles que la désinformation liée à la COVID-19 ou aux réseaux 5G.</w:t>
            </w:r>
          </w:p>
        </w:tc>
      </w:tr>
      <w:tr w:rsidR="00025543" w14:paraId="5EB01D1D" w14:textId="77777777">
        <w:trPr>
          <w:trHeight w:val="309"/>
          <w:jc w:val="center"/>
        </w:trPr>
        <w:tc>
          <w:tcPr>
            <w:tcW w:w="651" w:type="dxa"/>
            <w:tcBorders>
              <w:top w:val="nil"/>
              <w:left w:val="single" w:sz="4" w:space="0" w:color="000000" w:themeColor="text1"/>
              <w:bottom w:val="single" w:sz="4" w:space="0" w:color="000000" w:themeColor="text1"/>
              <w:right w:val="single" w:sz="4" w:space="0" w:color="000000" w:themeColor="text1"/>
            </w:tcBorders>
            <w:shd w:val="clear" w:color="auto" w:fill="C6EFCE"/>
            <w:vAlign w:val="center"/>
          </w:tcPr>
          <w:p w14:paraId="34ACAE52" w14:textId="1AAD5AB0" w:rsidR="00025543" w:rsidRDefault="007E3A2F">
            <w:pPr>
              <w:pStyle w:val="P68B1DB1-Normal15"/>
              <w:spacing w:before="0" w:after="0" w:line="240" w:lineRule="auto"/>
              <w:jc w:val="center"/>
              <w:rPr>
                <w:noProof/>
              </w:rPr>
            </w:pPr>
            <w:r>
              <w:rPr>
                <w:noProof/>
              </w:rPr>
              <w:t>250</w:t>
            </w:r>
          </w:p>
        </w:tc>
        <w:tc>
          <w:tcPr>
            <w:tcW w:w="1617" w:type="dxa"/>
            <w:tcBorders>
              <w:top w:val="nil"/>
              <w:left w:val="nil"/>
              <w:bottom w:val="single" w:sz="4" w:space="0" w:color="000000" w:themeColor="text1"/>
              <w:right w:val="single" w:sz="4" w:space="0" w:color="000000" w:themeColor="text1"/>
            </w:tcBorders>
            <w:shd w:val="clear" w:color="auto" w:fill="C6EFCE"/>
            <w:vAlign w:val="center"/>
          </w:tcPr>
          <w:p w14:paraId="5FA85069" w14:textId="77777777" w:rsidR="00025543" w:rsidRDefault="007E3A2F">
            <w:pPr>
              <w:pStyle w:val="P68B1DB1-Normal15"/>
              <w:spacing w:before="0" w:after="0" w:line="240" w:lineRule="auto"/>
              <w:rPr>
                <w:noProof/>
              </w:rPr>
            </w:pPr>
            <w:r>
              <w:rPr>
                <w:noProof/>
              </w:rPr>
              <w:t>Investissement 2: Observatoire européen des médias numériques (EDMO)</w:t>
            </w:r>
          </w:p>
        </w:tc>
        <w:tc>
          <w:tcPr>
            <w:tcW w:w="1134" w:type="dxa"/>
            <w:tcBorders>
              <w:top w:val="nil"/>
              <w:left w:val="nil"/>
              <w:bottom w:val="single" w:sz="4" w:space="0" w:color="000000" w:themeColor="text1"/>
              <w:right w:val="single" w:sz="4" w:space="0" w:color="000000" w:themeColor="text1"/>
            </w:tcBorders>
            <w:shd w:val="clear" w:color="auto" w:fill="C6EFCE"/>
            <w:vAlign w:val="center"/>
          </w:tcPr>
          <w:p w14:paraId="5721B711" w14:textId="77777777" w:rsidR="00025543" w:rsidRDefault="007E3A2F">
            <w:pPr>
              <w:pStyle w:val="P68B1DB1-Normal15"/>
              <w:spacing w:before="0" w:after="0" w:line="240" w:lineRule="auto"/>
              <w:rPr>
                <w:noProof/>
              </w:rPr>
            </w:pPr>
            <w:r>
              <w:rPr>
                <w:noProof/>
              </w:rPr>
              <w:t>Étapes</w:t>
            </w:r>
          </w:p>
        </w:tc>
        <w:tc>
          <w:tcPr>
            <w:tcW w:w="1538" w:type="dxa"/>
            <w:tcBorders>
              <w:top w:val="nil"/>
              <w:left w:val="nil"/>
              <w:bottom w:val="single" w:sz="4" w:space="0" w:color="000000" w:themeColor="text1"/>
              <w:right w:val="single" w:sz="4" w:space="0" w:color="000000" w:themeColor="text1"/>
            </w:tcBorders>
            <w:shd w:val="clear" w:color="auto" w:fill="C6EFCE"/>
            <w:vAlign w:val="center"/>
          </w:tcPr>
          <w:p w14:paraId="4378E8BC" w14:textId="7D28E92C" w:rsidR="00025543" w:rsidRDefault="007E3A2F">
            <w:pPr>
              <w:pStyle w:val="P68B1DB1-Normal15"/>
              <w:spacing w:before="0" w:after="0" w:line="240" w:lineRule="auto"/>
              <w:rPr>
                <w:noProof/>
              </w:rPr>
            </w:pPr>
            <w:r>
              <w:rPr>
                <w:noProof/>
              </w:rPr>
              <w:t xml:space="preserve">Lancement de la plateforme CEDMO élargie </w:t>
            </w:r>
          </w:p>
        </w:tc>
        <w:tc>
          <w:tcPr>
            <w:tcW w:w="1789" w:type="dxa"/>
            <w:tcBorders>
              <w:top w:val="nil"/>
              <w:left w:val="nil"/>
              <w:bottom w:val="single" w:sz="4" w:space="0" w:color="000000" w:themeColor="text1"/>
              <w:right w:val="single" w:sz="4" w:space="0" w:color="000000" w:themeColor="text1"/>
            </w:tcBorders>
            <w:shd w:val="clear" w:color="auto" w:fill="C6EFCE"/>
            <w:vAlign w:val="center"/>
          </w:tcPr>
          <w:p w14:paraId="10853ACF" w14:textId="02622704" w:rsidR="00025543" w:rsidRDefault="007E3A2F">
            <w:pPr>
              <w:pStyle w:val="P68B1DB1-Normal15"/>
              <w:spacing w:before="0" w:after="0" w:line="240" w:lineRule="auto"/>
              <w:rPr>
                <w:noProof/>
              </w:rPr>
            </w:pPr>
            <w:r>
              <w:rPr>
                <w:noProof/>
              </w:rPr>
              <w:t>Signature de la convention de subvention</w:t>
            </w:r>
          </w:p>
        </w:tc>
        <w:tc>
          <w:tcPr>
            <w:tcW w:w="1034" w:type="dxa"/>
            <w:tcBorders>
              <w:top w:val="nil"/>
              <w:left w:val="nil"/>
              <w:bottom w:val="single" w:sz="4" w:space="0" w:color="000000" w:themeColor="text1"/>
              <w:right w:val="single" w:sz="4" w:space="0" w:color="000000" w:themeColor="text1"/>
            </w:tcBorders>
            <w:shd w:val="clear" w:color="auto" w:fill="C6EFCE"/>
            <w:vAlign w:val="center"/>
          </w:tcPr>
          <w:p w14:paraId="622DC7C0" w14:textId="77777777" w:rsidR="00025543" w:rsidRDefault="00025543">
            <w:pPr>
              <w:spacing w:before="0" w:after="0" w:line="240" w:lineRule="auto"/>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tcPr>
          <w:p w14:paraId="11550591" w14:textId="77777777" w:rsidR="00025543" w:rsidRDefault="00025543">
            <w:pPr>
              <w:spacing w:before="0" w:after="0" w:line="240" w:lineRule="auto"/>
              <w:jc w:val="center"/>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tcPr>
          <w:p w14:paraId="05C345F9" w14:textId="77777777" w:rsidR="00025543" w:rsidRDefault="00025543">
            <w:pPr>
              <w:spacing w:before="0" w:after="0" w:line="240" w:lineRule="auto"/>
              <w:jc w:val="center"/>
              <w:rPr>
                <w:rFonts w:eastAsia="Times New Roman"/>
                <w:noProof/>
                <w:color w:val="004300"/>
                <w:sz w:val="18"/>
              </w:rPr>
            </w:pPr>
          </w:p>
        </w:tc>
        <w:tc>
          <w:tcPr>
            <w:tcW w:w="1021" w:type="dxa"/>
            <w:tcBorders>
              <w:top w:val="nil"/>
              <w:left w:val="nil"/>
              <w:bottom w:val="single" w:sz="4" w:space="0" w:color="000000" w:themeColor="text1"/>
              <w:right w:val="single" w:sz="4" w:space="0" w:color="000000" w:themeColor="text1"/>
            </w:tcBorders>
            <w:shd w:val="clear" w:color="auto" w:fill="C6EFCE"/>
            <w:vAlign w:val="center"/>
          </w:tcPr>
          <w:p w14:paraId="2F602113" w14:textId="77777777" w:rsidR="00025543" w:rsidRDefault="007E3A2F">
            <w:pPr>
              <w:pStyle w:val="P68B1DB1-Normal15"/>
              <w:spacing w:before="0" w:after="0" w:line="240" w:lineRule="auto"/>
              <w:jc w:val="center"/>
              <w:rPr>
                <w:noProof/>
              </w:rPr>
            </w:pPr>
            <w:r>
              <w:rPr>
                <w:noProof/>
              </w:rPr>
              <w:t>TRIMESTRE 2</w:t>
            </w:r>
          </w:p>
        </w:tc>
        <w:tc>
          <w:tcPr>
            <w:tcW w:w="655" w:type="dxa"/>
            <w:tcBorders>
              <w:top w:val="nil"/>
              <w:left w:val="nil"/>
              <w:bottom w:val="single" w:sz="4" w:space="0" w:color="000000" w:themeColor="text1"/>
              <w:right w:val="single" w:sz="4" w:space="0" w:color="000000" w:themeColor="text1"/>
            </w:tcBorders>
            <w:shd w:val="clear" w:color="auto" w:fill="C6EFCE"/>
            <w:vAlign w:val="center"/>
          </w:tcPr>
          <w:p w14:paraId="15E1918C" w14:textId="2D7AF3FB" w:rsidR="00025543" w:rsidRDefault="007E3A2F">
            <w:pPr>
              <w:pStyle w:val="P68B1DB1-Normal15"/>
              <w:spacing w:before="0" w:after="0" w:line="240" w:lineRule="auto"/>
              <w:jc w:val="center"/>
              <w:rPr>
                <w:noProof/>
              </w:rPr>
            </w:pPr>
            <w:r>
              <w:rPr>
                <w:noProof/>
              </w:rPr>
              <w:t>2024</w:t>
            </w:r>
          </w:p>
        </w:tc>
        <w:tc>
          <w:tcPr>
            <w:tcW w:w="4104" w:type="dxa"/>
            <w:tcBorders>
              <w:top w:val="nil"/>
              <w:left w:val="nil"/>
              <w:bottom w:val="single" w:sz="4" w:space="0" w:color="000000" w:themeColor="text1"/>
              <w:right w:val="single" w:sz="4" w:space="0" w:color="000000" w:themeColor="text1"/>
            </w:tcBorders>
            <w:shd w:val="clear" w:color="auto" w:fill="C6EFCE"/>
            <w:vAlign w:val="center"/>
          </w:tcPr>
          <w:p w14:paraId="099971D1" w14:textId="26E592FF" w:rsidR="00025543" w:rsidRDefault="007E3A2F">
            <w:pPr>
              <w:pStyle w:val="P68B1DB1-Normal15"/>
              <w:spacing w:before="0" w:after="0" w:line="240" w:lineRule="auto"/>
              <w:rPr>
                <w:noProof/>
              </w:rPr>
            </w:pPr>
            <w:r>
              <w:rPr>
                <w:noProof/>
              </w:rPr>
              <w:t xml:space="preserve">Une convention de subvention pour le pôle de médias numériques élargi dans le cadre du réseau EDMO sera signée pour les trois nouvelles activités bénéficiant d’un soutien. </w:t>
            </w:r>
          </w:p>
        </w:tc>
      </w:tr>
      <w:tr w:rsidR="00025543" w14:paraId="2F291861" w14:textId="77777777">
        <w:trPr>
          <w:trHeight w:val="309"/>
          <w:jc w:val="center"/>
        </w:trPr>
        <w:tc>
          <w:tcPr>
            <w:tcW w:w="651" w:type="dxa"/>
            <w:tcBorders>
              <w:top w:val="nil"/>
              <w:left w:val="single" w:sz="4" w:space="0" w:color="000000" w:themeColor="text1"/>
              <w:bottom w:val="single" w:sz="4" w:space="0" w:color="000000" w:themeColor="text1"/>
              <w:right w:val="single" w:sz="4" w:space="0" w:color="000000" w:themeColor="text1"/>
            </w:tcBorders>
            <w:shd w:val="clear" w:color="auto" w:fill="C6EFCE"/>
            <w:vAlign w:val="center"/>
            <w:hideMark/>
          </w:tcPr>
          <w:p w14:paraId="1D67F244" w14:textId="77777777" w:rsidR="00025543" w:rsidRDefault="007E3A2F">
            <w:pPr>
              <w:pStyle w:val="P68B1DB1-Normal15"/>
              <w:spacing w:before="0" w:after="0" w:line="240" w:lineRule="auto"/>
              <w:jc w:val="center"/>
              <w:rPr>
                <w:noProof/>
              </w:rPr>
            </w:pPr>
            <w:r>
              <w:rPr>
                <w:noProof/>
              </w:rPr>
              <w:t>52</w:t>
            </w:r>
          </w:p>
        </w:tc>
        <w:tc>
          <w:tcPr>
            <w:tcW w:w="1617" w:type="dxa"/>
            <w:tcBorders>
              <w:top w:val="nil"/>
              <w:left w:val="nil"/>
              <w:bottom w:val="single" w:sz="4" w:space="0" w:color="000000" w:themeColor="text1"/>
              <w:right w:val="single" w:sz="4" w:space="0" w:color="000000" w:themeColor="text1"/>
            </w:tcBorders>
            <w:shd w:val="clear" w:color="auto" w:fill="C6EFCE"/>
            <w:vAlign w:val="center"/>
            <w:hideMark/>
          </w:tcPr>
          <w:p w14:paraId="37C5CA35" w14:textId="77777777" w:rsidR="00025543" w:rsidRDefault="007E3A2F">
            <w:pPr>
              <w:pStyle w:val="P68B1DB1-Normal15"/>
              <w:spacing w:before="0" w:after="0" w:line="240" w:lineRule="auto"/>
              <w:rPr>
                <w:noProof/>
              </w:rPr>
            </w:pPr>
            <w:r>
              <w:rPr>
                <w:noProof/>
              </w:rPr>
              <w:t>Investissement 2: Observatoire européen des médias numériques (EDMO)</w:t>
            </w:r>
          </w:p>
        </w:tc>
        <w:tc>
          <w:tcPr>
            <w:tcW w:w="1134" w:type="dxa"/>
            <w:tcBorders>
              <w:top w:val="nil"/>
              <w:left w:val="nil"/>
              <w:bottom w:val="single" w:sz="4" w:space="0" w:color="000000" w:themeColor="text1"/>
              <w:right w:val="single" w:sz="4" w:space="0" w:color="000000" w:themeColor="text1"/>
            </w:tcBorders>
            <w:shd w:val="clear" w:color="auto" w:fill="C6EFCE"/>
            <w:vAlign w:val="center"/>
            <w:hideMark/>
          </w:tcPr>
          <w:p w14:paraId="39EB333D" w14:textId="77777777" w:rsidR="00025543" w:rsidRDefault="007E3A2F">
            <w:pPr>
              <w:pStyle w:val="P68B1DB1-Normal15"/>
              <w:spacing w:before="0" w:after="0" w:line="240" w:lineRule="auto"/>
              <w:rPr>
                <w:noProof/>
              </w:rPr>
            </w:pPr>
            <w:r>
              <w:rPr>
                <w:noProof/>
              </w:rPr>
              <w:t>Cible</w:t>
            </w:r>
          </w:p>
        </w:tc>
        <w:tc>
          <w:tcPr>
            <w:tcW w:w="1538" w:type="dxa"/>
            <w:tcBorders>
              <w:top w:val="nil"/>
              <w:left w:val="nil"/>
              <w:bottom w:val="single" w:sz="4" w:space="0" w:color="000000" w:themeColor="text1"/>
              <w:right w:val="single" w:sz="4" w:space="0" w:color="000000" w:themeColor="text1"/>
            </w:tcBorders>
            <w:shd w:val="clear" w:color="auto" w:fill="C6EFCE"/>
            <w:vAlign w:val="center"/>
            <w:hideMark/>
          </w:tcPr>
          <w:p w14:paraId="0F1978CA" w14:textId="02B452EC" w:rsidR="00025543" w:rsidRDefault="007E3A2F">
            <w:pPr>
              <w:pStyle w:val="P68B1DB1-Normal15"/>
              <w:spacing w:before="0" w:after="0" w:line="240" w:lineRule="auto"/>
              <w:rPr>
                <w:noProof/>
              </w:rPr>
            </w:pPr>
            <w:r>
              <w:rPr>
                <w:noProof/>
              </w:rPr>
              <w:t xml:space="preserve">Publication des résultats de la recherche par le CEDMO </w:t>
            </w:r>
          </w:p>
        </w:tc>
        <w:tc>
          <w:tcPr>
            <w:tcW w:w="1789" w:type="dxa"/>
            <w:tcBorders>
              <w:top w:val="nil"/>
              <w:left w:val="nil"/>
              <w:bottom w:val="single" w:sz="4" w:space="0" w:color="000000" w:themeColor="text1"/>
              <w:right w:val="single" w:sz="4" w:space="0" w:color="000000" w:themeColor="text1"/>
            </w:tcBorders>
            <w:shd w:val="clear" w:color="auto" w:fill="C6EFCE"/>
            <w:vAlign w:val="center"/>
            <w:hideMark/>
          </w:tcPr>
          <w:p w14:paraId="5F3B97C0" w14:textId="5ADDE792" w:rsidR="00025543" w:rsidRDefault="00025543">
            <w:pPr>
              <w:spacing w:before="0" w:after="0" w:line="240" w:lineRule="auto"/>
              <w:jc w:val="center"/>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0C398DB3" w14:textId="48E8DD68" w:rsidR="00025543" w:rsidRDefault="007E3A2F">
            <w:pPr>
              <w:pStyle w:val="P68B1DB1-Normal15"/>
              <w:spacing w:before="0" w:after="0" w:line="240" w:lineRule="auto"/>
              <w:rPr>
                <w:noProof/>
              </w:rPr>
            </w:pPr>
            <w:r>
              <w:rPr>
                <w:noProof/>
              </w:rPr>
              <w:t>Nombre d’études</w:t>
            </w: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16FDC38D" w14:textId="2882CC1A" w:rsidR="00025543" w:rsidRDefault="00025543">
            <w:pPr>
              <w:spacing w:before="0" w:after="0" w:line="240" w:lineRule="auto"/>
              <w:jc w:val="center"/>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2043C28E" w14:textId="3CDCDBCF" w:rsidR="00025543" w:rsidRDefault="007E3A2F">
            <w:pPr>
              <w:pStyle w:val="P68B1DB1-Normal15"/>
              <w:spacing w:before="0" w:after="0" w:line="240" w:lineRule="auto"/>
              <w:jc w:val="center"/>
              <w:rPr>
                <w:noProof/>
              </w:rPr>
            </w:pPr>
            <w:r>
              <w:rPr>
                <w:noProof/>
              </w:rPr>
              <w:t>5</w:t>
            </w:r>
          </w:p>
        </w:tc>
        <w:tc>
          <w:tcPr>
            <w:tcW w:w="1021" w:type="dxa"/>
            <w:tcBorders>
              <w:top w:val="nil"/>
              <w:left w:val="nil"/>
              <w:bottom w:val="single" w:sz="4" w:space="0" w:color="000000" w:themeColor="text1"/>
              <w:right w:val="single" w:sz="4" w:space="0" w:color="000000" w:themeColor="text1"/>
            </w:tcBorders>
            <w:shd w:val="clear" w:color="auto" w:fill="C6EFCE"/>
            <w:vAlign w:val="center"/>
            <w:hideMark/>
          </w:tcPr>
          <w:p w14:paraId="628B7C41" w14:textId="77777777" w:rsidR="00025543" w:rsidRDefault="007E3A2F">
            <w:pPr>
              <w:pStyle w:val="P68B1DB1-Normal15"/>
              <w:spacing w:before="0" w:after="0" w:line="240" w:lineRule="auto"/>
              <w:jc w:val="center"/>
              <w:rPr>
                <w:noProof/>
              </w:rPr>
            </w:pPr>
            <w:r>
              <w:rPr>
                <w:noProof/>
              </w:rPr>
              <w:t>TRIMESTRE 4</w:t>
            </w:r>
          </w:p>
        </w:tc>
        <w:tc>
          <w:tcPr>
            <w:tcW w:w="655" w:type="dxa"/>
            <w:tcBorders>
              <w:top w:val="nil"/>
              <w:left w:val="nil"/>
              <w:bottom w:val="single" w:sz="4" w:space="0" w:color="000000" w:themeColor="text1"/>
              <w:right w:val="single" w:sz="4" w:space="0" w:color="000000" w:themeColor="text1"/>
            </w:tcBorders>
            <w:shd w:val="clear" w:color="auto" w:fill="C6EFCE"/>
            <w:vAlign w:val="center"/>
            <w:hideMark/>
          </w:tcPr>
          <w:p w14:paraId="1C2AAC12" w14:textId="77777777" w:rsidR="00025543" w:rsidRDefault="007E3A2F">
            <w:pPr>
              <w:pStyle w:val="P68B1DB1-Normal15"/>
              <w:spacing w:before="0" w:after="0" w:line="240" w:lineRule="auto"/>
              <w:jc w:val="center"/>
              <w:rPr>
                <w:noProof/>
              </w:rPr>
            </w:pPr>
            <w:r>
              <w:rPr>
                <w:noProof/>
              </w:rPr>
              <w:t>2025</w:t>
            </w:r>
          </w:p>
        </w:tc>
        <w:tc>
          <w:tcPr>
            <w:tcW w:w="4104" w:type="dxa"/>
            <w:tcBorders>
              <w:top w:val="nil"/>
              <w:left w:val="nil"/>
              <w:bottom w:val="single" w:sz="4" w:space="0" w:color="000000" w:themeColor="text1"/>
              <w:right w:val="single" w:sz="4" w:space="0" w:color="000000" w:themeColor="text1"/>
            </w:tcBorders>
            <w:shd w:val="clear" w:color="auto" w:fill="C6EFCE"/>
            <w:vAlign w:val="center"/>
            <w:hideMark/>
          </w:tcPr>
          <w:p w14:paraId="3A59C45E" w14:textId="764667EE" w:rsidR="00025543" w:rsidRDefault="007E3A2F">
            <w:pPr>
              <w:pStyle w:val="P68B1DB1-Normal15"/>
              <w:spacing w:before="0" w:after="0" w:line="240" w:lineRule="auto"/>
              <w:rPr>
                <w:noProof/>
              </w:rPr>
            </w:pPr>
            <w:r>
              <w:rPr>
                <w:noProof/>
              </w:rPr>
              <w:t>Le CEDMO publie les résultats de ses activités de recherche en mettant l’accent sur:</w:t>
            </w:r>
          </w:p>
          <w:p w14:paraId="42EFB1C0" w14:textId="060E0376" w:rsidR="00025543" w:rsidRDefault="007E3A2F">
            <w:pPr>
              <w:pStyle w:val="P68B1DB1-Normal15"/>
              <w:spacing w:before="0" w:after="0" w:line="240" w:lineRule="auto"/>
              <w:rPr>
                <w:noProof/>
              </w:rPr>
            </w:pPr>
            <w:r>
              <w:rPr>
                <w:noProof/>
              </w:rPr>
              <w:t>désinformation en Europe centrale et orientale, sur la base d’un échantillon statistiquement pertinent</w:t>
            </w:r>
          </w:p>
          <w:p w14:paraId="39A0BB53" w14:textId="438FCD29" w:rsidR="00025543" w:rsidRDefault="007E3A2F">
            <w:pPr>
              <w:pStyle w:val="P68B1DB1-Normal15"/>
              <w:spacing w:before="0" w:after="0" w:line="240" w:lineRule="auto"/>
              <w:rPr>
                <w:noProof/>
              </w:rPr>
            </w:pPr>
            <w:r>
              <w:rPr>
                <w:noProof/>
              </w:rPr>
              <w:t xml:space="preserve">recherche appliquée pour le développement d’outils d’IA </w:t>
            </w:r>
          </w:p>
          <w:p w14:paraId="38DCB2F7" w14:textId="3F05021D" w:rsidR="00025543" w:rsidRDefault="007E3A2F">
            <w:pPr>
              <w:pStyle w:val="P68B1DB1-Normal15"/>
              <w:spacing w:before="0" w:after="0" w:line="240" w:lineRule="auto"/>
              <w:rPr>
                <w:noProof/>
              </w:rPr>
            </w:pPr>
            <w:r>
              <w:rPr>
                <w:noProof/>
              </w:rPr>
              <w:t>IA générative</w:t>
            </w:r>
          </w:p>
          <w:p w14:paraId="07C166D1" w14:textId="6E34BFBF" w:rsidR="00025543" w:rsidRDefault="007E3A2F">
            <w:pPr>
              <w:pStyle w:val="P68B1DB1-Normal15"/>
              <w:spacing w:before="0" w:after="0" w:line="240" w:lineRule="auto"/>
              <w:rPr>
                <w:noProof/>
              </w:rPr>
            </w:pPr>
            <w:r>
              <w:rPr>
                <w:noProof/>
              </w:rPr>
              <w:t>— L’IA soutenant la transformation des médias</w:t>
            </w:r>
          </w:p>
          <w:p w14:paraId="7B295E40" w14:textId="21DB06D6" w:rsidR="00025543" w:rsidRDefault="007E3A2F">
            <w:pPr>
              <w:pStyle w:val="P68B1DB1-Normal15"/>
              <w:spacing w:before="0" w:after="0" w:line="240" w:lineRule="auto"/>
              <w:rPr>
                <w:noProof/>
              </w:rPr>
            </w:pPr>
            <w:r>
              <w:rPr>
                <w:noProof/>
              </w:rPr>
              <w:t>réglementation de l’utilisation de l’IA dans les médias</w:t>
            </w:r>
          </w:p>
          <w:p w14:paraId="2C17FBF1" w14:textId="00E925FD" w:rsidR="00025543" w:rsidRDefault="007E3A2F">
            <w:pPr>
              <w:pStyle w:val="P68B1DB1-Normal15"/>
              <w:spacing w:before="0" w:after="0" w:line="240" w:lineRule="auto"/>
              <w:rPr>
                <w:noProof/>
              </w:rPr>
            </w:pPr>
            <w:r>
              <w:rPr>
                <w:noProof/>
              </w:rPr>
              <w:t xml:space="preserve"> </w:t>
            </w:r>
          </w:p>
        </w:tc>
      </w:tr>
      <w:tr w:rsidR="00025543" w14:paraId="59C718D3" w14:textId="77777777">
        <w:trPr>
          <w:trHeight w:val="309"/>
          <w:jc w:val="center"/>
        </w:trPr>
        <w:tc>
          <w:tcPr>
            <w:tcW w:w="651" w:type="dxa"/>
            <w:tcBorders>
              <w:top w:val="nil"/>
              <w:left w:val="single" w:sz="4" w:space="0" w:color="000000" w:themeColor="text1"/>
              <w:bottom w:val="single" w:sz="4" w:space="0" w:color="000000" w:themeColor="text1"/>
              <w:right w:val="single" w:sz="4" w:space="0" w:color="000000" w:themeColor="text1"/>
            </w:tcBorders>
            <w:shd w:val="clear" w:color="auto" w:fill="C6EFCE"/>
            <w:vAlign w:val="center"/>
            <w:hideMark/>
          </w:tcPr>
          <w:p w14:paraId="70844975" w14:textId="77777777" w:rsidR="00025543" w:rsidRDefault="007E3A2F">
            <w:pPr>
              <w:pStyle w:val="P68B1DB1-Normal15"/>
              <w:spacing w:before="0" w:after="0" w:line="240" w:lineRule="auto"/>
              <w:jc w:val="center"/>
              <w:rPr>
                <w:noProof/>
              </w:rPr>
            </w:pPr>
            <w:r>
              <w:rPr>
                <w:noProof/>
              </w:rPr>
              <w:t>55</w:t>
            </w:r>
          </w:p>
        </w:tc>
        <w:tc>
          <w:tcPr>
            <w:tcW w:w="1617" w:type="dxa"/>
            <w:tcBorders>
              <w:top w:val="nil"/>
              <w:left w:val="nil"/>
              <w:bottom w:val="single" w:sz="4" w:space="0" w:color="000000" w:themeColor="text1"/>
              <w:right w:val="single" w:sz="4" w:space="0" w:color="000000" w:themeColor="text1"/>
            </w:tcBorders>
            <w:shd w:val="clear" w:color="auto" w:fill="C6EFCE"/>
            <w:vAlign w:val="center"/>
            <w:hideMark/>
          </w:tcPr>
          <w:p w14:paraId="1E0301DF" w14:textId="77777777" w:rsidR="00025543" w:rsidRDefault="007E3A2F">
            <w:pPr>
              <w:pStyle w:val="P68B1DB1-Normal15"/>
              <w:spacing w:before="0" w:after="0" w:line="240" w:lineRule="auto"/>
              <w:rPr>
                <w:noProof/>
              </w:rPr>
            </w:pPr>
            <w:r>
              <w:rPr>
                <w:noProof/>
              </w:rPr>
              <w:t>Investissement 5: Infrastructure européenne de services de chaînes de blocs (EBSI) — Obligations DLT pour le financement des PME</w:t>
            </w:r>
          </w:p>
        </w:tc>
        <w:tc>
          <w:tcPr>
            <w:tcW w:w="1134" w:type="dxa"/>
            <w:tcBorders>
              <w:top w:val="nil"/>
              <w:left w:val="nil"/>
              <w:bottom w:val="single" w:sz="4" w:space="0" w:color="000000" w:themeColor="text1"/>
              <w:right w:val="single" w:sz="4" w:space="0" w:color="000000" w:themeColor="text1"/>
            </w:tcBorders>
            <w:shd w:val="clear" w:color="auto" w:fill="C6EFCE"/>
            <w:vAlign w:val="center"/>
            <w:hideMark/>
          </w:tcPr>
          <w:p w14:paraId="746B7EEE" w14:textId="77777777" w:rsidR="00025543" w:rsidRDefault="007E3A2F">
            <w:pPr>
              <w:pStyle w:val="P68B1DB1-Normal15"/>
              <w:spacing w:before="0" w:after="0" w:line="240" w:lineRule="auto"/>
              <w:rPr>
                <w:noProof/>
              </w:rPr>
            </w:pPr>
            <w:r>
              <w:rPr>
                <w:noProof/>
              </w:rPr>
              <w:t>Étapes</w:t>
            </w:r>
          </w:p>
        </w:tc>
        <w:tc>
          <w:tcPr>
            <w:tcW w:w="1538" w:type="dxa"/>
            <w:tcBorders>
              <w:top w:val="nil"/>
              <w:left w:val="nil"/>
              <w:bottom w:val="single" w:sz="4" w:space="0" w:color="000000" w:themeColor="text1"/>
              <w:right w:val="single" w:sz="4" w:space="0" w:color="000000" w:themeColor="text1"/>
            </w:tcBorders>
            <w:shd w:val="clear" w:color="auto" w:fill="C6EFCE"/>
            <w:vAlign w:val="center"/>
            <w:hideMark/>
          </w:tcPr>
          <w:p w14:paraId="5AF17622" w14:textId="0068594A" w:rsidR="00025543" w:rsidRDefault="007E3A2F">
            <w:pPr>
              <w:pStyle w:val="P68B1DB1-Normal15"/>
              <w:spacing w:before="0" w:after="0" w:line="240" w:lineRule="auto"/>
              <w:rPr>
                <w:noProof/>
              </w:rPr>
            </w:pPr>
            <w:r>
              <w:rPr>
                <w:noProof/>
              </w:rPr>
              <w:t>Convention de subvention signée avec le bénéficiaire pour la mise en œuvre du dossier d’utilisation pour les PME</w:t>
            </w:r>
          </w:p>
        </w:tc>
        <w:tc>
          <w:tcPr>
            <w:tcW w:w="1789" w:type="dxa"/>
            <w:tcBorders>
              <w:top w:val="nil"/>
              <w:left w:val="nil"/>
              <w:bottom w:val="single" w:sz="4" w:space="0" w:color="000000" w:themeColor="text1"/>
              <w:right w:val="single" w:sz="4" w:space="0" w:color="000000" w:themeColor="text1"/>
            </w:tcBorders>
            <w:shd w:val="clear" w:color="auto" w:fill="C6EFCE"/>
            <w:vAlign w:val="center"/>
            <w:hideMark/>
          </w:tcPr>
          <w:p w14:paraId="7C4DD1FC" w14:textId="3E362940" w:rsidR="00025543" w:rsidRDefault="007E3A2F">
            <w:pPr>
              <w:pStyle w:val="P68B1DB1-Normal15"/>
              <w:spacing w:before="0" w:after="0" w:line="240" w:lineRule="auto"/>
              <w:rPr>
                <w:noProof/>
              </w:rPr>
            </w:pPr>
            <w:r>
              <w:rPr>
                <w:noProof/>
              </w:rPr>
              <w:t xml:space="preserve">Signature de la convention de subvention </w:t>
            </w:r>
          </w:p>
        </w:tc>
        <w:tc>
          <w:tcPr>
            <w:tcW w:w="1034" w:type="dxa"/>
            <w:tcBorders>
              <w:top w:val="nil"/>
              <w:left w:val="nil"/>
              <w:bottom w:val="single" w:sz="4" w:space="0" w:color="000000" w:themeColor="text1"/>
              <w:right w:val="single" w:sz="4" w:space="0" w:color="000000" w:themeColor="text1"/>
            </w:tcBorders>
            <w:shd w:val="clear" w:color="auto" w:fill="C6EFCE"/>
            <w:vAlign w:val="center"/>
          </w:tcPr>
          <w:p w14:paraId="507DB65E" w14:textId="77777777" w:rsidR="00025543" w:rsidRDefault="00025543">
            <w:pPr>
              <w:spacing w:before="0" w:after="0" w:line="240" w:lineRule="auto"/>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tcPr>
          <w:p w14:paraId="01CA1DE0" w14:textId="77777777" w:rsidR="00025543" w:rsidRDefault="00025543">
            <w:pPr>
              <w:spacing w:before="0" w:after="0" w:line="240" w:lineRule="auto"/>
              <w:jc w:val="center"/>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tcPr>
          <w:p w14:paraId="41E8D92A" w14:textId="77777777" w:rsidR="00025543" w:rsidRDefault="00025543">
            <w:pPr>
              <w:spacing w:before="0" w:after="0" w:line="240" w:lineRule="auto"/>
              <w:jc w:val="center"/>
              <w:rPr>
                <w:rFonts w:eastAsia="Times New Roman"/>
                <w:noProof/>
                <w:color w:val="004300"/>
                <w:sz w:val="18"/>
              </w:rPr>
            </w:pPr>
          </w:p>
        </w:tc>
        <w:tc>
          <w:tcPr>
            <w:tcW w:w="1021" w:type="dxa"/>
            <w:tcBorders>
              <w:top w:val="nil"/>
              <w:left w:val="nil"/>
              <w:bottom w:val="single" w:sz="4" w:space="0" w:color="000000" w:themeColor="text1"/>
              <w:right w:val="single" w:sz="4" w:space="0" w:color="000000" w:themeColor="text1"/>
            </w:tcBorders>
            <w:shd w:val="clear" w:color="auto" w:fill="C6EFCE"/>
            <w:vAlign w:val="center"/>
            <w:hideMark/>
          </w:tcPr>
          <w:p w14:paraId="1CE00258" w14:textId="77777777" w:rsidR="00025543" w:rsidRDefault="007E3A2F">
            <w:pPr>
              <w:pStyle w:val="P68B1DB1-Normal15"/>
              <w:spacing w:before="0" w:after="0" w:line="240" w:lineRule="auto"/>
              <w:jc w:val="center"/>
              <w:rPr>
                <w:noProof/>
              </w:rPr>
            </w:pPr>
            <w:r>
              <w:rPr>
                <w:noProof/>
              </w:rPr>
              <w:t>TRIMESTRE 4</w:t>
            </w:r>
          </w:p>
        </w:tc>
        <w:tc>
          <w:tcPr>
            <w:tcW w:w="655" w:type="dxa"/>
            <w:tcBorders>
              <w:top w:val="nil"/>
              <w:left w:val="nil"/>
              <w:bottom w:val="single" w:sz="4" w:space="0" w:color="000000" w:themeColor="text1"/>
              <w:right w:val="single" w:sz="4" w:space="0" w:color="000000" w:themeColor="text1"/>
            </w:tcBorders>
            <w:shd w:val="clear" w:color="auto" w:fill="C6EFCE"/>
            <w:vAlign w:val="center"/>
            <w:hideMark/>
          </w:tcPr>
          <w:p w14:paraId="58C6AB88" w14:textId="3ED94D06" w:rsidR="00025543" w:rsidRDefault="007E3A2F">
            <w:pPr>
              <w:pStyle w:val="P68B1DB1-Normal15"/>
              <w:spacing w:before="0" w:after="0" w:line="240" w:lineRule="auto"/>
              <w:jc w:val="center"/>
              <w:rPr>
                <w:noProof/>
              </w:rPr>
            </w:pPr>
            <w:r>
              <w:rPr>
                <w:noProof/>
              </w:rPr>
              <w:t>2023</w:t>
            </w:r>
          </w:p>
        </w:tc>
        <w:tc>
          <w:tcPr>
            <w:tcW w:w="4104" w:type="dxa"/>
            <w:tcBorders>
              <w:top w:val="nil"/>
              <w:left w:val="nil"/>
              <w:bottom w:val="single" w:sz="4" w:space="0" w:color="000000" w:themeColor="text1"/>
              <w:right w:val="single" w:sz="4" w:space="0" w:color="000000" w:themeColor="text1"/>
            </w:tcBorders>
            <w:shd w:val="clear" w:color="auto" w:fill="C6EFCE"/>
            <w:vAlign w:val="center"/>
            <w:hideMark/>
          </w:tcPr>
          <w:p w14:paraId="58AF57C5" w14:textId="3410FA55" w:rsidR="00025543" w:rsidRDefault="007E3A2F">
            <w:pPr>
              <w:pStyle w:val="P68B1DB1-Normal15"/>
              <w:spacing w:before="0" w:after="0" w:line="240" w:lineRule="auto"/>
              <w:rPr>
                <w:noProof/>
              </w:rPr>
            </w:pPr>
            <w:r>
              <w:rPr>
                <w:noProof/>
              </w:rPr>
              <w:t xml:space="preserve">Une convention de subvention est signée pour la mise en œuvre du cas d’utilisation des PME. </w:t>
            </w:r>
          </w:p>
        </w:tc>
      </w:tr>
      <w:tr w:rsidR="00025543" w14:paraId="750112C5" w14:textId="77777777">
        <w:trPr>
          <w:trHeight w:val="309"/>
          <w:jc w:val="center"/>
        </w:trPr>
        <w:tc>
          <w:tcPr>
            <w:tcW w:w="651" w:type="dxa"/>
            <w:tcBorders>
              <w:top w:val="nil"/>
              <w:left w:val="single" w:sz="4" w:space="0" w:color="000000" w:themeColor="text1"/>
              <w:bottom w:val="single" w:sz="4" w:space="0" w:color="000000" w:themeColor="text1"/>
              <w:right w:val="single" w:sz="4" w:space="0" w:color="000000" w:themeColor="text1"/>
            </w:tcBorders>
            <w:shd w:val="clear" w:color="auto" w:fill="C6EFCE"/>
            <w:vAlign w:val="center"/>
            <w:hideMark/>
          </w:tcPr>
          <w:p w14:paraId="461044F2" w14:textId="77777777" w:rsidR="00025543" w:rsidRDefault="007E3A2F">
            <w:pPr>
              <w:pStyle w:val="P68B1DB1-Normal15"/>
              <w:spacing w:before="0" w:after="0" w:line="240" w:lineRule="auto"/>
              <w:jc w:val="center"/>
              <w:rPr>
                <w:noProof/>
              </w:rPr>
            </w:pPr>
            <w:r>
              <w:rPr>
                <w:noProof/>
              </w:rPr>
              <w:t>56</w:t>
            </w:r>
          </w:p>
        </w:tc>
        <w:tc>
          <w:tcPr>
            <w:tcW w:w="1617" w:type="dxa"/>
            <w:tcBorders>
              <w:top w:val="nil"/>
              <w:left w:val="nil"/>
              <w:bottom w:val="single" w:sz="4" w:space="0" w:color="000000" w:themeColor="text1"/>
              <w:right w:val="single" w:sz="4" w:space="0" w:color="000000" w:themeColor="text1"/>
            </w:tcBorders>
            <w:shd w:val="clear" w:color="auto" w:fill="C6EFCE"/>
            <w:vAlign w:val="center"/>
            <w:hideMark/>
          </w:tcPr>
          <w:p w14:paraId="7931E023" w14:textId="77777777" w:rsidR="00025543" w:rsidRDefault="007E3A2F">
            <w:pPr>
              <w:pStyle w:val="P68B1DB1-Normal15"/>
              <w:spacing w:before="0" w:after="0" w:line="240" w:lineRule="auto"/>
              <w:rPr>
                <w:noProof/>
              </w:rPr>
            </w:pPr>
            <w:r>
              <w:rPr>
                <w:noProof/>
              </w:rPr>
              <w:t>Investissement 5: Infrastructure européenne de services de chaînes de blocs (EBSI) — Obligations DLT pour le financement des PME</w:t>
            </w:r>
          </w:p>
        </w:tc>
        <w:tc>
          <w:tcPr>
            <w:tcW w:w="1134" w:type="dxa"/>
            <w:tcBorders>
              <w:top w:val="nil"/>
              <w:left w:val="nil"/>
              <w:bottom w:val="single" w:sz="4" w:space="0" w:color="000000" w:themeColor="text1"/>
              <w:right w:val="single" w:sz="4" w:space="0" w:color="000000" w:themeColor="text1"/>
            </w:tcBorders>
            <w:shd w:val="clear" w:color="auto" w:fill="C6EFCE"/>
            <w:vAlign w:val="center"/>
            <w:hideMark/>
          </w:tcPr>
          <w:p w14:paraId="097091F5" w14:textId="77777777" w:rsidR="00025543" w:rsidRDefault="007E3A2F">
            <w:pPr>
              <w:pStyle w:val="P68B1DB1-Normal15"/>
              <w:spacing w:before="0" w:after="0" w:line="240" w:lineRule="auto"/>
              <w:rPr>
                <w:noProof/>
              </w:rPr>
            </w:pPr>
            <w:r>
              <w:rPr>
                <w:noProof/>
              </w:rPr>
              <w:t>Cible</w:t>
            </w:r>
          </w:p>
        </w:tc>
        <w:tc>
          <w:tcPr>
            <w:tcW w:w="1538" w:type="dxa"/>
            <w:tcBorders>
              <w:top w:val="nil"/>
              <w:left w:val="nil"/>
              <w:bottom w:val="single" w:sz="4" w:space="0" w:color="000000" w:themeColor="text1"/>
              <w:right w:val="single" w:sz="4" w:space="0" w:color="000000" w:themeColor="text1"/>
            </w:tcBorders>
            <w:shd w:val="clear" w:color="auto" w:fill="C6EFCE"/>
            <w:vAlign w:val="center"/>
            <w:hideMark/>
          </w:tcPr>
          <w:p w14:paraId="3E9C2591" w14:textId="12D57BD8" w:rsidR="00025543" w:rsidRDefault="007E3A2F">
            <w:pPr>
              <w:pStyle w:val="P68B1DB1-Normal15"/>
              <w:spacing w:before="0" w:after="0" w:line="240" w:lineRule="auto"/>
              <w:rPr>
                <w:noProof/>
              </w:rPr>
            </w:pPr>
            <w:r>
              <w:rPr>
                <w:noProof/>
              </w:rPr>
              <w:t xml:space="preserve">Nombre de PME autorisées à proposer des obligations numériques sur la base de l’EBSI. </w:t>
            </w:r>
          </w:p>
        </w:tc>
        <w:tc>
          <w:tcPr>
            <w:tcW w:w="1789" w:type="dxa"/>
            <w:tcBorders>
              <w:top w:val="nil"/>
              <w:left w:val="nil"/>
              <w:bottom w:val="single" w:sz="4" w:space="0" w:color="000000" w:themeColor="text1"/>
              <w:right w:val="single" w:sz="4" w:space="0" w:color="000000" w:themeColor="text1"/>
            </w:tcBorders>
            <w:shd w:val="clear" w:color="auto" w:fill="C6EFCE"/>
            <w:vAlign w:val="center"/>
            <w:hideMark/>
          </w:tcPr>
          <w:p w14:paraId="075A030C" w14:textId="77777777" w:rsidR="00025543" w:rsidRDefault="00025543">
            <w:pPr>
              <w:spacing w:before="0" w:after="0" w:line="240" w:lineRule="auto"/>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23338EE5" w14:textId="77777777" w:rsidR="00025543" w:rsidRDefault="007E3A2F">
            <w:pPr>
              <w:pStyle w:val="P68B1DB1-Normal15"/>
              <w:spacing w:before="0" w:after="0" w:line="240" w:lineRule="auto"/>
              <w:rPr>
                <w:noProof/>
              </w:rPr>
            </w:pPr>
            <w:r>
              <w:rPr>
                <w:noProof/>
              </w:rPr>
              <w:t xml:space="preserve">Numéro </w:t>
            </w: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0BFDAF20" w14:textId="77777777" w:rsidR="00025543" w:rsidRDefault="007E3A2F">
            <w:pPr>
              <w:pStyle w:val="P68B1DB1-Normal15"/>
              <w:spacing w:before="0" w:after="0" w:line="240" w:lineRule="auto"/>
              <w:jc w:val="center"/>
              <w:rPr>
                <w:noProof/>
              </w:rPr>
            </w:pPr>
            <w:r>
              <w:rPr>
                <w:noProof/>
              </w:rPr>
              <w:t>0</w:t>
            </w: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1E34207D" w14:textId="1F60B991" w:rsidR="00025543" w:rsidRDefault="007E3A2F">
            <w:pPr>
              <w:pStyle w:val="P68B1DB1-Normal15"/>
              <w:spacing w:before="0" w:after="0" w:line="240" w:lineRule="auto"/>
              <w:jc w:val="center"/>
              <w:rPr>
                <w:noProof/>
              </w:rPr>
            </w:pPr>
            <w:r>
              <w:rPr>
                <w:noProof/>
              </w:rPr>
              <w:t>190</w:t>
            </w:r>
          </w:p>
        </w:tc>
        <w:tc>
          <w:tcPr>
            <w:tcW w:w="1021" w:type="dxa"/>
            <w:tcBorders>
              <w:top w:val="nil"/>
              <w:left w:val="nil"/>
              <w:bottom w:val="single" w:sz="4" w:space="0" w:color="000000" w:themeColor="text1"/>
              <w:right w:val="single" w:sz="4" w:space="0" w:color="000000" w:themeColor="text1"/>
            </w:tcBorders>
            <w:shd w:val="clear" w:color="auto" w:fill="C6EFCE"/>
            <w:vAlign w:val="center"/>
            <w:hideMark/>
          </w:tcPr>
          <w:p w14:paraId="50CF2849" w14:textId="5CBBB8CE" w:rsidR="00025543" w:rsidRDefault="007E3A2F">
            <w:pPr>
              <w:pStyle w:val="P68B1DB1-Normal15"/>
              <w:spacing w:before="0" w:after="0" w:line="240" w:lineRule="auto"/>
              <w:jc w:val="center"/>
              <w:rPr>
                <w:noProof/>
              </w:rPr>
            </w:pPr>
            <w:r>
              <w:rPr>
                <w:noProof/>
              </w:rPr>
              <w:t>TRIMESTRE 2</w:t>
            </w:r>
          </w:p>
        </w:tc>
        <w:tc>
          <w:tcPr>
            <w:tcW w:w="655" w:type="dxa"/>
            <w:tcBorders>
              <w:top w:val="nil"/>
              <w:left w:val="nil"/>
              <w:bottom w:val="single" w:sz="4" w:space="0" w:color="000000" w:themeColor="text1"/>
              <w:right w:val="single" w:sz="4" w:space="0" w:color="000000" w:themeColor="text1"/>
            </w:tcBorders>
            <w:shd w:val="clear" w:color="auto" w:fill="C6EFCE"/>
            <w:vAlign w:val="center"/>
            <w:hideMark/>
          </w:tcPr>
          <w:p w14:paraId="3649604C" w14:textId="28AD9B77" w:rsidR="00025543" w:rsidRDefault="007E3A2F">
            <w:pPr>
              <w:pStyle w:val="P68B1DB1-Normal15"/>
              <w:spacing w:before="0" w:after="0" w:line="240" w:lineRule="auto"/>
              <w:jc w:val="center"/>
              <w:rPr>
                <w:noProof/>
              </w:rPr>
            </w:pPr>
            <w:r>
              <w:rPr>
                <w:noProof/>
              </w:rPr>
              <w:t>2024</w:t>
            </w:r>
          </w:p>
        </w:tc>
        <w:tc>
          <w:tcPr>
            <w:tcW w:w="4104" w:type="dxa"/>
            <w:tcBorders>
              <w:top w:val="nil"/>
              <w:left w:val="nil"/>
              <w:bottom w:val="single" w:sz="4" w:space="0" w:color="000000" w:themeColor="text1"/>
              <w:right w:val="single" w:sz="4" w:space="0" w:color="000000" w:themeColor="text1"/>
            </w:tcBorders>
            <w:shd w:val="clear" w:color="auto" w:fill="C6EFCE"/>
            <w:vAlign w:val="center"/>
            <w:hideMark/>
          </w:tcPr>
          <w:p w14:paraId="38000D0A" w14:textId="701C542D" w:rsidR="00025543" w:rsidRDefault="007E3A2F">
            <w:pPr>
              <w:pStyle w:val="P68B1DB1-Normal15"/>
              <w:spacing w:before="0" w:after="0" w:line="240" w:lineRule="auto"/>
              <w:rPr>
                <w:noProof/>
              </w:rPr>
            </w:pPr>
            <w:r>
              <w:rPr>
                <w:noProof/>
              </w:rPr>
              <w:t>Le soutien permet aux PME d’offrir des obligations fondées sur la technologie des registres distribués, sans préjudice de la décision des entreprises participantes concernant l’émission d’obligations.</w:t>
            </w:r>
          </w:p>
        </w:tc>
      </w:tr>
      <w:tr w:rsidR="00025543" w14:paraId="2C2E7293" w14:textId="77777777">
        <w:trPr>
          <w:trHeight w:val="309"/>
          <w:jc w:val="center"/>
        </w:trPr>
        <w:tc>
          <w:tcPr>
            <w:tcW w:w="651" w:type="dxa"/>
            <w:tcBorders>
              <w:top w:val="nil"/>
              <w:left w:val="single" w:sz="4" w:space="0" w:color="000000" w:themeColor="text1"/>
              <w:bottom w:val="single" w:sz="4" w:space="0" w:color="000000" w:themeColor="text1"/>
              <w:right w:val="single" w:sz="4" w:space="0" w:color="000000" w:themeColor="text1"/>
            </w:tcBorders>
            <w:shd w:val="clear" w:color="auto" w:fill="C6EFCE"/>
            <w:vAlign w:val="center"/>
            <w:hideMark/>
          </w:tcPr>
          <w:p w14:paraId="4539FD1D" w14:textId="77777777" w:rsidR="00025543" w:rsidRDefault="007E3A2F">
            <w:pPr>
              <w:pStyle w:val="P68B1DB1-Normal15"/>
              <w:spacing w:before="0" w:after="0" w:line="240" w:lineRule="auto"/>
              <w:jc w:val="center"/>
              <w:rPr>
                <w:noProof/>
              </w:rPr>
            </w:pPr>
            <w:r>
              <w:rPr>
                <w:noProof/>
              </w:rPr>
              <w:t>57</w:t>
            </w:r>
          </w:p>
        </w:tc>
        <w:tc>
          <w:tcPr>
            <w:tcW w:w="1617" w:type="dxa"/>
            <w:tcBorders>
              <w:top w:val="nil"/>
              <w:left w:val="nil"/>
              <w:bottom w:val="single" w:sz="4" w:space="0" w:color="000000" w:themeColor="text1"/>
              <w:right w:val="single" w:sz="4" w:space="0" w:color="000000" w:themeColor="text1"/>
            </w:tcBorders>
            <w:shd w:val="clear" w:color="auto" w:fill="C6EFCE"/>
            <w:vAlign w:val="center"/>
            <w:hideMark/>
          </w:tcPr>
          <w:p w14:paraId="5CB00A97" w14:textId="77777777" w:rsidR="00025543" w:rsidRDefault="007E3A2F">
            <w:pPr>
              <w:pStyle w:val="P68B1DB1-Normal15"/>
              <w:spacing w:before="0" w:after="0" w:line="240" w:lineRule="auto"/>
              <w:rPr>
                <w:noProof/>
              </w:rPr>
            </w:pPr>
            <w:r>
              <w:rPr>
                <w:noProof/>
              </w:rPr>
              <w:t>Investissement 6: Projets d’application de démonstration 5G pour les villes et les zones industrielles</w:t>
            </w:r>
          </w:p>
        </w:tc>
        <w:tc>
          <w:tcPr>
            <w:tcW w:w="1134" w:type="dxa"/>
            <w:tcBorders>
              <w:top w:val="nil"/>
              <w:left w:val="nil"/>
              <w:bottom w:val="single" w:sz="4" w:space="0" w:color="000000" w:themeColor="text1"/>
              <w:right w:val="single" w:sz="4" w:space="0" w:color="000000" w:themeColor="text1"/>
            </w:tcBorders>
            <w:shd w:val="clear" w:color="auto" w:fill="C6EFCE"/>
            <w:vAlign w:val="center"/>
            <w:hideMark/>
          </w:tcPr>
          <w:p w14:paraId="68932084" w14:textId="77777777" w:rsidR="00025543" w:rsidRDefault="007E3A2F">
            <w:pPr>
              <w:pStyle w:val="P68B1DB1-Normal15"/>
              <w:spacing w:before="0" w:after="0" w:line="240" w:lineRule="auto"/>
              <w:rPr>
                <w:noProof/>
              </w:rPr>
            </w:pPr>
            <w:r>
              <w:rPr>
                <w:noProof/>
              </w:rPr>
              <w:t>Cible</w:t>
            </w:r>
          </w:p>
        </w:tc>
        <w:tc>
          <w:tcPr>
            <w:tcW w:w="1538" w:type="dxa"/>
            <w:tcBorders>
              <w:top w:val="nil"/>
              <w:left w:val="nil"/>
              <w:bottom w:val="single" w:sz="4" w:space="0" w:color="000000" w:themeColor="text1"/>
              <w:right w:val="single" w:sz="4" w:space="0" w:color="000000" w:themeColor="text1"/>
            </w:tcBorders>
            <w:shd w:val="clear" w:color="auto" w:fill="C6EFCE"/>
            <w:vAlign w:val="center"/>
            <w:hideMark/>
          </w:tcPr>
          <w:p w14:paraId="6F5343BD" w14:textId="77777777" w:rsidR="00025543" w:rsidRDefault="007E3A2F">
            <w:pPr>
              <w:pStyle w:val="P68B1DB1-Normal15"/>
              <w:spacing w:before="0" w:after="0" w:line="240" w:lineRule="auto"/>
              <w:rPr>
                <w:noProof/>
              </w:rPr>
            </w:pPr>
            <w:r>
              <w:rPr>
                <w:noProof/>
              </w:rPr>
              <w:t>Développement et exploitation d’applications de référence pour les villes intelligentes</w:t>
            </w:r>
          </w:p>
        </w:tc>
        <w:tc>
          <w:tcPr>
            <w:tcW w:w="1789" w:type="dxa"/>
            <w:tcBorders>
              <w:top w:val="nil"/>
              <w:left w:val="nil"/>
              <w:bottom w:val="single" w:sz="4" w:space="0" w:color="000000" w:themeColor="text1"/>
              <w:right w:val="single" w:sz="4" w:space="0" w:color="000000" w:themeColor="text1"/>
            </w:tcBorders>
            <w:shd w:val="clear" w:color="auto" w:fill="C6EFCE"/>
            <w:vAlign w:val="center"/>
            <w:hideMark/>
          </w:tcPr>
          <w:p w14:paraId="685A970E" w14:textId="77777777" w:rsidR="00025543" w:rsidRDefault="00025543">
            <w:pPr>
              <w:spacing w:before="0" w:after="0" w:line="240" w:lineRule="auto"/>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7661D56A" w14:textId="77777777" w:rsidR="00025543" w:rsidRDefault="007E3A2F">
            <w:pPr>
              <w:pStyle w:val="P68B1DB1-Normal15"/>
              <w:spacing w:before="0" w:after="0" w:line="240" w:lineRule="auto"/>
              <w:rPr>
                <w:noProof/>
              </w:rPr>
            </w:pPr>
            <w:r>
              <w:rPr>
                <w:noProof/>
              </w:rPr>
              <w:t>Numéro</w:t>
            </w: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224541D7" w14:textId="77777777" w:rsidR="00025543" w:rsidRDefault="007E3A2F">
            <w:pPr>
              <w:pStyle w:val="P68B1DB1-Normal15"/>
              <w:spacing w:before="0" w:after="0" w:line="240" w:lineRule="auto"/>
              <w:jc w:val="center"/>
              <w:rPr>
                <w:noProof/>
              </w:rPr>
            </w:pPr>
            <w:r>
              <w:rPr>
                <w:noProof/>
              </w:rPr>
              <w:t>0</w:t>
            </w: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55FB922C" w14:textId="77777777" w:rsidR="00025543" w:rsidRDefault="007E3A2F">
            <w:pPr>
              <w:pStyle w:val="P68B1DB1-Normal15"/>
              <w:spacing w:before="0" w:after="0" w:line="240" w:lineRule="auto"/>
              <w:jc w:val="center"/>
              <w:rPr>
                <w:noProof/>
              </w:rPr>
            </w:pPr>
            <w:r>
              <w:rPr>
                <w:noProof/>
              </w:rPr>
              <w:t>5</w:t>
            </w:r>
          </w:p>
        </w:tc>
        <w:tc>
          <w:tcPr>
            <w:tcW w:w="1021" w:type="dxa"/>
            <w:tcBorders>
              <w:top w:val="nil"/>
              <w:left w:val="nil"/>
              <w:bottom w:val="single" w:sz="4" w:space="0" w:color="000000" w:themeColor="text1"/>
              <w:right w:val="single" w:sz="4" w:space="0" w:color="000000" w:themeColor="text1"/>
            </w:tcBorders>
            <w:shd w:val="clear" w:color="auto" w:fill="C6EFCE"/>
            <w:vAlign w:val="center"/>
            <w:hideMark/>
          </w:tcPr>
          <w:p w14:paraId="2F237D40" w14:textId="77777777" w:rsidR="00025543" w:rsidRDefault="007E3A2F">
            <w:pPr>
              <w:pStyle w:val="P68B1DB1-Normal15"/>
              <w:spacing w:before="0" w:after="0" w:line="240" w:lineRule="auto"/>
              <w:jc w:val="center"/>
              <w:rPr>
                <w:noProof/>
              </w:rPr>
            </w:pPr>
            <w:r>
              <w:rPr>
                <w:noProof/>
              </w:rPr>
              <w:t>TRIMESTRE 4</w:t>
            </w:r>
          </w:p>
        </w:tc>
        <w:tc>
          <w:tcPr>
            <w:tcW w:w="655" w:type="dxa"/>
            <w:tcBorders>
              <w:top w:val="nil"/>
              <w:left w:val="nil"/>
              <w:bottom w:val="single" w:sz="4" w:space="0" w:color="000000" w:themeColor="text1"/>
              <w:right w:val="single" w:sz="4" w:space="0" w:color="000000" w:themeColor="text1"/>
            </w:tcBorders>
            <w:shd w:val="clear" w:color="auto" w:fill="C6EFCE"/>
            <w:vAlign w:val="center"/>
            <w:hideMark/>
          </w:tcPr>
          <w:p w14:paraId="7F88BCDD" w14:textId="77777777" w:rsidR="00025543" w:rsidRDefault="007E3A2F">
            <w:pPr>
              <w:pStyle w:val="P68B1DB1-Normal15"/>
              <w:spacing w:before="0" w:after="0" w:line="240" w:lineRule="auto"/>
              <w:jc w:val="center"/>
              <w:rPr>
                <w:noProof/>
              </w:rPr>
            </w:pPr>
            <w:r>
              <w:rPr>
                <w:noProof/>
              </w:rPr>
              <w:t>2022</w:t>
            </w:r>
          </w:p>
        </w:tc>
        <w:tc>
          <w:tcPr>
            <w:tcW w:w="4104" w:type="dxa"/>
            <w:tcBorders>
              <w:top w:val="nil"/>
              <w:left w:val="nil"/>
              <w:bottom w:val="single" w:sz="4" w:space="0" w:color="000000" w:themeColor="text1"/>
              <w:right w:val="single" w:sz="4" w:space="0" w:color="000000" w:themeColor="text1"/>
            </w:tcBorders>
            <w:shd w:val="clear" w:color="auto" w:fill="C6EFCE"/>
            <w:vAlign w:val="center"/>
            <w:hideMark/>
          </w:tcPr>
          <w:p w14:paraId="3BC26877" w14:textId="77777777" w:rsidR="00025543" w:rsidRDefault="007E3A2F">
            <w:pPr>
              <w:pStyle w:val="P68B1DB1-Normal15"/>
              <w:spacing w:before="0" w:after="0" w:line="259" w:lineRule="auto"/>
              <w:rPr>
                <w:noProof/>
              </w:rPr>
            </w:pPr>
            <w:r>
              <w:rPr>
                <w:noProof/>
              </w:rPr>
              <w:t>Cinq demandes de référence dans le cadre du programme «Villes intelligentes» à compléter</w:t>
            </w:r>
          </w:p>
        </w:tc>
      </w:tr>
      <w:tr w:rsidR="00025543" w14:paraId="3F23D571" w14:textId="77777777">
        <w:trPr>
          <w:trHeight w:val="309"/>
          <w:jc w:val="center"/>
        </w:trPr>
        <w:tc>
          <w:tcPr>
            <w:tcW w:w="651" w:type="dxa"/>
            <w:tcBorders>
              <w:top w:val="nil"/>
              <w:left w:val="single" w:sz="4" w:space="0" w:color="000000" w:themeColor="text1"/>
              <w:bottom w:val="single" w:sz="4" w:space="0" w:color="000000" w:themeColor="text1"/>
              <w:right w:val="single" w:sz="4" w:space="0" w:color="000000" w:themeColor="text1"/>
            </w:tcBorders>
            <w:shd w:val="clear" w:color="auto" w:fill="C6EFCE"/>
            <w:vAlign w:val="center"/>
            <w:hideMark/>
          </w:tcPr>
          <w:p w14:paraId="0CEE46F9" w14:textId="77777777" w:rsidR="00025543" w:rsidRDefault="007E3A2F">
            <w:pPr>
              <w:pStyle w:val="P68B1DB1-Normal15"/>
              <w:spacing w:before="0" w:after="0" w:line="240" w:lineRule="auto"/>
              <w:jc w:val="center"/>
              <w:rPr>
                <w:noProof/>
              </w:rPr>
            </w:pPr>
            <w:r>
              <w:rPr>
                <w:noProof/>
              </w:rPr>
              <w:t>58</w:t>
            </w:r>
          </w:p>
        </w:tc>
        <w:tc>
          <w:tcPr>
            <w:tcW w:w="1617" w:type="dxa"/>
            <w:tcBorders>
              <w:top w:val="nil"/>
              <w:left w:val="nil"/>
              <w:bottom w:val="single" w:sz="4" w:space="0" w:color="000000" w:themeColor="text1"/>
              <w:right w:val="single" w:sz="4" w:space="0" w:color="000000" w:themeColor="text1"/>
            </w:tcBorders>
            <w:shd w:val="clear" w:color="auto" w:fill="C6EFCE"/>
            <w:vAlign w:val="center"/>
            <w:hideMark/>
          </w:tcPr>
          <w:p w14:paraId="2C258292" w14:textId="77777777" w:rsidR="00025543" w:rsidRDefault="007E3A2F">
            <w:pPr>
              <w:pStyle w:val="P68B1DB1-Normal15"/>
              <w:spacing w:before="0" w:after="0" w:line="240" w:lineRule="auto"/>
              <w:rPr>
                <w:noProof/>
              </w:rPr>
            </w:pPr>
            <w:r>
              <w:rPr>
                <w:noProof/>
              </w:rPr>
              <w:t>Investissement 6: Projets d’application de démonstration 5G pour les villes et les zones industrielles</w:t>
            </w:r>
          </w:p>
        </w:tc>
        <w:tc>
          <w:tcPr>
            <w:tcW w:w="1134" w:type="dxa"/>
            <w:tcBorders>
              <w:top w:val="nil"/>
              <w:left w:val="nil"/>
              <w:bottom w:val="single" w:sz="4" w:space="0" w:color="000000" w:themeColor="text1"/>
              <w:right w:val="single" w:sz="4" w:space="0" w:color="000000" w:themeColor="text1"/>
            </w:tcBorders>
            <w:shd w:val="clear" w:color="auto" w:fill="C6EFCE"/>
            <w:vAlign w:val="center"/>
            <w:hideMark/>
          </w:tcPr>
          <w:p w14:paraId="360ED2C9" w14:textId="77777777" w:rsidR="00025543" w:rsidRDefault="007E3A2F">
            <w:pPr>
              <w:pStyle w:val="P68B1DB1-Normal15"/>
              <w:spacing w:before="0" w:after="0" w:line="240" w:lineRule="auto"/>
              <w:rPr>
                <w:noProof/>
              </w:rPr>
            </w:pPr>
            <w:r>
              <w:rPr>
                <w:noProof/>
              </w:rPr>
              <w:t>Cible</w:t>
            </w:r>
          </w:p>
        </w:tc>
        <w:tc>
          <w:tcPr>
            <w:tcW w:w="1538" w:type="dxa"/>
            <w:tcBorders>
              <w:top w:val="nil"/>
              <w:left w:val="nil"/>
              <w:bottom w:val="single" w:sz="4" w:space="0" w:color="000000" w:themeColor="text1"/>
              <w:right w:val="single" w:sz="4" w:space="0" w:color="000000" w:themeColor="text1"/>
            </w:tcBorders>
            <w:shd w:val="clear" w:color="auto" w:fill="C6EFCE"/>
            <w:vAlign w:val="center"/>
            <w:hideMark/>
          </w:tcPr>
          <w:p w14:paraId="71B94840" w14:textId="6BE2AF40" w:rsidR="00025543" w:rsidRDefault="007E3A2F">
            <w:pPr>
              <w:pStyle w:val="P68B1DB1-Normal15"/>
              <w:spacing w:before="0" w:after="0" w:line="240" w:lineRule="auto"/>
              <w:rPr>
                <w:noProof/>
              </w:rPr>
            </w:pPr>
            <w:r>
              <w:rPr>
                <w:noProof/>
              </w:rPr>
              <w:t>Achèvement des cas d’utilisation pour les villes intelligentes et pour l’industrie 4.0</w:t>
            </w:r>
          </w:p>
        </w:tc>
        <w:tc>
          <w:tcPr>
            <w:tcW w:w="1789" w:type="dxa"/>
            <w:tcBorders>
              <w:top w:val="nil"/>
              <w:left w:val="nil"/>
              <w:bottom w:val="single" w:sz="4" w:space="0" w:color="000000" w:themeColor="text1"/>
              <w:right w:val="single" w:sz="4" w:space="0" w:color="000000" w:themeColor="text1"/>
            </w:tcBorders>
            <w:shd w:val="clear" w:color="auto" w:fill="C6EFCE"/>
            <w:vAlign w:val="center"/>
            <w:hideMark/>
          </w:tcPr>
          <w:p w14:paraId="6C15BA48" w14:textId="77777777" w:rsidR="00025543" w:rsidRDefault="00025543">
            <w:pPr>
              <w:spacing w:before="0" w:after="0" w:line="240" w:lineRule="auto"/>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18983FE3" w14:textId="77777777" w:rsidR="00025543" w:rsidRDefault="007E3A2F">
            <w:pPr>
              <w:pStyle w:val="P68B1DB1-Normal15"/>
              <w:spacing w:before="0" w:after="0" w:line="240" w:lineRule="auto"/>
              <w:rPr>
                <w:noProof/>
              </w:rPr>
            </w:pPr>
            <w:r>
              <w:rPr>
                <w:noProof/>
              </w:rPr>
              <w:t>Numéro</w:t>
            </w: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23D7B851" w14:textId="77777777" w:rsidR="00025543" w:rsidRDefault="007E3A2F">
            <w:pPr>
              <w:pStyle w:val="P68B1DB1-Normal15"/>
              <w:spacing w:before="0" w:after="0" w:line="240" w:lineRule="auto"/>
              <w:jc w:val="center"/>
              <w:rPr>
                <w:noProof/>
              </w:rPr>
            </w:pPr>
            <w:r>
              <w:rPr>
                <w:noProof/>
              </w:rPr>
              <w:t>0</w:t>
            </w: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25C6AE87" w14:textId="6BFD0C21" w:rsidR="00025543" w:rsidRDefault="007E3A2F">
            <w:pPr>
              <w:pStyle w:val="P68B1DB1-Normal15"/>
              <w:spacing w:before="0" w:after="0" w:line="240" w:lineRule="auto"/>
              <w:jc w:val="center"/>
              <w:rPr>
                <w:noProof/>
              </w:rPr>
            </w:pPr>
            <w:r>
              <w:rPr>
                <w:noProof/>
              </w:rPr>
              <w:t>27 pour les villes intelligentes; 20 pour l’industrie 4.0</w:t>
            </w:r>
          </w:p>
        </w:tc>
        <w:tc>
          <w:tcPr>
            <w:tcW w:w="1021" w:type="dxa"/>
            <w:tcBorders>
              <w:top w:val="nil"/>
              <w:left w:val="nil"/>
              <w:bottom w:val="single" w:sz="4" w:space="0" w:color="000000" w:themeColor="text1"/>
              <w:right w:val="single" w:sz="4" w:space="0" w:color="000000" w:themeColor="text1"/>
            </w:tcBorders>
            <w:shd w:val="clear" w:color="auto" w:fill="C6EFCE"/>
            <w:vAlign w:val="center"/>
            <w:hideMark/>
          </w:tcPr>
          <w:p w14:paraId="5222463C" w14:textId="77777777" w:rsidR="00025543" w:rsidRDefault="007E3A2F">
            <w:pPr>
              <w:pStyle w:val="P68B1DB1-Normal15"/>
              <w:spacing w:before="0" w:after="0" w:line="240" w:lineRule="auto"/>
              <w:jc w:val="center"/>
              <w:rPr>
                <w:noProof/>
              </w:rPr>
            </w:pPr>
            <w:r>
              <w:rPr>
                <w:noProof/>
              </w:rPr>
              <w:t>TRIMESTRE 4</w:t>
            </w:r>
          </w:p>
        </w:tc>
        <w:tc>
          <w:tcPr>
            <w:tcW w:w="655" w:type="dxa"/>
            <w:tcBorders>
              <w:top w:val="nil"/>
              <w:left w:val="nil"/>
              <w:bottom w:val="single" w:sz="4" w:space="0" w:color="000000" w:themeColor="text1"/>
              <w:right w:val="single" w:sz="4" w:space="0" w:color="000000" w:themeColor="text1"/>
            </w:tcBorders>
            <w:shd w:val="clear" w:color="auto" w:fill="C6EFCE"/>
            <w:vAlign w:val="center"/>
            <w:hideMark/>
          </w:tcPr>
          <w:p w14:paraId="07ED59CC" w14:textId="77777777" w:rsidR="00025543" w:rsidRDefault="007E3A2F">
            <w:pPr>
              <w:pStyle w:val="P68B1DB1-Normal15"/>
              <w:spacing w:before="0" w:after="0" w:line="240" w:lineRule="auto"/>
              <w:jc w:val="center"/>
              <w:rPr>
                <w:noProof/>
              </w:rPr>
            </w:pPr>
            <w:r>
              <w:rPr>
                <w:noProof/>
              </w:rPr>
              <w:t>2025</w:t>
            </w:r>
          </w:p>
        </w:tc>
        <w:tc>
          <w:tcPr>
            <w:tcW w:w="4104" w:type="dxa"/>
            <w:tcBorders>
              <w:top w:val="nil"/>
              <w:left w:val="nil"/>
              <w:bottom w:val="single" w:sz="4" w:space="0" w:color="000000" w:themeColor="text1"/>
              <w:right w:val="single" w:sz="4" w:space="0" w:color="000000" w:themeColor="text1"/>
            </w:tcBorders>
            <w:shd w:val="clear" w:color="auto" w:fill="C6EFCE"/>
            <w:vAlign w:val="center"/>
            <w:hideMark/>
          </w:tcPr>
          <w:p w14:paraId="379A8D19" w14:textId="280A16D4" w:rsidR="00025543" w:rsidRDefault="007E3A2F">
            <w:pPr>
              <w:pStyle w:val="P68B1DB1-Normal15"/>
              <w:spacing w:before="0" w:after="0" w:line="240" w:lineRule="auto"/>
              <w:rPr>
                <w:noProof/>
              </w:rPr>
            </w:pPr>
            <w:r>
              <w:rPr>
                <w:noProof/>
              </w:rPr>
              <w:t xml:space="preserve">Achèvement des demandes de démonstration de cas d’utilisation 5G à d’autres endroits, y compris les régions et les municipalités locales, dans le cadre des programmes «Villes intelligentes» et «Industrie 4.0» </w:t>
            </w:r>
          </w:p>
        </w:tc>
      </w:tr>
      <w:tr w:rsidR="00025543" w14:paraId="57F2C7F8" w14:textId="77777777">
        <w:trPr>
          <w:trHeight w:val="309"/>
          <w:jc w:val="center"/>
        </w:trPr>
        <w:tc>
          <w:tcPr>
            <w:tcW w:w="651" w:type="dxa"/>
            <w:tcBorders>
              <w:top w:val="nil"/>
              <w:left w:val="single" w:sz="4" w:space="0" w:color="000000" w:themeColor="text1"/>
              <w:bottom w:val="single" w:sz="4" w:space="0" w:color="000000" w:themeColor="text1"/>
              <w:right w:val="single" w:sz="4" w:space="0" w:color="000000" w:themeColor="text1"/>
            </w:tcBorders>
            <w:shd w:val="clear" w:color="auto" w:fill="C6EFCE"/>
            <w:vAlign w:val="center"/>
            <w:hideMark/>
          </w:tcPr>
          <w:p w14:paraId="5CC03654" w14:textId="77777777" w:rsidR="00025543" w:rsidRDefault="007E3A2F">
            <w:pPr>
              <w:pStyle w:val="P68B1DB1-Normal15"/>
              <w:spacing w:before="0" w:after="0" w:line="240" w:lineRule="auto"/>
              <w:jc w:val="center"/>
              <w:rPr>
                <w:noProof/>
              </w:rPr>
            </w:pPr>
            <w:r>
              <w:rPr>
                <w:noProof/>
              </w:rPr>
              <w:t>59</w:t>
            </w:r>
          </w:p>
        </w:tc>
        <w:tc>
          <w:tcPr>
            <w:tcW w:w="1617" w:type="dxa"/>
            <w:tcBorders>
              <w:top w:val="nil"/>
              <w:left w:val="nil"/>
              <w:bottom w:val="single" w:sz="4" w:space="0" w:color="000000" w:themeColor="text1"/>
              <w:right w:val="single" w:sz="4" w:space="0" w:color="000000" w:themeColor="text1"/>
            </w:tcBorders>
            <w:shd w:val="clear" w:color="auto" w:fill="C6EFCE"/>
            <w:vAlign w:val="center"/>
            <w:hideMark/>
          </w:tcPr>
          <w:p w14:paraId="54F10C08" w14:textId="77777777" w:rsidR="00025543" w:rsidRDefault="007E3A2F">
            <w:pPr>
              <w:pStyle w:val="P68B1DB1-Normal15"/>
              <w:spacing w:before="0" w:after="0" w:line="240" w:lineRule="auto"/>
              <w:rPr>
                <w:noProof/>
              </w:rPr>
            </w:pPr>
            <w:r>
              <w:rPr>
                <w:noProof/>
              </w:rPr>
              <w:t>Investissement 7: Programme «Rise-Up» tchèque</w:t>
            </w:r>
          </w:p>
        </w:tc>
        <w:tc>
          <w:tcPr>
            <w:tcW w:w="1134" w:type="dxa"/>
            <w:tcBorders>
              <w:top w:val="nil"/>
              <w:left w:val="nil"/>
              <w:bottom w:val="single" w:sz="4" w:space="0" w:color="000000" w:themeColor="text1"/>
              <w:right w:val="single" w:sz="4" w:space="0" w:color="000000" w:themeColor="text1"/>
            </w:tcBorders>
            <w:shd w:val="clear" w:color="auto" w:fill="C6EFCE"/>
            <w:vAlign w:val="center"/>
            <w:hideMark/>
          </w:tcPr>
          <w:p w14:paraId="3E676EBD" w14:textId="77777777" w:rsidR="00025543" w:rsidRDefault="007E3A2F">
            <w:pPr>
              <w:pStyle w:val="P68B1DB1-Normal15"/>
              <w:spacing w:before="0" w:after="0" w:line="240" w:lineRule="auto"/>
              <w:rPr>
                <w:noProof/>
              </w:rPr>
            </w:pPr>
            <w:r>
              <w:rPr>
                <w:noProof/>
              </w:rPr>
              <w:t>Cible</w:t>
            </w:r>
          </w:p>
        </w:tc>
        <w:tc>
          <w:tcPr>
            <w:tcW w:w="1538" w:type="dxa"/>
            <w:tcBorders>
              <w:top w:val="nil"/>
              <w:left w:val="nil"/>
              <w:bottom w:val="single" w:sz="4" w:space="0" w:color="000000" w:themeColor="text1"/>
              <w:right w:val="single" w:sz="4" w:space="0" w:color="000000" w:themeColor="text1"/>
            </w:tcBorders>
            <w:shd w:val="clear" w:color="auto" w:fill="C6EFCE"/>
            <w:vAlign w:val="center"/>
            <w:hideMark/>
          </w:tcPr>
          <w:p w14:paraId="21102EB7" w14:textId="71BB6820" w:rsidR="00025543" w:rsidRDefault="007E3A2F">
            <w:pPr>
              <w:pStyle w:val="P68B1DB1-Normal15"/>
              <w:spacing w:before="0" w:after="0" w:line="240" w:lineRule="auto"/>
              <w:rPr>
                <w:noProof/>
              </w:rPr>
            </w:pPr>
            <w:r>
              <w:rPr>
                <w:noProof/>
              </w:rPr>
              <w:t xml:space="preserve">Soutien à des projets visant à innover dans les solutions médicales et numériques pour faire face aux effets de la COVID-19 et à ses conséquences économiques et sociales </w:t>
            </w:r>
          </w:p>
        </w:tc>
        <w:tc>
          <w:tcPr>
            <w:tcW w:w="1789" w:type="dxa"/>
            <w:tcBorders>
              <w:top w:val="nil"/>
              <w:left w:val="nil"/>
              <w:bottom w:val="single" w:sz="4" w:space="0" w:color="000000" w:themeColor="text1"/>
              <w:right w:val="single" w:sz="4" w:space="0" w:color="000000" w:themeColor="text1"/>
            </w:tcBorders>
            <w:shd w:val="clear" w:color="auto" w:fill="C6EFCE"/>
            <w:vAlign w:val="center"/>
            <w:hideMark/>
          </w:tcPr>
          <w:p w14:paraId="04DCE518" w14:textId="77777777" w:rsidR="00025543" w:rsidRDefault="00025543">
            <w:pPr>
              <w:spacing w:before="0" w:after="0" w:line="240" w:lineRule="auto"/>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294D8F8E" w14:textId="77777777" w:rsidR="00025543" w:rsidRDefault="007E3A2F">
            <w:pPr>
              <w:pStyle w:val="P68B1DB1-Normal15"/>
              <w:spacing w:before="0" w:after="0" w:line="240" w:lineRule="auto"/>
              <w:rPr>
                <w:noProof/>
              </w:rPr>
            </w:pPr>
            <w:r>
              <w:rPr>
                <w:noProof/>
              </w:rPr>
              <w:t>Numéro</w:t>
            </w: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1F88F927" w14:textId="63290FF3" w:rsidR="00025543" w:rsidRDefault="007E3A2F">
            <w:pPr>
              <w:pStyle w:val="P68B1DB1-Normal15"/>
              <w:spacing w:before="0" w:after="0" w:line="240" w:lineRule="auto"/>
              <w:jc w:val="center"/>
              <w:rPr>
                <w:noProof/>
              </w:rPr>
            </w:pPr>
            <w:r>
              <w:rPr>
                <w:noProof/>
              </w:rPr>
              <w:t>0</w:t>
            </w: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64CB1A58" w14:textId="3955BD7C" w:rsidR="00025543" w:rsidRDefault="007E3A2F">
            <w:pPr>
              <w:pStyle w:val="P68B1DB1-Normal15"/>
              <w:spacing w:before="0" w:after="0" w:line="240" w:lineRule="auto"/>
              <w:jc w:val="center"/>
              <w:rPr>
                <w:noProof/>
              </w:rPr>
            </w:pPr>
            <w:r>
              <w:rPr>
                <w:noProof/>
              </w:rPr>
              <w:t>30</w:t>
            </w:r>
          </w:p>
        </w:tc>
        <w:tc>
          <w:tcPr>
            <w:tcW w:w="1021" w:type="dxa"/>
            <w:tcBorders>
              <w:top w:val="nil"/>
              <w:left w:val="nil"/>
              <w:bottom w:val="single" w:sz="4" w:space="0" w:color="000000" w:themeColor="text1"/>
              <w:right w:val="single" w:sz="4" w:space="0" w:color="000000" w:themeColor="text1"/>
            </w:tcBorders>
            <w:shd w:val="clear" w:color="auto" w:fill="C6EFCE"/>
            <w:vAlign w:val="center"/>
            <w:hideMark/>
          </w:tcPr>
          <w:p w14:paraId="5EBE7F41" w14:textId="77777777" w:rsidR="00025543" w:rsidRDefault="007E3A2F">
            <w:pPr>
              <w:pStyle w:val="P68B1DB1-Normal15"/>
              <w:spacing w:before="0" w:after="0" w:line="240" w:lineRule="auto"/>
              <w:jc w:val="center"/>
              <w:rPr>
                <w:noProof/>
              </w:rPr>
            </w:pPr>
            <w:r>
              <w:rPr>
                <w:noProof/>
              </w:rPr>
              <w:t>TRIMESTRE 4</w:t>
            </w:r>
          </w:p>
        </w:tc>
        <w:tc>
          <w:tcPr>
            <w:tcW w:w="655" w:type="dxa"/>
            <w:tcBorders>
              <w:top w:val="nil"/>
              <w:left w:val="nil"/>
              <w:bottom w:val="single" w:sz="4" w:space="0" w:color="000000" w:themeColor="text1"/>
              <w:right w:val="single" w:sz="4" w:space="0" w:color="000000" w:themeColor="text1"/>
            </w:tcBorders>
            <w:shd w:val="clear" w:color="auto" w:fill="C6EFCE"/>
            <w:vAlign w:val="center"/>
            <w:hideMark/>
          </w:tcPr>
          <w:p w14:paraId="4D24BFEC" w14:textId="77777777" w:rsidR="00025543" w:rsidRDefault="007E3A2F">
            <w:pPr>
              <w:pStyle w:val="P68B1DB1-Normal15"/>
              <w:spacing w:before="0" w:after="0" w:line="240" w:lineRule="auto"/>
              <w:jc w:val="center"/>
              <w:rPr>
                <w:noProof/>
              </w:rPr>
            </w:pPr>
            <w:r>
              <w:rPr>
                <w:noProof/>
              </w:rPr>
              <w:t>2023</w:t>
            </w:r>
          </w:p>
        </w:tc>
        <w:tc>
          <w:tcPr>
            <w:tcW w:w="4104" w:type="dxa"/>
            <w:tcBorders>
              <w:top w:val="nil"/>
              <w:left w:val="nil"/>
              <w:bottom w:val="single" w:sz="4" w:space="0" w:color="000000" w:themeColor="text1"/>
              <w:right w:val="single" w:sz="4" w:space="0" w:color="000000" w:themeColor="text1"/>
            </w:tcBorders>
            <w:shd w:val="clear" w:color="auto" w:fill="C6EFCE"/>
            <w:vAlign w:val="center"/>
            <w:hideMark/>
          </w:tcPr>
          <w:p w14:paraId="15E39C60" w14:textId="622362A1" w:rsidR="00025543" w:rsidRDefault="007E3A2F">
            <w:pPr>
              <w:pStyle w:val="P68B1DB1-Normal15"/>
              <w:spacing w:before="0" w:after="0" w:line="240" w:lineRule="auto"/>
              <w:rPr>
                <w:noProof/>
              </w:rPr>
            </w:pPr>
            <w:r>
              <w:rPr>
                <w:noProof/>
              </w:rPr>
              <w:t>Soutenir les entreprises dans le domaine de la recherche médicale liée à la COVID-19 et dans le développement de projets et de projets visant à trouver des solutions numériques pour faire face aux conséquences économiques et sociales de la crise, sous la forme d’une aide de minimis sous la forme de subventions de minimis. L’attribution des marchés aux projets sélectionnés dans le cadre des appels à propositions concurrentiels mentionnés dans cette étape s’effectue, conformément aux orientations techniques «Ne pas causer de préjudice important» (2021/C58/01), par l’utilisation d’une liste d’exclusion et par l’exigence de conformité avec la législation environnementale de l’UE et nationale applicable.</w:t>
            </w:r>
          </w:p>
        </w:tc>
      </w:tr>
      <w:tr w:rsidR="00025543" w14:paraId="04DFDD8D" w14:textId="77777777">
        <w:trPr>
          <w:trHeight w:val="309"/>
          <w:jc w:val="center"/>
        </w:trPr>
        <w:tc>
          <w:tcPr>
            <w:tcW w:w="651" w:type="dxa"/>
            <w:tcBorders>
              <w:top w:val="nil"/>
              <w:left w:val="single" w:sz="4" w:space="0" w:color="000000" w:themeColor="text1"/>
              <w:bottom w:val="single" w:sz="4" w:space="0" w:color="000000" w:themeColor="text1"/>
              <w:right w:val="single" w:sz="4" w:space="0" w:color="000000" w:themeColor="text1"/>
            </w:tcBorders>
            <w:shd w:val="clear" w:color="auto" w:fill="C6EFCE"/>
            <w:vAlign w:val="center"/>
            <w:hideMark/>
          </w:tcPr>
          <w:p w14:paraId="17EE5EAC" w14:textId="77777777" w:rsidR="00025543" w:rsidRDefault="007E3A2F">
            <w:pPr>
              <w:pStyle w:val="P68B1DB1-Normal15"/>
              <w:spacing w:before="0" w:after="0" w:line="240" w:lineRule="auto"/>
              <w:jc w:val="center"/>
              <w:rPr>
                <w:noProof/>
              </w:rPr>
            </w:pPr>
            <w:r>
              <w:rPr>
                <w:noProof/>
              </w:rPr>
              <w:t>60</w:t>
            </w:r>
          </w:p>
        </w:tc>
        <w:tc>
          <w:tcPr>
            <w:tcW w:w="1617" w:type="dxa"/>
            <w:tcBorders>
              <w:top w:val="nil"/>
              <w:left w:val="nil"/>
              <w:bottom w:val="single" w:sz="4" w:space="0" w:color="000000" w:themeColor="text1"/>
              <w:right w:val="single" w:sz="4" w:space="0" w:color="000000" w:themeColor="text1"/>
            </w:tcBorders>
            <w:shd w:val="clear" w:color="auto" w:fill="C6EFCE"/>
            <w:vAlign w:val="center"/>
            <w:hideMark/>
          </w:tcPr>
          <w:p w14:paraId="2EB29D57" w14:textId="77777777" w:rsidR="00025543" w:rsidRDefault="007E3A2F">
            <w:pPr>
              <w:pStyle w:val="P68B1DB1-Normal15"/>
              <w:spacing w:before="0" w:after="0" w:line="240" w:lineRule="auto"/>
              <w:rPr>
                <w:noProof/>
              </w:rPr>
            </w:pPr>
            <w:r>
              <w:rPr>
                <w:noProof/>
              </w:rPr>
              <w:t>Investissement 8: Encourager l’esprit d’entreprise et les entreprises innovantes</w:t>
            </w:r>
          </w:p>
        </w:tc>
        <w:tc>
          <w:tcPr>
            <w:tcW w:w="1134" w:type="dxa"/>
            <w:tcBorders>
              <w:top w:val="nil"/>
              <w:left w:val="nil"/>
              <w:bottom w:val="single" w:sz="4" w:space="0" w:color="000000" w:themeColor="text1"/>
              <w:right w:val="single" w:sz="4" w:space="0" w:color="000000" w:themeColor="text1"/>
            </w:tcBorders>
            <w:shd w:val="clear" w:color="auto" w:fill="C6EFCE"/>
            <w:vAlign w:val="center"/>
            <w:hideMark/>
          </w:tcPr>
          <w:p w14:paraId="154AD692" w14:textId="77777777" w:rsidR="00025543" w:rsidRDefault="007E3A2F">
            <w:pPr>
              <w:pStyle w:val="P68B1DB1-Normal15"/>
              <w:spacing w:before="0" w:after="0" w:line="240" w:lineRule="auto"/>
              <w:rPr>
                <w:noProof/>
              </w:rPr>
            </w:pPr>
            <w:r>
              <w:rPr>
                <w:noProof/>
              </w:rPr>
              <w:t>Cible</w:t>
            </w:r>
          </w:p>
        </w:tc>
        <w:tc>
          <w:tcPr>
            <w:tcW w:w="1538" w:type="dxa"/>
            <w:tcBorders>
              <w:top w:val="nil"/>
              <w:left w:val="nil"/>
              <w:bottom w:val="single" w:sz="4" w:space="0" w:color="000000" w:themeColor="text1"/>
              <w:right w:val="single" w:sz="4" w:space="0" w:color="000000" w:themeColor="text1"/>
            </w:tcBorders>
            <w:shd w:val="clear" w:color="auto" w:fill="C6EFCE"/>
            <w:vAlign w:val="center"/>
            <w:hideMark/>
          </w:tcPr>
          <w:p w14:paraId="731648D9" w14:textId="77777777" w:rsidR="00025543" w:rsidRDefault="007E3A2F">
            <w:pPr>
              <w:pStyle w:val="P68B1DB1-Normal15"/>
              <w:spacing w:before="0" w:after="0" w:line="240" w:lineRule="auto"/>
              <w:rPr>
                <w:noProof/>
              </w:rPr>
            </w:pPr>
            <w:r>
              <w:rPr>
                <w:noProof/>
              </w:rPr>
              <w:t>Nombre de jeunes pousses soutenues par l’intermédiaire de pôles d’innovation et d’organisations partenaires du programme</w:t>
            </w:r>
          </w:p>
        </w:tc>
        <w:tc>
          <w:tcPr>
            <w:tcW w:w="1789" w:type="dxa"/>
            <w:tcBorders>
              <w:top w:val="nil"/>
              <w:left w:val="nil"/>
              <w:bottom w:val="single" w:sz="4" w:space="0" w:color="000000" w:themeColor="text1"/>
              <w:right w:val="single" w:sz="4" w:space="0" w:color="000000" w:themeColor="text1"/>
            </w:tcBorders>
            <w:shd w:val="clear" w:color="auto" w:fill="C6EFCE"/>
            <w:vAlign w:val="center"/>
            <w:hideMark/>
          </w:tcPr>
          <w:p w14:paraId="38F5944F" w14:textId="77777777" w:rsidR="00025543" w:rsidRDefault="00025543">
            <w:pPr>
              <w:spacing w:before="0" w:after="0" w:line="240" w:lineRule="auto"/>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40476EB2" w14:textId="77777777" w:rsidR="00025543" w:rsidRDefault="007E3A2F">
            <w:pPr>
              <w:pStyle w:val="P68B1DB1-Normal15"/>
              <w:spacing w:before="0" w:after="0" w:line="240" w:lineRule="auto"/>
              <w:rPr>
                <w:noProof/>
              </w:rPr>
            </w:pPr>
            <w:r>
              <w:rPr>
                <w:noProof/>
              </w:rPr>
              <w:t>Numéro</w:t>
            </w: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0F6E6DE5" w14:textId="77777777" w:rsidR="00025543" w:rsidRDefault="007E3A2F">
            <w:pPr>
              <w:pStyle w:val="P68B1DB1-Normal15"/>
              <w:spacing w:before="0" w:after="0" w:line="240" w:lineRule="auto"/>
              <w:jc w:val="center"/>
              <w:rPr>
                <w:noProof/>
              </w:rPr>
            </w:pPr>
            <w:r>
              <w:rPr>
                <w:noProof/>
              </w:rPr>
              <w:t>0</w:t>
            </w: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1A7AABC2" w14:textId="77777777" w:rsidR="00025543" w:rsidRDefault="007E3A2F">
            <w:pPr>
              <w:pStyle w:val="P68B1DB1-Normal15"/>
              <w:spacing w:before="0" w:after="0" w:line="240" w:lineRule="auto"/>
              <w:jc w:val="center"/>
              <w:rPr>
                <w:noProof/>
              </w:rPr>
            </w:pPr>
            <w:r>
              <w:rPr>
                <w:noProof/>
              </w:rPr>
              <w:t>450</w:t>
            </w:r>
          </w:p>
        </w:tc>
        <w:tc>
          <w:tcPr>
            <w:tcW w:w="1021" w:type="dxa"/>
            <w:tcBorders>
              <w:top w:val="nil"/>
              <w:left w:val="nil"/>
              <w:bottom w:val="single" w:sz="4" w:space="0" w:color="000000" w:themeColor="text1"/>
              <w:right w:val="single" w:sz="4" w:space="0" w:color="000000" w:themeColor="text1"/>
            </w:tcBorders>
            <w:shd w:val="clear" w:color="auto" w:fill="C6EFCE"/>
            <w:vAlign w:val="center"/>
            <w:hideMark/>
          </w:tcPr>
          <w:p w14:paraId="6F1BE27A" w14:textId="77777777" w:rsidR="00025543" w:rsidRDefault="007E3A2F">
            <w:pPr>
              <w:pStyle w:val="P68B1DB1-Normal15"/>
              <w:spacing w:before="0" w:after="0" w:line="240" w:lineRule="auto"/>
              <w:jc w:val="center"/>
              <w:rPr>
                <w:noProof/>
              </w:rPr>
            </w:pPr>
            <w:r>
              <w:rPr>
                <w:noProof/>
              </w:rPr>
              <w:t>TRIMESTRE 4</w:t>
            </w:r>
          </w:p>
        </w:tc>
        <w:tc>
          <w:tcPr>
            <w:tcW w:w="655" w:type="dxa"/>
            <w:tcBorders>
              <w:top w:val="nil"/>
              <w:left w:val="nil"/>
              <w:bottom w:val="single" w:sz="4" w:space="0" w:color="000000" w:themeColor="text1"/>
              <w:right w:val="single" w:sz="4" w:space="0" w:color="000000" w:themeColor="text1"/>
            </w:tcBorders>
            <w:shd w:val="clear" w:color="auto" w:fill="C6EFCE"/>
            <w:vAlign w:val="center"/>
            <w:hideMark/>
          </w:tcPr>
          <w:p w14:paraId="1BCC5A95" w14:textId="77777777" w:rsidR="00025543" w:rsidRDefault="007E3A2F">
            <w:pPr>
              <w:pStyle w:val="P68B1DB1-Normal15"/>
              <w:spacing w:before="0" w:after="0" w:line="240" w:lineRule="auto"/>
              <w:jc w:val="center"/>
              <w:rPr>
                <w:noProof/>
              </w:rPr>
            </w:pPr>
            <w:r>
              <w:rPr>
                <w:noProof/>
              </w:rPr>
              <w:t>2024</w:t>
            </w:r>
          </w:p>
        </w:tc>
        <w:tc>
          <w:tcPr>
            <w:tcW w:w="4104" w:type="dxa"/>
            <w:tcBorders>
              <w:top w:val="nil"/>
              <w:left w:val="nil"/>
              <w:bottom w:val="single" w:sz="4" w:space="0" w:color="000000" w:themeColor="text1"/>
              <w:right w:val="single" w:sz="4" w:space="0" w:color="000000" w:themeColor="text1"/>
            </w:tcBorders>
            <w:shd w:val="clear" w:color="auto" w:fill="C6EFCE"/>
            <w:vAlign w:val="center"/>
            <w:hideMark/>
          </w:tcPr>
          <w:p w14:paraId="09BBCE23" w14:textId="77777777" w:rsidR="00025543" w:rsidRDefault="007E3A2F">
            <w:pPr>
              <w:pStyle w:val="P68B1DB1-Normal15"/>
              <w:spacing w:before="0" w:after="0" w:line="240" w:lineRule="auto"/>
              <w:rPr>
                <w:noProof/>
              </w:rPr>
            </w:pPr>
            <w:r>
              <w:rPr>
                <w:noProof/>
              </w:rPr>
              <w:t>Les jeunes pousses et autres entités éligibles doivent bénéficier de services de tutorat, de conseil et de conseil ou de formations pour favoriser l’esprit d’entreprise et la validation des plans d’entreprise.</w:t>
            </w:r>
          </w:p>
        </w:tc>
      </w:tr>
      <w:tr w:rsidR="00025543" w14:paraId="7ED33333" w14:textId="77777777">
        <w:trPr>
          <w:trHeight w:val="309"/>
          <w:jc w:val="center"/>
        </w:trPr>
        <w:tc>
          <w:tcPr>
            <w:tcW w:w="651" w:type="dxa"/>
            <w:tcBorders>
              <w:top w:val="nil"/>
              <w:left w:val="single" w:sz="4" w:space="0" w:color="000000" w:themeColor="text1"/>
              <w:bottom w:val="single" w:sz="4" w:space="0" w:color="000000" w:themeColor="text1"/>
              <w:right w:val="single" w:sz="4" w:space="0" w:color="000000" w:themeColor="text1"/>
            </w:tcBorders>
            <w:shd w:val="clear" w:color="auto" w:fill="C6EFCE"/>
            <w:vAlign w:val="center"/>
            <w:hideMark/>
          </w:tcPr>
          <w:p w14:paraId="1B430C9E" w14:textId="77777777" w:rsidR="00025543" w:rsidRDefault="007E3A2F">
            <w:pPr>
              <w:pStyle w:val="P68B1DB1-Normal15"/>
              <w:spacing w:before="0" w:after="0" w:line="240" w:lineRule="auto"/>
              <w:jc w:val="center"/>
              <w:rPr>
                <w:noProof/>
              </w:rPr>
            </w:pPr>
            <w:r>
              <w:rPr>
                <w:noProof/>
              </w:rPr>
              <w:t>61</w:t>
            </w:r>
          </w:p>
        </w:tc>
        <w:tc>
          <w:tcPr>
            <w:tcW w:w="1617" w:type="dxa"/>
            <w:tcBorders>
              <w:top w:val="nil"/>
              <w:left w:val="nil"/>
              <w:bottom w:val="single" w:sz="4" w:space="0" w:color="000000" w:themeColor="text1"/>
              <w:right w:val="single" w:sz="4" w:space="0" w:color="000000" w:themeColor="text1"/>
            </w:tcBorders>
            <w:shd w:val="clear" w:color="auto" w:fill="C6EFCE"/>
            <w:vAlign w:val="center"/>
            <w:hideMark/>
          </w:tcPr>
          <w:p w14:paraId="7647CB2F" w14:textId="3C45D11F" w:rsidR="00025543" w:rsidRDefault="007E3A2F">
            <w:pPr>
              <w:pStyle w:val="P68B1DB1-Normal15"/>
              <w:spacing w:before="0" w:after="0" w:line="240" w:lineRule="auto"/>
              <w:rPr>
                <w:noProof/>
              </w:rPr>
            </w:pPr>
            <w:r>
              <w:rPr>
                <w:noProof/>
              </w:rPr>
              <w:t xml:space="preserve">Investissement 9: Fonds pour le développement d’investissements pré-/d’amorçage, de technologies numériques stratégiques et d’essaimage universitaire </w:t>
            </w:r>
          </w:p>
        </w:tc>
        <w:tc>
          <w:tcPr>
            <w:tcW w:w="1134" w:type="dxa"/>
            <w:tcBorders>
              <w:top w:val="nil"/>
              <w:left w:val="nil"/>
              <w:bottom w:val="single" w:sz="4" w:space="0" w:color="000000" w:themeColor="text1"/>
              <w:right w:val="single" w:sz="4" w:space="0" w:color="000000" w:themeColor="text1"/>
            </w:tcBorders>
            <w:shd w:val="clear" w:color="auto" w:fill="C6EFCE"/>
            <w:vAlign w:val="center"/>
            <w:hideMark/>
          </w:tcPr>
          <w:p w14:paraId="3B4AB659" w14:textId="77777777" w:rsidR="00025543" w:rsidRDefault="007E3A2F">
            <w:pPr>
              <w:pStyle w:val="P68B1DB1-Normal15"/>
              <w:spacing w:before="0" w:after="0" w:line="240" w:lineRule="auto"/>
              <w:rPr>
                <w:noProof/>
              </w:rPr>
            </w:pPr>
            <w:r>
              <w:rPr>
                <w:noProof/>
              </w:rPr>
              <w:t>Étapes</w:t>
            </w:r>
          </w:p>
        </w:tc>
        <w:tc>
          <w:tcPr>
            <w:tcW w:w="1538" w:type="dxa"/>
            <w:tcBorders>
              <w:top w:val="nil"/>
              <w:left w:val="nil"/>
              <w:bottom w:val="single" w:sz="4" w:space="0" w:color="000000" w:themeColor="text1"/>
              <w:right w:val="single" w:sz="4" w:space="0" w:color="000000" w:themeColor="text1"/>
            </w:tcBorders>
            <w:shd w:val="clear" w:color="auto" w:fill="C6EFCE"/>
            <w:vAlign w:val="center"/>
            <w:hideMark/>
          </w:tcPr>
          <w:p w14:paraId="3C4239F1" w14:textId="56EF5CCE" w:rsidR="00025543" w:rsidRDefault="007E3A2F">
            <w:pPr>
              <w:pStyle w:val="P68B1DB1-Normal15"/>
              <w:spacing w:before="0" w:after="0" w:line="240" w:lineRule="auto"/>
              <w:rPr>
                <w:noProof/>
              </w:rPr>
            </w:pPr>
            <w:r>
              <w:rPr>
                <w:noProof/>
              </w:rPr>
              <w:t>Lancement du Fonds de fonds et investissement des trois fonds désignés (préamorçage, technologies stratégiques et fonds d’essaimage)</w:t>
            </w:r>
          </w:p>
        </w:tc>
        <w:tc>
          <w:tcPr>
            <w:tcW w:w="1789" w:type="dxa"/>
            <w:tcBorders>
              <w:top w:val="nil"/>
              <w:left w:val="nil"/>
              <w:bottom w:val="single" w:sz="4" w:space="0" w:color="000000" w:themeColor="text1"/>
              <w:right w:val="single" w:sz="4" w:space="0" w:color="000000" w:themeColor="text1"/>
            </w:tcBorders>
            <w:shd w:val="clear" w:color="auto" w:fill="C6EFCE"/>
            <w:vAlign w:val="center"/>
            <w:hideMark/>
          </w:tcPr>
          <w:p w14:paraId="53B5A293" w14:textId="37C83F0D" w:rsidR="00025543" w:rsidRDefault="007E3A2F">
            <w:pPr>
              <w:pStyle w:val="P68B1DB1-Normal15"/>
              <w:spacing w:before="0" w:after="0" w:line="240" w:lineRule="auto"/>
              <w:rPr>
                <w:noProof/>
              </w:rPr>
            </w:pPr>
            <w:r>
              <w:rPr>
                <w:noProof/>
              </w:rPr>
              <w:t xml:space="preserve">épuisement de la capacité d’investissement des fonds fournis par la FRR </w:t>
            </w:r>
          </w:p>
        </w:tc>
        <w:tc>
          <w:tcPr>
            <w:tcW w:w="1034" w:type="dxa"/>
            <w:tcBorders>
              <w:top w:val="nil"/>
              <w:left w:val="nil"/>
              <w:bottom w:val="single" w:sz="4" w:space="0" w:color="000000" w:themeColor="text1"/>
              <w:right w:val="single" w:sz="4" w:space="0" w:color="000000" w:themeColor="text1"/>
            </w:tcBorders>
            <w:shd w:val="clear" w:color="auto" w:fill="C6EFCE"/>
            <w:vAlign w:val="center"/>
          </w:tcPr>
          <w:p w14:paraId="7A2ABAF0" w14:textId="77777777" w:rsidR="00025543" w:rsidRDefault="00025543">
            <w:pPr>
              <w:spacing w:before="0" w:after="0" w:line="240" w:lineRule="auto"/>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tcPr>
          <w:p w14:paraId="54528BB6" w14:textId="77777777" w:rsidR="00025543" w:rsidRDefault="00025543">
            <w:pPr>
              <w:spacing w:before="0" w:after="0" w:line="240" w:lineRule="auto"/>
              <w:jc w:val="center"/>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tcPr>
          <w:p w14:paraId="7DC6AF23" w14:textId="77777777" w:rsidR="00025543" w:rsidRDefault="00025543">
            <w:pPr>
              <w:spacing w:before="0" w:after="0" w:line="240" w:lineRule="auto"/>
              <w:jc w:val="center"/>
              <w:rPr>
                <w:rFonts w:eastAsia="Times New Roman"/>
                <w:noProof/>
                <w:color w:val="004300"/>
                <w:sz w:val="18"/>
              </w:rPr>
            </w:pPr>
          </w:p>
        </w:tc>
        <w:tc>
          <w:tcPr>
            <w:tcW w:w="1021" w:type="dxa"/>
            <w:tcBorders>
              <w:top w:val="nil"/>
              <w:left w:val="nil"/>
              <w:bottom w:val="single" w:sz="4" w:space="0" w:color="000000" w:themeColor="text1"/>
              <w:right w:val="single" w:sz="4" w:space="0" w:color="000000" w:themeColor="text1"/>
            </w:tcBorders>
            <w:shd w:val="clear" w:color="auto" w:fill="C6EFCE"/>
            <w:vAlign w:val="center"/>
            <w:hideMark/>
          </w:tcPr>
          <w:p w14:paraId="4A39D2BE" w14:textId="1827A500" w:rsidR="00025543" w:rsidRDefault="007E3A2F">
            <w:pPr>
              <w:pStyle w:val="P68B1DB1-Normal15"/>
              <w:spacing w:before="0" w:after="0" w:line="240" w:lineRule="auto"/>
              <w:jc w:val="center"/>
              <w:rPr>
                <w:noProof/>
              </w:rPr>
            </w:pPr>
            <w:r>
              <w:rPr>
                <w:noProof/>
              </w:rPr>
              <w:t>TRIMESTRE 2</w:t>
            </w:r>
          </w:p>
        </w:tc>
        <w:tc>
          <w:tcPr>
            <w:tcW w:w="655" w:type="dxa"/>
            <w:tcBorders>
              <w:top w:val="nil"/>
              <w:left w:val="nil"/>
              <w:bottom w:val="single" w:sz="4" w:space="0" w:color="000000" w:themeColor="text1"/>
              <w:right w:val="single" w:sz="4" w:space="0" w:color="000000" w:themeColor="text1"/>
            </w:tcBorders>
            <w:shd w:val="clear" w:color="auto" w:fill="C6EFCE"/>
            <w:vAlign w:val="center"/>
            <w:hideMark/>
          </w:tcPr>
          <w:p w14:paraId="275694C6" w14:textId="43F1AB38" w:rsidR="00025543" w:rsidRDefault="007E3A2F">
            <w:pPr>
              <w:pStyle w:val="P68B1DB1-Normal15"/>
              <w:spacing w:before="0" w:after="0" w:line="240" w:lineRule="auto"/>
              <w:jc w:val="center"/>
              <w:rPr>
                <w:noProof/>
              </w:rPr>
            </w:pPr>
            <w:r>
              <w:rPr>
                <w:noProof/>
              </w:rPr>
              <w:t>2026</w:t>
            </w:r>
          </w:p>
        </w:tc>
        <w:tc>
          <w:tcPr>
            <w:tcW w:w="4104" w:type="dxa"/>
            <w:tcBorders>
              <w:top w:val="nil"/>
              <w:left w:val="nil"/>
              <w:bottom w:val="single" w:sz="4" w:space="0" w:color="000000" w:themeColor="text1"/>
              <w:right w:val="single" w:sz="4" w:space="0" w:color="000000" w:themeColor="text1"/>
            </w:tcBorders>
            <w:shd w:val="clear" w:color="auto" w:fill="C6EFCE"/>
            <w:vAlign w:val="center"/>
            <w:hideMark/>
          </w:tcPr>
          <w:p w14:paraId="3F9629ED" w14:textId="714999D7" w:rsidR="00025543" w:rsidRDefault="007E3A2F">
            <w:pPr>
              <w:pStyle w:val="P68B1DB1-Normal15"/>
              <w:spacing w:before="0" w:after="0" w:line="240" w:lineRule="auto"/>
              <w:rPr>
                <w:noProof/>
              </w:rPr>
            </w:pPr>
            <w:r>
              <w:rPr>
                <w:noProof/>
              </w:rPr>
              <w:t>Trois fonds d’investissement pour le capital-risque existant et nouveau doivent être mis en place pour soutenir les jeunes entreprises innovantes, les technologies stratégiques et les entreprises par des investissements d’amorçage/préamorçage. La phase pilote devrait vérifier le niveau de la demande, les risques ciblés, l’absorption et les domaines d’investissement, notamment la complémentarité avec d’autres instruments d’aide. Sur la base des résultats de la phase pilote, de nouveaux cycles d’investissement continus doivent être mis en place. La valeur de l’investissement atteint un montant minimal de 54 983 897,57 EUR. La politique d’investissement pour l’instrument financier comprend des critères de sélection visant à garantir le respect des orientations techniques «Ne pas causer de préjudice important» (2021/C58/01) pour les transactions bénéficiant d’un soutien au titre de la présente mesure au moyen d’une évaluation de la durabilité, d’une liste d’exclusion et de l’exigence de conformité avec la législation environnementale de l’Union et nationale applicable.</w:t>
            </w:r>
          </w:p>
        </w:tc>
      </w:tr>
      <w:tr w:rsidR="00025543" w14:paraId="615DB3A9" w14:textId="77777777">
        <w:trPr>
          <w:trHeight w:val="309"/>
          <w:jc w:val="center"/>
        </w:trPr>
        <w:tc>
          <w:tcPr>
            <w:tcW w:w="651" w:type="dxa"/>
            <w:tcBorders>
              <w:top w:val="nil"/>
              <w:left w:val="single" w:sz="4" w:space="0" w:color="000000" w:themeColor="text1"/>
              <w:bottom w:val="single" w:sz="4" w:space="0" w:color="000000" w:themeColor="text1"/>
              <w:right w:val="single" w:sz="4" w:space="0" w:color="000000" w:themeColor="text1"/>
            </w:tcBorders>
            <w:shd w:val="clear" w:color="auto" w:fill="C6EFCE"/>
            <w:vAlign w:val="center"/>
            <w:hideMark/>
          </w:tcPr>
          <w:p w14:paraId="3AC14D2E" w14:textId="77777777" w:rsidR="00025543" w:rsidRDefault="007E3A2F">
            <w:pPr>
              <w:pStyle w:val="P68B1DB1-Normal15"/>
              <w:spacing w:before="0" w:after="0" w:line="240" w:lineRule="auto"/>
              <w:jc w:val="center"/>
              <w:rPr>
                <w:noProof/>
              </w:rPr>
            </w:pPr>
            <w:r>
              <w:rPr>
                <w:noProof/>
              </w:rPr>
              <w:t>63</w:t>
            </w:r>
          </w:p>
        </w:tc>
        <w:tc>
          <w:tcPr>
            <w:tcW w:w="1617" w:type="dxa"/>
            <w:tcBorders>
              <w:top w:val="nil"/>
              <w:left w:val="nil"/>
              <w:bottom w:val="single" w:sz="4" w:space="0" w:color="000000" w:themeColor="text1"/>
              <w:right w:val="single" w:sz="4" w:space="0" w:color="000000" w:themeColor="text1"/>
            </w:tcBorders>
            <w:shd w:val="clear" w:color="auto" w:fill="C6EFCE"/>
            <w:vAlign w:val="center"/>
            <w:hideMark/>
          </w:tcPr>
          <w:p w14:paraId="24BABBD3" w14:textId="77777777" w:rsidR="00025543" w:rsidRDefault="007E3A2F">
            <w:pPr>
              <w:pStyle w:val="P68B1DB1-Normal15"/>
              <w:spacing w:before="0" w:after="0" w:line="240" w:lineRule="auto"/>
              <w:rPr>
                <w:noProof/>
              </w:rPr>
            </w:pPr>
            <w:r>
              <w:rPr>
                <w:noProof/>
              </w:rPr>
              <w:t>Investissement 10: Internationalisation des jeunes pousses</w:t>
            </w:r>
          </w:p>
        </w:tc>
        <w:tc>
          <w:tcPr>
            <w:tcW w:w="1134" w:type="dxa"/>
            <w:tcBorders>
              <w:top w:val="nil"/>
              <w:left w:val="nil"/>
              <w:bottom w:val="single" w:sz="4" w:space="0" w:color="000000" w:themeColor="text1"/>
              <w:right w:val="single" w:sz="4" w:space="0" w:color="000000" w:themeColor="text1"/>
            </w:tcBorders>
            <w:shd w:val="clear" w:color="auto" w:fill="C6EFCE"/>
            <w:vAlign w:val="center"/>
            <w:hideMark/>
          </w:tcPr>
          <w:p w14:paraId="2AC451FD" w14:textId="77777777" w:rsidR="00025543" w:rsidRDefault="007E3A2F">
            <w:pPr>
              <w:pStyle w:val="P68B1DB1-Normal15"/>
              <w:spacing w:before="0" w:after="0" w:line="240" w:lineRule="auto"/>
              <w:rPr>
                <w:noProof/>
              </w:rPr>
            </w:pPr>
            <w:r>
              <w:rPr>
                <w:noProof/>
              </w:rPr>
              <w:t>Cible</w:t>
            </w:r>
          </w:p>
        </w:tc>
        <w:tc>
          <w:tcPr>
            <w:tcW w:w="1538" w:type="dxa"/>
            <w:tcBorders>
              <w:top w:val="nil"/>
              <w:left w:val="nil"/>
              <w:bottom w:val="single" w:sz="4" w:space="0" w:color="000000" w:themeColor="text1"/>
              <w:right w:val="single" w:sz="4" w:space="0" w:color="000000" w:themeColor="text1"/>
            </w:tcBorders>
            <w:shd w:val="clear" w:color="auto" w:fill="C6EFCE"/>
            <w:vAlign w:val="center"/>
            <w:hideMark/>
          </w:tcPr>
          <w:p w14:paraId="488A2390" w14:textId="77777777" w:rsidR="00025543" w:rsidRDefault="007E3A2F">
            <w:pPr>
              <w:pStyle w:val="P68B1DB1-Normal15"/>
              <w:spacing w:before="0" w:after="0" w:line="240" w:lineRule="auto"/>
              <w:rPr>
                <w:noProof/>
              </w:rPr>
            </w:pPr>
            <w:r>
              <w:rPr>
                <w:noProof/>
              </w:rPr>
              <w:t>Soutien à l’expansion internationale des jeunes pousses par des services de conseil, des services de conseil aux entreprises et des programmes d’accélérateurs</w:t>
            </w:r>
          </w:p>
        </w:tc>
        <w:tc>
          <w:tcPr>
            <w:tcW w:w="1789" w:type="dxa"/>
            <w:tcBorders>
              <w:top w:val="nil"/>
              <w:left w:val="nil"/>
              <w:bottom w:val="single" w:sz="4" w:space="0" w:color="000000" w:themeColor="text1"/>
              <w:right w:val="single" w:sz="4" w:space="0" w:color="000000" w:themeColor="text1"/>
            </w:tcBorders>
            <w:shd w:val="clear" w:color="auto" w:fill="C6EFCE"/>
            <w:vAlign w:val="center"/>
            <w:hideMark/>
          </w:tcPr>
          <w:p w14:paraId="76831E2E" w14:textId="77777777" w:rsidR="00025543" w:rsidRDefault="00025543">
            <w:pPr>
              <w:spacing w:before="0" w:after="0" w:line="240" w:lineRule="auto"/>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1F29C6DF" w14:textId="77777777" w:rsidR="00025543" w:rsidRDefault="007E3A2F">
            <w:pPr>
              <w:pStyle w:val="P68B1DB1-Normal15"/>
              <w:spacing w:before="0" w:after="0" w:line="240" w:lineRule="auto"/>
              <w:rPr>
                <w:noProof/>
              </w:rPr>
            </w:pPr>
            <w:r>
              <w:rPr>
                <w:noProof/>
              </w:rPr>
              <w:t>Numéro</w:t>
            </w: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20BF0BBE" w14:textId="77777777" w:rsidR="00025543" w:rsidRDefault="007E3A2F">
            <w:pPr>
              <w:pStyle w:val="P68B1DB1-Normal15"/>
              <w:spacing w:before="0" w:after="0" w:line="240" w:lineRule="auto"/>
              <w:jc w:val="center"/>
              <w:rPr>
                <w:noProof/>
              </w:rPr>
            </w:pPr>
            <w:r>
              <w:rPr>
                <w:noProof/>
              </w:rPr>
              <w:t>0</w:t>
            </w: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5C322A60" w14:textId="77777777" w:rsidR="00025543" w:rsidRDefault="007E3A2F">
            <w:pPr>
              <w:pStyle w:val="P68B1DB1-Normal15"/>
              <w:spacing w:before="0" w:after="0" w:line="240" w:lineRule="auto"/>
              <w:jc w:val="center"/>
              <w:rPr>
                <w:noProof/>
              </w:rPr>
            </w:pPr>
            <w:r>
              <w:rPr>
                <w:noProof/>
              </w:rPr>
              <w:t>100</w:t>
            </w:r>
          </w:p>
        </w:tc>
        <w:tc>
          <w:tcPr>
            <w:tcW w:w="1021" w:type="dxa"/>
            <w:tcBorders>
              <w:top w:val="nil"/>
              <w:left w:val="nil"/>
              <w:bottom w:val="single" w:sz="4" w:space="0" w:color="000000" w:themeColor="text1"/>
              <w:right w:val="single" w:sz="4" w:space="0" w:color="000000" w:themeColor="text1"/>
            </w:tcBorders>
            <w:shd w:val="clear" w:color="auto" w:fill="C6EFCE"/>
            <w:vAlign w:val="center"/>
            <w:hideMark/>
          </w:tcPr>
          <w:p w14:paraId="0B90811E" w14:textId="77777777" w:rsidR="00025543" w:rsidRDefault="007E3A2F">
            <w:pPr>
              <w:pStyle w:val="P68B1DB1-Normal15"/>
              <w:spacing w:before="0" w:after="0" w:line="240" w:lineRule="auto"/>
              <w:jc w:val="center"/>
              <w:rPr>
                <w:noProof/>
              </w:rPr>
            </w:pPr>
            <w:r>
              <w:rPr>
                <w:noProof/>
              </w:rPr>
              <w:t>TRIMESTRE 4</w:t>
            </w:r>
          </w:p>
        </w:tc>
        <w:tc>
          <w:tcPr>
            <w:tcW w:w="655" w:type="dxa"/>
            <w:tcBorders>
              <w:top w:val="nil"/>
              <w:left w:val="nil"/>
              <w:bottom w:val="single" w:sz="4" w:space="0" w:color="000000" w:themeColor="text1"/>
              <w:right w:val="single" w:sz="4" w:space="0" w:color="000000" w:themeColor="text1"/>
            </w:tcBorders>
            <w:shd w:val="clear" w:color="auto" w:fill="C6EFCE"/>
            <w:vAlign w:val="center"/>
            <w:hideMark/>
          </w:tcPr>
          <w:p w14:paraId="41B60004" w14:textId="77777777" w:rsidR="00025543" w:rsidRDefault="007E3A2F">
            <w:pPr>
              <w:pStyle w:val="P68B1DB1-Normal15"/>
              <w:spacing w:before="0" w:after="0" w:line="240" w:lineRule="auto"/>
              <w:jc w:val="center"/>
              <w:rPr>
                <w:noProof/>
              </w:rPr>
            </w:pPr>
            <w:r>
              <w:rPr>
                <w:noProof/>
              </w:rPr>
              <w:t>2025</w:t>
            </w:r>
          </w:p>
        </w:tc>
        <w:tc>
          <w:tcPr>
            <w:tcW w:w="4104" w:type="dxa"/>
            <w:tcBorders>
              <w:top w:val="nil"/>
              <w:left w:val="nil"/>
              <w:bottom w:val="single" w:sz="4" w:space="0" w:color="000000" w:themeColor="text1"/>
              <w:right w:val="single" w:sz="4" w:space="0" w:color="000000" w:themeColor="text1"/>
            </w:tcBorders>
            <w:shd w:val="clear" w:color="auto" w:fill="C6EFCE"/>
            <w:vAlign w:val="center"/>
          </w:tcPr>
          <w:p w14:paraId="7E2B620E" w14:textId="5F6A09F1" w:rsidR="00025543" w:rsidRDefault="007E3A2F">
            <w:pPr>
              <w:pStyle w:val="P68B1DB1-Normal15"/>
              <w:spacing w:before="0" w:after="0" w:line="240" w:lineRule="auto"/>
              <w:rPr>
                <w:noProof/>
              </w:rPr>
            </w:pPr>
            <w:r>
              <w:rPr>
                <w:noProof/>
              </w:rPr>
              <w:t>Les jeunes pousses seront soutenues par des programmes de soutien axés sur l’expansion internationale et l’adaptation aux marchés étrangers. Ces programmes comprennent des services de tutorat et de conseil, des programmes d’accélération de la validation de produits liés à l’étranger, le partage de bonnes pratiques, l’expansion et l’adaptation des produits/services.</w:t>
            </w:r>
          </w:p>
        </w:tc>
      </w:tr>
      <w:tr w:rsidR="00025543" w14:paraId="6513E91F" w14:textId="77777777">
        <w:trPr>
          <w:trHeight w:val="309"/>
          <w:jc w:val="center"/>
        </w:trPr>
        <w:tc>
          <w:tcPr>
            <w:tcW w:w="651" w:type="dxa"/>
            <w:tcBorders>
              <w:top w:val="nil"/>
              <w:left w:val="single" w:sz="4" w:space="0" w:color="000000" w:themeColor="text1"/>
              <w:bottom w:val="single" w:sz="4" w:space="0" w:color="000000" w:themeColor="text1"/>
              <w:right w:val="single" w:sz="4" w:space="0" w:color="000000" w:themeColor="text1"/>
            </w:tcBorders>
            <w:shd w:val="clear" w:color="auto" w:fill="C6EFCE"/>
            <w:vAlign w:val="center"/>
            <w:hideMark/>
          </w:tcPr>
          <w:p w14:paraId="62C24EE8" w14:textId="2932380A" w:rsidR="00025543" w:rsidRDefault="007E3A2F">
            <w:pPr>
              <w:pStyle w:val="P68B1DB1-Normal15"/>
              <w:spacing w:before="0" w:after="0" w:line="240" w:lineRule="auto"/>
              <w:jc w:val="center"/>
              <w:rPr>
                <w:noProof/>
              </w:rPr>
            </w:pPr>
            <w:r>
              <w:rPr>
                <w:noProof/>
              </w:rPr>
              <w:t>64</w:t>
            </w:r>
          </w:p>
        </w:tc>
        <w:tc>
          <w:tcPr>
            <w:tcW w:w="1617" w:type="dxa"/>
            <w:tcBorders>
              <w:top w:val="nil"/>
              <w:left w:val="nil"/>
              <w:bottom w:val="single" w:sz="4" w:space="0" w:color="000000" w:themeColor="text1"/>
              <w:right w:val="single" w:sz="4" w:space="0" w:color="000000" w:themeColor="text1"/>
            </w:tcBorders>
            <w:shd w:val="clear" w:color="auto" w:fill="C6EFCE"/>
            <w:vAlign w:val="center"/>
            <w:hideMark/>
          </w:tcPr>
          <w:p w14:paraId="535A056E" w14:textId="2B80EDF9" w:rsidR="00025543" w:rsidRDefault="007E3A2F">
            <w:pPr>
              <w:pStyle w:val="P68B1DB1-Normal15"/>
              <w:spacing w:before="0" w:after="0" w:line="240" w:lineRule="auto"/>
              <w:rPr>
                <w:noProof/>
              </w:rPr>
            </w:pPr>
            <w:r>
              <w:rPr>
                <w:noProof/>
              </w:rPr>
              <w:t>Investissement 11: Bac à sable réglementaire numérique conforme aux priorités de l’UE</w:t>
            </w:r>
          </w:p>
        </w:tc>
        <w:tc>
          <w:tcPr>
            <w:tcW w:w="1134" w:type="dxa"/>
            <w:tcBorders>
              <w:top w:val="nil"/>
              <w:left w:val="nil"/>
              <w:bottom w:val="single" w:sz="4" w:space="0" w:color="000000" w:themeColor="text1"/>
              <w:right w:val="single" w:sz="4" w:space="0" w:color="000000" w:themeColor="text1"/>
            </w:tcBorders>
            <w:shd w:val="clear" w:color="auto" w:fill="C6EFCE"/>
            <w:vAlign w:val="center"/>
            <w:hideMark/>
          </w:tcPr>
          <w:p w14:paraId="3F8F1D0F" w14:textId="50628292" w:rsidR="00025543" w:rsidRDefault="007E3A2F">
            <w:pPr>
              <w:pStyle w:val="P68B1DB1-Normal15"/>
              <w:spacing w:before="0" w:after="0" w:line="240" w:lineRule="auto"/>
              <w:rPr>
                <w:noProof/>
              </w:rPr>
            </w:pPr>
            <w:r>
              <w:rPr>
                <w:noProof/>
              </w:rPr>
              <w:t>Étapes</w:t>
            </w:r>
          </w:p>
        </w:tc>
        <w:tc>
          <w:tcPr>
            <w:tcW w:w="1538" w:type="dxa"/>
            <w:tcBorders>
              <w:top w:val="nil"/>
              <w:left w:val="nil"/>
              <w:bottom w:val="single" w:sz="4" w:space="0" w:color="000000" w:themeColor="text1"/>
              <w:right w:val="single" w:sz="4" w:space="0" w:color="000000" w:themeColor="text1"/>
            </w:tcBorders>
            <w:shd w:val="clear" w:color="auto" w:fill="C6EFCE"/>
            <w:vAlign w:val="center"/>
            <w:hideMark/>
          </w:tcPr>
          <w:p w14:paraId="705AA8F4" w14:textId="3A989851" w:rsidR="00025543" w:rsidRDefault="007E3A2F">
            <w:pPr>
              <w:pStyle w:val="P68B1DB1-Normal15"/>
              <w:spacing w:before="0" w:after="0" w:line="240" w:lineRule="auto"/>
              <w:rPr>
                <w:noProof/>
              </w:rPr>
            </w:pPr>
            <w:r>
              <w:rPr>
                <w:noProof/>
              </w:rPr>
              <w:t xml:space="preserve">Lancement du bac à sable réglementaire numérique </w:t>
            </w:r>
          </w:p>
        </w:tc>
        <w:tc>
          <w:tcPr>
            <w:tcW w:w="1789" w:type="dxa"/>
            <w:tcBorders>
              <w:top w:val="nil"/>
              <w:left w:val="nil"/>
              <w:bottom w:val="single" w:sz="4" w:space="0" w:color="000000" w:themeColor="text1"/>
              <w:right w:val="single" w:sz="4" w:space="0" w:color="000000" w:themeColor="text1"/>
            </w:tcBorders>
            <w:shd w:val="clear" w:color="auto" w:fill="C6EFCE"/>
            <w:vAlign w:val="center"/>
            <w:hideMark/>
          </w:tcPr>
          <w:p w14:paraId="6110970B" w14:textId="39FAE923" w:rsidR="00025543" w:rsidRDefault="007E3A2F">
            <w:pPr>
              <w:pStyle w:val="P68B1DB1-Normal15"/>
              <w:spacing w:before="0" w:after="0" w:line="240" w:lineRule="auto"/>
              <w:rPr>
                <w:noProof/>
              </w:rPr>
            </w:pPr>
            <w:r>
              <w:rPr>
                <w:noProof/>
              </w:rPr>
              <w:t>Mise en place du bac à sable dans les domaines réglementés prioritaires, tels que les technologies financières (sur la base du paquet sur la finance numérique) Technologie des registres distribués (DLT)</w:t>
            </w:r>
          </w:p>
        </w:tc>
        <w:tc>
          <w:tcPr>
            <w:tcW w:w="1034" w:type="dxa"/>
            <w:tcBorders>
              <w:top w:val="nil"/>
              <w:left w:val="nil"/>
              <w:bottom w:val="single" w:sz="4" w:space="0" w:color="000000" w:themeColor="text1"/>
              <w:right w:val="single" w:sz="4" w:space="0" w:color="000000" w:themeColor="text1"/>
            </w:tcBorders>
            <w:shd w:val="clear" w:color="auto" w:fill="C6EFCE"/>
            <w:vAlign w:val="center"/>
          </w:tcPr>
          <w:p w14:paraId="547F6B52" w14:textId="32387BEE" w:rsidR="00025543" w:rsidRDefault="00025543">
            <w:pPr>
              <w:spacing w:before="0" w:after="0" w:line="240" w:lineRule="auto"/>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tcPr>
          <w:p w14:paraId="3744F8F7" w14:textId="3BF730E7" w:rsidR="00025543" w:rsidRDefault="00025543">
            <w:pPr>
              <w:spacing w:before="0" w:after="0" w:line="240" w:lineRule="auto"/>
              <w:jc w:val="center"/>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tcPr>
          <w:p w14:paraId="6C0FDCD7" w14:textId="151BE6C9" w:rsidR="00025543" w:rsidRDefault="00025543">
            <w:pPr>
              <w:spacing w:before="0" w:after="0" w:line="240" w:lineRule="auto"/>
              <w:jc w:val="center"/>
              <w:rPr>
                <w:rFonts w:eastAsia="Times New Roman"/>
                <w:noProof/>
                <w:color w:val="004300"/>
                <w:sz w:val="18"/>
              </w:rPr>
            </w:pPr>
          </w:p>
        </w:tc>
        <w:tc>
          <w:tcPr>
            <w:tcW w:w="1021" w:type="dxa"/>
            <w:tcBorders>
              <w:top w:val="nil"/>
              <w:left w:val="nil"/>
              <w:bottom w:val="single" w:sz="4" w:space="0" w:color="000000" w:themeColor="text1"/>
              <w:right w:val="single" w:sz="4" w:space="0" w:color="000000" w:themeColor="text1"/>
            </w:tcBorders>
            <w:shd w:val="clear" w:color="auto" w:fill="C6EFCE"/>
            <w:vAlign w:val="center"/>
            <w:hideMark/>
          </w:tcPr>
          <w:p w14:paraId="37981E64" w14:textId="69CEB0D0" w:rsidR="00025543" w:rsidRDefault="007E3A2F">
            <w:pPr>
              <w:pStyle w:val="P68B1DB1-Normal15"/>
              <w:spacing w:before="0" w:after="0" w:line="240" w:lineRule="auto"/>
              <w:jc w:val="center"/>
              <w:rPr>
                <w:noProof/>
              </w:rPr>
            </w:pPr>
            <w:r>
              <w:rPr>
                <w:noProof/>
              </w:rPr>
              <w:t>TRIMESTRE 2</w:t>
            </w:r>
          </w:p>
        </w:tc>
        <w:tc>
          <w:tcPr>
            <w:tcW w:w="655" w:type="dxa"/>
            <w:tcBorders>
              <w:top w:val="nil"/>
              <w:left w:val="nil"/>
              <w:bottom w:val="single" w:sz="4" w:space="0" w:color="000000" w:themeColor="text1"/>
              <w:right w:val="single" w:sz="4" w:space="0" w:color="000000" w:themeColor="text1"/>
            </w:tcBorders>
            <w:shd w:val="clear" w:color="auto" w:fill="C6EFCE"/>
            <w:vAlign w:val="center"/>
            <w:hideMark/>
          </w:tcPr>
          <w:p w14:paraId="61D2A696" w14:textId="3962183E" w:rsidR="00025543" w:rsidRDefault="007E3A2F">
            <w:pPr>
              <w:pStyle w:val="P68B1DB1-Normal15"/>
              <w:spacing w:before="0" w:after="0" w:line="240" w:lineRule="auto"/>
              <w:jc w:val="center"/>
              <w:rPr>
                <w:noProof/>
              </w:rPr>
            </w:pPr>
            <w:r>
              <w:rPr>
                <w:noProof/>
              </w:rPr>
              <w:t>2024</w:t>
            </w:r>
          </w:p>
        </w:tc>
        <w:tc>
          <w:tcPr>
            <w:tcW w:w="4104" w:type="dxa"/>
            <w:tcBorders>
              <w:top w:val="nil"/>
              <w:left w:val="nil"/>
              <w:bottom w:val="single" w:sz="4" w:space="0" w:color="000000" w:themeColor="text1"/>
              <w:right w:val="single" w:sz="4" w:space="0" w:color="000000" w:themeColor="text1"/>
            </w:tcBorders>
            <w:shd w:val="clear" w:color="auto" w:fill="C6EFCE"/>
            <w:vAlign w:val="center"/>
            <w:hideMark/>
          </w:tcPr>
          <w:p w14:paraId="694DB489" w14:textId="6577C926" w:rsidR="00025543" w:rsidRDefault="007E3A2F">
            <w:pPr>
              <w:pStyle w:val="P68B1DB1-Normal15"/>
              <w:spacing w:before="0" w:after="0" w:line="240" w:lineRule="auto"/>
              <w:rPr>
                <w:noProof/>
              </w:rPr>
            </w:pPr>
            <w:r>
              <w:rPr>
                <w:noProof/>
              </w:rPr>
              <w:t>Le bac à sable de l’autorité de régulation numérique axé sur les technologies financières et la DLT sera considéré comme actif et opérationnel lorsque des entreprises innovantes sont en mesure de soumettre leurs demandes d’essai de projets et de produits.</w:t>
            </w:r>
          </w:p>
        </w:tc>
      </w:tr>
      <w:tr w:rsidR="00025543" w14:paraId="4BCF15C3" w14:textId="1BD38DF8">
        <w:trPr>
          <w:trHeight w:val="309"/>
          <w:jc w:val="center"/>
        </w:trPr>
        <w:tc>
          <w:tcPr>
            <w:tcW w:w="651" w:type="dxa"/>
            <w:tcBorders>
              <w:top w:val="nil"/>
              <w:left w:val="single" w:sz="4" w:space="0" w:color="000000" w:themeColor="text1"/>
              <w:bottom w:val="single" w:sz="4" w:space="0" w:color="000000" w:themeColor="text1"/>
              <w:right w:val="single" w:sz="4" w:space="0" w:color="000000" w:themeColor="text1"/>
            </w:tcBorders>
            <w:shd w:val="clear" w:color="auto" w:fill="C6EFCE"/>
            <w:vAlign w:val="center"/>
            <w:hideMark/>
          </w:tcPr>
          <w:p w14:paraId="47E3460B" w14:textId="0F57AC9E" w:rsidR="00025543" w:rsidRDefault="007E3A2F">
            <w:pPr>
              <w:pStyle w:val="P68B1DB1-Normal15"/>
              <w:spacing w:before="0" w:after="0" w:line="240" w:lineRule="auto"/>
              <w:jc w:val="center"/>
              <w:rPr>
                <w:noProof/>
              </w:rPr>
            </w:pPr>
            <w:r>
              <w:rPr>
                <w:noProof/>
              </w:rPr>
              <w:t>65</w:t>
            </w:r>
          </w:p>
        </w:tc>
        <w:tc>
          <w:tcPr>
            <w:tcW w:w="1617" w:type="dxa"/>
            <w:tcBorders>
              <w:top w:val="nil"/>
              <w:left w:val="nil"/>
              <w:bottom w:val="single" w:sz="4" w:space="0" w:color="000000" w:themeColor="text1"/>
              <w:right w:val="single" w:sz="4" w:space="0" w:color="000000" w:themeColor="text1"/>
            </w:tcBorders>
            <w:shd w:val="clear" w:color="auto" w:fill="C6EFCE"/>
            <w:vAlign w:val="center"/>
            <w:hideMark/>
          </w:tcPr>
          <w:p w14:paraId="7502F088" w14:textId="618D2106" w:rsidR="00025543" w:rsidRDefault="007E3A2F">
            <w:pPr>
              <w:pStyle w:val="P68B1DB1-Normal15"/>
              <w:spacing w:before="0" w:after="0" w:line="240" w:lineRule="auto"/>
              <w:rPr>
                <w:noProof/>
              </w:rPr>
            </w:pPr>
            <w:r>
              <w:rPr>
                <w:noProof/>
              </w:rPr>
              <w:t>Investissement 11: Bac à sable réglementaire numérique conforme aux priorités de l’UE</w:t>
            </w:r>
          </w:p>
        </w:tc>
        <w:tc>
          <w:tcPr>
            <w:tcW w:w="1134" w:type="dxa"/>
            <w:tcBorders>
              <w:top w:val="nil"/>
              <w:left w:val="nil"/>
              <w:bottom w:val="single" w:sz="4" w:space="0" w:color="000000" w:themeColor="text1"/>
              <w:right w:val="single" w:sz="4" w:space="0" w:color="000000" w:themeColor="text1"/>
            </w:tcBorders>
            <w:shd w:val="clear" w:color="auto" w:fill="C6EFCE"/>
            <w:vAlign w:val="center"/>
            <w:hideMark/>
          </w:tcPr>
          <w:p w14:paraId="0CD277C3" w14:textId="3D57DC7F" w:rsidR="00025543" w:rsidRDefault="007E3A2F">
            <w:pPr>
              <w:pStyle w:val="P68B1DB1-Normal15"/>
              <w:spacing w:before="0" w:after="0" w:line="240" w:lineRule="auto"/>
              <w:rPr>
                <w:noProof/>
              </w:rPr>
            </w:pPr>
            <w:r>
              <w:rPr>
                <w:noProof/>
              </w:rPr>
              <w:t>Cible</w:t>
            </w:r>
          </w:p>
        </w:tc>
        <w:tc>
          <w:tcPr>
            <w:tcW w:w="1538" w:type="dxa"/>
            <w:tcBorders>
              <w:top w:val="nil"/>
              <w:left w:val="nil"/>
              <w:bottom w:val="single" w:sz="4" w:space="0" w:color="000000" w:themeColor="text1"/>
              <w:right w:val="single" w:sz="4" w:space="0" w:color="000000" w:themeColor="text1"/>
            </w:tcBorders>
            <w:shd w:val="clear" w:color="auto" w:fill="C6EFCE"/>
            <w:vAlign w:val="center"/>
            <w:hideMark/>
          </w:tcPr>
          <w:p w14:paraId="01492C1D" w14:textId="05B08442" w:rsidR="00025543" w:rsidRDefault="007E3A2F">
            <w:pPr>
              <w:pStyle w:val="P68B1DB1-Normal15"/>
              <w:spacing w:before="0" w:after="0" w:line="240" w:lineRule="auto"/>
              <w:rPr>
                <w:noProof/>
              </w:rPr>
            </w:pPr>
            <w:r>
              <w:rPr>
                <w:noProof/>
              </w:rPr>
              <w:t>Participants du bac à sable soutenus par le bac à sable</w:t>
            </w:r>
          </w:p>
        </w:tc>
        <w:tc>
          <w:tcPr>
            <w:tcW w:w="1789" w:type="dxa"/>
            <w:tcBorders>
              <w:top w:val="nil"/>
              <w:left w:val="nil"/>
              <w:bottom w:val="single" w:sz="4" w:space="0" w:color="000000" w:themeColor="text1"/>
              <w:right w:val="single" w:sz="4" w:space="0" w:color="000000" w:themeColor="text1"/>
            </w:tcBorders>
            <w:shd w:val="clear" w:color="auto" w:fill="C6EFCE"/>
            <w:vAlign w:val="center"/>
            <w:hideMark/>
          </w:tcPr>
          <w:p w14:paraId="6F2E17D1" w14:textId="7F80277D" w:rsidR="00025543" w:rsidRDefault="00025543">
            <w:pPr>
              <w:spacing w:before="0" w:after="0" w:line="240" w:lineRule="auto"/>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5654B179" w14:textId="7CC88780" w:rsidR="00025543" w:rsidRDefault="007E3A2F">
            <w:pPr>
              <w:pStyle w:val="P68B1DB1-Normal15"/>
              <w:spacing w:before="0" w:after="0" w:line="240" w:lineRule="auto"/>
              <w:rPr>
                <w:noProof/>
              </w:rPr>
            </w:pPr>
            <w:r>
              <w:rPr>
                <w:noProof/>
              </w:rPr>
              <w:t>Numéro</w:t>
            </w: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0A2960C7" w14:textId="7A288760" w:rsidR="00025543" w:rsidRDefault="007E3A2F">
            <w:pPr>
              <w:pStyle w:val="P68B1DB1-Normal15"/>
              <w:spacing w:before="0" w:after="0" w:line="240" w:lineRule="auto"/>
              <w:jc w:val="center"/>
              <w:rPr>
                <w:noProof/>
              </w:rPr>
            </w:pPr>
            <w:r>
              <w:rPr>
                <w:noProof/>
              </w:rPr>
              <w:t>0</w:t>
            </w: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70726265" w14:textId="5FCE95B7" w:rsidR="00025543" w:rsidRDefault="007E3A2F">
            <w:pPr>
              <w:pStyle w:val="P68B1DB1-Normal15"/>
              <w:spacing w:before="0" w:after="0" w:line="240" w:lineRule="auto"/>
              <w:jc w:val="center"/>
              <w:rPr>
                <w:noProof/>
              </w:rPr>
            </w:pPr>
            <w:r>
              <w:rPr>
                <w:noProof/>
              </w:rPr>
              <w:t xml:space="preserve">20 </w:t>
            </w:r>
          </w:p>
        </w:tc>
        <w:tc>
          <w:tcPr>
            <w:tcW w:w="1021" w:type="dxa"/>
            <w:tcBorders>
              <w:top w:val="nil"/>
              <w:left w:val="nil"/>
              <w:bottom w:val="single" w:sz="4" w:space="0" w:color="000000" w:themeColor="text1"/>
              <w:right w:val="single" w:sz="4" w:space="0" w:color="000000" w:themeColor="text1"/>
            </w:tcBorders>
            <w:shd w:val="clear" w:color="auto" w:fill="C6EFCE"/>
            <w:vAlign w:val="center"/>
            <w:hideMark/>
          </w:tcPr>
          <w:p w14:paraId="6F35AE0E" w14:textId="13528119" w:rsidR="00025543" w:rsidRDefault="007E3A2F">
            <w:pPr>
              <w:pStyle w:val="P68B1DB1-Normal15"/>
              <w:spacing w:before="0" w:after="0" w:line="240" w:lineRule="auto"/>
              <w:jc w:val="center"/>
              <w:rPr>
                <w:noProof/>
              </w:rPr>
            </w:pPr>
            <w:r>
              <w:rPr>
                <w:noProof/>
              </w:rPr>
              <w:t>TRIMESTRE 2</w:t>
            </w:r>
          </w:p>
        </w:tc>
        <w:tc>
          <w:tcPr>
            <w:tcW w:w="655" w:type="dxa"/>
            <w:tcBorders>
              <w:top w:val="nil"/>
              <w:left w:val="nil"/>
              <w:bottom w:val="single" w:sz="4" w:space="0" w:color="000000" w:themeColor="text1"/>
              <w:right w:val="single" w:sz="4" w:space="0" w:color="000000" w:themeColor="text1"/>
            </w:tcBorders>
            <w:shd w:val="clear" w:color="auto" w:fill="C6EFCE"/>
            <w:vAlign w:val="center"/>
            <w:hideMark/>
          </w:tcPr>
          <w:p w14:paraId="7963488B" w14:textId="369B80A5" w:rsidR="00025543" w:rsidRDefault="007E3A2F">
            <w:pPr>
              <w:pStyle w:val="P68B1DB1-Normal15"/>
              <w:spacing w:before="0" w:after="0" w:line="240" w:lineRule="auto"/>
              <w:jc w:val="center"/>
              <w:rPr>
                <w:noProof/>
              </w:rPr>
            </w:pPr>
            <w:r>
              <w:rPr>
                <w:noProof/>
              </w:rPr>
              <w:t>2025</w:t>
            </w:r>
          </w:p>
        </w:tc>
        <w:tc>
          <w:tcPr>
            <w:tcW w:w="4104" w:type="dxa"/>
            <w:tcBorders>
              <w:top w:val="nil"/>
              <w:left w:val="nil"/>
              <w:bottom w:val="single" w:sz="4" w:space="0" w:color="000000" w:themeColor="text1"/>
              <w:right w:val="single" w:sz="4" w:space="0" w:color="000000" w:themeColor="text1"/>
            </w:tcBorders>
            <w:shd w:val="clear" w:color="auto" w:fill="C6EFCE"/>
            <w:vAlign w:val="center"/>
            <w:hideMark/>
          </w:tcPr>
          <w:p w14:paraId="70E2E744" w14:textId="3261B973" w:rsidR="00025543" w:rsidRDefault="007E3A2F">
            <w:pPr>
              <w:pStyle w:val="P68B1DB1-Normal15"/>
              <w:spacing w:before="0" w:after="0" w:line="240" w:lineRule="auto"/>
              <w:rPr>
                <w:noProof/>
              </w:rPr>
            </w:pPr>
            <w:r>
              <w:rPr>
                <w:noProof/>
              </w:rPr>
              <w:t xml:space="preserve">Nombre d’entreprises, dans des secteurs réglementés tels que la technologie financière, dont les projets et les produits ont été testés dans le cadre des bacs à sable réglementaires numériques. </w:t>
            </w:r>
          </w:p>
        </w:tc>
      </w:tr>
      <w:tr w:rsidR="00025543" w14:paraId="6BCDEE85" w14:textId="77777777">
        <w:trPr>
          <w:trHeight w:val="309"/>
          <w:jc w:val="center"/>
        </w:trPr>
        <w:tc>
          <w:tcPr>
            <w:tcW w:w="651" w:type="dxa"/>
            <w:tcBorders>
              <w:top w:val="nil"/>
              <w:left w:val="single" w:sz="4" w:space="0" w:color="000000" w:themeColor="text1"/>
              <w:bottom w:val="single" w:sz="4" w:space="0" w:color="000000" w:themeColor="text1"/>
              <w:right w:val="single" w:sz="4" w:space="0" w:color="000000" w:themeColor="text1"/>
            </w:tcBorders>
            <w:shd w:val="clear" w:color="auto" w:fill="C6EFCE"/>
            <w:vAlign w:val="center"/>
            <w:hideMark/>
          </w:tcPr>
          <w:p w14:paraId="6282AFA2" w14:textId="77777777" w:rsidR="00025543" w:rsidRDefault="007E3A2F">
            <w:pPr>
              <w:pStyle w:val="P68B1DB1-Normal15"/>
              <w:spacing w:before="0" w:after="0" w:line="240" w:lineRule="auto"/>
              <w:jc w:val="center"/>
              <w:rPr>
                <w:noProof/>
              </w:rPr>
            </w:pPr>
            <w:r>
              <w:rPr>
                <w:noProof/>
              </w:rPr>
              <w:t>66</w:t>
            </w:r>
          </w:p>
        </w:tc>
        <w:tc>
          <w:tcPr>
            <w:tcW w:w="1617" w:type="dxa"/>
            <w:tcBorders>
              <w:top w:val="nil"/>
              <w:left w:val="nil"/>
              <w:bottom w:val="single" w:sz="4" w:space="0" w:color="000000" w:themeColor="text1"/>
              <w:right w:val="single" w:sz="4" w:space="0" w:color="000000" w:themeColor="text1"/>
            </w:tcBorders>
            <w:shd w:val="clear" w:color="auto" w:fill="C6EFCE"/>
            <w:vAlign w:val="center"/>
            <w:hideMark/>
          </w:tcPr>
          <w:p w14:paraId="4A98B2DE" w14:textId="77777777" w:rsidR="00025543" w:rsidRDefault="007E3A2F">
            <w:pPr>
              <w:pStyle w:val="P68B1DB1-Normal15"/>
              <w:spacing w:before="0" w:after="0" w:line="240" w:lineRule="auto"/>
              <w:rPr>
                <w:noProof/>
              </w:rPr>
            </w:pPr>
            <w:r>
              <w:rPr>
                <w:noProof/>
              </w:rPr>
              <w:t>Investissement 12: Mise en place d’une infrastructure de communication quantique</w:t>
            </w:r>
          </w:p>
        </w:tc>
        <w:tc>
          <w:tcPr>
            <w:tcW w:w="1134" w:type="dxa"/>
            <w:tcBorders>
              <w:top w:val="nil"/>
              <w:left w:val="nil"/>
              <w:bottom w:val="single" w:sz="4" w:space="0" w:color="000000" w:themeColor="text1"/>
              <w:right w:val="single" w:sz="4" w:space="0" w:color="000000" w:themeColor="text1"/>
            </w:tcBorders>
            <w:shd w:val="clear" w:color="auto" w:fill="C6EFCE"/>
            <w:vAlign w:val="center"/>
            <w:hideMark/>
          </w:tcPr>
          <w:p w14:paraId="5F12C065" w14:textId="77777777" w:rsidR="00025543" w:rsidRDefault="007E3A2F">
            <w:pPr>
              <w:pStyle w:val="P68B1DB1-Normal15"/>
              <w:spacing w:before="0" w:after="0" w:line="240" w:lineRule="auto"/>
              <w:rPr>
                <w:noProof/>
              </w:rPr>
            </w:pPr>
            <w:r>
              <w:rPr>
                <w:noProof/>
              </w:rPr>
              <w:t>Étapes</w:t>
            </w:r>
          </w:p>
        </w:tc>
        <w:tc>
          <w:tcPr>
            <w:tcW w:w="1538" w:type="dxa"/>
            <w:tcBorders>
              <w:top w:val="nil"/>
              <w:left w:val="nil"/>
              <w:bottom w:val="single" w:sz="4" w:space="0" w:color="000000" w:themeColor="text1"/>
              <w:right w:val="single" w:sz="4" w:space="0" w:color="000000" w:themeColor="text1"/>
            </w:tcBorders>
            <w:shd w:val="clear" w:color="auto" w:fill="C6EFCE"/>
            <w:vAlign w:val="center"/>
            <w:hideMark/>
          </w:tcPr>
          <w:p w14:paraId="6D6BC30C" w14:textId="77777777" w:rsidR="00025543" w:rsidRDefault="007E3A2F">
            <w:pPr>
              <w:pStyle w:val="P68B1DB1-Normal15"/>
              <w:spacing w:before="0" w:after="0" w:line="240" w:lineRule="auto"/>
              <w:rPr>
                <w:noProof/>
              </w:rPr>
            </w:pPr>
            <w:r>
              <w:rPr>
                <w:noProof/>
              </w:rPr>
              <w:t>Achèvement de la phase de construction et d’exploitation pilote d’un réseau quantique optique</w:t>
            </w:r>
          </w:p>
        </w:tc>
        <w:tc>
          <w:tcPr>
            <w:tcW w:w="1789" w:type="dxa"/>
            <w:tcBorders>
              <w:top w:val="nil"/>
              <w:left w:val="nil"/>
              <w:bottom w:val="single" w:sz="4" w:space="0" w:color="000000" w:themeColor="text1"/>
              <w:right w:val="single" w:sz="4" w:space="0" w:color="000000" w:themeColor="text1"/>
            </w:tcBorders>
            <w:shd w:val="clear" w:color="auto" w:fill="C6EFCE"/>
            <w:vAlign w:val="center"/>
          </w:tcPr>
          <w:p w14:paraId="5A2693D3" w14:textId="77777777" w:rsidR="00025543" w:rsidRDefault="007E3A2F">
            <w:pPr>
              <w:pStyle w:val="P68B1DB1-Normal16"/>
              <w:spacing w:before="0" w:after="0" w:line="240" w:lineRule="auto"/>
              <w:rPr>
                <w:noProof/>
              </w:rPr>
            </w:pPr>
            <w:r>
              <w:rPr>
                <w:rFonts w:eastAsia="Times New Roman"/>
                <w:noProof/>
              </w:rPr>
              <w:t xml:space="preserve">L’infrastructure est opérationnelle et les essais ont été documentés et approuvés par les autorités compétentes (ministère de l’industrie et du commerce, ministère de la défense, Bureau national de </w:t>
            </w:r>
            <w:r>
              <w:rPr>
                <w:noProof/>
              </w:rPr>
              <w:t>la cybersécurité et de la sécurité de l’information (NÚKIB)).</w:t>
            </w: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1501F838" w14:textId="77777777" w:rsidR="00025543" w:rsidRDefault="00025543">
            <w:pPr>
              <w:spacing w:before="0" w:after="0" w:line="240" w:lineRule="auto"/>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079C4BC6" w14:textId="77777777" w:rsidR="00025543" w:rsidRDefault="00025543">
            <w:pPr>
              <w:spacing w:before="0" w:after="0" w:line="240" w:lineRule="auto"/>
              <w:jc w:val="center"/>
              <w:rPr>
                <w:rFonts w:eastAsia="Times New Roman"/>
                <w:noProof/>
                <w:color w:val="004300"/>
                <w:sz w:val="18"/>
              </w:rPr>
            </w:pPr>
          </w:p>
        </w:tc>
        <w:tc>
          <w:tcPr>
            <w:tcW w:w="1034" w:type="dxa"/>
            <w:tcBorders>
              <w:top w:val="nil"/>
              <w:left w:val="nil"/>
              <w:bottom w:val="single" w:sz="4" w:space="0" w:color="000000" w:themeColor="text1"/>
              <w:right w:val="single" w:sz="4" w:space="0" w:color="000000" w:themeColor="text1"/>
            </w:tcBorders>
            <w:shd w:val="clear" w:color="auto" w:fill="C6EFCE"/>
            <w:vAlign w:val="center"/>
            <w:hideMark/>
          </w:tcPr>
          <w:p w14:paraId="12138CBA" w14:textId="77777777" w:rsidR="00025543" w:rsidRDefault="00025543">
            <w:pPr>
              <w:spacing w:before="0" w:after="0" w:line="240" w:lineRule="auto"/>
              <w:jc w:val="center"/>
              <w:rPr>
                <w:rFonts w:eastAsia="Times New Roman"/>
                <w:noProof/>
                <w:color w:val="004300"/>
                <w:sz w:val="18"/>
              </w:rPr>
            </w:pPr>
          </w:p>
        </w:tc>
        <w:tc>
          <w:tcPr>
            <w:tcW w:w="1021" w:type="dxa"/>
            <w:tcBorders>
              <w:top w:val="nil"/>
              <w:left w:val="nil"/>
              <w:bottom w:val="single" w:sz="4" w:space="0" w:color="000000" w:themeColor="text1"/>
              <w:right w:val="single" w:sz="4" w:space="0" w:color="000000" w:themeColor="text1"/>
            </w:tcBorders>
            <w:shd w:val="clear" w:color="auto" w:fill="C6EFCE"/>
            <w:vAlign w:val="center"/>
            <w:hideMark/>
          </w:tcPr>
          <w:p w14:paraId="130A6BFA" w14:textId="77777777" w:rsidR="00025543" w:rsidRDefault="007E3A2F">
            <w:pPr>
              <w:pStyle w:val="P68B1DB1-Normal15"/>
              <w:spacing w:before="0" w:after="0" w:line="240" w:lineRule="auto"/>
              <w:jc w:val="center"/>
              <w:rPr>
                <w:noProof/>
              </w:rPr>
            </w:pPr>
            <w:r>
              <w:rPr>
                <w:noProof/>
              </w:rPr>
              <w:t>TRIMESTRE 4</w:t>
            </w:r>
          </w:p>
        </w:tc>
        <w:tc>
          <w:tcPr>
            <w:tcW w:w="655" w:type="dxa"/>
            <w:tcBorders>
              <w:top w:val="nil"/>
              <w:left w:val="nil"/>
              <w:bottom w:val="single" w:sz="4" w:space="0" w:color="000000" w:themeColor="text1"/>
              <w:right w:val="single" w:sz="4" w:space="0" w:color="000000" w:themeColor="text1"/>
            </w:tcBorders>
            <w:shd w:val="clear" w:color="auto" w:fill="C6EFCE"/>
            <w:vAlign w:val="center"/>
            <w:hideMark/>
          </w:tcPr>
          <w:p w14:paraId="11DD1656" w14:textId="77777777" w:rsidR="00025543" w:rsidRDefault="007E3A2F">
            <w:pPr>
              <w:pStyle w:val="P68B1DB1-Normal15"/>
              <w:spacing w:before="0" w:after="0" w:line="240" w:lineRule="auto"/>
              <w:jc w:val="center"/>
              <w:rPr>
                <w:noProof/>
              </w:rPr>
            </w:pPr>
            <w:r>
              <w:rPr>
                <w:noProof/>
              </w:rPr>
              <w:t>2025</w:t>
            </w:r>
          </w:p>
        </w:tc>
        <w:tc>
          <w:tcPr>
            <w:tcW w:w="4104" w:type="dxa"/>
            <w:tcBorders>
              <w:top w:val="nil"/>
              <w:left w:val="nil"/>
              <w:bottom w:val="single" w:sz="4" w:space="0" w:color="000000" w:themeColor="text1"/>
              <w:right w:val="single" w:sz="4" w:space="0" w:color="000000" w:themeColor="text1"/>
            </w:tcBorders>
            <w:shd w:val="clear" w:color="auto" w:fill="C6EFCE"/>
            <w:vAlign w:val="center"/>
          </w:tcPr>
          <w:p w14:paraId="69AEA3C7" w14:textId="77777777" w:rsidR="00025543" w:rsidRDefault="007E3A2F">
            <w:pPr>
              <w:pStyle w:val="P68B1DB1-Normal15"/>
              <w:spacing w:before="0" w:after="0" w:line="240" w:lineRule="auto"/>
              <w:rPr>
                <w:noProof/>
              </w:rPr>
            </w:pPr>
            <w:r>
              <w:rPr>
                <w:noProof/>
              </w:rPr>
              <w:t>Le jalon comprend: la création de connexions optiques entre Prague, Brno et Ostrava, d’une longueur optique totale de 400 km, 6 segments de distribution de clés quantiques (QKD); mise en œuvre de deux branches métropolitaines secondaires basées sur des équipements commerciaux QKD et de deux branches métropolitaines secondaires basées sur une boîte à outils expérimentale pour la DKK; achat et planification de succursales secondaires mobiles; tester l’intégration des technologies de télécommunications existantes en matière de communications quantiques; et l’expérimentation de 3 cas d’utilisation spécifiques aux zones militaires.</w:t>
            </w:r>
          </w:p>
        </w:tc>
      </w:tr>
    </w:tbl>
    <w:p w14:paraId="178C32FD" w14:textId="77777777" w:rsidR="00025543" w:rsidRDefault="00025543">
      <w:pPr>
        <w:keepNext/>
        <w:tabs>
          <w:tab w:val="left" w:pos="850"/>
        </w:tabs>
        <w:spacing w:before="360" w:line="240" w:lineRule="auto"/>
        <w:jc w:val="both"/>
        <w:outlineLvl w:val="0"/>
        <w:rPr>
          <w:b/>
          <w:smallCaps/>
          <w:noProof/>
        </w:rPr>
        <w:sectPr w:rsidR="00025543" w:rsidSect="001932DE">
          <w:headerReference w:type="even" r:id="rId84"/>
          <w:headerReference w:type="default" r:id="rId85"/>
          <w:footerReference w:type="even" r:id="rId86"/>
          <w:footerReference w:type="default" r:id="rId87"/>
          <w:headerReference w:type="first" r:id="rId88"/>
          <w:footerReference w:type="first" r:id="rId89"/>
          <w:pgSz w:w="16838" w:h="11906" w:orient="landscape" w:code="9"/>
          <w:pgMar w:top="1134" w:right="1134" w:bottom="1134" w:left="1134" w:header="567" w:footer="567" w:gutter="0"/>
          <w:cols w:space="720"/>
          <w:docGrid w:linePitch="360"/>
        </w:sectPr>
      </w:pPr>
    </w:p>
    <w:p w14:paraId="27D63FE3" w14:textId="0E58FD59" w:rsidR="00025543" w:rsidRDefault="007E3A2F">
      <w:pPr>
        <w:pStyle w:val="P68B1DB1-Normal5"/>
        <w:spacing w:line="240" w:lineRule="auto"/>
        <w:jc w:val="both"/>
        <w:rPr>
          <w:noProof/>
        </w:rPr>
      </w:pPr>
      <w:r>
        <w:rPr>
          <w:noProof/>
        </w:rPr>
        <w:t xml:space="preserve">D.3. Description des réformes et des investissements en vue du prêt </w:t>
      </w:r>
    </w:p>
    <w:p w14:paraId="615DBEAE" w14:textId="47FB780F" w:rsidR="00025543" w:rsidRDefault="007E3A2F">
      <w:pPr>
        <w:pStyle w:val="P68B1DB1-Normal7"/>
        <w:spacing w:line="240" w:lineRule="auto"/>
        <w:jc w:val="both"/>
        <w:rPr>
          <w:noProof/>
        </w:rPr>
      </w:pPr>
      <w:r>
        <w:rPr>
          <w:noProof/>
        </w:rPr>
        <w:t>Investissement 13 — Fonds pour le développement de technologies stratégiques</w:t>
      </w:r>
    </w:p>
    <w:p w14:paraId="73E2A1FE" w14:textId="7F2C2273" w:rsidR="00025543" w:rsidRDefault="007E3A2F">
      <w:pPr>
        <w:spacing w:line="240" w:lineRule="auto"/>
        <w:jc w:val="both"/>
        <w:rPr>
          <w:noProof/>
        </w:rPr>
      </w:pPr>
      <w:r>
        <w:rPr>
          <w:noProof/>
        </w:rPr>
        <w:t xml:space="preserve">Cette mesure consiste en un </w:t>
      </w:r>
      <w:r>
        <w:rPr>
          <w:rFonts w:eastAsia="@MS Mincho"/>
          <w:noProof/>
        </w:rPr>
        <w:t>investissement public</w:t>
      </w:r>
      <w:r>
        <w:rPr>
          <w:noProof/>
        </w:rPr>
        <w:t xml:space="preserve"> dans une facilité </w:t>
      </w:r>
      <w:r>
        <w:rPr>
          <w:rFonts w:eastAsia="@MS Mincho"/>
          <w:noProof/>
        </w:rPr>
        <w:t>afin d’encourager l’investissement privé et d’améliorer l’accès au financement dans</w:t>
      </w:r>
      <w:r>
        <w:rPr>
          <w:noProof/>
        </w:rPr>
        <w:t xml:space="preserve"> le secteur des technologies stratégiques de la Tchéquie afin de développer les marchés des capitaux dans ce domaine. La facilité fonctionne en fournissant un financement au secteur privé par l’intermédiaire d’intermédiaires. Sur la base des investissements au titre de la FRR, la facilité vise, dans un premier temps, à fournir un financement d’au moins 80 000 000 EUR.</w:t>
      </w:r>
    </w:p>
    <w:p w14:paraId="586D8276" w14:textId="40349E8C" w:rsidR="00025543" w:rsidRDefault="007E3A2F">
      <w:pPr>
        <w:spacing w:line="240" w:lineRule="auto"/>
        <w:jc w:val="both"/>
        <w:rPr>
          <w:noProof/>
        </w:rPr>
      </w:pPr>
      <w:r>
        <w:rPr>
          <w:noProof/>
        </w:rPr>
        <w:t>La facilité est gérée par le Fonds européen d’investissement (FEI) en tant que partenaire chargé de la mise en œuvre. La facilité comprend la ligne de produits suivante:</w:t>
      </w:r>
    </w:p>
    <w:p w14:paraId="15944154" w14:textId="1F0260A9" w:rsidR="00025543" w:rsidRDefault="007E3A2F">
      <w:pPr>
        <w:pStyle w:val="P68B1DB1-ListParagraph23"/>
        <w:numPr>
          <w:ilvl w:val="0"/>
          <w:numId w:val="350"/>
        </w:numPr>
        <w:spacing w:line="240" w:lineRule="auto"/>
        <w:jc w:val="both"/>
        <w:rPr>
          <w:noProof/>
        </w:rPr>
      </w:pPr>
      <w:r>
        <w:rPr>
          <w:noProof/>
        </w:rPr>
        <w:t>Financement par des fonds investissant dans des entreprises actives dans divers domaines considérés comme revêtant une importance stratégique pour la Tchéquie, en plus des technologies numériques prévues dans le cadre de l’investissement 9. Il peut s’agir, entre autres, de secteurs tels que l’énergie, la durabilité, les technologies propres, les technologies industrielles telles que la robotique, l’automatisation ou les matériaux avancés, les semi-conducteurs, les sciences de la vie, les biotechnologies et les technologies spatiales ou à double usage.</w:t>
      </w:r>
    </w:p>
    <w:p w14:paraId="1E6F7C84" w14:textId="77777777" w:rsidR="00025543" w:rsidRDefault="007E3A2F">
      <w:pPr>
        <w:spacing w:line="240" w:lineRule="auto"/>
        <w:jc w:val="both"/>
        <w:rPr>
          <w:noProof/>
        </w:rPr>
      </w:pPr>
      <w:r>
        <w:rPr>
          <w:noProof/>
        </w:rPr>
        <w:t>Afin de mettre en œuvre l’investissement dans la facilité, la Tchéquie et le FEI signent un accord de mise en œuvre qui comporte le contenu suivant:</w:t>
      </w:r>
    </w:p>
    <w:p w14:paraId="36089152" w14:textId="77777777" w:rsidR="00025543" w:rsidRDefault="007E3A2F">
      <w:pPr>
        <w:pStyle w:val="LegalNumPar"/>
        <w:numPr>
          <w:ilvl w:val="0"/>
          <w:numId w:val="369"/>
        </w:numPr>
        <w:jc w:val="both"/>
        <w:rPr>
          <w:rFonts w:ascii="Times New Roman" w:eastAsia="Times New Roman" w:hAnsi="Times New Roman" w:cs="Times New Roman"/>
          <w:noProof/>
          <w:sz w:val="24"/>
        </w:rPr>
      </w:pPr>
      <w:r>
        <w:rPr>
          <w:rFonts w:ascii="Times New Roman" w:hAnsi="Times New Roman" w:cs="Times New Roman"/>
          <w:noProof/>
          <w:sz w:val="24"/>
        </w:rPr>
        <w:t>Description du processus décisionnel de la facilité: La décision finale d’investissement de la facilité est prise par un comité d’investissement ou un autre organe de direction équivalent pertinent et approuvée à la majorité des voix de membres indépendants du gouvernement</w:t>
      </w:r>
      <w:r>
        <w:rPr>
          <w:rFonts w:cs="Times New Roman"/>
          <w:noProof/>
        </w:rPr>
        <w:t>.</w:t>
      </w:r>
    </w:p>
    <w:p w14:paraId="01BBC791" w14:textId="77777777" w:rsidR="00025543" w:rsidRDefault="007E3A2F">
      <w:pPr>
        <w:pStyle w:val="P68B1DB1-LegalNumPar24"/>
        <w:numPr>
          <w:ilvl w:val="0"/>
          <w:numId w:val="369"/>
        </w:numPr>
        <w:jc w:val="both"/>
        <w:rPr>
          <w:noProof/>
        </w:rPr>
      </w:pPr>
      <w:r>
        <w:rPr>
          <w:noProof/>
        </w:rPr>
        <w:t>Les principales exigences de la politique d’investissement associée,</w:t>
      </w:r>
      <w:r>
        <w:rPr>
          <w:b/>
          <w:noProof/>
        </w:rPr>
        <w:t xml:space="preserve"> </w:t>
      </w:r>
      <w:r>
        <w:rPr>
          <w:noProof/>
        </w:rPr>
        <w:t>qui comprennent:</w:t>
      </w:r>
    </w:p>
    <w:p w14:paraId="1BE3B1D0" w14:textId="723ACEE0" w:rsidR="00025543" w:rsidRDefault="007E3A2F">
      <w:pPr>
        <w:pStyle w:val="LegalNumPar2"/>
        <w:numPr>
          <w:ilvl w:val="0"/>
          <w:numId w:val="370"/>
        </w:numPr>
        <w:jc w:val="both"/>
        <w:rPr>
          <w:rFonts w:ascii="Times New Roman" w:hAnsi="Times New Roman" w:cs="Times New Roman"/>
          <w:noProof/>
          <w:sz w:val="24"/>
        </w:rPr>
      </w:pPr>
      <w:r>
        <w:rPr>
          <w:rFonts w:ascii="Times New Roman" w:hAnsi="Times New Roman" w:cs="Times New Roman"/>
          <w:noProof/>
          <w:sz w:val="24"/>
        </w:rPr>
        <w:t>La description du produit financier et des bénéficiaires finaux éligibles</w:t>
      </w:r>
      <w:r w:rsidRPr="007E3A2F">
        <w:rPr>
          <w:rStyle w:val="FootnoteReference"/>
          <w:rFonts w:cs="Times New Roman"/>
          <w:noProof/>
        </w:rPr>
        <w:footnoteReference w:id="8"/>
      </w:r>
      <w:r>
        <w:rPr>
          <w:rFonts w:ascii="Times New Roman" w:hAnsi="Times New Roman" w:cs="Times New Roman"/>
          <w:noProof/>
          <w:sz w:val="24"/>
        </w:rPr>
        <w:t>.</w:t>
      </w:r>
    </w:p>
    <w:p w14:paraId="09292B85" w14:textId="77777777" w:rsidR="00025543" w:rsidRDefault="007E3A2F">
      <w:pPr>
        <w:pStyle w:val="P68B1DB1-LegalNumPar225"/>
        <w:numPr>
          <w:ilvl w:val="0"/>
          <w:numId w:val="370"/>
        </w:numPr>
        <w:jc w:val="both"/>
        <w:rPr>
          <w:noProof/>
        </w:rPr>
      </w:pPr>
      <w:r>
        <w:rPr>
          <w:noProof/>
        </w:rPr>
        <w:t>L’exigence selon laquelle tous les investissements soutenus sont économiquement viables.</w:t>
      </w:r>
    </w:p>
    <w:p w14:paraId="0B774537" w14:textId="7834D243" w:rsidR="00025543" w:rsidRDefault="007E3A2F">
      <w:pPr>
        <w:pStyle w:val="P68B1DB1-LegalNumPar225"/>
        <w:numPr>
          <w:ilvl w:val="0"/>
          <w:numId w:val="370"/>
        </w:numPr>
        <w:jc w:val="both"/>
        <w:rPr>
          <w:noProof/>
        </w:rPr>
      </w:pPr>
      <w:r>
        <w:rPr>
          <w:noProof/>
        </w:rPr>
        <w:t>L’obligation de respecter le principe consistant à «ne pas causer de préjudice important» (DNSH) énoncé dans les orientations techniques DNSH (2021/C58/01). En particulier, dans le cas d’un soutien général aux entreprises, la politique d’investissement exclut les entreprises qui mettent fortement</w:t>
      </w:r>
      <w:r w:rsidRPr="007E3A2F">
        <w:rPr>
          <w:noProof/>
          <w:vertAlign w:val="superscript"/>
        </w:rPr>
        <w:footnoteReference w:id="9"/>
      </w:r>
      <w:r>
        <w:rPr>
          <w:noProof/>
        </w:rPr>
        <w:t xml:space="preserve"> l’accent sur les secteurs suivants: I) production d’énergie à partir de combustibles fossiles et activités connexes</w:t>
      </w:r>
      <w:r w:rsidRPr="007E3A2F">
        <w:rPr>
          <w:noProof/>
          <w:vertAlign w:val="superscript"/>
        </w:rPr>
        <w:footnoteReference w:id="10"/>
      </w:r>
      <w:r>
        <w:rPr>
          <w:noProof/>
        </w:rPr>
        <w:t>; II) les industries à forte intensité énergétique et/ou à forte émission de CO2</w:t>
      </w:r>
      <w:r w:rsidRPr="007E3A2F">
        <w:rPr>
          <w:noProof/>
          <w:vertAlign w:val="superscript"/>
        </w:rPr>
        <w:footnoteReference w:id="11"/>
      </w:r>
      <w:r>
        <w:rPr>
          <w:noProof/>
        </w:rPr>
        <w:t>; III) la production, la location ou la vente de véhicules polluants</w:t>
      </w:r>
      <w:r w:rsidRPr="007E3A2F">
        <w:rPr>
          <w:noProof/>
          <w:vertAlign w:val="superscript"/>
        </w:rPr>
        <w:footnoteReference w:id="12"/>
      </w:r>
      <w:r>
        <w:rPr>
          <w:noProof/>
        </w:rPr>
        <w:t>; IV) la collecte, le traitement et l’élimination des déchets</w:t>
      </w:r>
      <w:r w:rsidRPr="007E3A2F">
        <w:rPr>
          <w:noProof/>
          <w:vertAlign w:val="superscript"/>
        </w:rPr>
        <w:footnoteReference w:id="13"/>
      </w:r>
      <w:r>
        <w:rPr>
          <w:noProof/>
        </w:rPr>
        <w:t>, v) le traitement du combustible nucléaire, la production d’énergie nucléaire. En outre, la politique d’investissement exige le</w:t>
      </w:r>
      <w:r>
        <w:rPr>
          <w:b/>
          <w:noProof/>
        </w:rPr>
        <w:t xml:space="preserve"> </w:t>
      </w:r>
      <w:r>
        <w:rPr>
          <w:noProof/>
        </w:rPr>
        <w:t>respect de la législation environnementale de l’Union et nationale applicable des bénéficiaires finaux de la facilité.</w:t>
      </w:r>
    </w:p>
    <w:p w14:paraId="79A715C9" w14:textId="77777777" w:rsidR="00025543" w:rsidRDefault="007E3A2F">
      <w:pPr>
        <w:pStyle w:val="P68B1DB1-LegalNumPar225"/>
        <w:numPr>
          <w:ilvl w:val="0"/>
          <w:numId w:val="370"/>
        </w:numPr>
        <w:jc w:val="both"/>
        <w:rPr>
          <w:noProof/>
        </w:rPr>
      </w:pPr>
      <w:r>
        <w:rPr>
          <w:noProof/>
        </w:rPr>
        <w:t>L’exigence selon laquelle les bénéficiaires finaux de la facilité ne reçoivent pas le soutien d’autres instruments de l’Union pour couvrir le même coût.</w:t>
      </w:r>
    </w:p>
    <w:p w14:paraId="19FBB2D0" w14:textId="77777777" w:rsidR="00025543" w:rsidRDefault="007E3A2F">
      <w:pPr>
        <w:pStyle w:val="P68B1DB1-LegalNumPar24"/>
        <w:numPr>
          <w:ilvl w:val="0"/>
          <w:numId w:val="369"/>
        </w:numPr>
        <w:jc w:val="both"/>
        <w:rPr>
          <w:noProof/>
        </w:rPr>
      </w:pPr>
      <w:r>
        <w:rPr>
          <w:noProof/>
        </w:rPr>
        <w:t>Le montant couvert par l’accord de mise en œuvre, la structure des redevances pour le partenaire chargé de la mise en œuvre et l’obligation de réinvestir tout remboursement conformément à la politique d’investissement de la facilité.</w:t>
      </w:r>
    </w:p>
    <w:p w14:paraId="68079387" w14:textId="77777777" w:rsidR="00025543" w:rsidRDefault="007E3A2F">
      <w:pPr>
        <w:pStyle w:val="P68B1DB1-LegalNumPar24"/>
        <w:numPr>
          <w:ilvl w:val="0"/>
          <w:numId w:val="369"/>
        </w:numPr>
        <w:jc w:val="both"/>
        <w:rPr>
          <w:noProof/>
        </w:rPr>
      </w:pPr>
      <w:r>
        <w:rPr>
          <w:noProof/>
        </w:rPr>
        <w:t>Exigences en matière de suivi, d’audit et de contrôle, y compris:</w:t>
      </w:r>
    </w:p>
    <w:p w14:paraId="05B38434" w14:textId="77777777" w:rsidR="00025543" w:rsidRDefault="007E3A2F">
      <w:pPr>
        <w:pStyle w:val="P68B1DB1-LegalNumPar225"/>
        <w:numPr>
          <w:ilvl w:val="0"/>
          <w:numId w:val="371"/>
        </w:numPr>
        <w:ind w:left="1560"/>
        <w:jc w:val="both"/>
        <w:rPr>
          <w:noProof/>
        </w:rPr>
      </w:pPr>
      <w:r>
        <w:rPr>
          <w:noProof/>
        </w:rPr>
        <w:t>L’obligation de vérifier l’éligibilité de chaque opération conformément aux exigences énoncées dans l’accord de mise en œuvre avant de s’engager à financer une opération.</w:t>
      </w:r>
    </w:p>
    <w:p w14:paraId="52E3706B" w14:textId="51B12903" w:rsidR="00025543" w:rsidRDefault="007E3A2F">
      <w:pPr>
        <w:pStyle w:val="P68B1DB1-LegalNumPar225"/>
        <w:numPr>
          <w:ilvl w:val="0"/>
          <w:numId w:val="371"/>
        </w:numPr>
        <w:ind w:left="1560"/>
        <w:jc w:val="both"/>
        <w:rPr>
          <w:noProof/>
        </w:rPr>
      </w:pPr>
      <w:r>
        <w:rPr>
          <w:noProof/>
        </w:rPr>
        <w:t>L’obligation de réaliser des audits ex post fondés sur les risques conformément à un plan d’audit du FEI. Ces audits vérifient i) l’efficacité des systèmes de contrôle, y compris la détection de la fraude, de la corruption et des conflits d’intérêts; le respect du principe consistant à «ne pas causer de préjudice important» et des règles en matière d’aides d’État; et iii) que l’exigence selon laquelle les bénéficiaires finaux de la facilité n’ont pas reçu le soutien d’autres instruments de l’Union pour couvrir les mêmes coûts est respectée. Les audits vérifient également la légalité des transactions et le respect des conditions de l’accord de mise en œuvre et des accords de financement applicables.</w:t>
      </w:r>
    </w:p>
    <w:p w14:paraId="7A5C952E" w14:textId="77777777" w:rsidR="00025543" w:rsidRDefault="007E3A2F">
      <w:pPr>
        <w:pStyle w:val="P68B1DB1-LegalNumPar225"/>
        <w:numPr>
          <w:ilvl w:val="0"/>
          <w:numId w:val="371"/>
        </w:numPr>
        <w:ind w:left="1560"/>
        <w:jc w:val="both"/>
        <w:rPr>
          <w:noProof/>
        </w:rPr>
      </w:pPr>
      <w:r>
        <w:rPr>
          <w:noProof/>
        </w:rPr>
        <w:t>L’obligation pour le FEI de fournir au ministère tchèque des finances un rapport d’audit annuel établi par leurs auditeurs externes.</w:t>
      </w:r>
    </w:p>
    <w:p w14:paraId="4CD3FD85" w14:textId="77777777" w:rsidR="00025543" w:rsidRDefault="007E3A2F">
      <w:pPr>
        <w:pStyle w:val="P68B1DB1-LegalNumPar24"/>
        <w:pageBreakBefore/>
        <w:numPr>
          <w:ilvl w:val="0"/>
          <w:numId w:val="369"/>
        </w:numPr>
        <w:ind w:left="714" w:hanging="357"/>
        <w:jc w:val="both"/>
        <w:rPr>
          <w:noProof/>
        </w:rPr>
      </w:pPr>
      <w:r>
        <w:rPr>
          <w:b/>
          <w:noProof/>
        </w:rPr>
        <w:t>Exigences relatives à la sélection des intermédiaires financiers</w:t>
      </w:r>
      <w:r>
        <w:rPr>
          <w:noProof/>
        </w:rPr>
        <w:t xml:space="preserve">: Le FEI sélectionne les intermédiaires financiers de manière ouverte, transparente et non discriminatoire. Les contrôles de l’absence de conflit d’intérêts sur les intermédiaires financiers ont lieu et sont effectués ex ante pour tous les acteurs financiers concernés. </w:t>
      </w:r>
    </w:p>
    <w:p w14:paraId="7BB1C23C" w14:textId="3E2CF1B7" w:rsidR="00025543" w:rsidRDefault="007E3A2F">
      <w:pPr>
        <w:pStyle w:val="P68B1DB1-LegalNumPar24"/>
        <w:numPr>
          <w:ilvl w:val="0"/>
          <w:numId w:val="369"/>
        </w:numPr>
        <w:jc w:val="both"/>
        <w:rPr>
          <w:noProof/>
        </w:rPr>
      </w:pPr>
      <w:r>
        <w:rPr>
          <w:b/>
          <w:noProof/>
        </w:rPr>
        <w:t>Obligation de signer des accords de financement</w:t>
      </w:r>
      <w:r>
        <w:rPr>
          <w:noProof/>
        </w:rPr>
        <w:t>: Le FEI signe des accords de financement avec les intermédiaires financiers conformément aux exigences clés prévues dans l’accord de mise en œuvre. Les exigences clés de l’accord de financement comprennent toutes les exigences au titre desquelles la facilité fonctionne, notamment:</w:t>
      </w:r>
    </w:p>
    <w:p w14:paraId="6D757FB7" w14:textId="77777777" w:rsidR="00025543" w:rsidRDefault="007E3A2F">
      <w:pPr>
        <w:pStyle w:val="P68B1DB1-LegalNumPar225"/>
        <w:numPr>
          <w:ilvl w:val="0"/>
          <w:numId w:val="372"/>
        </w:numPr>
        <w:jc w:val="both"/>
        <w:rPr>
          <w:noProof/>
        </w:rPr>
      </w:pPr>
      <w:r>
        <w:rPr>
          <w:noProof/>
        </w:rPr>
        <w:t xml:space="preserve">L’obligation pour l’intermédiaire financier de prendre ses décisions conformément </w:t>
      </w:r>
      <w:r>
        <w:rPr>
          <w:i/>
          <w:noProof/>
        </w:rPr>
        <w:t>mutatis mutandis</w:t>
      </w:r>
      <w:r>
        <w:rPr>
          <w:noProof/>
        </w:rPr>
        <w:t xml:space="preserve"> aux exigences en matière de prise de décision et de politique d’investissement précisées ci-dessus, y compris en ce qui concerne le respect du principe consistant à «ne pas causer de préjudice important».</w:t>
      </w:r>
    </w:p>
    <w:p w14:paraId="4FB17C80" w14:textId="77777777" w:rsidR="00025543" w:rsidRDefault="007E3A2F">
      <w:pPr>
        <w:pStyle w:val="P68B1DB1-LegalNumPar225"/>
        <w:numPr>
          <w:ilvl w:val="0"/>
          <w:numId w:val="372"/>
        </w:numPr>
        <w:jc w:val="both"/>
        <w:rPr>
          <w:noProof/>
        </w:rPr>
      </w:pPr>
      <w:r>
        <w:rPr>
          <w:noProof/>
        </w:rPr>
        <w:t xml:space="preserve">La description du cadre de suivi, d’audit et de contrôle mis en place par l’intermédiaire financier, qui est soumis </w:t>
      </w:r>
      <w:r>
        <w:rPr>
          <w:i/>
          <w:noProof/>
        </w:rPr>
        <w:t>mutatis mutandis</w:t>
      </w:r>
      <w:r>
        <w:rPr>
          <w:noProof/>
        </w:rPr>
        <w:t xml:space="preserve"> à toutes les exigences en matière de suivi, d’audit et de contrôle spécifiées ci-dessus. </w:t>
      </w:r>
    </w:p>
    <w:p w14:paraId="67021F6D" w14:textId="77777777" w:rsidR="00025543" w:rsidRDefault="007E3A2F">
      <w:pPr>
        <w:pStyle w:val="P68B1DB1-Normal13"/>
        <w:spacing w:before="0" w:after="160" w:line="240" w:lineRule="auto"/>
        <w:jc w:val="both"/>
        <w:rPr>
          <w:noProof/>
        </w:rPr>
      </w:pPr>
      <w:r>
        <w:rPr>
          <w:noProof/>
        </w:rPr>
        <w:t>L’investissement est achevé au plus tard le 30 juin 2026.</w:t>
      </w:r>
    </w:p>
    <w:p w14:paraId="1CBA0376" w14:textId="4E04EB28" w:rsidR="00025543" w:rsidRDefault="00025543">
      <w:pPr>
        <w:spacing w:before="0" w:after="0" w:line="240" w:lineRule="auto"/>
        <w:rPr>
          <w:b/>
          <w:smallCaps/>
          <w:noProof/>
        </w:rPr>
        <w:sectPr w:rsidR="00025543" w:rsidSect="00530B55">
          <w:headerReference w:type="even" r:id="rId90"/>
          <w:headerReference w:type="default" r:id="rId91"/>
          <w:footerReference w:type="even" r:id="rId92"/>
          <w:footerReference w:type="default" r:id="rId93"/>
          <w:headerReference w:type="first" r:id="rId94"/>
          <w:footerReference w:type="first" r:id="rId95"/>
          <w:pgSz w:w="11907" w:h="16839"/>
          <w:pgMar w:top="1134" w:right="1134" w:bottom="1134" w:left="1134" w:header="567" w:footer="567" w:gutter="0"/>
          <w:cols w:space="720"/>
          <w:docGrid w:linePitch="360"/>
        </w:sectPr>
      </w:pPr>
    </w:p>
    <w:p w14:paraId="785CAFFE" w14:textId="33B84096" w:rsidR="00025543" w:rsidRDefault="007E3A2F">
      <w:pPr>
        <w:pStyle w:val="P68B1DB1-Normal5"/>
        <w:spacing w:line="240" w:lineRule="auto"/>
        <w:jc w:val="both"/>
        <w:rPr>
          <w:noProof/>
        </w:rPr>
      </w:pPr>
      <w:r>
        <w:rPr>
          <w:noProof/>
        </w:rPr>
        <w:t xml:space="preserve">D.4. Jalons, cibles, indicateurs et calendrier de suivi et de mise en œuvre en vue du prêt </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
        <w:gridCol w:w="1540"/>
        <w:gridCol w:w="1117"/>
        <w:gridCol w:w="1466"/>
        <w:gridCol w:w="1702"/>
        <w:gridCol w:w="989"/>
        <w:gridCol w:w="989"/>
        <w:gridCol w:w="989"/>
        <w:gridCol w:w="1084"/>
        <w:gridCol w:w="763"/>
        <w:gridCol w:w="4035"/>
      </w:tblGrid>
      <w:tr w:rsidR="00025543" w14:paraId="6291A226" w14:textId="77777777">
        <w:trPr>
          <w:trHeight w:val="672"/>
          <w:tblHeader/>
          <w:jc w:val="center"/>
        </w:trPr>
        <w:tc>
          <w:tcPr>
            <w:tcW w:w="637" w:type="dxa"/>
            <w:vMerge w:val="restart"/>
            <w:shd w:val="clear" w:color="auto" w:fill="BDD7EE"/>
            <w:vAlign w:val="center"/>
            <w:hideMark/>
          </w:tcPr>
          <w:p w14:paraId="1685BB8F" w14:textId="77777777" w:rsidR="00025543" w:rsidRDefault="007E3A2F">
            <w:pPr>
              <w:pStyle w:val="P68B1DB1-Normal9"/>
              <w:spacing w:before="0" w:after="0" w:line="240" w:lineRule="auto"/>
              <w:jc w:val="center"/>
              <w:rPr>
                <w:noProof/>
              </w:rPr>
            </w:pPr>
            <w:r>
              <w:rPr>
                <w:noProof/>
              </w:rPr>
              <w:t>Séquence NUM.</w:t>
            </w:r>
          </w:p>
        </w:tc>
        <w:tc>
          <w:tcPr>
            <w:tcW w:w="1566" w:type="dxa"/>
            <w:vMerge w:val="restart"/>
            <w:shd w:val="clear" w:color="auto" w:fill="BDD7EE"/>
            <w:vAlign w:val="center"/>
            <w:hideMark/>
          </w:tcPr>
          <w:p w14:paraId="23791320" w14:textId="77777777" w:rsidR="00025543" w:rsidRDefault="007E3A2F">
            <w:pPr>
              <w:pStyle w:val="P68B1DB1-Normal9"/>
              <w:spacing w:before="0" w:after="0" w:line="240" w:lineRule="auto"/>
              <w:jc w:val="center"/>
              <w:rPr>
                <w:noProof/>
              </w:rPr>
            </w:pPr>
            <w:r>
              <w:rPr>
                <w:noProof/>
              </w:rPr>
              <w:t>Mesure connexe (réforme ou investissement)</w:t>
            </w:r>
          </w:p>
        </w:tc>
        <w:tc>
          <w:tcPr>
            <w:tcW w:w="1134" w:type="dxa"/>
            <w:vMerge w:val="restart"/>
            <w:shd w:val="clear" w:color="auto" w:fill="BDD7EE"/>
            <w:vAlign w:val="center"/>
            <w:hideMark/>
          </w:tcPr>
          <w:p w14:paraId="76DF729C" w14:textId="77777777" w:rsidR="00025543" w:rsidRDefault="007E3A2F">
            <w:pPr>
              <w:pStyle w:val="P68B1DB1-Normal9"/>
              <w:spacing w:before="0" w:after="0" w:line="240" w:lineRule="auto"/>
              <w:jc w:val="center"/>
              <w:rPr>
                <w:noProof/>
              </w:rPr>
            </w:pPr>
            <w:r>
              <w:rPr>
                <w:noProof/>
              </w:rPr>
              <w:t>Jalon/cible</w:t>
            </w:r>
          </w:p>
        </w:tc>
        <w:tc>
          <w:tcPr>
            <w:tcW w:w="1490" w:type="dxa"/>
            <w:vMerge w:val="restart"/>
            <w:shd w:val="clear" w:color="auto" w:fill="BDD7EE"/>
            <w:vAlign w:val="center"/>
            <w:hideMark/>
          </w:tcPr>
          <w:p w14:paraId="753CCF84" w14:textId="77777777" w:rsidR="00025543" w:rsidRDefault="007E3A2F">
            <w:pPr>
              <w:pStyle w:val="P68B1DB1-Normal9"/>
              <w:spacing w:before="0" w:after="0" w:line="240" w:lineRule="auto"/>
              <w:jc w:val="center"/>
              <w:rPr>
                <w:noProof/>
              </w:rPr>
            </w:pPr>
            <w:r>
              <w:rPr>
                <w:noProof/>
              </w:rPr>
              <w:t>Nom</w:t>
            </w:r>
          </w:p>
        </w:tc>
        <w:tc>
          <w:tcPr>
            <w:tcW w:w="1731" w:type="dxa"/>
            <w:vMerge w:val="restart"/>
            <w:shd w:val="clear" w:color="auto" w:fill="BDD7EE"/>
            <w:vAlign w:val="center"/>
            <w:hideMark/>
          </w:tcPr>
          <w:p w14:paraId="38F1FD1B" w14:textId="77777777" w:rsidR="00025543" w:rsidRDefault="007E3A2F">
            <w:pPr>
              <w:pStyle w:val="P68B1DB1-Normal9"/>
              <w:spacing w:before="0" w:after="0" w:line="240" w:lineRule="auto"/>
              <w:jc w:val="center"/>
              <w:rPr>
                <w:noProof/>
              </w:rPr>
            </w:pPr>
            <w:r>
              <w:rPr>
                <w:noProof/>
              </w:rPr>
              <w:t xml:space="preserve">Qualitatifs </w:t>
            </w:r>
            <w:r>
              <w:rPr>
                <w:noProof/>
              </w:rPr>
              <w:br/>
              <w:t>(pour les jalons)</w:t>
            </w:r>
          </w:p>
        </w:tc>
        <w:tc>
          <w:tcPr>
            <w:tcW w:w="3012" w:type="dxa"/>
            <w:gridSpan w:val="3"/>
            <w:shd w:val="clear" w:color="auto" w:fill="BDD7EE"/>
            <w:vAlign w:val="center"/>
            <w:hideMark/>
          </w:tcPr>
          <w:p w14:paraId="3687BBEB" w14:textId="77777777" w:rsidR="00025543" w:rsidRDefault="007E3A2F">
            <w:pPr>
              <w:pStyle w:val="P68B1DB1-Normal9"/>
              <w:spacing w:before="0" w:after="0" w:line="240" w:lineRule="auto"/>
              <w:jc w:val="center"/>
              <w:rPr>
                <w:noProof/>
              </w:rPr>
            </w:pPr>
            <w:r>
              <w:rPr>
                <w:noProof/>
              </w:rPr>
              <w:t xml:space="preserve">Indicateurs quantitatifs </w:t>
            </w:r>
            <w:r>
              <w:rPr>
                <w:noProof/>
              </w:rPr>
              <w:br/>
              <w:t>(pour les objectifs)</w:t>
            </w:r>
          </w:p>
        </w:tc>
        <w:tc>
          <w:tcPr>
            <w:tcW w:w="1874" w:type="dxa"/>
            <w:gridSpan w:val="2"/>
            <w:shd w:val="clear" w:color="auto" w:fill="BDD7EE"/>
            <w:vAlign w:val="center"/>
            <w:hideMark/>
          </w:tcPr>
          <w:p w14:paraId="1040E850" w14:textId="77777777" w:rsidR="00025543" w:rsidRDefault="007E3A2F">
            <w:pPr>
              <w:pStyle w:val="P68B1DB1-Normal9"/>
              <w:spacing w:before="0" w:after="0" w:line="240" w:lineRule="auto"/>
              <w:jc w:val="center"/>
              <w:rPr>
                <w:noProof/>
              </w:rPr>
            </w:pPr>
            <w:r>
              <w:rPr>
                <w:noProof/>
              </w:rPr>
              <w:t xml:space="preserve">Calendrier indicatif de réalisation </w:t>
            </w:r>
          </w:p>
        </w:tc>
        <w:tc>
          <w:tcPr>
            <w:tcW w:w="4110" w:type="dxa"/>
            <w:vMerge w:val="restart"/>
            <w:shd w:val="clear" w:color="auto" w:fill="BDD7EE"/>
            <w:vAlign w:val="center"/>
            <w:hideMark/>
          </w:tcPr>
          <w:p w14:paraId="251CF28C" w14:textId="77777777" w:rsidR="00025543" w:rsidRDefault="007E3A2F">
            <w:pPr>
              <w:pStyle w:val="P68B1DB1-Normal9"/>
              <w:spacing w:before="0" w:after="0" w:line="240" w:lineRule="auto"/>
              <w:jc w:val="center"/>
              <w:rPr>
                <w:noProof/>
              </w:rPr>
            </w:pPr>
            <w:r>
              <w:rPr>
                <w:noProof/>
              </w:rPr>
              <w:t>Description de chaque jalon et cible</w:t>
            </w:r>
          </w:p>
        </w:tc>
      </w:tr>
      <w:tr w:rsidR="00025543" w14:paraId="2100C487" w14:textId="77777777">
        <w:trPr>
          <w:trHeight w:val="458"/>
          <w:tblHeader/>
          <w:jc w:val="center"/>
        </w:trPr>
        <w:tc>
          <w:tcPr>
            <w:tcW w:w="637" w:type="dxa"/>
            <w:vMerge/>
            <w:vAlign w:val="center"/>
            <w:hideMark/>
          </w:tcPr>
          <w:p w14:paraId="08067BFA" w14:textId="77777777" w:rsidR="00025543" w:rsidRDefault="00025543">
            <w:pPr>
              <w:spacing w:before="0" w:after="0" w:line="240" w:lineRule="auto"/>
              <w:rPr>
                <w:rFonts w:eastAsia="Times New Roman"/>
                <w:b/>
                <w:noProof/>
                <w:sz w:val="18"/>
              </w:rPr>
            </w:pPr>
          </w:p>
        </w:tc>
        <w:tc>
          <w:tcPr>
            <w:tcW w:w="1566" w:type="dxa"/>
            <w:vMerge/>
            <w:vAlign w:val="center"/>
            <w:hideMark/>
          </w:tcPr>
          <w:p w14:paraId="7BCED612" w14:textId="77777777" w:rsidR="00025543" w:rsidRDefault="00025543">
            <w:pPr>
              <w:spacing w:before="0" w:after="0" w:line="240" w:lineRule="auto"/>
              <w:rPr>
                <w:rFonts w:eastAsia="Times New Roman"/>
                <w:b/>
                <w:noProof/>
                <w:sz w:val="18"/>
              </w:rPr>
            </w:pPr>
          </w:p>
        </w:tc>
        <w:tc>
          <w:tcPr>
            <w:tcW w:w="1134" w:type="dxa"/>
            <w:vMerge/>
            <w:vAlign w:val="center"/>
            <w:hideMark/>
          </w:tcPr>
          <w:p w14:paraId="48F76FD8" w14:textId="77777777" w:rsidR="00025543" w:rsidRDefault="00025543">
            <w:pPr>
              <w:spacing w:before="0" w:after="0" w:line="240" w:lineRule="auto"/>
              <w:rPr>
                <w:rFonts w:eastAsia="Times New Roman"/>
                <w:b/>
                <w:noProof/>
                <w:sz w:val="18"/>
              </w:rPr>
            </w:pPr>
          </w:p>
        </w:tc>
        <w:tc>
          <w:tcPr>
            <w:tcW w:w="1490" w:type="dxa"/>
            <w:vMerge/>
            <w:vAlign w:val="center"/>
            <w:hideMark/>
          </w:tcPr>
          <w:p w14:paraId="578A7C52" w14:textId="77777777" w:rsidR="00025543" w:rsidRDefault="00025543">
            <w:pPr>
              <w:spacing w:before="0" w:after="0" w:line="240" w:lineRule="auto"/>
              <w:rPr>
                <w:rFonts w:eastAsia="Times New Roman"/>
                <w:b/>
                <w:noProof/>
                <w:sz w:val="18"/>
              </w:rPr>
            </w:pPr>
          </w:p>
        </w:tc>
        <w:tc>
          <w:tcPr>
            <w:tcW w:w="1731" w:type="dxa"/>
            <w:vMerge/>
            <w:vAlign w:val="center"/>
            <w:hideMark/>
          </w:tcPr>
          <w:p w14:paraId="76D0413C" w14:textId="77777777" w:rsidR="00025543" w:rsidRDefault="00025543">
            <w:pPr>
              <w:spacing w:before="0" w:after="0" w:line="240" w:lineRule="auto"/>
              <w:rPr>
                <w:rFonts w:eastAsia="Times New Roman"/>
                <w:b/>
                <w:noProof/>
                <w:sz w:val="18"/>
              </w:rPr>
            </w:pPr>
          </w:p>
        </w:tc>
        <w:tc>
          <w:tcPr>
            <w:tcW w:w="1004" w:type="dxa"/>
            <w:shd w:val="clear" w:color="auto" w:fill="BDD7EE"/>
            <w:vAlign w:val="center"/>
            <w:hideMark/>
          </w:tcPr>
          <w:p w14:paraId="2E6386C5" w14:textId="77777777" w:rsidR="00025543" w:rsidRDefault="007E3A2F">
            <w:pPr>
              <w:pStyle w:val="P68B1DB1-Normal9"/>
              <w:spacing w:before="0" w:after="0" w:line="240" w:lineRule="auto"/>
              <w:jc w:val="center"/>
              <w:rPr>
                <w:noProof/>
              </w:rPr>
            </w:pPr>
            <w:r>
              <w:rPr>
                <w:noProof/>
              </w:rPr>
              <w:t>Unité de mesure</w:t>
            </w:r>
          </w:p>
        </w:tc>
        <w:tc>
          <w:tcPr>
            <w:tcW w:w="1004" w:type="dxa"/>
            <w:shd w:val="clear" w:color="auto" w:fill="BDD7EE"/>
            <w:vAlign w:val="center"/>
            <w:hideMark/>
          </w:tcPr>
          <w:p w14:paraId="3B3603AA" w14:textId="77777777" w:rsidR="00025543" w:rsidRDefault="007E3A2F">
            <w:pPr>
              <w:pStyle w:val="P68B1DB1-Normal9"/>
              <w:spacing w:before="0" w:after="0" w:line="240" w:lineRule="auto"/>
              <w:jc w:val="center"/>
              <w:rPr>
                <w:noProof/>
              </w:rPr>
            </w:pPr>
            <w:r>
              <w:rPr>
                <w:noProof/>
              </w:rPr>
              <w:t xml:space="preserve">Scénario de référence </w:t>
            </w:r>
          </w:p>
        </w:tc>
        <w:tc>
          <w:tcPr>
            <w:tcW w:w="1004" w:type="dxa"/>
            <w:shd w:val="clear" w:color="auto" w:fill="BDD7EE"/>
            <w:vAlign w:val="center"/>
            <w:hideMark/>
          </w:tcPr>
          <w:p w14:paraId="22377145" w14:textId="77777777" w:rsidR="00025543" w:rsidRDefault="007E3A2F">
            <w:pPr>
              <w:pStyle w:val="P68B1DB1-Normal9"/>
              <w:spacing w:before="0" w:after="0" w:line="240" w:lineRule="auto"/>
              <w:jc w:val="center"/>
              <w:rPr>
                <w:noProof/>
              </w:rPr>
            </w:pPr>
            <w:r>
              <w:rPr>
                <w:noProof/>
              </w:rPr>
              <w:t xml:space="preserve">Objectif </w:t>
            </w:r>
          </w:p>
        </w:tc>
        <w:tc>
          <w:tcPr>
            <w:tcW w:w="1101" w:type="dxa"/>
            <w:shd w:val="clear" w:color="auto" w:fill="BDD7EE"/>
            <w:vAlign w:val="center"/>
            <w:hideMark/>
          </w:tcPr>
          <w:p w14:paraId="440115BE" w14:textId="77777777" w:rsidR="00025543" w:rsidRDefault="007E3A2F">
            <w:pPr>
              <w:pStyle w:val="P68B1DB1-Normal9"/>
              <w:spacing w:before="0" w:after="0" w:line="240" w:lineRule="auto"/>
              <w:jc w:val="center"/>
              <w:rPr>
                <w:noProof/>
              </w:rPr>
            </w:pPr>
            <w:r>
              <w:rPr>
                <w:noProof/>
              </w:rPr>
              <w:t>Trimestre</w:t>
            </w:r>
          </w:p>
        </w:tc>
        <w:tc>
          <w:tcPr>
            <w:tcW w:w="773" w:type="dxa"/>
            <w:shd w:val="clear" w:color="auto" w:fill="BDD7EE"/>
            <w:vAlign w:val="center"/>
            <w:hideMark/>
          </w:tcPr>
          <w:p w14:paraId="78AC0445" w14:textId="77777777" w:rsidR="00025543" w:rsidRDefault="007E3A2F">
            <w:pPr>
              <w:pStyle w:val="P68B1DB1-Normal9"/>
              <w:spacing w:before="0" w:after="0" w:line="240" w:lineRule="auto"/>
              <w:jc w:val="center"/>
              <w:rPr>
                <w:noProof/>
              </w:rPr>
            </w:pPr>
            <w:r>
              <w:rPr>
                <w:noProof/>
              </w:rPr>
              <w:t>Année</w:t>
            </w:r>
          </w:p>
        </w:tc>
        <w:tc>
          <w:tcPr>
            <w:tcW w:w="4110" w:type="dxa"/>
            <w:vMerge/>
            <w:vAlign w:val="center"/>
            <w:hideMark/>
          </w:tcPr>
          <w:p w14:paraId="7A2CBAA2" w14:textId="77777777" w:rsidR="00025543" w:rsidRDefault="00025543">
            <w:pPr>
              <w:spacing w:before="0" w:after="0" w:line="240" w:lineRule="auto"/>
              <w:rPr>
                <w:rFonts w:eastAsia="Times New Roman"/>
                <w:b/>
                <w:noProof/>
                <w:sz w:val="18"/>
              </w:rPr>
            </w:pPr>
          </w:p>
        </w:tc>
      </w:tr>
      <w:tr w:rsidR="00025543" w14:paraId="76150E1B" w14:textId="77777777">
        <w:trPr>
          <w:trHeight w:val="309"/>
          <w:jc w:val="center"/>
        </w:trPr>
        <w:tc>
          <w:tcPr>
            <w:tcW w:w="637" w:type="dxa"/>
            <w:shd w:val="clear" w:color="auto" w:fill="C6EFCE"/>
            <w:vAlign w:val="center"/>
          </w:tcPr>
          <w:p w14:paraId="4C397E68" w14:textId="49BA395B" w:rsidR="00025543" w:rsidRDefault="007E3A2F">
            <w:pPr>
              <w:pStyle w:val="P68B1DB1-Normal15"/>
              <w:spacing w:before="0" w:after="0" w:line="240" w:lineRule="auto"/>
              <w:jc w:val="center"/>
              <w:rPr>
                <w:noProof/>
              </w:rPr>
            </w:pPr>
            <w:r>
              <w:rPr>
                <w:noProof/>
              </w:rPr>
              <w:t>251</w:t>
            </w:r>
          </w:p>
        </w:tc>
        <w:tc>
          <w:tcPr>
            <w:tcW w:w="1566" w:type="dxa"/>
            <w:shd w:val="clear" w:color="auto" w:fill="C6EFCE"/>
            <w:vAlign w:val="center"/>
          </w:tcPr>
          <w:p w14:paraId="54B34461" w14:textId="64A0184D" w:rsidR="00025543" w:rsidRDefault="007E3A2F">
            <w:pPr>
              <w:pStyle w:val="P68B1DB1-Normal15"/>
              <w:spacing w:before="0" w:after="0" w:line="240" w:lineRule="auto"/>
              <w:rPr>
                <w:noProof/>
              </w:rPr>
            </w:pPr>
            <w:r>
              <w:rPr>
                <w:noProof/>
              </w:rPr>
              <w:t>Investissement 13: Fonds pour le développement de technologies stratégiques</w:t>
            </w:r>
          </w:p>
        </w:tc>
        <w:tc>
          <w:tcPr>
            <w:tcW w:w="1134" w:type="dxa"/>
            <w:shd w:val="clear" w:color="auto" w:fill="C6EFCE"/>
            <w:vAlign w:val="center"/>
          </w:tcPr>
          <w:p w14:paraId="7C532CF4" w14:textId="6E13B94A" w:rsidR="00025543" w:rsidRDefault="007E3A2F">
            <w:pPr>
              <w:pStyle w:val="P68B1DB1-Normal15"/>
              <w:spacing w:before="0" w:after="0" w:line="240" w:lineRule="auto"/>
              <w:rPr>
                <w:noProof/>
              </w:rPr>
            </w:pPr>
            <w:r>
              <w:rPr>
                <w:noProof/>
              </w:rPr>
              <w:t>Étapes</w:t>
            </w:r>
          </w:p>
        </w:tc>
        <w:tc>
          <w:tcPr>
            <w:tcW w:w="1490" w:type="dxa"/>
            <w:shd w:val="clear" w:color="auto" w:fill="C6EFCE"/>
            <w:vAlign w:val="center"/>
          </w:tcPr>
          <w:p w14:paraId="1DF0862D" w14:textId="05B83802" w:rsidR="00025543" w:rsidRDefault="007E3A2F">
            <w:pPr>
              <w:pStyle w:val="P68B1DB1-Normal15"/>
              <w:spacing w:before="0" w:after="0" w:line="240" w:lineRule="auto"/>
              <w:rPr>
                <w:noProof/>
              </w:rPr>
            </w:pPr>
            <w:r>
              <w:rPr>
                <w:noProof/>
              </w:rPr>
              <w:t xml:space="preserve">Accord de mise en œuvre </w:t>
            </w:r>
          </w:p>
        </w:tc>
        <w:tc>
          <w:tcPr>
            <w:tcW w:w="1731" w:type="dxa"/>
            <w:shd w:val="clear" w:color="auto" w:fill="C6EFCE"/>
            <w:vAlign w:val="center"/>
          </w:tcPr>
          <w:p w14:paraId="2F5837CD" w14:textId="07495C67" w:rsidR="00025543" w:rsidRDefault="007E3A2F">
            <w:pPr>
              <w:pStyle w:val="P68B1DB1-Normal15"/>
              <w:spacing w:before="0" w:after="0" w:line="240" w:lineRule="auto"/>
              <w:rPr>
                <w:noProof/>
              </w:rPr>
            </w:pPr>
            <w:r>
              <w:rPr>
                <w:noProof/>
              </w:rPr>
              <w:t>Entrée en vigueur de l’accord de mise en œuvre</w:t>
            </w:r>
          </w:p>
        </w:tc>
        <w:tc>
          <w:tcPr>
            <w:tcW w:w="1004" w:type="dxa"/>
            <w:shd w:val="clear" w:color="auto" w:fill="C6EFCE"/>
            <w:vAlign w:val="center"/>
          </w:tcPr>
          <w:p w14:paraId="666189F0" w14:textId="77777777" w:rsidR="00025543" w:rsidRDefault="00025543">
            <w:pPr>
              <w:spacing w:before="0" w:after="0" w:line="240" w:lineRule="auto"/>
              <w:rPr>
                <w:rFonts w:eastAsia="Times New Roman"/>
                <w:noProof/>
                <w:color w:val="004300"/>
                <w:sz w:val="18"/>
              </w:rPr>
            </w:pPr>
          </w:p>
        </w:tc>
        <w:tc>
          <w:tcPr>
            <w:tcW w:w="1004" w:type="dxa"/>
            <w:shd w:val="clear" w:color="auto" w:fill="C6EFCE"/>
            <w:vAlign w:val="center"/>
          </w:tcPr>
          <w:p w14:paraId="46F5AD8E" w14:textId="77777777" w:rsidR="00025543" w:rsidRDefault="00025543">
            <w:pPr>
              <w:spacing w:before="0" w:after="0" w:line="240" w:lineRule="auto"/>
              <w:jc w:val="center"/>
              <w:rPr>
                <w:rFonts w:eastAsia="Times New Roman"/>
                <w:noProof/>
                <w:color w:val="004300"/>
                <w:sz w:val="18"/>
              </w:rPr>
            </w:pPr>
          </w:p>
        </w:tc>
        <w:tc>
          <w:tcPr>
            <w:tcW w:w="1004" w:type="dxa"/>
            <w:shd w:val="clear" w:color="auto" w:fill="C6EFCE"/>
            <w:vAlign w:val="center"/>
          </w:tcPr>
          <w:p w14:paraId="5A0FF39B" w14:textId="77777777" w:rsidR="00025543" w:rsidRDefault="00025543">
            <w:pPr>
              <w:spacing w:before="0" w:after="0" w:line="240" w:lineRule="auto"/>
              <w:jc w:val="center"/>
              <w:rPr>
                <w:rFonts w:eastAsia="Times New Roman"/>
                <w:noProof/>
                <w:color w:val="004300"/>
                <w:sz w:val="18"/>
              </w:rPr>
            </w:pPr>
          </w:p>
        </w:tc>
        <w:tc>
          <w:tcPr>
            <w:tcW w:w="1101" w:type="dxa"/>
            <w:shd w:val="clear" w:color="auto" w:fill="C6EFCE"/>
            <w:vAlign w:val="center"/>
          </w:tcPr>
          <w:p w14:paraId="3101650A" w14:textId="246A8D52" w:rsidR="00025543" w:rsidRDefault="007E3A2F">
            <w:pPr>
              <w:pStyle w:val="P68B1DB1-Normal15"/>
              <w:spacing w:before="0" w:after="0" w:line="240" w:lineRule="auto"/>
              <w:jc w:val="center"/>
              <w:rPr>
                <w:noProof/>
              </w:rPr>
            </w:pPr>
            <w:r>
              <w:rPr>
                <w:noProof/>
              </w:rPr>
              <w:t>TRIMESTRE 4</w:t>
            </w:r>
          </w:p>
        </w:tc>
        <w:tc>
          <w:tcPr>
            <w:tcW w:w="773" w:type="dxa"/>
            <w:shd w:val="clear" w:color="auto" w:fill="C6EFCE"/>
            <w:vAlign w:val="center"/>
          </w:tcPr>
          <w:p w14:paraId="1D8E0168" w14:textId="26BC5B95" w:rsidR="00025543" w:rsidRDefault="007E3A2F">
            <w:pPr>
              <w:pStyle w:val="P68B1DB1-Normal15"/>
              <w:spacing w:before="0" w:after="0" w:line="240" w:lineRule="auto"/>
              <w:jc w:val="center"/>
              <w:rPr>
                <w:noProof/>
              </w:rPr>
            </w:pPr>
            <w:r>
              <w:rPr>
                <w:noProof/>
              </w:rPr>
              <w:t>2024</w:t>
            </w:r>
          </w:p>
        </w:tc>
        <w:tc>
          <w:tcPr>
            <w:tcW w:w="4110" w:type="dxa"/>
            <w:shd w:val="clear" w:color="auto" w:fill="C6EFCE"/>
            <w:vAlign w:val="center"/>
          </w:tcPr>
          <w:p w14:paraId="6BD8C546" w14:textId="7CEF648D" w:rsidR="00025543" w:rsidRDefault="007E3A2F">
            <w:pPr>
              <w:pStyle w:val="P68B1DB1-Normal15"/>
              <w:spacing w:before="0" w:after="0" w:line="240" w:lineRule="auto"/>
              <w:rPr>
                <w:noProof/>
              </w:rPr>
            </w:pPr>
            <w:r>
              <w:rPr>
                <w:noProof/>
              </w:rPr>
              <w:t>Entrée en vigueur de l’accord de mise en œuvre conformément aux exigences spécifiées dans la description de la mesure.</w:t>
            </w:r>
          </w:p>
        </w:tc>
      </w:tr>
      <w:tr w:rsidR="00025543" w14:paraId="5A890CBF" w14:textId="77777777">
        <w:trPr>
          <w:trHeight w:val="309"/>
          <w:jc w:val="center"/>
        </w:trPr>
        <w:tc>
          <w:tcPr>
            <w:tcW w:w="637" w:type="dxa"/>
            <w:shd w:val="clear" w:color="auto" w:fill="C6EFCE"/>
            <w:vAlign w:val="center"/>
            <w:hideMark/>
          </w:tcPr>
          <w:p w14:paraId="35802345" w14:textId="30322A3F" w:rsidR="00025543" w:rsidRDefault="007E3A2F">
            <w:pPr>
              <w:pStyle w:val="P68B1DB1-Normal15"/>
              <w:spacing w:before="0" w:after="0" w:line="240" w:lineRule="auto"/>
              <w:jc w:val="center"/>
              <w:rPr>
                <w:noProof/>
              </w:rPr>
            </w:pPr>
            <w:r>
              <w:rPr>
                <w:noProof/>
              </w:rPr>
              <w:t>252</w:t>
            </w:r>
          </w:p>
        </w:tc>
        <w:tc>
          <w:tcPr>
            <w:tcW w:w="1566" w:type="dxa"/>
            <w:shd w:val="clear" w:color="auto" w:fill="C6EFCE"/>
            <w:vAlign w:val="center"/>
            <w:hideMark/>
          </w:tcPr>
          <w:p w14:paraId="0FD5D8B3" w14:textId="1070EDB0" w:rsidR="00025543" w:rsidRDefault="007E3A2F">
            <w:pPr>
              <w:pStyle w:val="P68B1DB1-Normal15"/>
              <w:spacing w:before="0" w:after="0" w:line="240" w:lineRule="auto"/>
              <w:rPr>
                <w:noProof/>
              </w:rPr>
            </w:pPr>
            <w:r>
              <w:rPr>
                <w:noProof/>
              </w:rPr>
              <w:t>Investissement 13: Fonds pour le développement de technologies stratégiques</w:t>
            </w:r>
          </w:p>
        </w:tc>
        <w:tc>
          <w:tcPr>
            <w:tcW w:w="1134" w:type="dxa"/>
            <w:shd w:val="clear" w:color="auto" w:fill="C6EFCE"/>
            <w:vAlign w:val="center"/>
            <w:hideMark/>
          </w:tcPr>
          <w:p w14:paraId="19E6FB35" w14:textId="575B30E8" w:rsidR="00025543" w:rsidRDefault="007E3A2F">
            <w:pPr>
              <w:pStyle w:val="P68B1DB1-Normal15"/>
              <w:spacing w:before="0" w:after="0" w:line="240" w:lineRule="auto"/>
              <w:rPr>
                <w:noProof/>
              </w:rPr>
            </w:pPr>
            <w:r>
              <w:rPr>
                <w:noProof/>
              </w:rPr>
              <w:t xml:space="preserve"> Cible</w:t>
            </w:r>
          </w:p>
        </w:tc>
        <w:tc>
          <w:tcPr>
            <w:tcW w:w="1490" w:type="dxa"/>
            <w:shd w:val="clear" w:color="auto" w:fill="C6EFCE"/>
            <w:vAlign w:val="center"/>
            <w:hideMark/>
          </w:tcPr>
          <w:p w14:paraId="4D3FF23A" w14:textId="6B99D90D" w:rsidR="00025543" w:rsidRDefault="007E3A2F">
            <w:pPr>
              <w:pStyle w:val="P68B1DB1-Normal15"/>
              <w:spacing w:before="0" w:after="0" w:line="240" w:lineRule="auto"/>
              <w:rPr>
                <w:noProof/>
              </w:rPr>
            </w:pPr>
            <w:r>
              <w:rPr>
                <w:noProof/>
              </w:rPr>
              <w:t>Accords juridiques signés avec des fonds</w:t>
            </w:r>
          </w:p>
        </w:tc>
        <w:tc>
          <w:tcPr>
            <w:tcW w:w="1731" w:type="dxa"/>
            <w:shd w:val="clear" w:color="auto" w:fill="C6EFCE"/>
            <w:vAlign w:val="center"/>
            <w:hideMark/>
          </w:tcPr>
          <w:p w14:paraId="293C69F9" w14:textId="1F59C31F" w:rsidR="00025543" w:rsidRDefault="00025543">
            <w:pPr>
              <w:spacing w:before="0" w:after="0" w:line="240" w:lineRule="auto"/>
              <w:rPr>
                <w:rFonts w:eastAsia="Times New Roman"/>
                <w:noProof/>
                <w:color w:val="004300"/>
                <w:sz w:val="18"/>
              </w:rPr>
            </w:pPr>
          </w:p>
        </w:tc>
        <w:tc>
          <w:tcPr>
            <w:tcW w:w="1004" w:type="dxa"/>
            <w:shd w:val="clear" w:color="auto" w:fill="C6EFCE"/>
            <w:vAlign w:val="center"/>
          </w:tcPr>
          <w:p w14:paraId="0DBA3334" w14:textId="1E8EC22A" w:rsidR="00025543" w:rsidRDefault="007E3A2F">
            <w:pPr>
              <w:pStyle w:val="P68B1DB1-Normal15"/>
              <w:spacing w:before="0" w:after="0" w:line="240" w:lineRule="auto"/>
              <w:rPr>
                <w:noProof/>
              </w:rPr>
            </w:pPr>
            <w:r>
              <w:rPr>
                <w:noProof/>
              </w:rPr>
              <w:t>Pourcentage (%)</w:t>
            </w:r>
          </w:p>
        </w:tc>
        <w:tc>
          <w:tcPr>
            <w:tcW w:w="1004" w:type="dxa"/>
            <w:shd w:val="clear" w:color="auto" w:fill="C6EFCE"/>
            <w:vAlign w:val="center"/>
          </w:tcPr>
          <w:p w14:paraId="3B4AF8C7" w14:textId="1F41BE9E" w:rsidR="00025543" w:rsidRDefault="007E3A2F">
            <w:pPr>
              <w:pStyle w:val="P68B1DB1-Normal15"/>
              <w:spacing w:before="0" w:after="0" w:line="240" w:lineRule="auto"/>
              <w:jc w:val="center"/>
              <w:rPr>
                <w:noProof/>
              </w:rPr>
            </w:pPr>
            <w:r>
              <w:rPr>
                <w:noProof/>
              </w:rPr>
              <w:t>0</w:t>
            </w:r>
          </w:p>
        </w:tc>
        <w:tc>
          <w:tcPr>
            <w:tcW w:w="1004" w:type="dxa"/>
            <w:shd w:val="clear" w:color="auto" w:fill="C6EFCE"/>
            <w:vAlign w:val="center"/>
          </w:tcPr>
          <w:p w14:paraId="4636CE8C" w14:textId="71CB5514" w:rsidR="00025543" w:rsidRDefault="007E3A2F">
            <w:pPr>
              <w:pStyle w:val="P68B1DB1-Normal15"/>
              <w:spacing w:before="0" w:after="0" w:line="240" w:lineRule="auto"/>
              <w:jc w:val="center"/>
              <w:rPr>
                <w:noProof/>
              </w:rPr>
            </w:pPr>
            <w:r>
              <w:rPr>
                <w:noProof/>
              </w:rPr>
              <w:t>100</w:t>
            </w:r>
          </w:p>
        </w:tc>
        <w:tc>
          <w:tcPr>
            <w:tcW w:w="1101" w:type="dxa"/>
            <w:shd w:val="clear" w:color="auto" w:fill="C6EFCE"/>
            <w:vAlign w:val="center"/>
            <w:hideMark/>
          </w:tcPr>
          <w:p w14:paraId="3F9EAC0C" w14:textId="2BBF87DE" w:rsidR="00025543" w:rsidRDefault="007E3A2F">
            <w:pPr>
              <w:pStyle w:val="P68B1DB1-Normal15"/>
              <w:spacing w:before="0" w:after="0" w:line="240" w:lineRule="auto"/>
              <w:jc w:val="center"/>
              <w:rPr>
                <w:noProof/>
              </w:rPr>
            </w:pPr>
            <w:r>
              <w:rPr>
                <w:noProof/>
              </w:rPr>
              <w:t>TRIMESTRE 2</w:t>
            </w:r>
          </w:p>
        </w:tc>
        <w:tc>
          <w:tcPr>
            <w:tcW w:w="773" w:type="dxa"/>
            <w:shd w:val="clear" w:color="auto" w:fill="C6EFCE"/>
            <w:vAlign w:val="center"/>
            <w:hideMark/>
          </w:tcPr>
          <w:p w14:paraId="453B245F" w14:textId="6DCC0F7C" w:rsidR="00025543" w:rsidRDefault="007E3A2F">
            <w:pPr>
              <w:pStyle w:val="P68B1DB1-Normal15"/>
              <w:spacing w:before="0" w:after="0" w:line="240" w:lineRule="auto"/>
              <w:jc w:val="center"/>
              <w:rPr>
                <w:noProof/>
              </w:rPr>
            </w:pPr>
            <w:r>
              <w:rPr>
                <w:noProof/>
              </w:rPr>
              <w:t>2026</w:t>
            </w:r>
          </w:p>
        </w:tc>
        <w:tc>
          <w:tcPr>
            <w:tcW w:w="4110" w:type="dxa"/>
            <w:shd w:val="clear" w:color="auto" w:fill="C6EFCE"/>
            <w:vAlign w:val="center"/>
            <w:hideMark/>
          </w:tcPr>
          <w:p w14:paraId="67830C81" w14:textId="3EE7EAEC" w:rsidR="00025543" w:rsidRDefault="007E3A2F">
            <w:pPr>
              <w:pStyle w:val="P68B1DB1-Normal15"/>
              <w:spacing w:before="0" w:after="0" w:line="240" w:lineRule="auto"/>
              <w:rPr>
                <w:noProof/>
              </w:rPr>
            </w:pPr>
            <w:r>
              <w:rPr>
                <w:noProof/>
              </w:rPr>
              <w:t>Le FEI a conclu des conventions de financement juridiques avec des fonds d’un montant nécessaire pour utiliser 100 % des investissements de la FRR dans la facilité (en tenant compte des frais de gestion).</w:t>
            </w:r>
          </w:p>
          <w:p w14:paraId="08EF2C74" w14:textId="21EA073A" w:rsidR="00025543" w:rsidRDefault="00025543">
            <w:pPr>
              <w:spacing w:before="0" w:after="0" w:line="240" w:lineRule="auto"/>
              <w:rPr>
                <w:rFonts w:eastAsia="Times New Roman"/>
                <w:noProof/>
                <w:color w:val="004300"/>
                <w:sz w:val="18"/>
              </w:rPr>
            </w:pPr>
          </w:p>
        </w:tc>
      </w:tr>
      <w:tr w:rsidR="00025543" w14:paraId="61226CC6" w14:textId="77777777">
        <w:trPr>
          <w:trHeight w:val="309"/>
          <w:jc w:val="center"/>
        </w:trPr>
        <w:tc>
          <w:tcPr>
            <w:tcW w:w="637" w:type="dxa"/>
            <w:tcBorders>
              <w:top w:val="single" w:sz="4" w:space="0" w:color="auto"/>
              <w:left w:val="single" w:sz="4" w:space="0" w:color="auto"/>
              <w:bottom w:val="single" w:sz="4" w:space="0" w:color="auto"/>
              <w:right w:val="single" w:sz="4" w:space="0" w:color="auto"/>
            </w:tcBorders>
            <w:shd w:val="clear" w:color="auto" w:fill="C6EFCE"/>
            <w:vAlign w:val="center"/>
          </w:tcPr>
          <w:p w14:paraId="27BFDC3A" w14:textId="52F57763" w:rsidR="00025543" w:rsidRDefault="007E3A2F">
            <w:pPr>
              <w:pStyle w:val="P68B1DB1-Normal15"/>
              <w:spacing w:before="0" w:after="0" w:line="240" w:lineRule="auto"/>
              <w:jc w:val="center"/>
              <w:rPr>
                <w:noProof/>
              </w:rPr>
            </w:pPr>
            <w:r>
              <w:rPr>
                <w:noProof/>
              </w:rPr>
              <w:t>253</w:t>
            </w:r>
          </w:p>
        </w:tc>
        <w:tc>
          <w:tcPr>
            <w:tcW w:w="1566" w:type="dxa"/>
            <w:tcBorders>
              <w:top w:val="single" w:sz="4" w:space="0" w:color="auto"/>
              <w:left w:val="single" w:sz="4" w:space="0" w:color="auto"/>
              <w:bottom w:val="single" w:sz="4" w:space="0" w:color="auto"/>
              <w:right w:val="single" w:sz="4" w:space="0" w:color="auto"/>
            </w:tcBorders>
            <w:shd w:val="clear" w:color="auto" w:fill="C6EFCE"/>
            <w:vAlign w:val="center"/>
          </w:tcPr>
          <w:p w14:paraId="067056D8" w14:textId="2A2411B7" w:rsidR="00025543" w:rsidRDefault="007E3A2F">
            <w:pPr>
              <w:pStyle w:val="P68B1DB1-Normal15"/>
              <w:spacing w:before="0" w:after="0" w:line="240" w:lineRule="auto"/>
              <w:rPr>
                <w:noProof/>
              </w:rPr>
            </w:pPr>
            <w:r>
              <w:rPr>
                <w:noProof/>
              </w:rPr>
              <w:t>Investissement 13: Fonds pour le développement de technologies stratégiques</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1EC051AC" w14:textId="402EE7B5" w:rsidR="00025543" w:rsidRDefault="007E3A2F">
            <w:pPr>
              <w:pStyle w:val="P68B1DB1-Normal15"/>
              <w:spacing w:before="0" w:after="0" w:line="240" w:lineRule="auto"/>
              <w:rPr>
                <w:noProof/>
              </w:rPr>
            </w:pPr>
            <w:r>
              <w:rPr>
                <w:noProof/>
              </w:rPr>
              <w:t>Étapes</w:t>
            </w:r>
          </w:p>
        </w:tc>
        <w:tc>
          <w:tcPr>
            <w:tcW w:w="1490" w:type="dxa"/>
            <w:tcBorders>
              <w:top w:val="single" w:sz="4" w:space="0" w:color="auto"/>
              <w:left w:val="single" w:sz="4" w:space="0" w:color="auto"/>
              <w:bottom w:val="single" w:sz="4" w:space="0" w:color="auto"/>
              <w:right w:val="single" w:sz="4" w:space="0" w:color="auto"/>
            </w:tcBorders>
            <w:shd w:val="clear" w:color="auto" w:fill="C6EFCE"/>
            <w:vAlign w:val="center"/>
          </w:tcPr>
          <w:p w14:paraId="5309E59C" w14:textId="38CBE1A7" w:rsidR="00025543" w:rsidRDefault="007E3A2F">
            <w:pPr>
              <w:pStyle w:val="P68B1DB1-Normal15"/>
              <w:spacing w:before="0" w:after="0" w:line="240" w:lineRule="auto"/>
              <w:rPr>
                <w:noProof/>
              </w:rPr>
            </w:pPr>
            <w:r>
              <w:rPr>
                <w:noProof/>
              </w:rPr>
              <w:t>Le ministère a achevé l’investissement</w:t>
            </w:r>
          </w:p>
        </w:tc>
        <w:tc>
          <w:tcPr>
            <w:tcW w:w="1731" w:type="dxa"/>
            <w:tcBorders>
              <w:top w:val="single" w:sz="4" w:space="0" w:color="auto"/>
              <w:left w:val="single" w:sz="4" w:space="0" w:color="auto"/>
              <w:bottom w:val="single" w:sz="4" w:space="0" w:color="auto"/>
              <w:right w:val="single" w:sz="4" w:space="0" w:color="auto"/>
            </w:tcBorders>
            <w:shd w:val="clear" w:color="auto" w:fill="C6EFCE"/>
            <w:vAlign w:val="center"/>
          </w:tcPr>
          <w:p w14:paraId="3DBA7F5E" w14:textId="009C9B57" w:rsidR="00025543" w:rsidRDefault="007E3A2F">
            <w:pPr>
              <w:pStyle w:val="P68B1DB1-Normal15"/>
              <w:spacing w:before="0" w:after="0" w:line="240" w:lineRule="auto"/>
              <w:rPr>
                <w:noProof/>
              </w:rPr>
            </w:pPr>
            <w:r>
              <w:rPr>
                <w:noProof/>
              </w:rPr>
              <w:t>Attestation de versement</w:t>
            </w:r>
          </w:p>
        </w:tc>
        <w:tc>
          <w:tcPr>
            <w:tcW w:w="1004" w:type="dxa"/>
            <w:tcBorders>
              <w:top w:val="single" w:sz="4" w:space="0" w:color="auto"/>
              <w:left w:val="single" w:sz="4" w:space="0" w:color="auto"/>
              <w:bottom w:val="single" w:sz="4" w:space="0" w:color="auto"/>
              <w:right w:val="single" w:sz="4" w:space="0" w:color="auto"/>
            </w:tcBorders>
            <w:shd w:val="clear" w:color="auto" w:fill="C6EFCE"/>
          </w:tcPr>
          <w:p w14:paraId="36B50FFE" w14:textId="77777777" w:rsidR="00025543" w:rsidRDefault="00025543">
            <w:pPr>
              <w:spacing w:before="0" w:after="0" w:line="240" w:lineRule="auto"/>
              <w:rPr>
                <w:rFonts w:eastAsia="Times New Roman"/>
                <w:noProof/>
                <w:color w:val="004300"/>
                <w:sz w:val="18"/>
              </w:rPr>
            </w:pPr>
          </w:p>
        </w:tc>
        <w:tc>
          <w:tcPr>
            <w:tcW w:w="1004" w:type="dxa"/>
            <w:tcBorders>
              <w:top w:val="single" w:sz="4" w:space="0" w:color="auto"/>
              <w:left w:val="single" w:sz="4" w:space="0" w:color="auto"/>
              <w:bottom w:val="single" w:sz="4" w:space="0" w:color="auto"/>
              <w:right w:val="single" w:sz="4" w:space="0" w:color="auto"/>
            </w:tcBorders>
            <w:shd w:val="clear" w:color="auto" w:fill="C6EFCE"/>
          </w:tcPr>
          <w:p w14:paraId="5B334AC1" w14:textId="77777777" w:rsidR="00025543" w:rsidRDefault="00025543">
            <w:pPr>
              <w:spacing w:before="0" w:after="0" w:line="240" w:lineRule="auto"/>
              <w:jc w:val="center"/>
              <w:rPr>
                <w:rFonts w:eastAsia="Times New Roman"/>
                <w:noProof/>
                <w:color w:val="004300"/>
                <w:sz w:val="18"/>
              </w:rPr>
            </w:pPr>
          </w:p>
        </w:tc>
        <w:tc>
          <w:tcPr>
            <w:tcW w:w="1004" w:type="dxa"/>
            <w:tcBorders>
              <w:top w:val="single" w:sz="4" w:space="0" w:color="auto"/>
              <w:left w:val="single" w:sz="4" w:space="0" w:color="auto"/>
              <w:bottom w:val="single" w:sz="4" w:space="0" w:color="auto"/>
              <w:right w:val="single" w:sz="4" w:space="0" w:color="auto"/>
            </w:tcBorders>
            <w:shd w:val="clear" w:color="auto" w:fill="C6EFCE"/>
          </w:tcPr>
          <w:p w14:paraId="59C7B2E4" w14:textId="77777777" w:rsidR="00025543" w:rsidRDefault="00025543">
            <w:pPr>
              <w:spacing w:before="0" w:after="0" w:line="240" w:lineRule="auto"/>
              <w:jc w:val="center"/>
              <w:rPr>
                <w:rFonts w:eastAsia="Times New Roman"/>
                <w:noProof/>
                <w:color w:val="004300"/>
                <w:sz w:val="18"/>
              </w:rPr>
            </w:pPr>
          </w:p>
        </w:tc>
        <w:tc>
          <w:tcPr>
            <w:tcW w:w="1101" w:type="dxa"/>
            <w:tcBorders>
              <w:top w:val="single" w:sz="4" w:space="0" w:color="auto"/>
              <w:left w:val="single" w:sz="4" w:space="0" w:color="auto"/>
              <w:bottom w:val="single" w:sz="4" w:space="0" w:color="auto"/>
              <w:right w:val="single" w:sz="4" w:space="0" w:color="auto"/>
            </w:tcBorders>
            <w:shd w:val="clear" w:color="auto" w:fill="C6EFCE"/>
            <w:vAlign w:val="center"/>
          </w:tcPr>
          <w:p w14:paraId="5D26BA6E" w14:textId="6C3F1050" w:rsidR="00025543" w:rsidRDefault="007E3A2F">
            <w:pPr>
              <w:pStyle w:val="P68B1DB1-Normal15"/>
              <w:spacing w:before="0" w:after="0" w:line="240" w:lineRule="auto"/>
              <w:jc w:val="center"/>
              <w:rPr>
                <w:noProof/>
              </w:rPr>
            </w:pPr>
            <w:r>
              <w:rPr>
                <w:noProof/>
              </w:rPr>
              <w:t>TRIMESTRE 2</w:t>
            </w:r>
          </w:p>
        </w:tc>
        <w:tc>
          <w:tcPr>
            <w:tcW w:w="773" w:type="dxa"/>
            <w:tcBorders>
              <w:top w:val="single" w:sz="4" w:space="0" w:color="auto"/>
              <w:left w:val="single" w:sz="4" w:space="0" w:color="auto"/>
              <w:bottom w:val="single" w:sz="4" w:space="0" w:color="auto"/>
              <w:right w:val="single" w:sz="4" w:space="0" w:color="auto"/>
            </w:tcBorders>
            <w:shd w:val="clear" w:color="auto" w:fill="C6EFCE"/>
            <w:vAlign w:val="center"/>
          </w:tcPr>
          <w:p w14:paraId="31CAF37D" w14:textId="4A61C7DF" w:rsidR="00025543" w:rsidRDefault="007E3A2F">
            <w:pPr>
              <w:pStyle w:val="P68B1DB1-Normal15"/>
              <w:spacing w:before="0" w:after="0" w:line="240" w:lineRule="auto"/>
              <w:jc w:val="center"/>
              <w:rPr>
                <w:noProof/>
              </w:rPr>
            </w:pPr>
            <w:r>
              <w:rPr>
                <w:noProof/>
              </w:rPr>
              <w:t>2026</w:t>
            </w:r>
          </w:p>
        </w:tc>
        <w:tc>
          <w:tcPr>
            <w:tcW w:w="4110" w:type="dxa"/>
            <w:tcBorders>
              <w:top w:val="single" w:sz="4" w:space="0" w:color="auto"/>
              <w:left w:val="single" w:sz="4" w:space="0" w:color="auto"/>
              <w:bottom w:val="single" w:sz="4" w:space="0" w:color="auto"/>
              <w:right w:val="single" w:sz="4" w:space="0" w:color="auto"/>
            </w:tcBorders>
            <w:shd w:val="clear" w:color="auto" w:fill="C6EFCE"/>
            <w:vAlign w:val="center"/>
          </w:tcPr>
          <w:p w14:paraId="51EBE0F8" w14:textId="400AE334" w:rsidR="00025543" w:rsidRDefault="007E3A2F">
            <w:pPr>
              <w:pStyle w:val="P68B1DB1-Normal15"/>
              <w:spacing w:before="0" w:after="0" w:line="240" w:lineRule="auto"/>
              <w:rPr>
                <w:noProof/>
              </w:rPr>
            </w:pPr>
            <w:r>
              <w:rPr>
                <w:noProof/>
              </w:rPr>
              <w:t>La Tchéquie confirme le transfert de 80 000 000 EUR au FEI pour la facilité.</w:t>
            </w:r>
          </w:p>
        </w:tc>
      </w:tr>
    </w:tbl>
    <w:p w14:paraId="56BAD47A" w14:textId="77777777" w:rsidR="00025543" w:rsidRDefault="00025543">
      <w:pPr>
        <w:spacing w:before="0" w:after="0" w:line="240" w:lineRule="auto"/>
        <w:rPr>
          <w:b/>
          <w:smallCaps/>
          <w:noProof/>
        </w:rPr>
        <w:sectPr w:rsidR="00025543" w:rsidSect="00507AA7">
          <w:headerReference w:type="even" r:id="rId96"/>
          <w:headerReference w:type="default" r:id="rId97"/>
          <w:footerReference w:type="even" r:id="rId98"/>
          <w:footerReference w:type="default" r:id="rId99"/>
          <w:headerReference w:type="first" r:id="rId100"/>
          <w:footerReference w:type="first" r:id="rId101"/>
          <w:pgSz w:w="16839" w:h="11907" w:orient="landscape"/>
          <w:pgMar w:top="1134" w:right="1134" w:bottom="1134" w:left="1134" w:header="567" w:footer="567" w:gutter="0"/>
          <w:cols w:space="720"/>
          <w:docGrid w:linePitch="360"/>
        </w:sectPr>
      </w:pPr>
    </w:p>
    <w:p w14:paraId="34005A13" w14:textId="77777777" w:rsidR="00025543" w:rsidRDefault="007E3A2F">
      <w:pPr>
        <w:pStyle w:val="P68B1DB1-Normal2"/>
        <w:keepNext/>
        <w:tabs>
          <w:tab w:val="left" w:pos="850"/>
        </w:tabs>
        <w:spacing w:line="240" w:lineRule="auto"/>
        <w:jc w:val="both"/>
        <w:outlineLvl w:val="0"/>
        <w:rPr>
          <w:noProof/>
        </w:rPr>
      </w:pPr>
      <w:r>
        <w:rPr>
          <w:noProof/>
        </w:rPr>
        <w:t xml:space="preserve">E. VOLET 1.5: Transformation numérique des entreprises </w:t>
      </w:r>
    </w:p>
    <w:p w14:paraId="0C8C49EC" w14:textId="77777777" w:rsidR="00025543" w:rsidRDefault="007E3A2F">
      <w:pPr>
        <w:spacing w:line="240" w:lineRule="auto"/>
        <w:jc w:val="both"/>
        <w:rPr>
          <w:noProof/>
        </w:rPr>
      </w:pPr>
      <w:r>
        <w:rPr>
          <w:noProof/>
        </w:rPr>
        <w:t xml:space="preserve">Ce volet du plan pour la reprise et la résilience de la République tchèque contribue à relever le défi consistant à soutenir la numérisation de l’industrie, l’utilisation des technologies et l’émergence d’une couche nationale interconnectée et durable de l’écosystème numérique européen par l’intermédiaire des pôles d’innovation numérique. </w:t>
      </w:r>
      <w:r>
        <w:rPr>
          <w:rFonts w:eastAsia="Times New Roman"/>
          <w:noProof/>
        </w:rPr>
        <w:t xml:space="preserve">Il soutient également la création d’une installation d’essai et d’expérimentation de référence. </w:t>
      </w:r>
      <w:r>
        <w:rPr>
          <w:noProof/>
        </w:rPr>
        <w:t>Un autre objectif est de permettre un soutien aux entreprises participant à d’éventuels projets importants d’intérêt européen commun (PIIEC), en particulier dans les domaines de la microélectronique, de la connectivité et des infrastructures et services en nuage, y compris les projets dans le domaine des microprocesseurs liés au calcul européen à haute performance. Ce volet devrait soutenir la transition écologique, en particulier des petites et moyennes entreprises, au moyen des technologies numériques, conformément aux objectifs du pacte vert pour l’Europe.</w:t>
      </w:r>
    </w:p>
    <w:p w14:paraId="7CFC8CFE" w14:textId="77777777" w:rsidR="00025543" w:rsidRDefault="007E3A2F">
      <w:pPr>
        <w:pStyle w:val="P68B1DB1-Normal3"/>
        <w:spacing w:line="240" w:lineRule="auto"/>
        <w:jc w:val="both"/>
        <w:rPr>
          <w:noProof/>
          <w:color w:val="000000"/>
        </w:rPr>
      </w:pPr>
      <w:r>
        <w:rPr>
          <w:noProof/>
        </w:rPr>
        <w:t>Le volet soutient la mise en œuvre de la recommandation par pays no 3 2020, selon laquelle la Tchéquie concentre ses investissements sur la transition numérique, en particulier sur les infrastructures et technologies numériques à haute capacité, y compris dans les régions charbonnières.</w:t>
      </w:r>
    </w:p>
    <w:p w14:paraId="7FB9D731" w14:textId="6D557BDF" w:rsidR="00025543" w:rsidRDefault="007E3A2F">
      <w:pPr>
        <w:pStyle w:val="P68B1DB1-Normal3"/>
        <w:spacing w:line="240" w:lineRule="auto"/>
        <w:jc w:val="both"/>
        <w:rPr>
          <w:noProof/>
        </w:rPr>
      </w:pPr>
      <w:r>
        <w:rPr>
          <w:noProof/>
        </w:rPr>
        <w:t>Aucune mesure relevant de ce volet ne devrait causer de préjudice important aux objectifs environnementaux au sens de l’article 17 du règlement (UE) 2020/852, compte tenu de la description des mesures et des mesures d’atténuation prévues dans le plan conformément aux orientations techniques DNSH (2021/C58/01). En particulier, l’acquisition d’équipements TIC garantit le respect des critères pertinents de l’Union en matière de marchés publics écologiques ainsi que des exigences pertinentes de l’UE en matière d’efficacité énergétique et d’efficacité des matières et des exigences en matière de recyclage fixées conformément à la directive 2009/125/CE, à la directive 2009/125/CE, à la directive 2011/65/UE et à la directive (UE) 2021/19.</w:t>
      </w:r>
    </w:p>
    <w:p w14:paraId="17817ACC" w14:textId="77777777" w:rsidR="00025543" w:rsidRDefault="00025543">
      <w:pPr>
        <w:spacing w:line="240" w:lineRule="auto"/>
        <w:jc w:val="both"/>
        <w:rPr>
          <w:rFonts w:eastAsia="Times New Roman"/>
          <w:noProof/>
        </w:rPr>
      </w:pPr>
    </w:p>
    <w:p w14:paraId="5D50B1A9" w14:textId="77777777" w:rsidR="00025543" w:rsidRDefault="007E3A2F">
      <w:pPr>
        <w:pStyle w:val="P68B1DB1-Normal5"/>
        <w:spacing w:line="240" w:lineRule="auto"/>
        <w:jc w:val="both"/>
        <w:rPr>
          <w:i/>
          <w:noProof/>
          <w:color w:val="4F81BD"/>
        </w:rPr>
      </w:pPr>
      <w:r>
        <w:rPr>
          <w:noProof/>
        </w:rPr>
        <w:t>E.1. Description des réformes et des investissements en vue du soutien financier non remboursable</w:t>
      </w:r>
    </w:p>
    <w:p w14:paraId="7BBC7A28" w14:textId="77777777" w:rsidR="00025543" w:rsidRDefault="007E3A2F">
      <w:pPr>
        <w:pBdr>
          <w:top w:val="nil"/>
          <w:left w:val="nil"/>
          <w:bottom w:val="nil"/>
          <w:right w:val="nil"/>
          <w:between w:val="nil"/>
        </w:pBdr>
        <w:spacing w:line="240" w:lineRule="auto"/>
        <w:jc w:val="both"/>
        <w:rPr>
          <w:b/>
          <w:noProof/>
        </w:rPr>
      </w:pPr>
      <w:r>
        <w:rPr>
          <w:b/>
          <w:noProof/>
        </w:rPr>
        <w:t>Réforme 1: Création d’</w:t>
      </w:r>
      <w:r>
        <w:rPr>
          <w:noProof/>
        </w:rPr>
        <w:t xml:space="preserve"> </w:t>
      </w:r>
      <w:r>
        <w:rPr>
          <w:b/>
          <w:noProof/>
        </w:rPr>
        <w:t xml:space="preserve">une plateforme pour la numérisation de l’économie </w:t>
      </w:r>
    </w:p>
    <w:p w14:paraId="08A7419A" w14:textId="1C5925CC" w:rsidR="00025543" w:rsidRDefault="007E3A2F">
      <w:pPr>
        <w:pBdr>
          <w:top w:val="nil"/>
          <w:left w:val="nil"/>
          <w:bottom w:val="nil"/>
          <w:right w:val="nil"/>
          <w:between w:val="nil"/>
        </w:pBdr>
        <w:spacing w:line="240" w:lineRule="auto"/>
        <w:jc w:val="both"/>
        <w:rPr>
          <w:noProof/>
          <w:sz w:val="22"/>
        </w:rPr>
      </w:pPr>
      <w:r>
        <w:rPr>
          <w:noProof/>
        </w:rPr>
        <w:t xml:space="preserve">La mesure vise à mettre en service une plateforme coordonnant l’interconnexion de tous les acteurs de l’écosystème numérique national, tels que les pôles européens et nationaux d’innovation numérique, les centres nationaux de compétences en matière de calcul à haute performance et de cybersécurité, </w:t>
      </w:r>
      <w:r>
        <w:rPr>
          <w:rFonts w:eastAsia="Times New Roman"/>
          <w:noProof/>
        </w:rPr>
        <w:t>les installations européennes d’essai et d’expérimentation de référence, les centres d’innovation et les clients de tous ces centres</w:t>
      </w:r>
      <w:r>
        <w:rPr>
          <w:noProof/>
        </w:rPr>
        <w:t xml:space="preserve">. Il vise à stimuler la transformation numérique, l’utilisation des technologies et le recrutement d’experts dans le domaine de la numérisation et des nouvelles technologies et à rendre l’industrie et les services plus résilients face à d’éventuelles crises supplémentaires. </w:t>
      </w:r>
    </w:p>
    <w:p w14:paraId="138C682C" w14:textId="17DAB6F4" w:rsidR="00025543" w:rsidRDefault="007E3A2F">
      <w:pPr>
        <w:pStyle w:val="P68B1DB1-Normal13"/>
        <w:pBdr>
          <w:top w:val="nil"/>
          <w:left w:val="nil"/>
          <w:bottom w:val="nil"/>
          <w:right w:val="nil"/>
          <w:between w:val="nil"/>
        </w:pBdr>
        <w:spacing w:line="240" w:lineRule="auto"/>
        <w:jc w:val="both"/>
        <w:rPr>
          <w:noProof/>
        </w:rPr>
      </w:pPr>
      <w:r>
        <w:rPr>
          <w:noProof/>
        </w:rPr>
        <w:t>La réforme est mise en œuvre au plus tard le 31 décembre 2025.</w:t>
      </w:r>
    </w:p>
    <w:p w14:paraId="0C850E72" w14:textId="0D9C1EDC" w:rsidR="00025543" w:rsidRDefault="007E3A2F">
      <w:pPr>
        <w:pStyle w:val="P68B1DB1-Normal3"/>
        <w:autoSpaceDE w:val="0"/>
        <w:autoSpaceDN w:val="0"/>
        <w:adjustRightInd w:val="0"/>
        <w:spacing w:line="240" w:lineRule="auto"/>
        <w:jc w:val="both"/>
        <w:rPr>
          <w:noProof/>
        </w:rPr>
      </w:pPr>
      <w:r>
        <w:rPr>
          <w:b/>
          <w:noProof/>
        </w:rPr>
        <w:t>Investissement 1: Pôles</w:t>
      </w:r>
      <w:r>
        <w:rPr>
          <w:noProof/>
        </w:rPr>
        <w:t xml:space="preserve">d’innovation numérique européens et nationaux </w:t>
      </w:r>
    </w:p>
    <w:p w14:paraId="6787D034" w14:textId="77777777" w:rsidR="00025543" w:rsidRDefault="007E3A2F">
      <w:pPr>
        <w:autoSpaceDE w:val="0"/>
        <w:autoSpaceDN w:val="0"/>
        <w:adjustRightInd w:val="0"/>
        <w:spacing w:line="240" w:lineRule="auto"/>
        <w:jc w:val="both"/>
        <w:rPr>
          <w:rFonts w:ascii="Calibri" w:hAnsi="Calibri"/>
          <w:noProof/>
          <w:sz w:val="22"/>
        </w:rPr>
      </w:pPr>
      <w:r>
        <w:rPr>
          <w:noProof/>
        </w:rPr>
        <w:t>La</w:t>
      </w:r>
      <w:r>
        <w:rPr>
          <w:rFonts w:eastAsia="Times New Roman"/>
          <w:noProof/>
        </w:rPr>
        <w:t>mesure vise à soutenir la transformation numérique, principalement des petites et moyennes entreprises et de l’administration publique,</w:t>
      </w:r>
      <w:r>
        <w:rPr>
          <w:noProof/>
        </w:rPr>
        <w:t xml:space="preserve"> à introduire de nouvelles technologies, à </w:t>
      </w:r>
      <w:r>
        <w:rPr>
          <w:rFonts w:eastAsia="Times New Roman"/>
          <w:noProof/>
        </w:rPr>
        <w:t xml:space="preserve">attirer des experts sur le terrain et à garantir une plus grande résilience de l’industrie et des services face à d’éventuelles crises supplémentaires. Un cofinancement au titre du programme pour une Europe numérique est prévu. </w:t>
      </w:r>
    </w:p>
    <w:p w14:paraId="604B3BD9" w14:textId="77777777" w:rsidR="00025543" w:rsidRDefault="007E3A2F">
      <w:pPr>
        <w:autoSpaceDE w:val="0"/>
        <w:autoSpaceDN w:val="0"/>
        <w:adjustRightInd w:val="0"/>
        <w:spacing w:line="240" w:lineRule="auto"/>
        <w:jc w:val="both"/>
        <w:rPr>
          <w:rFonts w:eastAsia="Times New Roman"/>
          <w:noProof/>
        </w:rPr>
      </w:pPr>
      <w:r>
        <w:rPr>
          <w:noProof/>
        </w:rPr>
        <w:t>Six pôles européens et nationaux d’innovation numérique sont mis en place et mis en service.</w:t>
      </w:r>
      <w:r>
        <w:rPr>
          <w:rFonts w:eastAsia="Times New Roman"/>
          <w:noProof/>
        </w:rPr>
        <w:t xml:space="preserve"> </w:t>
      </w:r>
    </w:p>
    <w:p w14:paraId="4143CF52" w14:textId="06189426" w:rsidR="00025543" w:rsidRDefault="007E3A2F">
      <w:pPr>
        <w:tabs>
          <w:tab w:val="right" w:pos="9639"/>
        </w:tabs>
        <w:autoSpaceDE w:val="0"/>
        <w:autoSpaceDN w:val="0"/>
        <w:adjustRightInd w:val="0"/>
        <w:spacing w:line="240" w:lineRule="auto"/>
        <w:jc w:val="both"/>
        <w:rPr>
          <w:rFonts w:ascii="Calibri" w:hAnsi="Calibri"/>
          <w:noProof/>
          <w:sz w:val="22"/>
        </w:rPr>
      </w:pPr>
      <w:r>
        <w:rPr>
          <w:noProof/>
        </w:rPr>
        <w:t>L’</w:t>
      </w:r>
      <w:r>
        <w:rPr>
          <w:rFonts w:eastAsia="Times New Roman"/>
          <w:noProof/>
        </w:rPr>
        <w:t xml:space="preserve">investissement est mis </w:t>
      </w:r>
      <w:r>
        <w:rPr>
          <w:rFonts w:eastAsia="Times New Roman"/>
          <w:noProof/>
          <w:color w:val="000000"/>
        </w:rPr>
        <w:t>en œuvre</w:t>
      </w:r>
      <w:r>
        <w:rPr>
          <w:noProof/>
        </w:rPr>
        <w:t xml:space="preserve"> au plus tard le 31 décembre 2024.</w:t>
      </w:r>
      <w:r>
        <w:rPr>
          <w:noProof/>
        </w:rPr>
        <w:tab/>
      </w:r>
    </w:p>
    <w:p w14:paraId="61754E4F" w14:textId="751B4B65" w:rsidR="00025543" w:rsidRDefault="007E3A2F">
      <w:pPr>
        <w:pStyle w:val="P68B1DB1-Normal26"/>
        <w:keepNext/>
        <w:autoSpaceDE w:val="0"/>
        <w:autoSpaceDN w:val="0"/>
        <w:adjustRightInd w:val="0"/>
        <w:spacing w:line="240" w:lineRule="auto"/>
        <w:jc w:val="both"/>
        <w:rPr>
          <w:noProof/>
        </w:rPr>
      </w:pPr>
      <w:r>
        <w:rPr>
          <w:noProof/>
        </w:rPr>
        <w:t>Investissement 2: Installation européenne d’essai et d’expérimentation de référence</w:t>
      </w:r>
    </w:p>
    <w:p w14:paraId="6C4A1E83" w14:textId="563E010E" w:rsidR="00025543" w:rsidRDefault="007E3A2F">
      <w:pPr>
        <w:pStyle w:val="P68B1DB1-Normal3"/>
        <w:autoSpaceDE w:val="0"/>
        <w:autoSpaceDN w:val="0"/>
        <w:adjustRightInd w:val="0"/>
        <w:spacing w:line="240" w:lineRule="auto"/>
        <w:jc w:val="both"/>
        <w:rPr>
          <w:noProof/>
        </w:rPr>
      </w:pPr>
      <w:r>
        <w:rPr>
          <w:noProof/>
        </w:rPr>
        <w:t xml:space="preserve">Une installation européenne d’essai et d’expérimentation de référence est mise en place et mise en service. La mesure vise à établir un lien entre les secteurs de la recherche et l’économie au sens large (tels que les pôles d’innovation numérique européens et nationaux) en permettant aux entreprises (par exemple, les petites et moyennes entreprises) de tester les technologies et les applications développées afin qu’elles puissent être utilisées dans leurs activités. Un cofinancement au titre du programme pour une Europe numérique est prévu. </w:t>
      </w:r>
    </w:p>
    <w:p w14:paraId="7281846B" w14:textId="293E8CC8" w:rsidR="00025543" w:rsidRDefault="007E3A2F">
      <w:pPr>
        <w:pStyle w:val="P68B1DB1-Normal3"/>
        <w:autoSpaceDE w:val="0"/>
        <w:autoSpaceDN w:val="0"/>
        <w:adjustRightInd w:val="0"/>
        <w:spacing w:line="240" w:lineRule="auto"/>
        <w:jc w:val="both"/>
        <w:rPr>
          <w:noProof/>
        </w:rPr>
      </w:pPr>
      <w:r>
        <w:rPr>
          <w:noProof/>
        </w:rPr>
        <w:t xml:space="preserve">L’investissement est mis </w:t>
      </w:r>
      <w:r>
        <w:rPr>
          <w:noProof/>
          <w:color w:val="000000"/>
        </w:rPr>
        <w:t>en œuvre</w:t>
      </w:r>
      <w:r>
        <w:rPr>
          <w:noProof/>
        </w:rPr>
        <w:t xml:space="preserve"> au plus tard le 31 décembre 2024.</w:t>
      </w:r>
    </w:p>
    <w:p w14:paraId="6DC1EE63" w14:textId="60FEFCBE" w:rsidR="00025543" w:rsidRDefault="007E3A2F">
      <w:pPr>
        <w:pStyle w:val="P68B1DB1-Normal26"/>
        <w:autoSpaceDE w:val="0"/>
        <w:autoSpaceDN w:val="0"/>
        <w:adjustRightInd w:val="0"/>
        <w:spacing w:line="240" w:lineRule="auto"/>
        <w:jc w:val="both"/>
        <w:rPr>
          <w:noProof/>
        </w:rPr>
      </w:pPr>
      <w:r>
        <w:rPr>
          <w:noProof/>
        </w:rPr>
        <w:t>Investissement 3: Transformation numérique des entreprises manufacturières et non productrices et renforcement de leur résilience</w:t>
      </w:r>
    </w:p>
    <w:p w14:paraId="43E32CFF" w14:textId="213F3ECB" w:rsidR="00025543" w:rsidRDefault="007E3A2F">
      <w:pPr>
        <w:pStyle w:val="P68B1DB1-Normal3"/>
        <w:autoSpaceDE w:val="0"/>
        <w:autoSpaceDN w:val="0"/>
        <w:adjustRightInd w:val="0"/>
        <w:spacing w:line="240" w:lineRule="auto"/>
        <w:jc w:val="both"/>
        <w:rPr>
          <w:noProof/>
        </w:rPr>
      </w:pPr>
      <w:r>
        <w:rPr>
          <w:noProof/>
        </w:rPr>
        <w:t>Un soutien direct à la transformation numérique (comme l’intelligence artificielle, l’automatisation des processus, la robotique, le calcul à haute performance et la cybersécurité) est fourni à 377 entreprises. Les deux tiers des fonds sont alloués aux petites et moyennes entreprises et aux entreprises à moyenne capitalisation, et un tiers aux grandes entreprises. La mesure vise à accroître les processus numériques, en particulier dans les petites et moyennes entreprises, mais aussi dans les grandes entreprises.</w:t>
      </w:r>
    </w:p>
    <w:p w14:paraId="7D42152A" w14:textId="77777777" w:rsidR="00025543" w:rsidRDefault="007E3A2F">
      <w:pPr>
        <w:pStyle w:val="P68B1DB1-Normal3"/>
        <w:autoSpaceDE w:val="0"/>
        <w:autoSpaceDN w:val="0"/>
        <w:adjustRightInd w:val="0"/>
        <w:spacing w:line="240" w:lineRule="auto"/>
        <w:jc w:val="both"/>
        <w:rPr>
          <w:noProof/>
        </w:rPr>
      </w:pPr>
      <w:r>
        <w:rPr>
          <w:noProof/>
        </w:rPr>
        <w:t xml:space="preserve">L’investissement est mis </w:t>
      </w:r>
      <w:r>
        <w:rPr>
          <w:noProof/>
          <w:color w:val="000000"/>
        </w:rPr>
        <w:t>en œuvre</w:t>
      </w:r>
      <w:r>
        <w:rPr>
          <w:noProof/>
        </w:rPr>
        <w:t xml:space="preserve"> au plus tard le 31 décembre 2025.</w:t>
      </w:r>
    </w:p>
    <w:p w14:paraId="6B32E6FD" w14:textId="77777777" w:rsidR="00025543" w:rsidRDefault="00025543">
      <w:pPr>
        <w:autoSpaceDE w:val="0"/>
        <w:autoSpaceDN w:val="0"/>
        <w:adjustRightInd w:val="0"/>
        <w:spacing w:line="240" w:lineRule="auto"/>
        <w:jc w:val="both"/>
        <w:rPr>
          <w:noProof/>
        </w:rPr>
        <w:sectPr w:rsidR="00025543" w:rsidSect="00507AA7">
          <w:headerReference w:type="even" r:id="rId102"/>
          <w:headerReference w:type="default" r:id="rId103"/>
          <w:footerReference w:type="even" r:id="rId104"/>
          <w:footerReference w:type="default" r:id="rId105"/>
          <w:headerReference w:type="first" r:id="rId106"/>
          <w:footerReference w:type="first" r:id="rId107"/>
          <w:pgSz w:w="11907" w:h="16839"/>
          <w:pgMar w:top="1134" w:right="1134" w:bottom="1134" w:left="1134" w:header="567" w:footer="567" w:gutter="0"/>
          <w:cols w:space="720"/>
          <w:docGrid w:linePitch="360"/>
        </w:sectPr>
      </w:pPr>
    </w:p>
    <w:p w14:paraId="615EE152" w14:textId="1258C2AC" w:rsidR="00025543" w:rsidRDefault="007E3A2F">
      <w:pPr>
        <w:pStyle w:val="P68B1DB1-Normal5"/>
        <w:tabs>
          <w:tab w:val="left" w:pos="993"/>
        </w:tabs>
        <w:spacing w:line="240" w:lineRule="auto"/>
        <w:jc w:val="both"/>
        <w:rPr>
          <w:noProof/>
        </w:rPr>
      </w:pPr>
      <w:r>
        <w:rPr>
          <w:noProof/>
        </w:rPr>
        <w:t>E.2. Jalons, cibles, indicateurs et calendrier de suivi et de mise en œuvre en vue du soutien financier non remboursable</w:t>
      </w:r>
    </w:p>
    <w:tbl>
      <w:tblPr>
        <w:tblW w:w="14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200"/>
        <w:gridCol w:w="1067"/>
        <w:gridCol w:w="1068"/>
        <w:gridCol w:w="1172"/>
        <w:gridCol w:w="1068"/>
        <w:gridCol w:w="1015"/>
        <w:gridCol w:w="1068"/>
        <w:gridCol w:w="1014"/>
        <w:gridCol w:w="990"/>
        <w:gridCol w:w="4347"/>
      </w:tblGrid>
      <w:tr w:rsidR="00025543" w14:paraId="7BBC70BB" w14:textId="77777777">
        <w:trPr>
          <w:trHeight w:val="107"/>
          <w:tblHeader/>
        </w:trPr>
        <w:tc>
          <w:tcPr>
            <w:tcW w:w="675" w:type="dxa"/>
            <w:vMerge w:val="restart"/>
            <w:shd w:val="clear" w:color="auto" w:fill="BDD7EE"/>
            <w:vAlign w:val="center"/>
          </w:tcPr>
          <w:p w14:paraId="0FF6DEC2" w14:textId="77777777" w:rsidR="00025543" w:rsidRDefault="007E3A2F">
            <w:pPr>
              <w:pStyle w:val="P68B1DB1-Normal27"/>
              <w:spacing w:line="240" w:lineRule="auto"/>
              <w:jc w:val="center"/>
              <w:rPr>
                <w:noProof/>
              </w:rPr>
            </w:pPr>
            <w:r>
              <w:rPr>
                <w:noProof/>
              </w:rPr>
              <w:t>Séquence NUM.</w:t>
            </w:r>
          </w:p>
        </w:tc>
        <w:tc>
          <w:tcPr>
            <w:tcW w:w="1278" w:type="dxa"/>
            <w:vMerge w:val="restart"/>
            <w:shd w:val="clear" w:color="auto" w:fill="BDD7EE"/>
            <w:vAlign w:val="center"/>
          </w:tcPr>
          <w:p w14:paraId="0CCC7566" w14:textId="77777777" w:rsidR="00025543" w:rsidRDefault="007E3A2F">
            <w:pPr>
              <w:pStyle w:val="P68B1DB1-Normal9"/>
              <w:spacing w:line="240" w:lineRule="auto"/>
              <w:jc w:val="center"/>
              <w:rPr>
                <w:noProof/>
              </w:rPr>
            </w:pPr>
            <w:r>
              <w:rPr>
                <w:noProof/>
              </w:rPr>
              <w:t xml:space="preserve">Mesure connexe (réforme ou investissement) </w:t>
            </w:r>
          </w:p>
        </w:tc>
        <w:tc>
          <w:tcPr>
            <w:tcW w:w="1134" w:type="dxa"/>
            <w:vMerge w:val="restart"/>
            <w:shd w:val="clear" w:color="auto" w:fill="BDD7EE"/>
            <w:vAlign w:val="center"/>
          </w:tcPr>
          <w:p w14:paraId="1AC07105" w14:textId="77777777" w:rsidR="00025543" w:rsidRDefault="007E3A2F">
            <w:pPr>
              <w:pStyle w:val="P68B1DB1-Normal9"/>
              <w:spacing w:line="240" w:lineRule="auto"/>
              <w:jc w:val="center"/>
              <w:rPr>
                <w:noProof/>
              </w:rPr>
            </w:pPr>
            <w:r>
              <w:rPr>
                <w:noProof/>
              </w:rPr>
              <w:t xml:space="preserve">Jalon/cible </w:t>
            </w:r>
          </w:p>
        </w:tc>
        <w:tc>
          <w:tcPr>
            <w:tcW w:w="1134" w:type="dxa"/>
            <w:vMerge w:val="restart"/>
            <w:shd w:val="clear" w:color="auto" w:fill="BDD7EE"/>
            <w:vAlign w:val="center"/>
          </w:tcPr>
          <w:p w14:paraId="63BC91AC" w14:textId="77777777" w:rsidR="00025543" w:rsidRDefault="007E3A2F">
            <w:pPr>
              <w:pStyle w:val="P68B1DB1-Normal9"/>
              <w:spacing w:line="240" w:lineRule="auto"/>
              <w:jc w:val="center"/>
              <w:rPr>
                <w:noProof/>
              </w:rPr>
            </w:pPr>
            <w:r>
              <w:rPr>
                <w:noProof/>
              </w:rPr>
              <w:t xml:space="preserve">Nom </w:t>
            </w:r>
          </w:p>
        </w:tc>
        <w:tc>
          <w:tcPr>
            <w:tcW w:w="1247" w:type="dxa"/>
            <w:vMerge w:val="restart"/>
            <w:shd w:val="clear" w:color="auto" w:fill="BDD7EE"/>
            <w:vAlign w:val="center"/>
          </w:tcPr>
          <w:p w14:paraId="542D70EA" w14:textId="77777777" w:rsidR="00025543" w:rsidRDefault="007E3A2F">
            <w:pPr>
              <w:pStyle w:val="P68B1DB1-Normal12"/>
              <w:spacing w:line="240" w:lineRule="auto"/>
              <w:jc w:val="center"/>
              <w:rPr>
                <w:noProof/>
              </w:rPr>
            </w:pPr>
            <w:r>
              <w:rPr>
                <w:rFonts w:eastAsia="Times New Roman"/>
                <w:b/>
                <w:noProof/>
              </w:rPr>
              <w:t>Qualitatifs</w:t>
            </w:r>
            <w:r>
              <w:rPr>
                <w:noProof/>
              </w:rPr>
              <w:br/>
            </w:r>
            <w:r>
              <w:rPr>
                <w:rFonts w:eastAsia="Times New Roman"/>
                <w:b/>
                <w:noProof/>
              </w:rPr>
              <w:t xml:space="preserve"> (pour les jalons) </w:t>
            </w:r>
          </w:p>
        </w:tc>
        <w:tc>
          <w:tcPr>
            <w:tcW w:w="2552" w:type="dxa"/>
            <w:gridSpan w:val="3"/>
            <w:shd w:val="clear" w:color="auto" w:fill="BDD7EE"/>
            <w:vAlign w:val="center"/>
          </w:tcPr>
          <w:p w14:paraId="6E519D64" w14:textId="77777777" w:rsidR="00025543" w:rsidRDefault="007E3A2F">
            <w:pPr>
              <w:pStyle w:val="P68B1DB1-Normal12"/>
              <w:spacing w:line="240" w:lineRule="auto"/>
              <w:jc w:val="center"/>
              <w:rPr>
                <w:noProof/>
              </w:rPr>
            </w:pPr>
            <w:r>
              <w:rPr>
                <w:rFonts w:eastAsia="Times New Roman"/>
                <w:b/>
                <w:noProof/>
              </w:rPr>
              <w:t>Indicateurs quantitatifs</w:t>
            </w:r>
            <w:r>
              <w:rPr>
                <w:noProof/>
              </w:rPr>
              <w:br/>
            </w:r>
            <w:r>
              <w:rPr>
                <w:rFonts w:eastAsia="Times New Roman"/>
                <w:b/>
                <w:noProof/>
              </w:rPr>
              <w:t xml:space="preserve"> (pour les objectifs)</w:t>
            </w:r>
          </w:p>
        </w:tc>
        <w:tc>
          <w:tcPr>
            <w:tcW w:w="2126" w:type="dxa"/>
            <w:gridSpan w:val="2"/>
            <w:shd w:val="clear" w:color="auto" w:fill="BDD7EE"/>
            <w:vAlign w:val="center"/>
          </w:tcPr>
          <w:p w14:paraId="4C10041B" w14:textId="77777777" w:rsidR="00025543" w:rsidRDefault="007E3A2F">
            <w:pPr>
              <w:pStyle w:val="P68B1DB1-Normal9"/>
              <w:spacing w:line="240" w:lineRule="auto"/>
              <w:jc w:val="center"/>
              <w:rPr>
                <w:noProof/>
              </w:rPr>
            </w:pPr>
            <w:r>
              <w:rPr>
                <w:noProof/>
              </w:rPr>
              <w:t xml:space="preserve">Calendrier indicatif de réalisation </w:t>
            </w:r>
          </w:p>
        </w:tc>
        <w:tc>
          <w:tcPr>
            <w:tcW w:w="4675" w:type="dxa"/>
            <w:vMerge w:val="restart"/>
            <w:shd w:val="clear" w:color="auto" w:fill="BDD7EE"/>
            <w:vAlign w:val="center"/>
          </w:tcPr>
          <w:p w14:paraId="1D7A668A" w14:textId="77777777" w:rsidR="00025543" w:rsidRDefault="007E3A2F">
            <w:pPr>
              <w:pStyle w:val="P68B1DB1-Normal9"/>
              <w:spacing w:line="240" w:lineRule="auto"/>
              <w:jc w:val="center"/>
              <w:rPr>
                <w:noProof/>
              </w:rPr>
            </w:pPr>
            <w:r>
              <w:rPr>
                <w:noProof/>
              </w:rPr>
              <w:t>Description et définition claire de chaque jalon et cible</w:t>
            </w:r>
          </w:p>
        </w:tc>
      </w:tr>
      <w:tr w:rsidR="00025543" w14:paraId="1CC1AC19" w14:textId="77777777">
        <w:trPr>
          <w:trHeight w:val="173"/>
          <w:tblHeader/>
        </w:trPr>
        <w:tc>
          <w:tcPr>
            <w:tcW w:w="675" w:type="dxa"/>
            <w:vMerge/>
            <w:vAlign w:val="center"/>
          </w:tcPr>
          <w:p w14:paraId="073DA368" w14:textId="77777777" w:rsidR="00025543" w:rsidRDefault="00025543">
            <w:pPr>
              <w:spacing w:line="240" w:lineRule="auto"/>
              <w:jc w:val="center"/>
              <w:rPr>
                <w:noProof/>
                <w:sz w:val="18"/>
              </w:rPr>
            </w:pPr>
          </w:p>
        </w:tc>
        <w:tc>
          <w:tcPr>
            <w:tcW w:w="1278" w:type="dxa"/>
            <w:vMerge/>
            <w:vAlign w:val="center"/>
          </w:tcPr>
          <w:p w14:paraId="62B28ECB" w14:textId="77777777" w:rsidR="00025543" w:rsidRDefault="00025543">
            <w:pPr>
              <w:spacing w:line="240" w:lineRule="auto"/>
              <w:jc w:val="center"/>
              <w:rPr>
                <w:noProof/>
                <w:sz w:val="18"/>
              </w:rPr>
            </w:pPr>
          </w:p>
        </w:tc>
        <w:tc>
          <w:tcPr>
            <w:tcW w:w="1134" w:type="dxa"/>
            <w:vMerge/>
            <w:vAlign w:val="center"/>
          </w:tcPr>
          <w:p w14:paraId="771CDC8E" w14:textId="77777777" w:rsidR="00025543" w:rsidRDefault="00025543">
            <w:pPr>
              <w:spacing w:line="240" w:lineRule="auto"/>
              <w:jc w:val="center"/>
              <w:rPr>
                <w:noProof/>
                <w:sz w:val="18"/>
              </w:rPr>
            </w:pPr>
          </w:p>
        </w:tc>
        <w:tc>
          <w:tcPr>
            <w:tcW w:w="1134" w:type="dxa"/>
            <w:vMerge/>
            <w:vAlign w:val="center"/>
          </w:tcPr>
          <w:p w14:paraId="2946397C" w14:textId="77777777" w:rsidR="00025543" w:rsidRDefault="00025543">
            <w:pPr>
              <w:spacing w:line="240" w:lineRule="auto"/>
              <w:jc w:val="center"/>
              <w:rPr>
                <w:noProof/>
                <w:sz w:val="18"/>
              </w:rPr>
            </w:pPr>
          </w:p>
        </w:tc>
        <w:tc>
          <w:tcPr>
            <w:tcW w:w="1247" w:type="dxa"/>
            <w:vMerge/>
            <w:vAlign w:val="center"/>
          </w:tcPr>
          <w:p w14:paraId="0618144E" w14:textId="77777777" w:rsidR="00025543" w:rsidRDefault="00025543">
            <w:pPr>
              <w:spacing w:line="240" w:lineRule="auto"/>
              <w:jc w:val="center"/>
              <w:rPr>
                <w:noProof/>
                <w:sz w:val="18"/>
              </w:rPr>
            </w:pPr>
          </w:p>
        </w:tc>
        <w:tc>
          <w:tcPr>
            <w:tcW w:w="1134" w:type="dxa"/>
            <w:shd w:val="clear" w:color="auto" w:fill="BDD7EE"/>
            <w:vAlign w:val="center"/>
          </w:tcPr>
          <w:p w14:paraId="64CFA809" w14:textId="77777777" w:rsidR="00025543" w:rsidRDefault="007E3A2F">
            <w:pPr>
              <w:pStyle w:val="P68B1DB1-Normal9"/>
              <w:spacing w:line="240" w:lineRule="auto"/>
              <w:jc w:val="center"/>
              <w:rPr>
                <w:noProof/>
              </w:rPr>
            </w:pPr>
            <w:r>
              <w:rPr>
                <w:noProof/>
              </w:rPr>
              <w:t>Unité de mesure</w:t>
            </w:r>
          </w:p>
        </w:tc>
        <w:tc>
          <w:tcPr>
            <w:tcW w:w="1077" w:type="dxa"/>
            <w:shd w:val="clear" w:color="auto" w:fill="BDD7EE"/>
            <w:vAlign w:val="center"/>
          </w:tcPr>
          <w:p w14:paraId="0D6E47DA" w14:textId="77777777" w:rsidR="00025543" w:rsidRDefault="007E3A2F">
            <w:pPr>
              <w:pStyle w:val="P68B1DB1-Normal9"/>
              <w:spacing w:line="240" w:lineRule="auto"/>
              <w:jc w:val="center"/>
              <w:rPr>
                <w:noProof/>
              </w:rPr>
            </w:pPr>
            <w:r>
              <w:rPr>
                <w:noProof/>
              </w:rPr>
              <w:t>Scénario de référence</w:t>
            </w:r>
          </w:p>
        </w:tc>
        <w:tc>
          <w:tcPr>
            <w:tcW w:w="1134" w:type="dxa"/>
            <w:shd w:val="clear" w:color="auto" w:fill="BDD7EE"/>
            <w:vAlign w:val="center"/>
          </w:tcPr>
          <w:p w14:paraId="5AC71CDB" w14:textId="77777777" w:rsidR="00025543" w:rsidRDefault="007E3A2F">
            <w:pPr>
              <w:pStyle w:val="P68B1DB1-Normal9"/>
              <w:spacing w:line="240" w:lineRule="auto"/>
              <w:jc w:val="center"/>
              <w:rPr>
                <w:noProof/>
              </w:rPr>
            </w:pPr>
            <w:r>
              <w:rPr>
                <w:noProof/>
              </w:rPr>
              <w:t>Objectif</w:t>
            </w:r>
          </w:p>
        </w:tc>
        <w:tc>
          <w:tcPr>
            <w:tcW w:w="1076" w:type="dxa"/>
            <w:shd w:val="clear" w:color="auto" w:fill="BDD7EE"/>
            <w:vAlign w:val="center"/>
          </w:tcPr>
          <w:p w14:paraId="23AAF346" w14:textId="77777777" w:rsidR="00025543" w:rsidRDefault="007E3A2F">
            <w:pPr>
              <w:pStyle w:val="P68B1DB1-Normal9"/>
              <w:spacing w:line="240" w:lineRule="auto"/>
              <w:jc w:val="center"/>
              <w:rPr>
                <w:noProof/>
              </w:rPr>
            </w:pPr>
            <w:r>
              <w:rPr>
                <w:noProof/>
              </w:rPr>
              <w:t>Trimestre</w:t>
            </w:r>
          </w:p>
        </w:tc>
        <w:tc>
          <w:tcPr>
            <w:tcW w:w="1050" w:type="dxa"/>
            <w:shd w:val="clear" w:color="auto" w:fill="BDD7EE"/>
            <w:vAlign w:val="center"/>
          </w:tcPr>
          <w:p w14:paraId="7043859D" w14:textId="77777777" w:rsidR="00025543" w:rsidRDefault="007E3A2F">
            <w:pPr>
              <w:pStyle w:val="P68B1DB1-Normal9"/>
              <w:spacing w:line="240" w:lineRule="auto"/>
              <w:jc w:val="center"/>
              <w:rPr>
                <w:noProof/>
              </w:rPr>
            </w:pPr>
            <w:r>
              <w:rPr>
                <w:noProof/>
              </w:rPr>
              <w:t>Année</w:t>
            </w:r>
          </w:p>
        </w:tc>
        <w:tc>
          <w:tcPr>
            <w:tcW w:w="4675" w:type="dxa"/>
            <w:vMerge/>
            <w:vAlign w:val="center"/>
          </w:tcPr>
          <w:p w14:paraId="6969D949" w14:textId="77777777" w:rsidR="00025543" w:rsidRDefault="00025543">
            <w:pPr>
              <w:spacing w:line="240" w:lineRule="auto"/>
              <w:jc w:val="center"/>
              <w:rPr>
                <w:noProof/>
                <w:sz w:val="18"/>
              </w:rPr>
            </w:pPr>
          </w:p>
        </w:tc>
      </w:tr>
      <w:tr w:rsidR="00025543" w14:paraId="4F7ECF1D" w14:textId="77777777">
        <w:trPr>
          <w:trHeight w:val="945"/>
        </w:trPr>
        <w:tc>
          <w:tcPr>
            <w:tcW w:w="675" w:type="dxa"/>
            <w:shd w:val="clear" w:color="auto" w:fill="C6EFCE"/>
            <w:vAlign w:val="center"/>
          </w:tcPr>
          <w:p w14:paraId="4CF4081C" w14:textId="77777777" w:rsidR="00025543" w:rsidRDefault="007E3A2F">
            <w:pPr>
              <w:pStyle w:val="P68B1DB1-Normal28"/>
              <w:spacing w:line="240" w:lineRule="auto"/>
              <w:jc w:val="center"/>
              <w:rPr>
                <w:noProof/>
              </w:rPr>
            </w:pPr>
            <w:r>
              <w:rPr>
                <w:noProof/>
              </w:rPr>
              <w:t>68</w:t>
            </w:r>
          </w:p>
        </w:tc>
        <w:tc>
          <w:tcPr>
            <w:tcW w:w="1278" w:type="dxa"/>
            <w:shd w:val="clear" w:color="auto" w:fill="C6EFCE"/>
            <w:vAlign w:val="center"/>
          </w:tcPr>
          <w:p w14:paraId="48E7E985" w14:textId="77777777" w:rsidR="00025543" w:rsidRDefault="007E3A2F">
            <w:pPr>
              <w:pStyle w:val="P68B1DB1-Normal28"/>
              <w:spacing w:line="240" w:lineRule="auto"/>
              <w:rPr>
                <w:noProof/>
              </w:rPr>
            </w:pPr>
            <w:r>
              <w:rPr>
                <w:noProof/>
              </w:rPr>
              <w:t>Réforme 1: Création d’une plateforme pour la numérisation de l’économie</w:t>
            </w:r>
          </w:p>
        </w:tc>
        <w:tc>
          <w:tcPr>
            <w:tcW w:w="1134" w:type="dxa"/>
            <w:shd w:val="clear" w:color="auto" w:fill="C6EFCE"/>
            <w:vAlign w:val="center"/>
          </w:tcPr>
          <w:p w14:paraId="03F67ADF" w14:textId="77777777" w:rsidR="00025543" w:rsidRDefault="007E3A2F">
            <w:pPr>
              <w:pStyle w:val="P68B1DB1-Normal28"/>
              <w:spacing w:line="240" w:lineRule="auto"/>
              <w:rPr>
                <w:noProof/>
              </w:rPr>
            </w:pPr>
            <w:r>
              <w:rPr>
                <w:noProof/>
              </w:rPr>
              <w:t>Étapes</w:t>
            </w:r>
          </w:p>
        </w:tc>
        <w:tc>
          <w:tcPr>
            <w:tcW w:w="1134" w:type="dxa"/>
            <w:shd w:val="clear" w:color="auto" w:fill="C6EFCE"/>
            <w:vAlign w:val="center"/>
          </w:tcPr>
          <w:p w14:paraId="21D4718A" w14:textId="77777777" w:rsidR="00025543" w:rsidRDefault="007E3A2F">
            <w:pPr>
              <w:pStyle w:val="P68B1DB1-Normal28"/>
              <w:spacing w:line="240" w:lineRule="auto"/>
              <w:rPr>
                <w:noProof/>
              </w:rPr>
            </w:pPr>
            <w:r>
              <w:rPr>
                <w:noProof/>
              </w:rPr>
              <w:t>Création d’une plateforme pour la numérisation de l’économie</w:t>
            </w:r>
          </w:p>
        </w:tc>
        <w:tc>
          <w:tcPr>
            <w:tcW w:w="1247" w:type="dxa"/>
            <w:shd w:val="clear" w:color="auto" w:fill="C6EFCE"/>
            <w:vAlign w:val="center"/>
          </w:tcPr>
          <w:p w14:paraId="6E147B45" w14:textId="77777777" w:rsidR="00025543" w:rsidRDefault="007E3A2F">
            <w:pPr>
              <w:pStyle w:val="P68B1DB1-Normal28"/>
              <w:spacing w:line="240" w:lineRule="auto"/>
              <w:rPr>
                <w:noProof/>
              </w:rPr>
            </w:pPr>
            <w:r>
              <w:rPr>
                <w:noProof/>
              </w:rPr>
              <w:t>Lancement de l’exploitation de la plateforme</w:t>
            </w:r>
          </w:p>
        </w:tc>
        <w:tc>
          <w:tcPr>
            <w:tcW w:w="1134" w:type="dxa"/>
            <w:shd w:val="clear" w:color="auto" w:fill="C6EFCE"/>
            <w:vAlign w:val="center"/>
          </w:tcPr>
          <w:p w14:paraId="22C9F27D" w14:textId="77777777" w:rsidR="00025543" w:rsidRDefault="00025543">
            <w:pPr>
              <w:spacing w:line="240" w:lineRule="auto"/>
              <w:rPr>
                <w:noProof/>
                <w:color w:val="006100"/>
                <w:sz w:val="18"/>
              </w:rPr>
            </w:pPr>
          </w:p>
        </w:tc>
        <w:tc>
          <w:tcPr>
            <w:tcW w:w="1077" w:type="dxa"/>
            <w:shd w:val="clear" w:color="auto" w:fill="C6EFCE"/>
            <w:vAlign w:val="center"/>
          </w:tcPr>
          <w:p w14:paraId="386878F5" w14:textId="77777777" w:rsidR="00025543" w:rsidRDefault="00025543">
            <w:pPr>
              <w:spacing w:line="240" w:lineRule="auto"/>
              <w:jc w:val="center"/>
              <w:rPr>
                <w:noProof/>
                <w:color w:val="006100"/>
                <w:sz w:val="18"/>
              </w:rPr>
            </w:pPr>
          </w:p>
        </w:tc>
        <w:tc>
          <w:tcPr>
            <w:tcW w:w="1134" w:type="dxa"/>
            <w:shd w:val="clear" w:color="auto" w:fill="C6EFCE"/>
            <w:vAlign w:val="center"/>
          </w:tcPr>
          <w:p w14:paraId="1AF516CA" w14:textId="77777777" w:rsidR="00025543" w:rsidRDefault="00025543">
            <w:pPr>
              <w:spacing w:line="240" w:lineRule="auto"/>
              <w:jc w:val="center"/>
              <w:rPr>
                <w:noProof/>
                <w:color w:val="006100"/>
                <w:sz w:val="18"/>
              </w:rPr>
            </w:pPr>
          </w:p>
        </w:tc>
        <w:tc>
          <w:tcPr>
            <w:tcW w:w="1076" w:type="dxa"/>
            <w:shd w:val="clear" w:color="auto" w:fill="C6EFCE"/>
            <w:vAlign w:val="center"/>
          </w:tcPr>
          <w:p w14:paraId="4777F74F" w14:textId="77777777" w:rsidR="00025543" w:rsidRDefault="007E3A2F">
            <w:pPr>
              <w:pStyle w:val="P68B1DB1-Normal28"/>
              <w:spacing w:line="240" w:lineRule="auto"/>
              <w:jc w:val="center"/>
              <w:rPr>
                <w:noProof/>
              </w:rPr>
            </w:pPr>
            <w:r>
              <w:rPr>
                <w:noProof/>
              </w:rPr>
              <w:t>TRIMESTRE 1</w:t>
            </w:r>
          </w:p>
        </w:tc>
        <w:tc>
          <w:tcPr>
            <w:tcW w:w="1050" w:type="dxa"/>
            <w:shd w:val="clear" w:color="auto" w:fill="C6EFCE"/>
            <w:vAlign w:val="center"/>
          </w:tcPr>
          <w:p w14:paraId="605766D1" w14:textId="77777777" w:rsidR="00025543" w:rsidRDefault="007E3A2F">
            <w:pPr>
              <w:pStyle w:val="P68B1DB1-Normal28"/>
              <w:spacing w:line="240" w:lineRule="auto"/>
              <w:jc w:val="center"/>
              <w:rPr>
                <w:noProof/>
              </w:rPr>
            </w:pPr>
            <w:r>
              <w:rPr>
                <w:noProof/>
              </w:rPr>
              <w:t>2022</w:t>
            </w:r>
          </w:p>
        </w:tc>
        <w:tc>
          <w:tcPr>
            <w:tcW w:w="4675" w:type="dxa"/>
            <w:shd w:val="clear" w:color="auto" w:fill="C6EFCE"/>
            <w:vAlign w:val="center"/>
          </w:tcPr>
          <w:p w14:paraId="141046F5" w14:textId="7230FA8D" w:rsidR="00025543" w:rsidRDefault="007E3A2F">
            <w:pPr>
              <w:pStyle w:val="P68B1DB1-Normal12"/>
              <w:spacing w:line="240" w:lineRule="auto"/>
              <w:rPr>
                <w:noProof/>
                <w:color w:val="006100"/>
              </w:rPr>
            </w:pPr>
            <w:r>
              <w:rPr>
                <w:noProof/>
                <w:color w:val="006100"/>
              </w:rPr>
              <w:t>Une plateforme pour la numérisation de l’économie est mise en place et son fonctionnement est lancé. La plateforme coordonne l’interconnexion de tous les acteurs de l’écosystème numérique national, tels que les pôles d’innovation numérique européens et nationaux, les centres nationaux de compétences en matière de calcul à haute performance et de cybersécurité, les installations européennes d’essai et d’expérimentation de référence, les centres d’innovation et les clients de tous ces centres.</w:t>
            </w:r>
            <w:r>
              <w:rPr>
                <w:rFonts w:ascii="Calibri" w:hAnsi="Calibri"/>
                <w:noProof/>
              </w:rPr>
              <w:t xml:space="preserve"> La</w:t>
            </w:r>
            <w:r>
              <w:rPr>
                <w:noProof/>
                <w:color w:val="006100"/>
              </w:rPr>
              <w:t>plateforme agit en tant que l’un des groupes de travail du comité de la transformation numérique qui sera mis en place dans le cadre de la réforme 1 au titre du volet 1.4.</w:t>
            </w:r>
          </w:p>
        </w:tc>
      </w:tr>
      <w:tr w:rsidR="00025543" w14:paraId="0BFC575A" w14:textId="77777777">
        <w:trPr>
          <w:trHeight w:val="945"/>
        </w:trPr>
        <w:tc>
          <w:tcPr>
            <w:tcW w:w="675" w:type="dxa"/>
            <w:shd w:val="clear" w:color="auto" w:fill="C6EFCE"/>
            <w:vAlign w:val="center"/>
          </w:tcPr>
          <w:p w14:paraId="4EDC6885" w14:textId="77777777" w:rsidR="00025543" w:rsidRDefault="007E3A2F">
            <w:pPr>
              <w:pStyle w:val="P68B1DB1-Normal28"/>
              <w:spacing w:line="240" w:lineRule="auto"/>
              <w:jc w:val="center"/>
              <w:rPr>
                <w:noProof/>
              </w:rPr>
            </w:pPr>
            <w:r>
              <w:rPr>
                <w:noProof/>
              </w:rPr>
              <w:t>69</w:t>
            </w:r>
          </w:p>
        </w:tc>
        <w:tc>
          <w:tcPr>
            <w:tcW w:w="1278" w:type="dxa"/>
            <w:shd w:val="clear" w:color="auto" w:fill="C6EFCE"/>
            <w:vAlign w:val="center"/>
          </w:tcPr>
          <w:p w14:paraId="78A2A01D" w14:textId="77777777" w:rsidR="00025543" w:rsidRDefault="007E3A2F">
            <w:pPr>
              <w:pStyle w:val="P68B1DB1-Normal28"/>
              <w:spacing w:line="240" w:lineRule="auto"/>
              <w:rPr>
                <w:noProof/>
              </w:rPr>
            </w:pPr>
            <w:r>
              <w:rPr>
                <w:noProof/>
              </w:rPr>
              <w:t>Investissement 1: Pôles d’innovation numérique européens et nationaux</w:t>
            </w:r>
          </w:p>
        </w:tc>
        <w:tc>
          <w:tcPr>
            <w:tcW w:w="1134" w:type="dxa"/>
            <w:shd w:val="clear" w:color="auto" w:fill="C6EFCE"/>
            <w:vAlign w:val="center"/>
          </w:tcPr>
          <w:p w14:paraId="11E564A9" w14:textId="77777777" w:rsidR="00025543" w:rsidRDefault="007E3A2F">
            <w:pPr>
              <w:pStyle w:val="P68B1DB1-Normal28"/>
              <w:spacing w:line="240" w:lineRule="auto"/>
              <w:rPr>
                <w:noProof/>
              </w:rPr>
            </w:pPr>
            <w:r>
              <w:rPr>
                <w:noProof/>
              </w:rPr>
              <w:t>Cible</w:t>
            </w:r>
          </w:p>
        </w:tc>
        <w:tc>
          <w:tcPr>
            <w:tcW w:w="1134" w:type="dxa"/>
            <w:shd w:val="clear" w:color="auto" w:fill="C6EFCE"/>
            <w:vAlign w:val="center"/>
          </w:tcPr>
          <w:p w14:paraId="28535F11" w14:textId="77777777" w:rsidR="00025543" w:rsidRDefault="007E3A2F">
            <w:pPr>
              <w:pStyle w:val="P68B1DB1-Normal28"/>
              <w:spacing w:line="240" w:lineRule="auto"/>
              <w:rPr>
                <w:noProof/>
              </w:rPr>
            </w:pPr>
            <w:r>
              <w:rPr>
                <w:noProof/>
              </w:rPr>
              <w:t>Création de pôles d’innovation numérique européens et nationaux fonctionnels et interconnectés</w:t>
            </w:r>
          </w:p>
        </w:tc>
        <w:tc>
          <w:tcPr>
            <w:tcW w:w="1247" w:type="dxa"/>
            <w:shd w:val="clear" w:color="auto" w:fill="C6EFCE"/>
            <w:vAlign w:val="center"/>
          </w:tcPr>
          <w:p w14:paraId="2172E772" w14:textId="77777777" w:rsidR="00025543" w:rsidRDefault="00025543">
            <w:pPr>
              <w:spacing w:line="240" w:lineRule="auto"/>
              <w:rPr>
                <w:noProof/>
                <w:color w:val="006100"/>
                <w:sz w:val="18"/>
              </w:rPr>
            </w:pPr>
          </w:p>
        </w:tc>
        <w:tc>
          <w:tcPr>
            <w:tcW w:w="1134" w:type="dxa"/>
            <w:shd w:val="clear" w:color="auto" w:fill="C6EFCE"/>
            <w:vAlign w:val="center"/>
          </w:tcPr>
          <w:p w14:paraId="5025B2D7" w14:textId="77777777" w:rsidR="00025543" w:rsidRDefault="007E3A2F">
            <w:pPr>
              <w:pStyle w:val="P68B1DB1-Normal28"/>
              <w:spacing w:line="240" w:lineRule="auto"/>
              <w:rPr>
                <w:noProof/>
              </w:rPr>
            </w:pPr>
            <w:r>
              <w:rPr>
                <w:noProof/>
              </w:rPr>
              <w:t>Nombre de pôles d’innovation numérique européens et nationaux</w:t>
            </w:r>
          </w:p>
        </w:tc>
        <w:tc>
          <w:tcPr>
            <w:tcW w:w="1077" w:type="dxa"/>
            <w:shd w:val="clear" w:color="auto" w:fill="C6EFCE"/>
            <w:vAlign w:val="center"/>
          </w:tcPr>
          <w:p w14:paraId="514AC54F" w14:textId="77777777" w:rsidR="00025543" w:rsidRDefault="007E3A2F">
            <w:pPr>
              <w:pStyle w:val="P68B1DB1-Normal28"/>
              <w:spacing w:line="240" w:lineRule="auto"/>
              <w:jc w:val="center"/>
              <w:rPr>
                <w:noProof/>
              </w:rPr>
            </w:pPr>
            <w:r>
              <w:rPr>
                <w:noProof/>
              </w:rPr>
              <w:t>0</w:t>
            </w:r>
          </w:p>
        </w:tc>
        <w:tc>
          <w:tcPr>
            <w:tcW w:w="1134" w:type="dxa"/>
            <w:shd w:val="clear" w:color="auto" w:fill="C6EFCE"/>
            <w:vAlign w:val="center"/>
          </w:tcPr>
          <w:p w14:paraId="3C80546C" w14:textId="77777777" w:rsidR="00025543" w:rsidRDefault="007E3A2F">
            <w:pPr>
              <w:pStyle w:val="P68B1DB1-Normal28"/>
              <w:spacing w:line="240" w:lineRule="auto"/>
              <w:jc w:val="center"/>
              <w:rPr>
                <w:noProof/>
              </w:rPr>
            </w:pPr>
            <w:r>
              <w:rPr>
                <w:noProof/>
              </w:rPr>
              <w:t>6</w:t>
            </w:r>
          </w:p>
        </w:tc>
        <w:tc>
          <w:tcPr>
            <w:tcW w:w="1076" w:type="dxa"/>
            <w:shd w:val="clear" w:color="auto" w:fill="C6EFCE"/>
            <w:vAlign w:val="center"/>
          </w:tcPr>
          <w:p w14:paraId="22337C37" w14:textId="77777777" w:rsidR="00025543" w:rsidRDefault="007E3A2F">
            <w:pPr>
              <w:pStyle w:val="P68B1DB1-Normal28"/>
              <w:spacing w:line="240" w:lineRule="auto"/>
              <w:jc w:val="center"/>
              <w:rPr>
                <w:noProof/>
              </w:rPr>
            </w:pPr>
            <w:r>
              <w:rPr>
                <w:noProof/>
              </w:rPr>
              <w:t>TRIMESTRE 4</w:t>
            </w:r>
          </w:p>
        </w:tc>
        <w:tc>
          <w:tcPr>
            <w:tcW w:w="1050" w:type="dxa"/>
            <w:shd w:val="clear" w:color="auto" w:fill="C6EFCE"/>
            <w:vAlign w:val="center"/>
          </w:tcPr>
          <w:p w14:paraId="2C3120AD" w14:textId="77777777" w:rsidR="00025543" w:rsidRDefault="007E3A2F">
            <w:pPr>
              <w:pStyle w:val="P68B1DB1-Normal28"/>
              <w:spacing w:line="240" w:lineRule="auto"/>
              <w:jc w:val="center"/>
              <w:rPr>
                <w:noProof/>
              </w:rPr>
            </w:pPr>
            <w:r>
              <w:rPr>
                <w:noProof/>
              </w:rPr>
              <w:t>2024</w:t>
            </w:r>
          </w:p>
        </w:tc>
        <w:tc>
          <w:tcPr>
            <w:tcW w:w="4675" w:type="dxa"/>
            <w:shd w:val="clear" w:color="auto" w:fill="C6EFCE"/>
            <w:vAlign w:val="center"/>
          </w:tcPr>
          <w:p w14:paraId="73BF4664" w14:textId="77777777" w:rsidR="00025543" w:rsidRDefault="007E3A2F">
            <w:pPr>
              <w:pStyle w:val="P68B1DB1-Normal12"/>
              <w:spacing w:line="240" w:lineRule="auto"/>
              <w:rPr>
                <w:noProof/>
                <w:color w:val="006100"/>
              </w:rPr>
            </w:pPr>
            <w:r>
              <w:rPr>
                <w:noProof/>
                <w:color w:val="006100"/>
              </w:rPr>
              <w:t>Six pôles d’innovation numérique européens et nationaux sont mis en place et leur fonctionnement est lancé.</w:t>
            </w:r>
            <w:r>
              <w:rPr>
                <w:rFonts w:ascii="Calibri" w:hAnsi="Calibri"/>
                <w:noProof/>
              </w:rPr>
              <w:t xml:space="preserve"> </w:t>
            </w:r>
            <w:r>
              <w:rPr>
                <w:noProof/>
                <w:color w:val="006100"/>
              </w:rPr>
              <w:t>Ces pôles d’innovation numérique soutiennent la transformation numérique, principalement des PME et de l’administration publique, en introduisant de nouvelles technologies, en attirant des experts sur le terrain et en garantissant une plus grande résilience de l’industrie et des services face à d’éventuelles crises supplémentaires.</w:t>
            </w:r>
          </w:p>
        </w:tc>
      </w:tr>
      <w:tr w:rsidR="00025543" w14:paraId="0F519D78" w14:textId="77777777">
        <w:trPr>
          <w:trHeight w:val="945"/>
        </w:trPr>
        <w:tc>
          <w:tcPr>
            <w:tcW w:w="675" w:type="dxa"/>
            <w:shd w:val="clear" w:color="auto" w:fill="C6EFCE"/>
            <w:vAlign w:val="center"/>
          </w:tcPr>
          <w:p w14:paraId="6AAFD642" w14:textId="77777777" w:rsidR="00025543" w:rsidRDefault="007E3A2F">
            <w:pPr>
              <w:pStyle w:val="P68B1DB1-Normal28"/>
              <w:spacing w:line="240" w:lineRule="auto"/>
              <w:jc w:val="center"/>
              <w:rPr>
                <w:noProof/>
              </w:rPr>
            </w:pPr>
            <w:r>
              <w:rPr>
                <w:noProof/>
              </w:rPr>
              <w:t>70</w:t>
            </w:r>
          </w:p>
        </w:tc>
        <w:tc>
          <w:tcPr>
            <w:tcW w:w="1278" w:type="dxa"/>
            <w:shd w:val="clear" w:color="auto" w:fill="C6EFCE"/>
            <w:vAlign w:val="center"/>
          </w:tcPr>
          <w:p w14:paraId="76BB9583" w14:textId="77777777" w:rsidR="00025543" w:rsidRDefault="007E3A2F">
            <w:pPr>
              <w:pStyle w:val="P68B1DB1-Normal28"/>
              <w:spacing w:line="240" w:lineRule="auto"/>
              <w:rPr>
                <w:noProof/>
              </w:rPr>
            </w:pPr>
            <w:r>
              <w:rPr>
                <w:noProof/>
              </w:rPr>
              <w:t>Investissement 2: Installation européenne d’essai et d’expérimentation de référence</w:t>
            </w:r>
          </w:p>
        </w:tc>
        <w:tc>
          <w:tcPr>
            <w:tcW w:w="1134" w:type="dxa"/>
            <w:shd w:val="clear" w:color="auto" w:fill="C6EFCE"/>
            <w:vAlign w:val="center"/>
          </w:tcPr>
          <w:p w14:paraId="1563C63E" w14:textId="77777777" w:rsidR="00025543" w:rsidRDefault="007E3A2F">
            <w:pPr>
              <w:pStyle w:val="P68B1DB1-Normal28"/>
              <w:spacing w:line="240" w:lineRule="auto"/>
              <w:rPr>
                <w:noProof/>
              </w:rPr>
            </w:pPr>
            <w:r>
              <w:rPr>
                <w:noProof/>
              </w:rPr>
              <w:t>Cible</w:t>
            </w:r>
          </w:p>
        </w:tc>
        <w:tc>
          <w:tcPr>
            <w:tcW w:w="1134" w:type="dxa"/>
            <w:shd w:val="clear" w:color="auto" w:fill="C6EFCE"/>
            <w:vAlign w:val="center"/>
          </w:tcPr>
          <w:p w14:paraId="2FB8F18C" w14:textId="77777777" w:rsidR="00025543" w:rsidRDefault="007E3A2F">
            <w:pPr>
              <w:pStyle w:val="P68B1DB1-Normal28"/>
              <w:spacing w:line="240" w:lineRule="auto"/>
              <w:rPr>
                <w:noProof/>
              </w:rPr>
            </w:pPr>
            <w:r>
              <w:rPr>
                <w:noProof/>
              </w:rPr>
              <w:t>Création d’une installation européenne d’essai et d’expérimentation de référence</w:t>
            </w:r>
          </w:p>
        </w:tc>
        <w:tc>
          <w:tcPr>
            <w:tcW w:w="1247" w:type="dxa"/>
            <w:shd w:val="clear" w:color="auto" w:fill="C6EFCE"/>
            <w:vAlign w:val="center"/>
          </w:tcPr>
          <w:p w14:paraId="6517441A" w14:textId="77777777" w:rsidR="00025543" w:rsidRDefault="00025543">
            <w:pPr>
              <w:spacing w:line="240" w:lineRule="auto"/>
              <w:rPr>
                <w:noProof/>
                <w:color w:val="006100"/>
                <w:sz w:val="18"/>
              </w:rPr>
            </w:pPr>
          </w:p>
        </w:tc>
        <w:tc>
          <w:tcPr>
            <w:tcW w:w="1134" w:type="dxa"/>
            <w:shd w:val="clear" w:color="auto" w:fill="C6EFCE"/>
            <w:vAlign w:val="center"/>
          </w:tcPr>
          <w:p w14:paraId="489C74C8" w14:textId="77777777" w:rsidR="00025543" w:rsidRDefault="007E3A2F">
            <w:pPr>
              <w:pStyle w:val="P68B1DB1-Normal28"/>
              <w:spacing w:line="240" w:lineRule="auto"/>
              <w:rPr>
                <w:noProof/>
              </w:rPr>
            </w:pPr>
            <w:r>
              <w:rPr>
                <w:noProof/>
              </w:rPr>
              <w:t>Nombre d’installations européennes d’essai et d’expérimentation de référence</w:t>
            </w:r>
          </w:p>
        </w:tc>
        <w:tc>
          <w:tcPr>
            <w:tcW w:w="1077" w:type="dxa"/>
            <w:shd w:val="clear" w:color="auto" w:fill="C6EFCE"/>
            <w:vAlign w:val="center"/>
          </w:tcPr>
          <w:p w14:paraId="3539069B" w14:textId="77777777" w:rsidR="00025543" w:rsidRDefault="007E3A2F">
            <w:pPr>
              <w:pStyle w:val="P68B1DB1-Normal28"/>
              <w:spacing w:line="240" w:lineRule="auto"/>
              <w:jc w:val="center"/>
              <w:rPr>
                <w:noProof/>
              </w:rPr>
            </w:pPr>
            <w:r>
              <w:rPr>
                <w:noProof/>
              </w:rPr>
              <w:t>0</w:t>
            </w:r>
          </w:p>
        </w:tc>
        <w:tc>
          <w:tcPr>
            <w:tcW w:w="1134" w:type="dxa"/>
            <w:shd w:val="clear" w:color="auto" w:fill="C6EFCE"/>
            <w:vAlign w:val="center"/>
          </w:tcPr>
          <w:p w14:paraId="67BF3C00" w14:textId="77777777" w:rsidR="00025543" w:rsidRDefault="007E3A2F">
            <w:pPr>
              <w:pStyle w:val="P68B1DB1-Normal28"/>
              <w:spacing w:line="240" w:lineRule="auto"/>
              <w:jc w:val="center"/>
              <w:rPr>
                <w:noProof/>
              </w:rPr>
            </w:pPr>
            <w:r>
              <w:rPr>
                <w:noProof/>
              </w:rPr>
              <w:t>1</w:t>
            </w:r>
          </w:p>
        </w:tc>
        <w:tc>
          <w:tcPr>
            <w:tcW w:w="1076" w:type="dxa"/>
            <w:shd w:val="clear" w:color="auto" w:fill="C6EFCE"/>
            <w:vAlign w:val="center"/>
          </w:tcPr>
          <w:p w14:paraId="2E6DC815" w14:textId="5C08EAA8" w:rsidR="00025543" w:rsidRDefault="007E3A2F">
            <w:pPr>
              <w:pStyle w:val="P68B1DB1-Normal28"/>
              <w:spacing w:line="240" w:lineRule="auto"/>
              <w:jc w:val="center"/>
              <w:rPr>
                <w:noProof/>
              </w:rPr>
            </w:pPr>
            <w:r>
              <w:rPr>
                <w:noProof/>
              </w:rPr>
              <w:t>TRIMESTRE 4</w:t>
            </w:r>
          </w:p>
        </w:tc>
        <w:tc>
          <w:tcPr>
            <w:tcW w:w="1050" w:type="dxa"/>
            <w:shd w:val="clear" w:color="auto" w:fill="C6EFCE"/>
            <w:vAlign w:val="center"/>
          </w:tcPr>
          <w:p w14:paraId="44A19FAD" w14:textId="5D1F1D8D" w:rsidR="00025543" w:rsidRDefault="007E3A2F">
            <w:pPr>
              <w:pStyle w:val="P68B1DB1-Normal28"/>
              <w:spacing w:line="240" w:lineRule="auto"/>
              <w:jc w:val="center"/>
              <w:rPr>
                <w:noProof/>
              </w:rPr>
            </w:pPr>
            <w:r>
              <w:rPr>
                <w:noProof/>
              </w:rPr>
              <w:t>2024</w:t>
            </w:r>
          </w:p>
        </w:tc>
        <w:tc>
          <w:tcPr>
            <w:tcW w:w="4675" w:type="dxa"/>
            <w:shd w:val="clear" w:color="auto" w:fill="C6EFCE"/>
            <w:vAlign w:val="center"/>
          </w:tcPr>
          <w:p w14:paraId="077785B8" w14:textId="3A0A50CA" w:rsidR="00025543" w:rsidRDefault="007E3A2F">
            <w:pPr>
              <w:pStyle w:val="P68B1DB1-Normal12"/>
              <w:spacing w:line="240" w:lineRule="auto"/>
              <w:rPr>
                <w:noProof/>
                <w:color w:val="006100"/>
              </w:rPr>
            </w:pPr>
            <w:r>
              <w:rPr>
                <w:noProof/>
                <w:color w:val="006100"/>
              </w:rPr>
              <w:t>Une installation européenne d’essai et d’expérimentation de référence est mise en place et son fonctionnement est lancé.</w:t>
            </w:r>
            <w:r>
              <w:rPr>
                <w:rFonts w:ascii="Calibri" w:hAnsi="Calibri"/>
                <w:noProof/>
              </w:rPr>
              <w:t xml:space="preserve"> </w:t>
            </w:r>
            <w:r>
              <w:rPr>
                <w:noProof/>
                <w:color w:val="006100"/>
              </w:rPr>
              <w:t>Ce mécanisme établit un lien entre les secteurs de la recherche et l’économie dans son ensemble (tels que les pôles d’innovation numérique européens et nationaux) en permettant aux entreprises (par exemple, les petites et moyennes entreprises) de tester les technologies et les applications développées afin qu’elles puissent être utilisées dans leurs activités.</w:t>
            </w:r>
          </w:p>
        </w:tc>
      </w:tr>
      <w:tr w:rsidR="00025543" w14:paraId="776E5F35" w14:textId="77777777">
        <w:trPr>
          <w:trHeight w:val="945"/>
        </w:trPr>
        <w:tc>
          <w:tcPr>
            <w:tcW w:w="675" w:type="dxa"/>
            <w:shd w:val="clear" w:color="auto" w:fill="C6EFCE"/>
            <w:vAlign w:val="center"/>
          </w:tcPr>
          <w:p w14:paraId="4912ABDB" w14:textId="77777777" w:rsidR="00025543" w:rsidRDefault="007E3A2F">
            <w:pPr>
              <w:pStyle w:val="P68B1DB1-Normal28"/>
              <w:spacing w:line="240" w:lineRule="auto"/>
              <w:jc w:val="center"/>
              <w:rPr>
                <w:noProof/>
              </w:rPr>
            </w:pPr>
            <w:r>
              <w:rPr>
                <w:noProof/>
              </w:rPr>
              <w:t>71</w:t>
            </w:r>
          </w:p>
        </w:tc>
        <w:tc>
          <w:tcPr>
            <w:tcW w:w="1278" w:type="dxa"/>
            <w:shd w:val="clear" w:color="auto" w:fill="C6EFCE"/>
            <w:vAlign w:val="center"/>
          </w:tcPr>
          <w:p w14:paraId="6C57D14A" w14:textId="77777777" w:rsidR="00025543" w:rsidRDefault="007E3A2F">
            <w:pPr>
              <w:pStyle w:val="P68B1DB1-Normal28"/>
              <w:spacing w:line="240" w:lineRule="auto"/>
              <w:rPr>
                <w:noProof/>
              </w:rPr>
            </w:pPr>
            <w:r>
              <w:rPr>
                <w:noProof/>
              </w:rPr>
              <w:t>Investissement 3: Transformation numérique des entreprises manufacturières et non productrices et renforcement de leur résilience</w:t>
            </w:r>
          </w:p>
        </w:tc>
        <w:tc>
          <w:tcPr>
            <w:tcW w:w="1134" w:type="dxa"/>
            <w:shd w:val="clear" w:color="auto" w:fill="C6EFCE"/>
            <w:vAlign w:val="center"/>
          </w:tcPr>
          <w:p w14:paraId="0004F0D5" w14:textId="77777777" w:rsidR="00025543" w:rsidRDefault="007E3A2F">
            <w:pPr>
              <w:pStyle w:val="P68B1DB1-Normal28"/>
              <w:spacing w:line="240" w:lineRule="auto"/>
              <w:rPr>
                <w:noProof/>
              </w:rPr>
            </w:pPr>
            <w:r>
              <w:rPr>
                <w:noProof/>
              </w:rPr>
              <w:t>Cible</w:t>
            </w:r>
          </w:p>
        </w:tc>
        <w:tc>
          <w:tcPr>
            <w:tcW w:w="1134" w:type="dxa"/>
            <w:shd w:val="clear" w:color="auto" w:fill="C6EFCE"/>
            <w:vAlign w:val="center"/>
          </w:tcPr>
          <w:p w14:paraId="5897D30D" w14:textId="77777777" w:rsidR="00025543" w:rsidRDefault="007E3A2F">
            <w:pPr>
              <w:pStyle w:val="P68B1DB1-Normal28"/>
              <w:spacing w:line="240" w:lineRule="auto"/>
              <w:rPr>
                <w:noProof/>
              </w:rPr>
            </w:pPr>
            <w:r>
              <w:rPr>
                <w:noProof/>
              </w:rPr>
              <w:t xml:space="preserve">Soutien direct aux entreprises en faveur de la transformation numérique </w:t>
            </w:r>
          </w:p>
        </w:tc>
        <w:tc>
          <w:tcPr>
            <w:tcW w:w="1247" w:type="dxa"/>
            <w:shd w:val="clear" w:color="auto" w:fill="C6EFCE"/>
            <w:vAlign w:val="center"/>
          </w:tcPr>
          <w:p w14:paraId="538871FD" w14:textId="77777777" w:rsidR="00025543" w:rsidRDefault="00025543">
            <w:pPr>
              <w:spacing w:line="240" w:lineRule="auto"/>
              <w:rPr>
                <w:noProof/>
                <w:color w:val="006100"/>
                <w:sz w:val="18"/>
              </w:rPr>
            </w:pPr>
          </w:p>
        </w:tc>
        <w:tc>
          <w:tcPr>
            <w:tcW w:w="1134" w:type="dxa"/>
            <w:shd w:val="clear" w:color="auto" w:fill="C6EFCE"/>
            <w:vAlign w:val="center"/>
          </w:tcPr>
          <w:p w14:paraId="3489DD90" w14:textId="77777777" w:rsidR="00025543" w:rsidRDefault="007E3A2F">
            <w:pPr>
              <w:pStyle w:val="P68B1DB1-Normal28"/>
              <w:spacing w:line="240" w:lineRule="auto"/>
              <w:rPr>
                <w:noProof/>
              </w:rPr>
            </w:pPr>
            <w:r>
              <w:rPr>
                <w:noProof/>
              </w:rPr>
              <w:t>Nombre d’entreprises</w:t>
            </w:r>
          </w:p>
        </w:tc>
        <w:tc>
          <w:tcPr>
            <w:tcW w:w="1077" w:type="dxa"/>
            <w:shd w:val="clear" w:color="auto" w:fill="C6EFCE"/>
            <w:vAlign w:val="center"/>
          </w:tcPr>
          <w:p w14:paraId="2805B14F" w14:textId="77777777" w:rsidR="00025543" w:rsidRDefault="007E3A2F">
            <w:pPr>
              <w:pStyle w:val="P68B1DB1-Normal28"/>
              <w:spacing w:line="240" w:lineRule="auto"/>
              <w:jc w:val="center"/>
              <w:rPr>
                <w:noProof/>
              </w:rPr>
            </w:pPr>
            <w:r>
              <w:rPr>
                <w:noProof/>
              </w:rPr>
              <w:t>0</w:t>
            </w:r>
          </w:p>
        </w:tc>
        <w:tc>
          <w:tcPr>
            <w:tcW w:w="1134" w:type="dxa"/>
            <w:shd w:val="clear" w:color="auto" w:fill="C6EFCE"/>
            <w:vAlign w:val="center"/>
          </w:tcPr>
          <w:p w14:paraId="7D6FEEEC" w14:textId="77777777" w:rsidR="00025543" w:rsidRDefault="007E3A2F">
            <w:pPr>
              <w:pStyle w:val="P68B1DB1-Normal28"/>
              <w:spacing w:line="240" w:lineRule="auto"/>
              <w:jc w:val="center"/>
              <w:rPr>
                <w:noProof/>
              </w:rPr>
            </w:pPr>
            <w:r>
              <w:rPr>
                <w:noProof/>
              </w:rPr>
              <w:t xml:space="preserve">377 </w:t>
            </w:r>
          </w:p>
        </w:tc>
        <w:tc>
          <w:tcPr>
            <w:tcW w:w="1076" w:type="dxa"/>
            <w:shd w:val="clear" w:color="auto" w:fill="C6EFCE"/>
            <w:vAlign w:val="center"/>
          </w:tcPr>
          <w:p w14:paraId="4A2DE206" w14:textId="77777777" w:rsidR="00025543" w:rsidRDefault="007E3A2F">
            <w:pPr>
              <w:pStyle w:val="P68B1DB1-Normal28"/>
              <w:spacing w:line="240" w:lineRule="auto"/>
              <w:jc w:val="center"/>
              <w:rPr>
                <w:noProof/>
              </w:rPr>
            </w:pPr>
            <w:r>
              <w:rPr>
                <w:noProof/>
              </w:rPr>
              <w:t>TRIMESTRE 4</w:t>
            </w:r>
          </w:p>
        </w:tc>
        <w:tc>
          <w:tcPr>
            <w:tcW w:w="1050" w:type="dxa"/>
            <w:shd w:val="clear" w:color="auto" w:fill="C6EFCE"/>
            <w:vAlign w:val="center"/>
          </w:tcPr>
          <w:p w14:paraId="5D44D79F" w14:textId="77777777" w:rsidR="00025543" w:rsidRDefault="007E3A2F">
            <w:pPr>
              <w:pStyle w:val="P68B1DB1-Normal28"/>
              <w:spacing w:line="240" w:lineRule="auto"/>
              <w:jc w:val="center"/>
              <w:rPr>
                <w:noProof/>
              </w:rPr>
            </w:pPr>
            <w:r>
              <w:rPr>
                <w:noProof/>
              </w:rPr>
              <w:t>2025</w:t>
            </w:r>
          </w:p>
        </w:tc>
        <w:tc>
          <w:tcPr>
            <w:tcW w:w="4675" w:type="dxa"/>
            <w:shd w:val="clear" w:color="auto" w:fill="C6EFCE"/>
            <w:vAlign w:val="center"/>
          </w:tcPr>
          <w:p w14:paraId="3510C7A1" w14:textId="77777777" w:rsidR="00025543" w:rsidRDefault="007E3A2F">
            <w:pPr>
              <w:pStyle w:val="P68B1DB1-Normal28"/>
              <w:spacing w:line="240" w:lineRule="auto"/>
              <w:rPr>
                <w:noProof/>
              </w:rPr>
            </w:pPr>
            <w:r>
              <w:rPr>
                <w:noProof/>
              </w:rPr>
              <w:t>377 entreprises font l’objet d’une transformation numérique. Cette transformation numérique renforcera les processus numériques, en particulier dans les PME. Un soutien est apporté à des activités telles que l’introduction de la numérisation dans les entreprises, y compris l’analyse des processus nécessaires, l’introduction de solutions numériques dans des domaines liés à l’intelligence artificielle, à l’automatisation des processus, à la robotique et à la cybersécurité des systèmes en ligne et cyberphysiques et l’introduction de nouvelles technologies, l’acquisition de nouveaux dispositifs et équipements technologiques, y compris l’infrastructure nécessaire, l’interconnexion des technologies acquises ou existantes utilisant des canaux et protocoles de communication de pointe (communication bidirectionnelle autonome).</w:t>
            </w:r>
          </w:p>
          <w:p w14:paraId="5FC72F4C" w14:textId="7D4A40A6" w:rsidR="00025543" w:rsidRDefault="007E3A2F">
            <w:pPr>
              <w:pStyle w:val="P68B1DB1-Normal28"/>
              <w:spacing w:line="240" w:lineRule="auto"/>
              <w:rPr>
                <w:noProof/>
              </w:rPr>
            </w:pPr>
            <w:r>
              <w:rPr>
                <w:noProof/>
              </w:rPr>
              <w:t>Au moins deux tiers des aides octroyées sont destinées aux PME et aux entreprises à moyenne capitalisation.</w:t>
            </w:r>
          </w:p>
        </w:tc>
      </w:tr>
    </w:tbl>
    <w:p w14:paraId="604763F8" w14:textId="77777777" w:rsidR="00025543" w:rsidRDefault="00025543">
      <w:pPr>
        <w:tabs>
          <w:tab w:val="left" w:pos="993"/>
        </w:tabs>
        <w:spacing w:line="240" w:lineRule="auto"/>
        <w:jc w:val="both"/>
        <w:rPr>
          <w:b/>
          <w:noProof/>
          <w:u w:val="single"/>
        </w:rPr>
        <w:sectPr w:rsidR="00025543" w:rsidSect="00507AA7">
          <w:headerReference w:type="even" r:id="rId108"/>
          <w:headerReference w:type="default" r:id="rId109"/>
          <w:footerReference w:type="even" r:id="rId110"/>
          <w:footerReference w:type="default" r:id="rId111"/>
          <w:headerReference w:type="first" r:id="rId112"/>
          <w:footerReference w:type="first" r:id="rId113"/>
          <w:pgSz w:w="16839" w:h="11907" w:orient="landscape"/>
          <w:pgMar w:top="1134" w:right="1134" w:bottom="1134" w:left="1134" w:header="567" w:footer="567" w:gutter="0"/>
          <w:cols w:space="720"/>
          <w:docGrid w:linePitch="326"/>
        </w:sectPr>
      </w:pPr>
    </w:p>
    <w:p w14:paraId="0B7B7ABC" w14:textId="2EB6FC81" w:rsidR="00025543" w:rsidRDefault="007E3A2F">
      <w:pPr>
        <w:pStyle w:val="P68B1DB1-Normal5"/>
        <w:spacing w:line="240" w:lineRule="auto"/>
        <w:jc w:val="both"/>
        <w:rPr>
          <w:noProof/>
        </w:rPr>
      </w:pPr>
      <w:r>
        <w:rPr>
          <w:noProof/>
        </w:rPr>
        <w:t>E.3. Description des réformes et des investissements en vue du prêt</w:t>
      </w:r>
    </w:p>
    <w:p w14:paraId="1B2022B7" w14:textId="77777777" w:rsidR="00025543" w:rsidRDefault="007E3A2F">
      <w:pPr>
        <w:pStyle w:val="P68B1DB1-Normal26"/>
        <w:rPr>
          <w:noProof/>
        </w:rPr>
      </w:pPr>
      <w:r>
        <w:rPr>
          <w:noProof/>
        </w:rPr>
        <w:t>Investissement 4 — PIIEC Microélectronique et technologies de la communication</w:t>
      </w:r>
    </w:p>
    <w:p w14:paraId="3AE08499" w14:textId="6C5784C6" w:rsidR="00025543" w:rsidRDefault="007E3A2F">
      <w:pPr>
        <w:pStyle w:val="P68B1DB1-Normal3"/>
        <w:autoSpaceDE w:val="0"/>
        <w:autoSpaceDN w:val="0"/>
        <w:adjustRightInd w:val="0"/>
        <w:spacing w:line="240" w:lineRule="auto"/>
        <w:jc w:val="both"/>
        <w:rPr>
          <w:noProof/>
        </w:rPr>
      </w:pPr>
      <w:r>
        <w:rPr>
          <w:noProof/>
        </w:rPr>
        <w:t>L’investissement vise à apporter un soutien sous la forme de subventions directes à des entreprises sélectionnées participant à quatre projets, qui font partie du PIIEC dans le domaine de la microélectronique et des technologies de la communication. L’objectif de la mesure est de contribuer à l’initiative transfrontalière visant à soutenir la recherche et le développement et, partant, à renforcer l’autonomie stratégique et les capacités de l’UE dans la conception et le déploiement de la prochaine génération de microprocesseurs, de semi-conducteurs et de technologies de la communication.</w:t>
      </w:r>
    </w:p>
    <w:p w14:paraId="524BAB50" w14:textId="44EE1355" w:rsidR="00025543" w:rsidRDefault="007E3A2F">
      <w:pPr>
        <w:pStyle w:val="P68B1DB1-Normal3"/>
        <w:autoSpaceDE w:val="0"/>
        <w:autoSpaceDN w:val="0"/>
        <w:adjustRightInd w:val="0"/>
        <w:spacing w:line="240" w:lineRule="auto"/>
        <w:jc w:val="both"/>
        <w:rPr>
          <w:noProof/>
        </w:rPr>
        <w:sectPr w:rsidR="00025543" w:rsidSect="00507AA7">
          <w:headerReference w:type="even" r:id="rId114"/>
          <w:headerReference w:type="default" r:id="rId115"/>
          <w:footerReference w:type="even" r:id="rId116"/>
          <w:footerReference w:type="default" r:id="rId117"/>
          <w:headerReference w:type="first" r:id="rId118"/>
          <w:footerReference w:type="first" r:id="rId119"/>
          <w:pgSz w:w="11907" w:h="16839"/>
          <w:pgMar w:top="1134" w:right="1134" w:bottom="1134" w:left="1134" w:header="567" w:footer="567" w:gutter="0"/>
          <w:cols w:space="720"/>
          <w:docGrid w:linePitch="326"/>
        </w:sectPr>
      </w:pPr>
      <w:r>
        <w:rPr>
          <w:noProof/>
        </w:rPr>
        <w:t>L’investissement est mis en œuvre au plus tard le 30 juin 2026.</w:t>
      </w:r>
    </w:p>
    <w:p w14:paraId="5D7E0D2E" w14:textId="32B4A5CE" w:rsidR="00025543" w:rsidRDefault="007E3A2F">
      <w:pPr>
        <w:pStyle w:val="P68B1DB1-Normal5"/>
        <w:tabs>
          <w:tab w:val="left" w:pos="993"/>
        </w:tabs>
        <w:spacing w:line="240" w:lineRule="auto"/>
        <w:jc w:val="both"/>
        <w:rPr>
          <w:noProof/>
        </w:rPr>
      </w:pPr>
      <w:r>
        <w:rPr>
          <w:noProof/>
        </w:rPr>
        <w:t>E.4. Jalons, cibles, indicateurs et calendrier de suivi et de mise en œuvre en vue du prêt</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29"/>
        <w:gridCol w:w="1542"/>
        <w:gridCol w:w="1093"/>
        <w:gridCol w:w="1467"/>
        <w:gridCol w:w="1704"/>
        <w:gridCol w:w="990"/>
        <w:gridCol w:w="990"/>
        <w:gridCol w:w="990"/>
        <w:gridCol w:w="1093"/>
        <w:gridCol w:w="632"/>
        <w:gridCol w:w="3891"/>
      </w:tblGrid>
      <w:tr w:rsidR="00025543" w14:paraId="7D0AB97E" w14:textId="77777777">
        <w:trPr>
          <w:trHeight w:val="672"/>
          <w:tblHeader/>
          <w:jc w:val="center"/>
        </w:trPr>
        <w:tc>
          <w:tcPr>
            <w:tcW w:w="647" w:type="dxa"/>
            <w:vMerge w:val="restart"/>
            <w:shd w:val="clear" w:color="auto" w:fill="BDD7EE"/>
            <w:vAlign w:val="center"/>
            <w:hideMark/>
          </w:tcPr>
          <w:p w14:paraId="47CC8842" w14:textId="77777777" w:rsidR="00025543" w:rsidRDefault="007E3A2F">
            <w:pPr>
              <w:pStyle w:val="P68B1DB1-Normal9"/>
              <w:spacing w:before="0" w:after="0" w:line="240" w:lineRule="auto"/>
              <w:jc w:val="center"/>
              <w:rPr>
                <w:noProof/>
              </w:rPr>
            </w:pPr>
            <w:r>
              <w:rPr>
                <w:noProof/>
              </w:rPr>
              <w:t>Séquence NUM.</w:t>
            </w:r>
          </w:p>
        </w:tc>
        <w:tc>
          <w:tcPr>
            <w:tcW w:w="1603" w:type="dxa"/>
            <w:vMerge w:val="restart"/>
            <w:shd w:val="clear" w:color="auto" w:fill="BDD7EE"/>
            <w:vAlign w:val="center"/>
            <w:hideMark/>
          </w:tcPr>
          <w:p w14:paraId="0C94310F" w14:textId="77777777" w:rsidR="00025543" w:rsidRDefault="007E3A2F">
            <w:pPr>
              <w:pStyle w:val="P68B1DB1-Normal9"/>
              <w:spacing w:before="0" w:after="0" w:line="240" w:lineRule="auto"/>
              <w:jc w:val="center"/>
              <w:rPr>
                <w:noProof/>
              </w:rPr>
            </w:pPr>
            <w:r>
              <w:rPr>
                <w:noProof/>
              </w:rPr>
              <w:t>Mesure connexe (réforme ou investissement)</w:t>
            </w:r>
          </w:p>
        </w:tc>
        <w:tc>
          <w:tcPr>
            <w:tcW w:w="1134" w:type="dxa"/>
            <w:vMerge w:val="restart"/>
            <w:shd w:val="clear" w:color="auto" w:fill="BDD7EE"/>
            <w:vAlign w:val="center"/>
            <w:hideMark/>
          </w:tcPr>
          <w:p w14:paraId="2C2AC133" w14:textId="77777777" w:rsidR="00025543" w:rsidRDefault="007E3A2F">
            <w:pPr>
              <w:pStyle w:val="P68B1DB1-Normal9"/>
              <w:spacing w:before="0" w:after="0" w:line="240" w:lineRule="auto"/>
              <w:jc w:val="center"/>
              <w:rPr>
                <w:noProof/>
              </w:rPr>
            </w:pPr>
            <w:r>
              <w:rPr>
                <w:noProof/>
              </w:rPr>
              <w:t>Jalon/cible</w:t>
            </w:r>
          </w:p>
        </w:tc>
        <w:tc>
          <w:tcPr>
            <w:tcW w:w="1525" w:type="dxa"/>
            <w:vMerge w:val="restart"/>
            <w:shd w:val="clear" w:color="auto" w:fill="BDD7EE"/>
            <w:vAlign w:val="center"/>
            <w:hideMark/>
          </w:tcPr>
          <w:p w14:paraId="7F429691" w14:textId="77777777" w:rsidR="00025543" w:rsidRDefault="007E3A2F">
            <w:pPr>
              <w:pStyle w:val="P68B1DB1-Normal9"/>
              <w:spacing w:before="0" w:after="0" w:line="240" w:lineRule="auto"/>
              <w:jc w:val="center"/>
              <w:rPr>
                <w:noProof/>
              </w:rPr>
            </w:pPr>
            <w:r>
              <w:rPr>
                <w:noProof/>
              </w:rPr>
              <w:t>Nom</w:t>
            </w:r>
          </w:p>
        </w:tc>
        <w:tc>
          <w:tcPr>
            <w:tcW w:w="1774" w:type="dxa"/>
            <w:vMerge w:val="restart"/>
            <w:shd w:val="clear" w:color="auto" w:fill="BDD7EE"/>
            <w:vAlign w:val="center"/>
            <w:hideMark/>
          </w:tcPr>
          <w:p w14:paraId="38973F19" w14:textId="77777777" w:rsidR="00025543" w:rsidRDefault="007E3A2F">
            <w:pPr>
              <w:pStyle w:val="P68B1DB1-Normal9"/>
              <w:spacing w:before="0" w:after="0" w:line="240" w:lineRule="auto"/>
              <w:jc w:val="center"/>
              <w:rPr>
                <w:noProof/>
              </w:rPr>
            </w:pPr>
            <w:r>
              <w:rPr>
                <w:noProof/>
              </w:rPr>
              <w:t xml:space="preserve">Qualitatifs </w:t>
            </w:r>
            <w:r>
              <w:rPr>
                <w:noProof/>
              </w:rPr>
              <w:br/>
              <w:t>(pour les jalons)</w:t>
            </w:r>
          </w:p>
        </w:tc>
        <w:tc>
          <w:tcPr>
            <w:tcW w:w="3078" w:type="dxa"/>
            <w:gridSpan w:val="3"/>
            <w:shd w:val="clear" w:color="auto" w:fill="BDD7EE"/>
            <w:vAlign w:val="center"/>
            <w:hideMark/>
          </w:tcPr>
          <w:p w14:paraId="1D5C76D4" w14:textId="77777777" w:rsidR="00025543" w:rsidRDefault="007E3A2F">
            <w:pPr>
              <w:pStyle w:val="P68B1DB1-Normal9"/>
              <w:spacing w:before="0" w:after="0" w:line="240" w:lineRule="auto"/>
              <w:jc w:val="center"/>
              <w:rPr>
                <w:noProof/>
              </w:rPr>
            </w:pPr>
            <w:r>
              <w:rPr>
                <w:noProof/>
              </w:rPr>
              <w:t xml:space="preserve">Indicateurs quantitatifs </w:t>
            </w:r>
            <w:r>
              <w:rPr>
                <w:noProof/>
              </w:rPr>
              <w:br/>
              <w:t>(pour les objectifs)</w:t>
            </w:r>
          </w:p>
        </w:tc>
        <w:tc>
          <w:tcPr>
            <w:tcW w:w="1303" w:type="dxa"/>
            <w:gridSpan w:val="2"/>
            <w:shd w:val="clear" w:color="auto" w:fill="BDD7EE"/>
            <w:vAlign w:val="center"/>
            <w:hideMark/>
          </w:tcPr>
          <w:p w14:paraId="7F476732" w14:textId="77777777" w:rsidR="00025543" w:rsidRDefault="007E3A2F">
            <w:pPr>
              <w:pStyle w:val="P68B1DB1-Normal9"/>
              <w:spacing w:before="0" w:after="0" w:line="240" w:lineRule="auto"/>
              <w:jc w:val="center"/>
              <w:rPr>
                <w:noProof/>
              </w:rPr>
            </w:pPr>
            <w:r>
              <w:rPr>
                <w:noProof/>
              </w:rPr>
              <w:t xml:space="preserve">Calendrier indicatif de réalisation </w:t>
            </w:r>
          </w:p>
        </w:tc>
        <w:tc>
          <w:tcPr>
            <w:tcW w:w="4065" w:type="dxa"/>
            <w:vMerge w:val="restart"/>
            <w:shd w:val="clear" w:color="auto" w:fill="BDD7EE"/>
            <w:vAlign w:val="center"/>
            <w:hideMark/>
          </w:tcPr>
          <w:p w14:paraId="714EF49A" w14:textId="77777777" w:rsidR="00025543" w:rsidRDefault="007E3A2F">
            <w:pPr>
              <w:pStyle w:val="P68B1DB1-Normal9"/>
              <w:spacing w:before="0" w:after="0" w:line="240" w:lineRule="auto"/>
              <w:jc w:val="center"/>
              <w:rPr>
                <w:noProof/>
              </w:rPr>
            </w:pPr>
            <w:r>
              <w:rPr>
                <w:noProof/>
              </w:rPr>
              <w:t>Description de chaque jalon et cible</w:t>
            </w:r>
          </w:p>
        </w:tc>
      </w:tr>
      <w:tr w:rsidR="00025543" w14:paraId="5975C508" w14:textId="77777777">
        <w:trPr>
          <w:trHeight w:val="458"/>
          <w:tblHeader/>
          <w:jc w:val="center"/>
        </w:trPr>
        <w:tc>
          <w:tcPr>
            <w:tcW w:w="647" w:type="dxa"/>
            <w:vMerge/>
            <w:vAlign w:val="center"/>
            <w:hideMark/>
          </w:tcPr>
          <w:p w14:paraId="1F7B193A" w14:textId="77777777" w:rsidR="00025543" w:rsidRDefault="00025543">
            <w:pPr>
              <w:spacing w:before="0" w:after="0" w:line="240" w:lineRule="auto"/>
              <w:rPr>
                <w:rFonts w:eastAsia="Times New Roman"/>
                <w:b/>
                <w:noProof/>
                <w:sz w:val="18"/>
              </w:rPr>
            </w:pPr>
          </w:p>
        </w:tc>
        <w:tc>
          <w:tcPr>
            <w:tcW w:w="1603" w:type="dxa"/>
            <w:vMerge/>
            <w:vAlign w:val="center"/>
            <w:hideMark/>
          </w:tcPr>
          <w:p w14:paraId="508382B0" w14:textId="77777777" w:rsidR="00025543" w:rsidRDefault="00025543">
            <w:pPr>
              <w:spacing w:before="0" w:after="0" w:line="240" w:lineRule="auto"/>
              <w:rPr>
                <w:rFonts w:eastAsia="Times New Roman"/>
                <w:b/>
                <w:noProof/>
                <w:sz w:val="18"/>
              </w:rPr>
            </w:pPr>
          </w:p>
        </w:tc>
        <w:tc>
          <w:tcPr>
            <w:tcW w:w="1134" w:type="dxa"/>
            <w:vMerge/>
            <w:vAlign w:val="center"/>
            <w:hideMark/>
          </w:tcPr>
          <w:p w14:paraId="603971C0" w14:textId="77777777" w:rsidR="00025543" w:rsidRDefault="00025543">
            <w:pPr>
              <w:spacing w:before="0" w:after="0" w:line="240" w:lineRule="auto"/>
              <w:rPr>
                <w:rFonts w:eastAsia="Times New Roman"/>
                <w:b/>
                <w:noProof/>
                <w:sz w:val="18"/>
              </w:rPr>
            </w:pPr>
          </w:p>
        </w:tc>
        <w:tc>
          <w:tcPr>
            <w:tcW w:w="1525" w:type="dxa"/>
            <w:vMerge/>
            <w:vAlign w:val="center"/>
            <w:hideMark/>
          </w:tcPr>
          <w:p w14:paraId="16CDCE76" w14:textId="77777777" w:rsidR="00025543" w:rsidRDefault="00025543">
            <w:pPr>
              <w:spacing w:before="0" w:after="0" w:line="240" w:lineRule="auto"/>
              <w:rPr>
                <w:rFonts w:eastAsia="Times New Roman"/>
                <w:b/>
                <w:noProof/>
                <w:sz w:val="18"/>
              </w:rPr>
            </w:pPr>
          </w:p>
        </w:tc>
        <w:tc>
          <w:tcPr>
            <w:tcW w:w="1774" w:type="dxa"/>
            <w:vMerge/>
            <w:vAlign w:val="center"/>
            <w:hideMark/>
          </w:tcPr>
          <w:p w14:paraId="70763412" w14:textId="77777777" w:rsidR="00025543" w:rsidRDefault="00025543">
            <w:pPr>
              <w:spacing w:before="0" w:after="0" w:line="240" w:lineRule="auto"/>
              <w:rPr>
                <w:rFonts w:eastAsia="Times New Roman"/>
                <w:b/>
                <w:noProof/>
                <w:sz w:val="18"/>
              </w:rPr>
            </w:pPr>
          </w:p>
        </w:tc>
        <w:tc>
          <w:tcPr>
            <w:tcW w:w="1026" w:type="dxa"/>
            <w:shd w:val="clear" w:color="auto" w:fill="BDD7EE"/>
            <w:vAlign w:val="center"/>
            <w:hideMark/>
          </w:tcPr>
          <w:p w14:paraId="01B88104" w14:textId="77777777" w:rsidR="00025543" w:rsidRDefault="007E3A2F">
            <w:pPr>
              <w:pStyle w:val="P68B1DB1-Normal9"/>
              <w:spacing w:before="0" w:after="0" w:line="240" w:lineRule="auto"/>
              <w:jc w:val="center"/>
              <w:rPr>
                <w:noProof/>
              </w:rPr>
            </w:pPr>
            <w:r>
              <w:rPr>
                <w:noProof/>
              </w:rPr>
              <w:t>Unité de mesure</w:t>
            </w:r>
          </w:p>
        </w:tc>
        <w:tc>
          <w:tcPr>
            <w:tcW w:w="1026" w:type="dxa"/>
            <w:shd w:val="clear" w:color="auto" w:fill="BDD7EE"/>
            <w:vAlign w:val="center"/>
            <w:hideMark/>
          </w:tcPr>
          <w:p w14:paraId="1E3A2E47" w14:textId="77777777" w:rsidR="00025543" w:rsidRDefault="007E3A2F">
            <w:pPr>
              <w:pStyle w:val="P68B1DB1-Normal9"/>
              <w:spacing w:before="0" w:after="0" w:line="240" w:lineRule="auto"/>
              <w:jc w:val="center"/>
              <w:rPr>
                <w:noProof/>
              </w:rPr>
            </w:pPr>
            <w:r>
              <w:rPr>
                <w:noProof/>
              </w:rPr>
              <w:t xml:space="preserve">Scénario de référence </w:t>
            </w:r>
          </w:p>
        </w:tc>
        <w:tc>
          <w:tcPr>
            <w:tcW w:w="1026" w:type="dxa"/>
            <w:shd w:val="clear" w:color="auto" w:fill="BDD7EE"/>
            <w:vAlign w:val="center"/>
            <w:hideMark/>
          </w:tcPr>
          <w:p w14:paraId="390E19A3" w14:textId="77777777" w:rsidR="00025543" w:rsidRDefault="007E3A2F">
            <w:pPr>
              <w:pStyle w:val="P68B1DB1-Normal9"/>
              <w:spacing w:before="0" w:after="0" w:line="240" w:lineRule="auto"/>
              <w:jc w:val="center"/>
              <w:rPr>
                <w:noProof/>
              </w:rPr>
            </w:pPr>
            <w:r>
              <w:rPr>
                <w:noProof/>
              </w:rPr>
              <w:t xml:space="preserve">Objectif </w:t>
            </w:r>
          </w:p>
        </w:tc>
        <w:tc>
          <w:tcPr>
            <w:tcW w:w="1134" w:type="dxa"/>
            <w:shd w:val="clear" w:color="auto" w:fill="BDD7EE"/>
            <w:vAlign w:val="center"/>
            <w:hideMark/>
          </w:tcPr>
          <w:p w14:paraId="6CFA4366" w14:textId="77777777" w:rsidR="00025543" w:rsidRDefault="007E3A2F">
            <w:pPr>
              <w:pStyle w:val="P68B1DB1-Normal9"/>
              <w:spacing w:before="0" w:after="0" w:line="240" w:lineRule="auto"/>
              <w:jc w:val="center"/>
              <w:rPr>
                <w:noProof/>
              </w:rPr>
            </w:pPr>
            <w:r>
              <w:rPr>
                <w:noProof/>
              </w:rPr>
              <w:t>Trimestre</w:t>
            </w:r>
          </w:p>
        </w:tc>
        <w:tc>
          <w:tcPr>
            <w:tcW w:w="651" w:type="dxa"/>
            <w:shd w:val="clear" w:color="auto" w:fill="BDD7EE"/>
            <w:vAlign w:val="center"/>
            <w:hideMark/>
          </w:tcPr>
          <w:p w14:paraId="57F8A14E" w14:textId="77777777" w:rsidR="00025543" w:rsidRDefault="007E3A2F">
            <w:pPr>
              <w:pStyle w:val="P68B1DB1-Normal9"/>
              <w:spacing w:before="0" w:after="0" w:line="240" w:lineRule="auto"/>
              <w:jc w:val="center"/>
              <w:rPr>
                <w:noProof/>
              </w:rPr>
            </w:pPr>
            <w:r>
              <w:rPr>
                <w:noProof/>
              </w:rPr>
              <w:t>Année</w:t>
            </w:r>
          </w:p>
        </w:tc>
        <w:tc>
          <w:tcPr>
            <w:tcW w:w="4065" w:type="dxa"/>
            <w:vMerge/>
            <w:vAlign w:val="center"/>
            <w:hideMark/>
          </w:tcPr>
          <w:p w14:paraId="785113E9" w14:textId="77777777" w:rsidR="00025543" w:rsidRDefault="00025543">
            <w:pPr>
              <w:spacing w:before="0" w:after="0" w:line="240" w:lineRule="auto"/>
              <w:rPr>
                <w:rFonts w:eastAsia="Times New Roman"/>
                <w:b/>
                <w:noProof/>
                <w:sz w:val="18"/>
              </w:rPr>
            </w:pPr>
          </w:p>
        </w:tc>
      </w:tr>
      <w:tr w:rsidR="00025543" w14:paraId="37DA5FBF" w14:textId="77777777">
        <w:trPr>
          <w:trHeight w:val="309"/>
          <w:jc w:val="center"/>
        </w:trPr>
        <w:tc>
          <w:tcPr>
            <w:tcW w:w="647" w:type="dxa"/>
            <w:shd w:val="clear" w:color="auto" w:fill="C6EFCE"/>
            <w:vAlign w:val="center"/>
            <w:hideMark/>
          </w:tcPr>
          <w:p w14:paraId="1614B99F" w14:textId="71736C1A" w:rsidR="00025543" w:rsidRDefault="007E3A2F">
            <w:pPr>
              <w:pStyle w:val="P68B1DB1-Normal15"/>
              <w:spacing w:before="0" w:after="0" w:line="240" w:lineRule="auto"/>
              <w:jc w:val="center"/>
              <w:rPr>
                <w:noProof/>
              </w:rPr>
            </w:pPr>
            <w:r>
              <w:rPr>
                <w:noProof/>
              </w:rPr>
              <w:t>254</w:t>
            </w:r>
          </w:p>
        </w:tc>
        <w:tc>
          <w:tcPr>
            <w:tcW w:w="1603" w:type="dxa"/>
            <w:shd w:val="clear" w:color="auto" w:fill="C6EFCE"/>
            <w:vAlign w:val="center"/>
            <w:hideMark/>
          </w:tcPr>
          <w:p w14:paraId="3421C9F3" w14:textId="77777777" w:rsidR="00025543" w:rsidRDefault="007E3A2F">
            <w:pPr>
              <w:pStyle w:val="P68B1DB1-Normal15"/>
              <w:spacing w:before="0" w:after="0" w:line="240" w:lineRule="auto"/>
              <w:rPr>
                <w:noProof/>
              </w:rPr>
            </w:pPr>
            <w:r>
              <w:rPr>
                <w:noProof/>
              </w:rPr>
              <w:t>Investissement 4: PIIEC Microélectronique et technologies de la communication</w:t>
            </w:r>
          </w:p>
        </w:tc>
        <w:tc>
          <w:tcPr>
            <w:tcW w:w="1134" w:type="dxa"/>
            <w:shd w:val="clear" w:color="auto" w:fill="C6EFCE"/>
            <w:vAlign w:val="center"/>
            <w:hideMark/>
          </w:tcPr>
          <w:p w14:paraId="0F4D4A2B" w14:textId="77777777" w:rsidR="00025543" w:rsidRDefault="007E3A2F">
            <w:pPr>
              <w:pStyle w:val="P68B1DB1-Normal15"/>
              <w:spacing w:before="0" w:after="0" w:line="240" w:lineRule="auto"/>
              <w:rPr>
                <w:noProof/>
              </w:rPr>
            </w:pPr>
            <w:r>
              <w:rPr>
                <w:noProof/>
              </w:rPr>
              <w:t>Étapes</w:t>
            </w:r>
          </w:p>
        </w:tc>
        <w:tc>
          <w:tcPr>
            <w:tcW w:w="1525" w:type="dxa"/>
            <w:shd w:val="clear" w:color="auto" w:fill="C6EFCE"/>
            <w:vAlign w:val="center"/>
            <w:hideMark/>
          </w:tcPr>
          <w:p w14:paraId="232313C3" w14:textId="0811B39B" w:rsidR="00025543" w:rsidRDefault="007E3A2F">
            <w:pPr>
              <w:pStyle w:val="P68B1DB1-Normal15"/>
              <w:spacing w:before="0" w:after="0" w:line="240" w:lineRule="auto"/>
              <w:rPr>
                <w:noProof/>
              </w:rPr>
            </w:pPr>
            <w:r>
              <w:rPr>
                <w:noProof/>
              </w:rPr>
              <w:t>Signature des conventions de subvention</w:t>
            </w:r>
          </w:p>
        </w:tc>
        <w:tc>
          <w:tcPr>
            <w:tcW w:w="1774" w:type="dxa"/>
            <w:shd w:val="clear" w:color="auto" w:fill="C6EFCE"/>
            <w:vAlign w:val="center"/>
            <w:hideMark/>
          </w:tcPr>
          <w:p w14:paraId="13B9E5E7" w14:textId="3F4D61E2" w:rsidR="00025543" w:rsidRDefault="007E3A2F">
            <w:pPr>
              <w:pStyle w:val="P68B1DB1-Normal15"/>
              <w:spacing w:before="0" w:after="0" w:line="240" w:lineRule="auto"/>
              <w:rPr>
                <w:noProof/>
              </w:rPr>
            </w:pPr>
            <w:r>
              <w:rPr>
                <w:noProof/>
              </w:rPr>
              <w:t>Signature des conventions de subvention</w:t>
            </w:r>
          </w:p>
        </w:tc>
        <w:tc>
          <w:tcPr>
            <w:tcW w:w="1026" w:type="dxa"/>
            <w:shd w:val="clear" w:color="auto" w:fill="C6EFCE"/>
            <w:vAlign w:val="center"/>
          </w:tcPr>
          <w:p w14:paraId="5DB57C06" w14:textId="77777777" w:rsidR="00025543" w:rsidRDefault="00025543">
            <w:pPr>
              <w:spacing w:before="0" w:after="0" w:line="240" w:lineRule="auto"/>
              <w:rPr>
                <w:rFonts w:eastAsia="Times New Roman"/>
                <w:noProof/>
                <w:color w:val="004300"/>
                <w:sz w:val="18"/>
              </w:rPr>
            </w:pPr>
          </w:p>
        </w:tc>
        <w:tc>
          <w:tcPr>
            <w:tcW w:w="1026" w:type="dxa"/>
            <w:shd w:val="clear" w:color="auto" w:fill="C6EFCE"/>
            <w:vAlign w:val="center"/>
          </w:tcPr>
          <w:p w14:paraId="1663D95C" w14:textId="77777777" w:rsidR="00025543" w:rsidRDefault="00025543">
            <w:pPr>
              <w:spacing w:before="0" w:after="0" w:line="240" w:lineRule="auto"/>
              <w:jc w:val="center"/>
              <w:rPr>
                <w:rFonts w:eastAsia="Times New Roman"/>
                <w:noProof/>
                <w:color w:val="004300"/>
                <w:sz w:val="18"/>
              </w:rPr>
            </w:pPr>
          </w:p>
        </w:tc>
        <w:tc>
          <w:tcPr>
            <w:tcW w:w="1026" w:type="dxa"/>
            <w:shd w:val="clear" w:color="auto" w:fill="C6EFCE"/>
            <w:vAlign w:val="center"/>
          </w:tcPr>
          <w:p w14:paraId="0F965679" w14:textId="77777777" w:rsidR="00025543" w:rsidRDefault="00025543">
            <w:pPr>
              <w:spacing w:before="0" w:after="0" w:line="240" w:lineRule="auto"/>
              <w:jc w:val="center"/>
              <w:rPr>
                <w:rFonts w:eastAsia="Times New Roman"/>
                <w:noProof/>
                <w:color w:val="004300"/>
                <w:sz w:val="18"/>
              </w:rPr>
            </w:pPr>
          </w:p>
        </w:tc>
        <w:tc>
          <w:tcPr>
            <w:tcW w:w="1134" w:type="dxa"/>
            <w:shd w:val="clear" w:color="auto" w:fill="C6EFCE"/>
            <w:vAlign w:val="center"/>
            <w:hideMark/>
          </w:tcPr>
          <w:p w14:paraId="15800E57" w14:textId="77777777" w:rsidR="00025543" w:rsidRDefault="007E3A2F">
            <w:pPr>
              <w:pStyle w:val="P68B1DB1-Normal15"/>
              <w:spacing w:before="0" w:after="0" w:line="240" w:lineRule="auto"/>
              <w:jc w:val="center"/>
              <w:rPr>
                <w:noProof/>
              </w:rPr>
            </w:pPr>
            <w:r>
              <w:rPr>
                <w:noProof/>
              </w:rPr>
              <w:t>TRIMESTRE 2</w:t>
            </w:r>
          </w:p>
        </w:tc>
        <w:tc>
          <w:tcPr>
            <w:tcW w:w="651" w:type="dxa"/>
            <w:shd w:val="clear" w:color="auto" w:fill="C6EFCE"/>
            <w:vAlign w:val="center"/>
            <w:hideMark/>
          </w:tcPr>
          <w:p w14:paraId="6CB2E3CA" w14:textId="77777777" w:rsidR="00025543" w:rsidRDefault="007E3A2F">
            <w:pPr>
              <w:pStyle w:val="P68B1DB1-Normal15"/>
              <w:spacing w:before="0" w:after="0" w:line="240" w:lineRule="auto"/>
              <w:jc w:val="center"/>
              <w:rPr>
                <w:noProof/>
              </w:rPr>
            </w:pPr>
            <w:r>
              <w:rPr>
                <w:noProof/>
              </w:rPr>
              <w:t>2024</w:t>
            </w:r>
          </w:p>
        </w:tc>
        <w:tc>
          <w:tcPr>
            <w:tcW w:w="4065" w:type="dxa"/>
            <w:shd w:val="clear" w:color="auto" w:fill="C6EFCE"/>
            <w:vAlign w:val="center"/>
            <w:hideMark/>
          </w:tcPr>
          <w:p w14:paraId="25D9A177" w14:textId="16B0F2D8" w:rsidR="00025543" w:rsidRDefault="007E3A2F">
            <w:pPr>
              <w:pStyle w:val="P68B1DB1-Normal15"/>
              <w:spacing w:before="0" w:after="0" w:line="240" w:lineRule="auto"/>
              <w:rPr>
                <w:noProof/>
              </w:rPr>
            </w:pPr>
            <w:r>
              <w:rPr>
                <w:noProof/>
              </w:rPr>
              <w:t>La convention de subvention sera signée avec des entreprises sélectionnées participant à des projets PIIEC/CT.</w:t>
            </w:r>
          </w:p>
        </w:tc>
      </w:tr>
      <w:tr w:rsidR="00025543" w14:paraId="67D5CB3C" w14:textId="77777777">
        <w:trPr>
          <w:trHeight w:val="309"/>
          <w:jc w:val="center"/>
        </w:trPr>
        <w:tc>
          <w:tcPr>
            <w:tcW w:w="647" w:type="dxa"/>
            <w:shd w:val="clear" w:color="auto" w:fill="C6EFCE"/>
            <w:vAlign w:val="center"/>
          </w:tcPr>
          <w:p w14:paraId="005F801A" w14:textId="6707F503" w:rsidR="00025543" w:rsidRDefault="007E3A2F">
            <w:pPr>
              <w:pStyle w:val="P68B1DB1-Normal15"/>
              <w:spacing w:before="0" w:after="0" w:line="240" w:lineRule="auto"/>
              <w:jc w:val="center"/>
              <w:rPr>
                <w:noProof/>
              </w:rPr>
            </w:pPr>
            <w:r>
              <w:rPr>
                <w:noProof/>
              </w:rPr>
              <w:t>255</w:t>
            </w:r>
          </w:p>
        </w:tc>
        <w:tc>
          <w:tcPr>
            <w:tcW w:w="1603" w:type="dxa"/>
            <w:shd w:val="clear" w:color="auto" w:fill="C6EFCE"/>
            <w:vAlign w:val="center"/>
          </w:tcPr>
          <w:p w14:paraId="6AC21B04" w14:textId="77777777" w:rsidR="00025543" w:rsidRDefault="007E3A2F">
            <w:pPr>
              <w:pStyle w:val="P68B1DB1-Normal15"/>
              <w:spacing w:before="0" w:after="0" w:line="240" w:lineRule="auto"/>
              <w:rPr>
                <w:noProof/>
              </w:rPr>
            </w:pPr>
            <w:r>
              <w:rPr>
                <w:noProof/>
              </w:rPr>
              <w:t>Investissement 4: PIIEC Microélectronique et technologies de la communication</w:t>
            </w:r>
          </w:p>
        </w:tc>
        <w:tc>
          <w:tcPr>
            <w:tcW w:w="1134" w:type="dxa"/>
            <w:shd w:val="clear" w:color="auto" w:fill="C6EFCE"/>
            <w:vAlign w:val="center"/>
          </w:tcPr>
          <w:p w14:paraId="339363CA" w14:textId="77777777" w:rsidR="00025543" w:rsidRDefault="007E3A2F">
            <w:pPr>
              <w:pStyle w:val="P68B1DB1-Normal15"/>
              <w:spacing w:before="0" w:after="0" w:line="240" w:lineRule="auto"/>
              <w:rPr>
                <w:noProof/>
              </w:rPr>
            </w:pPr>
            <w:r>
              <w:rPr>
                <w:noProof/>
              </w:rPr>
              <w:t>Cible</w:t>
            </w:r>
          </w:p>
        </w:tc>
        <w:tc>
          <w:tcPr>
            <w:tcW w:w="1525" w:type="dxa"/>
            <w:shd w:val="clear" w:color="auto" w:fill="C6EFCE"/>
            <w:vAlign w:val="center"/>
          </w:tcPr>
          <w:p w14:paraId="3867FD7F" w14:textId="77777777" w:rsidR="00025543" w:rsidRDefault="007E3A2F">
            <w:pPr>
              <w:pStyle w:val="P68B1DB1-Normal15"/>
              <w:spacing w:before="0" w:after="0" w:line="240" w:lineRule="auto"/>
              <w:rPr>
                <w:noProof/>
              </w:rPr>
            </w:pPr>
            <w:r>
              <w:rPr>
                <w:noProof/>
              </w:rPr>
              <w:t>Développement de solutions pilotes</w:t>
            </w:r>
          </w:p>
        </w:tc>
        <w:tc>
          <w:tcPr>
            <w:tcW w:w="1774" w:type="dxa"/>
            <w:shd w:val="clear" w:color="auto" w:fill="C6EFCE"/>
            <w:vAlign w:val="center"/>
          </w:tcPr>
          <w:p w14:paraId="0874C50F" w14:textId="77777777" w:rsidR="00025543" w:rsidRDefault="00025543">
            <w:pPr>
              <w:spacing w:before="0" w:after="0" w:line="240" w:lineRule="auto"/>
              <w:rPr>
                <w:rFonts w:eastAsia="Times New Roman"/>
                <w:noProof/>
                <w:color w:val="004300"/>
                <w:sz w:val="18"/>
              </w:rPr>
            </w:pPr>
          </w:p>
        </w:tc>
        <w:tc>
          <w:tcPr>
            <w:tcW w:w="1026" w:type="dxa"/>
            <w:shd w:val="clear" w:color="auto" w:fill="C6EFCE"/>
            <w:vAlign w:val="center"/>
          </w:tcPr>
          <w:p w14:paraId="02B894B7" w14:textId="77777777" w:rsidR="00025543" w:rsidRDefault="007E3A2F">
            <w:pPr>
              <w:pStyle w:val="P68B1DB1-Normal15"/>
              <w:spacing w:before="0" w:after="0" w:line="240" w:lineRule="auto"/>
              <w:rPr>
                <w:noProof/>
              </w:rPr>
            </w:pPr>
            <w:r>
              <w:rPr>
                <w:noProof/>
              </w:rPr>
              <w:t>Numéro</w:t>
            </w:r>
          </w:p>
        </w:tc>
        <w:tc>
          <w:tcPr>
            <w:tcW w:w="1026" w:type="dxa"/>
            <w:shd w:val="clear" w:color="auto" w:fill="C6EFCE"/>
            <w:vAlign w:val="center"/>
          </w:tcPr>
          <w:p w14:paraId="7E2DCFCC" w14:textId="77777777" w:rsidR="00025543" w:rsidRDefault="007E3A2F">
            <w:pPr>
              <w:pStyle w:val="P68B1DB1-Normal15"/>
              <w:spacing w:before="0" w:after="0" w:line="240" w:lineRule="auto"/>
              <w:jc w:val="center"/>
              <w:rPr>
                <w:noProof/>
              </w:rPr>
            </w:pPr>
            <w:r>
              <w:rPr>
                <w:noProof/>
              </w:rPr>
              <w:t>0</w:t>
            </w:r>
          </w:p>
        </w:tc>
        <w:tc>
          <w:tcPr>
            <w:tcW w:w="1026" w:type="dxa"/>
            <w:shd w:val="clear" w:color="auto" w:fill="C6EFCE"/>
            <w:vAlign w:val="center"/>
          </w:tcPr>
          <w:p w14:paraId="3E89C278" w14:textId="77777777" w:rsidR="00025543" w:rsidRDefault="007E3A2F">
            <w:pPr>
              <w:pStyle w:val="P68B1DB1-Normal15"/>
              <w:spacing w:before="0" w:after="0" w:line="240" w:lineRule="auto"/>
              <w:jc w:val="center"/>
              <w:rPr>
                <w:noProof/>
              </w:rPr>
            </w:pPr>
            <w:r>
              <w:rPr>
                <w:noProof/>
              </w:rPr>
              <w:t>4</w:t>
            </w:r>
          </w:p>
        </w:tc>
        <w:tc>
          <w:tcPr>
            <w:tcW w:w="1134" w:type="dxa"/>
            <w:shd w:val="clear" w:color="auto" w:fill="C6EFCE"/>
            <w:vAlign w:val="center"/>
          </w:tcPr>
          <w:p w14:paraId="45F63BA7" w14:textId="28B2E2F5" w:rsidR="00025543" w:rsidRDefault="007E3A2F">
            <w:pPr>
              <w:pStyle w:val="P68B1DB1-Normal15"/>
              <w:spacing w:before="0" w:after="0" w:line="240" w:lineRule="auto"/>
              <w:jc w:val="center"/>
              <w:rPr>
                <w:noProof/>
              </w:rPr>
            </w:pPr>
            <w:r>
              <w:rPr>
                <w:noProof/>
              </w:rPr>
              <w:t>TRIMESTRE 2</w:t>
            </w:r>
          </w:p>
        </w:tc>
        <w:tc>
          <w:tcPr>
            <w:tcW w:w="651" w:type="dxa"/>
            <w:shd w:val="clear" w:color="auto" w:fill="C6EFCE"/>
            <w:vAlign w:val="center"/>
          </w:tcPr>
          <w:p w14:paraId="125B4924" w14:textId="77777777" w:rsidR="00025543" w:rsidRDefault="007E3A2F">
            <w:pPr>
              <w:pStyle w:val="P68B1DB1-Normal15"/>
              <w:spacing w:before="0" w:after="0" w:line="240" w:lineRule="auto"/>
              <w:jc w:val="center"/>
              <w:rPr>
                <w:noProof/>
              </w:rPr>
            </w:pPr>
            <w:r>
              <w:rPr>
                <w:noProof/>
              </w:rPr>
              <w:t>2026</w:t>
            </w:r>
          </w:p>
        </w:tc>
        <w:tc>
          <w:tcPr>
            <w:tcW w:w="4065" w:type="dxa"/>
            <w:shd w:val="clear" w:color="auto" w:fill="C6EFCE"/>
            <w:vAlign w:val="center"/>
          </w:tcPr>
          <w:p w14:paraId="5311AAE4" w14:textId="1D6116D9" w:rsidR="00025543" w:rsidRDefault="007E3A2F">
            <w:pPr>
              <w:pStyle w:val="P68B1DB1-Normal15"/>
              <w:spacing w:before="0" w:after="0" w:line="240" w:lineRule="auto"/>
              <w:rPr>
                <w:noProof/>
              </w:rPr>
            </w:pPr>
            <w:r>
              <w:rPr>
                <w:noProof/>
              </w:rPr>
              <w:t>Une solution pilote par projet est mise au point et au moins 90 % du financement est décaissé.</w:t>
            </w:r>
          </w:p>
        </w:tc>
      </w:tr>
    </w:tbl>
    <w:p w14:paraId="12E03C1C" w14:textId="77777777" w:rsidR="00025543" w:rsidRDefault="00025543">
      <w:pPr>
        <w:autoSpaceDE w:val="0"/>
        <w:autoSpaceDN w:val="0"/>
        <w:adjustRightInd w:val="0"/>
        <w:spacing w:line="240" w:lineRule="auto"/>
        <w:jc w:val="both"/>
        <w:rPr>
          <w:rFonts w:eastAsia="Times New Roman"/>
          <w:noProof/>
        </w:rPr>
      </w:pPr>
    </w:p>
    <w:p w14:paraId="1451829A" w14:textId="77777777" w:rsidR="00025543" w:rsidRDefault="00025543">
      <w:pPr>
        <w:rPr>
          <w:rFonts w:eastAsia="Times New Roman"/>
          <w:noProof/>
        </w:rPr>
      </w:pPr>
    </w:p>
    <w:p w14:paraId="6A20102D" w14:textId="77777777" w:rsidR="00025543" w:rsidRDefault="00025543">
      <w:pPr>
        <w:rPr>
          <w:rFonts w:eastAsia="Times New Roman"/>
          <w:noProof/>
        </w:rPr>
      </w:pPr>
    </w:p>
    <w:p w14:paraId="493D456B" w14:textId="77777777" w:rsidR="00025543" w:rsidRDefault="00025543">
      <w:pPr>
        <w:rPr>
          <w:rFonts w:eastAsia="Times New Roman"/>
          <w:noProof/>
        </w:rPr>
      </w:pPr>
    </w:p>
    <w:p w14:paraId="77C54D33" w14:textId="77777777" w:rsidR="00025543" w:rsidRDefault="00025543">
      <w:pPr>
        <w:rPr>
          <w:rFonts w:eastAsia="Times New Roman"/>
          <w:noProof/>
        </w:rPr>
      </w:pPr>
    </w:p>
    <w:p w14:paraId="2530C9CF" w14:textId="77777777" w:rsidR="00025543" w:rsidRDefault="00025543">
      <w:pPr>
        <w:rPr>
          <w:rFonts w:eastAsia="Times New Roman"/>
          <w:noProof/>
        </w:rPr>
      </w:pPr>
    </w:p>
    <w:p w14:paraId="27F131AA" w14:textId="7AFAB7CA" w:rsidR="00025543" w:rsidRDefault="00025543">
      <w:pPr>
        <w:tabs>
          <w:tab w:val="left" w:pos="2790"/>
        </w:tabs>
        <w:rPr>
          <w:rFonts w:eastAsia="Times New Roman"/>
          <w:noProof/>
        </w:rPr>
      </w:pPr>
    </w:p>
    <w:p w14:paraId="23FA0A40" w14:textId="77777777" w:rsidR="00025543" w:rsidRDefault="00025543">
      <w:pPr>
        <w:rPr>
          <w:rFonts w:eastAsia="Times New Roman"/>
          <w:noProof/>
        </w:rPr>
      </w:pPr>
    </w:p>
    <w:p w14:paraId="0FE2B7E8" w14:textId="6B0B1A3A" w:rsidR="00025543" w:rsidRDefault="00025543">
      <w:pPr>
        <w:rPr>
          <w:rFonts w:eastAsia="Times New Roman"/>
          <w:noProof/>
        </w:rPr>
        <w:sectPr w:rsidR="00025543" w:rsidSect="00507AA7">
          <w:headerReference w:type="even" r:id="rId120"/>
          <w:headerReference w:type="default" r:id="rId121"/>
          <w:footerReference w:type="even" r:id="rId122"/>
          <w:footerReference w:type="default" r:id="rId123"/>
          <w:headerReference w:type="first" r:id="rId124"/>
          <w:footerReference w:type="first" r:id="rId125"/>
          <w:pgSz w:w="16839" w:h="11907" w:orient="landscape"/>
          <w:pgMar w:top="1134" w:right="1134" w:bottom="1134" w:left="1134" w:header="567" w:footer="567" w:gutter="0"/>
          <w:cols w:space="720"/>
          <w:docGrid w:linePitch="326"/>
        </w:sectPr>
      </w:pPr>
    </w:p>
    <w:p w14:paraId="2DD31AB4" w14:textId="37BD4367" w:rsidR="00025543" w:rsidRDefault="007E3A2F">
      <w:pPr>
        <w:pStyle w:val="P68B1DB1-Normal2"/>
        <w:keepNext/>
        <w:tabs>
          <w:tab w:val="left" w:pos="850"/>
        </w:tabs>
        <w:spacing w:line="240" w:lineRule="auto"/>
        <w:jc w:val="both"/>
        <w:outlineLvl w:val="0"/>
        <w:rPr>
          <w:noProof/>
        </w:rPr>
      </w:pPr>
      <w:r>
        <w:rPr>
          <w:noProof/>
        </w:rPr>
        <w:t>F. VOLET 1.6: Accélération et numérisation du processus de construction</w:t>
      </w:r>
    </w:p>
    <w:p w14:paraId="16B43DAA" w14:textId="77777777" w:rsidR="00025543" w:rsidRDefault="007E3A2F">
      <w:pPr>
        <w:spacing w:line="240" w:lineRule="auto"/>
        <w:jc w:val="both"/>
        <w:rPr>
          <w:noProof/>
        </w:rPr>
      </w:pPr>
      <w:r>
        <w:rPr>
          <w:noProof/>
        </w:rPr>
        <w:t xml:space="preserve">Ce volet </w:t>
      </w:r>
      <w:r>
        <w:rPr>
          <w:rFonts w:eastAsia="Times New Roman"/>
          <w:noProof/>
        </w:rPr>
        <w:t xml:space="preserve">du plan pour la reprise et la résilience de la République tchèque contribue à </w:t>
      </w:r>
      <w:r>
        <w:rPr>
          <w:noProof/>
        </w:rPr>
        <w:t>relever le défi des procédures d’obtention de permis de construire actuellement longues et lourdes sur le plan administratif.</w:t>
      </w:r>
    </w:p>
    <w:p w14:paraId="1BAE672B" w14:textId="77777777" w:rsidR="00025543" w:rsidRDefault="007E3A2F">
      <w:pPr>
        <w:spacing w:line="240" w:lineRule="auto"/>
        <w:jc w:val="both"/>
        <w:rPr>
          <w:noProof/>
        </w:rPr>
      </w:pPr>
      <w:r>
        <w:rPr>
          <w:noProof/>
        </w:rPr>
        <w:t xml:space="preserve">L’objectif de ce volet est de simplifier et de rationaliser le processus d’octroi des permis de construire. L’accélération significative du processus d’autorisation de construction devrait considérablement améliorer l’environnement des entreprises et des investissements en Tchéquie. Les conditions de la bonne mise en œuvre de la numérisation de la gestion des bâtiments et de l’aménagement du territoire sont également abordées. La rationalisation complète des processus parallèles en une procédure unique, ainsi que la réforme institutionnelle, comme le prévoit le projet de code de la construction, pourraient réduire la durée moyenne de délivrance d’un permis de 5,4 ans en moyenne à 1,25 ans en moyenne. La numérisation du processus devrait, à elle seule, réduire d’au moins 2 ans le délai moyen d’obtention d’un permis de construire. </w:t>
      </w:r>
    </w:p>
    <w:p w14:paraId="0CB8B03F" w14:textId="77777777" w:rsidR="00025543" w:rsidRDefault="007E3A2F">
      <w:pPr>
        <w:spacing w:line="240" w:lineRule="auto"/>
        <w:jc w:val="both"/>
        <w:rPr>
          <w:noProof/>
        </w:rPr>
      </w:pPr>
      <w:r>
        <w:rPr>
          <w:noProof/>
        </w:rPr>
        <w:t>Le volet soutient la mise en œuvre de la recommandation par pays no 3 2019, selon laquelle la Tchéquie devrait réduire la charge administrative pesant sur les investissements et soutenir une concurrence plus fondée sur la qualité dans les marchés publics, et la recommandation par pays no 3 2020, selon laquelle la Tchéquie soutient les petites et moyennes entreprises en recourant davantage aux instruments financiers pour garantir un soutien de trésorerie, réduire la charge administrative et améliorer l’administration en ligne.</w:t>
      </w:r>
    </w:p>
    <w:p w14:paraId="3F091E59" w14:textId="5F24FE6A" w:rsidR="00025543" w:rsidRDefault="007E3A2F">
      <w:pPr>
        <w:spacing w:line="276" w:lineRule="auto"/>
        <w:jc w:val="both"/>
        <w:rPr>
          <w:noProof/>
          <w:sz w:val="22"/>
        </w:rPr>
      </w:pPr>
      <w:r>
        <w:rPr>
          <w:noProof/>
        </w:rPr>
        <w:t>Aucune mesure relevant de ce volet ne devrait nuire gravement aux objectifs environnementaux au sens de l’article 17 du règlement (UE) 2020/852, compte tenu de la description des mesures et des mesures d’atténuation prévues dans le plan pour la reprise et la résilience conformément aux orientations techniques de la DNSH (2021/C58/01).</w:t>
      </w:r>
    </w:p>
    <w:p w14:paraId="60C69898" w14:textId="4E61B01F" w:rsidR="00025543" w:rsidRDefault="00025543">
      <w:pPr>
        <w:spacing w:line="240" w:lineRule="auto"/>
        <w:jc w:val="both"/>
        <w:rPr>
          <w:noProof/>
        </w:rPr>
      </w:pPr>
    </w:p>
    <w:p w14:paraId="3DD8FB13" w14:textId="77777777" w:rsidR="00025543" w:rsidRDefault="007E3A2F">
      <w:pPr>
        <w:pStyle w:val="P68B1DB1-Normal5"/>
        <w:spacing w:line="240" w:lineRule="auto"/>
        <w:rPr>
          <w:noProof/>
        </w:rPr>
      </w:pPr>
      <w:r>
        <w:rPr>
          <w:noProof/>
        </w:rPr>
        <w:t>F.1. Description des réformes et des investissements en vue du soutien financier non remboursable</w:t>
      </w:r>
    </w:p>
    <w:p w14:paraId="4824EB68" w14:textId="77777777" w:rsidR="00025543" w:rsidRDefault="007E3A2F">
      <w:pPr>
        <w:pStyle w:val="P68B1DB1-Normal7"/>
        <w:spacing w:line="240" w:lineRule="auto"/>
        <w:rPr>
          <w:noProof/>
        </w:rPr>
      </w:pPr>
      <w:r>
        <w:rPr>
          <w:noProof/>
        </w:rPr>
        <w:t xml:space="preserve">Réforme 1: Mise en œuvre de la nouvelle loi sur la construction et de la loi sur le zonage </w:t>
      </w:r>
    </w:p>
    <w:p w14:paraId="4B67D703" w14:textId="404C0464" w:rsidR="00025543" w:rsidRDefault="007E3A2F">
      <w:pPr>
        <w:spacing w:line="240" w:lineRule="auto"/>
        <w:jc w:val="both"/>
        <w:rPr>
          <w:noProof/>
        </w:rPr>
      </w:pPr>
      <w:r>
        <w:rPr>
          <w:noProof/>
        </w:rPr>
        <w:t xml:space="preserve">La réforme consiste en des changements institutionnels et procéduraux et vise à apporter un degré élevé de numérisation au processus d’autorisation de construction. La nouvelle loi sur la construction entre en vigueur au plus tard le 30 septembre 2021. Il met sous la responsabilité de l’État la structure décentralisée des autorités immobilières et leurs conditions de fonctionnement. </w:t>
      </w:r>
    </w:p>
    <w:p w14:paraId="69B06CF2" w14:textId="2EA005A7" w:rsidR="00025543" w:rsidRDefault="007E3A2F">
      <w:pPr>
        <w:spacing w:line="240" w:lineRule="auto"/>
        <w:jc w:val="both"/>
        <w:rPr>
          <w:noProof/>
        </w:rPr>
      </w:pPr>
      <w:r>
        <w:rPr>
          <w:noProof/>
        </w:rPr>
        <w:t>La réforme accélérera les procédures de construction et vise à rendre les procédures d’autorisation plus efficaces. Les acteurs concernés reçoivent une formation adéquate pour comprendre les nouveaux processus, être en mesure d’utiliser les nouveaux systèmes d’information et travailler efficacement dans le nouveau cadre organisationnel. Les données existantes sont migrées vers une nouvelle plateforme et le fonctionnement des systèmes d’information individuels existants est assuré jusqu’à la mise en place du système d’information central (AIS). Il s’agit notamment de fournir l’équipement informatique nécessaire au fonctionnement de la nouvelle structure des autorités chargées du bâtiment.</w:t>
      </w:r>
    </w:p>
    <w:p w14:paraId="30507E78" w14:textId="4C05B48B" w:rsidR="00025543" w:rsidRDefault="007E3A2F">
      <w:pPr>
        <w:spacing w:line="240" w:lineRule="auto"/>
        <w:jc w:val="both"/>
        <w:rPr>
          <w:noProof/>
        </w:rPr>
      </w:pPr>
      <w:r>
        <w:rPr>
          <w:noProof/>
        </w:rPr>
        <w:t xml:space="preserve">Cette réforme est mise en œuvre au plus tard le 30 septembre 2024 </w:t>
      </w:r>
      <w:r>
        <w:rPr>
          <w:rFonts w:eastAsia="Times New Roman"/>
          <w:noProof/>
        </w:rPr>
        <w:t>et ses premières incidences sont mesurées au plus tard le 31 décembre 2025</w:t>
      </w:r>
      <w:r>
        <w:rPr>
          <w:noProof/>
        </w:rPr>
        <w:t xml:space="preserve">. </w:t>
      </w:r>
    </w:p>
    <w:p w14:paraId="1B10936B" w14:textId="77777777" w:rsidR="00025543" w:rsidRDefault="007E3A2F">
      <w:pPr>
        <w:pStyle w:val="P68B1DB1-Normal7"/>
        <w:spacing w:line="240" w:lineRule="auto"/>
        <w:jc w:val="both"/>
        <w:rPr>
          <w:noProof/>
        </w:rPr>
      </w:pPr>
      <w:r>
        <w:rPr>
          <w:noProof/>
        </w:rPr>
        <w:t xml:space="preserve">Investissement 1: Système central d’information (AIS) </w:t>
      </w:r>
    </w:p>
    <w:p w14:paraId="65F430D5" w14:textId="77777777" w:rsidR="00025543" w:rsidRDefault="007E3A2F">
      <w:pPr>
        <w:spacing w:line="240" w:lineRule="auto"/>
        <w:jc w:val="both"/>
        <w:rPr>
          <w:noProof/>
        </w:rPr>
      </w:pPr>
      <w:r>
        <w:rPr>
          <w:noProof/>
        </w:rPr>
        <w:t>L’investissement crée un</w:t>
      </w:r>
      <w:r>
        <w:rPr>
          <w:b/>
          <w:noProof/>
        </w:rPr>
        <w:t xml:space="preserve"> </w:t>
      </w:r>
      <w:r>
        <w:rPr>
          <w:noProof/>
        </w:rPr>
        <w:t xml:space="preserve">système d’information sur la gestion des processus à utiliser par les fonctionnaires des autorités participant au processus d’autorisation de construction. Le système numérise les processus de gestion des bâtiments de manière à garantir la transparence, l’efficience et l’efficacité des processus prévus par la législation mise en œuvre par la réforme 1 de ce volet. Les licences matérielles et logicielles nécessaires sont achetées, de même que l’assistance technique, les applications couvrant les exigences fonctionnelles et non fonctionnelles nécessaires, les essais appropriés du système, l’entretien, le fonctionnement et le développement de l’application. </w:t>
      </w:r>
    </w:p>
    <w:p w14:paraId="640247B9" w14:textId="11EC04AA" w:rsidR="00025543" w:rsidRDefault="007E3A2F">
      <w:pPr>
        <w:spacing w:line="240" w:lineRule="auto"/>
        <w:jc w:val="both"/>
        <w:rPr>
          <w:noProof/>
        </w:rPr>
      </w:pPr>
      <w:r>
        <w:rPr>
          <w:noProof/>
        </w:rPr>
        <w:t xml:space="preserve">Cet investissement est mis en œuvre au plus tard le 30 septembre 2024. </w:t>
      </w:r>
    </w:p>
    <w:p w14:paraId="46867712" w14:textId="77777777" w:rsidR="00025543" w:rsidRDefault="007E3A2F">
      <w:pPr>
        <w:pStyle w:val="P68B1DB1-Normal7"/>
        <w:spacing w:line="240" w:lineRule="auto"/>
        <w:jc w:val="both"/>
        <w:rPr>
          <w:noProof/>
        </w:rPr>
      </w:pPr>
      <w:r>
        <w:rPr>
          <w:noProof/>
        </w:rPr>
        <w:t>Investissement 2: Développement et utilisation des données de l’administration publique dans le cadre de l’aménagement du territoire</w:t>
      </w:r>
    </w:p>
    <w:p w14:paraId="2F92D8D6" w14:textId="77777777" w:rsidR="00025543" w:rsidRDefault="007E3A2F">
      <w:pPr>
        <w:spacing w:line="240" w:lineRule="auto"/>
        <w:jc w:val="both"/>
        <w:rPr>
          <w:noProof/>
        </w:rPr>
      </w:pPr>
      <w:r>
        <w:rPr>
          <w:noProof/>
        </w:rPr>
        <w:t xml:space="preserve">L’objectif de l’investissement est de mettre en place une base de données centrale de documentation analytique spatiale dans le cadre du système d’information sur l’aménagement du territoire, qui sera utilisée pour fournir des données et des services aux autorités d’aménagement du territoire, aux autres utilisateurs du secteur public et aux fournisseurs de documents d’aménagement du territoire. Les données sont fournies sous la forme de données ouvertes. La centralisation permet un partage efficace des données avec d’autres systèmes d’administration publique (notamment le registre de l’identification territoriale, des adresses et des biens immobiliers). </w:t>
      </w:r>
    </w:p>
    <w:p w14:paraId="2F9567C7" w14:textId="77777777" w:rsidR="00025543" w:rsidRDefault="007E3A2F">
      <w:pPr>
        <w:spacing w:line="240" w:lineRule="auto"/>
        <w:jc w:val="both"/>
        <w:rPr>
          <w:noProof/>
        </w:rPr>
      </w:pPr>
      <w:r>
        <w:rPr>
          <w:noProof/>
        </w:rPr>
        <w:t xml:space="preserve">Cet investissement est mis en œuvre au plus tard le 31 décembre 2024. </w:t>
      </w:r>
    </w:p>
    <w:p w14:paraId="11BB1590" w14:textId="77777777" w:rsidR="00025543" w:rsidRDefault="007E3A2F">
      <w:pPr>
        <w:spacing w:line="240" w:lineRule="auto"/>
        <w:jc w:val="both"/>
        <w:rPr>
          <w:noProof/>
        </w:rPr>
      </w:pPr>
      <w:r>
        <w:rPr>
          <w:b/>
          <w:noProof/>
        </w:rPr>
        <w:t>Investissement 3: Tirer pleinement parti de la numérisation du contrôle des bâtiments</w:t>
      </w:r>
      <w:r>
        <w:rPr>
          <w:noProof/>
        </w:rPr>
        <w:t xml:space="preserve"> </w:t>
      </w:r>
    </w:p>
    <w:p w14:paraId="5136E7BD" w14:textId="77777777" w:rsidR="00025543" w:rsidRDefault="007E3A2F">
      <w:pPr>
        <w:spacing w:line="240" w:lineRule="auto"/>
        <w:jc w:val="both"/>
        <w:rPr>
          <w:noProof/>
        </w:rPr>
      </w:pPr>
      <w:r>
        <w:rPr>
          <w:noProof/>
        </w:rPr>
        <w:t xml:space="preserve">L’investissement crée une série de systèmes d’information, de normes et de méthodologies nécessaires à la numérisation complète du processus d’autorisation de construction et de l’aménagement du territoire. </w:t>
      </w:r>
    </w:p>
    <w:p w14:paraId="426520DE" w14:textId="77777777" w:rsidR="00025543" w:rsidRDefault="007E3A2F">
      <w:pPr>
        <w:spacing w:line="240" w:lineRule="auto"/>
        <w:jc w:val="both"/>
        <w:rPr>
          <w:noProof/>
        </w:rPr>
      </w:pPr>
      <w:r>
        <w:rPr>
          <w:noProof/>
        </w:rPr>
        <w:t xml:space="preserve">Trois systèmes informatiques seront mis en place pour permettre l’interconnexion des bases de données clés et faciliter le processus de permis de construire et l’aménagement du territoire: </w:t>
      </w:r>
    </w:p>
    <w:p w14:paraId="3CAAAB02" w14:textId="77777777" w:rsidR="00025543" w:rsidRDefault="007E3A2F">
      <w:pPr>
        <w:pStyle w:val="P68B1DB1-Normal13"/>
        <w:numPr>
          <w:ilvl w:val="0"/>
          <w:numId w:val="165"/>
        </w:numPr>
        <w:pBdr>
          <w:top w:val="nil"/>
          <w:left w:val="nil"/>
          <w:bottom w:val="nil"/>
          <w:right w:val="nil"/>
          <w:between w:val="nil"/>
        </w:pBdr>
        <w:spacing w:line="259" w:lineRule="auto"/>
        <w:ind w:left="357" w:hanging="357"/>
        <w:jc w:val="both"/>
        <w:rPr>
          <w:noProof/>
        </w:rPr>
      </w:pPr>
      <w:r>
        <w:rPr>
          <w:noProof/>
        </w:rPr>
        <w:t>Un système reliant les normes techniques aux règlements d’exécution, qui sera intégré dans le portail des développeurs de bâtiments et mis à la disposition du public.</w:t>
      </w:r>
    </w:p>
    <w:p w14:paraId="7A6F34B4" w14:textId="77777777" w:rsidR="00025543" w:rsidRDefault="007E3A2F">
      <w:pPr>
        <w:pStyle w:val="P68B1DB1-Normal13"/>
        <w:numPr>
          <w:ilvl w:val="0"/>
          <w:numId w:val="165"/>
        </w:numPr>
        <w:pBdr>
          <w:top w:val="nil"/>
          <w:left w:val="nil"/>
          <w:bottom w:val="nil"/>
          <w:right w:val="nil"/>
          <w:between w:val="nil"/>
        </w:pBdr>
        <w:spacing w:line="259" w:lineRule="auto"/>
        <w:ind w:left="357" w:hanging="357"/>
        <w:jc w:val="both"/>
        <w:rPr>
          <w:noProof/>
        </w:rPr>
      </w:pPr>
      <w:r>
        <w:rPr>
          <w:noProof/>
        </w:rPr>
        <w:t>Un système d’exigences structurées concernant les bâtiments et les procédures, la validation et le contrôle du processus d’autorisation.</w:t>
      </w:r>
    </w:p>
    <w:p w14:paraId="1745DA73" w14:textId="77777777" w:rsidR="00025543" w:rsidRDefault="007E3A2F">
      <w:pPr>
        <w:pStyle w:val="P68B1DB1-Normal13"/>
        <w:numPr>
          <w:ilvl w:val="0"/>
          <w:numId w:val="165"/>
        </w:numPr>
        <w:pBdr>
          <w:top w:val="nil"/>
          <w:left w:val="nil"/>
          <w:bottom w:val="nil"/>
          <w:right w:val="nil"/>
          <w:between w:val="nil"/>
        </w:pBdr>
        <w:spacing w:line="259" w:lineRule="auto"/>
        <w:ind w:left="357" w:hanging="357"/>
        <w:jc w:val="both"/>
        <w:rPr>
          <w:noProof/>
        </w:rPr>
      </w:pPr>
      <w:r>
        <w:rPr>
          <w:noProof/>
        </w:rPr>
        <w:t>Un système de gestion des normes de données des bâtiments.</w:t>
      </w:r>
    </w:p>
    <w:p w14:paraId="6DDA2765" w14:textId="77777777" w:rsidR="00025543" w:rsidRDefault="007E3A2F">
      <w:pPr>
        <w:spacing w:line="240" w:lineRule="auto"/>
        <w:rPr>
          <w:noProof/>
        </w:rPr>
      </w:pPr>
      <w:r>
        <w:rPr>
          <w:noProof/>
        </w:rPr>
        <w:t>Cet investissement est mis en œuvre au plus tard le 31 décembre 2025.</w:t>
      </w:r>
    </w:p>
    <w:p w14:paraId="652641AE" w14:textId="77777777" w:rsidR="00025543" w:rsidRDefault="00025543">
      <w:pPr>
        <w:spacing w:line="240" w:lineRule="auto"/>
        <w:rPr>
          <w:noProof/>
        </w:rPr>
        <w:sectPr w:rsidR="00025543" w:rsidSect="00507AA7">
          <w:headerReference w:type="even" r:id="rId126"/>
          <w:headerReference w:type="default" r:id="rId127"/>
          <w:footerReference w:type="even" r:id="rId128"/>
          <w:footerReference w:type="default" r:id="rId129"/>
          <w:headerReference w:type="first" r:id="rId130"/>
          <w:footerReference w:type="first" r:id="rId131"/>
          <w:pgSz w:w="11907" w:h="16839"/>
          <w:pgMar w:top="1134" w:right="1134" w:bottom="1134" w:left="1134" w:header="567" w:footer="567" w:gutter="0"/>
          <w:cols w:space="720"/>
          <w:docGrid w:linePitch="326"/>
        </w:sectPr>
      </w:pPr>
    </w:p>
    <w:p w14:paraId="686F5A7F" w14:textId="267BA68E" w:rsidR="00025543" w:rsidRDefault="007E3A2F">
      <w:pPr>
        <w:pStyle w:val="P68B1DB1-Normal8"/>
        <w:pBdr>
          <w:top w:val="nil"/>
          <w:left w:val="nil"/>
          <w:bottom w:val="nil"/>
          <w:right w:val="nil"/>
          <w:between w:val="nil"/>
        </w:pBdr>
        <w:tabs>
          <w:tab w:val="left" w:pos="993"/>
        </w:tabs>
        <w:spacing w:line="240" w:lineRule="auto"/>
        <w:rPr>
          <w:rFonts w:ascii="Calibri" w:hAnsi="Calibri"/>
          <w:noProof/>
          <w:sz w:val="22"/>
        </w:rPr>
      </w:pPr>
      <w:r>
        <w:rPr>
          <w:noProof/>
        </w:rPr>
        <w:t xml:space="preserve">F.2. Jalons, cibles, indicateurs et calendrier de suivi et de mise en œuvre en vue du soutien financier non remboursable </w:t>
      </w:r>
    </w:p>
    <w:tbl>
      <w:tblPr>
        <w:tblW w:w="144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1303"/>
        <w:gridCol w:w="1075"/>
        <w:gridCol w:w="1377"/>
        <w:gridCol w:w="1605"/>
        <w:gridCol w:w="906"/>
        <w:gridCol w:w="1075"/>
        <w:gridCol w:w="678"/>
        <w:gridCol w:w="964"/>
        <w:gridCol w:w="772"/>
        <w:gridCol w:w="4025"/>
      </w:tblGrid>
      <w:tr w:rsidR="00025543" w14:paraId="57143DBC" w14:textId="77777777">
        <w:trPr>
          <w:trHeight w:val="246"/>
          <w:tblHeader/>
          <w:jc w:val="center"/>
        </w:trPr>
        <w:tc>
          <w:tcPr>
            <w:tcW w:w="645" w:type="dxa"/>
            <w:vMerge w:val="restart"/>
            <w:tcBorders>
              <w:top w:val="single" w:sz="8" w:space="0" w:color="000000" w:themeColor="text1"/>
              <w:left w:val="single" w:sz="8" w:space="0" w:color="000000" w:themeColor="text1"/>
              <w:right w:val="single" w:sz="8" w:space="0" w:color="000000" w:themeColor="text1"/>
            </w:tcBorders>
            <w:shd w:val="clear" w:color="auto" w:fill="BDD7EE"/>
            <w:vAlign w:val="center"/>
          </w:tcPr>
          <w:p w14:paraId="12EF9806" w14:textId="77777777" w:rsidR="00025543" w:rsidRDefault="007E3A2F">
            <w:pPr>
              <w:pStyle w:val="P68B1DB1-Normal9"/>
              <w:spacing w:line="240" w:lineRule="auto"/>
              <w:jc w:val="center"/>
              <w:rPr>
                <w:noProof/>
              </w:rPr>
            </w:pPr>
            <w:r>
              <w:rPr>
                <w:noProof/>
              </w:rPr>
              <w:t xml:space="preserve">Séquence NUM. </w:t>
            </w:r>
          </w:p>
        </w:tc>
        <w:tc>
          <w:tcPr>
            <w:tcW w:w="1303" w:type="dxa"/>
            <w:vMerge w:val="restart"/>
            <w:tcBorders>
              <w:top w:val="single" w:sz="8" w:space="0" w:color="000000" w:themeColor="text1"/>
              <w:left w:val="single" w:sz="8" w:space="0" w:color="000000" w:themeColor="text1"/>
              <w:right w:val="single" w:sz="8" w:space="0" w:color="000000" w:themeColor="text1"/>
            </w:tcBorders>
            <w:shd w:val="clear" w:color="auto" w:fill="BDD7EE"/>
            <w:vAlign w:val="center"/>
          </w:tcPr>
          <w:p w14:paraId="0CA7E883" w14:textId="77777777" w:rsidR="00025543" w:rsidRDefault="007E3A2F">
            <w:pPr>
              <w:pStyle w:val="P68B1DB1-Normal9"/>
              <w:spacing w:line="240" w:lineRule="auto"/>
              <w:jc w:val="center"/>
              <w:rPr>
                <w:noProof/>
              </w:rPr>
            </w:pPr>
            <w:r>
              <w:rPr>
                <w:noProof/>
              </w:rPr>
              <w:t xml:space="preserve">Mesure connexe (réforme ou investissement) </w:t>
            </w:r>
          </w:p>
        </w:tc>
        <w:tc>
          <w:tcPr>
            <w:tcW w:w="1075" w:type="dxa"/>
            <w:vMerge w:val="restart"/>
            <w:tcBorders>
              <w:top w:val="single" w:sz="8" w:space="0" w:color="000000" w:themeColor="text1"/>
              <w:left w:val="single" w:sz="8" w:space="0" w:color="000000" w:themeColor="text1"/>
              <w:right w:val="single" w:sz="8" w:space="0" w:color="000000" w:themeColor="text1"/>
            </w:tcBorders>
            <w:shd w:val="clear" w:color="auto" w:fill="BDD7EE"/>
            <w:vAlign w:val="center"/>
          </w:tcPr>
          <w:p w14:paraId="208FA443" w14:textId="77777777" w:rsidR="00025543" w:rsidRDefault="007E3A2F">
            <w:pPr>
              <w:pStyle w:val="P68B1DB1-Normal9"/>
              <w:spacing w:line="240" w:lineRule="auto"/>
              <w:jc w:val="center"/>
              <w:rPr>
                <w:noProof/>
              </w:rPr>
            </w:pPr>
            <w:r>
              <w:rPr>
                <w:noProof/>
              </w:rPr>
              <w:t xml:space="preserve">Jalon/cible </w:t>
            </w:r>
          </w:p>
        </w:tc>
        <w:tc>
          <w:tcPr>
            <w:tcW w:w="1377" w:type="dxa"/>
            <w:vMerge w:val="restart"/>
            <w:tcBorders>
              <w:top w:val="single" w:sz="8" w:space="0" w:color="000000" w:themeColor="text1"/>
              <w:left w:val="single" w:sz="8" w:space="0" w:color="000000" w:themeColor="text1"/>
              <w:right w:val="single" w:sz="8" w:space="0" w:color="000000" w:themeColor="text1"/>
            </w:tcBorders>
            <w:shd w:val="clear" w:color="auto" w:fill="BDD7EE"/>
            <w:vAlign w:val="center"/>
          </w:tcPr>
          <w:p w14:paraId="419D5A6F" w14:textId="77777777" w:rsidR="00025543" w:rsidRDefault="007E3A2F">
            <w:pPr>
              <w:pStyle w:val="P68B1DB1-Normal9"/>
              <w:spacing w:line="240" w:lineRule="auto"/>
              <w:jc w:val="center"/>
              <w:rPr>
                <w:noProof/>
              </w:rPr>
            </w:pPr>
            <w:r>
              <w:rPr>
                <w:noProof/>
              </w:rPr>
              <w:t xml:space="preserve">Nom </w:t>
            </w:r>
          </w:p>
        </w:tc>
        <w:tc>
          <w:tcPr>
            <w:tcW w:w="1605" w:type="dxa"/>
            <w:vMerge w:val="restart"/>
            <w:tcBorders>
              <w:top w:val="single" w:sz="8" w:space="0" w:color="000000" w:themeColor="text1"/>
              <w:left w:val="single" w:sz="8" w:space="0" w:color="000000" w:themeColor="text1"/>
              <w:right w:val="single" w:sz="8" w:space="0" w:color="000000" w:themeColor="text1"/>
            </w:tcBorders>
            <w:shd w:val="clear" w:color="auto" w:fill="BDD7EE"/>
            <w:vAlign w:val="center"/>
          </w:tcPr>
          <w:p w14:paraId="4CA321BA" w14:textId="77777777" w:rsidR="00025543" w:rsidRDefault="007E3A2F">
            <w:pPr>
              <w:pStyle w:val="P68B1DB1-Normal10"/>
              <w:spacing w:line="240" w:lineRule="auto"/>
              <w:jc w:val="center"/>
              <w:rPr>
                <w:noProof/>
              </w:rPr>
            </w:pPr>
            <w:r>
              <w:rPr>
                <w:b/>
                <w:noProof/>
              </w:rPr>
              <w:t>Qualitatifs</w:t>
            </w:r>
            <w:r>
              <w:rPr>
                <w:noProof/>
              </w:rPr>
              <w:br/>
            </w:r>
            <w:r>
              <w:rPr>
                <w:b/>
                <w:noProof/>
              </w:rPr>
              <w:t xml:space="preserve"> (pour les jalons)</w:t>
            </w:r>
          </w:p>
        </w:tc>
        <w:tc>
          <w:tcPr>
            <w:tcW w:w="265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vAlign w:val="center"/>
          </w:tcPr>
          <w:p w14:paraId="2951A866" w14:textId="77777777" w:rsidR="00025543" w:rsidRDefault="007E3A2F">
            <w:pPr>
              <w:pStyle w:val="P68B1DB1-Normal10"/>
              <w:spacing w:line="240" w:lineRule="auto"/>
              <w:jc w:val="center"/>
              <w:rPr>
                <w:noProof/>
              </w:rPr>
            </w:pPr>
            <w:r>
              <w:rPr>
                <w:b/>
                <w:noProof/>
              </w:rPr>
              <w:t>Indicateurs quantitatifs</w:t>
            </w:r>
            <w:r>
              <w:rPr>
                <w:noProof/>
              </w:rPr>
              <w:br/>
            </w:r>
            <w:r>
              <w:rPr>
                <w:b/>
                <w:noProof/>
              </w:rPr>
              <w:t xml:space="preserve"> (pour les objectifs)</w:t>
            </w:r>
          </w:p>
        </w:tc>
        <w:tc>
          <w:tcPr>
            <w:tcW w:w="1736" w:type="dxa"/>
            <w:gridSpan w:val="2"/>
            <w:tcBorders>
              <w:top w:val="single" w:sz="8" w:space="0" w:color="000000" w:themeColor="text1"/>
              <w:left w:val="nil"/>
              <w:bottom w:val="single" w:sz="8" w:space="0" w:color="000000" w:themeColor="text1"/>
              <w:right w:val="single" w:sz="8" w:space="0" w:color="000000" w:themeColor="text1"/>
            </w:tcBorders>
            <w:shd w:val="clear" w:color="auto" w:fill="BDD7EE"/>
            <w:vAlign w:val="center"/>
          </w:tcPr>
          <w:p w14:paraId="3CB62400" w14:textId="77777777" w:rsidR="00025543" w:rsidRDefault="007E3A2F">
            <w:pPr>
              <w:pStyle w:val="P68B1DB1-Normal9"/>
              <w:spacing w:line="240" w:lineRule="auto"/>
              <w:jc w:val="center"/>
              <w:rPr>
                <w:noProof/>
              </w:rPr>
            </w:pPr>
            <w:r>
              <w:rPr>
                <w:noProof/>
              </w:rPr>
              <w:t xml:space="preserve">Calendrier indicatif de réalisation </w:t>
            </w:r>
          </w:p>
        </w:tc>
        <w:tc>
          <w:tcPr>
            <w:tcW w:w="4025" w:type="dxa"/>
            <w:vMerge w:val="restart"/>
            <w:tcBorders>
              <w:top w:val="single" w:sz="8" w:space="0" w:color="000000" w:themeColor="text1"/>
              <w:left w:val="nil"/>
              <w:right w:val="single" w:sz="8" w:space="0" w:color="000000" w:themeColor="text1"/>
            </w:tcBorders>
            <w:shd w:val="clear" w:color="auto" w:fill="BDD7EE"/>
            <w:vAlign w:val="center"/>
          </w:tcPr>
          <w:p w14:paraId="328FF0C3" w14:textId="77777777" w:rsidR="00025543" w:rsidRDefault="007E3A2F">
            <w:pPr>
              <w:pStyle w:val="P68B1DB1-Normal9"/>
              <w:spacing w:line="240" w:lineRule="auto"/>
              <w:jc w:val="center"/>
              <w:rPr>
                <w:noProof/>
              </w:rPr>
            </w:pPr>
            <w:r>
              <w:rPr>
                <w:noProof/>
              </w:rPr>
              <w:t>Description et définition claire de chaque jalon et cible</w:t>
            </w:r>
          </w:p>
        </w:tc>
      </w:tr>
      <w:tr w:rsidR="00025543" w14:paraId="193494BC" w14:textId="77777777">
        <w:trPr>
          <w:trHeight w:val="326"/>
          <w:tblHeader/>
          <w:jc w:val="center"/>
        </w:trPr>
        <w:tc>
          <w:tcPr>
            <w:tcW w:w="645" w:type="dxa"/>
            <w:vMerge/>
            <w:vAlign w:val="center"/>
          </w:tcPr>
          <w:p w14:paraId="3E91276B"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c>
          <w:tcPr>
            <w:tcW w:w="1303" w:type="dxa"/>
            <w:vMerge/>
            <w:vAlign w:val="center"/>
          </w:tcPr>
          <w:p w14:paraId="61A210B5"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c>
          <w:tcPr>
            <w:tcW w:w="1075" w:type="dxa"/>
            <w:vMerge/>
            <w:vAlign w:val="center"/>
          </w:tcPr>
          <w:p w14:paraId="2167CB9E"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c>
          <w:tcPr>
            <w:tcW w:w="1377" w:type="dxa"/>
            <w:vMerge/>
            <w:vAlign w:val="center"/>
          </w:tcPr>
          <w:p w14:paraId="25FB3A67"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c>
          <w:tcPr>
            <w:tcW w:w="1605" w:type="dxa"/>
            <w:vMerge/>
            <w:vAlign w:val="center"/>
          </w:tcPr>
          <w:p w14:paraId="31FC3844"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vAlign w:val="center"/>
          </w:tcPr>
          <w:p w14:paraId="3407610B" w14:textId="77777777" w:rsidR="00025543" w:rsidRDefault="007E3A2F">
            <w:pPr>
              <w:pStyle w:val="P68B1DB1-Normal9"/>
              <w:spacing w:line="240" w:lineRule="auto"/>
              <w:jc w:val="center"/>
              <w:rPr>
                <w:noProof/>
              </w:rPr>
            </w:pPr>
            <w:r>
              <w:rPr>
                <w:noProof/>
              </w:rPr>
              <w:t>Unité de mesure</w:t>
            </w:r>
          </w:p>
        </w:tc>
        <w:tc>
          <w:tcPr>
            <w:tcW w:w="1075"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tcPr>
          <w:p w14:paraId="1A22C2C2" w14:textId="77777777" w:rsidR="00025543" w:rsidRDefault="007E3A2F">
            <w:pPr>
              <w:pStyle w:val="P68B1DB1-Normal9"/>
              <w:spacing w:line="240" w:lineRule="auto"/>
              <w:jc w:val="center"/>
              <w:rPr>
                <w:noProof/>
              </w:rPr>
            </w:pPr>
            <w:r>
              <w:rPr>
                <w:noProof/>
              </w:rPr>
              <w:t>Scénario de référence</w:t>
            </w:r>
          </w:p>
        </w:tc>
        <w:tc>
          <w:tcPr>
            <w:tcW w:w="678"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tcPr>
          <w:p w14:paraId="42964533" w14:textId="77777777" w:rsidR="00025543" w:rsidRDefault="007E3A2F">
            <w:pPr>
              <w:pStyle w:val="P68B1DB1-Normal9"/>
              <w:spacing w:line="240" w:lineRule="auto"/>
              <w:jc w:val="center"/>
              <w:rPr>
                <w:noProof/>
              </w:rPr>
            </w:pPr>
            <w:r>
              <w:rPr>
                <w:noProof/>
              </w:rPr>
              <w:t>Objectif</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vAlign w:val="center"/>
          </w:tcPr>
          <w:p w14:paraId="19E97C43" w14:textId="77777777" w:rsidR="00025543" w:rsidRDefault="007E3A2F">
            <w:pPr>
              <w:pStyle w:val="P68B1DB1-Normal9"/>
              <w:spacing w:line="240" w:lineRule="auto"/>
              <w:jc w:val="center"/>
              <w:rPr>
                <w:noProof/>
              </w:rPr>
            </w:pPr>
            <w:r>
              <w:rPr>
                <w:noProof/>
              </w:rPr>
              <w:t>Trimestre</w:t>
            </w:r>
          </w:p>
        </w:tc>
        <w:tc>
          <w:tcPr>
            <w:tcW w:w="677"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tcPr>
          <w:p w14:paraId="2D50DBCD" w14:textId="77777777" w:rsidR="00025543" w:rsidRDefault="007E3A2F">
            <w:pPr>
              <w:pStyle w:val="P68B1DB1-Normal9"/>
              <w:spacing w:line="240" w:lineRule="auto"/>
              <w:jc w:val="center"/>
              <w:rPr>
                <w:noProof/>
              </w:rPr>
            </w:pPr>
            <w:r>
              <w:rPr>
                <w:noProof/>
              </w:rPr>
              <w:t>Année</w:t>
            </w:r>
          </w:p>
        </w:tc>
        <w:tc>
          <w:tcPr>
            <w:tcW w:w="4025" w:type="dxa"/>
            <w:vMerge/>
            <w:vAlign w:val="center"/>
          </w:tcPr>
          <w:p w14:paraId="120D0990"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r>
      <w:tr w:rsidR="00025543" w14:paraId="12050CD6" w14:textId="77777777">
        <w:trPr>
          <w:trHeight w:val="945"/>
          <w:jc w:val="center"/>
        </w:trPr>
        <w:tc>
          <w:tcPr>
            <w:tcW w:w="6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13AA559" w14:textId="77777777" w:rsidR="00025543" w:rsidRDefault="007E3A2F">
            <w:pPr>
              <w:pStyle w:val="P68B1DB1-Normal28"/>
              <w:spacing w:line="240" w:lineRule="auto"/>
              <w:jc w:val="center"/>
              <w:rPr>
                <w:rFonts w:eastAsia="Times New Roman"/>
                <w:noProof/>
              </w:rPr>
            </w:pPr>
            <w:r>
              <w:rPr>
                <w:noProof/>
              </w:rPr>
              <w:t>72</w:t>
            </w:r>
          </w:p>
        </w:tc>
        <w:tc>
          <w:tcPr>
            <w:tcW w:w="13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1E611E4" w14:textId="77777777" w:rsidR="00025543" w:rsidRDefault="007E3A2F">
            <w:pPr>
              <w:pStyle w:val="P68B1DB1-Normal28"/>
              <w:spacing w:line="240" w:lineRule="auto"/>
              <w:rPr>
                <w:rFonts w:eastAsia="Times New Roman"/>
                <w:noProof/>
              </w:rPr>
            </w:pPr>
            <w:r>
              <w:rPr>
                <w:noProof/>
              </w:rPr>
              <w:t>Réforme 1: Mise en œuvre de la nouvelle loi sur la construction et de la loi sur le zonage</w:t>
            </w:r>
          </w:p>
        </w:tc>
        <w:tc>
          <w:tcPr>
            <w:tcW w:w="10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249010A" w14:textId="77777777" w:rsidR="00025543" w:rsidRDefault="007E3A2F">
            <w:pPr>
              <w:pStyle w:val="P68B1DB1-Normal28"/>
              <w:spacing w:line="240" w:lineRule="auto"/>
              <w:rPr>
                <w:rFonts w:eastAsia="Times New Roman"/>
                <w:noProof/>
              </w:rPr>
            </w:pPr>
            <w:r>
              <w:rPr>
                <w:noProof/>
              </w:rPr>
              <w:t>Étapes</w:t>
            </w:r>
          </w:p>
        </w:tc>
        <w:tc>
          <w:tcPr>
            <w:tcW w:w="13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5B9B2BB" w14:textId="77777777" w:rsidR="00025543" w:rsidRDefault="007E3A2F">
            <w:pPr>
              <w:pStyle w:val="P68B1DB1-Normal28"/>
              <w:spacing w:line="240" w:lineRule="auto"/>
              <w:rPr>
                <w:rFonts w:eastAsia="Times New Roman"/>
                <w:noProof/>
              </w:rPr>
            </w:pPr>
            <w:r>
              <w:rPr>
                <w:noProof/>
              </w:rPr>
              <w:t xml:space="preserve">Entrée en vigueur de la nouvelle loi sur la construction </w:t>
            </w:r>
          </w:p>
        </w:tc>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00A5818" w14:textId="77777777" w:rsidR="00025543" w:rsidRDefault="007E3A2F">
            <w:pPr>
              <w:pStyle w:val="P68B1DB1-Normal28"/>
              <w:spacing w:line="240" w:lineRule="auto"/>
              <w:rPr>
                <w:rFonts w:eastAsia="Times New Roman"/>
                <w:noProof/>
              </w:rPr>
            </w:pPr>
            <w:r>
              <w:rPr>
                <w:noProof/>
              </w:rPr>
              <w:t>Disposition de la loi indiquant l’entrée en vigueur de la nouvelle loi sur la construction</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7E27858" w14:textId="77777777" w:rsidR="00025543" w:rsidRDefault="00025543">
            <w:pPr>
              <w:spacing w:line="240" w:lineRule="auto"/>
              <w:rPr>
                <w:rFonts w:eastAsia="Times New Roman"/>
                <w:noProof/>
                <w:color w:val="006100"/>
                <w:sz w:val="18"/>
              </w:rPr>
            </w:pPr>
          </w:p>
        </w:tc>
        <w:tc>
          <w:tcPr>
            <w:tcW w:w="10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62FA9D2" w14:textId="77777777" w:rsidR="00025543" w:rsidRDefault="00025543">
            <w:pPr>
              <w:spacing w:line="240" w:lineRule="auto"/>
              <w:jc w:val="center"/>
              <w:rPr>
                <w:rFonts w:eastAsia="Times New Roman"/>
                <w:noProof/>
                <w:color w:val="006100"/>
                <w:sz w:val="18"/>
              </w:rPr>
            </w:pPr>
          </w:p>
        </w:tc>
        <w:tc>
          <w:tcPr>
            <w:tcW w:w="6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D92E609" w14:textId="77777777" w:rsidR="00025543" w:rsidRDefault="00025543">
            <w:pPr>
              <w:spacing w:line="240" w:lineRule="auto"/>
              <w:jc w:val="center"/>
              <w:rPr>
                <w:rFonts w:eastAsia="Times New Roman"/>
                <w:noProof/>
                <w:color w:val="006100"/>
                <w:sz w:val="18"/>
              </w:rPr>
            </w:pP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78FADC7" w14:textId="77777777" w:rsidR="00025543" w:rsidRDefault="007E3A2F">
            <w:pPr>
              <w:pStyle w:val="P68B1DB1-Normal28"/>
              <w:spacing w:line="240" w:lineRule="auto"/>
              <w:jc w:val="center"/>
              <w:rPr>
                <w:rFonts w:eastAsia="Times New Roman"/>
                <w:noProof/>
              </w:rPr>
            </w:pPr>
            <w:r>
              <w:rPr>
                <w:noProof/>
              </w:rPr>
              <w:t>TRIMESTRE 3</w:t>
            </w:r>
          </w:p>
        </w:tc>
        <w:tc>
          <w:tcPr>
            <w:tcW w:w="6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E0A8236" w14:textId="77777777" w:rsidR="00025543" w:rsidRDefault="007E3A2F">
            <w:pPr>
              <w:pStyle w:val="P68B1DB1-Normal11"/>
              <w:spacing w:line="240" w:lineRule="auto"/>
              <w:jc w:val="center"/>
              <w:rPr>
                <w:noProof/>
              </w:rPr>
            </w:pPr>
            <w:r>
              <w:rPr>
                <w:noProof/>
              </w:rPr>
              <w:t>2021</w:t>
            </w:r>
          </w:p>
        </w:tc>
        <w:tc>
          <w:tcPr>
            <w:tcW w:w="4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4322012" w14:textId="77777777" w:rsidR="00025543" w:rsidRDefault="007E3A2F">
            <w:pPr>
              <w:pStyle w:val="P68B1DB1-Normal28"/>
              <w:spacing w:line="240" w:lineRule="auto"/>
              <w:rPr>
                <w:rFonts w:eastAsia="Times New Roman"/>
                <w:noProof/>
              </w:rPr>
            </w:pPr>
            <w:r>
              <w:rPr>
                <w:noProof/>
              </w:rPr>
              <w:t>La nouvelle loi sur la construction, qui entraîne l’accélération du processus de délivrance des permis de construire, la numérisation du processus et une diminution du nombre d’autorités de régulation, entre en vigueur.</w:t>
            </w:r>
          </w:p>
        </w:tc>
      </w:tr>
      <w:tr w:rsidR="00025543" w14:paraId="3E2BFED0" w14:textId="77777777">
        <w:trPr>
          <w:trHeight w:val="945"/>
          <w:jc w:val="center"/>
        </w:trPr>
        <w:tc>
          <w:tcPr>
            <w:tcW w:w="6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6CA2D5B" w14:textId="77777777" w:rsidR="00025543" w:rsidRDefault="007E3A2F">
            <w:pPr>
              <w:pStyle w:val="P68B1DB1-Normal28"/>
              <w:spacing w:line="240" w:lineRule="auto"/>
              <w:jc w:val="center"/>
              <w:rPr>
                <w:rFonts w:eastAsia="Times New Roman"/>
                <w:noProof/>
              </w:rPr>
            </w:pPr>
            <w:r>
              <w:rPr>
                <w:noProof/>
              </w:rPr>
              <w:t>73</w:t>
            </w:r>
          </w:p>
        </w:tc>
        <w:tc>
          <w:tcPr>
            <w:tcW w:w="13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53ADE10" w14:textId="77777777" w:rsidR="00025543" w:rsidRDefault="007E3A2F">
            <w:pPr>
              <w:pStyle w:val="P68B1DB1-Normal28"/>
              <w:spacing w:line="240" w:lineRule="auto"/>
              <w:rPr>
                <w:rFonts w:eastAsia="Times New Roman"/>
                <w:noProof/>
              </w:rPr>
            </w:pPr>
            <w:r>
              <w:rPr>
                <w:noProof/>
              </w:rPr>
              <w:t>Réforme 1: Mise en œuvre de la nouvelle loi sur la construction et de la loi sur le zonage</w:t>
            </w:r>
          </w:p>
        </w:tc>
        <w:tc>
          <w:tcPr>
            <w:tcW w:w="10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E65FC21" w14:textId="77777777" w:rsidR="00025543" w:rsidRDefault="007E3A2F">
            <w:pPr>
              <w:pStyle w:val="P68B1DB1-Normal28"/>
              <w:spacing w:line="240" w:lineRule="auto"/>
              <w:rPr>
                <w:rFonts w:eastAsia="Times New Roman"/>
                <w:noProof/>
              </w:rPr>
            </w:pPr>
            <w:r>
              <w:rPr>
                <w:noProof/>
              </w:rPr>
              <w:t>Étapes</w:t>
            </w:r>
          </w:p>
        </w:tc>
        <w:tc>
          <w:tcPr>
            <w:tcW w:w="13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986629E" w14:textId="603ACF38" w:rsidR="00025543" w:rsidRDefault="007E3A2F">
            <w:pPr>
              <w:pStyle w:val="P68B1DB1-Normal28"/>
              <w:spacing w:line="240" w:lineRule="auto"/>
              <w:rPr>
                <w:rFonts w:eastAsia="Times New Roman"/>
                <w:noProof/>
              </w:rPr>
            </w:pPr>
            <w:r>
              <w:rPr>
                <w:noProof/>
              </w:rPr>
              <w:t>Début de l’activité de la nouvelle structure des autorités immobilières</w:t>
            </w:r>
          </w:p>
        </w:tc>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3821F24" w14:textId="2F5CD7E9" w:rsidR="00025543" w:rsidRDefault="007E3A2F">
            <w:pPr>
              <w:pStyle w:val="P68B1DB1-Normal28"/>
              <w:spacing w:line="240" w:lineRule="auto"/>
              <w:rPr>
                <w:rFonts w:eastAsia="Times New Roman"/>
                <w:noProof/>
              </w:rPr>
            </w:pPr>
            <w:r>
              <w:rPr>
                <w:noProof/>
              </w:rPr>
              <w:t xml:space="preserve">La nouvelle structure des autorités chargées du bâtiment commence à fonctionner. </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1F17675" w14:textId="77777777" w:rsidR="00025543" w:rsidRDefault="00025543">
            <w:pPr>
              <w:spacing w:line="240" w:lineRule="auto"/>
              <w:rPr>
                <w:rFonts w:eastAsia="Times New Roman"/>
                <w:noProof/>
                <w:color w:val="006100"/>
                <w:sz w:val="18"/>
              </w:rPr>
            </w:pPr>
          </w:p>
        </w:tc>
        <w:tc>
          <w:tcPr>
            <w:tcW w:w="10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75A19D5" w14:textId="77777777" w:rsidR="00025543" w:rsidRDefault="00025543">
            <w:pPr>
              <w:spacing w:line="240" w:lineRule="auto"/>
              <w:jc w:val="center"/>
              <w:rPr>
                <w:rFonts w:eastAsia="Times New Roman"/>
                <w:noProof/>
                <w:color w:val="006100"/>
                <w:sz w:val="18"/>
              </w:rPr>
            </w:pPr>
          </w:p>
        </w:tc>
        <w:tc>
          <w:tcPr>
            <w:tcW w:w="6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69DC41E" w14:textId="77777777" w:rsidR="00025543" w:rsidRDefault="00025543">
            <w:pPr>
              <w:spacing w:line="240" w:lineRule="auto"/>
              <w:jc w:val="center"/>
              <w:rPr>
                <w:rFonts w:eastAsia="Times New Roman"/>
                <w:noProof/>
                <w:color w:val="006100"/>
                <w:sz w:val="18"/>
              </w:rPr>
            </w:pP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D79852C" w14:textId="77777777" w:rsidR="00025543" w:rsidRDefault="007E3A2F">
            <w:pPr>
              <w:pStyle w:val="P68B1DB1-Normal28"/>
              <w:spacing w:line="240" w:lineRule="auto"/>
              <w:jc w:val="center"/>
              <w:rPr>
                <w:rFonts w:eastAsia="Times New Roman"/>
                <w:noProof/>
              </w:rPr>
            </w:pPr>
            <w:r>
              <w:rPr>
                <w:noProof/>
              </w:rPr>
              <w:t>TRIMESTRE 3</w:t>
            </w:r>
          </w:p>
        </w:tc>
        <w:tc>
          <w:tcPr>
            <w:tcW w:w="6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9F6AD65" w14:textId="17D3D213" w:rsidR="00025543" w:rsidRDefault="007E3A2F">
            <w:pPr>
              <w:pStyle w:val="P68B1DB1-Normal11"/>
              <w:spacing w:line="240" w:lineRule="auto"/>
              <w:jc w:val="center"/>
              <w:rPr>
                <w:noProof/>
              </w:rPr>
            </w:pPr>
            <w:r>
              <w:rPr>
                <w:noProof/>
              </w:rPr>
              <w:t>2024</w:t>
            </w:r>
          </w:p>
        </w:tc>
        <w:tc>
          <w:tcPr>
            <w:tcW w:w="4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766CF4F" w14:textId="057586CF" w:rsidR="00025543" w:rsidRDefault="007E3A2F">
            <w:pPr>
              <w:pStyle w:val="P68B1DB1-Normal28"/>
              <w:spacing w:line="240" w:lineRule="auto"/>
              <w:rPr>
                <w:rFonts w:eastAsia="Times New Roman"/>
                <w:noProof/>
              </w:rPr>
            </w:pPr>
            <w:r>
              <w:rPr>
                <w:noProof/>
              </w:rPr>
              <w:t xml:space="preserve">Création d’une nouvelle structure étatique des autorités chargées de la construction, y compris des unités internes. Assurer le personnel financier et informatique ainsi que la formation du personnel, afin de permettre le bon fonctionnement de la nouvelle structure. </w:t>
            </w:r>
          </w:p>
        </w:tc>
      </w:tr>
      <w:tr w:rsidR="00025543" w14:paraId="5721AF02" w14:textId="77777777">
        <w:trPr>
          <w:trHeight w:val="945"/>
          <w:jc w:val="center"/>
        </w:trPr>
        <w:tc>
          <w:tcPr>
            <w:tcW w:w="6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8DB47CE" w14:textId="77777777" w:rsidR="00025543" w:rsidRDefault="007E3A2F">
            <w:pPr>
              <w:pStyle w:val="P68B1DB1-Normal28"/>
              <w:spacing w:line="240" w:lineRule="auto"/>
              <w:jc w:val="center"/>
              <w:rPr>
                <w:rFonts w:eastAsia="Times New Roman"/>
                <w:noProof/>
              </w:rPr>
            </w:pPr>
            <w:r>
              <w:rPr>
                <w:noProof/>
              </w:rPr>
              <w:t>74</w:t>
            </w:r>
          </w:p>
        </w:tc>
        <w:tc>
          <w:tcPr>
            <w:tcW w:w="13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F5E864C" w14:textId="77777777" w:rsidR="00025543" w:rsidRDefault="007E3A2F">
            <w:pPr>
              <w:pStyle w:val="P68B1DB1-Normal28"/>
              <w:spacing w:line="240" w:lineRule="auto"/>
              <w:rPr>
                <w:rFonts w:eastAsia="Times New Roman"/>
                <w:noProof/>
              </w:rPr>
            </w:pPr>
            <w:r>
              <w:rPr>
                <w:noProof/>
              </w:rPr>
              <w:t>Réforme 1: Mise en œuvre de la nouvelle loi sur la construction et de la loi sur le zonage</w:t>
            </w:r>
          </w:p>
        </w:tc>
        <w:tc>
          <w:tcPr>
            <w:tcW w:w="10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852F0FD" w14:textId="77777777" w:rsidR="00025543" w:rsidRDefault="007E3A2F">
            <w:pPr>
              <w:pStyle w:val="P68B1DB1-Normal28"/>
              <w:spacing w:line="240" w:lineRule="auto"/>
              <w:rPr>
                <w:rFonts w:eastAsia="Times New Roman"/>
                <w:noProof/>
              </w:rPr>
            </w:pPr>
            <w:r>
              <w:rPr>
                <w:noProof/>
              </w:rPr>
              <w:t>Cible</w:t>
            </w:r>
          </w:p>
        </w:tc>
        <w:tc>
          <w:tcPr>
            <w:tcW w:w="13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0F422E2" w14:textId="77777777" w:rsidR="00025543" w:rsidRDefault="007E3A2F">
            <w:pPr>
              <w:pStyle w:val="P68B1DB1-Normal28"/>
              <w:spacing w:line="240" w:lineRule="auto"/>
              <w:rPr>
                <w:rFonts w:eastAsia="Times New Roman"/>
                <w:noProof/>
              </w:rPr>
            </w:pPr>
            <w:r>
              <w:rPr>
                <w:noProof/>
              </w:rPr>
              <w:t>Raccourcissement de la procédure de permis de construire d’au moins deux ans</w:t>
            </w:r>
          </w:p>
        </w:tc>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0EAED13" w14:textId="77777777" w:rsidR="00025543" w:rsidRDefault="00025543">
            <w:pPr>
              <w:spacing w:line="240" w:lineRule="auto"/>
              <w:rPr>
                <w:rFonts w:eastAsia="Times New Roman"/>
                <w:noProof/>
                <w:color w:val="006100"/>
                <w:sz w:val="18"/>
              </w:rPr>
            </w:pP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F95DBD9" w14:textId="77777777" w:rsidR="00025543" w:rsidRDefault="007E3A2F">
            <w:pPr>
              <w:pStyle w:val="P68B1DB1-Normal28"/>
              <w:spacing w:line="240" w:lineRule="auto"/>
              <w:rPr>
                <w:rFonts w:eastAsia="Times New Roman"/>
                <w:noProof/>
              </w:rPr>
            </w:pPr>
            <w:r>
              <w:rPr>
                <w:noProof/>
              </w:rPr>
              <w:t>Années</w:t>
            </w:r>
          </w:p>
        </w:tc>
        <w:tc>
          <w:tcPr>
            <w:tcW w:w="10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3200DE5" w14:textId="77777777" w:rsidR="00025543" w:rsidRDefault="007E3A2F">
            <w:pPr>
              <w:pStyle w:val="P68B1DB1-Normal11"/>
              <w:spacing w:line="240" w:lineRule="auto"/>
              <w:jc w:val="center"/>
              <w:rPr>
                <w:noProof/>
              </w:rPr>
            </w:pPr>
            <w:r>
              <w:rPr>
                <w:noProof/>
              </w:rPr>
              <w:t>5,5</w:t>
            </w:r>
          </w:p>
        </w:tc>
        <w:tc>
          <w:tcPr>
            <w:tcW w:w="6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FC1B98C" w14:textId="77777777" w:rsidR="00025543" w:rsidRDefault="007E3A2F">
            <w:pPr>
              <w:pStyle w:val="P68B1DB1-Normal11"/>
              <w:spacing w:line="240" w:lineRule="auto"/>
              <w:jc w:val="center"/>
              <w:rPr>
                <w:noProof/>
              </w:rPr>
            </w:pPr>
            <w:r>
              <w:rPr>
                <w:noProof/>
              </w:rPr>
              <w:t>3,5</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5F801E8" w14:textId="77777777" w:rsidR="00025543" w:rsidRDefault="007E3A2F">
            <w:pPr>
              <w:pStyle w:val="P68B1DB1-Normal28"/>
              <w:spacing w:line="240" w:lineRule="auto"/>
              <w:jc w:val="center"/>
              <w:rPr>
                <w:noProof/>
              </w:rPr>
            </w:pPr>
            <w:r>
              <w:rPr>
                <w:noProof/>
              </w:rPr>
              <w:t>TRIMESTRE 4</w:t>
            </w:r>
          </w:p>
        </w:tc>
        <w:tc>
          <w:tcPr>
            <w:tcW w:w="6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66DF727" w14:textId="77777777" w:rsidR="00025543" w:rsidRDefault="007E3A2F">
            <w:pPr>
              <w:pStyle w:val="P68B1DB1-Normal11"/>
              <w:spacing w:line="240" w:lineRule="auto"/>
              <w:jc w:val="center"/>
              <w:rPr>
                <w:noProof/>
              </w:rPr>
            </w:pPr>
            <w:r>
              <w:rPr>
                <w:noProof/>
              </w:rPr>
              <w:t>2025</w:t>
            </w:r>
          </w:p>
        </w:tc>
        <w:tc>
          <w:tcPr>
            <w:tcW w:w="4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3AF4CC9" w14:textId="7E420FE1" w:rsidR="00025543" w:rsidRDefault="007E3A2F">
            <w:pPr>
              <w:pStyle w:val="P68B1DB1-Normal28"/>
              <w:spacing w:line="240" w:lineRule="auto"/>
              <w:rPr>
                <w:noProof/>
              </w:rPr>
            </w:pPr>
            <w:r>
              <w:rPr>
                <w:noProof/>
              </w:rPr>
              <w:t>La durée moyenne du processus d’autorisation de construction est réduite d’au moins deux ans, passant de 5.5 ans à 3.5 ans ou moins, à confirmer par le ministère du développement régional, sur la base d’une nouvelle statistique de la durée moyenne du processus d’autorisation en 2024-2025.</w:t>
            </w:r>
          </w:p>
        </w:tc>
      </w:tr>
      <w:tr w:rsidR="00025543" w14:paraId="4E5E948F" w14:textId="77777777">
        <w:trPr>
          <w:trHeight w:val="945"/>
          <w:jc w:val="center"/>
        </w:trPr>
        <w:tc>
          <w:tcPr>
            <w:tcW w:w="6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243C076" w14:textId="77777777" w:rsidR="00025543" w:rsidRDefault="007E3A2F">
            <w:pPr>
              <w:pStyle w:val="P68B1DB1-Normal28"/>
              <w:spacing w:line="240" w:lineRule="auto"/>
              <w:jc w:val="center"/>
              <w:rPr>
                <w:rFonts w:eastAsia="Times New Roman"/>
                <w:noProof/>
              </w:rPr>
            </w:pPr>
            <w:r>
              <w:rPr>
                <w:noProof/>
              </w:rPr>
              <w:t>75</w:t>
            </w:r>
          </w:p>
        </w:tc>
        <w:tc>
          <w:tcPr>
            <w:tcW w:w="13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C3B3573" w14:textId="77777777" w:rsidR="00025543" w:rsidRDefault="007E3A2F">
            <w:pPr>
              <w:pStyle w:val="P68B1DB1-Normal28"/>
              <w:spacing w:line="240" w:lineRule="auto"/>
              <w:rPr>
                <w:rFonts w:eastAsia="Times New Roman"/>
                <w:noProof/>
              </w:rPr>
            </w:pPr>
            <w:r>
              <w:rPr>
                <w:noProof/>
              </w:rPr>
              <w:t>Investissement 1: Création d’un nouveau système central d’information («AIS»)</w:t>
            </w:r>
          </w:p>
        </w:tc>
        <w:tc>
          <w:tcPr>
            <w:tcW w:w="10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67E5AAA" w14:textId="77777777" w:rsidR="00025543" w:rsidRDefault="007E3A2F">
            <w:pPr>
              <w:pStyle w:val="P68B1DB1-Normal28"/>
              <w:spacing w:line="240" w:lineRule="auto"/>
              <w:rPr>
                <w:rFonts w:eastAsia="Times New Roman"/>
                <w:noProof/>
              </w:rPr>
            </w:pPr>
            <w:r>
              <w:rPr>
                <w:noProof/>
              </w:rPr>
              <w:t>Étapes</w:t>
            </w:r>
          </w:p>
        </w:tc>
        <w:tc>
          <w:tcPr>
            <w:tcW w:w="13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868F615" w14:textId="77777777" w:rsidR="00025543" w:rsidRDefault="007E3A2F">
            <w:pPr>
              <w:pStyle w:val="P68B1DB1-Normal28"/>
              <w:spacing w:line="240" w:lineRule="auto"/>
              <w:rPr>
                <w:rFonts w:eastAsia="Times New Roman"/>
                <w:noProof/>
              </w:rPr>
            </w:pPr>
            <w:r>
              <w:rPr>
                <w:noProof/>
              </w:rPr>
              <w:t>Système d’information central pleinement opérationnel</w:t>
            </w:r>
          </w:p>
        </w:tc>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DB58B06" w14:textId="77777777" w:rsidR="00025543" w:rsidRDefault="007E3A2F">
            <w:pPr>
              <w:pStyle w:val="P68B1DB1-Normal28"/>
              <w:spacing w:line="240" w:lineRule="auto"/>
              <w:rPr>
                <w:rFonts w:eastAsia="Times New Roman"/>
                <w:noProof/>
              </w:rPr>
            </w:pPr>
            <w:r>
              <w:rPr>
                <w:noProof/>
              </w:rPr>
              <w:t>Déploiement du système, début d’utilisation par les bureaux du bâtiment.</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8A347B5" w14:textId="77777777" w:rsidR="00025543" w:rsidRDefault="00025543">
            <w:pPr>
              <w:spacing w:line="240" w:lineRule="auto"/>
              <w:rPr>
                <w:rFonts w:eastAsia="Times New Roman"/>
                <w:noProof/>
                <w:color w:val="006100"/>
                <w:sz w:val="18"/>
              </w:rPr>
            </w:pPr>
          </w:p>
        </w:tc>
        <w:tc>
          <w:tcPr>
            <w:tcW w:w="10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B02E58F" w14:textId="77777777" w:rsidR="00025543" w:rsidRDefault="00025543">
            <w:pPr>
              <w:spacing w:line="240" w:lineRule="auto"/>
              <w:jc w:val="center"/>
              <w:rPr>
                <w:rFonts w:eastAsia="Times New Roman"/>
                <w:noProof/>
                <w:color w:val="006100"/>
                <w:sz w:val="18"/>
              </w:rPr>
            </w:pPr>
          </w:p>
        </w:tc>
        <w:tc>
          <w:tcPr>
            <w:tcW w:w="6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92D93FD" w14:textId="77777777" w:rsidR="00025543" w:rsidRDefault="00025543">
            <w:pPr>
              <w:spacing w:line="240" w:lineRule="auto"/>
              <w:jc w:val="center"/>
              <w:rPr>
                <w:rFonts w:eastAsia="Times New Roman"/>
                <w:noProof/>
                <w:color w:val="006100"/>
                <w:sz w:val="18"/>
              </w:rPr>
            </w:pP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493201D" w14:textId="77777777" w:rsidR="00025543" w:rsidRDefault="007E3A2F">
            <w:pPr>
              <w:pStyle w:val="P68B1DB1-Normal28"/>
              <w:spacing w:line="240" w:lineRule="auto"/>
              <w:jc w:val="center"/>
              <w:rPr>
                <w:rFonts w:eastAsia="Times New Roman"/>
                <w:noProof/>
              </w:rPr>
            </w:pPr>
            <w:r>
              <w:rPr>
                <w:noProof/>
              </w:rPr>
              <w:t>TRIMESTRE 3</w:t>
            </w:r>
          </w:p>
        </w:tc>
        <w:tc>
          <w:tcPr>
            <w:tcW w:w="6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B43ABCA" w14:textId="4768228C" w:rsidR="00025543" w:rsidRDefault="007E3A2F">
            <w:pPr>
              <w:pStyle w:val="P68B1DB1-Normal11"/>
              <w:spacing w:line="240" w:lineRule="auto"/>
              <w:jc w:val="center"/>
              <w:rPr>
                <w:noProof/>
              </w:rPr>
            </w:pPr>
            <w:r>
              <w:rPr>
                <w:noProof/>
              </w:rPr>
              <w:t>2024</w:t>
            </w:r>
          </w:p>
        </w:tc>
        <w:tc>
          <w:tcPr>
            <w:tcW w:w="4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E222127" w14:textId="77777777" w:rsidR="00025543" w:rsidRDefault="007E3A2F">
            <w:pPr>
              <w:pStyle w:val="P68B1DB1-Normal28"/>
              <w:spacing w:line="240" w:lineRule="auto"/>
              <w:rPr>
                <w:noProof/>
              </w:rPr>
            </w:pPr>
            <w:r>
              <w:rPr>
                <w:noProof/>
              </w:rPr>
              <w:t xml:space="preserve">Création d’un nouveau système central d’information à utiliser par les fonctionnaires des autorités participant au processus d’autorisation de construction. </w:t>
            </w:r>
          </w:p>
        </w:tc>
      </w:tr>
      <w:tr w:rsidR="00025543" w14:paraId="26FF659D" w14:textId="77777777">
        <w:trPr>
          <w:trHeight w:val="945"/>
          <w:jc w:val="center"/>
        </w:trPr>
        <w:tc>
          <w:tcPr>
            <w:tcW w:w="6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D75FF0E" w14:textId="77777777" w:rsidR="00025543" w:rsidRDefault="007E3A2F">
            <w:pPr>
              <w:pStyle w:val="P68B1DB1-Normal28"/>
              <w:spacing w:line="240" w:lineRule="auto"/>
              <w:jc w:val="center"/>
              <w:rPr>
                <w:rFonts w:eastAsia="Times New Roman"/>
                <w:noProof/>
              </w:rPr>
            </w:pPr>
            <w:r>
              <w:rPr>
                <w:noProof/>
              </w:rPr>
              <w:t>76</w:t>
            </w:r>
          </w:p>
        </w:tc>
        <w:tc>
          <w:tcPr>
            <w:tcW w:w="13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2C66C0A" w14:textId="77777777" w:rsidR="00025543" w:rsidRDefault="007E3A2F">
            <w:pPr>
              <w:pStyle w:val="P68B1DB1-Normal28"/>
              <w:spacing w:line="240" w:lineRule="auto"/>
              <w:rPr>
                <w:rFonts w:eastAsia="Times New Roman"/>
                <w:noProof/>
              </w:rPr>
            </w:pPr>
            <w:r>
              <w:rPr>
                <w:noProof/>
              </w:rPr>
              <w:t>Investissement 2: Développement et utilisation des données de l’administration publique dans le cadre de l’aménagement du territoire</w:t>
            </w:r>
          </w:p>
        </w:tc>
        <w:tc>
          <w:tcPr>
            <w:tcW w:w="10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12B9F11" w14:textId="77777777" w:rsidR="00025543" w:rsidRDefault="007E3A2F">
            <w:pPr>
              <w:pStyle w:val="P68B1DB1-Normal28"/>
              <w:spacing w:line="240" w:lineRule="auto"/>
              <w:rPr>
                <w:rFonts w:eastAsia="Times New Roman"/>
                <w:noProof/>
              </w:rPr>
            </w:pPr>
            <w:r>
              <w:rPr>
                <w:noProof/>
              </w:rPr>
              <w:t>Étapes</w:t>
            </w:r>
          </w:p>
        </w:tc>
        <w:tc>
          <w:tcPr>
            <w:tcW w:w="13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1820414" w14:textId="77777777" w:rsidR="00025543" w:rsidRDefault="007E3A2F">
            <w:pPr>
              <w:pStyle w:val="P68B1DB1-Normal28"/>
              <w:spacing w:line="240" w:lineRule="auto"/>
              <w:rPr>
                <w:rFonts w:eastAsia="Times New Roman"/>
                <w:noProof/>
              </w:rPr>
            </w:pPr>
            <w:r>
              <w:rPr>
                <w:noProof/>
              </w:rPr>
              <w:t>Création d’une base de données normalisée de documentation analytique spatiale</w:t>
            </w:r>
          </w:p>
        </w:tc>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3E32FE3" w14:textId="77777777" w:rsidR="00025543" w:rsidRDefault="007E3A2F">
            <w:pPr>
              <w:pStyle w:val="P68B1DB1-Normal28"/>
              <w:spacing w:line="240" w:lineRule="auto"/>
              <w:rPr>
                <w:rFonts w:eastAsia="Times New Roman"/>
                <w:noProof/>
              </w:rPr>
            </w:pPr>
            <w:r>
              <w:rPr>
                <w:noProof/>
              </w:rPr>
              <w:t>Base de données normalisée de documentation analytique géographique pleinement opérationnelle et utilisée par les autorités publiques</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DB0C8EC" w14:textId="77777777" w:rsidR="00025543" w:rsidRDefault="00025543">
            <w:pPr>
              <w:spacing w:line="240" w:lineRule="auto"/>
              <w:rPr>
                <w:rFonts w:eastAsia="Times New Roman"/>
                <w:noProof/>
                <w:color w:val="006100"/>
                <w:sz w:val="18"/>
              </w:rPr>
            </w:pPr>
          </w:p>
        </w:tc>
        <w:tc>
          <w:tcPr>
            <w:tcW w:w="10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4376F3E" w14:textId="77777777" w:rsidR="00025543" w:rsidRDefault="00025543">
            <w:pPr>
              <w:spacing w:line="240" w:lineRule="auto"/>
              <w:jc w:val="center"/>
              <w:rPr>
                <w:rFonts w:eastAsia="Times New Roman"/>
                <w:noProof/>
                <w:color w:val="006100"/>
                <w:sz w:val="18"/>
              </w:rPr>
            </w:pPr>
          </w:p>
          <w:p w14:paraId="5218B4B7" w14:textId="4FCA6FFF" w:rsidR="00025543" w:rsidRDefault="00025543">
            <w:pPr>
              <w:rPr>
                <w:rFonts w:eastAsia="Times New Roman"/>
                <w:noProof/>
                <w:sz w:val="18"/>
              </w:rPr>
            </w:pPr>
          </w:p>
        </w:tc>
        <w:tc>
          <w:tcPr>
            <w:tcW w:w="6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8D9A60D" w14:textId="77777777" w:rsidR="00025543" w:rsidRDefault="00025543">
            <w:pPr>
              <w:spacing w:line="240" w:lineRule="auto"/>
              <w:jc w:val="center"/>
              <w:rPr>
                <w:rFonts w:eastAsia="Times New Roman"/>
                <w:noProof/>
                <w:color w:val="006100"/>
                <w:sz w:val="18"/>
              </w:rPr>
            </w:pP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0C404D4" w14:textId="77777777" w:rsidR="00025543" w:rsidRDefault="007E3A2F">
            <w:pPr>
              <w:pStyle w:val="P68B1DB1-Normal28"/>
              <w:spacing w:line="240" w:lineRule="auto"/>
              <w:jc w:val="center"/>
              <w:rPr>
                <w:rFonts w:eastAsia="Times New Roman"/>
                <w:noProof/>
              </w:rPr>
            </w:pPr>
            <w:r>
              <w:rPr>
                <w:noProof/>
              </w:rPr>
              <w:t>TRIMESTRE 4</w:t>
            </w:r>
          </w:p>
        </w:tc>
        <w:tc>
          <w:tcPr>
            <w:tcW w:w="6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AFA3D7E" w14:textId="77777777" w:rsidR="00025543" w:rsidRDefault="007E3A2F">
            <w:pPr>
              <w:pStyle w:val="P68B1DB1-Normal11"/>
              <w:spacing w:line="240" w:lineRule="auto"/>
              <w:jc w:val="center"/>
              <w:rPr>
                <w:noProof/>
              </w:rPr>
            </w:pPr>
            <w:r>
              <w:rPr>
                <w:noProof/>
              </w:rPr>
              <w:t>2024</w:t>
            </w:r>
          </w:p>
        </w:tc>
        <w:tc>
          <w:tcPr>
            <w:tcW w:w="4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D15C3A4" w14:textId="77777777" w:rsidR="00025543" w:rsidRDefault="007E3A2F">
            <w:pPr>
              <w:pStyle w:val="P68B1DB1-Normal28"/>
              <w:spacing w:line="240" w:lineRule="auto"/>
              <w:rPr>
                <w:rFonts w:eastAsia="Times New Roman"/>
                <w:noProof/>
              </w:rPr>
            </w:pPr>
            <w:r>
              <w:rPr>
                <w:noProof/>
              </w:rPr>
              <w:t>Transfert de la base de données de la documentation analytique spatiale et validation du protocole. L’outil de validation est inclus dans le National GeoPortal for Area Planning, où la documentation d’analyse spatiale doit être chargée.</w:t>
            </w:r>
          </w:p>
        </w:tc>
      </w:tr>
      <w:tr w:rsidR="00025543" w14:paraId="1A50D725" w14:textId="77777777">
        <w:trPr>
          <w:trHeight w:val="945"/>
          <w:jc w:val="center"/>
        </w:trPr>
        <w:tc>
          <w:tcPr>
            <w:tcW w:w="6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EE9F541" w14:textId="77777777" w:rsidR="00025543" w:rsidRDefault="007E3A2F">
            <w:pPr>
              <w:pStyle w:val="P68B1DB1-Normal28"/>
              <w:spacing w:line="240" w:lineRule="auto"/>
              <w:jc w:val="center"/>
              <w:rPr>
                <w:rFonts w:eastAsia="Times New Roman"/>
                <w:noProof/>
              </w:rPr>
            </w:pPr>
            <w:r>
              <w:rPr>
                <w:noProof/>
              </w:rPr>
              <w:t>77</w:t>
            </w:r>
          </w:p>
        </w:tc>
        <w:tc>
          <w:tcPr>
            <w:tcW w:w="13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0728173" w14:textId="77777777" w:rsidR="00025543" w:rsidRDefault="007E3A2F">
            <w:pPr>
              <w:pStyle w:val="P68B1DB1-Normal28"/>
              <w:spacing w:line="240" w:lineRule="auto"/>
              <w:rPr>
                <w:rFonts w:eastAsia="Times New Roman"/>
                <w:noProof/>
              </w:rPr>
            </w:pPr>
            <w:r>
              <w:rPr>
                <w:noProof/>
              </w:rPr>
              <w:t>Investissement 3: Tirer pleinement parti de la numérisation des bâtiments</w:t>
            </w:r>
          </w:p>
        </w:tc>
        <w:tc>
          <w:tcPr>
            <w:tcW w:w="10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3DCF384" w14:textId="77777777" w:rsidR="00025543" w:rsidRDefault="007E3A2F">
            <w:pPr>
              <w:pStyle w:val="P68B1DB1-Normal28"/>
              <w:spacing w:line="240" w:lineRule="auto"/>
              <w:rPr>
                <w:rFonts w:eastAsia="Times New Roman"/>
                <w:noProof/>
              </w:rPr>
            </w:pPr>
            <w:r>
              <w:rPr>
                <w:noProof/>
              </w:rPr>
              <w:t>Étapes</w:t>
            </w:r>
          </w:p>
        </w:tc>
        <w:tc>
          <w:tcPr>
            <w:tcW w:w="13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E76E784" w14:textId="77777777" w:rsidR="00025543" w:rsidRDefault="007E3A2F">
            <w:pPr>
              <w:pStyle w:val="P68B1DB1-Normal28"/>
              <w:spacing w:line="240" w:lineRule="auto"/>
              <w:rPr>
                <w:rFonts w:eastAsia="Times New Roman"/>
                <w:noProof/>
              </w:rPr>
            </w:pPr>
            <w:r>
              <w:rPr>
                <w:noProof/>
              </w:rPr>
              <w:t>Systèmes informatiques soutenant la numérisation du processus de permis de construire pleinement opérationnels</w:t>
            </w:r>
          </w:p>
        </w:tc>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29CA79D" w14:textId="77777777" w:rsidR="00025543" w:rsidRDefault="007E3A2F">
            <w:pPr>
              <w:pStyle w:val="P68B1DB1-Normal28"/>
              <w:spacing w:line="240" w:lineRule="auto"/>
              <w:rPr>
                <w:rFonts w:eastAsia="Times New Roman"/>
                <w:noProof/>
              </w:rPr>
            </w:pPr>
            <w:r>
              <w:rPr>
                <w:noProof/>
              </w:rPr>
              <w:t>Systèmes informatiques pleinement opérationnels, y compris le déploiement des utilisateurs finaux.</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ED72B32" w14:textId="77777777" w:rsidR="00025543" w:rsidRDefault="00025543">
            <w:pPr>
              <w:spacing w:line="240" w:lineRule="auto"/>
              <w:rPr>
                <w:rFonts w:eastAsia="Times New Roman"/>
                <w:noProof/>
                <w:color w:val="006100"/>
                <w:sz w:val="18"/>
              </w:rPr>
            </w:pPr>
          </w:p>
        </w:tc>
        <w:tc>
          <w:tcPr>
            <w:tcW w:w="10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FA0EBFE" w14:textId="77777777" w:rsidR="00025543" w:rsidRDefault="00025543">
            <w:pPr>
              <w:spacing w:line="240" w:lineRule="auto"/>
              <w:jc w:val="center"/>
              <w:rPr>
                <w:rFonts w:eastAsia="Times New Roman"/>
                <w:noProof/>
                <w:color w:val="006100"/>
                <w:sz w:val="18"/>
              </w:rPr>
            </w:pPr>
          </w:p>
        </w:tc>
        <w:tc>
          <w:tcPr>
            <w:tcW w:w="6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B8A260C" w14:textId="77777777" w:rsidR="00025543" w:rsidRDefault="00025543">
            <w:pPr>
              <w:spacing w:line="240" w:lineRule="auto"/>
              <w:jc w:val="center"/>
              <w:rPr>
                <w:rFonts w:eastAsia="Times New Roman"/>
                <w:noProof/>
                <w:color w:val="006100"/>
                <w:sz w:val="18"/>
              </w:rPr>
            </w:pP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DE26BBB" w14:textId="77777777" w:rsidR="00025543" w:rsidRDefault="007E3A2F">
            <w:pPr>
              <w:pStyle w:val="P68B1DB1-Normal28"/>
              <w:spacing w:line="240" w:lineRule="auto"/>
              <w:jc w:val="center"/>
              <w:rPr>
                <w:rFonts w:eastAsia="Times New Roman"/>
                <w:noProof/>
              </w:rPr>
            </w:pPr>
            <w:r>
              <w:rPr>
                <w:noProof/>
              </w:rPr>
              <w:t>TRIMESTRE 4</w:t>
            </w:r>
          </w:p>
        </w:tc>
        <w:tc>
          <w:tcPr>
            <w:tcW w:w="6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24BC8D1" w14:textId="77777777" w:rsidR="00025543" w:rsidRDefault="007E3A2F">
            <w:pPr>
              <w:pStyle w:val="P68B1DB1-Normal11"/>
              <w:spacing w:line="240" w:lineRule="auto"/>
              <w:jc w:val="center"/>
              <w:rPr>
                <w:noProof/>
              </w:rPr>
            </w:pPr>
            <w:r>
              <w:rPr>
                <w:noProof/>
              </w:rPr>
              <w:t>2024</w:t>
            </w:r>
          </w:p>
        </w:tc>
        <w:tc>
          <w:tcPr>
            <w:tcW w:w="4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063B259" w14:textId="6566122C" w:rsidR="00025543" w:rsidRDefault="007E3A2F">
            <w:pPr>
              <w:pStyle w:val="P68B1DB1-Normal28"/>
              <w:spacing w:line="240" w:lineRule="auto"/>
              <w:rPr>
                <w:noProof/>
              </w:rPr>
            </w:pPr>
            <w:r>
              <w:rPr>
                <w:noProof/>
              </w:rPr>
              <w:t xml:space="preserve">Trois systèmes informatiques seront mis en service, ce qui permettra d’interconnecter toutes les bases de données utilisées dans le processus d’autorisation de construction: </w:t>
            </w:r>
          </w:p>
          <w:p w14:paraId="1BBDD18F" w14:textId="01023FC9" w:rsidR="00025543" w:rsidRDefault="007E3A2F">
            <w:pPr>
              <w:pStyle w:val="P68B1DB1-Normal28"/>
              <w:numPr>
                <w:ilvl w:val="0"/>
                <w:numId w:val="164"/>
              </w:numPr>
              <w:pBdr>
                <w:top w:val="nil"/>
                <w:left w:val="nil"/>
                <w:bottom w:val="nil"/>
                <w:right w:val="nil"/>
                <w:between w:val="nil"/>
              </w:pBdr>
              <w:spacing w:after="0" w:line="259" w:lineRule="auto"/>
              <w:rPr>
                <w:noProof/>
              </w:rPr>
            </w:pPr>
            <w:r>
              <w:rPr>
                <w:noProof/>
              </w:rPr>
              <w:t xml:space="preserve">un système reliant les normes techniques aux règlements d’application. Il est intégré dans le portail des développeurs de bâtiments et mis à la disposition du public. </w:t>
            </w:r>
          </w:p>
          <w:p w14:paraId="5C1D0A87" w14:textId="77777777" w:rsidR="00025543" w:rsidRDefault="007E3A2F">
            <w:pPr>
              <w:pStyle w:val="P68B1DB1-Normal28"/>
              <w:numPr>
                <w:ilvl w:val="0"/>
                <w:numId w:val="164"/>
              </w:numPr>
              <w:pBdr>
                <w:top w:val="nil"/>
                <w:left w:val="nil"/>
                <w:bottom w:val="nil"/>
                <w:right w:val="nil"/>
                <w:between w:val="nil"/>
              </w:pBdr>
              <w:spacing w:after="0" w:line="259" w:lineRule="auto"/>
              <w:rPr>
                <w:noProof/>
              </w:rPr>
            </w:pPr>
            <w:r>
              <w:rPr>
                <w:noProof/>
              </w:rPr>
              <w:t>un système d’exigences structurées concernant les bâtiments et les procédures, la validation et le contrôle du processus d’autorisation, y compris l’ontologie</w:t>
            </w:r>
          </w:p>
          <w:p w14:paraId="6129C3FE" w14:textId="77777777" w:rsidR="00025543" w:rsidRDefault="007E3A2F">
            <w:pPr>
              <w:pStyle w:val="P68B1DB1-Normal28"/>
              <w:numPr>
                <w:ilvl w:val="0"/>
                <w:numId w:val="164"/>
              </w:numPr>
              <w:pBdr>
                <w:top w:val="nil"/>
                <w:left w:val="nil"/>
                <w:bottom w:val="nil"/>
                <w:right w:val="nil"/>
                <w:between w:val="nil"/>
              </w:pBdr>
              <w:spacing w:after="160" w:line="259" w:lineRule="auto"/>
              <w:rPr>
                <w:rFonts w:eastAsia="Times New Roman"/>
                <w:noProof/>
              </w:rPr>
            </w:pPr>
            <w:r>
              <w:rPr>
                <w:noProof/>
              </w:rPr>
              <w:t>un système de gestion des normes de données des bâtiments.</w:t>
            </w:r>
          </w:p>
        </w:tc>
      </w:tr>
    </w:tbl>
    <w:p w14:paraId="2A5A6130" w14:textId="77777777" w:rsidR="00025543" w:rsidRDefault="00025543">
      <w:pPr>
        <w:pBdr>
          <w:top w:val="nil"/>
          <w:left w:val="nil"/>
          <w:bottom w:val="nil"/>
          <w:right w:val="nil"/>
          <w:between w:val="nil"/>
        </w:pBdr>
        <w:spacing w:line="240" w:lineRule="auto"/>
        <w:rPr>
          <w:rFonts w:ascii="Calibri" w:hAnsi="Calibri"/>
          <w:noProof/>
          <w:color w:val="000000"/>
          <w:sz w:val="22"/>
        </w:rPr>
        <w:sectPr w:rsidR="00025543" w:rsidSect="00507AA7">
          <w:headerReference w:type="even" r:id="rId132"/>
          <w:headerReference w:type="default" r:id="rId133"/>
          <w:footerReference w:type="even" r:id="rId134"/>
          <w:footerReference w:type="default" r:id="rId135"/>
          <w:headerReference w:type="first" r:id="rId136"/>
          <w:footerReference w:type="first" r:id="rId137"/>
          <w:pgSz w:w="16839" w:h="11907" w:orient="landscape"/>
          <w:pgMar w:top="1134" w:right="1134" w:bottom="1134" w:left="1134" w:header="567" w:footer="567" w:gutter="0"/>
          <w:cols w:space="720"/>
          <w:docGrid w:linePitch="326"/>
        </w:sectPr>
      </w:pPr>
    </w:p>
    <w:p w14:paraId="407BC5C0" w14:textId="5FEE0EE6" w:rsidR="00025543" w:rsidRDefault="007E3A2F">
      <w:pPr>
        <w:pStyle w:val="Heading1"/>
        <w:numPr>
          <w:ilvl w:val="0"/>
          <w:numId w:val="0"/>
        </w:numPr>
        <w:ind w:left="850" w:hanging="850"/>
        <w:rPr>
          <w:noProof/>
        </w:rPr>
      </w:pPr>
      <w:r>
        <w:rPr>
          <w:noProof/>
        </w:rPr>
        <w:t>G. ELÉMENT 1.7: Transformation numérique de l’administration publique</w:t>
      </w:r>
    </w:p>
    <w:p w14:paraId="699E8762" w14:textId="301BD30A" w:rsidR="00025543" w:rsidRDefault="007E3A2F">
      <w:pPr>
        <w:spacing w:line="240" w:lineRule="auto"/>
        <w:jc w:val="both"/>
        <w:rPr>
          <w:noProof/>
        </w:rPr>
      </w:pPr>
      <w:r>
        <w:rPr>
          <w:noProof/>
        </w:rPr>
        <w:t xml:space="preserve">Ce volet </w:t>
      </w:r>
      <w:r>
        <w:rPr>
          <w:rFonts w:eastAsia="Times New Roman"/>
          <w:noProof/>
        </w:rPr>
        <w:t xml:space="preserve">du plan pour la reprise et la résilience de la République tchèque </w:t>
      </w:r>
      <w:r>
        <w:rPr>
          <w:noProof/>
        </w:rPr>
        <w:t>répond aux défis liés à la numérisation du système de l’administration publique. Elle vise à accroître le nombre et le niveau d’automatisation des services numériques, à accroître les compétences et la coordination interministérielle, ainsi qu’à coopérer à la préparation et à la création de nouveaux systèmes et services publics. Enfin, elle vise à améliorer la confiance des citoyens et leur utilisation des services publics au moyen d’applications en ligne. Ce volet bénéficie de synergies avec les volets 1.1 et 1.2, qui traitent également de la question de l’amélioration de la numérisation de la sphère publique.</w:t>
      </w:r>
    </w:p>
    <w:p w14:paraId="7E1232DF" w14:textId="13554BF4" w:rsidR="00025543" w:rsidRDefault="007E3A2F">
      <w:pPr>
        <w:spacing w:line="240" w:lineRule="auto"/>
        <w:jc w:val="both"/>
        <w:rPr>
          <w:noProof/>
        </w:rPr>
      </w:pPr>
      <w:r>
        <w:rPr>
          <w:noProof/>
        </w:rPr>
        <w:t>Ce</w:t>
      </w:r>
      <w:r>
        <w:rPr>
          <w:rFonts w:eastAsia="Times New Roman"/>
          <w:noProof/>
          <w:color w:val="000000" w:themeColor="text1"/>
        </w:rPr>
        <w:t xml:space="preserve">volet soutient </w:t>
      </w:r>
      <w:r>
        <w:rPr>
          <w:rFonts w:eastAsia="Times New Roman"/>
          <w:noProof/>
        </w:rPr>
        <w:t xml:space="preserve">la mise en œuvre </w:t>
      </w:r>
      <w:r>
        <w:rPr>
          <w:noProof/>
        </w:rPr>
        <w:t>de la recommandation spécifique par pays no</w:t>
      </w:r>
      <w:r>
        <w:rPr>
          <w:rFonts w:eastAsia="Times New Roman"/>
          <w:noProof/>
        </w:rPr>
        <w:t>1 2023, selon laquelle la Tchéquie doit</w:t>
      </w:r>
      <w:r>
        <w:rPr>
          <w:noProof/>
        </w:rPr>
        <w:t xml:space="preserve"> accroître les investissements publics dans la transition numérique.</w:t>
      </w:r>
    </w:p>
    <w:p w14:paraId="15EAEA49" w14:textId="5909FFAA" w:rsidR="00025543" w:rsidRDefault="007E3A2F">
      <w:pPr>
        <w:spacing w:line="276" w:lineRule="auto"/>
        <w:jc w:val="both"/>
        <w:rPr>
          <w:noProof/>
        </w:rPr>
      </w:pPr>
      <w:r>
        <w:rPr>
          <w:noProof/>
        </w:rPr>
        <w:t>Aucune mesure relevant de ce volet ne devrait nuire gravement aux objectifs environnementaux au sens de l’article 17 du règlement (UE) 2020/852, compte tenu de la description des mesures et des mesures d’atténuation prévues dans le plan pour la reprise et la résilience conformément aux orientations techniques de la DNSH (2021/C58/01).</w:t>
      </w:r>
    </w:p>
    <w:p w14:paraId="6FA20A86" w14:textId="77777777" w:rsidR="00025543" w:rsidRDefault="00025543">
      <w:pPr>
        <w:spacing w:line="276" w:lineRule="auto"/>
        <w:jc w:val="both"/>
        <w:rPr>
          <w:noProof/>
          <w:sz w:val="22"/>
        </w:rPr>
      </w:pPr>
    </w:p>
    <w:p w14:paraId="14B4FA62" w14:textId="7539DB7F" w:rsidR="00025543" w:rsidRDefault="007E3A2F">
      <w:pPr>
        <w:pStyle w:val="P68B1DB1-Normal5"/>
        <w:spacing w:line="240" w:lineRule="auto"/>
        <w:jc w:val="both"/>
        <w:rPr>
          <w:noProof/>
        </w:rPr>
      </w:pPr>
      <w:r>
        <w:rPr>
          <w:noProof/>
        </w:rPr>
        <w:t>G.1. Description des réformes et des investissements en vue du soutien financier non remboursable</w:t>
      </w:r>
    </w:p>
    <w:p w14:paraId="7F37D287" w14:textId="1E8BF384" w:rsidR="00025543" w:rsidRDefault="007E3A2F">
      <w:pPr>
        <w:pStyle w:val="P68B1DB1-Normal7"/>
        <w:spacing w:line="240" w:lineRule="auto"/>
        <w:jc w:val="both"/>
        <w:rPr>
          <w:noProof/>
        </w:rPr>
      </w:pPr>
      <w:r>
        <w:rPr>
          <w:noProof/>
        </w:rPr>
        <w:t>Investissement 1: Unification des domaines et création d’une plateforme d’apprentissage</w:t>
      </w:r>
    </w:p>
    <w:p w14:paraId="19A2349D" w14:textId="3A9205EB" w:rsidR="00025543" w:rsidRDefault="007E3A2F">
      <w:pPr>
        <w:pStyle w:val="P68B1DB1-Normal4"/>
        <w:spacing w:line="240" w:lineRule="auto"/>
        <w:jc w:val="both"/>
        <w:rPr>
          <w:noProof/>
          <w:color w:val="000000" w:themeColor="text1"/>
        </w:rPr>
      </w:pPr>
      <w:r>
        <w:rPr>
          <w:noProof/>
        </w:rPr>
        <w:t>L’objectif de l’investissement est d’améliorer la communication avec le gouvernement et de réduire les risques en matière de cybersécurité en unifiant les domaines gouvernementaux et les courriels ainsi qu’en créant une plateforme d’apprentissage sur les services d’administration en ligne.</w:t>
      </w:r>
    </w:p>
    <w:p w14:paraId="18C1D142" w14:textId="27904A43" w:rsidR="00025543" w:rsidRDefault="007E3A2F">
      <w:pPr>
        <w:pStyle w:val="P68B1DB1-Normal4"/>
        <w:jc w:val="both"/>
        <w:rPr>
          <w:noProof/>
        </w:rPr>
      </w:pPr>
      <w:r>
        <w:rPr>
          <w:noProof/>
        </w:rPr>
        <w:t>L’investissement est mis en œuvre au plus tard le 30 juin 2026.</w:t>
      </w:r>
    </w:p>
    <w:p w14:paraId="3612F204" w14:textId="4307B174" w:rsidR="00025543" w:rsidRDefault="007E3A2F">
      <w:pPr>
        <w:pStyle w:val="P68B1DB1-Normal7"/>
        <w:spacing w:line="240" w:lineRule="auto"/>
        <w:rPr>
          <w:rFonts w:eastAsia="Times New Roman"/>
          <w:noProof/>
        </w:rPr>
      </w:pPr>
      <w:r>
        <w:rPr>
          <w:noProof/>
        </w:rPr>
        <w:t>Investissement 2:</w:t>
      </w:r>
      <w:r>
        <w:rPr>
          <w:rFonts w:eastAsia="Times New Roman"/>
          <w:noProof/>
          <w:color w:val="006100"/>
          <w:sz w:val="18"/>
        </w:rPr>
        <w:t xml:space="preserve"> </w:t>
      </w:r>
      <w:r>
        <w:rPr>
          <w:rFonts w:eastAsia="Times New Roman"/>
          <w:noProof/>
        </w:rPr>
        <w:t>Amélioration du système de gestion des services numérisés</w:t>
      </w:r>
    </w:p>
    <w:p w14:paraId="05F42B2C" w14:textId="4E5A33B8" w:rsidR="00025543" w:rsidRDefault="007E3A2F">
      <w:pPr>
        <w:pStyle w:val="P68B1DB1-Normal3"/>
        <w:spacing w:line="240" w:lineRule="auto"/>
        <w:jc w:val="both"/>
        <w:rPr>
          <w:noProof/>
        </w:rPr>
      </w:pPr>
      <w:r>
        <w:rPr>
          <w:noProof/>
        </w:rPr>
        <w:t>L’objectif de l’investissement est d’optimiser, de réformer et de mieux gérer la fourniture de services numérisés, y compris la planification de leurs capacités et la communication d’informations aux clients de l’administration publique. L’investissement vise à améliorer la gestion des services d’administration publique numérisés et est mis en œuvre par:</w:t>
      </w:r>
    </w:p>
    <w:p w14:paraId="758CFEDF" w14:textId="1034F337" w:rsidR="00025543" w:rsidRDefault="007E3A2F">
      <w:pPr>
        <w:pStyle w:val="P68B1DB1-ListParagraph29"/>
        <w:numPr>
          <w:ilvl w:val="0"/>
          <w:numId w:val="348"/>
        </w:numPr>
        <w:spacing w:line="240" w:lineRule="auto"/>
        <w:jc w:val="both"/>
        <w:rPr>
          <w:noProof/>
        </w:rPr>
      </w:pPr>
      <w:r>
        <w:rPr>
          <w:noProof/>
        </w:rPr>
        <w:t>Création de deux groupes de travail chargés de superviser les projets d’informatique en nuage et les procédures de passation de marchés publics pour la numérisation dans l’administration publique</w:t>
      </w:r>
    </w:p>
    <w:p w14:paraId="5AB17A7A" w14:textId="57F613FA" w:rsidR="00025543" w:rsidRDefault="007E3A2F">
      <w:pPr>
        <w:pStyle w:val="P68B1DB1-ListParagraph29"/>
        <w:numPr>
          <w:ilvl w:val="0"/>
          <w:numId w:val="348"/>
        </w:numPr>
        <w:spacing w:line="240" w:lineRule="auto"/>
        <w:jc w:val="both"/>
        <w:rPr>
          <w:noProof/>
        </w:rPr>
      </w:pPr>
      <w:r>
        <w:rPr>
          <w:noProof/>
        </w:rPr>
        <w:t>Créer deux systèmes d’information pour (1) la coordination et la communication sur la numérisation des services de l’administration publique et (2) pour un système de gestion à long terme pour les projets TIC</w:t>
      </w:r>
    </w:p>
    <w:p w14:paraId="5D248497" w14:textId="29FB2001" w:rsidR="00025543" w:rsidRDefault="007E3A2F">
      <w:pPr>
        <w:pStyle w:val="P68B1DB1-ListParagraph29"/>
        <w:numPr>
          <w:ilvl w:val="0"/>
          <w:numId w:val="348"/>
        </w:numPr>
        <w:spacing w:line="240" w:lineRule="auto"/>
        <w:jc w:val="both"/>
        <w:rPr>
          <w:noProof/>
        </w:rPr>
      </w:pPr>
      <w:r>
        <w:rPr>
          <w:noProof/>
        </w:rPr>
        <w:t>Un projet d’optimisation recensant les meilleures pratiques, les points à améliorer et les mesures à prendre, sur la base de travaux d’analyse et de consultation des parties prenantes.</w:t>
      </w:r>
    </w:p>
    <w:p w14:paraId="15ABA9D4" w14:textId="23ECE7B7" w:rsidR="00025543" w:rsidRDefault="007E3A2F">
      <w:pPr>
        <w:pStyle w:val="P68B1DB1-Normal3"/>
        <w:spacing w:line="240" w:lineRule="auto"/>
        <w:jc w:val="both"/>
        <w:rPr>
          <w:noProof/>
        </w:rPr>
      </w:pPr>
      <w:r>
        <w:rPr>
          <w:noProof/>
        </w:rPr>
        <w:t>Ces activités visent à améliorer le système de gestion des services numérisés, en recensant les lacunes des pratiques existantes, en mettant en place de nouvelles solutions, en recueillant davantage de données et en assurant une meilleure vue d’ensemble des informations et une meilleure coordination.</w:t>
      </w:r>
    </w:p>
    <w:p w14:paraId="18244040" w14:textId="5BC33FBB" w:rsidR="00025543" w:rsidRDefault="007E3A2F">
      <w:pPr>
        <w:pStyle w:val="P68B1DB1-Normal4"/>
        <w:jc w:val="both"/>
        <w:rPr>
          <w:noProof/>
          <w:color w:val="000000" w:themeColor="text1"/>
        </w:rPr>
      </w:pPr>
      <w:r>
        <w:rPr>
          <w:noProof/>
        </w:rPr>
        <w:t>L’investissement est mis en œuvre au plus tard le 30 juin 2026.</w:t>
      </w:r>
    </w:p>
    <w:p w14:paraId="767C2FE8" w14:textId="67CF5F31" w:rsidR="00025543" w:rsidRDefault="007E3A2F">
      <w:pPr>
        <w:pStyle w:val="P68B1DB1-Normal7"/>
        <w:spacing w:line="240" w:lineRule="auto"/>
        <w:jc w:val="both"/>
        <w:rPr>
          <w:noProof/>
        </w:rPr>
      </w:pPr>
      <w:r>
        <w:rPr>
          <w:noProof/>
        </w:rPr>
        <w:t>Investissement 3: Création d’un centre de contact pour l’administration publique</w:t>
      </w:r>
    </w:p>
    <w:p w14:paraId="668F3A6D" w14:textId="0B9053BA" w:rsidR="00025543" w:rsidRDefault="007E3A2F">
      <w:pPr>
        <w:spacing w:line="240" w:lineRule="auto"/>
        <w:jc w:val="both"/>
        <w:rPr>
          <w:noProof/>
        </w:rPr>
      </w:pPr>
      <w:r>
        <w:rPr>
          <w:noProof/>
        </w:rPr>
        <w:t xml:space="preserve">L’objectif de l’investissement est de créer et d’équiper un centre de contact </w:t>
      </w:r>
      <w:r>
        <w:rPr>
          <w:rFonts w:eastAsia="Times New Roman"/>
          <w:noProof/>
        </w:rPr>
        <w:t>pour la fourniture de services d’administration publique aux clients, notamment aux citoyens et aux entreprises. Le centre de contact fournit des informations, des conseils et un soutien en ce qui concerne la soumission électronique de documents pour certains services gouvernementaux (</w:t>
      </w:r>
      <w:r>
        <w:rPr>
          <w:rFonts w:eastAsia="Times New Roman"/>
          <w:i/>
          <w:noProof/>
        </w:rPr>
        <w:t>«</w:t>
      </w:r>
      <w:r>
        <w:rPr>
          <w:rFonts w:eastAsia="Times New Roman"/>
          <w:noProof/>
        </w:rPr>
        <w:t>Agendy»).</w:t>
      </w:r>
    </w:p>
    <w:p w14:paraId="5FE60F04" w14:textId="40707374" w:rsidR="00025543" w:rsidRDefault="007E3A2F">
      <w:pPr>
        <w:spacing w:line="240" w:lineRule="auto"/>
        <w:jc w:val="both"/>
        <w:rPr>
          <w:noProof/>
        </w:rPr>
      </w:pPr>
      <w:r>
        <w:rPr>
          <w:noProof/>
        </w:rPr>
        <w:t>L’investissement est mis en œuvre au plus tard le 30 juin 2026.</w:t>
      </w:r>
    </w:p>
    <w:p w14:paraId="4110BBFD" w14:textId="648DCF1B" w:rsidR="00025543" w:rsidRDefault="007E3A2F">
      <w:pPr>
        <w:pStyle w:val="P68B1DB1-Normal7"/>
        <w:spacing w:line="240" w:lineRule="auto"/>
        <w:jc w:val="both"/>
        <w:rPr>
          <w:noProof/>
        </w:rPr>
      </w:pPr>
      <w:r>
        <w:rPr>
          <w:noProof/>
        </w:rPr>
        <w:t>Investissement 4: Création d’une infrastructure de données centrale</w:t>
      </w:r>
    </w:p>
    <w:p w14:paraId="3C173F2B" w14:textId="0A42FBDE" w:rsidR="00025543" w:rsidRDefault="007E3A2F">
      <w:pPr>
        <w:spacing w:line="240" w:lineRule="auto"/>
        <w:jc w:val="both"/>
        <w:rPr>
          <w:noProof/>
        </w:rPr>
      </w:pPr>
      <w:r>
        <w:rPr>
          <w:noProof/>
        </w:rPr>
        <w:t>L’objectif de l’investissement est de soutenir l’utilisation efficace des systèmes d’information de l’administration publique et les efforts visant à moderniser et à numériser les services de l’administration publique. L’investissement crée un entrepôt de données central contenant des informations sélectionnées sur certains autres systèmes et services publics afin de permettre leur gestion et leur optimisation.</w:t>
      </w:r>
    </w:p>
    <w:p w14:paraId="5A535F92" w14:textId="40707374" w:rsidR="00025543" w:rsidRDefault="007E3A2F">
      <w:pPr>
        <w:spacing w:line="240" w:lineRule="auto"/>
        <w:jc w:val="both"/>
        <w:rPr>
          <w:noProof/>
        </w:rPr>
      </w:pPr>
      <w:r>
        <w:rPr>
          <w:noProof/>
        </w:rPr>
        <w:t>L’investissement est mis en œuvre au plus tard le 30 juin 2026.</w:t>
      </w:r>
    </w:p>
    <w:p w14:paraId="481D9E6B" w14:textId="4B55FE25" w:rsidR="00025543" w:rsidRDefault="00025543">
      <w:pPr>
        <w:spacing w:line="240" w:lineRule="auto"/>
        <w:jc w:val="both"/>
        <w:rPr>
          <w:noProof/>
        </w:rPr>
        <w:sectPr w:rsidR="00025543" w:rsidSect="00507AA7">
          <w:headerReference w:type="even" r:id="rId138"/>
          <w:headerReference w:type="default" r:id="rId139"/>
          <w:footerReference w:type="even" r:id="rId140"/>
          <w:footerReference w:type="default" r:id="rId141"/>
          <w:headerReference w:type="first" r:id="rId142"/>
          <w:footerReference w:type="first" r:id="rId143"/>
          <w:pgSz w:w="11907" w:h="16839"/>
          <w:pgMar w:top="1134" w:right="1134" w:bottom="1134" w:left="1134" w:header="567" w:footer="567" w:gutter="0"/>
          <w:cols w:space="720"/>
          <w:docGrid w:linePitch="326"/>
        </w:sectPr>
      </w:pPr>
    </w:p>
    <w:p w14:paraId="69034331" w14:textId="3D533F6F" w:rsidR="00025543" w:rsidRDefault="007E3A2F">
      <w:pPr>
        <w:pStyle w:val="P68B1DB1-Normal8"/>
        <w:keepNext/>
        <w:spacing w:before="360" w:line="240" w:lineRule="auto"/>
        <w:jc w:val="both"/>
        <w:rPr>
          <w:noProof/>
        </w:rPr>
      </w:pPr>
      <w:r>
        <w:rPr>
          <w:noProof/>
        </w:rPr>
        <w:t>G.2. Jalons, cibles, indicateurs et calendrier de suivi et de mise en œuvre en vue du soutien financier non remboursable</w:t>
      </w: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30"/>
        <w:gridCol w:w="1388"/>
        <w:gridCol w:w="1061"/>
        <w:gridCol w:w="1360"/>
        <w:gridCol w:w="1504"/>
        <w:gridCol w:w="821"/>
        <w:gridCol w:w="930"/>
        <w:gridCol w:w="1005"/>
        <w:gridCol w:w="1211"/>
        <w:gridCol w:w="702"/>
        <w:gridCol w:w="3643"/>
      </w:tblGrid>
      <w:tr w:rsidR="00025543" w14:paraId="276DE192" w14:textId="77777777">
        <w:trPr>
          <w:trHeight w:val="105"/>
          <w:tblHeader/>
        </w:trPr>
        <w:tc>
          <w:tcPr>
            <w:tcW w:w="653" w:type="dxa"/>
            <w:vMerge w:val="restart"/>
            <w:tcBorders>
              <w:top w:val="single" w:sz="6" w:space="0" w:color="auto"/>
              <w:left w:val="single" w:sz="6" w:space="0" w:color="auto"/>
              <w:bottom w:val="single" w:sz="6" w:space="0" w:color="auto"/>
              <w:right w:val="single" w:sz="4" w:space="0" w:color="auto"/>
            </w:tcBorders>
            <w:shd w:val="clear" w:color="auto" w:fill="BDD7EE"/>
            <w:tcMar>
              <w:left w:w="105" w:type="dxa"/>
              <w:right w:w="105" w:type="dxa"/>
            </w:tcMar>
            <w:vAlign w:val="center"/>
          </w:tcPr>
          <w:p w14:paraId="5C8E2677" w14:textId="77777777" w:rsidR="00025543" w:rsidRDefault="007E3A2F">
            <w:pPr>
              <w:pStyle w:val="P68B1DB1-Normal30"/>
              <w:spacing w:line="240" w:lineRule="auto"/>
              <w:jc w:val="center"/>
              <w:rPr>
                <w:noProof/>
              </w:rPr>
            </w:pPr>
            <w:r>
              <w:rPr>
                <w:noProof/>
              </w:rPr>
              <w:t>Séquence NUM.</w:t>
            </w:r>
          </w:p>
        </w:tc>
        <w:tc>
          <w:tcPr>
            <w:tcW w:w="1394" w:type="dxa"/>
            <w:vMerge w:val="restart"/>
            <w:tcBorders>
              <w:top w:val="single" w:sz="4" w:space="0" w:color="auto"/>
              <w:left w:val="single" w:sz="4" w:space="0" w:color="auto"/>
              <w:bottom w:val="single" w:sz="4" w:space="0" w:color="auto"/>
              <w:right w:val="single" w:sz="4" w:space="0" w:color="auto"/>
            </w:tcBorders>
            <w:shd w:val="clear" w:color="auto" w:fill="BDD7EE"/>
            <w:tcMar>
              <w:left w:w="105" w:type="dxa"/>
              <w:right w:w="105" w:type="dxa"/>
            </w:tcMar>
            <w:vAlign w:val="center"/>
          </w:tcPr>
          <w:p w14:paraId="54669425" w14:textId="77777777" w:rsidR="00025543" w:rsidRDefault="007E3A2F">
            <w:pPr>
              <w:pStyle w:val="P68B1DB1-Normal30"/>
              <w:spacing w:line="240" w:lineRule="auto"/>
              <w:jc w:val="center"/>
              <w:rPr>
                <w:noProof/>
              </w:rPr>
            </w:pPr>
            <w:r>
              <w:rPr>
                <w:noProof/>
              </w:rPr>
              <w:t>Mesure connexe (réforme ou investissement)</w:t>
            </w:r>
          </w:p>
        </w:tc>
        <w:tc>
          <w:tcPr>
            <w:tcW w:w="1077" w:type="dxa"/>
            <w:vMerge w:val="restart"/>
            <w:tcBorders>
              <w:top w:val="single" w:sz="6" w:space="0" w:color="auto"/>
              <w:left w:val="single" w:sz="4" w:space="0" w:color="auto"/>
              <w:bottom w:val="single" w:sz="6" w:space="0" w:color="auto"/>
              <w:right w:val="single" w:sz="4" w:space="0" w:color="auto"/>
            </w:tcBorders>
            <w:shd w:val="clear" w:color="auto" w:fill="BDD7EE"/>
            <w:tcMar>
              <w:left w:w="105" w:type="dxa"/>
              <w:right w:w="105" w:type="dxa"/>
            </w:tcMar>
            <w:vAlign w:val="center"/>
          </w:tcPr>
          <w:p w14:paraId="7E4E4560" w14:textId="77777777" w:rsidR="00025543" w:rsidRDefault="007E3A2F">
            <w:pPr>
              <w:pStyle w:val="P68B1DB1-Normal30"/>
              <w:spacing w:line="240" w:lineRule="auto"/>
              <w:jc w:val="center"/>
              <w:rPr>
                <w:noProof/>
              </w:rPr>
            </w:pPr>
            <w:r>
              <w:rPr>
                <w:noProof/>
              </w:rPr>
              <w:t>Jalon/cible</w:t>
            </w:r>
          </w:p>
        </w:tc>
        <w:tc>
          <w:tcPr>
            <w:tcW w:w="1286" w:type="dxa"/>
            <w:vMerge w:val="restart"/>
            <w:tcBorders>
              <w:top w:val="single" w:sz="4" w:space="0" w:color="auto"/>
              <w:left w:val="single" w:sz="4" w:space="0" w:color="auto"/>
              <w:bottom w:val="single" w:sz="4" w:space="0" w:color="auto"/>
              <w:right w:val="single" w:sz="4" w:space="0" w:color="auto"/>
            </w:tcBorders>
            <w:shd w:val="clear" w:color="auto" w:fill="BDD7EE"/>
            <w:tcMar>
              <w:left w:w="105" w:type="dxa"/>
              <w:right w:w="105" w:type="dxa"/>
            </w:tcMar>
            <w:vAlign w:val="center"/>
          </w:tcPr>
          <w:p w14:paraId="1BC87055" w14:textId="77777777" w:rsidR="00025543" w:rsidRDefault="007E3A2F">
            <w:pPr>
              <w:pStyle w:val="P68B1DB1-Normal30"/>
              <w:spacing w:line="240" w:lineRule="auto"/>
              <w:jc w:val="center"/>
              <w:rPr>
                <w:noProof/>
              </w:rPr>
            </w:pPr>
            <w:r>
              <w:rPr>
                <w:noProof/>
              </w:rPr>
              <w:t>Nom</w:t>
            </w:r>
          </w:p>
        </w:tc>
        <w:tc>
          <w:tcPr>
            <w:tcW w:w="1679" w:type="dxa"/>
            <w:vMerge w:val="restart"/>
            <w:tcBorders>
              <w:top w:val="single" w:sz="6" w:space="0" w:color="auto"/>
              <w:left w:val="single" w:sz="4" w:space="0" w:color="auto"/>
              <w:right w:val="single" w:sz="6" w:space="0" w:color="auto"/>
            </w:tcBorders>
            <w:shd w:val="clear" w:color="auto" w:fill="BDD7EE"/>
            <w:tcMar>
              <w:left w:w="105" w:type="dxa"/>
              <w:right w:w="105" w:type="dxa"/>
            </w:tcMar>
            <w:vAlign w:val="center"/>
          </w:tcPr>
          <w:p w14:paraId="738A3B7A" w14:textId="77777777" w:rsidR="00025543" w:rsidRDefault="007E3A2F">
            <w:pPr>
              <w:spacing w:line="240" w:lineRule="auto"/>
              <w:jc w:val="center"/>
              <w:rPr>
                <w:rFonts w:eastAsia="Times New Roman"/>
                <w:noProof/>
                <w:color w:val="000000" w:themeColor="text1"/>
                <w:sz w:val="18"/>
              </w:rPr>
            </w:pPr>
            <w:r>
              <w:rPr>
                <w:rFonts w:eastAsia="Times New Roman"/>
                <w:b/>
                <w:noProof/>
                <w:color w:val="000000" w:themeColor="text1"/>
                <w:sz w:val="18"/>
              </w:rPr>
              <w:t>Qualitatifs</w:t>
            </w:r>
            <w:r>
              <w:rPr>
                <w:noProof/>
              </w:rPr>
              <w:br/>
            </w:r>
            <w:r>
              <w:rPr>
                <w:rFonts w:eastAsia="Times New Roman"/>
                <w:b/>
                <w:noProof/>
                <w:color w:val="000000" w:themeColor="text1"/>
                <w:sz w:val="18"/>
              </w:rPr>
              <w:t xml:space="preserve"> (pour les jalons)</w:t>
            </w:r>
          </w:p>
        </w:tc>
        <w:tc>
          <w:tcPr>
            <w:tcW w:w="2292" w:type="dxa"/>
            <w:gridSpan w:val="3"/>
            <w:tcBorders>
              <w:top w:val="single" w:sz="6" w:space="0" w:color="auto"/>
              <w:left w:val="single" w:sz="6" w:space="0" w:color="auto"/>
              <w:bottom w:val="single" w:sz="6" w:space="0" w:color="auto"/>
              <w:right w:val="single" w:sz="6" w:space="0" w:color="000000" w:themeColor="text1"/>
            </w:tcBorders>
            <w:shd w:val="clear" w:color="auto" w:fill="BDD7EE"/>
            <w:tcMar>
              <w:left w:w="105" w:type="dxa"/>
              <w:right w:w="105" w:type="dxa"/>
            </w:tcMar>
            <w:vAlign w:val="center"/>
          </w:tcPr>
          <w:p w14:paraId="1918A5EB" w14:textId="77777777" w:rsidR="00025543" w:rsidRDefault="007E3A2F">
            <w:pPr>
              <w:spacing w:line="240" w:lineRule="auto"/>
              <w:jc w:val="center"/>
              <w:rPr>
                <w:rFonts w:eastAsia="Times New Roman"/>
                <w:noProof/>
                <w:color w:val="000000" w:themeColor="text1"/>
                <w:sz w:val="18"/>
              </w:rPr>
            </w:pPr>
            <w:r>
              <w:rPr>
                <w:rFonts w:eastAsia="Times New Roman"/>
                <w:b/>
                <w:noProof/>
                <w:color w:val="000000" w:themeColor="text1"/>
                <w:sz w:val="18"/>
              </w:rPr>
              <w:t>Indicateurs quantitatifs</w:t>
            </w:r>
            <w:r>
              <w:rPr>
                <w:noProof/>
              </w:rPr>
              <w:br/>
            </w:r>
            <w:r>
              <w:rPr>
                <w:rFonts w:eastAsia="Times New Roman"/>
                <w:b/>
                <w:noProof/>
                <w:color w:val="000000" w:themeColor="text1"/>
                <w:sz w:val="18"/>
              </w:rPr>
              <w:t xml:space="preserve"> (pour les objectifs)</w:t>
            </w:r>
          </w:p>
        </w:tc>
        <w:tc>
          <w:tcPr>
            <w:tcW w:w="1544" w:type="dxa"/>
            <w:gridSpan w:val="2"/>
            <w:tcBorders>
              <w:top w:val="single" w:sz="6" w:space="0" w:color="auto"/>
              <w:left w:val="nil"/>
              <w:bottom w:val="single" w:sz="6" w:space="0" w:color="auto"/>
              <w:right w:val="single" w:sz="6" w:space="0" w:color="auto"/>
            </w:tcBorders>
            <w:shd w:val="clear" w:color="auto" w:fill="BDD7EE"/>
            <w:tcMar>
              <w:left w:w="105" w:type="dxa"/>
              <w:right w:w="105" w:type="dxa"/>
            </w:tcMar>
            <w:vAlign w:val="center"/>
          </w:tcPr>
          <w:p w14:paraId="61A1DFBE" w14:textId="77777777" w:rsidR="00025543" w:rsidRDefault="007E3A2F">
            <w:pPr>
              <w:pStyle w:val="P68B1DB1-Normal30"/>
              <w:spacing w:line="240" w:lineRule="auto"/>
              <w:jc w:val="center"/>
              <w:rPr>
                <w:noProof/>
              </w:rPr>
            </w:pPr>
            <w:r>
              <w:rPr>
                <w:noProof/>
              </w:rPr>
              <w:t>Calendrier indicatif de réalisation</w:t>
            </w:r>
          </w:p>
        </w:tc>
        <w:tc>
          <w:tcPr>
            <w:tcW w:w="4738" w:type="dxa"/>
            <w:vMerge w:val="restart"/>
            <w:tcBorders>
              <w:top w:val="single" w:sz="6" w:space="0" w:color="auto"/>
              <w:left w:val="single" w:sz="6" w:space="0" w:color="auto"/>
              <w:bottom w:val="single" w:sz="6" w:space="0" w:color="auto"/>
              <w:right w:val="single" w:sz="6" w:space="0" w:color="auto"/>
            </w:tcBorders>
            <w:shd w:val="clear" w:color="auto" w:fill="BDD7EE"/>
            <w:tcMar>
              <w:left w:w="105" w:type="dxa"/>
              <w:right w:w="105" w:type="dxa"/>
            </w:tcMar>
            <w:vAlign w:val="center"/>
          </w:tcPr>
          <w:p w14:paraId="1A115EC8" w14:textId="77777777" w:rsidR="00025543" w:rsidRDefault="007E3A2F">
            <w:pPr>
              <w:pStyle w:val="P68B1DB1-Normal30"/>
              <w:spacing w:line="240" w:lineRule="auto"/>
              <w:jc w:val="center"/>
              <w:rPr>
                <w:noProof/>
              </w:rPr>
            </w:pPr>
            <w:r>
              <w:rPr>
                <w:noProof/>
              </w:rPr>
              <w:t>Description et définition claire de chaque jalon et cible</w:t>
            </w:r>
          </w:p>
        </w:tc>
      </w:tr>
      <w:tr w:rsidR="00025543" w14:paraId="17C2C1BF" w14:textId="77777777">
        <w:trPr>
          <w:trHeight w:val="165"/>
          <w:tblHeader/>
        </w:trPr>
        <w:tc>
          <w:tcPr>
            <w:tcW w:w="653" w:type="dxa"/>
            <w:vMerge/>
            <w:tcBorders>
              <w:top w:val="single" w:sz="6" w:space="0" w:color="auto"/>
              <w:bottom w:val="single" w:sz="6" w:space="0" w:color="auto"/>
              <w:right w:val="single" w:sz="4" w:space="0" w:color="auto"/>
            </w:tcBorders>
            <w:vAlign w:val="center"/>
          </w:tcPr>
          <w:p w14:paraId="3D735962" w14:textId="77777777" w:rsidR="00025543" w:rsidRDefault="00025543">
            <w:pPr>
              <w:rPr>
                <w:noProof/>
              </w:rPr>
            </w:pPr>
          </w:p>
        </w:tc>
        <w:tc>
          <w:tcPr>
            <w:tcW w:w="1394" w:type="dxa"/>
            <w:vMerge/>
            <w:tcBorders>
              <w:top w:val="single" w:sz="4" w:space="0" w:color="auto"/>
              <w:left w:val="single" w:sz="4" w:space="0" w:color="auto"/>
              <w:bottom w:val="single" w:sz="4" w:space="0" w:color="auto"/>
              <w:right w:val="single" w:sz="4" w:space="0" w:color="auto"/>
            </w:tcBorders>
            <w:vAlign w:val="center"/>
          </w:tcPr>
          <w:p w14:paraId="0D38D90D" w14:textId="77777777" w:rsidR="00025543" w:rsidRDefault="00025543">
            <w:pPr>
              <w:rPr>
                <w:noProof/>
              </w:rPr>
            </w:pPr>
          </w:p>
        </w:tc>
        <w:tc>
          <w:tcPr>
            <w:tcW w:w="1077" w:type="dxa"/>
            <w:vMerge/>
            <w:tcBorders>
              <w:top w:val="single" w:sz="6" w:space="0" w:color="auto"/>
              <w:left w:val="single" w:sz="4" w:space="0" w:color="auto"/>
              <w:bottom w:val="single" w:sz="6" w:space="0" w:color="auto"/>
              <w:right w:val="single" w:sz="4" w:space="0" w:color="auto"/>
            </w:tcBorders>
            <w:vAlign w:val="center"/>
          </w:tcPr>
          <w:p w14:paraId="58EB7008" w14:textId="77777777" w:rsidR="00025543" w:rsidRDefault="00025543">
            <w:pPr>
              <w:rPr>
                <w:noProof/>
              </w:rPr>
            </w:pPr>
          </w:p>
        </w:tc>
        <w:tc>
          <w:tcPr>
            <w:tcW w:w="1286" w:type="dxa"/>
            <w:vMerge/>
            <w:tcBorders>
              <w:top w:val="single" w:sz="4" w:space="0" w:color="auto"/>
              <w:left w:val="single" w:sz="4" w:space="0" w:color="auto"/>
              <w:bottom w:val="single" w:sz="4" w:space="0" w:color="auto"/>
              <w:right w:val="single" w:sz="4" w:space="0" w:color="auto"/>
            </w:tcBorders>
            <w:vAlign w:val="center"/>
          </w:tcPr>
          <w:p w14:paraId="5B35D878" w14:textId="77777777" w:rsidR="00025543" w:rsidRDefault="00025543">
            <w:pPr>
              <w:rPr>
                <w:noProof/>
              </w:rPr>
            </w:pPr>
          </w:p>
        </w:tc>
        <w:tc>
          <w:tcPr>
            <w:tcW w:w="1679" w:type="dxa"/>
            <w:vMerge/>
            <w:tcBorders>
              <w:left w:val="single" w:sz="4" w:space="0" w:color="auto"/>
            </w:tcBorders>
            <w:vAlign w:val="center"/>
          </w:tcPr>
          <w:p w14:paraId="3BBE4D35" w14:textId="77777777" w:rsidR="00025543" w:rsidRDefault="00025543">
            <w:pPr>
              <w:rPr>
                <w:noProof/>
              </w:rPr>
            </w:pPr>
          </w:p>
        </w:tc>
        <w:tc>
          <w:tcPr>
            <w:tcW w:w="860" w:type="dxa"/>
            <w:tcBorders>
              <w:top w:val="single" w:sz="6" w:space="0" w:color="auto"/>
              <w:left w:val="single" w:sz="6" w:space="0" w:color="auto"/>
              <w:bottom w:val="single" w:sz="6" w:space="0" w:color="auto"/>
              <w:right w:val="single" w:sz="6" w:space="0" w:color="000000" w:themeColor="text1"/>
            </w:tcBorders>
            <w:shd w:val="clear" w:color="auto" w:fill="BDD7EE"/>
            <w:tcMar>
              <w:left w:w="105" w:type="dxa"/>
              <w:right w:w="105" w:type="dxa"/>
            </w:tcMar>
            <w:vAlign w:val="center"/>
          </w:tcPr>
          <w:p w14:paraId="0EA4CD63" w14:textId="77777777" w:rsidR="00025543" w:rsidRDefault="007E3A2F">
            <w:pPr>
              <w:pStyle w:val="P68B1DB1-Normal30"/>
              <w:spacing w:line="240" w:lineRule="auto"/>
              <w:jc w:val="center"/>
              <w:rPr>
                <w:noProof/>
              </w:rPr>
            </w:pPr>
            <w:r>
              <w:rPr>
                <w:noProof/>
              </w:rPr>
              <w:t>Unité de mesure</w:t>
            </w:r>
          </w:p>
        </w:tc>
        <w:tc>
          <w:tcPr>
            <w:tcW w:w="851" w:type="dxa"/>
            <w:tcBorders>
              <w:top w:val="nil"/>
              <w:left w:val="single" w:sz="6" w:space="0" w:color="auto"/>
              <w:bottom w:val="single" w:sz="6" w:space="0" w:color="auto"/>
              <w:right w:val="single" w:sz="6" w:space="0" w:color="auto"/>
            </w:tcBorders>
            <w:shd w:val="clear" w:color="auto" w:fill="BDD7EE"/>
            <w:tcMar>
              <w:left w:w="105" w:type="dxa"/>
              <w:right w:w="105" w:type="dxa"/>
            </w:tcMar>
            <w:vAlign w:val="center"/>
          </w:tcPr>
          <w:p w14:paraId="63680E5A" w14:textId="77777777" w:rsidR="00025543" w:rsidRDefault="007E3A2F">
            <w:pPr>
              <w:pStyle w:val="P68B1DB1-Normal30"/>
              <w:spacing w:line="240" w:lineRule="auto"/>
              <w:jc w:val="center"/>
              <w:rPr>
                <w:noProof/>
              </w:rPr>
            </w:pPr>
            <w:r>
              <w:rPr>
                <w:noProof/>
              </w:rPr>
              <w:t>Scénario de référence</w:t>
            </w:r>
          </w:p>
        </w:tc>
        <w:tc>
          <w:tcPr>
            <w:tcW w:w="1134" w:type="dxa"/>
            <w:tcBorders>
              <w:top w:val="nil"/>
              <w:left w:val="single" w:sz="6" w:space="0" w:color="auto"/>
              <w:bottom w:val="single" w:sz="6" w:space="0" w:color="auto"/>
              <w:right w:val="single" w:sz="6" w:space="0" w:color="000000" w:themeColor="text1"/>
            </w:tcBorders>
            <w:shd w:val="clear" w:color="auto" w:fill="BDD7EE"/>
            <w:tcMar>
              <w:left w:w="105" w:type="dxa"/>
              <w:right w:w="105" w:type="dxa"/>
            </w:tcMar>
            <w:vAlign w:val="center"/>
          </w:tcPr>
          <w:p w14:paraId="29FB8629" w14:textId="77777777" w:rsidR="00025543" w:rsidRDefault="007E3A2F">
            <w:pPr>
              <w:pStyle w:val="P68B1DB1-Normal30"/>
              <w:spacing w:line="240" w:lineRule="auto"/>
              <w:jc w:val="center"/>
              <w:rPr>
                <w:noProof/>
              </w:rPr>
            </w:pPr>
            <w:r>
              <w:rPr>
                <w:noProof/>
              </w:rPr>
              <w:t>Objectif</w:t>
            </w:r>
          </w:p>
        </w:tc>
        <w:tc>
          <w:tcPr>
            <w:tcW w:w="840" w:type="dxa"/>
            <w:tcBorders>
              <w:top w:val="single" w:sz="6" w:space="0" w:color="auto"/>
              <w:left w:val="single" w:sz="6" w:space="0" w:color="auto"/>
              <w:bottom w:val="single" w:sz="6" w:space="0" w:color="auto"/>
              <w:right w:val="single" w:sz="6" w:space="0" w:color="000000" w:themeColor="text1"/>
            </w:tcBorders>
            <w:shd w:val="clear" w:color="auto" w:fill="BDD7EE"/>
            <w:tcMar>
              <w:left w:w="105" w:type="dxa"/>
              <w:right w:w="105" w:type="dxa"/>
            </w:tcMar>
            <w:vAlign w:val="center"/>
          </w:tcPr>
          <w:p w14:paraId="3156A937" w14:textId="77777777" w:rsidR="00025543" w:rsidRDefault="007E3A2F">
            <w:pPr>
              <w:pStyle w:val="P68B1DB1-Normal30"/>
              <w:spacing w:line="240" w:lineRule="auto"/>
              <w:jc w:val="center"/>
              <w:rPr>
                <w:noProof/>
              </w:rPr>
            </w:pPr>
            <w:r>
              <w:rPr>
                <w:noProof/>
              </w:rPr>
              <w:t>Trimestre</w:t>
            </w:r>
          </w:p>
        </w:tc>
        <w:tc>
          <w:tcPr>
            <w:tcW w:w="704" w:type="dxa"/>
            <w:tcBorders>
              <w:top w:val="nil"/>
              <w:left w:val="single" w:sz="6" w:space="0" w:color="auto"/>
              <w:bottom w:val="single" w:sz="6" w:space="0" w:color="auto"/>
              <w:right w:val="single" w:sz="6" w:space="0" w:color="auto"/>
            </w:tcBorders>
            <w:shd w:val="clear" w:color="auto" w:fill="BDD7EE"/>
            <w:tcMar>
              <w:left w:w="105" w:type="dxa"/>
              <w:right w:w="105" w:type="dxa"/>
            </w:tcMar>
            <w:vAlign w:val="center"/>
          </w:tcPr>
          <w:p w14:paraId="64A6600C" w14:textId="77777777" w:rsidR="00025543" w:rsidRDefault="007E3A2F">
            <w:pPr>
              <w:pStyle w:val="P68B1DB1-Normal30"/>
              <w:spacing w:line="240" w:lineRule="auto"/>
              <w:jc w:val="center"/>
              <w:rPr>
                <w:noProof/>
              </w:rPr>
            </w:pPr>
            <w:r>
              <w:rPr>
                <w:noProof/>
              </w:rPr>
              <w:t>Année</w:t>
            </w:r>
          </w:p>
        </w:tc>
        <w:tc>
          <w:tcPr>
            <w:tcW w:w="4738" w:type="dxa"/>
            <w:vMerge/>
            <w:vAlign w:val="center"/>
          </w:tcPr>
          <w:p w14:paraId="5DBF879F" w14:textId="77777777" w:rsidR="00025543" w:rsidRDefault="00025543">
            <w:pPr>
              <w:rPr>
                <w:noProof/>
              </w:rPr>
            </w:pPr>
          </w:p>
        </w:tc>
      </w:tr>
      <w:tr w:rsidR="00025543" w14:paraId="4E4B7229" w14:textId="77777777">
        <w:trPr>
          <w:trHeight w:val="1845"/>
        </w:trPr>
        <w:tc>
          <w:tcPr>
            <w:tcW w:w="653"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4FBCD08F" w14:textId="275DB89A" w:rsidR="00025543" w:rsidRDefault="007E3A2F">
            <w:pPr>
              <w:pStyle w:val="P68B1DB1-Normal11"/>
              <w:spacing w:line="240" w:lineRule="auto"/>
              <w:jc w:val="center"/>
              <w:rPr>
                <w:noProof/>
              </w:rPr>
            </w:pPr>
            <w:r>
              <w:rPr>
                <w:noProof/>
              </w:rPr>
              <w:t>256</w:t>
            </w:r>
          </w:p>
        </w:tc>
        <w:tc>
          <w:tcPr>
            <w:tcW w:w="1394" w:type="dxa"/>
            <w:tcBorders>
              <w:top w:val="single" w:sz="4"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0C72BC5D" w14:textId="1451D4AA" w:rsidR="00025543" w:rsidRDefault="007E3A2F">
            <w:pPr>
              <w:pStyle w:val="P68B1DB1-Normal11"/>
              <w:spacing w:line="240" w:lineRule="auto"/>
              <w:rPr>
                <w:noProof/>
              </w:rPr>
            </w:pPr>
            <w:r>
              <w:rPr>
                <w:noProof/>
              </w:rPr>
              <w:t>Investissement 2: Amélioration du système de gestion des services numérisés</w:t>
            </w:r>
          </w:p>
        </w:tc>
        <w:tc>
          <w:tcPr>
            <w:tcW w:w="1077"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6E427013" w14:textId="3D86C9F8" w:rsidR="00025543" w:rsidRDefault="007E3A2F">
            <w:pPr>
              <w:pStyle w:val="P68B1DB1-Normal11"/>
              <w:spacing w:line="240" w:lineRule="auto"/>
              <w:jc w:val="center"/>
              <w:rPr>
                <w:noProof/>
              </w:rPr>
            </w:pPr>
            <w:r>
              <w:rPr>
                <w:noProof/>
              </w:rPr>
              <w:t>Étapes</w:t>
            </w:r>
          </w:p>
        </w:tc>
        <w:tc>
          <w:tcPr>
            <w:tcW w:w="1286" w:type="dxa"/>
            <w:tcBorders>
              <w:top w:val="single" w:sz="4"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6B7AE16E" w14:textId="346CEE68" w:rsidR="00025543" w:rsidRDefault="007E3A2F">
            <w:pPr>
              <w:pStyle w:val="P68B1DB1-Normal11"/>
              <w:spacing w:line="257" w:lineRule="auto"/>
              <w:rPr>
                <w:noProof/>
              </w:rPr>
            </w:pPr>
            <w:r>
              <w:rPr>
                <w:noProof/>
              </w:rPr>
              <w:t>Constitution des groupes de travail</w:t>
            </w:r>
          </w:p>
        </w:tc>
        <w:tc>
          <w:tcPr>
            <w:tcW w:w="1679"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372DA379" w14:textId="7C310D8E" w:rsidR="00025543" w:rsidRDefault="007E3A2F">
            <w:pPr>
              <w:pStyle w:val="P68B1DB1-Normal11"/>
              <w:spacing w:line="240" w:lineRule="auto"/>
              <w:rPr>
                <w:noProof/>
              </w:rPr>
            </w:pPr>
            <w:r>
              <w:rPr>
                <w:noProof/>
              </w:rPr>
              <w:t>Création de groupes de travail</w:t>
            </w:r>
          </w:p>
          <w:p w14:paraId="02C6A033" w14:textId="27B71954" w:rsidR="00025543" w:rsidRDefault="00025543">
            <w:pPr>
              <w:spacing w:line="240" w:lineRule="auto"/>
              <w:rPr>
                <w:rFonts w:eastAsia="Times New Roman"/>
                <w:noProof/>
                <w:color w:val="006100"/>
                <w:sz w:val="18"/>
              </w:rPr>
            </w:pPr>
          </w:p>
        </w:tc>
        <w:tc>
          <w:tcPr>
            <w:tcW w:w="860"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403E7C0A" w14:textId="0C59B736" w:rsidR="00025543" w:rsidRDefault="00025543">
            <w:pPr>
              <w:spacing w:line="240" w:lineRule="auto"/>
              <w:jc w:val="center"/>
              <w:rPr>
                <w:rFonts w:eastAsia="Times New Roman"/>
                <w:noProof/>
                <w:color w:val="006100"/>
                <w:sz w:val="18"/>
              </w:rPr>
            </w:pPr>
          </w:p>
        </w:tc>
        <w:tc>
          <w:tcPr>
            <w:tcW w:w="851"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579A83A3" w14:textId="5AD92C10" w:rsidR="00025543" w:rsidRDefault="00025543">
            <w:pPr>
              <w:spacing w:line="240" w:lineRule="auto"/>
              <w:jc w:val="center"/>
              <w:rPr>
                <w:rFonts w:eastAsia="Times New Roman"/>
                <w:noProof/>
                <w:color w:val="006100"/>
                <w:sz w:val="18"/>
              </w:rPr>
            </w:pPr>
          </w:p>
        </w:tc>
        <w:tc>
          <w:tcPr>
            <w:tcW w:w="1134"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143A0349" w14:textId="19CF4ECF" w:rsidR="00025543" w:rsidRDefault="00025543">
            <w:pPr>
              <w:spacing w:line="240" w:lineRule="auto"/>
              <w:jc w:val="center"/>
              <w:rPr>
                <w:rFonts w:eastAsia="Times New Roman"/>
                <w:noProof/>
                <w:color w:val="006100"/>
                <w:sz w:val="18"/>
              </w:rPr>
            </w:pPr>
          </w:p>
        </w:tc>
        <w:tc>
          <w:tcPr>
            <w:tcW w:w="840"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6D1303C3" w14:textId="5CA76F14" w:rsidR="00025543" w:rsidRDefault="007E3A2F">
            <w:pPr>
              <w:pStyle w:val="P68B1DB1-Normal11"/>
              <w:spacing w:line="240" w:lineRule="auto"/>
              <w:jc w:val="center"/>
              <w:rPr>
                <w:noProof/>
              </w:rPr>
            </w:pPr>
            <w:r>
              <w:rPr>
                <w:noProof/>
              </w:rPr>
              <w:t>TRIMESTRE 2</w:t>
            </w:r>
          </w:p>
        </w:tc>
        <w:tc>
          <w:tcPr>
            <w:tcW w:w="704"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5EA10DDD" w14:textId="3D91650B" w:rsidR="00025543" w:rsidRDefault="007E3A2F">
            <w:pPr>
              <w:pStyle w:val="P68B1DB1-Normal11"/>
              <w:spacing w:line="240" w:lineRule="auto"/>
              <w:jc w:val="center"/>
              <w:rPr>
                <w:noProof/>
              </w:rPr>
            </w:pPr>
            <w:r>
              <w:rPr>
                <w:noProof/>
              </w:rPr>
              <w:t>2024</w:t>
            </w:r>
          </w:p>
        </w:tc>
        <w:tc>
          <w:tcPr>
            <w:tcW w:w="4738"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1F44B49D" w14:textId="77777777" w:rsidR="00025543" w:rsidRDefault="007E3A2F">
            <w:pPr>
              <w:pStyle w:val="P68B1DB1-Normal11"/>
              <w:spacing w:after="0" w:line="257" w:lineRule="auto"/>
              <w:rPr>
                <w:noProof/>
              </w:rPr>
            </w:pPr>
            <w:r>
              <w:rPr>
                <w:noProof/>
              </w:rPr>
              <w:t>Les groupes de travail suivants sont créés au sein du Conseil gouvernemental pour la société de l’information:</w:t>
            </w:r>
          </w:p>
          <w:p w14:paraId="75870FAA" w14:textId="77777777" w:rsidR="00025543" w:rsidRDefault="007E3A2F">
            <w:pPr>
              <w:pStyle w:val="P68B1DB1-ListParagraph31"/>
              <w:numPr>
                <w:ilvl w:val="0"/>
                <w:numId w:val="269"/>
              </w:numPr>
              <w:spacing w:before="0" w:after="0" w:line="257" w:lineRule="auto"/>
              <w:rPr>
                <w:noProof/>
              </w:rPr>
            </w:pPr>
            <w:r>
              <w:rPr>
                <w:noProof/>
              </w:rPr>
              <w:t>Groupe de travail sur l’informatique en nuage</w:t>
            </w:r>
          </w:p>
          <w:p w14:paraId="7BF35373" w14:textId="747988EE" w:rsidR="00025543" w:rsidRDefault="007E3A2F">
            <w:pPr>
              <w:pStyle w:val="P68B1DB1-ListParagraph31"/>
              <w:numPr>
                <w:ilvl w:val="0"/>
                <w:numId w:val="269"/>
              </w:numPr>
              <w:spacing w:before="0" w:after="0" w:line="257" w:lineRule="auto"/>
              <w:rPr>
                <w:noProof/>
              </w:rPr>
            </w:pPr>
            <w:r>
              <w:rPr>
                <w:noProof/>
              </w:rPr>
              <w:t>Groupe de travail «Marchés publics»</w:t>
            </w:r>
          </w:p>
        </w:tc>
      </w:tr>
      <w:tr w:rsidR="00025543" w14:paraId="5E36F12A" w14:textId="77777777">
        <w:trPr>
          <w:trHeight w:val="1845"/>
        </w:trPr>
        <w:tc>
          <w:tcPr>
            <w:tcW w:w="653"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258F6DD7" w14:textId="18C249AC" w:rsidR="00025543" w:rsidRDefault="007E3A2F">
            <w:pPr>
              <w:pStyle w:val="P68B1DB1-Normal11"/>
              <w:spacing w:line="240" w:lineRule="auto"/>
              <w:jc w:val="center"/>
              <w:rPr>
                <w:noProof/>
              </w:rPr>
            </w:pPr>
            <w:r>
              <w:rPr>
                <w:noProof/>
              </w:rPr>
              <w:t>257</w:t>
            </w:r>
          </w:p>
        </w:tc>
        <w:tc>
          <w:tcPr>
            <w:tcW w:w="1394"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0A75A674" w14:textId="1D6918B4" w:rsidR="00025543" w:rsidRDefault="007E3A2F">
            <w:pPr>
              <w:pStyle w:val="P68B1DB1-Normal11"/>
              <w:spacing w:line="240" w:lineRule="auto"/>
              <w:rPr>
                <w:noProof/>
              </w:rPr>
            </w:pPr>
            <w:r>
              <w:rPr>
                <w:noProof/>
              </w:rPr>
              <w:t>Investissement 1: Unification des domaines et création d’une plateforme d’apprentissage</w:t>
            </w:r>
          </w:p>
        </w:tc>
        <w:tc>
          <w:tcPr>
            <w:tcW w:w="1077"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5E7F5F58" w14:textId="77777777" w:rsidR="00025543" w:rsidRDefault="007E3A2F">
            <w:pPr>
              <w:pStyle w:val="P68B1DB1-Normal11"/>
              <w:spacing w:line="240" w:lineRule="auto"/>
              <w:jc w:val="center"/>
              <w:rPr>
                <w:noProof/>
              </w:rPr>
            </w:pPr>
            <w:r>
              <w:rPr>
                <w:noProof/>
              </w:rPr>
              <w:t>Étapes</w:t>
            </w:r>
          </w:p>
        </w:tc>
        <w:tc>
          <w:tcPr>
            <w:tcW w:w="1286"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57799D71" w14:textId="77777777" w:rsidR="00025543" w:rsidRDefault="007E3A2F">
            <w:pPr>
              <w:pStyle w:val="P68B1DB1-Normal11"/>
              <w:spacing w:line="240" w:lineRule="auto"/>
              <w:rPr>
                <w:noProof/>
              </w:rPr>
            </w:pPr>
            <w:r>
              <w:rPr>
                <w:noProof/>
              </w:rPr>
              <w:t>Mise à jour du système de conception</w:t>
            </w:r>
          </w:p>
        </w:tc>
        <w:tc>
          <w:tcPr>
            <w:tcW w:w="1679"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6F99D628" w14:textId="519CD118" w:rsidR="00025543" w:rsidRDefault="007E3A2F">
            <w:pPr>
              <w:pStyle w:val="P68B1DB1-Normal11"/>
              <w:spacing w:line="240" w:lineRule="auto"/>
              <w:rPr>
                <w:noProof/>
              </w:rPr>
            </w:pPr>
            <w:r>
              <w:rPr>
                <w:noProof/>
              </w:rPr>
              <w:t>Actions menées</w:t>
            </w:r>
          </w:p>
        </w:tc>
        <w:tc>
          <w:tcPr>
            <w:tcW w:w="860"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7BB9C220" w14:textId="77777777" w:rsidR="00025543" w:rsidRDefault="00025543">
            <w:pPr>
              <w:spacing w:line="240" w:lineRule="auto"/>
              <w:jc w:val="center"/>
              <w:rPr>
                <w:rFonts w:eastAsia="Times New Roman"/>
                <w:noProof/>
                <w:color w:val="006100"/>
                <w:sz w:val="18"/>
              </w:rPr>
            </w:pPr>
          </w:p>
        </w:tc>
        <w:tc>
          <w:tcPr>
            <w:tcW w:w="851"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205940BC" w14:textId="77777777" w:rsidR="00025543" w:rsidRDefault="00025543">
            <w:pPr>
              <w:spacing w:line="240" w:lineRule="auto"/>
              <w:jc w:val="center"/>
              <w:rPr>
                <w:rFonts w:eastAsia="Times New Roman"/>
                <w:noProof/>
                <w:color w:val="006100"/>
                <w:sz w:val="18"/>
              </w:rPr>
            </w:pPr>
          </w:p>
        </w:tc>
        <w:tc>
          <w:tcPr>
            <w:tcW w:w="1134"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1B15308F" w14:textId="77777777" w:rsidR="00025543" w:rsidRDefault="00025543">
            <w:pPr>
              <w:spacing w:line="240" w:lineRule="auto"/>
              <w:jc w:val="center"/>
              <w:rPr>
                <w:rFonts w:eastAsia="Times New Roman"/>
                <w:noProof/>
                <w:color w:val="006100"/>
                <w:sz w:val="18"/>
              </w:rPr>
            </w:pPr>
          </w:p>
        </w:tc>
        <w:tc>
          <w:tcPr>
            <w:tcW w:w="840"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16F4A3A3" w14:textId="77777777" w:rsidR="00025543" w:rsidRDefault="007E3A2F">
            <w:pPr>
              <w:pStyle w:val="P68B1DB1-Normal11"/>
              <w:spacing w:line="240" w:lineRule="auto"/>
              <w:jc w:val="center"/>
              <w:rPr>
                <w:noProof/>
              </w:rPr>
            </w:pPr>
            <w:r>
              <w:rPr>
                <w:noProof/>
              </w:rPr>
              <w:t>TRIMESTRE 2</w:t>
            </w:r>
          </w:p>
        </w:tc>
        <w:tc>
          <w:tcPr>
            <w:tcW w:w="704"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423654D8" w14:textId="77777777" w:rsidR="00025543" w:rsidRDefault="007E3A2F">
            <w:pPr>
              <w:pStyle w:val="P68B1DB1-Normal11"/>
              <w:spacing w:line="240" w:lineRule="auto"/>
              <w:jc w:val="center"/>
              <w:rPr>
                <w:noProof/>
              </w:rPr>
            </w:pPr>
            <w:r>
              <w:rPr>
                <w:noProof/>
              </w:rPr>
              <w:t>2026</w:t>
            </w:r>
          </w:p>
        </w:tc>
        <w:tc>
          <w:tcPr>
            <w:tcW w:w="4738"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3DA77F70" w14:textId="77777777" w:rsidR="00025543" w:rsidRDefault="007E3A2F">
            <w:pPr>
              <w:pStyle w:val="P68B1DB1-Normal11"/>
              <w:spacing w:after="0"/>
              <w:rPr>
                <w:noProof/>
              </w:rPr>
            </w:pPr>
            <w:r>
              <w:rPr>
                <w:noProof/>
              </w:rPr>
              <w:t xml:space="preserve">Les actions suivantes sont mises en œuvre: </w:t>
            </w:r>
          </w:p>
          <w:p w14:paraId="5DD0CD2B" w14:textId="77777777" w:rsidR="00025543" w:rsidRDefault="007E3A2F">
            <w:pPr>
              <w:pStyle w:val="P68B1DB1-ListParagraph31"/>
              <w:numPr>
                <w:ilvl w:val="0"/>
                <w:numId w:val="268"/>
              </w:numPr>
              <w:spacing w:after="0"/>
              <w:rPr>
                <w:noProof/>
              </w:rPr>
            </w:pPr>
            <w:r>
              <w:rPr>
                <w:noProof/>
              </w:rPr>
              <w:t xml:space="preserve">Tous les sites web des autorités gouvernementales centrales se trouvent dans le domaine *.gov.cz. </w:t>
            </w:r>
          </w:p>
          <w:p w14:paraId="2B72B6E4" w14:textId="77777777" w:rsidR="00025543" w:rsidRDefault="007E3A2F">
            <w:pPr>
              <w:pStyle w:val="P68B1DB1-ListParagraph31"/>
              <w:numPr>
                <w:ilvl w:val="0"/>
                <w:numId w:val="268"/>
              </w:numPr>
              <w:spacing w:after="0"/>
              <w:rPr>
                <w:noProof/>
              </w:rPr>
            </w:pPr>
            <w:r>
              <w:rPr>
                <w:noProof/>
              </w:rPr>
              <w:t>Tous les courriers électroniques des autorités gouvernementales centrales sont migrés vers le domaine *.gov.cz.</w:t>
            </w:r>
          </w:p>
          <w:p w14:paraId="76BA2554" w14:textId="15B71379" w:rsidR="00025543" w:rsidRDefault="007E3A2F">
            <w:pPr>
              <w:pStyle w:val="P68B1DB1-ListParagraph31"/>
              <w:numPr>
                <w:ilvl w:val="0"/>
                <w:numId w:val="268"/>
              </w:numPr>
              <w:spacing w:after="0"/>
              <w:rPr>
                <w:noProof/>
              </w:rPr>
            </w:pPr>
            <w:r>
              <w:rPr>
                <w:noProof/>
              </w:rPr>
              <w:t>Au moins 3 tutoriels sur la communication numérique entre les citoyens et le gouvernement sont créés et disponibles en ligne.</w:t>
            </w:r>
          </w:p>
        </w:tc>
      </w:tr>
      <w:tr w:rsidR="00025543" w14:paraId="2A80B961" w14:textId="77777777">
        <w:trPr>
          <w:trHeight w:val="1845"/>
        </w:trPr>
        <w:tc>
          <w:tcPr>
            <w:tcW w:w="653"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7CCEB697" w14:textId="122682AA" w:rsidR="00025543" w:rsidRDefault="007E3A2F">
            <w:pPr>
              <w:pStyle w:val="P68B1DB1-Normal11"/>
              <w:spacing w:line="240" w:lineRule="auto"/>
              <w:jc w:val="center"/>
              <w:rPr>
                <w:noProof/>
              </w:rPr>
            </w:pPr>
            <w:r>
              <w:rPr>
                <w:noProof/>
              </w:rPr>
              <w:t>258</w:t>
            </w:r>
          </w:p>
        </w:tc>
        <w:tc>
          <w:tcPr>
            <w:tcW w:w="1394"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213FB2FF" w14:textId="2F8DC3E8" w:rsidR="00025543" w:rsidRDefault="007E3A2F">
            <w:pPr>
              <w:pStyle w:val="P68B1DB1-Normal11"/>
              <w:spacing w:line="240" w:lineRule="auto"/>
              <w:rPr>
                <w:noProof/>
              </w:rPr>
            </w:pPr>
            <w:r>
              <w:rPr>
                <w:noProof/>
              </w:rPr>
              <w:t>Investissement 2: Amélioration du système de gestion des services numérisés</w:t>
            </w:r>
          </w:p>
        </w:tc>
        <w:tc>
          <w:tcPr>
            <w:tcW w:w="1077"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23C2A918" w14:textId="77777777" w:rsidR="00025543" w:rsidRDefault="007E3A2F">
            <w:pPr>
              <w:pStyle w:val="P68B1DB1-Normal11"/>
              <w:spacing w:line="240" w:lineRule="auto"/>
              <w:jc w:val="center"/>
              <w:rPr>
                <w:noProof/>
              </w:rPr>
            </w:pPr>
            <w:r>
              <w:rPr>
                <w:noProof/>
              </w:rPr>
              <w:t>Étapes</w:t>
            </w:r>
          </w:p>
        </w:tc>
        <w:tc>
          <w:tcPr>
            <w:tcW w:w="1286"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7DDDC9FE" w14:textId="42E735E4" w:rsidR="00025543" w:rsidRDefault="007E3A2F">
            <w:pPr>
              <w:pStyle w:val="P68B1DB1-Normal11"/>
              <w:tabs>
                <w:tab w:val="left" w:pos="479"/>
              </w:tabs>
              <w:spacing w:line="257" w:lineRule="auto"/>
              <w:jc w:val="both"/>
              <w:rPr>
                <w:noProof/>
              </w:rPr>
            </w:pPr>
            <w:r>
              <w:rPr>
                <w:noProof/>
              </w:rPr>
              <w:t>Mise à jour de la gouvernance des TIC dans l’administration publique</w:t>
            </w:r>
          </w:p>
        </w:tc>
        <w:tc>
          <w:tcPr>
            <w:tcW w:w="1679"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409B1208" w14:textId="7B8416D0" w:rsidR="00025543" w:rsidRDefault="007E3A2F">
            <w:pPr>
              <w:pStyle w:val="P68B1DB1-Normal11"/>
              <w:spacing w:line="240" w:lineRule="auto"/>
              <w:rPr>
                <w:noProof/>
              </w:rPr>
            </w:pPr>
            <w:r>
              <w:rPr>
                <w:noProof/>
              </w:rPr>
              <w:t>Actions menées</w:t>
            </w:r>
          </w:p>
        </w:tc>
        <w:tc>
          <w:tcPr>
            <w:tcW w:w="860"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180F8105" w14:textId="77777777" w:rsidR="00025543" w:rsidRDefault="00025543">
            <w:pPr>
              <w:spacing w:line="240" w:lineRule="auto"/>
              <w:jc w:val="center"/>
              <w:rPr>
                <w:rFonts w:eastAsia="Times New Roman"/>
                <w:noProof/>
                <w:color w:val="006100"/>
                <w:sz w:val="18"/>
              </w:rPr>
            </w:pPr>
          </w:p>
        </w:tc>
        <w:tc>
          <w:tcPr>
            <w:tcW w:w="851"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25D55491" w14:textId="77777777" w:rsidR="00025543" w:rsidRDefault="00025543">
            <w:pPr>
              <w:spacing w:line="240" w:lineRule="auto"/>
              <w:jc w:val="center"/>
              <w:rPr>
                <w:rFonts w:eastAsia="Times New Roman"/>
                <w:noProof/>
                <w:color w:val="006100"/>
                <w:sz w:val="18"/>
              </w:rPr>
            </w:pPr>
          </w:p>
        </w:tc>
        <w:tc>
          <w:tcPr>
            <w:tcW w:w="1134"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0B5A26B5" w14:textId="77777777" w:rsidR="00025543" w:rsidRDefault="00025543">
            <w:pPr>
              <w:spacing w:line="240" w:lineRule="auto"/>
              <w:jc w:val="center"/>
              <w:rPr>
                <w:rFonts w:eastAsia="Times New Roman"/>
                <w:noProof/>
                <w:color w:val="006100"/>
                <w:sz w:val="18"/>
              </w:rPr>
            </w:pPr>
          </w:p>
          <w:p w14:paraId="33C38576" w14:textId="77777777" w:rsidR="00025543" w:rsidRDefault="00025543">
            <w:pPr>
              <w:rPr>
                <w:rFonts w:eastAsia="Times New Roman"/>
                <w:noProof/>
                <w:sz w:val="18"/>
              </w:rPr>
            </w:pPr>
          </w:p>
          <w:p w14:paraId="32FC0AC4" w14:textId="77777777" w:rsidR="00025543" w:rsidRDefault="00025543">
            <w:pPr>
              <w:rPr>
                <w:rFonts w:eastAsia="Times New Roman"/>
                <w:noProof/>
                <w:sz w:val="18"/>
              </w:rPr>
            </w:pPr>
          </w:p>
          <w:p w14:paraId="5023BB07" w14:textId="77777777" w:rsidR="00025543" w:rsidRDefault="00025543">
            <w:pPr>
              <w:rPr>
                <w:rFonts w:eastAsia="Times New Roman"/>
                <w:noProof/>
                <w:color w:val="006100"/>
                <w:sz w:val="18"/>
              </w:rPr>
            </w:pPr>
          </w:p>
          <w:p w14:paraId="53404D10" w14:textId="77777777" w:rsidR="00025543" w:rsidRDefault="00025543">
            <w:pPr>
              <w:rPr>
                <w:rFonts w:eastAsia="Times New Roman"/>
                <w:noProof/>
                <w:color w:val="006100"/>
                <w:sz w:val="18"/>
              </w:rPr>
            </w:pPr>
          </w:p>
          <w:p w14:paraId="0419F78D" w14:textId="05CAE1AD" w:rsidR="00025543" w:rsidRDefault="00025543">
            <w:pPr>
              <w:rPr>
                <w:rFonts w:eastAsia="Times New Roman"/>
                <w:noProof/>
                <w:sz w:val="18"/>
              </w:rPr>
            </w:pPr>
          </w:p>
        </w:tc>
        <w:tc>
          <w:tcPr>
            <w:tcW w:w="840"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733A8A87" w14:textId="77777777" w:rsidR="00025543" w:rsidRDefault="007E3A2F">
            <w:pPr>
              <w:pStyle w:val="P68B1DB1-Normal11"/>
              <w:spacing w:line="240" w:lineRule="auto"/>
              <w:jc w:val="center"/>
              <w:rPr>
                <w:noProof/>
              </w:rPr>
            </w:pPr>
            <w:r>
              <w:rPr>
                <w:noProof/>
              </w:rPr>
              <w:t>TRIMESTRE 2</w:t>
            </w:r>
          </w:p>
        </w:tc>
        <w:tc>
          <w:tcPr>
            <w:tcW w:w="704"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27E140A0" w14:textId="77777777" w:rsidR="00025543" w:rsidRDefault="007E3A2F">
            <w:pPr>
              <w:pStyle w:val="P68B1DB1-Normal11"/>
              <w:spacing w:line="240" w:lineRule="auto"/>
              <w:jc w:val="center"/>
              <w:rPr>
                <w:noProof/>
              </w:rPr>
            </w:pPr>
            <w:r>
              <w:rPr>
                <w:noProof/>
              </w:rPr>
              <w:t>2026</w:t>
            </w:r>
          </w:p>
        </w:tc>
        <w:tc>
          <w:tcPr>
            <w:tcW w:w="4738"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583656F0" w14:textId="77777777" w:rsidR="00025543" w:rsidRDefault="007E3A2F">
            <w:pPr>
              <w:pStyle w:val="P68B1DB1-Normal11"/>
              <w:spacing w:after="0"/>
              <w:contextualSpacing/>
              <w:rPr>
                <w:noProof/>
              </w:rPr>
            </w:pPr>
            <w:r>
              <w:rPr>
                <w:noProof/>
              </w:rPr>
              <w:t>Les actions suivantes sont mises en œuvre:</w:t>
            </w:r>
          </w:p>
          <w:p w14:paraId="2F15CD46" w14:textId="77777777" w:rsidR="00025543" w:rsidRDefault="007E3A2F">
            <w:pPr>
              <w:pStyle w:val="P68B1DB1-ListParagraph31"/>
              <w:numPr>
                <w:ilvl w:val="0"/>
                <w:numId w:val="267"/>
              </w:numPr>
              <w:spacing w:after="0"/>
              <w:rPr>
                <w:noProof/>
              </w:rPr>
            </w:pPr>
            <w:r>
              <w:rPr>
                <w:noProof/>
              </w:rPr>
              <w:t>Deux systèmes d’information sont opérationnels. Il s’agit i) de la plateforme de communication, de coordination et de hiérarchisation des priorités; et ii) un système de gestion à long terme des TIC.</w:t>
            </w:r>
          </w:p>
          <w:p w14:paraId="7FC10243" w14:textId="27317302" w:rsidR="00025543" w:rsidRDefault="007E3A2F">
            <w:pPr>
              <w:pStyle w:val="P68B1DB1-ListParagraph31"/>
              <w:numPr>
                <w:ilvl w:val="0"/>
                <w:numId w:val="267"/>
              </w:numPr>
              <w:spacing w:after="0"/>
              <w:rPr>
                <w:noProof/>
              </w:rPr>
            </w:pPr>
            <w:r>
              <w:rPr>
                <w:noProof/>
              </w:rPr>
              <w:t>Un rapport sur les activités, y compris les méthodologies, les documents analytiques, les plans d’action, les consultations et les supervisions soutenues par cette mesure, est disponible en ligne. Le rapport recense les cas d’optimisation des processus et inclut au moins les enseignements tirés, y compris les bonnes pratiques et les échecs importants.</w:t>
            </w:r>
          </w:p>
        </w:tc>
      </w:tr>
      <w:tr w:rsidR="00025543" w14:paraId="22611B32" w14:textId="77777777">
        <w:trPr>
          <w:trHeight w:val="1845"/>
        </w:trPr>
        <w:tc>
          <w:tcPr>
            <w:tcW w:w="653"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27548D97" w14:textId="0909B7E6" w:rsidR="00025543" w:rsidRDefault="007E3A2F">
            <w:pPr>
              <w:pStyle w:val="P68B1DB1-Normal11"/>
              <w:spacing w:line="240" w:lineRule="auto"/>
              <w:jc w:val="center"/>
              <w:rPr>
                <w:noProof/>
              </w:rPr>
            </w:pPr>
            <w:r>
              <w:rPr>
                <w:noProof/>
              </w:rPr>
              <w:t>259</w:t>
            </w:r>
          </w:p>
        </w:tc>
        <w:tc>
          <w:tcPr>
            <w:tcW w:w="1394"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37F0CFE3" w14:textId="3F27BC69" w:rsidR="00025543" w:rsidRDefault="007E3A2F">
            <w:pPr>
              <w:pStyle w:val="P68B1DB1-Normal11"/>
              <w:spacing w:line="240" w:lineRule="auto"/>
              <w:rPr>
                <w:noProof/>
              </w:rPr>
            </w:pPr>
            <w:r>
              <w:rPr>
                <w:noProof/>
              </w:rPr>
              <w:t>Investissement 3: Création d’un centre de contact pour l’administration publique</w:t>
            </w:r>
          </w:p>
        </w:tc>
        <w:tc>
          <w:tcPr>
            <w:tcW w:w="1077"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12219B3E" w14:textId="2822A782" w:rsidR="00025543" w:rsidRDefault="007E3A2F">
            <w:pPr>
              <w:pStyle w:val="P68B1DB1-Normal11"/>
              <w:spacing w:line="240" w:lineRule="auto"/>
              <w:jc w:val="center"/>
              <w:rPr>
                <w:noProof/>
              </w:rPr>
            </w:pPr>
            <w:r>
              <w:rPr>
                <w:noProof/>
              </w:rPr>
              <w:t>Étapes</w:t>
            </w:r>
          </w:p>
        </w:tc>
        <w:tc>
          <w:tcPr>
            <w:tcW w:w="1286"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2E4D4283" w14:textId="1F2B8C38" w:rsidR="00025543" w:rsidRDefault="007E3A2F">
            <w:pPr>
              <w:pStyle w:val="P68B1DB1-Normal11"/>
              <w:spacing w:line="257" w:lineRule="auto"/>
              <w:jc w:val="both"/>
              <w:rPr>
                <w:noProof/>
              </w:rPr>
            </w:pPr>
            <w:r>
              <w:rPr>
                <w:noProof/>
              </w:rPr>
              <w:t>Centre de contact de l’administration publique opérationnel</w:t>
            </w:r>
          </w:p>
        </w:tc>
        <w:tc>
          <w:tcPr>
            <w:tcW w:w="1679"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64FD5CC7" w14:textId="4A3FB85E" w:rsidR="00025543" w:rsidRDefault="007E3A2F">
            <w:pPr>
              <w:pStyle w:val="P68B1DB1-Normal11"/>
              <w:spacing w:line="240" w:lineRule="auto"/>
              <w:rPr>
                <w:noProof/>
              </w:rPr>
            </w:pPr>
            <w:r>
              <w:rPr>
                <w:noProof/>
              </w:rPr>
              <w:t>Centre de contact opérationnel et mis à la disposition des clients</w:t>
            </w:r>
          </w:p>
        </w:tc>
        <w:tc>
          <w:tcPr>
            <w:tcW w:w="860"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66DD192E" w14:textId="77777777" w:rsidR="00025543" w:rsidRDefault="00025543">
            <w:pPr>
              <w:spacing w:line="240" w:lineRule="auto"/>
              <w:jc w:val="center"/>
              <w:rPr>
                <w:rFonts w:eastAsia="Times New Roman"/>
                <w:noProof/>
                <w:color w:val="006100"/>
                <w:sz w:val="18"/>
              </w:rPr>
            </w:pPr>
          </w:p>
        </w:tc>
        <w:tc>
          <w:tcPr>
            <w:tcW w:w="851"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4B1BE036" w14:textId="77777777" w:rsidR="00025543" w:rsidRDefault="00025543">
            <w:pPr>
              <w:spacing w:line="240" w:lineRule="auto"/>
              <w:jc w:val="center"/>
              <w:rPr>
                <w:rFonts w:eastAsia="Times New Roman"/>
                <w:noProof/>
                <w:color w:val="006100"/>
                <w:sz w:val="18"/>
              </w:rPr>
            </w:pPr>
          </w:p>
        </w:tc>
        <w:tc>
          <w:tcPr>
            <w:tcW w:w="1134"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0775640B" w14:textId="77777777" w:rsidR="00025543" w:rsidRDefault="00025543">
            <w:pPr>
              <w:spacing w:line="240" w:lineRule="auto"/>
              <w:jc w:val="center"/>
              <w:rPr>
                <w:rFonts w:eastAsia="Times New Roman"/>
                <w:noProof/>
                <w:color w:val="006100"/>
                <w:sz w:val="18"/>
              </w:rPr>
            </w:pPr>
          </w:p>
        </w:tc>
        <w:tc>
          <w:tcPr>
            <w:tcW w:w="840"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3D8BA71A" w14:textId="77777777" w:rsidR="00025543" w:rsidRDefault="007E3A2F">
            <w:pPr>
              <w:pStyle w:val="P68B1DB1-Normal11"/>
              <w:spacing w:line="240" w:lineRule="auto"/>
              <w:jc w:val="center"/>
              <w:rPr>
                <w:noProof/>
              </w:rPr>
            </w:pPr>
            <w:r>
              <w:rPr>
                <w:noProof/>
              </w:rPr>
              <w:t>TRIMESTRE 2</w:t>
            </w:r>
          </w:p>
        </w:tc>
        <w:tc>
          <w:tcPr>
            <w:tcW w:w="704"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3196779F" w14:textId="77777777" w:rsidR="00025543" w:rsidRDefault="007E3A2F">
            <w:pPr>
              <w:pStyle w:val="P68B1DB1-Normal11"/>
              <w:spacing w:line="240" w:lineRule="auto"/>
              <w:jc w:val="center"/>
              <w:rPr>
                <w:noProof/>
              </w:rPr>
            </w:pPr>
            <w:r>
              <w:rPr>
                <w:noProof/>
              </w:rPr>
              <w:t>2026</w:t>
            </w:r>
          </w:p>
        </w:tc>
        <w:tc>
          <w:tcPr>
            <w:tcW w:w="4738"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63CCB2E3" w14:textId="77777777" w:rsidR="00025543" w:rsidRDefault="007E3A2F">
            <w:pPr>
              <w:pStyle w:val="P68B1DB1-Normal28"/>
              <w:spacing w:line="240" w:lineRule="auto"/>
              <w:rPr>
                <w:noProof/>
              </w:rPr>
            </w:pPr>
            <w:r>
              <w:rPr>
                <w:noProof/>
              </w:rPr>
              <w:t>Le centre de contact de l’administration publique fournit des services au public. Il doit être pleinement opérationnel et être en mesure de fournir des informations, des conseils et un soutien en matière de soumission électronique de documents pour au moins 10 services gouvernementaux («programme»). Les clients doivent être en mesure de contacter le centre.</w:t>
            </w:r>
          </w:p>
          <w:p w14:paraId="37D285BB" w14:textId="3EF792CB" w:rsidR="00025543" w:rsidRDefault="007E3A2F">
            <w:pPr>
              <w:pStyle w:val="P68B1DB1-Normal28"/>
              <w:spacing w:line="240" w:lineRule="auto"/>
              <w:rPr>
                <w:noProof/>
              </w:rPr>
            </w:pPr>
            <w:r>
              <w:rPr>
                <w:noProof/>
              </w:rPr>
              <w:t>Une campagne de sensibilisation à la disponibilité du centre de contact et des tutoriels définis dans l’investissement 1 aura lieu.</w:t>
            </w:r>
          </w:p>
        </w:tc>
      </w:tr>
      <w:tr w:rsidR="00025543" w14:paraId="5CE91C41" w14:textId="77777777">
        <w:trPr>
          <w:trHeight w:val="1260"/>
        </w:trPr>
        <w:tc>
          <w:tcPr>
            <w:tcW w:w="653"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025D12DA" w14:textId="6CE25D24" w:rsidR="00025543" w:rsidRDefault="007E3A2F">
            <w:pPr>
              <w:pStyle w:val="P68B1DB1-Normal11"/>
              <w:spacing w:line="240" w:lineRule="auto"/>
              <w:jc w:val="center"/>
              <w:rPr>
                <w:noProof/>
              </w:rPr>
            </w:pPr>
            <w:r>
              <w:rPr>
                <w:noProof/>
              </w:rPr>
              <w:t>260</w:t>
            </w:r>
          </w:p>
        </w:tc>
        <w:tc>
          <w:tcPr>
            <w:tcW w:w="1394"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47A8E5D3" w14:textId="4C791891" w:rsidR="00025543" w:rsidRDefault="007E3A2F">
            <w:pPr>
              <w:pStyle w:val="P68B1DB1-Normal11"/>
              <w:spacing w:line="240" w:lineRule="auto"/>
              <w:rPr>
                <w:noProof/>
              </w:rPr>
            </w:pPr>
            <w:r>
              <w:rPr>
                <w:noProof/>
              </w:rPr>
              <w:t>Investissement 4: Création d’une infrastructure de données centrale</w:t>
            </w:r>
          </w:p>
        </w:tc>
        <w:tc>
          <w:tcPr>
            <w:tcW w:w="1077"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631A9714" w14:textId="4A1CB161" w:rsidR="00025543" w:rsidRDefault="007E3A2F">
            <w:pPr>
              <w:pStyle w:val="P68B1DB1-Normal11"/>
              <w:spacing w:line="240" w:lineRule="auto"/>
              <w:jc w:val="center"/>
              <w:rPr>
                <w:noProof/>
              </w:rPr>
            </w:pPr>
            <w:r>
              <w:rPr>
                <w:noProof/>
              </w:rPr>
              <w:t>Étapes</w:t>
            </w:r>
          </w:p>
        </w:tc>
        <w:tc>
          <w:tcPr>
            <w:tcW w:w="1286"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0E22B78E" w14:textId="77777777" w:rsidR="00025543" w:rsidRDefault="007E3A2F">
            <w:pPr>
              <w:pStyle w:val="P68B1DB1-Normal11"/>
              <w:spacing w:line="257" w:lineRule="auto"/>
              <w:rPr>
                <w:noProof/>
              </w:rPr>
            </w:pPr>
            <w:r>
              <w:rPr>
                <w:noProof/>
              </w:rPr>
              <w:t>Entrepôt de données central opérationnel</w:t>
            </w:r>
          </w:p>
        </w:tc>
        <w:tc>
          <w:tcPr>
            <w:tcW w:w="1679"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64E87B88" w14:textId="4F9C529C" w:rsidR="00025543" w:rsidRDefault="007E3A2F">
            <w:pPr>
              <w:pStyle w:val="P68B1DB1-Normal11"/>
              <w:spacing w:line="257" w:lineRule="auto"/>
              <w:rPr>
                <w:noProof/>
              </w:rPr>
            </w:pPr>
            <w:r>
              <w:rPr>
                <w:noProof/>
              </w:rPr>
              <w:t>Entrepôt central de données opérationnel et fourniture d’informations aux utilisateurs</w:t>
            </w:r>
          </w:p>
        </w:tc>
        <w:tc>
          <w:tcPr>
            <w:tcW w:w="860"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45D7EC0B" w14:textId="77777777" w:rsidR="00025543" w:rsidRDefault="00025543">
            <w:pPr>
              <w:spacing w:line="240" w:lineRule="auto"/>
              <w:jc w:val="center"/>
              <w:rPr>
                <w:rFonts w:eastAsia="Times New Roman"/>
                <w:noProof/>
                <w:color w:val="006100"/>
                <w:sz w:val="18"/>
              </w:rPr>
            </w:pPr>
          </w:p>
        </w:tc>
        <w:tc>
          <w:tcPr>
            <w:tcW w:w="851"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07874175" w14:textId="77777777" w:rsidR="00025543" w:rsidRDefault="00025543">
            <w:pPr>
              <w:spacing w:line="240" w:lineRule="auto"/>
              <w:jc w:val="center"/>
              <w:rPr>
                <w:rFonts w:eastAsia="Times New Roman"/>
                <w:noProof/>
                <w:color w:val="006100"/>
                <w:sz w:val="18"/>
              </w:rPr>
            </w:pPr>
          </w:p>
        </w:tc>
        <w:tc>
          <w:tcPr>
            <w:tcW w:w="1134"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6AE6E8B6" w14:textId="77777777" w:rsidR="00025543" w:rsidRDefault="00025543">
            <w:pPr>
              <w:spacing w:line="240" w:lineRule="auto"/>
              <w:jc w:val="center"/>
              <w:rPr>
                <w:rFonts w:eastAsia="Times New Roman"/>
                <w:noProof/>
                <w:color w:val="006100"/>
                <w:sz w:val="18"/>
              </w:rPr>
            </w:pPr>
          </w:p>
        </w:tc>
        <w:tc>
          <w:tcPr>
            <w:tcW w:w="840"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377A8BB3" w14:textId="77777777" w:rsidR="00025543" w:rsidRDefault="007E3A2F">
            <w:pPr>
              <w:pStyle w:val="P68B1DB1-Normal11"/>
              <w:spacing w:line="240" w:lineRule="auto"/>
              <w:jc w:val="center"/>
              <w:rPr>
                <w:noProof/>
              </w:rPr>
            </w:pPr>
            <w:r>
              <w:rPr>
                <w:noProof/>
              </w:rPr>
              <w:t>TRIMESTRE 2</w:t>
            </w:r>
          </w:p>
        </w:tc>
        <w:tc>
          <w:tcPr>
            <w:tcW w:w="704"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734E15FC" w14:textId="77777777" w:rsidR="00025543" w:rsidRDefault="007E3A2F">
            <w:pPr>
              <w:pStyle w:val="P68B1DB1-Normal11"/>
              <w:spacing w:line="240" w:lineRule="auto"/>
              <w:jc w:val="center"/>
              <w:rPr>
                <w:noProof/>
              </w:rPr>
            </w:pPr>
            <w:r>
              <w:rPr>
                <w:noProof/>
              </w:rPr>
              <w:t>2026</w:t>
            </w:r>
          </w:p>
        </w:tc>
        <w:tc>
          <w:tcPr>
            <w:tcW w:w="4738"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15AE5B16" w14:textId="503FC6DE" w:rsidR="00025543" w:rsidRDefault="007E3A2F">
            <w:pPr>
              <w:pStyle w:val="P68B1DB1-Normal28"/>
              <w:spacing w:line="240" w:lineRule="auto"/>
              <w:rPr>
                <w:noProof/>
              </w:rPr>
            </w:pPr>
            <w:r>
              <w:rPr>
                <w:noProof/>
              </w:rPr>
              <w:t>L’entrepôt central de données est opérationnel. Il collecte et traite des données sur le fonctionnement d’au moins 10 systèmes informatiques gouvernementaux et sur les performances d’au moins 25 services publics («programme»). Les données sur la performance des services publics sont disponibles sous la forme de données ouvertes.</w:t>
            </w:r>
          </w:p>
        </w:tc>
      </w:tr>
    </w:tbl>
    <w:p w14:paraId="6C87E10B" w14:textId="77777777" w:rsidR="00025543" w:rsidRDefault="00025543">
      <w:pPr>
        <w:keepNext/>
        <w:spacing w:before="360" w:line="240" w:lineRule="auto"/>
        <w:jc w:val="both"/>
        <w:rPr>
          <w:b/>
          <w:noProof/>
          <w:color w:val="000000"/>
          <w:u w:val="single"/>
        </w:rPr>
      </w:pPr>
    </w:p>
    <w:p w14:paraId="6D1920C6" w14:textId="77777777" w:rsidR="00025543" w:rsidRDefault="00025543">
      <w:pPr>
        <w:keepNext/>
        <w:spacing w:before="360" w:line="240" w:lineRule="auto"/>
        <w:jc w:val="both"/>
        <w:rPr>
          <w:b/>
          <w:noProof/>
          <w:color w:val="000000"/>
          <w:u w:val="single"/>
        </w:rPr>
      </w:pPr>
    </w:p>
    <w:p w14:paraId="263685EB" w14:textId="4F117DEF" w:rsidR="00025543" w:rsidRDefault="00025543">
      <w:pPr>
        <w:keepNext/>
        <w:spacing w:before="360" w:line="240" w:lineRule="auto"/>
        <w:jc w:val="both"/>
        <w:rPr>
          <w:b/>
          <w:smallCaps/>
          <w:noProof/>
        </w:rPr>
        <w:sectPr w:rsidR="00025543" w:rsidSect="00507AA7">
          <w:headerReference w:type="even" r:id="rId144"/>
          <w:headerReference w:type="default" r:id="rId145"/>
          <w:footerReference w:type="even" r:id="rId146"/>
          <w:footerReference w:type="default" r:id="rId147"/>
          <w:headerReference w:type="first" r:id="rId148"/>
          <w:footerReference w:type="first" r:id="rId149"/>
          <w:pgSz w:w="16839" w:h="11907" w:orient="landscape"/>
          <w:pgMar w:top="1134" w:right="1134" w:bottom="1134" w:left="1134" w:header="567" w:footer="567" w:gutter="0"/>
          <w:cols w:space="720"/>
          <w:docGrid w:linePitch="326"/>
        </w:sectPr>
      </w:pPr>
    </w:p>
    <w:p w14:paraId="684F317F" w14:textId="07E624A0" w:rsidR="00025543" w:rsidRDefault="007E3A2F">
      <w:pPr>
        <w:pStyle w:val="P68B1DB1-Normal2"/>
        <w:keepNext/>
        <w:tabs>
          <w:tab w:val="left" w:pos="850"/>
        </w:tabs>
        <w:spacing w:before="360" w:line="240" w:lineRule="auto"/>
        <w:jc w:val="both"/>
        <w:outlineLvl w:val="0"/>
        <w:rPr>
          <w:noProof/>
        </w:rPr>
      </w:pPr>
      <w:r>
        <w:rPr>
          <w:noProof/>
        </w:rPr>
        <w:t>H. ELÉMENT 2.1: Transports durables</w:t>
      </w:r>
    </w:p>
    <w:p w14:paraId="412AC4C8" w14:textId="77777777" w:rsidR="00025543" w:rsidRDefault="007E3A2F">
      <w:pPr>
        <w:spacing w:line="240" w:lineRule="auto"/>
        <w:jc w:val="both"/>
        <w:rPr>
          <w:noProof/>
        </w:rPr>
      </w:pPr>
      <w:r>
        <w:rPr>
          <w:noProof/>
        </w:rPr>
        <w:t xml:space="preserve">Ce volet </w:t>
      </w:r>
      <w:r>
        <w:rPr>
          <w:rFonts w:eastAsia="Times New Roman"/>
          <w:noProof/>
        </w:rPr>
        <w:t xml:space="preserve">du plan pour la reprise et la résilience de la République tchèque </w:t>
      </w:r>
      <w:r>
        <w:rPr>
          <w:noProof/>
        </w:rPr>
        <w:t>répond aux défis liés à la numérisation des transports, à l’électromobilité dans le transport ferroviaire, à l’augmentation de la part du transport ferroviaire dans le transport de marchandises et de passagers, au renforcement de l’importance de la mobilité active dans les villes, à l’amélioration de la sécurité routière et à la réduction de l’incidence du trafic sur l’environnement et la santé publique. Ce volet bénéficie de synergies avec le volet 2.4, qui traite de la question de la propulsion alternative dans le transport routier et le transport urbain par autobus.</w:t>
      </w:r>
    </w:p>
    <w:p w14:paraId="20CBF8DC" w14:textId="77777777" w:rsidR="00025543" w:rsidRDefault="007E3A2F">
      <w:pPr>
        <w:spacing w:line="240" w:lineRule="auto"/>
        <w:jc w:val="both"/>
        <w:rPr>
          <w:noProof/>
        </w:rPr>
      </w:pPr>
      <w:r>
        <w:rPr>
          <w:noProof/>
        </w:rPr>
        <w:t xml:space="preserve">Le volet soutient la mise en œuvre de la recommandation par pays no 3 2019, selon laquelle la Tchéquie concentre la politique économique liée aux investissements sur les transports, notamment sur sa durabilité, ses infrastructures numériques et la transition énergétique à faible intensité de carbone, y compris l’efficacité énergétique, en tenant compte des disparités régionales ( </w:t>
      </w:r>
      <w:r>
        <w:rPr>
          <w:rFonts w:eastAsia="Times New Roman"/>
          <w:noProof/>
        </w:rPr>
        <w:t>recommandations par pays 3 et 2019)</w:t>
      </w:r>
      <w:r>
        <w:rPr>
          <w:noProof/>
        </w:rPr>
        <w:t xml:space="preserve">, et la recommandation spécifique par pays 3 2020, selon lesquelles la Tchéquie vise à investir dans la transition écologique et numérique, en particulier dans les infrastructures et technologies numériques à haute capacité, la production et l’utilisation propres et efficaces de l’énergie, et les infrastructures de transport durables, y compris dans les régions charbonnières (recommandation spécifique par pays no 3, 2020). </w:t>
      </w:r>
    </w:p>
    <w:p w14:paraId="4C16DF58" w14:textId="3363D4E2" w:rsidR="00025543" w:rsidRDefault="007E3A2F">
      <w:pPr>
        <w:spacing w:line="240" w:lineRule="auto"/>
        <w:jc w:val="both"/>
        <w:rPr>
          <w:noProof/>
        </w:rPr>
      </w:pPr>
      <w:r>
        <w:rPr>
          <w:noProof/>
        </w:rPr>
        <w:t>Aucune mesure relevant de ce volet ne</w:t>
      </w:r>
      <w:r>
        <w:rPr>
          <w:rFonts w:eastAsia="Times New Roman"/>
          <w:noProof/>
        </w:rPr>
        <w:t xml:space="preserve">devrait causer de préjudice important aux objectifs environnementaux au sens de l’article 17 du règlement (UE) 2020/852, compte tenu de la description des mesures et des mesures d’atténuation prévues dans le plan conformément aux orientations techniques DNSH (2021/C58/01). </w:t>
      </w:r>
      <w:r>
        <w:rPr>
          <w:noProof/>
        </w:rPr>
        <w:t>En particulier, au moins 70 % des déchets de construction et de démolition sont préparés en vue du réemploi ou du recyclage.</w:t>
      </w:r>
    </w:p>
    <w:p w14:paraId="17EABB45" w14:textId="77777777" w:rsidR="00025543" w:rsidRDefault="00025543">
      <w:pPr>
        <w:spacing w:line="240" w:lineRule="auto"/>
        <w:jc w:val="both"/>
        <w:rPr>
          <w:noProof/>
        </w:rPr>
      </w:pPr>
    </w:p>
    <w:p w14:paraId="2483217D" w14:textId="42668BE0" w:rsidR="00025543" w:rsidRDefault="007E3A2F">
      <w:pPr>
        <w:pStyle w:val="P68B1DB1-Normal5"/>
        <w:spacing w:line="240" w:lineRule="auto"/>
        <w:rPr>
          <w:noProof/>
        </w:rPr>
      </w:pPr>
      <w:r>
        <w:rPr>
          <w:noProof/>
        </w:rPr>
        <w:t>H.1. Description des réformes et des investissements en vue du soutien financier non remboursable</w:t>
      </w:r>
    </w:p>
    <w:p w14:paraId="55A88F2D" w14:textId="77777777" w:rsidR="00025543" w:rsidRDefault="007E3A2F">
      <w:pPr>
        <w:pStyle w:val="P68B1DB1-Normal7"/>
        <w:spacing w:line="240" w:lineRule="auto"/>
        <w:rPr>
          <w:noProof/>
        </w:rPr>
      </w:pPr>
      <w:r>
        <w:rPr>
          <w:noProof/>
        </w:rPr>
        <w:t>Réforme 1: Développement de solutions de substitution au transport routier à forte intensité énergétique et spatiale</w:t>
      </w:r>
    </w:p>
    <w:p w14:paraId="3E89983A" w14:textId="77777777" w:rsidR="00025543" w:rsidRDefault="007E3A2F">
      <w:pPr>
        <w:spacing w:line="240" w:lineRule="auto"/>
        <w:rPr>
          <w:noProof/>
        </w:rPr>
      </w:pPr>
      <w:r>
        <w:rPr>
          <w:noProof/>
        </w:rPr>
        <w:t>La mesure vise à promouvoir une utilisation accrue de modes de transport plus économes en énergie pour les flux de transport réguliers et lourds. Pour ce faire, il convient de prendre les mesures suivantes:</w:t>
      </w:r>
    </w:p>
    <w:p w14:paraId="3FA1AB9B" w14:textId="77777777" w:rsidR="00025543" w:rsidRDefault="007E3A2F">
      <w:pPr>
        <w:pStyle w:val="P68B1DB1-Normal13"/>
        <w:numPr>
          <w:ilvl w:val="0"/>
          <w:numId w:val="153"/>
        </w:numPr>
        <w:pBdr>
          <w:top w:val="nil"/>
          <w:left w:val="nil"/>
          <w:bottom w:val="nil"/>
          <w:right w:val="nil"/>
          <w:between w:val="nil"/>
        </w:pBdr>
        <w:spacing w:after="0" w:line="259" w:lineRule="auto"/>
        <w:ind w:left="360"/>
        <w:jc w:val="both"/>
        <w:rPr>
          <w:noProof/>
        </w:rPr>
      </w:pPr>
      <w:r>
        <w:rPr>
          <w:noProof/>
        </w:rPr>
        <w:t xml:space="preserve">Les villes de plus de 40 000 habitants mettent en œuvre le processus du plan de mobilité urbaine durable (PMUD). Tous les PMUD sont approuvés par les organes représentatifs de la ville au plus tard le 30 juin 2023. Lorsqu’un PMUD simplifié existe déjà, une nouvelle version est élaborée sur la base du concept de mobilité urbaine et active (UAMC) approuvé par le gouvernement. Il doit contenir toutes les parties requises par l’UAMC et se fonder sur les analyses requises par l’UAMC, telles que la modélisation du trafic et les enquêtes. </w:t>
      </w:r>
    </w:p>
    <w:p w14:paraId="38413E8A" w14:textId="77777777" w:rsidR="00025543" w:rsidRDefault="007E3A2F">
      <w:pPr>
        <w:pStyle w:val="P68B1DB1-Normal13"/>
        <w:numPr>
          <w:ilvl w:val="0"/>
          <w:numId w:val="153"/>
        </w:numPr>
        <w:pBdr>
          <w:top w:val="nil"/>
          <w:left w:val="nil"/>
          <w:bottom w:val="nil"/>
          <w:right w:val="nil"/>
          <w:between w:val="nil"/>
        </w:pBdr>
        <w:spacing w:after="0" w:line="259" w:lineRule="auto"/>
        <w:ind w:left="360"/>
        <w:jc w:val="both"/>
        <w:rPr>
          <w:noProof/>
        </w:rPr>
      </w:pPr>
      <w:r>
        <w:rPr>
          <w:noProof/>
        </w:rPr>
        <w:t xml:space="preserve">Le concept de transport de marchandises, qui fixera les conditions d’une augmentation de la part du transport ferroviaire de marchandises dans le volume total de transport, pour la période 2024-2030, est approuvé par une résolution du gouvernement de la République tchèque d’ici le 31 décembre 2023. Le concept est axé sur le soutien au transport multimodal, l’amélioration des services de transport de marchandises et la réduction de l’incidence du transport de marchandises sur l’environnement, la santé publique et le changement climatique mondial. </w:t>
      </w:r>
    </w:p>
    <w:p w14:paraId="3A08F6D2" w14:textId="4FEB41E2" w:rsidR="00025543" w:rsidRDefault="007E3A2F">
      <w:pPr>
        <w:pStyle w:val="P68B1DB1-Normal13"/>
        <w:numPr>
          <w:ilvl w:val="0"/>
          <w:numId w:val="153"/>
        </w:numPr>
        <w:pBdr>
          <w:top w:val="nil"/>
          <w:left w:val="nil"/>
          <w:bottom w:val="nil"/>
          <w:right w:val="nil"/>
          <w:between w:val="nil"/>
        </w:pBdr>
        <w:spacing w:after="160" w:line="259" w:lineRule="auto"/>
        <w:ind w:left="360"/>
        <w:jc w:val="both"/>
        <w:rPr>
          <w:noProof/>
        </w:rPr>
      </w:pPr>
      <w:r>
        <w:rPr>
          <w:noProof/>
        </w:rPr>
        <w:t>Tous les opérateurs de transports publics (État, régions et villes exploitant des transports publics) approuvent un plan quinquennal de services de transport au plus tard le 31 décembre 2023, sur la base du concept de transport public approuvé par le gouvernement.</w:t>
      </w:r>
    </w:p>
    <w:p w14:paraId="04F1A318" w14:textId="32B03EC0" w:rsidR="00025543" w:rsidRDefault="007E3A2F">
      <w:pPr>
        <w:pStyle w:val="P68B1DB1-Normal13"/>
        <w:numPr>
          <w:ilvl w:val="0"/>
          <w:numId w:val="153"/>
        </w:numPr>
        <w:spacing w:after="160" w:line="259" w:lineRule="auto"/>
        <w:ind w:left="360"/>
        <w:jc w:val="both"/>
        <w:rPr>
          <w:noProof/>
        </w:rPr>
      </w:pPr>
      <w:r>
        <w:rPr>
          <w:noProof/>
        </w:rPr>
        <w:t>L’incidence de la réforme sur la part modale des transports publics et la part modale du vélo est mesurée au plus tard le 31 décembre 2025.</w:t>
      </w:r>
    </w:p>
    <w:p w14:paraId="450A8A2A" w14:textId="667CEEB2" w:rsidR="00025543" w:rsidRDefault="007E3A2F">
      <w:pPr>
        <w:spacing w:line="240" w:lineRule="auto"/>
        <w:rPr>
          <w:rFonts w:ascii="Calibri" w:hAnsi="Calibri"/>
          <w:noProof/>
          <w:sz w:val="22"/>
        </w:rPr>
      </w:pPr>
      <w:r>
        <w:rPr>
          <w:b/>
          <w:noProof/>
        </w:rPr>
        <w:t>Investissement 1: Application des technologies modernes à l’infrastructure ferroviaire</w:t>
      </w:r>
      <w:r>
        <w:rPr>
          <w:noProof/>
        </w:rPr>
        <w:t xml:space="preserve"> </w:t>
      </w:r>
    </w:p>
    <w:p w14:paraId="40633ACF" w14:textId="77777777" w:rsidR="00025543" w:rsidRDefault="007E3A2F">
      <w:pPr>
        <w:spacing w:line="240" w:lineRule="auto"/>
        <w:jc w:val="both"/>
        <w:rPr>
          <w:noProof/>
        </w:rPr>
      </w:pPr>
      <w:r>
        <w:rPr>
          <w:noProof/>
        </w:rPr>
        <w:t>L’investissement contribue à la numérisation du transport ferroviaire afin d’améliorer la sécurité du trafic et la qualité des services fournis, d’optimiser la capacité de l’infrastructure ferroviaire et de garantir l’interopérabilité internationale. L’investissement 1 est réalisé au moyen des mesures suivantes:</w:t>
      </w:r>
    </w:p>
    <w:p w14:paraId="39D3F0F7" w14:textId="77777777" w:rsidR="00025543" w:rsidRDefault="007E3A2F">
      <w:pPr>
        <w:numPr>
          <w:ilvl w:val="0"/>
          <w:numId w:val="152"/>
        </w:numPr>
        <w:spacing w:after="0" w:line="259" w:lineRule="auto"/>
        <w:ind w:left="360"/>
        <w:jc w:val="both"/>
        <w:rPr>
          <w:rFonts w:eastAsia="Times New Roman"/>
          <w:noProof/>
        </w:rPr>
      </w:pPr>
      <w:r>
        <w:rPr>
          <w:noProof/>
        </w:rPr>
        <w:t>Définition d’un ensemble de projets de 41 km de lignes couvertes par le système mondial de communications mobiles — chemin de fer (GSM-R), 20 stations émettrices de base nouvellement installées ou plus fiables et mise en œuvre de nouvelles technologies et de nouveaux équipements pour la gestion du trafic ferroviaire d’ici au 30 juin 2022.</w:t>
      </w:r>
    </w:p>
    <w:p w14:paraId="12CFFE70" w14:textId="77777777" w:rsidR="00025543" w:rsidRDefault="007E3A2F">
      <w:pPr>
        <w:numPr>
          <w:ilvl w:val="0"/>
          <w:numId w:val="152"/>
        </w:numPr>
        <w:pBdr>
          <w:top w:val="nil"/>
          <w:left w:val="nil"/>
          <w:bottom w:val="nil"/>
          <w:right w:val="nil"/>
          <w:between w:val="nil"/>
        </w:pBdr>
        <w:spacing w:after="0" w:line="259" w:lineRule="auto"/>
        <w:ind w:left="360"/>
        <w:jc w:val="both"/>
        <w:rPr>
          <w:rFonts w:eastAsia="Times New Roman"/>
          <w:noProof/>
        </w:rPr>
      </w:pPr>
      <w:r>
        <w:rPr>
          <w:noProof/>
        </w:rPr>
        <w:t xml:space="preserve">Achèvement de deux projets de l’ensemble prédéfini de projets figurant à la puce ci-dessus au plus tard le 30 juin 2024. </w:t>
      </w:r>
    </w:p>
    <w:p w14:paraId="5060C5D6" w14:textId="77777777" w:rsidR="00025543" w:rsidRDefault="007E3A2F">
      <w:pPr>
        <w:numPr>
          <w:ilvl w:val="0"/>
          <w:numId w:val="152"/>
        </w:numPr>
        <w:pBdr>
          <w:top w:val="nil"/>
          <w:left w:val="nil"/>
          <w:bottom w:val="nil"/>
          <w:right w:val="nil"/>
          <w:between w:val="nil"/>
        </w:pBdr>
        <w:spacing w:after="0" w:line="259" w:lineRule="auto"/>
        <w:ind w:left="360"/>
        <w:jc w:val="both"/>
        <w:rPr>
          <w:rFonts w:ascii="Calibri" w:hAnsi="Calibri"/>
          <w:noProof/>
        </w:rPr>
      </w:pPr>
      <w:r>
        <w:rPr>
          <w:noProof/>
        </w:rPr>
        <w:t>Achèvement de six projets supplémentaires issus de l’ensemble prédéfini de projets figurant à la puce ci-dessus, ce qui permettra d’achever au total 41 km de lignes couvertes par le GSM-R, 20 BTS nouvellement installées ou plus fiables et la mise en œuvre de nouvelles technologies et équipements pour la gestion du trafic ferroviaire au plus tard le 31 décembre 2024.</w:t>
      </w:r>
    </w:p>
    <w:p w14:paraId="2B927098" w14:textId="77777777" w:rsidR="00025543" w:rsidRDefault="007E3A2F">
      <w:pPr>
        <w:pStyle w:val="P68B1DB1-Normal7"/>
        <w:spacing w:line="240" w:lineRule="auto"/>
        <w:jc w:val="both"/>
        <w:rPr>
          <w:noProof/>
        </w:rPr>
      </w:pPr>
      <w:r>
        <w:rPr>
          <w:noProof/>
        </w:rPr>
        <w:t xml:space="preserve">Investissement 2: Électrification des chemins de fer </w:t>
      </w:r>
    </w:p>
    <w:p w14:paraId="2BF6467F" w14:textId="460EEC84" w:rsidR="00025543" w:rsidRDefault="007E3A2F">
      <w:pPr>
        <w:spacing w:line="240" w:lineRule="auto"/>
        <w:jc w:val="both"/>
        <w:rPr>
          <w:noProof/>
        </w:rPr>
      </w:pPr>
      <w:r>
        <w:rPr>
          <w:noProof/>
        </w:rPr>
        <w:t>La mesure vise à accroître la part du transport à partir de combustibles non fossiles grâce à l’électrification des lignes et à la fourniture d’électricité de traction dans les sous-stations. L’investissement crée également les conditions propices aux économies d’énergie dans le système de transport. Pour ce faire, il convient de prendre les mesures suivantes:</w:t>
      </w:r>
    </w:p>
    <w:p w14:paraId="21FB305C" w14:textId="77777777" w:rsidR="00025543" w:rsidRDefault="007E3A2F">
      <w:pPr>
        <w:numPr>
          <w:ilvl w:val="0"/>
          <w:numId w:val="152"/>
        </w:numPr>
        <w:spacing w:after="0" w:line="259" w:lineRule="auto"/>
        <w:ind w:left="360"/>
        <w:jc w:val="both"/>
        <w:rPr>
          <w:rFonts w:eastAsia="Times New Roman"/>
          <w:noProof/>
          <w:sz w:val="22"/>
        </w:rPr>
      </w:pPr>
      <w:r>
        <w:rPr>
          <w:noProof/>
        </w:rPr>
        <w:t>Définition d’un ensemble de projets de 39,7 km de lignes électrifiées et de quatre stations d’alimentation de traction à puissance accrue ou nouvellement construites d’ici au 30 juin 2022.</w:t>
      </w:r>
    </w:p>
    <w:p w14:paraId="3C7AF211" w14:textId="77777777" w:rsidR="00025543" w:rsidRDefault="007E3A2F">
      <w:pPr>
        <w:numPr>
          <w:ilvl w:val="0"/>
          <w:numId w:val="152"/>
        </w:numPr>
        <w:pBdr>
          <w:top w:val="nil"/>
          <w:left w:val="nil"/>
          <w:bottom w:val="nil"/>
          <w:right w:val="nil"/>
          <w:between w:val="nil"/>
        </w:pBdr>
        <w:spacing w:after="0" w:line="259" w:lineRule="auto"/>
        <w:ind w:left="360"/>
        <w:jc w:val="both"/>
        <w:rPr>
          <w:rFonts w:eastAsia="Times New Roman"/>
          <w:noProof/>
        </w:rPr>
      </w:pPr>
      <w:r>
        <w:rPr>
          <w:noProof/>
        </w:rPr>
        <w:t>Achèvement de deux projets de l’ensemble prédéfini de projets figurant à la puce ci-dessus au plus tard le 30 juin 2023.</w:t>
      </w:r>
    </w:p>
    <w:p w14:paraId="6D2F6A84" w14:textId="595AD8BE" w:rsidR="00025543" w:rsidRDefault="007E3A2F">
      <w:pPr>
        <w:numPr>
          <w:ilvl w:val="0"/>
          <w:numId w:val="152"/>
        </w:numPr>
        <w:pBdr>
          <w:top w:val="nil"/>
          <w:left w:val="nil"/>
          <w:bottom w:val="nil"/>
          <w:right w:val="nil"/>
          <w:between w:val="nil"/>
        </w:pBdr>
        <w:spacing w:after="160" w:line="259" w:lineRule="auto"/>
        <w:ind w:left="360"/>
        <w:jc w:val="both"/>
        <w:rPr>
          <w:rFonts w:eastAsia="Times New Roman"/>
          <w:noProof/>
        </w:rPr>
      </w:pPr>
      <w:r>
        <w:rPr>
          <w:noProof/>
        </w:rPr>
        <w:t>Achèvement de six projets supplémentaires issus de l’ensemble prédéfini de projets figurant à la puce ci-dessus, ce qui permettra d’achever au total 39,7 km de lignes électrifiées et de quatre stations d’alimentation de traction avec une puissance accrue ou des stations nouvellement construites d’ici au 30 juin 2024.</w:t>
      </w:r>
    </w:p>
    <w:p w14:paraId="09D2E5EB" w14:textId="77777777" w:rsidR="00025543" w:rsidRDefault="007E3A2F">
      <w:pPr>
        <w:spacing w:line="240" w:lineRule="auto"/>
        <w:jc w:val="both"/>
        <w:rPr>
          <w:noProof/>
        </w:rPr>
      </w:pPr>
      <w:r>
        <w:rPr>
          <w:b/>
          <w:noProof/>
        </w:rPr>
        <w:t>Investissement 3: Soutien à l’infrastructure ferroviaire</w:t>
      </w:r>
      <w:r>
        <w:rPr>
          <w:noProof/>
        </w:rPr>
        <w:t xml:space="preserve"> </w:t>
      </w:r>
    </w:p>
    <w:p w14:paraId="7ACB2A14" w14:textId="3D5BCCBB" w:rsidR="00025543" w:rsidRDefault="007E3A2F">
      <w:pPr>
        <w:spacing w:line="240" w:lineRule="auto"/>
        <w:jc w:val="both"/>
        <w:rPr>
          <w:noProof/>
        </w:rPr>
      </w:pPr>
      <w:r>
        <w:rPr>
          <w:noProof/>
        </w:rPr>
        <w:t>La mesure vise à protéger l’environnement et le climat en contribuant à accroître la part du transport ferroviaire dans le transport de marchandises et de voyageurs et à améliorer l’efficacité énergétique des gares ferroviaires. Ces investissements sont axés sur des projets de développement des infrastructures ferroviaires, en tenant compte, entre autres, d’un accès adéquat aux services pour les personnes défavorisées et vulnérables. Les projets se concentrent sur les tronçons de réseau importants pour le transport suburbain et les projets visant à moderniser les nœuds ferroviaires et les bâtiments des gares dans les terminaux multimodaux de passagers. En outre, le chauffage des bâtiments des gares est soutenu. Pour ce faire, il convient de prendre les mesures suivantes:</w:t>
      </w:r>
    </w:p>
    <w:p w14:paraId="5F1A4CEE" w14:textId="77777777" w:rsidR="00025543" w:rsidRDefault="007E3A2F">
      <w:pPr>
        <w:numPr>
          <w:ilvl w:val="0"/>
          <w:numId w:val="152"/>
        </w:numPr>
        <w:pBdr>
          <w:top w:val="nil"/>
          <w:left w:val="nil"/>
          <w:bottom w:val="nil"/>
          <w:right w:val="nil"/>
          <w:between w:val="nil"/>
        </w:pBdr>
        <w:spacing w:after="0" w:line="259" w:lineRule="auto"/>
        <w:ind w:left="360"/>
        <w:jc w:val="both"/>
        <w:rPr>
          <w:noProof/>
        </w:rPr>
      </w:pPr>
      <w:r>
        <w:rPr>
          <w:noProof/>
        </w:rPr>
        <w:t>Définition d’un ensemble de projets de 121,88 km de lignes modernisées, de neuf gares ferroviaires modernisées avec des voies reconstruites et des plateformes accessibles sûres et sans barrières, et de plus de 35 bâtiments de gare à intensité énergétique réduite, afin de parvenir, en moyenne, à une réduction d’au moins 30 % des émissions directes et indirectes de gaz à effet de serre par rapport aux émissions ex ante, ainsi qu’à un confort accru et à de meilleurs services pour les voyageurs d’ici au 30 juin 2022.</w:t>
      </w:r>
    </w:p>
    <w:p w14:paraId="0F06367B" w14:textId="77777777" w:rsidR="00025543" w:rsidRDefault="007E3A2F">
      <w:pPr>
        <w:numPr>
          <w:ilvl w:val="0"/>
          <w:numId w:val="152"/>
        </w:numPr>
        <w:pBdr>
          <w:top w:val="nil"/>
          <w:left w:val="nil"/>
          <w:bottom w:val="nil"/>
          <w:right w:val="nil"/>
          <w:between w:val="nil"/>
        </w:pBdr>
        <w:spacing w:after="0" w:line="259" w:lineRule="auto"/>
        <w:ind w:left="360"/>
        <w:jc w:val="both"/>
        <w:rPr>
          <w:rFonts w:eastAsia="Times New Roman"/>
          <w:noProof/>
        </w:rPr>
      </w:pPr>
      <w:r>
        <w:rPr>
          <w:noProof/>
        </w:rPr>
        <w:t>Achèvement de 26 projets issus de l’ensemble prédéfini de projets figurant à la puce ci-dessus au plus tard le 31 décembre 2022.</w:t>
      </w:r>
    </w:p>
    <w:p w14:paraId="7C64D55C" w14:textId="654082E8" w:rsidR="00025543" w:rsidRDefault="007E3A2F">
      <w:pPr>
        <w:numPr>
          <w:ilvl w:val="0"/>
          <w:numId w:val="152"/>
        </w:numPr>
        <w:pBdr>
          <w:top w:val="nil"/>
          <w:left w:val="nil"/>
          <w:bottom w:val="nil"/>
          <w:right w:val="nil"/>
          <w:between w:val="nil"/>
        </w:pBdr>
        <w:spacing w:after="160" w:line="259" w:lineRule="auto"/>
        <w:ind w:left="360"/>
        <w:jc w:val="both"/>
        <w:rPr>
          <w:rFonts w:eastAsia="Times New Roman"/>
          <w:noProof/>
        </w:rPr>
      </w:pPr>
      <w:r>
        <w:rPr>
          <w:noProof/>
        </w:rPr>
        <w:t>Achèvement de 11 projets supplémentaires issus de l’ensemble prédéfini de projets figurant à la puce ci-dessus au plus tard le 31 décembre 2023.</w:t>
      </w:r>
    </w:p>
    <w:p w14:paraId="3BCCCF59" w14:textId="08AB96AA" w:rsidR="00025543" w:rsidRDefault="007E3A2F">
      <w:pPr>
        <w:numPr>
          <w:ilvl w:val="0"/>
          <w:numId w:val="152"/>
        </w:numPr>
        <w:pBdr>
          <w:top w:val="nil"/>
          <w:left w:val="nil"/>
          <w:bottom w:val="nil"/>
          <w:right w:val="nil"/>
          <w:between w:val="nil"/>
        </w:pBdr>
        <w:spacing w:after="160" w:line="259" w:lineRule="auto"/>
        <w:ind w:left="360"/>
        <w:jc w:val="both"/>
        <w:rPr>
          <w:rFonts w:eastAsia="Times New Roman"/>
          <w:noProof/>
        </w:rPr>
      </w:pPr>
      <w:r>
        <w:rPr>
          <w:noProof/>
        </w:rPr>
        <w:t xml:space="preserve">Achèvement de 19 projets supplémentaires issus de l’ensemble prédéfini de projets figurant à la puce ci-dessus, ce qui permettra d’achever au total 121,88 km de lignes modernisées, neuf gares ferroviaires modernisées avec des voies reconstruites et des plateformes accessibles sûres et sans obstacle, et </w:t>
      </w:r>
      <w:r>
        <w:rPr>
          <w:noProof/>
          <w:u w:val="single"/>
        </w:rPr>
        <w:t>plus de 35 bâtiments de gare</w:t>
      </w:r>
      <w:r>
        <w:rPr>
          <w:noProof/>
        </w:rPr>
        <w:t xml:space="preserve"> à intensité énergétique réduite afin de parvenir, en moyenne, à une réduction d’au moins 30 % des émissions directes et indirectes de gaz à effet de serre par rapport aux émissions ex ante, ainsi qu’à un confort accru et à de meilleurs services pour les voyageurs d’ici au 31 décembre 2024.</w:t>
      </w:r>
    </w:p>
    <w:p w14:paraId="435A31F8" w14:textId="77777777" w:rsidR="00025543" w:rsidRDefault="007E3A2F">
      <w:pPr>
        <w:pStyle w:val="P68B1DB1-Normal7"/>
        <w:spacing w:line="240" w:lineRule="auto"/>
        <w:jc w:val="both"/>
        <w:rPr>
          <w:noProof/>
        </w:rPr>
      </w:pPr>
      <w:r>
        <w:rPr>
          <w:noProof/>
        </w:rPr>
        <w:t xml:space="preserve">Investissement 4: Sécurité des transports routiers et ferroviaires </w:t>
      </w:r>
    </w:p>
    <w:p w14:paraId="763BC132" w14:textId="5F9FA2A4" w:rsidR="00025543" w:rsidRDefault="007E3A2F">
      <w:pPr>
        <w:spacing w:line="240" w:lineRule="auto"/>
        <w:jc w:val="both"/>
        <w:rPr>
          <w:noProof/>
        </w:rPr>
      </w:pPr>
      <w:r>
        <w:rPr>
          <w:noProof/>
        </w:rPr>
        <w:t>La mesure vise à améliorer la sécurité du trafic en prenant des mesures de sécurité concrètes aux passages ferroviaires et en améliorant l’état des ponts et des structures des tunnels. Dans les villes et les agglomérations, des investissements sont réalisés pour réduire la part des trajets individuels en voiture et augmenter la part des transports publics et des modes de transport actifs tels que les piétons et le vélo. La construction de pistes cyclables et de voies sans obstacles pour piétons fait également partie de l’investissement, afin d’améliorer la sécurité des participants vulnérables à la circulation dans le cadre de la promotion de la mobilité active, en particulier dans les villes. Pour ce faire, il convient de prendre les mesures suivantes:</w:t>
      </w:r>
    </w:p>
    <w:p w14:paraId="6D6F8DA7" w14:textId="77777777" w:rsidR="00025543" w:rsidRDefault="007E3A2F">
      <w:pPr>
        <w:numPr>
          <w:ilvl w:val="0"/>
          <w:numId w:val="152"/>
        </w:numPr>
        <w:pBdr>
          <w:top w:val="nil"/>
          <w:left w:val="nil"/>
          <w:bottom w:val="nil"/>
          <w:right w:val="nil"/>
          <w:between w:val="nil"/>
        </w:pBdr>
        <w:spacing w:after="0" w:line="259" w:lineRule="auto"/>
        <w:ind w:left="360"/>
        <w:jc w:val="both"/>
        <w:rPr>
          <w:rFonts w:eastAsia="Times New Roman"/>
          <w:noProof/>
        </w:rPr>
      </w:pPr>
      <w:r>
        <w:rPr>
          <w:noProof/>
        </w:rPr>
        <w:t>Achèvement des projets avec 45 passages à niveau avec une sécurité accrue (c’est-à-dire avec un système d’avertissement de lumière-éclair nouvellement installé ou modernisé ou une installation de sécurité mécanique), 25 km de pistes cyclables construites, des trottoirs et des itinéraires sans obstacle, et 3 ponts ou tunnels ferroviaires modernisés d’ici au 30 juin 2022.</w:t>
      </w:r>
    </w:p>
    <w:p w14:paraId="6B9A2E7C" w14:textId="77777777" w:rsidR="00025543" w:rsidRDefault="007E3A2F">
      <w:pPr>
        <w:numPr>
          <w:ilvl w:val="0"/>
          <w:numId w:val="152"/>
        </w:numPr>
        <w:pBdr>
          <w:top w:val="nil"/>
          <w:left w:val="nil"/>
          <w:bottom w:val="nil"/>
          <w:right w:val="nil"/>
          <w:between w:val="nil"/>
        </w:pBdr>
        <w:spacing w:after="0" w:line="259" w:lineRule="auto"/>
        <w:ind w:left="360"/>
        <w:jc w:val="both"/>
        <w:rPr>
          <w:rFonts w:eastAsia="Times New Roman"/>
          <w:noProof/>
        </w:rPr>
      </w:pPr>
      <w:r>
        <w:rPr>
          <w:noProof/>
        </w:rPr>
        <w:t>Achèvement de projets impliquant 115 passages à niveau supplémentaires avec une sécurité accrue (c’est-à-dire avec un système d’avertissement de lumière-éclair nouvellement installé ou modernisé ou une installation de sécurité mécanique), 24 km supplémentaires de pistes cyclables construites, de trottoirs et de voies sans obstacles, et 3 ponts ou tunnels ferroviaires modernisés supplémentaires d’ici au 31 décembre 2022.</w:t>
      </w:r>
    </w:p>
    <w:p w14:paraId="14F63DC4" w14:textId="77777777" w:rsidR="00025543" w:rsidRDefault="007E3A2F">
      <w:pPr>
        <w:numPr>
          <w:ilvl w:val="0"/>
          <w:numId w:val="152"/>
        </w:numPr>
        <w:pBdr>
          <w:top w:val="nil"/>
          <w:left w:val="nil"/>
          <w:bottom w:val="nil"/>
          <w:right w:val="nil"/>
          <w:between w:val="nil"/>
        </w:pBdr>
        <w:spacing w:after="0" w:line="259" w:lineRule="auto"/>
        <w:ind w:left="360"/>
        <w:jc w:val="both"/>
        <w:rPr>
          <w:rFonts w:eastAsia="Times New Roman"/>
          <w:noProof/>
        </w:rPr>
      </w:pPr>
      <w:r>
        <w:rPr>
          <w:noProof/>
        </w:rPr>
        <w:t xml:space="preserve">Achèvement des projets impliquant 131 passages à niveau supplémentaires avec une sécurité accrue (c’est-à-dire avec un système d’avertissement de lumière-éclair nouvellement installé ou modernisé ou une installation de sécurité mécanique) et 1 ponts ou tunnels ferroviaires modernisés supplémentaires d’ici au 31 décembre 2024. </w:t>
      </w:r>
    </w:p>
    <w:p w14:paraId="53570ADD" w14:textId="2A804E4A" w:rsidR="00025543" w:rsidRDefault="007E3A2F">
      <w:pPr>
        <w:numPr>
          <w:ilvl w:val="0"/>
          <w:numId w:val="152"/>
        </w:numPr>
        <w:pBdr>
          <w:top w:val="nil"/>
          <w:left w:val="nil"/>
          <w:bottom w:val="nil"/>
          <w:right w:val="nil"/>
          <w:between w:val="nil"/>
        </w:pBdr>
        <w:spacing w:after="160" w:line="259" w:lineRule="auto"/>
        <w:ind w:left="360"/>
        <w:jc w:val="both"/>
        <w:rPr>
          <w:b/>
          <w:noProof/>
        </w:rPr>
      </w:pPr>
      <w:r>
        <w:rPr>
          <w:noProof/>
        </w:rPr>
        <w:t>Achèvement des projets concernant 36 km supplémentaires de pistes cyclables construites, de trottoirs et d’itinéraires sans obstacle et 1 ponts ou tunnels ferroviaires modernisés supplémentaires d’ici au 31 décembre 2023.</w:t>
      </w:r>
    </w:p>
    <w:p w14:paraId="77DA11F0" w14:textId="38AFC4D4" w:rsidR="00025543" w:rsidRDefault="00025543">
      <w:pPr>
        <w:rPr>
          <w:b/>
          <w:noProof/>
        </w:rPr>
      </w:pPr>
    </w:p>
    <w:p w14:paraId="4C24B93E" w14:textId="77777777" w:rsidR="00025543" w:rsidRDefault="00025543">
      <w:pPr>
        <w:rPr>
          <w:rFonts w:ascii="Calibri" w:hAnsi="Calibri"/>
          <w:noProof/>
          <w:sz w:val="22"/>
        </w:rPr>
        <w:sectPr w:rsidR="00025543" w:rsidSect="00F43B37">
          <w:headerReference w:type="even" r:id="rId150"/>
          <w:headerReference w:type="default" r:id="rId151"/>
          <w:footerReference w:type="even" r:id="rId152"/>
          <w:footerReference w:type="default" r:id="rId153"/>
          <w:headerReference w:type="first" r:id="rId154"/>
          <w:footerReference w:type="first" r:id="rId155"/>
          <w:pgSz w:w="11907" w:h="16839"/>
          <w:pgMar w:top="1134" w:right="1134" w:bottom="1134" w:left="1134" w:header="567" w:footer="567" w:gutter="0"/>
          <w:cols w:space="720"/>
          <w:docGrid w:linePitch="326"/>
        </w:sectPr>
      </w:pPr>
    </w:p>
    <w:p w14:paraId="28DF4B56" w14:textId="03EBF537" w:rsidR="00025543" w:rsidRDefault="007E3A2F">
      <w:pPr>
        <w:pStyle w:val="P68B1DB1-Normal8"/>
        <w:pBdr>
          <w:top w:val="nil"/>
          <w:left w:val="nil"/>
          <w:bottom w:val="nil"/>
          <w:right w:val="nil"/>
          <w:between w:val="nil"/>
        </w:pBdr>
        <w:tabs>
          <w:tab w:val="left" w:pos="993"/>
        </w:tabs>
        <w:spacing w:line="240" w:lineRule="auto"/>
        <w:rPr>
          <w:rFonts w:ascii="Calibri" w:hAnsi="Calibri"/>
          <w:noProof/>
          <w:sz w:val="22"/>
        </w:rPr>
      </w:pPr>
      <w:r>
        <w:rPr>
          <w:noProof/>
        </w:rPr>
        <w:t xml:space="preserve">H.2. Jalons, cibles, indicateurs et calendrier de suivi et de mise en œuvre en vue du soutien financier non remboursable </w:t>
      </w:r>
    </w:p>
    <w:tbl>
      <w:tblPr>
        <w:tblW w:w="14564" w:type="dxa"/>
        <w:jc w:val="center"/>
        <w:tblLayout w:type="fixed"/>
        <w:tblLook w:val="0400" w:firstRow="0" w:lastRow="0" w:firstColumn="0" w:lastColumn="0" w:noHBand="0" w:noVBand="1"/>
      </w:tblPr>
      <w:tblGrid>
        <w:gridCol w:w="663"/>
        <w:gridCol w:w="1559"/>
        <w:gridCol w:w="1112"/>
        <w:gridCol w:w="1390"/>
        <w:gridCol w:w="1222"/>
        <w:gridCol w:w="1144"/>
        <w:gridCol w:w="975"/>
        <w:gridCol w:w="976"/>
        <w:gridCol w:w="975"/>
        <w:gridCol w:w="698"/>
        <w:gridCol w:w="3850"/>
      </w:tblGrid>
      <w:tr w:rsidR="00025543" w14:paraId="4C2E1F82" w14:textId="77777777">
        <w:trPr>
          <w:trHeight w:val="685"/>
          <w:tblHeader/>
          <w:jc w:val="center"/>
        </w:trPr>
        <w:tc>
          <w:tcPr>
            <w:tcW w:w="674"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1959F27E" w14:textId="77777777" w:rsidR="00025543" w:rsidRDefault="007E3A2F">
            <w:pPr>
              <w:pStyle w:val="P68B1DB1-Normal9"/>
              <w:spacing w:line="240" w:lineRule="auto"/>
              <w:jc w:val="center"/>
              <w:rPr>
                <w:noProof/>
              </w:rPr>
            </w:pPr>
            <w:r>
              <w:rPr>
                <w:noProof/>
              </w:rPr>
              <w:t xml:space="preserve">Séquence NUM. </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2AB893DB" w14:textId="77777777" w:rsidR="00025543" w:rsidRDefault="007E3A2F">
            <w:pPr>
              <w:pStyle w:val="P68B1DB1-Normal9"/>
              <w:spacing w:line="240" w:lineRule="auto"/>
              <w:jc w:val="center"/>
              <w:rPr>
                <w:noProof/>
              </w:rPr>
            </w:pPr>
            <w:r>
              <w:rPr>
                <w:noProof/>
              </w:rPr>
              <w:t>Mesure connexe (réforme ou investissement)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060D085C" w14:textId="77777777" w:rsidR="00025543" w:rsidRDefault="007E3A2F">
            <w:pPr>
              <w:pStyle w:val="P68B1DB1-Normal9"/>
              <w:spacing w:line="240" w:lineRule="auto"/>
              <w:jc w:val="center"/>
              <w:rPr>
                <w:noProof/>
              </w:rPr>
            </w:pPr>
            <w:r>
              <w:rPr>
                <w:noProof/>
              </w:rPr>
              <w:t>Jalon/cible</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3D06760F" w14:textId="77777777" w:rsidR="00025543" w:rsidRDefault="007E3A2F">
            <w:pPr>
              <w:pStyle w:val="P68B1DB1-Normal9"/>
              <w:spacing w:line="240" w:lineRule="auto"/>
              <w:jc w:val="center"/>
              <w:rPr>
                <w:noProof/>
              </w:rPr>
            </w:pPr>
            <w:r>
              <w:rPr>
                <w:noProof/>
              </w:rPr>
              <w:t>Nom</w:t>
            </w:r>
          </w:p>
        </w:tc>
        <w:tc>
          <w:tcPr>
            <w:tcW w:w="1245" w:type="dxa"/>
            <w:vMerge w:val="restart"/>
            <w:tcBorders>
              <w:top w:val="single" w:sz="8" w:space="0" w:color="000000" w:themeColor="text1"/>
              <w:left w:val="single" w:sz="4" w:space="0" w:color="auto"/>
              <w:right w:val="single" w:sz="8" w:space="0" w:color="000000" w:themeColor="text1"/>
            </w:tcBorders>
            <w:shd w:val="clear" w:color="auto" w:fill="BDD7EE"/>
            <w:vAlign w:val="center"/>
          </w:tcPr>
          <w:p w14:paraId="3BEBDF9D" w14:textId="77777777" w:rsidR="00025543" w:rsidRDefault="007E3A2F">
            <w:pPr>
              <w:pStyle w:val="P68B1DB1-Normal10"/>
              <w:spacing w:line="240" w:lineRule="auto"/>
              <w:jc w:val="center"/>
              <w:rPr>
                <w:noProof/>
              </w:rPr>
            </w:pPr>
            <w:r>
              <w:rPr>
                <w:b/>
                <w:noProof/>
              </w:rPr>
              <w:t>Qualitatifs</w:t>
            </w:r>
            <w:r>
              <w:rPr>
                <w:noProof/>
              </w:rPr>
              <w:br/>
            </w:r>
            <w:r>
              <w:rPr>
                <w:b/>
                <w:noProof/>
              </w:rPr>
              <w:t xml:space="preserve"> (pour les jalons) </w:t>
            </w:r>
          </w:p>
        </w:tc>
        <w:tc>
          <w:tcPr>
            <w:tcW w:w="315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vAlign w:val="center"/>
          </w:tcPr>
          <w:p w14:paraId="62EE4C6B" w14:textId="77777777" w:rsidR="00025543" w:rsidRDefault="007E3A2F">
            <w:pPr>
              <w:pStyle w:val="P68B1DB1-Normal10"/>
              <w:spacing w:line="240" w:lineRule="auto"/>
              <w:jc w:val="center"/>
              <w:rPr>
                <w:noProof/>
              </w:rPr>
            </w:pPr>
            <w:r>
              <w:rPr>
                <w:b/>
                <w:noProof/>
              </w:rPr>
              <w:t>Indicateurs quantitatifs</w:t>
            </w:r>
            <w:r>
              <w:rPr>
                <w:noProof/>
              </w:rPr>
              <w:br/>
            </w:r>
            <w:r>
              <w:rPr>
                <w:b/>
                <w:noProof/>
              </w:rPr>
              <w:t xml:space="preserve"> (pour les objectifs)</w:t>
            </w:r>
          </w:p>
        </w:tc>
        <w:tc>
          <w:tcPr>
            <w:tcW w:w="1701" w:type="dxa"/>
            <w:gridSpan w:val="2"/>
            <w:tcBorders>
              <w:top w:val="single" w:sz="8" w:space="0" w:color="000000" w:themeColor="text1"/>
              <w:left w:val="nil"/>
              <w:bottom w:val="single" w:sz="8" w:space="0" w:color="000000" w:themeColor="text1"/>
              <w:right w:val="single" w:sz="4" w:space="0" w:color="auto"/>
            </w:tcBorders>
            <w:shd w:val="clear" w:color="auto" w:fill="BDD7EE"/>
            <w:vAlign w:val="center"/>
          </w:tcPr>
          <w:p w14:paraId="6AF6A286" w14:textId="77777777" w:rsidR="00025543" w:rsidRDefault="007E3A2F">
            <w:pPr>
              <w:pStyle w:val="P68B1DB1-Normal9"/>
              <w:spacing w:line="240" w:lineRule="auto"/>
              <w:jc w:val="center"/>
              <w:rPr>
                <w:noProof/>
              </w:rPr>
            </w:pPr>
            <w:r>
              <w:rPr>
                <w:noProof/>
              </w:rPr>
              <w:t xml:space="preserve">Calendrier indicatif de réalisation </w:t>
            </w:r>
          </w:p>
        </w:tc>
        <w:tc>
          <w:tcPr>
            <w:tcW w:w="3935"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12C5DFF9" w14:textId="77777777" w:rsidR="00025543" w:rsidRDefault="007E3A2F">
            <w:pPr>
              <w:pStyle w:val="P68B1DB1-Normal9"/>
              <w:spacing w:line="240" w:lineRule="auto"/>
              <w:jc w:val="center"/>
              <w:rPr>
                <w:noProof/>
              </w:rPr>
            </w:pPr>
            <w:r>
              <w:rPr>
                <w:noProof/>
              </w:rPr>
              <w:t xml:space="preserve">Description et définition claire de chaque jalon et cible </w:t>
            </w:r>
          </w:p>
        </w:tc>
      </w:tr>
      <w:tr w:rsidR="00025543" w14:paraId="46DAD40F" w14:textId="77777777">
        <w:trPr>
          <w:trHeight w:val="75"/>
          <w:tblHeader/>
          <w:jc w:val="center"/>
        </w:trPr>
        <w:tc>
          <w:tcPr>
            <w:tcW w:w="674" w:type="dxa"/>
            <w:vMerge/>
            <w:tcBorders>
              <w:top w:val="single" w:sz="4" w:space="0" w:color="auto"/>
              <w:left w:val="single" w:sz="4" w:space="0" w:color="auto"/>
              <w:bottom w:val="single" w:sz="4" w:space="0" w:color="auto"/>
              <w:right w:val="single" w:sz="4" w:space="0" w:color="auto"/>
            </w:tcBorders>
            <w:vAlign w:val="center"/>
          </w:tcPr>
          <w:p w14:paraId="207BA614"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c>
          <w:tcPr>
            <w:tcW w:w="1591" w:type="dxa"/>
            <w:vMerge/>
            <w:tcBorders>
              <w:top w:val="single" w:sz="4" w:space="0" w:color="auto"/>
              <w:left w:val="single" w:sz="4" w:space="0" w:color="auto"/>
              <w:bottom w:val="single" w:sz="4" w:space="0" w:color="auto"/>
              <w:right w:val="single" w:sz="4" w:space="0" w:color="auto"/>
            </w:tcBorders>
            <w:vAlign w:val="center"/>
          </w:tcPr>
          <w:p w14:paraId="429F1DAA"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D41D8C6"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122611DA"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c>
          <w:tcPr>
            <w:tcW w:w="1245" w:type="dxa"/>
            <w:vMerge/>
            <w:tcBorders>
              <w:left w:val="single" w:sz="4" w:space="0" w:color="auto"/>
            </w:tcBorders>
            <w:vAlign w:val="center"/>
          </w:tcPr>
          <w:p w14:paraId="59879DA7"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vAlign w:val="center"/>
          </w:tcPr>
          <w:p w14:paraId="42B7F81E" w14:textId="77777777" w:rsidR="00025543" w:rsidRDefault="007E3A2F">
            <w:pPr>
              <w:pStyle w:val="P68B1DB1-Normal9"/>
              <w:spacing w:line="240" w:lineRule="auto"/>
              <w:jc w:val="center"/>
              <w:rPr>
                <w:noProof/>
              </w:rPr>
            </w:pPr>
            <w:r>
              <w:rPr>
                <w:noProof/>
              </w:rPr>
              <w:t>Unité de mesure</w:t>
            </w:r>
          </w:p>
        </w:tc>
        <w:tc>
          <w:tcPr>
            <w:tcW w:w="992"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tcPr>
          <w:p w14:paraId="26B678AF" w14:textId="77777777" w:rsidR="00025543" w:rsidRDefault="007E3A2F">
            <w:pPr>
              <w:pStyle w:val="P68B1DB1-Normal9"/>
              <w:spacing w:line="240" w:lineRule="auto"/>
              <w:jc w:val="center"/>
              <w:rPr>
                <w:noProof/>
              </w:rPr>
            </w:pPr>
            <w:r>
              <w:rPr>
                <w:noProof/>
              </w:rPr>
              <w:t>Scénario de référence</w:t>
            </w:r>
          </w:p>
        </w:tc>
        <w:tc>
          <w:tcPr>
            <w:tcW w:w="993"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tcPr>
          <w:p w14:paraId="414086A0" w14:textId="77777777" w:rsidR="00025543" w:rsidRDefault="007E3A2F">
            <w:pPr>
              <w:pStyle w:val="P68B1DB1-Normal9"/>
              <w:spacing w:line="240" w:lineRule="auto"/>
              <w:jc w:val="center"/>
              <w:rPr>
                <w:noProof/>
              </w:rPr>
            </w:pPr>
            <w:r>
              <w:rPr>
                <w:noProof/>
              </w:rPr>
              <w:t>Objectif</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vAlign w:val="center"/>
          </w:tcPr>
          <w:p w14:paraId="637972AD" w14:textId="77777777" w:rsidR="00025543" w:rsidRDefault="007E3A2F">
            <w:pPr>
              <w:pStyle w:val="P68B1DB1-Normal9"/>
              <w:spacing w:line="240" w:lineRule="auto"/>
              <w:jc w:val="center"/>
              <w:rPr>
                <w:noProof/>
              </w:rPr>
            </w:pPr>
            <w:r>
              <w:rPr>
                <w:noProof/>
              </w:rPr>
              <w:t>Trimestre</w:t>
            </w:r>
          </w:p>
        </w:tc>
        <w:tc>
          <w:tcPr>
            <w:tcW w:w="709" w:type="dxa"/>
            <w:tcBorders>
              <w:top w:val="nil"/>
              <w:left w:val="single" w:sz="8" w:space="0" w:color="000000" w:themeColor="text1"/>
              <w:bottom w:val="single" w:sz="8" w:space="0" w:color="000000" w:themeColor="text1"/>
              <w:right w:val="single" w:sz="4" w:space="0" w:color="auto"/>
            </w:tcBorders>
            <w:shd w:val="clear" w:color="auto" w:fill="BDD7EE"/>
            <w:vAlign w:val="center"/>
          </w:tcPr>
          <w:p w14:paraId="45314CC9" w14:textId="77777777" w:rsidR="00025543" w:rsidRDefault="007E3A2F">
            <w:pPr>
              <w:pStyle w:val="P68B1DB1-Normal9"/>
              <w:spacing w:line="240" w:lineRule="auto"/>
              <w:jc w:val="center"/>
              <w:rPr>
                <w:noProof/>
              </w:rPr>
            </w:pPr>
            <w:r>
              <w:rPr>
                <w:noProof/>
              </w:rPr>
              <w:t>Année</w:t>
            </w:r>
          </w:p>
        </w:tc>
        <w:tc>
          <w:tcPr>
            <w:tcW w:w="3935" w:type="dxa"/>
            <w:vMerge/>
            <w:tcBorders>
              <w:bottom w:val="single" w:sz="4" w:space="0" w:color="auto"/>
              <w:right w:val="single" w:sz="4" w:space="0" w:color="auto"/>
            </w:tcBorders>
            <w:vAlign w:val="center"/>
          </w:tcPr>
          <w:p w14:paraId="0F5B911E"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r>
      <w:tr w:rsidR="00025543" w14:paraId="4F695F6C" w14:textId="77777777">
        <w:trPr>
          <w:trHeight w:val="945"/>
          <w:jc w:val="center"/>
        </w:trPr>
        <w:tc>
          <w:tcPr>
            <w:tcW w:w="67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54062B13" w14:textId="77777777" w:rsidR="00025543" w:rsidRDefault="007E3A2F">
            <w:pPr>
              <w:pStyle w:val="P68B1DB1-Normal28"/>
              <w:spacing w:line="240" w:lineRule="auto"/>
              <w:jc w:val="center"/>
              <w:rPr>
                <w:rFonts w:eastAsia="Times New Roman"/>
                <w:noProof/>
              </w:rPr>
            </w:pPr>
            <w:r>
              <w:rPr>
                <w:noProof/>
              </w:rPr>
              <w:t>78</w:t>
            </w:r>
          </w:p>
        </w:tc>
        <w:tc>
          <w:tcPr>
            <w:tcW w:w="1591"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0BAF59C3" w14:textId="77777777" w:rsidR="00025543" w:rsidRDefault="007E3A2F">
            <w:pPr>
              <w:pStyle w:val="P68B1DB1-Normal28"/>
              <w:spacing w:line="240" w:lineRule="auto"/>
              <w:rPr>
                <w:rFonts w:eastAsia="Times New Roman"/>
                <w:noProof/>
              </w:rPr>
            </w:pPr>
            <w:r>
              <w:rPr>
                <w:noProof/>
              </w:rPr>
              <w:t>Réforme 1: Créer des alternatives à l’énergie et au transport routier à forte intensité spatiale</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611349DB" w14:textId="77777777" w:rsidR="00025543" w:rsidRDefault="007E3A2F">
            <w:pPr>
              <w:pStyle w:val="P68B1DB1-Normal28"/>
              <w:spacing w:line="240" w:lineRule="auto"/>
              <w:rPr>
                <w:rFonts w:eastAsia="Times New Roman"/>
                <w:noProof/>
              </w:rPr>
            </w:pPr>
            <w:r>
              <w:rPr>
                <w:noProof/>
              </w:rPr>
              <w:t>Étapes</w:t>
            </w:r>
          </w:p>
        </w:tc>
        <w:tc>
          <w:tcPr>
            <w:tcW w:w="1417"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3C05435B" w14:textId="77777777" w:rsidR="00025543" w:rsidRDefault="007E3A2F">
            <w:pPr>
              <w:pStyle w:val="P68B1DB1-Normal28"/>
              <w:spacing w:line="259" w:lineRule="auto"/>
              <w:rPr>
                <w:noProof/>
              </w:rPr>
            </w:pPr>
            <w:r>
              <w:rPr>
                <w:noProof/>
              </w:rPr>
              <w:t>Approbation des plans de mobilité</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0F5CA02" w14:textId="77777777" w:rsidR="00025543" w:rsidRDefault="007E3A2F">
            <w:pPr>
              <w:pStyle w:val="P68B1DB1-Normal28"/>
              <w:spacing w:line="240" w:lineRule="auto"/>
              <w:rPr>
                <w:rFonts w:eastAsia="Times New Roman"/>
                <w:noProof/>
              </w:rPr>
            </w:pPr>
            <w:r>
              <w:rPr>
                <w:noProof/>
              </w:rPr>
              <w:t>Approbation du plan par les organes représentatifs de la ville</w:t>
            </w: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053814C" w14:textId="77777777" w:rsidR="00025543" w:rsidRDefault="00025543">
            <w:pPr>
              <w:spacing w:line="240" w:lineRule="auto"/>
              <w:rPr>
                <w:rFonts w:eastAsia="Times New Roman"/>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E9420E4" w14:textId="77777777" w:rsidR="00025543" w:rsidRDefault="00025543">
            <w:pPr>
              <w:spacing w:line="240" w:lineRule="auto"/>
              <w:jc w:val="center"/>
              <w:rPr>
                <w:rFonts w:eastAsia="Times New Roman"/>
                <w:noProof/>
                <w:color w:val="006100"/>
                <w:sz w:val="18"/>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3BEB455" w14:textId="77777777" w:rsidR="00025543" w:rsidRDefault="00025543">
            <w:pPr>
              <w:spacing w:line="240" w:lineRule="auto"/>
              <w:jc w:val="center"/>
              <w:rPr>
                <w:rFonts w:eastAsia="Times New Roman"/>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618CAC4" w14:textId="77777777" w:rsidR="00025543" w:rsidRDefault="007E3A2F">
            <w:pPr>
              <w:pStyle w:val="P68B1DB1-Normal28"/>
              <w:spacing w:line="240" w:lineRule="auto"/>
              <w:jc w:val="center"/>
              <w:rPr>
                <w:rFonts w:eastAsia="Times New Roman"/>
                <w:noProof/>
              </w:rPr>
            </w:pPr>
            <w:r>
              <w:rPr>
                <w:noProof/>
              </w:rPr>
              <w:t>TRIMESTRE 2</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0278949" w14:textId="77777777" w:rsidR="00025543" w:rsidRDefault="007E3A2F">
            <w:pPr>
              <w:pStyle w:val="P68B1DB1-Normal11"/>
              <w:spacing w:line="240" w:lineRule="auto"/>
              <w:jc w:val="center"/>
              <w:rPr>
                <w:noProof/>
              </w:rPr>
            </w:pPr>
            <w:r>
              <w:rPr>
                <w:noProof/>
              </w:rPr>
              <w:t>2023</w:t>
            </w:r>
          </w:p>
        </w:tc>
        <w:tc>
          <w:tcPr>
            <w:tcW w:w="3935"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17CA8552" w14:textId="05D008B6" w:rsidR="00025543" w:rsidRDefault="007E3A2F">
            <w:pPr>
              <w:pStyle w:val="P68B1DB1-Normal28"/>
              <w:spacing w:line="240" w:lineRule="auto"/>
              <w:rPr>
                <w:rFonts w:eastAsia="Times New Roman"/>
                <w:noProof/>
              </w:rPr>
            </w:pPr>
            <w:r>
              <w:rPr>
                <w:noProof/>
              </w:rPr>
              <w:t>Toutes les villes statutaires de la République tchèque (villes comptant plus de 40 000 habitants) disposent d’un plan de mobilité urbaine durable (PMUD) approuvé par les organismes représentatifs de la ville, sur la base du concept de mobilité urbaine et active approuvé par le gouvernement.</w:t>
            </w:r>
          </w:p>
        </w:tc>
      </w:tr>
      <w:tr w:rsidR="00025543" w14:paraId="0A3CBE66" w14:textId="77777777">
        <w:trPr>
          <w:trHeight w:val="94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87E9AC3" w14:textId="77777777" w:rsidR="00025543" w:rsidRDefault="007E3A2F">
            <w:pPr>
              <w:pStyle w:val="P68B1DB1-Normal28"/>
              <w:spacing w:line="240" w:lineRule="auto"/>
              <w:jc w:val="center"/>
              <w:rPr>
                <w:rFonts w:eastAsia="Times New Roman"/>
                <w:noProof/>
              </w:rPr>
            </w:pPr>
            <w:r>
              <w:rPr>
                <w:noProof/>
              </w:rPr>
              <w:t>79</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C03ED3A" w14:textId="77777777" w:rsidR="00025543" w:rsidRDefault="007E3A2F">
            <w:pPr>
              <w:pStyle w:val="P68B1DB1-Normal28"/>
              <w:spacing w:line="240" w:lineRule="auto"/>
              <w:rPr>
                <w:rFonts w:eastAsia="Times New Roman"/>
                <w:noProof/>
              </w:rPr>
            </w:pPr>
            <w:r>
              <w:rPr>
                <w:noProof/>
              </w:rPr>
              <w:t>Réforme 1: Créer des alternatives à l’énergie et au transport routier à forte intensité spatiale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DB0A15C" w14:textId="77777777" w:rsidR="00025543" w:rsidRDefault="007E3A2F">
            <w:pPr>
              <w:pStyle w:val="P68B1DB1-Normal28"/>
              <w:spacing w:line="240" w:lineRule="auto"/>
              <w:rPr>
                <w:rFonts w:eastAsia="Times New Roman"/>
                <w:noProof/>
              </w:rPr>
            </w:pPr>
            <w:r>
              <w:rPr>
                <w:noProof/>
              </w:rPr>
              <w:t>Étapes</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C2B37B8" w14:textId="77777777" w:rsidR="00025543" w:rsidRDefault="007E3A2F">
            <w:pPr>
              <w:pStyle w:val="P68B1DB1-Normal28"/>
              <w:spacing w:line="259" w:lineRule="auto"/>
              <w:rPr>
                <w:noProof/>
              </w:rPr>
            </w:pPr>
            <w:r>
              <w:rPr>
                <w:noProof/>
              </w:rPr>
              <w:t>Approbation et entrée en vigueur du nouveau concept de transport de marchandises</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1053388" w14:textId="77777777" w:rsidR="00025543" w:rsidRDefault="007E3A2F">
            <w:pPr>
              <w:pStyle w:val="P68B1DB1-Normal28"/>
              <w:spacing w:line="240" w:lineRule="auto"/>
              <w:rPr>
                <w:rFonts w:eastAsia="Times New Roman"/>
                <w:noProof/>
              </w:rPr>
            </w:pPr>
            <w:r>
              <w:rPr>
                <w:noProof/>
              </w:rPr>
              <w:t>Approbation par le gouvernement</w:t>
            </w: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F96D041" w14:textId="77777777" w:rsidR="00025543" w:rsidRDefault="00025543">
            <w:pPr>
              <w:spacing w:line="240" w:lineRule="auto"/>
              <w:rPr>
                <w:rFonts w:eastAsia="Times New Roman"/>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7C04487" w14:textId="77777777" w:rsidR="00025543" w:rsidRDefault="00025543">
            <w:pPr>
              <w:spacing w:line="240" w:lineRule="auto"/>
              <w:jc w:val="center"/>
              <w:rPr>
                <w:rFonts w:eastAsia="Times New Roman"/>
                <w:noProof/>
                <w:color w:val="006100"/>
                <w:sz w:val="18"/>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611ACB5" w14:textId="77777777" w:rsidR="00025543" w:rsidRDefault="00025543">
            <w:pPr>
              <w:spacing w:line="240" w:lineRule="auto"/>
              <w:jc w:val="center"/>
              <w:rPr>
                <w:rFonts w:eastAsia="Times New Roman"/>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F1B8867" w14:textId="77777777" w:rsidR="00025543" w:rsidRDefault="007E3A2F">
            <w:pPr>
              <w:pStyle w:val="P68B1DB1-Normal28"/>
              <w:spacing w:line="240" w:lineRule="auto"/>
              <w:jc w:val="center"/>
              <w:rPr>
                <w:rFonts w:eastAsia="Times New Roman"/>
                <w:noProof/>
              </w:rPr>
            </w:pPr>
            <w:r>
              <w:rPr>
                <w:noProof/>
              </w:rPr>
              <w:t>TRIMESTRE 4</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E4C9994" w14:textId="77777777" w:rsidR="00025543" w:rsidRDefault="007E3A2F">
            <w:pPr>
              <w:pStyle w:val="P68B1DB1-Normal11"/>
              <w:spacing w:line="240" w:lineRule="auto"/>
              <w:jc w:val="center"/>
              <w:rPr>
                <w:noProof/>
              </w:rPr>
            </w:pPr>
            <w:r>
              <w:rPr>
                <w:noProof/>
              </w:rPr>
              <w:t>2023</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BACAB84" w14:textId="77777777" w:rsidR="00025543" w:rsidRDefault="007E3A2F">
            <w:pPr>
              <w:pStyle w:val="P68B1DB1-Normal28"/>
              <w:spacing w:line="240" w:lineRule="auto"/>
              <w:rPr>
                <w:rFonts w:eastAsia="Times New Roman"/>
                <w:noProof/>
              </w:rPr>
            </w:pPr>
            <w:r>
              <w:rPr>
                <w:noProof/>
              </w:rPr>
              <w:t>Le gouvernement approuve le nouveau concept de transport de marchandises, qui fixera les conditions d’une augmentation de la part du transport ferroviaire de marchandises dans le volume total de transport pour la période 2024-2030. Le concept sera axé sur le soutien au transport multimodal, l’amélioration des services de transport de marchandises et la réduction de l’impact du transport de marchandises sur l’environnement, la santé publique et le changement climatique mondial.</w:t>
            </w:r>
          </w:p>
        </w:tc>
      </w:tr>
      <w:tr w:rsidR="00025543" w14:paraId="0D98E19A" w14:textId="77777777">
        <w:trPr>
          <w:trHeight w:val="94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761018E" w14:textId="77777777" w:rsidR="00025543" w:rsidRDefault="007E3A2F">
            <w:pPr>
              <w:pStyle w:val="P68B1DB1-Normal28"/>
              <w:spacing w:line="240" w:lineRule="auto"/>
              <w:jc w:val="center"/>
              <w:rPr>
                <w:rFonts w:eastAsia="Times New Roman"/>
                <w:noProof/>
              </w:rPr>
            </w:pPr>
            <w:r>
              <w:rPr>
                <w:noProof/>
              </w:rPr>
              <w:t>80</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F858EC2" w14:textId="77777777" w:rsidR="00025543" w:rsidRDefault="007E3A2F">
            <w:pPr>
              <w:pStyle w:val="P68B1DB1-Normal28"/>
              <w:spacing w:line="240" w:lineRule="auto"/>
              <w:rPr>
                <w:rFonts w:eastAsia="Times New Roman"/>
                <w:noProof/>
              </w:rPr>
            </w:pPr>
            <w:r>
              <w:rPr>
                <w:noProof/>
              </w:rPr>
              <w:t>Réforme 1: Créer des alternatives à l’énergie et au transport routier à forte intensité spatiale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1C29115" w14:textId="77777777" w:rsidR="00025543" w:rsidRDefault="007E3A2F">
            <w:pPr>
              <w:pStyle w:val="P68B1DB1-Normal28"/>
              <w:spacing w:line="240" w:lineRule="auto"/>
              <w:rPr>
                <w:rFonts w:eastAsia="Times New Roman"/>
                <w:noProof/>
              </w:rPr>
            </w:pPr>
            <w:r>
              <w:rPr>
                <w:noProof/>
              </w:rPr>
              <w:t>Étapes</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044759F" w14:textId="77777777" w:rsidR="00025543" w:rsidRDefault="007E3A2F">
            <w:pPr>
              <w:pStyle w:val="P68B1DB1-Normal28"/>
              <w:spacing w:line="240" w:lineRule="auto"/>
              <w:rPr>
                <w:rFonts w:eastAsia="Times New Roman"/>
                <w:noProof/>
              </w:rPr>
            </w:pPr>
            <w:r>
              <w:rPr>
                <w:noProof/>
              </w:rPr>
              <w:t>Approbation des plans de service de transport.</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D6127EE" w14:textId="77777777" w:rsidR="00025543" w:rsidRDefault="007E3A2F">
            <w:pPr>
              <w:pStyle w:val="P68B1DB1-Normal28"/>
              <w:spacing w:line="240" w:lineRule="auto"/>
              <w:rPr>
                <w:rFonts w:eastAsia="Times New Roman"/>
                <w:noProof/>
              </w:rPr>
            </w:pPr>
            <w:r>
              <w:rPr>
                <w:noProof/>
              </w:rPr>
              <w:t>Agrément des opérateurs de transport public</w:t>
            </w: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345DE22" w14:textId="77777777" w:rsidR="00025543" w:rsidRDefault="00025543">
            <w:pPr>
              <w:spacing w:line="240" w:lineRule="auto"/>
              <w:rPr>
                <w:rFonts w:eastAsia="Times New Roman"/>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A677DD0" w14:textId="77777777" w:rsidR="00025543" w:rsidRDefault="00025543">
            <w:pPr>
              <w:spacing w:line="240" w:lineRule="auto"/>
              <w:jc w:val="center"/>
              <w:rPr>
                <w:rFonts w:eastAsia="Times New Roman"/>
                <w:noProof/>
                <w:color w:val="006100"/>
                <w:sz w:val="18"/>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F528EFE" w14:textId="77777777" w:rsidR="00025543" w:rsidRDefault="00025543">
            <w:pPr>
              <w:spacing w:line="240" w:lineRule="auto"/>
              <w:jc w:val="center"/>
              <w:rPr>
                <w:rFonts w:eastAsia="Times New Roman"/>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D449EFC" w14:textId="77777777" w:rsidR="00025543" w:rsidRDefault="007E3A2F">
            <w:pPr>
              <w:pStyle w:val="P68B1DB1-Normal28"/>
              <w:spacing w:line="240" w:lineRule="auto"/>
              <w:jc w:val="center"/>
              <w:rPr>
                <w:rFonts w:eastAsia="Times New Roman"/>
                <w:noProof/>
              </w:rPr>
            </w:pPr>
            <w:r>
              <w:rPr>
                <w:noProof/>
              </w:rPr>
              <w:t>TRIMESTRE 4</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C93F500" w14:textId="77777777" w:rsidR="00025543" w:rsidRDefault="007E3A2F">
            <w:pPr>
              <w:pStyle w:val="P68B1DB1-Normal11"/>
              <w:spacing w:line="240" w:lineRule="auto"/>
              <w:jc w:val="center"/>
              <w:rPr>
                <w:noProof/>
              </w:rPr>
            </w:pPr>
            <w:r>
              <w:rPr>
                <w:noProof/>
              </w:rPr>
              <w:t>2023</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32AD778" w14:textId="77777777" w:rsidR="00025543" w:rsidRDefault="007E3A2F">
            <w:pPr>
              <w:pStyle w:val="P68B1DB1-Normal28"/>
              <w:spacing w:line="240" w:lineRule="auto"/>
              <w:rPr>
                <w:rFonts w:eastAsia="Times New Roman"/>
                <w:noProof/>
              </w:rPr>
            </w:pPr>
            <w:r>
              <w:rPr>
                <w:noProof/>
              </w:rPr>
              <w:t>Tous les opérateurs de transports publics (État, régions et villes exploitant des transports publics) approuvent un plan quinquennal de services de transport, fondé sur le concept de transport public approuvé par le gouvernement.</w:t>
            </w:r>
          </w:p>
        </w:tc>
      </w:tr>
      <w:tr w:rsidR="00025543" w14:paraId="337141D4" w14:textId="77777777">
        <w:trPr>
          <w:trHeight w:val="94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D137D9A" w14:textId="77777777" w:rsidR="00025543" w:rsidRDefault="007E3A2F">
            <w:pPr>
              <w:pStyle w:val="P68B1DB1-Normal28"/>
              <w:spacing w:line="240" w:lineRule="auto"/>
              <w:jc w:val="center"/>
              <w:rPr>
                <w:noProof/>
              </w:rPr>
            </w:pPr>
            <w:r>
              <w:rPr>
                <w:noProof/>
              </w:rPr>
              <w:t>81</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FC660AD" w14:textId="77777777" w:rsidR="00025543" w:rsidRDefault="007E3A2F">
            <w:pPr>
              <w:pStyle w:val="P68B1DB1-Normal28"/>
              <w:spacing w:line="240" w:lineRule="auto"/>
              <w:rPr>
                <w:rFonts w:eastAsia="Times New Roman"/>
                <w:noProof/>
              </w:rPr>
            </w:pPr>
            <w:r>
              <w:rPr>
                <w:noProof/>
              </w:rPr>
              <w:t>Réforme 1: Créer des alternatives à l’énergie et au transport routier à forte intensité spatiale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8779D9E" w14:textId="77777777" w:rsidR="00025543" w:rsidRDefault="007E3A2F">
            <w:pPr>
              <w:pStyle w:val="P68B1DB1-Normal28"/>
              <w:spacing w:line="240" w:lineRule="auto"/>
              <w:rPr>
                <w:rFonts w:eastAsia="Times New Roman"/>
                <w:noProof/>
              </w:rPr>
            </w:pPr>
            <w:r>
              <w:rPr>
                <w:noProof/>
              </w:rPr>
              <w:t>Cible</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FE6AF42" w14:textId="77777777" w:rsidR="00025543" w:rsidRDefault="007E3A2F">
            <w:pPr>
              <w:pStyle w:val="P68B1DB1-Normal28"/>
              <w:spacing w:line="240" w:lineRule="auto"/>
              <w:rPr>
                <w:rFonts w:eastAsia="Times New Roman"/>
                <w:noProof/>
              </w:rPr>
            </w:pPr>
            <w:r>
              <w:rPr>
                <w:noProof/>
              </w:rPr>
              <w:t>Atteindre une part modale accrue des transports publics dans les villes tchèques de plus de 250 000 habitants et dans les villes tchèques de plus de 75 000 habitants</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FDE504A" w14:textId="77777777" w:rsidR="00025543" w:rsidRDefault="00025543">
            <w:pPr>
              <w:spacing w:line="240" w:lineRule="auto"/>
              <w:rPr>
                <w:rFonts w:eastAsia="Times New Roman"/>
                <w:noProof/>
                <w:color w:val="006100"/>
                <w:sz w:val="18"/>
              </w:rPr>
            </w:pP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EBB1480" w14:textId="77777777" w:rsidR="00025543" w:rsidRDefault="007E3A2F">
            <w:pPr>
              <w:pStyle w:val="P68B1DB1-Normal28"/>
              <w:spacing w:line="240" w:lineRule="auto"/>
              <w:rPr>
                <w:rFonts w:eastAsia="Times New Roman"/>
                <w:noProof/>
              </w:rPr>
            </w:pPr>
            <w:r>
              <w:rPr>
                <w:noProof/>
              </w:rPr>
              <w:t>% (part modale des transports publics)</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A0E68BD" w14:textId="77777777" w:rsidR="00025543" w:rsidRDefault="007E3A2F">
            <w:pPr>
              <w:pStyle w:val="P68B1DB1-Normal11"/>
              <w:spacing w:line="240" w:lineRule="auto"/>
              <w:jc w:val="center"/>
              <w:rPr>
                <w:noProof/>
              </w:rPr>
            </w:pPr>
            <w:r>
              <w:rPr>
                <w:noProof/>
              </w:rPr>
              <w:t>40 % dans les villes de plus de 250 000 habitants, 28 % dans les villes de plus de 75 000 habitants</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5D4E66A" w14:textId="77777777" w:rsidR="00025543" w:rsidRDefault="007E3A2F">
            <w:pPr>
              <w:pStyle w:val="P68B1DB1-Normal11"/>
              <w:spacing w:line="240" w:lineRule="auto"/>
              <w:jc w:val="center"/>
              <w:rPr>
                <w:noProof/>
              </w:rPr>
            </w:pPr>
            <w:r>
              <w:rPr>
                <w:noProof/>
              </w:rPr>
              <w:t>45 % dans les villes de plus de 250 000 habitants, 35 % dans les villes de plus de 75000 habitants</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3983C7C" w14:textId="77777777" w:rsidR="00025543" w:rsidRDefault="007E3A2F">
            <w:pPr>
              <w:pStyle w:val="P68B1DB1-Normal28"/>
              <w:spacing w:line="240" w:lineRule="auto"/>
              <w:jc w:val="center"/>
              <w:rPr>
                <w:rFonts w:eastAsia="Times New Roman"/>
                <w:noProof/>
              </w:rPr>
            </w:pPr>
            <w:r>
              <w:rPr>
                <w:noProof/>
              </w:rPr>
              <w:t>TRIMESTRE 4</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25541EE" w14:textId="77777777" w:rsidR="00025543" w:rsidRDefault="007E3A2F">
            <w:pPr>
              <w:pStyle w:val="P68B1DB1-Normal11"/>
              <w:spacing w:line="240" w:lineRule="auto"/>
              <w:jc w:val="center"/>
              <w:rPr>
                <w:noProof/>
              </w:rPr>
            </w:pPr>
            <w:r>
              <w:rPr>
                <w:noProof/>
              </w:rPr>
              <w:t>2025</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BCF1BFB" w14:textId="77777777" w:rsidR="00025543" w:rsidRDefault="007E3A2F">
            <w:pPr>
              <w:pStyle w:val="P68B1DB1-Normal28"/>
              <w:spacing w:line="240" w:lineRule="auto"/>
              <w:rPr>
                <w:rFonts w:eastAsia="Times New Roman"/>
                <w:noProof/>
              </w:rPr>
            </w:pPr>
            <w:r>
              <w:rPr>
                <w:noProof/>
              </w:rPr>
              <w:t xml:space="preserve">La part modale des transports publics dans les villes tchèques de plus de 250 000 habitants et dans les villes tchèques de plus de 75 000 habitants augmentera du pourcentage précisé dans la colonne «Objectifs». </w:t>
            </w:r>
          </w:p>
        </w:tc>
      </w:tr>
      <w:tr w:rsidR="00025543" w14:paraId="03B65D3F" w14:textId="77777777">
        <w:trPr>
          <w:trHeight w:val="94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AF72D19" w14:textId="77777777" w:rsidR="00025543" w:rsidRDefault="007E3A2F">
            <w:pPr>
              <w:pStyle w:val="P68B1DB1-Normal28"/>
              <w:spacing w:line="240" w:lineRule="auto"/>
              <w:jc w:val="center"/>
              <w:rPr>
                <w:rFonts w:eastAsia="Times New Roman"/>
                <w:noProof/>
              </w:rPr>
            </w:pPr>
            <w:r>
              <w:rPr>
                <w:noProof/>
              </w:rPr>
              <w:t>82</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789CBB6" w14:textId="77777777" w:rsidR="00025543" w:rsidRDefault="007E3A2F">
            <w:pPr>
              <w:pStyle w:val="P68B1DB1-Normal28"/>
              <w:spacing w:line="240" w:lineRule="auto"/>
              <w:rPr>
                <w:rFonts w:eastAsia="Times New Roman"/>
                <w:noProof/>
              </w:rPr>
            </w:pPr>
            <w:r>
              <w:rPr>
                <w:noProof/>
              </w:rPr>
              <w:t>Réforme 1: Créer des alternatives à l’énergie et au transport routier à forte intensité spatiale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C58BE5D" w14:textId="77777777" w:rsidR="00025543" w:rsidRDefault="007E3A2F">
            <w:pPr>
              <w:pStyle w:val="P68B1DB1-Normal28"/>
              <w:spacing w:line="240" w:lineRule="auto"/>
              <w:rPr>
                <w:rFonts w:eastAsia="Times New Roman"/>
                <w:noProof/>
              </w:rPr>
            </w:pPr>
            <w:r>
              <w:rPr>
                <w:noProof/>
              </w:rPr>
              <w:t>Cible</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38BC6EF" w14:textId="77777777" w:rsidR="00025543" w:rsidRDefault="007E3A2F">
            <w:pPr>
              <w:pStyle w:val="P68B1DB1-Normal28"/>
              <w:spacing w:line="240" w:lineRule="auto"/>
              <w:rPr>
                <w:rFonts w:eastAsia="Times New Roman"/>
                <w:noProof/>
              </w:rPr>
            </w:pPr>
            <w:r>
              <w:rPr>
                <w:noProof/>
              </w:rPr>
              <w:t>Atteindre une part modale accrue du vélo dans les villes tchèques de plus de 250 000 habitants et dans les villes tchèques de plus de 75 000 habitants</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45B8DCC" w14:textId="77777777" w:rsidR="00025543" w:rsidRDefault="00025543">
            <w:pPr>
              <w:spacing w:line="240" w:lineRule="auto"/>
              <w:rPr>
                <w:rFonts w:eastAsia="Times New Roman"/>
                <w:noProof/>
                <w:color w:val="006100"/>
                <w:sz w:val="18"/>
              </w:rPr>
            </w:pP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75BB62E" w14:textId="77777777" w:rsidR="00025543" w:rsidRDefault="007E3A2F">
            <w:pPr>
              <w:pStyle w:val="P68B1DB1-Normal28"/>
              <w:spacing w:line="240" w:lineRule="auto"/>
              <w:rPr>
                <w:rFonts w:eastAsia="Times New Roman"/>
                <w:noProof/>
              </w:rPr>
            </w:pPr>
            <w:r>
              <w:rPr>
                <w:noProof/>
              </w:rPr>
              <w:t>% (part modale du vélo)</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468F248" w14:textId="77777777" w:rsidR="00025543" w:rsidRDefault="007E3A2F">
            <w:pPr>
              <w:pStyle w:val="P68B1DB1-Normal11"/>
              <w:spacing w:line="240" w:lineRule="auto"/>
              <w:jc w:val="center"/>
              <w:rPr>
                <w:noProof/>
              </w:rPr>
            </w:pPr>
            <w:r>
              <w:rPr>
                <w:noProof/>
              </w:rPr>
              <w:t>1 % dans les villes de plus de 250 000 habitants, 5 % dans les villes de plus de 75 000 habitants</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9237978" w14:textId="77777777" w:rsidR="00025543" w:rsidRDefault="007E3A2F">
            <w:pPr>
              <w:pStyle w:val="P68B1DB1-Normal11"/>
              <w:spacing w:line="240" w:lineRule="auto"/>
              <w:jc w:val="center"/>
              <w:rPr>
                <w:noProof/>
              </w:rPr>
            </w:pPr>
            <w:r>
              <w:rPr>
                <w:noProof/>
              </w:rPr>
              <w:t>5 % dans les villes de plus de 250 000 habitants, 10 % dans les villes de plus de 75 000 habitants</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0F7A4BF" w14:textId="77777777" w:rsidR="00025543" w:rsidRDefault="007E3A2F">
            <w:pPr>
              <w:pStyle w:val="P68B1DB1-Normal28"/>
              <w:spacing w:line="240" w:lineRule="auto"/>
              <w:jc w:val="center"/>
              <w:rPr>
                <w:rFonts w:eastAsia="Times New Roman"/>
                <w:noProof/>
              </w:rPr>
            </w:pPr>
            <w:r>
              <w:rPr>
                <w:noProof/>
              </w:rPr>
              <w:t>TRIMESTRE 4</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777F70C" w14:textId="77777777" w:rsidR="00025543" w:rsidRDefault="007E3A2F">
            <w:pPr>
              <w:pStyle w:val="P68B1DB1-Normal11"/>
              <w:spacing w:line="240" w:lineRule="auto"/>
              <w:jc w:val="center"/>
              <w:rPr>
                <w:noProof/>
              </w:rPr>
            </w:pPr>
            <w:r>
              <w:rPr>
                <w:noProof/>
              </w:rPr>
              <w:t>2025</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04D6207" w14:textId="77777777" w:rsidR="00025543" w:rsidRDefault="007E3A2F">
            <w:pPr>
              <w:pStyle w:val="P68B1DB1-Normal28"/>
              <w:spacing w:line="240" w:lineRule="auto"/>
              <w:rPr>
                <w:rFonts w:eastAsia="Times New Roman"/>
                <w:noProof/>
              </w:rPr>
            </w:pPr>
            <w:r>
              <w:rPr>
                <w:noProof/>
              </w:rPr>
              <w:t>La part modale du vélo dans les villes tchèques de plus de 250 000 habitants et dans les villes tchèques de plus de 75 000 habitants augmentera du pourcentage précisé dans la colonne «Objectifs».</w:t>
            </w:r>
          </w:p>
        </w:tc>
      </w:tr>
      <w:tr w:rsidR="00025543" w14:paraId="2CD34970" w14:textId="77777777">
        <w:trPr>
          <w:trHeight w:val="94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623DDEE" w14:textId="77777777" w:rsidR="00025543" w:rsidRDefault="007E3A2F">
            <w:pPr>
              <w:pStyle w:val="P68B1DB1-Normal28"/>
              <w:spacing w:line="259" w:lineRule="auto"/>
              <w:jc w:val="center"/>
              <w:rPr>
                <w:noProof/>
              </w:rPr>
            </w:pPr>
            <w:r>
              <w:rPr>
                <w:noProof/>
              </w:rPr>
              <w:t>83</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905B51A" w14:textId="77777777" w:rsidR="00025543" w:rsidRDefault="007E3A2F">
            <w:pPr>
              <w:pStyle w:val="P68B1DB1-Normal28"/>
              <w:spacing w:line="259" w:lineRule="auto"/>
              <w:rPr>
                <w:noProof/>
              </w:rPr>
            </w:pPr>
            <w:r>
              <w:rPr>
                <w:noProof/>
              </w:rPr>
              <w:t>Investissement 1: Nouvelles technologies et numérisation de l’infrastructure ferroviaire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B015E6A" w14:textId="77777777" w:rsidR="00025543" w:rsidRDefault="007E3A2F">
            <w:pPr>
              <w:pStyle w:val="P68B1DB1-Normal28"/>
              <w:spacing w:line="259" w:lineRule="auto"/>
              <w:rPr>
                <w:noProof/>
              </w:rPr>
            </w:pPr>
            <w:r>
              <w:rPr>
                <w:noProof/>
              </w:rPr>
              <w:t>Étapes</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E8FFCA5" w14:textId="77777777" w:rsidR="00025543" w:rsidRDefault="007E3A2F">
            <w:pPr>
              <w:pStyle w:val="P68B1DB1-Normal28"/>
              <w:spacing w:line="259" w:lineRule="auto"/>
              <w:rPr>
                <w:noProof/>
              </w:rPr>
            </w:pPr>
            <w:r>
              <w:rPr>
                <w:noProof/>
              </w:rPr>
              <w:t>Définition de l’ensemble de projets d’investissement 1</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4DC349C" w14:textId="77777777" w:rsidR="00025543" w:rsidRDefault="007E3A2F">
            <w:pPr>
              <w:pStyle w:val="P68B1DB1-Normal28"/>
              <w:spacing w:line="259" w:lineRule="auto"/>
              <w:rPr>
                <w:noProof/>
              </w:rPr>
            </w:pPr>
            <w:r>
              <w:rPr>
                <w:noProof/>
              </w:rPr>
              <w:t>Définition de l’ensemble de projets par le ministère des transports</w:t>
            </w: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EDB2961" w14:textId="77777777" w:rsidR="00025543" w:rsidRDefault="00025543">
            <w:pPr>
              <w:spacing w:line="259" w:lineRule="auto"/>
              <w:rPr>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8CF2682" w14:textId="77777777" w:rsidR="00025543" w:rsidRDefault="00025543">
            <w:pPr>
              <w:spacing w:line="259" w:lineRule="auto"/>
              <w:rPr>
                <w:noProof/>
                <w:color w:val="006100"/>
                <w:sz w:val="18"/>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E0532E1" w14:textId="77777777" w:rsidR="00025543" w:rsidRDefault="00025543">
            <w:pPr>
              <w:spacing w:line="259" w:lineRule="auto"/>
              <w:rPr>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87D998F" w14:textId="77777777" w:rsidR="00025543" w:rsidRDefault="007E3A2F">
            <w:pPr>
              <w:pStyle w:val="P68B1DB1-Normal28"/>
              <w:spacing w:line="259" w:lineRule="auto"/>
              <w:jc w:val="center"/>
              <w:rPr>
                <w:noProof/>
              </w:rPr>
            </w:pPr>
            <w:r>
              <w:rPr>
                <w:noProof/>
              </w:rPr>
              <w:t>TRIMESTRE 2</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578E928" w14:textId="77777777" w:rsidR="00025543" w:rsidRDefault="007E3A2F">
            <w:pPr>
              <w:pStyle w:val="P68B1DB1-Normal28"/>
              <w:spacing w:line="259" w:lineRule="auto"/>
              <w:rPr>
                <w:noProof/>
              </w:rPr>
            </w:pPr>
            <w:r>
              <w:rPr>
                <w:noProof/>
              </w:rPr>
              <w:t>2022</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A954DB7" w14:textId="77777777" w:rsidR="00025543" w:rsidRDefault="007E3A2F">
            <w:pPr>
              <w:pStyle w:val="P68B1DB1-Normal28"/>
              <w:spacing w:line="240" w:lineRule="auto"/>
              <w:rPr>
                <w:noProof/>
              </w:rPr>
            </w:pPr>
            <w:r>
              <w:rPr>
                <w:noProof/>
              </w:rPr>
              <w:t>Définition de l’ensemble de projets de 41 km de lignes couvertes par le système mondial de communications mobiles — chemin de fer (GSM-R), 20 stations émettrices de base nouvellement installées ou plus fiables et mise en œuvre de nouvelles technologies et de nouveaux équipements pour la gestion du trafic ferroviaire.</w:t>
            </w:r>
          </w:p>
        </w:tc>
      </w:tr>
      <w:tr w:rsidR="00025543" w14:paraId="632192A8" w14:textId="77777777">
        <w:trPr>
          <w:trHeight w:val="94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0B50D01" w14:textId="77777777" w:rsidR="00025543" w:rsidRDefault="007E3A2F">
            <w:pPr>
              <w:pStyle w:val="P68B1DB1-Normal28"/>
              <w:spacing w:line="240" w:lineRule="auto"/>
              <w:jc w:val="center"/>
              <w:rPr>
                <w:noProof/>
              </w:rPr>
            </w:pPr>
            <w:r>
              <w:rPr>
                <w:noProof/>
              </w:rPr>
              <w:t>84</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CC0A57E" w14:textId="77777777" w:rsidR="00025543" w:rsidRDefault="007E3A2F">
            <w:pPr>
              <w:pStyle w:val="P68B1DB1-Normal28"/>
              <w:spacing w:line="240" w:lineRule="auto"/>
              <w:rPr>
                <w:rFonts w:eastAsia="Times New Roman"/>
                <w:noProof/>
              </w:rPr>
            </w:pPr>
            <w:r>
              <w:rPr>
                <w:noProof/>
              </w:rPr>
              <w:t>Investissement 1: Nouvelles technologies et numérisation de l’infrastructure ferroviaire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599D394" w14:textId="77777777" w:rsidR="00025543" w:rsidRDefault="007E3A2F">
            <w:pPr>
              <w:pStyle w:val="P68B1DB1-Normal28"/>
              <w:spacing w:line="240" w:lineRule="auto"/>
              <w:rPr>
                <w:rFonts w:eastAsia="Times New Roman"/>
                <w:noProof/>
              </w:rPr>
            </w:pPr>
            <w:r>
              <w:rPr>
                <w:noProof/>
              </w:rPr>
              <w:t>Cible</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9569188" w14:textId="77777777" w:rsidR="00025543" w:rsidRDefault="007E3A2F">
            <w:pPr>
              <w:pStyle w:val="P68B1DB1-Normal28"/>
              <w:spacing w:line="240" w:lineRule="auto"/>
              <w:rPr>
                <w:rFonts w:eastAsia="Times New Roman"/>
                <w:noProof/>
              </w:rPr>
            </w:pPr>
            <w:r>
              <w:rPr>
                <w:noProof/>
              </w:rPr>
              <w:t>Achèvement de deux projets issus d’un ensemble prédéfini de projets.</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919F42A" w14:textId="77777777" w:rsidR="00025543" w:rsidRDefault="00025543">
            <w:pPr>
              <w:spacing w:line="240" w:lineRule="auto"/>
              <w:rPr>
                <w:rFonts w:eastAsia="Times New Roman"/>
                <w:noProof/>
                <w:color w:val="006100"/>
                <w:sz w:val="18"/>
              </w:rPr>
            </w:pP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3B89625" w14:textId="77777777" w:rsidR="00025543" w:rsidRDefault="007E3A2F">
            <w:pPr>
              <w:pStyle w:val="P68B1DB1-Normal28"/>
              <w:spacing w:line="240" w:lineRule="auto"/>
              <w:rPr>
                <w:rFonts w:eastAsia="Times New Roman"/>
                <w:noProof/>
              </w:rPr>
            </w:pPr>
            <w:r>
              <w:rPr>
                <w:noProof/>
              </w:rPr>
              <w:t>Nombre de projets</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B64EDB3" w14:textId="77777777" w:rsidR="00025543" w:rsidRDefault="007E3A2F">
            <w:pPr>
              <w:pStyle w:val="P68B1DB1-Normal11"/>
              <w:spacing w:line="240" w:lineRule="auto"/>
              <w:jc w:val="center"/>
              <w:rPr>
                <w:noProof/>
              </w:rPr>
            </w:pPr>
            <w:r>
              <w:rPr>
                <w:noProof/>
              </w:rPr>
              <w:t>0</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9FFA0DB" w14:textId="77777777" w:rsidR="00025543" w:rsidRDefault="007E3A2F">
            <w:pPr>
              <w:pStyle w:val="P68B1DB1-Normal11"/>
              <w:spacing w:line="240" w:lineRule="auto"/>
              <w:jc w:val="center"/>
              <w:rPr>
                <w:noProof/>
              </w:rPr>
            </w:pPr>
            <w:r>
              <w:rPr>
                <w:noProof/>
              </w:rPr>
              <w:t>2</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ECAA735" w14:textId="77777777" w:rsidR="00025543" w:rsidRDefault="007E3A2F">
            <w:pPr>
              <w:pStyle w:val="P68B1DB1-Normal28"/>
              <w:spacing w:line="240" w:lineRule="auto"/>
              <w:jc w:val="center"/>
              <w:rPr>
                <w:rFonts w:eastAsia="Times New Roman"/>
                <w:noProof/>
              </w:rPr>
            </w:pPr>
            <w:r>
              <w:rPr>
                <w:noProof/>
              </w:rPr>
              <w:t>TRIMESTRE 2</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F7D7831" w14:textId="77777777" w:rsidR="00025543" w:rsidRDefault="007E3A2F">
            <w:pPr>
              <w:pStyle w:val="P68B1DB1-Normal11"/>
              <w:spacing w:line="240" w:lineRule="auto"/>
              <w:jc w:val="center"/>
              <w:rPr>
                <w:noProof/>
              </w:rPr>
            </w:pPr>
            <w:r>
              <w:rPr>
                <w:noProof/>
              </w:rPr>
              <w:t>2024</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B78C4C4" w14:textId="77777777" w:rsidR="00025543" w:rsidRDefault="007E3A2F">
            <w:pPr>
              <w:pStyle w:val="P68B1DB1-Normal28"/>
              <w:spacing w:line="240" w:lineRule="auto"/>
              <w:rPr>
                <w:rFonts w:eastAsia="Times New Roman"/>
                <w:noProof/>
              </w:rPr>
            </w:pPr>
            <w:r>
              <w:rPr>
                <w:noProof/>
              </w:rPr>
              <w:t>Achèvement de deux projets issus de l’ensemble prédéfini de projets de 41 km de lignes couvertes par le système mondial de communications mobiles — chemin de fer (GSM-R), 20 stations émettrices de base (BTS) nouvellement installées ou plus fiables et mise en œuvre de nouvelles technologies et équipements pour la gestion du trafic ferroviaire.</w:t>
            </w:r>
          </w:p>
        </w:tc>
      </w:tr>
      <w:tr w:rsidR="00025543" w14:paraId="4F33EE24" w14:textId="77777777">
        <w:trPr>
          <w:trHeight w:val="94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A040FD3" w14:textId="77777777" w:rsidR="00025543" w:rsidRDefault="007E3A2F">
            <w:pPr>
              <w:pStyle w:val="P68B1DB1-Normal28"/>
              <w:spacing w:line="240" w:lineRule="auto"/>
              <w:jc w:val="center"/>
              <w:rPr>
                <w:noProof/>
              </w:rPr>
            </w:pPr>
            <w:r>
              <w:rPr>
                <w:noProof/>
              </w:rPr>
              <w:t>85</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8DFCE7F" w14:textId="77777777" w:rsidR="00025543" w:rsidRDefault="007E3A2F">
            <w:pPr>
              <w:pStyle w:val="P68B1DB1-Normal28"/>
              <w:spacing w:line="240" w:lineRule="auto"/>
              <w:rPr>
                <w:rFonts w:eastAsia="Times New Roman"/>
                <w:noProof/>
              </w:rPr>
            </w:pPr>
            <w:r>
              <w:rPr>
                <w:noProof/>
              </w:rPr>
              <w:t>Investissement 1: Nouvelles technologies et numérisation de l’infrastructure ferroviaire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D01A47F" w14:textId="77777777" w:rsidR="00025543" w:rsidRDefault="007E3A2F">
            <w:pPr>
              <w:pStyle w:val="P68B1DB1-Normal28"/>
              <w:spacing w:line="240" w:lineRule="auto"/>
              <w:rPr>
                <w:rFonts w:eastAsia="Times New Roman"/>
                <w:noProof/>
              </w:rPr>
            </w:pPr>
            <w:r>
              <w:rPr>
                <w:noProof/>
              </w:rPr>
              <w:t>Cible</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310651E" w14:textId="77777777" w:rsidR="00025543" w:rsidRDefault="007E3A2F">
            <w:pPr>
              <w:pStyle w:val="P68B1DB1-Normal28"/>
              <w:spacing w:line="240" w:lineRule="auto"/>
              <w:rPr>
                <w:rFonts w:eastAsia="Times New Roman"/>
                <w:noProof/>
              </w:rPr>
            </w:pPr>
            <w:r>
              <w:rPr>
                <w:noProof/>
              </w:rPr>
              <w:t>Achèvement de six projets supplémentaires issus d’un ensemble prédéfini de projets.</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7040698" w14:textId="77777777" w:rsidR="00025543" w:rsidRDefault="00025543">
            <w:pPr>
              <w:spacing w:line="240" w:lineRule="auto"/>
              <w:rPr>
                <w:rFonts w:eastAsia="Times New Roman"/>
                <w:noProof/>
                <w:color w:val="006100"/>
                <w:sz w:val="18"/>
              </w:rPr>
            </w:pP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07DAEC4" w14:textId="77777777" w:rsidR="00025543" w:rsidRDefault="007E3A2F">
            <w:pPr>
              <w:pStyle w:val="P68B1DB1-Normal28"/>
              <w:spacing w:line="240" w:lineRule="auto"/>
              <w:rPr>
                <w:rFonts w:eastAsia="Times New Roman"/>
                <w:noProof/>
              </w:rPr>
            </w:pPr>
            <w:r>
              <w:rPr>
                <w:noProof/>
              </w:rPr>
              <w:t>Nombre de projets</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0A65BDC" w14:textId="77777777" w:rsidR="00025543" w:rsidRDefault="007E3A2F">
            <w:pPr>
              <w:pStyle w:val="P68B1DB1-Normal11"/>
              <w:spacing w:line="240" w:lineRule="auto"/>
              <w:jc w:val="center"/>
              <w:rPr>
                <w:noProof/>
              </w:rPr>
            </w:pPr>
            <w:r>
              <w:rPr>
                <w:noProof/>
              </w:rPr>
              <w:t>2</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91EEBC6" w14:textId="77777777" w:rsidR="00025543" w:rsidRDefault="007E3A2F">
            <w:pPr>
              <w:pStyle w:val="P68B1DB1-Normal11"/>
              <w:spacing w:line="240" w:lineRule="auto"/>
              <w:jc w:val="center"/>
              <w:rPr>
                <w:noProof/>
              </w:rPr>
            </w:pPr>
            <w:r>
              <w:rPr>
                <w:noProof/>
              </w:rPr>
              <w:t>8</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247F780" w14:textId="77777777" w:rsidR="00025543" w:rsidRDefault="007E3A2F">
            <w:pPr>
              <w:pStyle w:val="P68B1DB1-Normal28"/>
              <w:spacing w:line="240" w:lineRule="auto"/>
              <w:jc w:val="center"/>
              <w:rPr>
                <w:rFonts w:eastAsia="Times New Roman"/>
                <w:noProof/>
              </w:rPr>
            </w:pPr>
            <w:r>
              <w:rPr>
                <w:noProof/>
              </w:rPr>
              <w:t>TRIMESTRE 4</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DEECAE8" w14:textId="77777777" w:rsidR="00025543" w:rsidRDefault="007E3A2F">
            <w:pPr>
              <w:pStyle w:val="P68B1DB1-Normal11"/>
              <w:spacing w:line="240" w:lineRule="auto"/>
              <w:jc w:val="center"/>
              <w:rPr>
                <w:noProof/>
              </w:rPr>
            </w:pPr>
            <w:r>
              <w:rPr>
                <w:noProof/>
              </w:rPr>
              <w:t>2024</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CEB0538" w14:textId="77777777" w:rsidR="00025543" w:rsidRDefault="007E3A2F">
            <w:pPr>
              <w:pStyle w:val="P68B1DB1-Normal28"/>
              <w:spacing w:line="240" w:lineRule="auto"/>
              <w:rPr>
                <w:rFonts w:eastAsia="Times New Roman"/>
                <w:noProof/>
              </w:rPr>
            </w:pPr>
            <w:r>
              <w:rPr>
                <w:noProof/>
              </w:rPr>
              <w:t>Achèvement de six projets supplémentaires (8 au total) issus de l’ensemble prédéfini de projets de 41 km de lignes couvertes par le système mondial de communications mobiles — chemin de fer (GSM-R), 20 stations émettrices de base nouvellement installées ou plus fiables et mise en œuvre de nouvelles technologies et équipements pour la gestion du trafic ferroviaire.</w:t>
            </w:r>
          </w:p>
        </w:tc>
      </w:tr>
      <w:tr w:rsidR="00025543" w14:paraId="2B92C4EB" w14:textId="77777777">
        <w:trPr>
          <w:trHeight w:val="298"/>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643A8C8" w14:textId="77777777" w:rsidR="00025543" w:rsidRDefault="007E3A2F">
            <w:pPr>
              <w:pStyle w:val="P68B1DB1-Normal28"/>
              <w:spacing w:line="259" w:lineRule="auto"/>
              <w:jc w:val="center"/>
              <w:rPr>
                <w:noProof/>
              </w:rPr>
            </w:pPr>
            <w:r>
              <w:rPr>
                <w:noProof/>
              </w:rPr>
              <w:t>86</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CAEC1FF" w14:textId="77777777" w:rsidR="00025543" w:rsidRDefault="007E3A2F">
            <w:pPr>
              <w:pStyle w:val="P68B1DB1-Normal28"/>
              <w:spacing w:line="259" w:lineRule="auto"/>
              <w:rPr>
                <w:noProof/>
              </w:rPr>
            </w:pPr>
            <w:r>
              <w:rPr>
                <w:noProof/>
              </w:rPr>
              <w:t>Investissement 2: Électrification des chemins de fer</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755161A" w14:textId="77777777" w:rsidR="00025543" w:rsidRDefault="007E3A2F">
            <w:pPr>
              <w:pStyle w:val="P68B1DB1-Normal28"/>
              <w:spacing w:line="259" w:lineRule="auto"/>
              <w:rPr>
                <w:noProof/>
              </w:rPr>
            </w:pPr>
            <w:r>
              <w:rPr>
                <w:noProof/>
              </w:rPr>
              <w:t>Étapes</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63D9B58" w14:textId="77777777" w:rsidR="00025543" w:rsidRDefault="007E3A2F">
            <w:pPr>
              <w:pStyle w:val="P68B1DB1-Normal28"/>
              <w:spacing w:line="259" w:lineRule="auto"/>
              <w:rPr>
                <w:noProof/>
              </w:rPr>
            </w:pPr>
            <w:r>
              <w:rPr>
                <w:noProof/>
              </w:rPr>
              <w:t>Définition de l’ensemble de projets d’investissement 2</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47D45C6" w14:textId="77777777" w:rsidR="00025543" w:rsidRDefault="007E3A2F">
            <w:pPr>
              <w:pStyle w:val="P68B1DB1-Normal28"/>
              <w:spacing w:line="259" w:lineRule="auto"/>
              <w:rPr>
                <w:noProof/>
              </w:rPr>
            </w:pPr>
            <w:r>
              <w:rPr>
                <w:noProof/>
              </w:rPr>
              <w:t>Définition de l’ensemble de projets par le ministère des transports</w:t>
            </w: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4EAAFB9" w14:textId="77777777" w:rsidR="00025543" w:rsidRDefault="00025543">
            <w:pPr>
              <w:spacing w:line="259" w:lineRule="auto"/>
              <w:jc w:val="center"/>
              <w:rPr>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A640A2C" w14:textId="77777777" w:rsidR="00025543" w:rsidRDefault="00025543">
            <w:pPr>
              <w:spacing w:line="259" w:lineRule="auto"/>
              <w:jc w:val="center"/>
              <w:rPr>
                <w:noProof/>
                <w:color w:val="006100"/>
                <w:sz w:val="18"/>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AE71C24" w14:textId="77777777" w:rsidR="00025543" w:rsidRDefault="00025543">
            <w:pPr>
              <w:spacing w:line="259" w:lineRule="auto"/>
              <w:jc w:val="center"/>
              <w:rPr>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F2F68F7" w14:textId="77777777" w:rsidR="00025543" w:rsidRDefault="007E3A2F">
            <w:pPr>
              <w:pStyle w:val="P68B1DB1-Normal28"/>
              <w:spacing w:line="259" w:lineRule="auto"/>
              <w:jc w:val="center"/>
              <w:rPr>
                <w:noProof/>
              </w:rPr>
            </w:pPr>
            <w:r>
              <w:rPr>
                <w:noProof/>
              </w:rPr>
              <w:t>TRIMESTRE 2</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8DACE67" w14:textId="77777777" w:rsidR="00025543" w:rsidRDefault="007E3A2F">
            <w:pPr>
              <w:pStyle w:val="P68B1DB1-Normal28"/>
              <w:spacing w:line="259" w:lineRule="auto"/>
              <w:jc w:val="center"/>
              <w:rPr>
                <w:noProof/>
              </w:rPr>
            </w:pPr>
            <w:r>
              <w:rPr>
                <w:noProof/>
              </w:rPr>
              <w:t>2022</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D2D3D3A" w14:textId="77777777" w:rsidR="00025543" w:rsidRDefault="007E3A2F">
            <w:pPr>
              <w:pStyle w:val="P68B1DB1-Normal28"/>
              <w:spacing w:line="259" w:lineRule="auto"/>
              <w:rPr>
                <w:noProof/>
              </w:rPr>
            </w:pPr>
            <w:r>
              <w:rPr>
                <w:noProof/>
              </w:rPr>
              <w:t>Définition d’un ensemble de projets comprenant 39,7 km de lignes électrifiées et 4 stations d’alimentation de traction à puissance accrue ou nouvellement construites.</w:t>
            </w:r>
          </w:p>
        </w:tc>
      </w:tr>
      <w:tr w:rsidR="00025543" w14:paraId="2111B60D" w14:textId="77777777">
        <w:trPr>
          <w:trHeight w:val="94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89945F6" w14:textId="77777777" w:rsidR="00025543" w:rsidRDefault="007E3A2F">
            <w:pPr>
              <w:pStyle w:val="P68B1DB1-Normal28"/>
              <w:spacing w:line="259" w:lineRule="auto"/>
              <w:jc w:val="center"/>
              <w:rPr>
                <w:noProof/>
              </w:rPr>
            </w:pPr>
            <w:r>
              <w:rPr>
                <w:noProof/>
              </w:rPr>
              <w:t>87</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B1DB8FE" w14:textId="77777777" w:rsidR="00025543" w:rsidRDefault="007E3A2F">
            <w:pPr>
              <w:pStyle w:val="P68B1DB1-Normal28"/>
              <w:spacing w:line="240" w:lineRule="auto"/>
              <w:rPr>
                <w:rFonts w:eastAsia="Times New Roman"/>
                <w:noProof/>
              </w:rPr>
            </w:pPr>
            <w:r>
              <w:rPr>
                <w:noProof/>
              </w:rPr>
              <w:t>Investissement 2: Électrification des chemins de fer</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E4EE52D" w14:textId="77777777" w:rsidR="00025543" w:rsidRDefault="007E3A2F">
            <w:pPr>
              <w:pStyle w:val="P68B1DB1-Normal28"/>
              <w:spacing w:line="240" w:lineRule="auto"/>
              <w:rPr>
                <w:rFonts w:eastAsia="Times New Roman"/>
                <w:noProof/>
              </w:rPr>
            </w:pPr>
            <w:r>
              <w:rPr>
                <w:noProof/>
              </w:rPr>
              <w:t>Cible</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3BAE7C1" w14:textId="77777777" w:rsidR="00025543" w:rsidRDefault="007E3A2F">
            <w:pPr>
              <w:pStyle w:val="P68B1DB1-Normal28"/>
              <w:spacing w:line="240" w:lineRule="auto"/>
              <w:rPr>
                <w:rFonts w:eastAsia="Times New Roman"/>
                <w:noProof/>
              </w:rPr>
            </w:pPr>
            <w:r>
              <w:rPr>
                <w:noProof/>
              </w:rPr>
              <w:t xml:space="preserve">Achèvement de deux projets issus d’un ensemble prédéfini de projets </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459D36C" w14:textId="77777777" w:rsidR="00025543" w:rsidRDefault="00025543">
            <w:pPr>
              <w:spacing w:line="240" w:lineRule="auto"/>
              <w:rPr>
                <w:rFonts w:eastAsia="Times New Roman"/>
                <w:noProof/>
                <w:color w:val="006100"/>
                <w:sz w:val="18"/>
              </w:rPr>
            </w:pP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51096D2" w14:textId="77777777" w:rsidR="00025543" w:rsidRDefault="007E3A2F">
            <w:pPr>
              <w:pStyle w:val="P68B1DB1-Normal28"/>
              <w:spacing w:line="240" w:lineRule="auto"/>
              <w:rPr>
                <w:rFonts w:eastAsia="Times New Roman"/>
                <w:noProof/>
              </w:rPr>
            </w:pPr>
            <w:r>
              <w:rPr>
                <w:noProof/>
              </w:rPr>
              <w:t>Nombre de projets</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876E627" w14:textId="77777777" w:rsidR="00025543" w:rsidRDefault="007E3A2F">
            <w:pPr>
              <w:pStyle w:val="P68B1DB1-Normal11"/>
              <w:spacing w:line="240" w:lineRule="auto"/>
              <w:jc w:val="center"/>
              <w:rPr>
                <w:noProof/>
              </w:rPr>
            </w:pPr>
            <w:r>
              <w:rPr>
                <w:noProof/>
              </w:rPr>
              <w:t>0</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4686DA4" w14:textId="77777777" w:rsidR="00025543" w:rsidRDefault="007E3A2F">
            <w:pPr>
              <w:pStyle w:val="P68B1DB1-Normal11"/>
              <w:spacing w:line="240" w:lineRule="auto"/>
              <w:jc w:val="center"/>
              <w:rPr>
                <w:noProof/>
              </w:rPr>
            </w:pPr>
            <w:r>
              <w:rPr>
                <w:noProof/>
              </w:rPr>
              <w:t>2</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542EFA4" w14:textId="77777777" w:rsidR="00025543" w:rsidRDefault="007E3A2F">
            <w:pPr>
              <w:pStyle w:val="P68B1DB1-Normal28"/>
              <w:spacing w:line="240" w:lineRule="auto"/>
              <w:jc w:val="center"/>
              <w:rPr>
                <w:rFonts w:eastAsia="Times New Roman"/>
                <w:noProof/>
              </w:rPr>
            </w:pPr>
            <w:r>
              <w:rPr>
                <w:noProof/>
              </w:rPr>
              <w:t>TRIMESTRE 2</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3F02FDB" w14:textId="77777777" w:rsidR="00025543" w:rsidRDefault="007E3A2F">
            <w:pPr>
              <w:pStyle w:val="P68B1DB1-Normal11"/>
              <w:spacing w:line="240" w:lineRule="auto"/>
              <w:jc w:val="center"/>
              <w:rPr>
                <w:noProof/>
              </w:rPr>
            </w:pPr>
            <w:r>
              <w:rPr>
                <w:noProof/>
              </w:rPr>
              <w:t>2023</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068D721" w14:textId="77777777" w:rsidR="00025543" w:rsidRDefault="007E3A2F">
            <w:pPr>
              <w:pStyle w:val="P68B1DB1-Normal28"/>
              <w:spacing w:line="240" w:lineRule="auto"/>
              <w:rPr>
                <w:rFonts w:eastAsia="Times New Roman"/>
                <w:noProof/>
              </w:rPr>
            </w:pPr>
            <w:r>
              <w:rPr>
                <w:noProof/>
              </w:rPr>
              <w:t>Achèvement de deux projets de l’ensemble prédéfini de projets comprenant 39,7 km de lignes électrifiées et 4 stations d’alimentation de traction à puissance accrue ou nouvellement construites.</w:t>
            </w:r>
          </w:p>
        </w:tc>
      </w:tr>
      <w:tr w:rsidR="00025543" w14:paraId="273C5916" w14:textId="77777777">
        <w:trPr>
          <w:trHeight w:val="94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F81D8E1" w14:textId="77777777" w:rsidR="00025543" w:rsidRDefault="007E3A2F">
            <w:pPr>
              <w:pStyle w:val="P68B1DB1-Normal28"/>
              <w:spacing w:line="240" w:lineRule="auto"/>
              <w:jc w:val="center"/>
              <w:rPr>
                <w:noProof/>
              </w:rPr>
            </w:pPr>
            <w:r>
              <w:rPr>
                <w:noProof/>
              </w:rPr>
              <w:t>88</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36A0681" w14:textId="77777777" w:rsidR="00025543" w:rsidRDefault="007E3A2F">
            <w:pPr>
              <w:pStyle w:val="P68B1DB1-Normal28"/>
              <w:spacing w:line="240" w:lineRule="auto"/>
              <w:rPr>
                <w:rFonts w:eastAsia="Times New Roman"/>
                <w:noProof/>
              </w:rPr>
            </w:pPr>
            <w:r>
              <w:rPr>
                <w:noProof/>
              </w:rPr>
              <w:t>Investissement 2: Électrification des chemins de fer</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58869BD" w14:textId="77777777" w:rsidR="00025543" w:rsidRDefault="007E3A2F">
            <w:pPr>
              <w:pStyle w:val="P68B1DB1-Normal28"/>
              <w:spacing w:line="240" w:lineRule="auto"/>
              <w:rPr>
                <w:rFonts w:eastAsia="Times New Roman"/>
                <w:noProof/>
              </w:rPr>
            </w:pPr>
            <w:r>
              <w:rPr>
                <w:noProof/>
              </w:rPr>
              <w:t>Cible</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D4D60A3" w14:textId="77777777" w:rsidR="00025543" w:rsidRDefault="007E3A2F">
            <w:pPr>
              <w:pStyle w:val="P68B1DB1-Normal28"/>
              <w:spacing w:line="240" w:lineRule="auto"/>
              <w:rPr>
                <w:rFonts w:eastAsia="Times New Roman"/>
                <w:noProof/>
              </w:rPr>
            </w:pPr>
            <w:r>
              <w:rPr>
                <w:noProof/>
              </w:rPr>
              <w:t xml:space="preserve">Achèvement de six projets supplémentaires issus d’un ensemble prédéfini de projets </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C81130C" w14:textId="77777777" w:rsidR="00025543" w:rsidRDefault="00025543">
            <w:pPr>
              <w:spacing w:line="240" w:lineRule="auto"/>
              <w:rPr>
                <w:rFonts w:eastAsia="Times New Roman"/>
                <w:noProof/>
                <w:color w:val="006100"/>
                <w:sz w:val="18"/>
              </w:rPr>
            </w:pP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EC4984A" w14:textId="77777777" w:rsidR="00025543" w:rsidRDefault="007E3A2F">
            <w:pPr>
              <w:pStyle w:val="P68B1DB1-Normal28"/>
              <w:spacing w:line="240" w:lineRule="auto"/>
              <w:rPr>
                <w:rFonts w:eastAsia="Times New Roman"/>
                <w:noProof/>
              </w:rPr>
            </w:pPr>
            <w:r>
              <w:rPr>
                <w:noProof/>
              </w:rPr>
              <w:t>Nombre de projets</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7131C10" w14:textId="77777777" w:rsidR="00025543" w:rsidRDefault="007E3A2F">
            <w:pPr>
              <w:pStyle w:val="P68B1DB1-Normal11"/>
              <w:spacing w:line="240" w:lineRule="auto"/>
              <w:jc w:val="center"/>
              <w:rPr>
                <w:noProof/>
              </w:rPr>
            </w:pPr>
            <w:r>
              <w:rPr>
                <w:noProof/>
              </w:rPr>
              <w:t>2</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32848BC" w14:textId="77777777" w:rsidR="00025543" w:rsidRDefault="007E3A2F">
            <w:pPr>
              <w:pStyle w:val="P68B1DB1-Normal11"/>
              <w:spacing w:line="240" w:lineRule="auto"/>
              <w:jc w:val="center"/>
              <w:rPr>
                <w:noProof/>
              </w:rPr>
            </w:pPr>
            <w:r>
              <w:rPr>
                <w:noProof/>
              </w:rPr>
              <w:t>8</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B7B339B" w14:textId="77777777" w:rsidR="00025543" w:rsidRDefault="007E3A2F">
            <w:pPr>
              <w:pStyle w:val="P68B1DB1-Normal28"/>
              <w:spacing w:line="240" w:lineRule="auto"/>
              <w:jc w:val="center"/>
              <w:rPr>
                <w:rFonts w:eastAsia="Times New Roman"/>
                <w:noProof/>
              </w:rPr>
            </w:pPr>
            <w:r>
              <w:rPr>
                <w:noProof/>
              </w:rPr>
              <w:t>TRIMESTRE 2</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0779CF2" w14:textId="77777777" w:rsidR="00025543" w:rsidRDefault="007E3A2F">
            <w:pPr>
              <w:pStyle w:val="P68B1DB1-Normal11"/>
              <w:spacing w:line="240" w:lineRule="auto"/>
              <w:jc w:val="center"/>
              <w:rPr>
                <w:noProof/>
              </w:rPr>
            </w:pPr>
            <w:r>
              <w:rPr>
                <w:noProof/>
              </w:rPr>
              <w:t>2024</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7CCCF60" w14:textId="73784E9A" w:rsidR="00025543" w:rsidRDefault="007E3A2F">
            <w:pPr>
              <w:pStyle w:val="P68B1DB1-Normal28"/>
              <w:spacing w:line="240" w:lineRule="auto"/>
              <w:rPr>
                <w:rFonts w:eastAsia="Times New Roman"/>
                <w:noProof/>
              </w:rPr>
            </w:pPr>
            <w:r>
              <w:rPr>
                <w:noProof/>
              </w:rPr>
              <w:t>Achèvement de six projets supplémentaires (8 au total) issus de l’ensemble prédéfini de projets comprenant 39,7 km de lignes électrifiées et 4 stations d’alimentation de traction à puissance accrue ou nouvellement construites.</w:t>
            </w:r>
          </w:p>
        </w:tc>
      </w:tr>
      <w:tr w:rsidR="00025543" w14:paraId="67063508" w14:textId="77777777">
        <w:trPr>
          <w:trHeight w:val="94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1327835" w14:textId="77777777" w:rsidR="00025543" w:rsidRDefault="007E3A2F">
            <w:pPr>
              <w:pStyle w:val="P68B1DB1-Normal28"/>
              <w:spacing w:line="259" w:lineRule="auto"/>
              <w:jc w:val="center"/>
              <w:rPr>
                <w:noProof/>
              </w:rPr>
            </w:pPr>
            <w:r>
              <w:rPr>
                <w:noProof/>
              </w:rPr>
              <w:t>89</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83A7394" w14:textId="77777777" w:rsidR="00025543" w:rsidRDefault="007E3A2F">
            <w:pPr>
              <w:pStyle w:val="P68B1DB1-Normal28"/>
              <w:spacing w:line="259" w:lineRule="auto"/>
              <w:rPr>
                <w:noProof/>
              </w:rPr>
            </w:pPr>
            <w:r>
              <w:rPr>
                <w:noProof/>
              </w:rPr>
              <w:t>Investissement 3: Amélioration de l’environnement (soutien à l’infrastructure ferroviaire)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570C4F1" w14:textId="77777777" w:rsidR="00025543" w:rsidRDefault="007E3A2F">
            <w:pPr>
              <w:pStyle w:val="P68B1DB1-Normal28"/>
              <w:spacing w:line="259" w:lineRule="auto"/>
              <w:rPr>
                <w:noProof/>
              </w:rPr>
            </w:pPr>
            <w:r>
              <w:rPr>
                <w:noProof/>
              </w:rPr>
              <w:t>Étapes</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24012AA" w14:textId="77777777" w:rsidR="00025543" w:rsidRDefault="007E3A2F">
            <w:pPr>
              <w:pStyle w:val="P68B1DB1-Normal28"/>
              <w:spacing w:line="259" w:lineRule="auto"/>
              <w:rPr>
                <w:noProof/>
              </w:rPr>
            </w:pPr>
            <w:r>
              <w:rPr>
                <w:noProof/>
              </w:rPr>
              <w:t>Définition de l’ensemble de projets d’investissement 3</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F18D7AE" w14:textId="77777777" w:rsidR="00025543" w:rsidRDefault="007E3A2F">
            <w:pPr>
              <w:pStyle w:val="P68B1DB1-Normal28"/>
              <w:spacing w:line="259" w:lineRule="auto"/>
              <w:rPr>
                <w:noProof/>
              </w:rPr>
            </w:pPr>
            <w:r>
              <w:rPr>
                <w:noProof/>
              </w:rPr>
              <w:t>Définition de l’ensemble de projets par le ministère des transports</w:t>
            </w: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716F278" w14:textId="77777777" w:rsidR="00025543" w:rsidRDefault="00025543">
            <w:pPr>
              <w:spacing w:line="259" w:lineRule="auto"/>
              <w:jc w:val="center"/>
              <w:rPr>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660D1A4" w14:textId="77777777" w:rsidR="00025543" w:rsidRDefault="00025543">
            <w:pPr>
              <w:spacing w:line="259" w:lineRule="auto"/>
              <w:jc w:val="center"/>
              <w:rPr>
                <w:noProof/>
                <w:color w:val="006100"/>
                <w:sz w:val="18"/>
              </w:rPr>
            </w:pP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B575792" w14:textId="77777777" w:rsidR="00025543" w:rsidRDefault="00025543">
            <w:pPr>
              <w:spacing w:line="259" w:lineRule="auto"/>
              <w:jc w:val="center"/>
              <w:rPr>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0C75175" w14:textId="77777777" w:rsidR="00025543" w:rsidRDefault="007E3A2F">
            <w:pPr>
              <w:pStyle w:val="P68B1DB1-Normal28"/>
              <w:spacing w:line="259" w:lineRule="auto"/>
              <w:jc w:val="center"/>
              <w:rPr>
                <w:noProof/>
              </w:rPr>
            </w:pPr>
            <w:r>
              <w:rPr>
                <w:noProof/>
              </w:rPr>
              <w:t>TRIMESTRE 2</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98CD20B" w14:textId="77777777" w:rsidR="00025543" w:rsidRDefault="007E3A2F">
            <w:pPr>
              <w:pStyle w:val="P68B1DB1-Normal28"/>
              <w:spacing w:line="259" w:lineRule="auto"/>
              <w:jc w:val="center"/>
              <w:rPr>
                <w:noProof/>
              </w:rPr>
            </w:pPr>
            <w:r>
              <w:rPr>
                <w:noProof/>
              </w:rPr>
              <w:t>2022</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A62AFFC" w14:textId="47A91D17" w:rsidR="00025543" w:rsidRDefault="007E3A2F">
            <w:pPr>
              <w:pStyle w:val="P68B1DB1-Normal28"/>
              <w:spacing w:line="259" w:lineRule="auto"/>
              <w:rPr>
                <w:noProof/>
              </w:rPr>
            </w:pPr>
            <w:r>
              <w:rPr>
                <w:noProof/>
              </w:rPr>
              <w:t>Définition d’un ensemble de projets comprenant 121,88 km de lignes modernisées, 9 gares ferroviaires modernisées avec des voies reconstruites et des plateformes accessibles en toute sécurité et sans obstacle et 35 bâtiments de gare à faible intensité énergétique, confort accru et services de meilleure qualité pour les voyageurs.</w:t>
            </w:r>
          </w:p>
        </w:tc>
      </w:tr>
      <w:tr w:rsidR="00025543" w14:paraId="42F07233" w14:textId="77777777">
        <w:trPr>
          <w:trHeight w:val="94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42D4F9E" w14:textId="77777777" w:rsidR="00025543" w:rsidRDefault="007E3A2F">
            <w:pPr>
              <w:pStyle w:val="P68B1DB1-Normal28"/>
              <w:spacing w:line="240" w:lineRule="auto"/>
              <w:jc w:val="center"/>
              <w:rPr>
                <w:noProof/>
              </w:rPr>
            </w:pPr>
            <w:r>
              <w:rPr>
                <w:noProof/>
              </w:rPr>
              <w:t>90</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95446D4" w14:textId="77777777" w:rsidR="00025543" w:rsidRDefault="007E3A2F">
            <w:pPr>
              <w:pStyle w:val="P68B1DB1-Normal28"/>
              <w:spacing w:line="240" w:lineRule="auto"/>
              <w:rPr>
                <w:rFonts w:eastAsia="Times New Roman"/>
                <w:noProof/>
              </w:rPr>
            </w:pPr>
            <w:r>
              <w:rPr>
                <w:noProof/>
              </w:rPr>
              <w:t>Investissement 3: Amélioration de l’environnement (soutien à l’infrastructure ferroviaire)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12DF22F" w14:textId="77777777" w:rsidR="00025543" w:rsidRDefault="007E3A2F">
            <w:pPr>
              <w:pStyle w:val="P68B1DB1-Normal28"/>
              <w:spacing w:line="240" w:lineRule="auto"/>
              <w:rPr>
                <w:rFonts w:eastAsia="Times New Roman"/>
                <w:noProof/>
              </w:rPr>
            </w:pPr>
            <w:r>
              <w:rPr>
                <w:noProof/>
              </w:rPr>
              <w:t>Cible</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AB0AD45" w14:textId="77777777" w:rsidR="00025543" w:rsidRDefault="007E3A2F">
            <w:pPr>
              <w:pStyle w:val="P68B1DB1-Normal28"/>
              <w:spacing w:line="240" w:lineRule="auto"/>
              <w:rPr>
                <w:rFonts w:eastAsia="Times New Roman"/>
                <w:noProof/>
              </w:rPr>
            </w:pPr>
            <w:r>
              <w:rPr>
                <w:noProof/>
              </w:rPr>
              <w:t xml:space="preserve">Achèvement de 26 projets issus d’un ensemble prédéfini de projets </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6F412BF" w14:textId="77777777" w:rsidR="00025543" w:rsidRDefault="00025543">
            <w:pPr>
              <w:spacing w:line="240" w:lineRule="auto"/>
              <w:rPr>
                <w:rFonts w:eastAsia="Times New Roman"/>
                <w:noProof/>
                <w:color w:val="006100"/>
                <w:sz w:val="18"/>
              </w:rPr>
            </w:pP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C801729" w14:textId="77777777" w:rsidR="00025543" w:rsidRDefault="007E3A2F">
            <w:pPr>
              <w:pStyle w:val="P68B1DB1-Normal28"/>
              <w:spacing w:line="240" w:lineRule="auto"/>
              <w:rPr>
                <w:rFonts w:eastAsia="Times New Roman"/>
                <w:noProof/>
              </w:rPr>
            </w:pPr>
            <w:r>
              <w:rPr>
                <w:noProof/>
              </w:rPr>
              <w:t>Nombre de projets</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9053757" w14:textId="77777777" w:rsidR="00025543" w:rsidRDefault="007E3A2F">
            <w:pPr>
              <w:pStyle w:val="P68B1DB1-Normal11"/>
              <w:spacing w:line="240" w:lineRule="auto"/>
              <w:jc w:val="center"/>
              <w:rPr>
                <w:noProof/>
              </w:rPr>
            </w:pPr>
            <w:r>
              <w:rPr>
                <w:noProof/>
              </w:rPr>
              <w:t>0</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828EE54" w14:textId="77777777" w:rsidR="00025543" w:rsidRDefault="007E3A2F">
            <w:pPr>
              <w:pStyle w:val="P68B1DB1-Normal11"/>
              <w:spacing w:line="240" w:lineRule="auto"/>
              <w:jc w:val="center"/>
              <w:rPr>
                <w:noProof/>
              </w:rPr>
            </w:pPr>
            <w:r>
              <w:rPr>
                <w:noProof/>
              </w:rPr>
              <w:t>26</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54BF1BF" w14:textId="77777777" w:rsidR="00025543" w:rsidRDefault="007E3A2F">
            <w:pPr>
              <w:pStyle w:val="P68B1DB1-Normal28"/>
              <w:spacing w:line="240" w:lineRule="auto"/>
              <w:jc w:val="center"/>
              <w:rPr>
                <w:rFonts w:eastAsia="Times New Roman"/>
                <w:noProof/>
              </w:rPr>
            </w:pPr>
            <w:r>
              <w:rPr>
                <w:noProof/>
              </w:rPr>
              <w:t>TRIMESTRE 4</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D85EF13" w14:textId="77777777" w:rsidR="00025543" w:rsidRDefault="007E3A2F">
            <w:pPr>
              <w:pStyle w:val="P68B1DB1-Normal11"/>
              <w:spacing w:line="240" w:lineRule="auto"/>
              <w:jc w:val="center"/>
              <w:rPr>
                <w:noProof/>
              </w:rPr>
            </w:pPr>
            <w:r>
              <w:rPr>
                <w:noProof/>
              </w:rPr>
              <w:t>2022</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63178B4" w14:textId="3DCDD7BE" w:rsidR="00025543" w:rsidRDefault="007E3A2F">
            <w:pPr>
              <w:pStyle w:val="P68B1DB1-Normal28"/>
              <w:spacing w:line="240" w:lineRule="auto"/>
              <w:rPr>
                <w:rFonts w:eastAsia="Times New Roman"/>
                <w:noProof/>
              </w:rPr>
            </w:pPr>
            <w:r>
              <w:rPr>
                <w:noProof/>
              </w:rPr>
              <w:t>Achèvement de 26 projets issus de l’ensemble prédéfini de projets comprenant 121,88 km de lignes modernisées, 9 gares ferroviaires modernisées avec des voies reconstruites et des plateformes accessibles en toute sécurité et sans obstacle et 35 bâtiments de gares à faible intensité énergétique, confort accru et services de meilleure qualité pour les voyageurs.</w:t>
            </w:r>
          </w:p>
        </w:tc>
      </w:tr>
      <w:tr w:rsidR="00025543" w14:paraId="5AF3D9CC" w14:textId="77777777">
        <w:trPr>
          <w:trHeight w:val="94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D59DC15" w14:textId="77777777" w:rsidR="00025543" w:rsidRDefault="007E3A2F">
            <w:pPr>
              <w:pStyle w:val="P68B1DB1-Normal28"/>
              <w:spacing w:line="240" w:lineRule="auto"/>
              <w:jc w:val="center"/>
              <w:rPr>
                <w:noProof/>
              </w:rPr>
            </w:pPr>
            <w:r>
              <w:rPr>
                <w:noProof/>
              </w:rPr>
              <w:t>91</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B5CC508" w14:textId="77777777" w:rsidR="00025543" w:rsidRDefault="007E3A2F">
            <w:pPr>
              <w:pStyle w:val="P68B1DB1-Normal28"/>
              <w:spacing w:line="240" w:lineRule="auto"/>
              <w:rPr>
                <w:rFonts w:eastAsia="Times New Roman"/>
                <w:noProof/>
              </w:rPr>
            </w:pPr>
            <w:r>
              <w:rPr>
                <w:noProof/>
              </w:rPr>
              <w:t>Investissement 3: Amélioration de l’environnement (soutien à l’infrastructure ferroviaire)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0FF8E9C" w14:textId="77777777" w:rsidR="00025543" w:rsidRDefault="007E3A2F">
            <w:pPr>
              <w:pStyle w:val="P68B1DB1-Normal28"/>
              <w:spacing w:line="240" w:lineRule="auto"/>
              <w:rPr>
                <w:rFonts w:eastAsia="Times New Roman"/>
                <w:noProof/>
              </w:rPr>
            </w:pPr>
            <w:r>
              <w:rPr>
                <w:noProof/>
              </w:rPr>
              <w:t>Cible</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70ED42E" w14:textId="1CDA6C71" w:rsidR="00025543" w:rsidRDefault="007E3A2F">
            <w:pPr>
              <w:pStyle w:val="P68B1DB1-Normal28"/>
              <w:spacing w:line="240" w:lineRule="auto"/>
              <w:rPr>
                <w:rFonts w:eastAsia="Times New Roman"/>
                <w:noProof/>
              </w:rPr>
            </w:pPr>
            <w:r>
              <w:rPr>
                <w:noProof/>
              </w:rPr>
              <w:t xml:space="preserve">Achèvement de 11 projets supplémentaires issus d’un ensemble prédéfini de projets </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EEEDCEE" w14:textId="77777777" w:rsidR="00025543" w:rsidRDefault="00025543">
            <w:pPr>
              <w:spacing w:line="240" w:lineRule="auto"/>
              <w:rPr>
                <w:rFonts w:eastAsia="Times New Roman"/>
                <w:noProof/>
                <w:color w:val="006100"/>
                <w:sz w:val="18"/>
              </w:rPr>
            </w:pP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C9E3F71" w14:textId="77777777" w:rsidR="00025543" w:rsidRDefault="007E3A2F">
            <w:pPr>
              <w:pStyle w:val="P68B1DB1-Normal28"/>
              <w:spacing w:line="240" w:lineRule="auto"/>
              <w:rPr>
                <w:rFonts w:eastAsia="Times New Roman"/>
                <w:noProof/>
              </w:rPr>
            </w:pPr>
            <w:r>
              <w:rPr>
                <w:noProof/>
              </w:rPr>
              <w:t>Nombre de projets</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DF4DFF7" w14:textId="77777777" w:rsidR="00025543" w:rsidRDefault="007E3A2F">
            <w:pPr>
              <w:pStyle w:val="P68B1DB1-Normal11"/>
              <w:spacing w:line="240" w:lineRule="auto"/>
              <w:jc w:val="center"/>
              <w:rPr>
                <w:noProof/>
              </w:rPr>
            </w:pPr>
            <w:r>
              <w:rPr>
                <w:noProof/>
              </w:rPr>
              <w:t>26</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640E1C5" w14:textId="027EEB6B" w:rsidR="00025543" w:rsidRDefault="007E3A2F">
            <w:pPr>
              <w:pStyle w:val="P68B1DB1-Normal11"/>
              <w:spacing w:line="240" w:lineRule="auto"/>
              <w:jc w:val="center"/>
              <w:rPr>
                <w:noProof/>
              </w:rPr>
            </w:pPr>
            <w:r>
              <w:rPr>
                <w:noProof/>
              </w:rPr>
              <w:t>37</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22210A4" w14:textId="77777777" w:rsidR="00025543" w:rsidRDefault="007E3A2F">
            <w:pPr>
              <w:pStyle w:val="P68B1DB1-Normal28"/>
              <w:spacing w:line="240" w:lineRule="auto"/>
              <w:jc w:val="center"/>
              <w:rPr>
                <w:rFonts w:eastAsia="Times New Roman"/>
                <w:noProof/>
              </w:rPr>
            </w:pPr>
            <w:r>
              <w:rPr>
                <w:noProof/>
              </w:rPr>
              <w:t>TRIMESTRE 4</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FE547C1" w14:textId="77777777" w:rsidR="00025543" w:rsidRDefault="007E3A2F">
            <w:pPr>
              <w:pStyle w:val="P68B1DB1-Normal11"/>
              <w:spacing w:line="240" w:lineRule="auto"/>
              <w:jc w:val="center"/>
              <w:rPr>
                <w:noProof/>
              </w:rPr>
            </w:pPr>
            <w:r>
              <w:rPr>
                <w:noProof/>
              </w:rPr>
              <w:t>2023</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9FEB1B3" w14:textId="750C061D" w:rsidR="00025543" w:rsidRDefault="007E3A2F">
            <w:pPr>
              <w:pStyle w:val="P68B1DB1-Normal28"/>
              <w:spacing w:line="240" w:lineRule="auto"/>
              <w:rPr>
                <w:rFonts w:eastAsia="Times New Roman"/>
                <w:noProof/>
              </w:rPr>
            </w:pPr>
            <w:r>
              <w:rPr>
                <w:noProof/>
              </w:rPr>
              <w:t>Achèvement de 11 projets supplémentaires issus de l’ensemble prédéfini de projets comprenant 121,88 km de lignes modernisées, améliorées sur le plan opérationnel ou plus résistantes aux influences naturelles, 9 gares ferroviaires modernisées avec des voies reconstruites et des plateformes accessibles en toute sécurité et sans obstacle et 35 bâtiments de gares à intensité énergétique réduite, un confort accru et de meilleurs services pour les voyageurs.</w:t>
            </w:r>
          </w:p>
        </w:tc>
      </w:tr>
      <w:tr w:rsidR="00025543" w14:paraId="0EADC133" w14:textId="77777777">
        <w:trPr>
          <w:trHeight w:val="94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8A7E3AE" w14:textId="5DF57F33" w:rsidR="00025543" w:rsidRDefault="007E3A2F">
            <w:pPr>
              <w:pStyle w:val="P68B1DB1-Normal28"/>
              <w:spacing w:line="240" w:lineRule="auto"/>
              <w:jc w:val="center"/>
              <w:rPr>
                <w:noProof/>
              </w:rPr>
            </w:pPr>
            <w:r>
              <w:rPr>
                <w:noProof/>
              </w:rPr>
              <w:t>261</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BD657FC" w14:textId="01F6442C" w:rsidR="00025543" w:rsidRDefault="007E3A2F">
            <w:pPr>
              <w:pStyle w:val="P68B1DB1-Normal28"/>
              <w:spacing w:line="240" w:lineRule="auto"/>
              <w:rPr>
                <w:noProof/>
              </w:rPr>
            </w:pPr>
            <w:r>
              <w:rPr>
                <w:noProof/>
              </w:rPr>
              <w:t>Investissement 3: Amélioration de l’environnement (soutien à l’infrastructure ferroviaire)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8FA4D38" w14:textId="5FA205C1" w:rsidR="00025543" w:rsidRDefault="007E3A2F">
            <w:pPr>
              <w:pStyle w:val="P68B1DB1-Normal28"/>
              <w:spacing w:line="240" w:lineRule="auto"/>
              <w:rPr>
                <w:noProof/>
              </w:rPr>
            </w:pPr>
            <w:r>
              <w:rPr>
                <w:noProof/>
              </w:rPr>
              <w:t>Cible</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5711BC2" w14:textId="65C398AD" w:rsidR="00025543" w:rsidRDefault="007E3A2F">
            <w:pPr>
              <w:pStyle w:val="P68B1DB1-Normal28"/>
              <w:spacing w:line="240" w:lineRule="auto"/>
              <w:rPr>
                <w:noProof/>
              </w:rPr>
            </w:pPr>
            <w:r>
              <w:rPr>
                <w:noProof/>
              </w:rPr>
              <w:t>Achèvement de 19 projets supplémentaires issus d’un ensemble prédéfini de projets</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F42C714" w14:textId="77777777" w:rsidR="00025543" w:rsidRDefault="00025543">
            <w:pPr>
              <w:spacing w:line="240" w:lineRule="auto"/>
              <w:rPr>
                <w:rFonts w:eastAsia="Times New Roman"/>
                <w:noProof/>
                <w:color w:val="006100"/>
                <w:sz w:val="18"/>
              </w:rPr>
            </w:pP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FDC2FCA" w14:textId="1BC51458" w:rsidR="00025543" w:rsidRDefault="007E3A2F">
            <w:pPr>
              <w:pStyle w:val="P68B1DB1-Normal28"/>
              <w:spacing w:line="240" w:lineRule="auto"/>
              <w:rPr>
                <w:noProof/>
              </w:rPr>
            </w:pPr>
            <w:r>
              <w:rPr>
                <w:noProof/>
              </w:rPr>
              <w:t>Nombre de projets</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D225D61" w14:textId="72AA323B" w:rsidR="00025543" w:rsidRDefault="007E3A2F">
            <w:pPr>
              <w:pStyle w:val="P68B1DB1-Normal11"/>
              <w:spacing w:line="240" w:lineRule="auto"/>
              <w:jc w:val="center"/>
              <w:rPr>
                <w:noProof/>
              </w:rPr>
            </w:pPr>
            <w:r>
              <w:rPr>
                <w:noProof/>
              </w:rPr>
              <w:t>37</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A653BF6" w14:textId="0655FF78" w:rsidR="00025543" w:rsidRDefault="007E3A2F">
            <w:pPr>
              <w:pStyle w:val="P68B1DB1-Normal11"/>
              <w:spacing w:line="240" w:lineRule="auto"/>
              <w:jc w:val="center"/>
              <w:rPr>
                <w:noProof/>
              </w:rPr>
            </w:pPr>
            <w:r>
              <w:rPr>
                <w:noProof/>
              </w:rPr>
              <w:t>56</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8BA3198" w14:textId="2C363FCA" w:rsidR="00025543" w:rsidRDefault="007E3A2F">
            <w:pPr>
              <w:pStyle w:val="P68B1DB1-Normal28"/>
              <w:spacing w:line="240" w:lineRule="auto"/>
              <w:jc w:val="center"/>
              <w:rPr>
                <w:noProof/>
              </w:rPr>
            </w:pPr>
            <w:r>
              <w:rPr>
                <w:noProof/>
              </w:rPr>
              <w:t>TRIMESTRE 4</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A0D7D45" w14:textId="3839EDC4" w:rsidR="00025543" w:rsidRDefault="007E3A2F">
            <w:pPr>
              <w:pStyle w:val="P68B1DB1-Normal11"/>
              <w:spacing w:line="240" w:lineRule="auto"/>
              <w:jc w:val="center"/>
              <w:rPr>
                <w:noProof/>
              </w:rPr>
            </w:pPr>
            <w:r>
              <w:rPr>
                <w:noProof/>
              </w:rPr>
              <w:t>2024</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28B8D05" w14:textId="42230C7A" w:rsidR="00025543" w:rsidRDefault="007E3A2F">
            <w:pPr>
              <w:pStyle w:val="P68B1DB1-Normal28"/>
              <w:spacing w:line="240" w:lineRule="auto"/>
              <w:rPr>
                <w:noProof/>
              </w:rPr>
            </w:pPr>
            <w:r>
              <w:rPr>
                <w:noProof/>
              </w:rPr>
              <w:t>Achèvement de 19 projets supplémentaires issus de l’ensemble prédéfini de projets comprenant 121,88 km de lignes modernisées, améliorées sur le plan opérationnel ou plus résistantes aux influences naturelles, 9 gares ferroviaires modernisées avec des voies reconstruites et des plateformes accessibles en toute sécurité et sans obstacle et 35 bâtiments de gares à intensité énergétique réduite, un confort accru et de meilleurs services pour les voyageurs.</w:t>
            </w:r>
          </w:p>
        </w:tc>
      </w:tr>
      <w:tr w:rsidR="00025543" w14:paraId="65019E13" w14:textId="77777777">
        <w:trPr>
          <w:trHeight w:val="94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7F742AC" w14:textId="77777777" w:rsidR="00025543" w:rsidRDefault="007E3A2F">
            <w:pPr>
              <w:pStyle w:val="P68B1DB1-Normal28"/>
              <w:spacing w:line="240" w:lineRule="auto"/>
              <w:jc w:val="center"/>
              <w:rPr>
                <w:noProof/>
              </w:rPr>
            </w:pPr>
            <w:r>
              <w:rPr>
                <w:noProof/>
              </w:rPr>
              <w:t>92</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3C598FA" w14:textId="77777777" w:rsidR="00025543" w:rsidRDefault="007E3A2F">
            <w:pPr>
              <w:pStyle w:val="P68B1DB1-Normal28"/>
              <w:spacing w:line="240" w:lineRule="auto"/>
              <w:rPr>
                <w:rFonts w:eastAsia="Times New Roman"/>
                <w:noProof/>
              </w:rPr>
            </w:pPr>
            <w:r>
              <w:rPr>
                <w:noProof/>
              </w:rPr>
              <w:t>Investissement 4: Sécurité routière et ferroviaire (passages ferroviaires, ponts et tunnels, pistes cyclables et itinéraires sans obstacles)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E8A7628" w14:textId="77777777" w:rsidR="00025543" w:rsidRDefault="007E3A2F">
            <w:pPr>
              <w:pStyle w:val="P68B1DB1-Normal28"/>
              <w:spacing w:line="240" w:lineRule="auto"/>
              <w:rPr>
                <w:rFonts w:eastAsia="Times New Roman"/>
                <w:noProof/>
              </w:rPr>
            </w:pPr>
            <w:r>
              <w:rPr>
                <w:noProof/>
              </w:rPr>
              <w:t>Cible</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0E38D02" w14:textId="77777777" w:rsidR="00025543" w:rsidRDefault="007E3A2F">
            <w:pPr>
              <w:pStyle w:val="P68B1DB1-Normal28"/>
              <w:spacing w:line="240" w:lineRule="auto"/>
              <w:rPr>
                <w:rFonts w:eastAsia="Times New Roman"/>
                <w:noProof/>
              </w:rPr>
            </w:pPr>
            <w:r>
              <w:rPr>
                <w:noProof/>
              </w:rPr>
              <w:t>Achèvement des passages à niveau avec une sécurité accrue</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4A57392" w14:textId="77777777" w:rsidR="00025543" w:rsidRDefault="00025543">
            <w:pPr>
              <w:spacing w:line="240" w:lineRule="auto"/>
              <w:rPr>
                <w:rFonts w:eastAsia="Times New Roman"/>
                <w:noProof/>
                <w:color w:val="006100"/>
                <w:sz w:val="18"/>
              </w:rPr>
            </w:pP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A4F8CF8" w14:textId="77777777" w:rsidR="00025543" w:rsidRDefault="007E3A2F">
            <w:pPr>
              <w:pStyle w:val="P68B1DB1-Normal28"/>
              <w:spacing w:line="240" w:lineRule="auto"/>
              <w:rPr>
                <w:rFonts w:eastAsia="Times New Roman"/>
                <w:noProof/>
              </w:rPr>
            </w:pPr>
            <w:r>
              <w:rPr>
                <w:noProof/>
              </w:rPr>
              <w:t>Nombre de passages à niveau avec une sécurité accrue</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8DFD346" w14:textId="77777777" w:rsidR="00025543" w:rsidRDefault="007E3A2F">
            <w:pPr>
              <w:pStyle w:val="P68B1DB1-Normal11"/>
              <w:spacing w:line="240" w:lineRule="auto"/>
              <w:jc w:val="center"/>
              <w:rPr>
                <w:noProof/>
              </w:rPr>
            </w:pPr>
            <w:r>
              <w:rPr>
                <w:noProof/>
              </w:rPr>
              <w:t>0</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DB8DB5A" w14:textId="77777777" w:rsidR="00025543" w:rsidRDefault="007E3A2F">
            <w:pPr>
              <w:pStyle w:val="P68B1DB1-Normal11"/>
              <w:spacing w:line="240" w:lineRule="auto"/>
              <w:jc w:val="center"/>
              <w:rPr>
                <w:noProof/>
              </w:rPr>
            </w:pPr>
            <w:r>
              <w:rPr>
                <w:noProof/>
              </w:rPr>
              <w:t>45</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7C3EB02" w14:textId="77777777" w:rsidR="00025543" w:rsidRDefault="007E3A2F">
            <w:pPr>
              <w:pStyle w:val="P68B1DB1-Normal28"/>
              <w:spacing w:line="240" w:lineRule="auto"/>
              <w:jc w:val="center"/>
              <w:rPr>
                <w:rFonts w:eastAsia="Times New Roman"/>
                <w:noProof/>
              </w:rPr>
            </w:pPr>
            <w:r>
              <w:rPr>
                <w:noProof/>
              </w:rPr>
              <w:t>TRIMESTRE 2</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21B6100" w14:textId="77777777" w:rsidR="00025543" w:rsidRDefault="007E3A2F">
            <w:pPr>
              <w:pStyle w:val="P68B1DB1-Normal11"/>
              <w:spacing w:line="240" w:lineRule="auto"/>
              <w:jc w:val="center"/>
              <w:rPr>
                <w:noProof/>
              </w:rPr>
            </w:pPr>
            <w:r>
              <w:rPr>
                <w:noProof/>
              </w:rPr>
              <w:t>2022</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F651C75" w14:textId="77777777" w:rsidR="00025543" w:rsidRDefault="007E3A2F">
            <w:pPr>
              <w:pStyle w:val="P68B1DB1-Normal28"/>
              <w:spacing w:line="240" w:lineRule="auto"/>
              <w:rPr>
                <w:rFonts w:eastAsia="Times New Roman"/>
                <w:noProof/>
              </w:rPr>
            </w:pPr>
            <w:r>
              <w:rPr>
                <w:noProof/>
              </w:rPr>
              <w:t>Passages à niveau avec un niveau de protection accru, avec un système d’avertissement de lumière clignotante nouvellement installé ou modernisé ou une installation mécanique de sécurité.</w:t>
            </w:r>
          </w:p>
        </w:tc>
      </w:tr>
      <w:tr w:rsidR="00025543" w14:paraId="17F496F3" w14:textId="77777777">
        <w:trPr>
          <w:trHeight w:val="94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A1A3C90" w14:textId="77777777" w:rsidR="00025543" w:rsidRDefault="007E3A2F">
            <w:pPr>
              <w:pStyle w:val="P68B1DB1-Normal28"/>
              <w:spacing w:line="240" w:lineRule="auto"/>
              <w:jc w:val="center"/>
              <w:rPr>
                <w:noProof/>
              </w:rPr>
            </w:pPr>
            <w:r>
              <w:rPr>
                <w:noProof/>
              </w:rPr>
              <w:t>93</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B9204E1" w14:textId="77777777" w:rsidR="00025543" w:rsidRDefault="007E3A2F">
            <w:pPr>
              <w:pStyle w:val="P68B1DB1-Normal28"/>
              <w:spacing w:line="240" w:lineRule="auto"/>
              <w:rPr>
                <w:rFonts w:eastAsia="Times New Roman"/>
                <w:noProof/>
              </w:rPr>
            </w:pPr>
            <w:r>
              <w:rPr>
                <w:noProof/>
              </w:rPr>
              <w:t>Investissement 4: Sécurité routière et ferroviaire (passages ferroviaires, ponts et tunnels, pistes cyclables et itinéraires sans obstacles)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BD1F7CB" w14:textId="77777777" w:rsidR="00025543" w:rsidRDefault="007E3A2F">
            <w:pPr>
              <w:pStyle w:val="P68B1DB1-Normal28"/>
              <w:spacing w:line="240" w:lineRule="auto"/>
              <w:rPr>
                <w:rFonts w:eastAsia="Times New Roman"/>
                <w:noProof/>
              </w:rPr>
            </w:pPr>
            <w:r>
              <w:rPr>
                <w:noProof/>
              </w:rPr>
              <w:t>Cible</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11BE83B" w14:textId="77777777" w:rsidR="00025543" w:rsidRDefault="007E3A2F">
            <w:pPr>
              <w:pStyle w:val="P68B1DB1-Normal28"/>
              <w:spacing w:line="240" w:lineRule="auto"/>
              <w:rPr>
                <w:rFonts w:eastAsia="Times New Roman"/>
                <w:noProof/>
              </w:rPr>
            </w:pPr>
            <w:r>
              <w:rPr>
                <w:noProof/>
              </w:rPr>
              <w:t>Achèvement des pistes cyclables construites, trottoirs et voies sans barrier</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6A91633" w14:textId="77777777" w:rsidR="00025543" w:rsidRDefault="00025543">
            <w:pPr>
              <w:spacing w:line="240" w:lineRule="auto"/>
              <w:rPr>
                <w:rFonts w:eastAsia="Times New Roman"/>
                <w:noProof/>
                <w:color w:val="006100"/>
                <w:sz w:val="18"/>
              </w:rPr>
            </w:pP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FC5522F" w14:textId="77777777" w:rsidR="00025543" w:rsidRDefault="007E3A2F">
            <w:pPr>
              <w:pStyle w:val="P68B1DB1-Normal28"/>
              <w:spacing w:line="240" w:lineRule="auto"/>
              <w:rPr>
                <w:rFonts w:eastAsia="Times New Roman"/>
                <w:noProof/>
              </w:rPr>
            </w:pPr>
            <w:r>
              <w:rPr>
                <w:noProof/>
              </w:rPr>
              <w:t>Longueur des pistes cyclables construites, trottoirs, voies sans barrage — km</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FEE9CA1" w14:textId="77777777" w:rsidR="00025543" w:rsidRDefault="007E3A2F">
            <w:pPr>
              <w:pStyle w:val="P68B1DB1-Normal11"/>
              <w:spacing w:line="240" w:lineRule="auto"/>
              <w:jc w:val="center"/>
              <w:rPr>
                <w:noProof/>
              </w:rPr>
            </w:pPr>
            <w:r>
              <w:rPr>
                <w:noProof/>
              </w:rPr>
              <w:t>0</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FFBB83D" w14:textId="77777777" w:rsidR="00025543" w:rsidRDefault="007E3A2F">
            <w:pPr>
              <w:pStyle w:val="P68B1DB1-Normal11"/>
              <w:spacing w:line="240" w:lineRule="auto"/>
              <w:jc w:val="center"/>
              <w:rPr>
                <w:noProof/>
              </w:rPr>
            </w:pPr>
            <w:r>
              <w:rPr>
                <w:noProof/>
              </w:rPr>
              <w:t>25</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6D7B76D" w14:textId="77777777" w:rsidR="00025543" w:rsidRDefault="007E3A2F">
            <w:pPr>
              <w:pStyle w:val="P68B1DB1-Normal28"/>
              <w:spacing w:line="240" w:lineRule="auto"/>
              <w:jc w:val="center"/>
              <w:rPr>
                <w:rFonts w:eastAsia="Times New Roman"/>
                <w:noProof/>
              </w:rPr>
            </w:pPr>
            <w:r>
              <w:rPr>
                <w:noProof/>
              </w:rPr>
              <w:t>TRIMESTRE 2</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CA4C46F" w14:textId="77777777" w:rsidR="00025543" w:rsidRDefault="007E3A2F">
            <w:pPr>
              <w:pStyle w:val="P68B1DB1-Normal11"/>
              <w:spacing w:line="240" w:lineRule="auto"/>
              <w:jc w:val="center"/>
              <w:rPr>
                <w:noProof/>
              </w:rPr>
            </w:pPr>
            <w:r>
              <w:rPr>
                <w:noProof/>
              </w:rPr>
              <w:t>2022</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810CF7B" w14:textId="77777777" w:rsidR="00025543" w:rsidRDefault="007E3A2F">
            <w:pPr>
              <w:pStyle w:val="P68B1DB1-Normal28"/>
              <w:spacing w:line="240" w:lineRule="auto"/>
              <w:rPr>
                <w:rFonts w:eastAsia="Times New Roman"/>
                <w:noProof/>
              </w:rPr>
            </w:pPr>
            <w:r>
              <w:rPr>
                <w:noProof/>
              </w:rPr>
              <w:t>Longueur des pistes cyclables construites/marches latérales/sans obstacles.</w:t>
            </w:r>
          </w:p>
        </w:tc>
      </w:tr>
      <w:tr w:rsidR="00025543" w14:paraId="0F945DDD" w14:textId="77777777">
        <w:trPr>
          <w:trHeight w:val="94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D4FA605" w14:textId="77777777" w:rsidR="00025543" w:rsidRDefault="007E3A2F">
            <w:pPr>
              <w:pStyle w:val="P68B1DB1-Normal28"/>
              <w:spacing w:line="240" w:lineRule="auto"/>
              <w:jc w:val="center"/>
              <w:rPr>
                <w:noProof/>
              </w:rPr>
            </w:pPr>
            <w:r>
              <w:rPr>
                <w:noProof/>
              </w:rPr>
              <w:t>94</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3A0DB12" w14:textId="77777777" w:rsidR="00025543" w:rsidRDefault="007E3A2F">
            <w:pPr>
              <w:pStyle w:val="P68B1DB1-Normal28"/>
              <w:spacing w:line="240" w:lineRule="auto"/>
              <w:rPr>
                <w:rFonts w:eastAsia="Times New Roman"/>
                <w:noProof/>
              </w:rPr>
            </w:pPr>
            <w:r>
              <w:rPr>
                <w:noProof/>
              </w:rPr>
              <w:t>Investissement 4: Sécurité routière et ferroviaire (passages ferroviaires, ponts et tunnels, pistes cyclables et itinéraires sans obstacles)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D00FF6F" w14:textId="77777777" w:rsidR="00025543" w:rsidRDefault="007E3A2F">
            <w:pPr>
              <w:pStyle w:val="P68B1DB1-Normal28"/>
              <w:spacing w:line="240" w:lineRule="auto"/>
              <w:rPr>
                <w:rFonts w:eastAsia="Times New Roman"/>
                <w:noProof/>
              </w:rPr>
            </w:pPr>
            <w:r>
              <w:rPr>
                <w:noProof/>
              </w:rPr>
              <w:t>Cible</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A53FA26" w14:textId="77777777" w:rsidR="00025543" w:rsidRDefault="007E3A2F">
            <w:pPr>
              <w:pStyle w:val="P68B1DB1-Normal28"/>
              <w:spacing w:line="240" w:lineRule="auto"/>
              <w:rPr>
                <w:rFonts w:eastAsia="Times New Roman"/>
                <w:noProof/>
              </w:rPr>
            </w:pPr>
            <w:r>
              <w:rPr>
                <w:noProof/>
              </w:rPr>
              <w:t>Achèvement des ponts ou tunnels ferroviaires modernisés</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2B05FD2" w14:textId="77777777" w:rsidR="00025543" w:rsidRDefault="00025543">
            <w:pPr>
              <w:spacing w:line="240" w:lineRule="auto"/>
              <w:rPr>
                <w:rFonts w:eastAsia="Times New Roman"/>
                <w:noProof/>
                <w:color w:val="006100"/>
                <w:sz w:val="18"/>
              </w:rPr>
            </w:pP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358B0DE" w14:textId="77777777" w:rsidR="00025543" w:rsidRDefault="007E3A2F">
            <w:pPr>
              <w:pStyle w:val="P68B1DB1-Normal28"/>
              <w:spacing w:line="240" w:lineRule="auto"/>
              <w:rPr>
                <w:rFonts w:eastAsia="Times New Roman"/>
                <w:noProof/>
              </w:rPr>
            </w:pPr>
            <w:r>
              <w:rPr>
                <w:noProof/>
              </w:rPr>
              <w:t>Nombre d’ouvrages artificiels modernisés (ponts/tunnels)</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C85E341" w14:textId="77777777" w:rsidR="00025543" w:rsidRDefault="007E3A2F">
            <w:pPr>
              <w:pStyle w:val="P68B1DB1-Normal11"/>
              <w:spacing w:line="240" w:lineRule="auto"/>
              <w:jc w:val="center"/>
              <w:rPr>
                <w:noProof/>
              </w:rPr>
            </w:pPr>
            <w:r>
              <w:rPr>
                <w:noProof/>
              </w:rPr>
              <w:t>0</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76C0DB4" w14:textId="77777777" w:rsidR="00025543" w:rsidRDefault="007E3A2F">
            <w:pPr>
              <w:pStyle w:val="P68B1DB1-Normal11"/>
              <w:spacing w:line="240" w:lineRule="auto"/>
              <w:jc w:val="center"/>
              <w:rPr>
                <w:noProof/>
              </w:rPr>
            </w:pPr>
            <w:r>
              <w:rPr>
                <w:noProof/>
              </w:rPr>
              <w:t>3</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7568B1C" w14:textId="77777777" w:rsidR="00025543" w:rsidRDefault="007E3A2F">
            <w:pPr>
              <w:pStyle w:val="P68B1DB1-Normal28"/>
              <w:spacing w:line="240" w:lineRule="auto"/>
              <w:jc w:val="center"/>
              <w:rPr>
                <w:rFonts w:eastAsia="Times New Roman"/>
                <w:noProof/>
              </w:rPr>
            </w:pPr>
            <w:r>
              <w:rPr>
                <w:noProof/>
              </w:rPr>
              <w:t>TRIMESTRE 2</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E23670B" w14:textId="77777777" w:rsidR="00025543" w:rsidRDefault="007E3A2F">
            <w:pPr>
              <w:pStyle w:val="P68B1DB1-Normal11"/>
              <w:spacing w:line="240" w:lineRule="auto"/>
              <w:jc w:val="center"/>
              <w:rPr>
                <w:noProof/>
              </w:rPr>
            </w:pPr>
            <w:r>
              <w:rPr>
                <w:noProof/>
              </w:rPr>
              <w:t>2022</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F3501D6" w14:textId="77777777" w:rsidR="00025543" w:rsidRDefault="007E3A2F">
            <w:pPr>
              <w:pStyle w:val="P68B1DB1-Normal28"/>
              <w:spacing w:line="240" w:lineRule="auto"/>
              <w:rPr>
                <w:rFonts w:eastAsia="Times New Roman"/>
                <w:noProof/>
              </w:rPr>
            </w:pPr>
            <w:r>
              <w:rPr>
                <w:noProof/>
              </w:rPr>
              <w:t>Modernisation de la structure artificielle des chemins de fer pour la phase d’exploitation.</w:t>
            </w:r>
          </w:p>
        </w:tc>
      </w:tr>
      <w:tr w:rsidR="00025543" w14:paraId="33DB930F" w14:textId="77777777">
        <w:trPr>
          <w:trHeight w:val="94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9E1A912" w14:textId="77777777" w:rsidR="00025543" w:rsidRDefault="007E3A2F">
            <w:pPr>
              <w:pStyle w:val="P68B1DB1-Normal28"/>
              <w:spacing w:line="240" w:lineRule="auto"/>
              <w:jc w:val="center"/>
              <w:rPr>
                <w:noProof/>
              </w:rPr>
            </w:pPr>
            <w:r>
              <w:rPr>
                <w:noProof/>
              </w:rPr>
              <w:t>95</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12003CF" w14:textId="77777777" w:rsidR="00025543" w:rsidRDefault="007E3A2F">
            <w:pPr>
              <w:pStyle w:val="P68B1DB1-Normal28"/>
              <w:spacing w:line="240" w:lineRule="auto"/>
              <w:rPr>
                <w:rFonts w:eastAsia="Times New Roman"/>
                <w:noProof/>
              </w:rPr>
            </w:pPr>
            <w:r>
              <w:rPr>
                <w:noProof/>
              </w:rPr>
              <w:t>Investissement 4: Sécurité routière et ferroviaire (passages ferroviaires, ponts et tunnels, pistes cyclables et itinéraires sans obstacles)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43F0818" w14:textId="77777777" w:rsidR="00025543" w:rsidRDefault="007E3A2F">
            <w:pPr>
              <w:pStyle w:val="P68B1DB1-Normal28"/>
              <w:spacing w:line="240" w:lineRule="auto"/>
              <w:rPr>
                <w:rFonts w:eastAsia="Times New Roman"/>
                <w:noProof/>
              </w:rPr>
            </w:pPr>
            <w:r>
              <w:rPr>
                <w:noProof/>
              </w:rPr>
              <w:t>Cible</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1267023" w14:textId="77777777" w:rsidR="00025543" w:rsidRDefault="007E3A2F">
            <w:pPr>
              <w:pStyle w:val="P68B1DB1-Normal28"/>
              <w:spacing w:line="240" w:lineRule="auto"/>
              <w:rPr>
                <w:rFonts w:eastAsia="Times New Roman"/>
                <w:noProof/>
              </w:rPr>
            </w:pPr>
            <w:r>
              <w:rPr>
                <w:noProof/>
              </w:rPr>
              <w:t>Achèvement des ponts ou tunnels ferroviaires modernisés</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AA8CC74" w14:textId="77777777" w:rsidR="00025543" w:rsidRDefault="00025543">
            <w:pPr>
              <w:spacing w:line="240" w:lineRule="auto"/>
              <w:rPr>
                <w:rFonts w:eastAsia="Times New Roman"/>
                <w:noProof/>
                <w:color w:val="006100"/>
                <w:sz w:val="18"/>
              </w:rPr>
            </w:pP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8B83A89" w14:textId="77777777" w:rsidR="00025543" w:rsidRDefault="007E3A2F">
            <w:pPr>
              <w:pStyle w:val="P68B1DB1-Normal28"/>
              <w:spacing w:line="240" w:lineRule="auto"/>
              <w:rPr>
                <w:rFonts w:eastAsia="Times New Roman"/>
                <w:noProof/>
              </w:rPr>
            </w:pPr>
            <w:r>
              <w:rPr>
                <w:noProof/>
              </w:rPr>
              <w:t>Nombre d’ouvrages artificiels modernisés (ponts/tunnels)</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EAA5CAE" w14:textId="77777777" w:rsidR="00025543" w:rsidRDefault="007E3A2F">
            <w:pPr>
              <w:pStyle w:val="P68B1DB1-Normal11"/>
              <w:spacing w:line="240" w:lineRule="auto"/>
              <w:jc w:val="center"/>
              <w:rPr>
                <w:noProof/>
              </w:rPr>
            </w:pPr>
            <w:r>
              <w:rPr>
                <w:noProof/>
              </w:rPr>
              <w:t>3</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8B260EB" w14:textId="77777777" w:rsidR="00025543" w:rsidRDefault="007E3A2F">
            <w:pPr>
              <w:pStyle w:val="P68B1DB1-Normal11"/>
              <w:spacing w:line="240" w:lineRule="auto"/>
              <w:jc w:val="center"/>
              <w:rPr>
                <w:noProof/>
              </w:rPr>
            </w:pPr>
            <w:r>
              <w:rPr>
                <w:noProof/>
              </w:rPr>
              <w:t>6</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E3CEBD0" w14:textId="77777777" w:rsidR="00025543" w:rsidRDefault="007E3A2F">
            <w:pPr>
              <w:pStyle w:val="P68B1DB1-Normal28"/>
              <w:spacing w:line="240" w:lineRule="auto"/>
              <w:jc w:val="center"/>
              <w:rPr>
                <w:rFonts w:eastAsia="Times New Roman"/>
                <w:noProof/>
              </w:rPr>
            </w:pPr>
            <w:r>
              <w:rPr>
                <w:noProof/>
              </w:rPr>
              <w:t>TRIMESTRE 4</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22F7F99" w14:textId="77777777" w:rsidR="00025543" w:rsidRDefault="007E3A2F">
            <w:pPr>
              <w:pStyle w:val="P68B1DB1-Normal11"/>
              <w:spacing w:line="240" w:lineRule="auto"/>
              <w:jc w:val="center"/>
              <w:rPr>
                <w:noProof/>
              </w:rPr>
            </w:pPr>
            <w:r>
              <w:rPr>
                <w:noProof/>
              </w:rPr>
              <w:t>2022</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33F0625" w14:textId="77777777" w:rsidR="00025543" w:rsidRDefault="007E3A2F">
            <w:pPr>
              <w:pStyle w:val="P68B1DB1-Normal28"/>
              <w:spacing w:line="240" w:lineRule="auto"/>
              <w:rPr>
                <w:rFonts w:eastAsia="Times New Roman"/>
                <w:noProof/>
              </w:rPr>
            </w:pPr>
            <w:r>
              <w:rPr>
                <w:noProof/>
              </w:rPr>
              <w:t>Modernisation de la structure artificielle des chemins de fer pour la phase d’exploitation.</w:t>
            </w:r>
          </w:p>
        </w:tc>
      </w:tr>
      <w:tr w:rsidR="00025543" w14:paraId="32D166D6" w14:textId="77777777">
        <w:trPr>
          <w:trHeight w:val="94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9A56338" w14:textId="77777777" w:rsidR="00025543" w:rsidRDefault="007E3A2F">
            <w:pPr>
              <w:pStyle w:val="P68B1DB1-Normal28"/>
              <w:spacing w:line="240" w:lineRule="auto"/>
              <w:jc w:val="center"/>
              <w:rPr>
                <w:noProof/>
              </w:rPr>
            </w:pPr>
            <w:r>
              <w:rPr>
                <w:noProof/>
              </w:rPr>
              <w:t>96</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8DC1ABC" w14:textId="77777777" w:rsidR="00025543" w:rsidRDefault="007E3A2F">
            <w:pPr>
              <w:pStyle w:val="P68B1DB1-Normal28"/>
              <w:spacing w:line="240" w:lineRule="auto"/>
              <w:rPr>
                <w:rFonts w:eastAsia="Times New Roman"/>
                <w:noProof/>
              </w:rPr>
            </w:pPr>
            <w:r>
              <w:rPr>
                <w:noProof/>
              </w:rPr>
              <w:t>Investissement 4: Sécurité routière et ferroviaire (passages ferroviaires, ponts et tunnels, pistes cyclables et itinéraires sans obstacles)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EFA6B67" w14:textId="77777777" w:rsidR="00025543" w:rsidRDefault="007E3A2F">
            <w:pPr>
              <w:pStyle w:val="P68B1DB1-Normal28"/>
              <w:spacing w:line="240" w:lineRule="auto"/>
              <w:rPr>
                <w:rFonts w:eastAsia="Times New Roman"/>
                <w:noProof/>
              </w:rPr>
            </w:pPr>
            <w:r>
              <w:rPr>
                <w:noProof/>
              </w:rPr>
              <w:t>Cible</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7F6FE60" w14:textId="77777777" w:rsidR="00025543" w:rsidRDefault="007E3A2F">
            <w:pPr>
              <w:pStyle w:val="P68B1DB1-Normal28"/>
              <w:spacing w:line="240" w:lineRule="auto"/>
              <w:rPr>
                <w:rFonts w:eastAsia="Times New Roman"/>
                <w:noProof/>
              </w:rPr>
            </w:pPr>
            <w:r>
              <w:rPr>
                <w:noProof/>
              </w:rPr>
              <w:t>Achèvement des passages à niveau avec une sécurité accrue</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98965F1" w14:textId="77777777" w:rsidR="00025543" w:rsidRDefault="00025543">
            <w:pPr>
              <w:spacing w:line="240" w:lineRule="auto"/>
              <w:rPr>
                <w:rFonts w:eastAsia="Times New Roman"/>
                <w:noProof/>
                <w:color w:val="006100"/>
                <w:sz w:val="18"/>
              </w:rPr>
            </w:pP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718A9D1" w14:textId="77777777" w:rsidR="00025543" w:rsidRDefault="007E3A2F">
            <w:pPr>
              <w:pStyle w:val="P68B1DB1-Normal28"/>
              <w:spacing w:line="240" w:lineRule="auto"/>
              <w:rPr>
                <w:rFonts w:eastAsia="Times New Roman"/>
                <w:noProof/>
              </w:rPr>
            </w:pPr>
            <w:r>
              <w:rPr>
                <w:noProof/>
              </w:rPr>
              <w:t>Nombre de passages à niveau avec une sécurité accrue</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837738B" w14:textId="77777777" w:rsidR="00025543" w:rsidRDefault="007E3A2F">
            <w:pPr>
              <w:pStyle w:val="P68B1DB1-Normal11"/>
              <w:spacing w:line="240" w:lineRule="auto"/>
              <w:jc w:val="center"/>
              <w:rPr>
                <w:noProof/>
              </w:rPr>
            </w:pPr>
            <w:r>
              <w:rPr>
                <w:noProof/>
              </w:rPr>
              <w:t>45</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258734F" w14:textId="77777777" w:rsidR="00025543" w:rsidRDefault="007E3A2F">
            <w:pPr>
              <w:pStyle w:val="P68B1DB1-Normal11"/>
              <w:spacing w:line="240" w:lineRule="auto"/>
              <w:jc w:val="center"/>
              <w:rPr>
                <w:noProof/>
              </w:rPr>
            </w:pPr>
            <w:r>
              <w:rPr>
                <w:noProof/>
              </w:rPr>
              <w:t>160</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64C9968" w14:textId="77777777" w:rsidR="00025543" w:rsidRDefault="007E3A2F">
            <w:pPr>
              <w:pStyle w:val="P68B1DB1-Normal28"/>
              <w:spacing w:line="240" w:lineRule="auto"/>
              <w:jc w:val="center"/>
              <w:rPr>
                <w:rFonts w:eastAsia="Times New Roman"/>
                <w:noProof/>
              </w:rPr>
            </w:pPr>
            <w:r>
              <w:rPr>
                <w:noProof/>
              </w:rPr>
              <w:t>TRIMESTRE 4</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3A6006E" w14:textId="77777777" w:rsidR="00025543" w:rsidRDefault="007E3A2F">
            <w:pPr>
              <w:pStyle w:val="P68B1DB1-Normal11"/>
              <w:spacing w:line="240" w:lineRule="auto"/>
              <w:jc w:val="center"/>
              <w:rPr>
                <w:noProof/>
              </w:rPr>
            </w:pPr>
            <w:r>
              <w:rPr>
                <w:noProof/>
              </w:rPr>
              <w:t>2022</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26B20AE" w14:textId="77777777" w:rsidR="00025543" w:rsidRDefault="007E3A2F">
            <w:pPr>
              <w:pStyle w:val="P68B1DB1-Normal28"/>
              <w:spacing w:line="240" w:lineRule="auto"/>
              <w:rPr>
                <w:rFonts w:eastAsia="Times New Roman"/>
                <w:noProof/>
              </w:rPr>
            </w:pPr>
            <w:r>
              <w:rPr>
                <w:noProof/>
              </w:rPr>
              <w:t>Passages à niveau avec un niveau de protection accru, avec un système d’avertissement de lumière clignotante nouvellement installé ou modernisé ou une installation mécanique de sécurité.</w:t>
            </w:r>
          </w:p>
        </w:tc>
      </w:tr>
      <w:tr w:rsidR="00025543" w14:paraId="0AF45A52" w14:textId="77777777">
        <w:trPr>
          <w:trHeight w:val="94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662FF5A" w14:textId="77777777" w:rsidR="00025543" w:rsidRDefault="007E3A2F">
            <w:pPr>
              <w:pStyle w:val="P68B1DB1-Normal28"/>
              <w:spacing w:line="240" w:lineRule="auto"/>
              <w:jc w:val="center"/>
              <w:rPr>
                <w:noProof/>
              </w:rPr>
            </w:pPr>
            <w:r>
              <w:rPr>
                <w:noProof/>
              </w:rPr>
              <w:t>97</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EEAF0D8" w14:textId="77777777" w:rsidR="00025543" w:rsidRDefault="007E3A2F">
            <w:pPr>
              <w:pStyle w:val="P68B1DB1-Normal28"/>
              <w:spacing w:line="240" w:lineRule="auto"/>
              <w:rPr>
                <w:rFonts w:eastAsia="Times New Roman"/>
                <w:noProof/>
              </w:rPr>
            </w:pPr>
            <w:r>
              <w:rPr>
                <w:noProof/>
              </w:rPr>
              <w:t>Investissement 4: Sécurité routière et ferroviaire (passages ferroviaires, ponts et tunnels, pistes cyclables et itinéraires sans obstacles)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6265D71" w14:textId="77777777" w:rsidR="00025543" w:rsidRDefault="007E3A2F">
            <w:pPr>
              <w:pStyle w:val="P68B1DB1-Normal28"/>
              <w:spacing w:line="240" w:lineRule="auto"/>
              <w:rPr>
                <w:rFonts w:eastAsia="Times New Roman"/>
                <w:noProof/>
              </w:rPr>
            </w:pPr>
            <w:r>
              <w:rPr>
                <w:noProof/>
              </w:rPr>
              <w:t>Cible</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8DBA320" w14:textId="77777777" w:rsidR="00025543" w:rsidRDefault="007E3A2F">
            <w:pPr>
              <w:pStyle w:val="P68B1DB1-Normal28"/>
              <w:spacing w:line="240" w:lineRule="auto"/>
              <w:rPr>
                <w:rFonts w:eastAsia="Times New Roman"/>
                <w:noProof/>
              </w:rPr>
            </w:pPr>
            <w:r>
              <w:rPr>
                <w:noProof/>
              </w:rPr>
              <w:t>Achèvement des pistes cyclables construites, trottoirs et voies sans barrier</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D0DCBC1" w14:textId="77777777" w:rsidR="00025543" w:rsidRDefault="00025543">
            <w:pPr>
              <w:spacing w:line="240" w:lineRule="auto"/>
              <w:rPr>
                <w:rFonts w:eastAsia="Times New Roman"/>
                <w:noProof/>
                <w:color w:val="006100"/>
                <w:sz w:val="18"/>
              </w:rPr>
            </w:pP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54E8FBE" w14:textId="77777777" w:rsidR="00025543" w:rsidRDefault="007E3A2F">
            <w:pPr>
              <w:pStyle w:val="P68B1DB1-Normal28"/>
              <w:spacing w:line="240" w:lineRule="auto"/>
              <w:rPr>
                <w:rFonts w:eastAsia="Times New Roman"/>
                <w:noProof/>
              </w:rPr>
            </w:pPr>
            <w:r>
              <w:rPr>
                <w:noProof/>
              </w:rPr>
              <w:t>Longueur des pistes cyclables construites, trottoirs, voies sans barrage — km</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1ED43B1" w14:textId="77777777" w:rsidR="00025543" w:rsidRDefault="007E3A2F">
            <w:pPr>
              <w:pStyle w:val="P68B1DB1-Normal11"/>
              <w:spacing w:line="240" w:lineRule="auto"/>
              <w:jc w:val="center"/>
              <w:rPr>
                <w:noProof/>
              </w:rPr>
            </w:pPr>
            <w:r>
              <w:rPr>
                <w:noProof/>
              </w:rPr>
              <w:t>25</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64AA4B5" w14:textId="77777777" w:rsidR="00025543" w:rsidRDefault="007E3A2F">
            <w:pPr>
              <w:pStyle w:val="P68B1DB1-Normal11"/>
              <w:spacing w:line="240" w:lineRule="auto"/>
              <w:jc w:val="center"/>
              <w:rPr>
                <w:noProof/>
              </w:rPr>
            </w:pPr>
            <w:r>
              <w:rPr>
                <w:noProof/>
              </w:rPr>
              <w:t>49</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89D9191" w14:textId="77777777" w:rsidR="00025543" w:rsidRDefault="007E3A2F">
            <w:pPr>
              <w:pStyle w:val="P68B1DB1-Normal28"/>
              <w:spacing w:line="240" w:lineRule="auto"/>
              <w:jc w:val="center"/>
              <w:rPr>
                <w:rFonts w:eastAsia="Times New Roman"/>
                <w:noProof/>
              </w:rPr>
            </w:pPr>
            <w:r>
              <w:rPr>
                <w:noProof/>
              </w:rPr>
              <w:t>TRIMESTRE 4</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FE62B0A" w14:textId="77777777" w:rsidR="00025543" w:rsidRDefault="007E3A2F">
            <w:pPr>
              <w:pStyle w:val="P68B1DB1-Normal11"/>
              <w:spacing w:line="240" w:lineRule="auto"/>
              <w:jc w:val="center"/>
              <w:rPr>
                <w:noProof/>
              </w:rPr>
            </w:pPr>
            <w:r>
              <w:rPr>
                <w:noProof/>
              </w:rPr>
              <w:t>2022</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C0DDD6D" w14:textId="77777777" w:rsidR="00025543" w:rsidRDefault="007E3A2F">
            <w:pPr>
              <w:pStyle w:val="P68B1DB1-Normal28"/>
              <w:spacing w:line="240" w:lineRule="auto"/>
              <w:rPr>
                <w:rFonts w:eastAsia="Times New Roman"/>
                <w:noProof/>
              </w:rPr>
            </w:pPr>
            <w:r>
              <w:rPr>
                <w:noProof/>
              </w:rPr>
              <w:t>Longueur de la piste cyclable construite/marche latérale/route sans obstacle.</w:t>
            </w:r>
          </w:p>
        </w:tc>
      </w:tr>
      <w:tr w:rsidR="00025543" w14:paraId="36B6665E" w14:textId="77777777">
        <w:trPr>
          <w:trHeight w:val="67"/>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B39A659" w14:textId="77777777" w:rsidR="00025543" w:rsidRDefault="007E3A2F">
            <w:pPr>
              <w:pStyle w:val="P68B1DB1-Normal28"/>
              <w:spacing w:line="240" w:lineRule="auto"/>
              <w:jc w:val="center"/>
              <w:rPr>
                <w:noProof/>
              </w:rPr>
            </w:pPr>
            <w:r>
              <w:rPr>
                <w:noProof/>
              </w:rPr>
              <w:t>98</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DAF84C4" w14:textId="77777777" w:rsidR="00025543" w:rsidRDefault="007E3A2F">
            <w:pPr>
              <w:pStyle w:val="P68B1DB1-Normal28"/>
              <w:spacing w:line="240" w:lineRule="auto"/>
              <w:rPr>
                <w:rFonts w:eastAsia="Times New Roman"/>
                <w:noProof/>
              </w:rPr>
            </w:pPr>
            <w:r>
              <w:rPr>
                <w:noProof/>
              </w:rPr>
              <w:t>Investissement 4: Sécurité routière et ferroviaire (passages ferroviaires, ponts et tunnels, pistes cyclables et itinéraires sans obstacles)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1852446" w14:textId="77777777" w:rsidR="00025543" w:rsidRDefault="007E3A2F">
            <w:pPr>
              <w:pStyle w:val="P68B1DB1-Normal28"/>
              <w:spacing w:line="240" w:lineRule="auto"/>
              <w:rPr>
                <w:rFonts w:eastAsia="Times New Roman"/>
                <w:noProof/>
              </w:rPr>
            </w:pPr>
            <w:r>
              <w:rPr>
                <w:noProof/>
              </w:rPr>
              <w:t>Cible</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BCD7FCC" w14:textId="77777777" w:rsidR="00025543" w:rsidRDefault="007E3A2F">
            <w:pPr>
              <w:pStyle w:val="P68B1DB1-Normal28"/>
              <w:spacing w:line="240" w:lineRule="auto"/>
              <w:rPr>
                <w:rFonts w:eastAsia="Times New Roman"/>
                <w:noProof/>
              </w:rPr>
            </w:pPr>
            <w:r>
              <w:rPr>
                <w:noProof/>
              </w:rPr>
              <w:t>Achèvement des passages à niveau avec une sécurité accrue</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5ACA44E" w14:textId="77777777" w:rsidR="00025543" w:rsidRDefault="00025543">
            <w:pPr>
              <w:spacing w:line="240" w:lineRule="auto"/>
              <w:rPr>
                <w:rFonts w:eastAsia="Times New Roman"/>
                <w:noProof/>
                <w:color w:val="006100"/>
                <w:sz w:val="18"/>
              </w:rPr>
            </w:pP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B280D17" w14:textId="77777777" w:rsidR="00025543" w:rsidRDefault="007E3A2F">
            <w:pPr>
              <w:pStyle w:val="P68B1DB1-Normal28"/>
              <w:spacing w:line="240" w:lineRule="auto"/>
              <w:rPr>
                <w:rFonts w:eastAsia="Times New Roman"/>
                <w:noProof/>
              </w:rPr>
            </w:pPr>
            <w:r>
              <w:rPr>
                <w:noProof/>
              </w:rPr>
              <w:t>Nombre de passages à niveau avec une sécurité accrue</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A8B1381" w14:textId="77777777" w:rsidR="00025543" w:rsidRDefault="007E3A2F">
            <w:pPr>
              <w:pStyle w:val="P68B1DB1-Normal11"/>
              <w:spacing w:line="240" w:lineRule="auto"/>
              <w:jc w:val="center"/>
              <w:rPr>
                <w:noProof/>
              </w:rPr>
            </w:pPr>
            <w:r>
              <w:rPr>
                <w:noProof/>
              </w:rPr>
              <w:t>160</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4782849" w14:textId="77777777" w:rsidR="00025543" w:rsidRDefault="007E3A2F">
            <w:pPr>
              <w:pStyle w:val="P68B1DB1-Normal11"/>
              <w:spacing w:line="240" w:lineRule="auto"/>
              <w:jc w:val="center"/>
              <w:rPr>
                <w:noProof/>
              </w:rPr>
            </w:pPr>
            <w:r>
              <w:rPr>
                <w:noProof/>
              </w:rPr>
              <w:t>291</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0AE4C10" w14:textId="77777777" w:rsidR="00025543" w:rsidRDefault="007E3A2F">
            <w:pPr>
              <w:pStyle w:val="P68B1DB1-Normal28"/>
              <w:spacing w:line="240" w:lineRule="auto"/>
              <w:jc w:val="center"/>
              <w:rPr>
                <w:rFonts w:eastAsia="Times New Roman"/>
                <w:noProof/>
              </w:rPr>
            </w:pPr>
            <w:r>
              <w:rPr>
                <w:noProof/>
              </w:rPr>
              <w:t>TRIMESTRE 4</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9A8EFF5" w14:textId="77777777" w:rsidR="00025543" w:rsidRDefault="007E3A2F">
            <w:pPr>
              <w:pStyle w:val="P68B1DB1-Normal11"/>
              <w:spacing w:line="240" w:lineRule="auto"/>
              <w:jc w:val="center"/>
              <w:rPr>
                <w:noProof/>
              </w:rPr>
            </w:pPr>
            <w:r>
              <w:rPr>
                <w:noProof/>
              </w:rPr>
              <w:t>2024</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10A644A" w14:textId="77777777" w:rsidR="00025543" w:rsidRDefault="007E3A2F">
            <w:pPr>
              <w:pStyle w:val="P68B1DB1-Normal28"/>
              <w:spacing w:line="240" w:lineRule="auto"/>
              <w:rPr>
                <w:rFonts w:eastAsia="Times New Roman"/>
                <w:noProof/>
              </w:rPr>
            </w:pPr>
            <w:r>
              <w:rPr>
                <w:noProof/>
              </w:rPr>
              <w:t>Passages à niveau avec un niveau de protection accru, avec un système d’avertissement de lumière clignotante nouvellement installé ou modernisé ou une installation mécanique de sécurité.</w:t>
            </w:r>
          </w:p>
        </w:tc>
      </w:tr>
      <w:tr w:rsidR="00025543" w14:paraId="2359C551" w14:textId="77777777">
        <w:trPr>
          <w:trHeight w:val="94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E81E4D1" w14:textId="77777777" w:rsidR="00025543" w:rsidRDefault="007E3A2F">
            <w:pPr>
              <w:pStyle w:val="P68B1DB1-Normal28"/>
              <w:spacing w:line="240" w:lineRule="auto"/>
              <w:jc w:val="center"/>
              <w:rPr>
                <w:noProof/>
              </w:rPr>
            </w:pPr>
            <w:r>
              <w:rPr>
                <w:noProof/>
              </w:rPr>
              <w:t>99</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833D00A" w14:textId="77777777" w:rsidR="00025543" w:rsidRDefault="007E3A2F">
            <w:pPr>
              <w:pStyle w:val="P68B1DB1-Normal28"/>
              <w:spacing w:line="240" w:lineRule="auto"/>
              <w:rPr>
                <w:rFonts w:eastAsia="Times New Roman"/>
                <w:noProof/>
              </w:rPr>
            </w:pPr>
            <w:r>
              <w:rPr>
                <w:noProof/>
              </w:rPr>
              <w:t>Investissement 4: Sécurité routière et ferroviaire (passages ferroviaires, ponts et tunnels, pistes cyclables et itinéraires sans obstacles)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6C0C641" w14:textId="77777777" w:rsidR="00025543" w:rsidRDefault="007E3A2F">
            <w:pPr>
              <w:pStyle w:val="P68B1DB1-Normal28"/>
              <w:spacing w:line="240" w:lineRule="auto"/>
              <w:rPr>
                <w:rFonts w:eastAsia="Times New Roman"/>
                <w:noProof/>
              </w:rPr>
            </w:pPr>
            <w:r>
              <w:rPr>
                <w:noProof/>
              </w:rPr>
              <w:t>Cible</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C82956A" w14:textId="77777777" w:rsidR="00025543" w:rsidRDefault="007E3A2F">
            <w:pPr>
              <w:pStyle w:val="P68B1DB1-Normal28"/>
              <w:spacing w:line="240" w:lineRule="auto"/>
              <w:rPr>
                <w:rFonts w:eastAsia="Times New Roman"/>
                <w:noProof/>
              </w:rPr>
            </w:pPr>
            <w:r>
              <w:rPr>
                <w:noProof/>
              </w:rPr>
              <w:t>Achèvement des ponts ou tunnels ferroviaires modernisés</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8AAC945" w14:textId="77777777" w:rsidR="00025543" w:rsidRDefault="00025543">
            <w:pPr>
              <w:spacing w:line="240" w:lineRule="auto"/>
              <w:rPr>
                <w:rFonts w:eastAsia="Times New Roman"/>
                <w:noProof/>
                <w:color w:val="006100"/>
                <w:sz w:val="18"/>
              </w:rPr>
            </w:pP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AF813AA" w14:textId="77777777" w:rsidR="00025543" w:rsidRDefault="007E3A2F">
            <w:pPr>
              <w:pStyle w:val="P68B1DB1-Normal28"/>
              <w:spacing w:line="240" w:lineRule="auto"/>
              <w:rPr>
                <w:rFonts w:eastAsia="Times New Roman"/>
                <w:noProof/>
              </w:rPr>
            </w:pPr>
            <w:r>
              <w:rPr>
                <w:noProof/>
              </w:rPr>
              <w:t>Nombre d’ouvrages artificiels modernisés (ponts/tunnels)</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A17320E" w14:textId="77777777" w:rsidR="00025543" w:rsidRDefault="007E3A2F">
            <w:pPr>
              <w:pStyle w:val="P68B1DB1-Normal11"/>
              <w:spacing w:line="240" w:lineRule="auto"/>
              <w:jc w:val="center"/>
              <w:rPr>
                <w:noProof/>
              </w:rPr>
            </w:pPr>
            <w:r>
              <w:rPr>
                <w:noProof/>
              </w:rPr>
              <w:t>6</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6E82000" w14:textId="77777777" w:rsidR="00025543" w:rsidRDefault="007E3A2F">
            <w:pPr>
              <w:pStyle w:val="P68B1DB1-Normal11"/>
              <w:spacing w:line="240" w:lineRule="auto"/>
              <w:jc w:val="center"/>
              <w:rPr>
                <w:noProof/>
              </w:rPr>
            </w:pPr>
            <w:r>
              <w:rPr>
                <w:noProof/>
              </w:rPr>
              <w:t>7</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2205C78" w14:textId="77777777" w:rsidR="00025543" w:rsidRDefault="007E3A2F">
            <w:pPr>
              <w:pStyle w:val="P68B1DB1-Normal28"/>
              <w:spacing w:line="240" w:lineRule="auto"/>
              <w:jc w:val="center"/>
              <w:rPr>
                <w:rFonts w:eastAsia="Times New Roman"/>
                <w:noProof/>
              </w:rPr>
            </w:pPr>
            <w:r>
              <w:rPr>
                <w:noProof/>
              </w:rPr>
              <w:t>TRIMESTRE 2</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E88317A" w14:textId="77777777" w:rsidR="00025543" w:rsidRDefault="007E3A2F">
            <w:pPr>
              <w:pStyle w:val="P68B1DB1-Normal11"/>
              <w:spacing w:line="240" w:lineRule="auto"/>
              <w:jc w:val="center"/>
              <w:rPr>
                <w:noProof/>
              </w:rPr>
            </w:pPr>
            <w:r>
              <w:rPr>
                <w:noProof/>
              </w:rPr>
              <w:t>2023</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9DECC8A" w14:textId="77777777" w:rsidR="00025543" w:rsidRDefault="007E3A2F">
            <w:pPr>
              <w:pStyle w:val="P68B1DB1-Normal28"/>
              <w:spacing w:line="240" w:lineRule="auto"/>
              <w:rPr>
                <w:rFonts w:eastAsia="Times New Roman"/>
                <w:noProof/>
              </w:rPr>
            </w:pPr>
            <w:r>
              <w:rPr>
                <w:noProof/>
              </w:rPr>
              <w:t>Modernisation de la structure artificielle des chemins de fer pour la phase d’exploitation.</w:t>
            </w:r>
          </w:p>
        </w:tc>
      </w:tr>
      <w:tr w:rsidR="00025543" w14:paraId="70CA72E1" w14:textId="77777777">
        <w:trPr>
          <w:trHeight w:val="94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5F37F94" w14:textId="77777777" w:rsidR="00025543" w:rsidRDefault="007E3A2F">
            <w:pPr>
              <w:pStyle w:val="P68B1DB1-Normal28"/>
              <w:spacing w:line="240" w:lineRule="auto"/>
              <w:jc w:val="center"/>
              <w:rPr>
                <w:noProof/>
              </w:rPr>
            </w:pPr>
            <w:r>
              <w:rPr>
                <w:noProof/>
              </w:rPr>
              <w:t>100</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97231B9" w14:textId="77777777" w:rsidR="00025543" w:rsidRDefault="007E3A2F">
            <w:pPr>
              <w:pStyle w:val="P68B1DB1-Normal28"/>
              <w:spacing w:line="240" w:lineRule="auto"/>
              <w:rPr>
                <w:rFonts w:eastAsia="Times New Roman"/>
                <w:noProof/>
              </w:rPr>
            </w:pPr>
            <w:r>
              <w:rPr>
                <w:noProof/>
              </w:rPr>
              <w:t>Investissement 4: Sécurité routière et ferroviaire (passages ferroviaires, ponts et tunnels, pistes cyclables et itinéraires sans obstacles)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CEA61B2" w14:textId="77777777" w:rsidR="00025543" w:rsidRDefault="007E3A2F">
            <w:pPr>
              <w:pStyle w:val="P68B1DB1-Normal28"/>
              <w:spacing w:line="240" w:lineRule="auto"/>
              <w:rPr>
                <w:rFonts w:eastAsia="Times New Roman"/>
                <w:noProof/>
              </w:rPr>
            </w:pPr>
            <w:r>
              <w:rPr>
                <w:noProof/>
              </w:rPr>
              <w:t>Cible</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6B2BB2F" w14:textId="77777777" w:rsidR="00025543" w:rsidRDefault="007E3A2F">
            <w:pPr>
              <w:pStyle w:val="P68B1DB1-Normal28"/>
              <w:spacing w:line="240" w:lineRule="auto"/>
              <w:rPr>
                <w:rFonts w:eastAsia="Times New Roman"/>
                <w:noProof/>
              </w:rPr>
            </w:pPr>
            <w:r>
              <w:rPr>
                <w:noProof/>
              </w:rPr>
              <w:t>Achèvement des pistes cyclables construites, trottoirs et voies sans barrier</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1C3EBE3" w14:textId="77777777" w:rsidR="00025543" w:rsidRDefault="00025543">
            <w:pPr>
              <w:spacing w:line="240" w:lineRule="auto"/>
              <w:rPr>
                <w:rFonts w:eastAsia="Times New Roman"/>
                <w:noProof/>
                <w:color w:val="006100"/>
                <w:sz w:val="18"/>
              </w:rPr>
            </w:pP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43D604D" w14:textId="77777777" w:rsidR="00025543" w:rsidRDefault="007E3A2F">
            <w:pPr>
              <w:pStyle w:val="P68B1DB1-Normal28"/>
              <w:spacing w:line="240" w:lineRule="auto"/>
              <w:rPr>
                <w:rFonts w:eastAsia="Times New Roman"/>
                <w:noProof/>
              </w:rPr>
            </w:pPr>
            <w:r>
              <w:rPr>
                <w:noProof/>
              </w:rPr>
              <w:t>Longueur des pistes cyclables construites, trottoirs, voies sans barrage — km</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1A40EC3" w14:textId="77777777" w:rsidR="00025543" w:rsidRDefault="007E3A2F">
            <w:pPr>
              <w:pStyle w:val="P68B1DB1-Normal11"/>
              <w:spacing w:line="240" w:lineRule="auto"/>
              <w:jc w:val="center"/>
              <w:rPr>
                <w:noProof/>
              </w:rPr>
            </w:pPr>
            <w:r>
              <w:rPr>
                <w:noProof/>
              </w:rPr>
              <w:t>49</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DD72FCC" w14:textId="77777777" w:rsidR="00025543" w:rsidRDefault="007E3A2F">
            <w:pPr>
              <w:pStyle w:val="P68B1DB1-Normal11"/>
              <w:spacing w:line="240" w:lineRule="auto"/>
              <w:jc w:val="center"/>
              <w:rPr>
                <w:noProof/>
              </w:rPr>
            </w:pPr>
            <w:r>
              <w:rPr>
                <w:noProof/>
              </w:rPr>
              <w:t>85</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3518099" w14:textId="77777777" w:rsidR="00025543" w:rsidRDefault="007E3A2F">
            <w:pPr>
              <w:pStyle w:val="P68B1DB1-Normal11"/>
              <w:spacing w:line="240" w:lineRule="auto"/>
              <w:jc w:val="center"/>
              <w:rPr>
                <w:noProof/>
              </w:rPr>
            </w:pPr>
            <w:r>
              <w:rPr>
                <w:noProof/>
              </w:rPr>
              <w:t>TRIMESTRE 4</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8BF3F1A" w14:textId="77777777" w:rsidR="00025543" w:rsidRDefault="007E3A2F">
            <w:pPr>
              <w:pStyle w:val="P68B1DB1-Normal11"/>
              <w:spacing w:line="240" w:lineRule="auto"/>
              <w:jc w:val="center"/>
              <w:rPr>
                <w:noProof/>
              </w:rPr>
            </w:pPr>
            <w:r>
              <w:rPr>
                <w:noProof/>
              </w:rPr>
              <w:t>2023</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BE4BA43" w14:textId="77777777" w:rsidR="00025543" w:rsidRDefault="007E3A2F">
            <w:pPr>
              <w:pStyle w:val="P68B1DB1-Normal28"/>
              <w:spacing w:line="240" w:lineRule="auto"/>
              <w:rPr>
                <w:rFonts w:eastAsia="Times New Roman"/>
                <w:noProof/>
              </w:rPr>
            </w:pPr>
            <w:r>
              <w:rPr>
                <w:noProof/>
              </w:rPr>
              <w:t>Longueur des pistes cyclables construites/marches latérales/sans obstacles.</w:t>
            </w:r>
          </w:p>
        </w:tc>
      </w:tr>
      <w:tr w:rsidR="00025543" w14:paraId="56B5717A" w14:textId="77777777">
        <w:trPr>
          <w:trHeight w:val="439"/>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1A61A13" w14:textId="77777777" w:rsidR="00025543" w:rsidRDefault="007E3A2F">
            <w:pPr>
              <w:pStyle w:val="P68B1DB1-Normal28"/>
              <w:spacing w:line="240" w:lineRule="auto"/>
              <w:jc w:val="center"/>
              <w:rPr>
                <w:noProof/>
              </w:rPr>
            </w:pPr>
            <w:r>
              <w:rPr>
                <w:noProof/>
              </w:rPr>
              <w:t>101</w:t>
            </w: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C4319F3" w14:textId="77777777" w:rsidR="00025543" w:rsidRDefault="007E3A2F">
            <w:pPr>
              <w:pStyle w:val="P68B1DB1-Normal28"/>
              <w:spacing w:line="240" w:lineRule="auto"/>
              <w:rPr>
                <w:rFonts w:eastAsia="Times New Roman"/>
                <w:noProof/>
              </w:rPr>
            </w:pPr>
            <w:r>
              <w:rPr>
                <w:noProof/>
              </w:rPr>
              <w:t>Investissement 4: Sécurité routière et ferroviaire (passages ferroviaires, ponts et tunnels, pistes cyclables et itinéraires sans obstacles)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5477152" w14:textId="77777777" w:rsidR="00025543" w:rsidRDefault="007E3A2F">
            <w:pPr>
              <w:pStyle w:val="P68B1DB1-Normal28"/>
              <w:spacing w:line="240" w:lineRule="auto"/>
              <w:rPr>
                <w:rFonts w:eastAsia="Times New Roman"/>
                <w:noProof/>
              </w:rPr>
            </w:pPr>
            <w:r>
              <w:rPr>
                <w:noProof/>
              </w:rPr>
              <w:t>Cible</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0D31BF3" w14:textId="77777777" w:rsidR="00025543" w:rsidRDefault="007E3A2F">
            <w:pPr>
              <w:pStyle w:val="P68B1DB1-Normal28"/>
              <w:spacing w:line="240" w:lineRule="auto"/>
              <w:rPr>
                <w:rFonts w:eastAsia="Times New Roman"/>
                <w:noProof/>
              </w:rPr>
            </w:pPr>
            <w:r>
              <w:rPr>
                <w:noProof/>
              </w:rPr>
              <w:t>Achèvement des ponts ou tunnels ferroviaires modernisés</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DE405DC" w14:textId="77777777" w:rsidR="00025543" w:rsidRDefault="00025543">
            <w:pPr>
              <w:spacing w:line="240" w:lineRule="auto"/>
              <w:rPr>
                <w:rFonts w:eastAsia="Times New Roman"/>
                <w:noProof/>
                <w:color w:val="006100"/>
                <w:sz w:val="18"/>
              </w:rPr>
            </w:pP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FC16E75" w14:textId="77777777" w:rsidR="00025543" w:rsidRDefault="007E3A2F">
            <w:pPr>
              <w:pStyle w:val="P68B1DB1-Normal28"/>
              <w:spacing w:line="240" w:lineRule="auto"/>
              <w:rPr>
                <w:rFonts w:eastAsia="Times New Roman"/>
                <w:noProof/>
              </w:rPr>
            </w:pPr>
            <w:r>
              <w:rPr>
                <w:noProof/>
              </w:rPr>
              <w:t>Nombre d’ouvrages artificiels modernisés (ponts/tunnels)</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AB77EC8" w14:textId="77777777" w:rsidR="00025543" w:rsidRDefault="007E3A2F">
            <w:pPr>
              <w:pStyle w:val="P68B1DB1-Normal11"/>
              <w:spacing w:line="240" w:lineRule="auto"/>
              <w:jc w:val="center"/>
              <w:rPr>
                <w:noProof/>
              </w:rPr>
            </w:pPr>
            <w:r>
              <w:rPr>
                <w:noProof/>
              </w:rPr>
              <w:t>7</w:t>
            </w:r>
          </w:p>
        </w:tc>
        <w:tc>
          <w:tcPr>
            <w:tcW w:w="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C87974C" w14:textId="77777777" w:rsidR="00025543" w:rsidRDefault="007E3A2F">
            <w:pPr>
              <w:pStyle w:val="P68B1DB1-Normal11"/>
              <w:spacing w:line="240" w:lineRule="auto"/>
              <w:jc w:val="center"/>
              <w:rPr>
                <w:noProof/>
              </w:rPr>
            </w:pPr>
            <w:r>
              <w:rPr>
                <w:noProof/>
              </w:rPr>
              <w:t>8</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8C413E0" w14:textId="77777777" w:rsidR="00025543" w:rsidRDefault="007E3A2F">
            <w:pPr>
              <w:pStyle w:val="P68B1DB1-Normal11"/>
              <w:spacing w:line="240" w:lineRule="auto"/>
              <w:jc w:val="center"/>
              <w:rPr>
                <w:noProof/>
              </w:rPr>
            </w:pPr>
            <w:r>
              <w:rPr>
                <w:noProof/>
              </w:rPr>
              <w:t>TRIMESTRE 4</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53B6D57" w14:textId="77777777" w:rsidR="00025543" w:rsidRDefault="007E3A2F">
            <w:pPr>
              <w:pStyle w:val="P68B1DB1-Normal11"/>
              <w:spacing w:line="240" w:lineRule="auto"/>
              <w:jc w:val="center"/>
              <w:rPr>
                <w:noProof/>
              </w:rPr>
            </w:pPr>
            <w:r>
              <w:rPr>
                <w:noProof/>
              </w:rPr>
              <w:t>2023</w:t>
            </w:r>
          </w:p>
        </w:tc>
        <w:tc>
          <w:tcPr>
            <w:tcW w:w="3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3DE6AD7" w14:textId="77777777" w:rsidR="00025543" w:rsidRDefault="007E3A2F">
            <w:pPr>
              <w:pStyle w:val="P68B1DB1-Normal28"/>
              <w:pageBreakBefore/>
              <w:spacing w:line="240" w:lineRule="auto"/>
              <w:rPr>
                <w:rFonts w:eastAsia="Times New Roman"/>
                <w:noProof/>
              </w:rPr>
            </w:pPr>
            <w:r>
              <w:rPr>
                <w:noProof/>
              </w:rPr>
              <w:t>Modernisation de la structure artificielle des chemins de fer pour la phase d’exploitation.</w:t>
            </w:r>
          </w:p>
        </w:tc>
      </w:tr>
    </w:tbl>
    <w:p w14:paraId="7ED7133A" w14:textId="77777777" w:rsidR="00025543" w:rsidRDefault="00025543">
      <w:pPr>
        <w:spacing w:line="240" w:lineRule="auto"/>
        <w:jc w:val="both"/>
        <w:rPr>
          <w:b/>
          <w:noProof/>
          <w:u w:val="single"/>
          <w:shd w:val="clear" w:color="auto" w:fill="E6E6E6"/>
        </w:rPr>
        <w:sectPr w:rsidR="00025543" w:rsidSect="00D57C66">
          <w:headerReference w:type="even" r:id="rId156"/>
          <w:headerReference w:type="default" r:id="rId157"/>
          <w:footerReference w:type="even" r:id="rId158"/>
          <w:footerReference w:type="default" r:id="rId159"/>
          <w:headerReference w:type="first" r:id="rId160"/>
          <w:footerReference w:type="first" r:id="rId161"/>
          <w:pgSz w:w="16839" w:h="11907" w:orient="landscape"/>
          <w:pgMar w:top="1134" w:right="1134" w:bottom="1134" w:left="1134" w:header="567" w:footer="567" w:gutter="0"/>
          <w:cols w:space="720"/>
          <w:docGrid w:linePitch="326"/>
        </w:sectPr>
      </w:pPr>
    </w:p>
    <w:p w14:paraId="3EA4120E" w14:textId="238C41FE" w:rsidR="00025543" w:rsidRDefault="007E3A2F">
      <w:pPr>
        <w:pStyle w:val="P68B1DB1-Normal2"/>
        <w:keepNext/>
        <w:tabs>
          <w:tab w:val="left" w:pos="850"/>
        </w:tabs>
        <w:spacing w:before="360" w:line="240" w:lineRule="auto"/>
        <w:jc w:val="both"/>
        <w:outlineLvl w:val="0"/>
        <w:rPr>
          <w:noProof/>
        </w:rPr>
      </w:pPr>
      <w:r>
        <w:rPr>
          <w:noProof/>
        </w:rPr>
        <w:t xml:space="preserve">I. VOLET 2.2: Réduction de la consommation d’énergie dans le secteur public </w:t>
      </w:r>
    </w:p>
    <w:p w14:paraId="37557788" w14:textId="77777777" w:rsidR="00025543" w:rsidRDefault="007E3A2F">
      <w:pPr>
        <w:spacing w:line="240" w:lineRule="auto"/>
        <w:jc w:val="both"/>
        <w:rPr>
          <w:noProof/>
        </w:rPr>
      </w:pPr>
      <w:r>
        <w:rPr>
          <w:noProof/>
        </w:rPr>
        <w:t xml:space="preserve">Ce volet </w:t>
      </w:r>
      <w:r>
        <w:rPr>
          <w:rFonts w:eastAsia="Times New Roman"/>
          <w:noProof/>
        </w:rPr>
        <w:t xml:space="preserve">du plan pour la reprise et la résilience de la République tchèque </w:t>
      </w:r>
      <w:r>
        <w:rPr>
          <w:noProof/>
        </w:rPr>
        <w:t xml:space="preserve">répond au défi de l’efficacité énergétique dans le secteur public grâce à la rénovation des bâtiments publics et publics et à la modernisation de l’éclairage public. </w:t>
      </w:r>
    </w:p>
    <w:p w14:paraId="64D76B14" w14:textId="77777777" w:rsidR="00025543" w:rsidRDefault="007E3A2F">
      <w:pPr>
        <w:spacing w:line="240" w:lineRule="auto"/>
        <w:jc w:val="both"/>
        <w:rPr>
          <w:noProof/>
        </w:rPr>
      </w:pPr>
      <w:r>
        <w:rPr>
          <w:noProof/>
        </w:rPr>
        <w:t xml:space="preserve">Ce volet reflète les engagements pris par la Tchéquie d’améliorer l’efficacité énergétique de l’économie nationale d’ici à 2030. Elle vise à réduire la consommation finale d’énergie dans l’État et les bâtiments publics concernés, à augmenter le nombre de rénovations de qualité dans le secteur public et à réduire la consommation finale d’énergie de l’éclairage public. </w:t>
      </w:r>
    </w:p>
    <w:p w14:paraId="3733D3D4" w14:textId="77777777" w:rsidR="00025543" w:rsidRDefault="007E3A2F">
      <w:pPr>
        <w:spacing w:line="240" w:lineRule="auto"/>
        <w:jc w:val="both"/>
        <w:rPr>
          <w:noProof/>
          <w:sz w:val="22"/>
        </w:rPr>
      </w:pPr>
      <w:r>
        <w:rPr>
          <w:noProof/>
        </w:rPr>
        <w:t>Le volet soutient la mise en œuvre de la recommandation par pays sur la transition vers une économie à faible intensité de carbone et une transition énergétique, y compris l’efficacité énergétique (recommandation spécifique par pays no 3 2019) et sur la production et l’utilisation propres et efficaces de l’énergie (recommandation spécifique par pays no 3 2020).</w:t>
      </w:r>
    </w:p>
    <w:p w14:paraId="2146149F" w14:textId="36971219" w:rsidR="00025543" w:rsidRDefault="007E3A2F">
      <w:pPr>
        <w:spacing w:line="240" w:lineRule="auto"/>
        <w:jc w:val="both"/>
        <w:rPr>
          <w:noProof/>
        </w:rPr>
      </w:pPr>
      <w:r>
        <w:rPr>
          <w:noProof/>
        </w:rPr>
        <w:t xml:space="preserve">Aucune mesure relevant de ce volet ne devrait causer de préjudice important aux objectifs environnementaux au sens de l’article 17 du règlement (UE) 2020/852, compte tenu de la description des mesures et des mesures d’atténuation prévues dans le plan conformément aux orientations techniques DNSH (2021/C58/01). En particulier, dans le cadre de l’amélioration de la performance énergétique des bâtiments publics et des bâtiments publics, au moins 70 % des déchets de construction et de démolition sont préparés en vue du réemploi ou du recyclage. </w:t>
      </w:r>
    </w:p>
    <w:p w14:paraId="5C9E088B" w14:textId="77777777" w:rsidR="00025543" w:rsidRDefault="00025543">
      <w:pPr>
        <w:spacing w:line="240" w:lineRule="auto"/>
        <w:jc w:val="both"/>
        <w:rPr>
          <w:noProof/>
        </w:rPr>
      </w:pPr>
    </w:p>
    <w:p w14:paraId="1891D727" w14:textId="612C5092" w:rsidR="00025543" w:rsidRDefault="007E3A2F">
      <w:pPr>
        <w:pStyle w:val="P68B1DB1-Normal5"/>
        <w:spacing w:line="240" w:lineRule="auto"/>
        <w:jc w:val="both"/>
        <w:rPr>
          <w:noProof/>
        </w:rPr>
      </w:pPr>
      <w:r>
        <w:rPr>
          <w:noProof/>
        </w:rPr>
        <w:t>I.1. Description des réformes et des investissements en vue du soutien financier non remboursable</w:t>
      </w:r>
    </w:p>
    <w:p w14:paraId="2DF7C045" w14:textId="77777777" w:rsidR="00025543" w:rsidRDefault="007E3A2F">
      <w:pPr>
        <w:pStyle w:val="P68B1DB1-Normal7"/>
        <w:spacing w:line="240" w:lineRule="auto"/>
        <w:jc w:val="both"/>
        <w:rPr>
          <w:noProof/>
        </w:rPr>
      </w:pPr>
      <w:r>
        <w:rPr>
          <w:noProof/>
        </w:rPr>
        <w:t>Investissement 1: Amélioration de la performance énergétique des bâtiments publics</w:t>
      </w:r>
    </w:p>
    <w:p w14:paraId="5396018F" w14:textId="6881B504" w:rsidR="00025543" w:rsidRDefault="007E3A2F">
      <w:pPr>
        <w:spacing w:line="240" w:lineRule="auto"/>
        <w:jc w:val="both"/>
        <w:rPr>
          <w:noProof/>
        </w:rPr>
      </w:pPr>
      <w:r>
        <w:rPr>
          <w:noProof/>
        </w:rPr>
        <w:t xml:space="preserve">Cet investissement vise à réduire la consommation finale d’énergie dans les bâtiments de l’administration publique qui ne satisfont pas aux exigences minimales en matière de performance énergétique à long terme et à augmenter le nombre de rénovations de haute qualité et modérément ou lourdes. Seuls les projets qui permettent, </w:t>
      </w:r>
      <w:r>
        <w:rPr>
          <w:rFonts w:eastAsia="Times New Roman"/>
          <w:noProof/>
        </w:rPr>
        <w:t>en moyenne,</w:t>
      </w:r>
      <w:r>
        <w:rPr>
          <w:noProof/>
        </w:rPr>
        <w:t xml:space="preserve"> une réduction de la consommation d’énergie primaire d’au moins 30 % ou une réduction des émissions de CO2 de 30 % sont financés. </w:t>
      </w:r>
    </w:p>
    <w:p w14:paraId="237AAC09" w14:textId="39A4A34A" w:rsidR="00025543" w:rsidRDefault="007E3A2F">
      <w:pPr>
        <w:tabs>
          <w:tab w:val="left" w:pos="1402"/>
        </w:tabs>
        <w:spacing w:before="0" w:after="300" w:line="280" w:lineRule="exact"/>
        <w:jc w:val="both"/>
        <w:rPr>
          <w:rFonts w:eastAsia="Segoe UI" w:cs="Segoe UI"/>
          <w:noProof/>
          <w:color w:val="000000"/>
        </w:rPr>
      </w:pPr>
      <w:r>
        <w:rPr>
          <w:noProof/>
        </w:rPr>
        <w:t xml:space="preserve">L’investissement vise à soutenir au moins 100 projets de rénovation de bâtiments, y compris l’isolation d’un bâtiment, l’ </w:t>
      </w:r>
      <w:r>
        <w:rPr>
          <w:rFonts w:eastAsia="Segoe UI"/>
          <w:noProof/>
          <w:color w:val="000000"/>
        </w:rPr>
        <w:t xml:space="preserve">échange et la rénovation de </w:t>
      </w:r>
      <w:r>
        <w:rPr>
          <w:noProof/>
        </w:rPr>
        <w:t>fenêtres et de portes, l’installation de systèmes fondés sur des sources d’énergie renouvelables ou la mise en œuvre d’améliorations de l’environnement intérieur ayant une incidence démontrable sur la performance énergétique des bâtiments.</w:t>
      </w:r>
    </w:p>
    <w:p w14:paraId="34268A2C" w14:textId="7C1927CB" w:rsidR="00025543" w:rsidRDefault="007E3A2F">
      <w:pPr>
        <w:tabs>
          <w:tab w:val="left" w:pos="1402"/>
        </w:tabs>
        <w:spacing w:before="0" w:after="300" w:line="280" w:lineRule="exact"/>
        <w:jc w:val="both"/>
        <w:rPr>
          <w:noProof/>
        </w:rPr>
      </w:pPr>
      <w:r>
        <w:rPr>
          <w:noProof/>
        </w:rPr>
        <w:t xml:space="preserve">75 % des projets feront l’objet de contrats au plus tard le 31 décembre 2024. </w:t>
      </w:r>
    </w:p>
    <w:p w14:paraId="458F769A" w14:textId="77777777" w:rsidR="00025543" w:rsidRDefault="007E3A2F">
      <w:pPr>
        <w:tabs>
          <w:tab w:val="left" w:pos="1402"/>
        </w:tabs>
        <w:spacing w:before="0" w:after="300" w:line="280" w:lineRule="exact"/>
        <w:jc w:val="both"/>
        <w:rPr>
          <w:noProof/>
        </w:rPr>
      </w:pPr>
      <w:r>
        <w:rPr>
          <w:noProof/>
        </w:rPr>
        <w:t>Afin de mieux préparer cet investissement, le ministère de l’industrie et du commerce adopte et publie, pour le 31 décembre 2021 au plus tard, un modèle de contrat pour les services liés à la méthode de passation des marchés de performance énergétique. Elle vise à promouvoir la mise en œuvre de projets en mettant l’accent sur la maximisation du rendement des économies d’énergie par rapport aux fonds dépensés.</w:t>
      </w:r>
    </w:p>
    <w:p w14:paraId="2BC5C9C3" w14:textId="77777777" w:rsidR="00025543" w:rsidRDefault="007E3A2F">
      <w:pPr>
        <w:spacing w:line="240" w:lineRule="auto"/>
        <w:jc w:val="both"/>
        <w:rPr>
          <w:noProof/>
        </w:rPr>
      </w:pPr>
      <w:r>
        <w:rPr>
          <w:noProof/>
        </w:rPr>
        <w:t xml:space="preserve">La mise en œuvre de l’investissement est achevée au plus tard le 31 mars 2026. </w:t>
      </w:r>
    </w:p>
    <w:p w14:paraId="5DDA132F" w14:textId="77777777" w:rsidR="00025543" w:rsidRDefault="007E3A2F">
      <w:pPr>
        <w:pStyle w:val="P68B1DB1-Normal7"/>
        <w:spacing w:line="240" w:lineRule="auto"/>
        <w:jc w:val="both"/>
        <w:rPr>
          <w:noProof/>
        </w:rPr>
      </w:pPr>
      <w:r>
        <w:rPr>
          <w:noProof/>
        </w:rPr>
        <w:t>Investissement 2: Améliorer l’efficacité énergétique des systèmes d’éclairage public</w:t>
      </w:r>
    </w:p>
    <w:p w14:paraId="121EC7A5" w14:textId="77777777" w:rsidR="00025543" w:rsidRDefault="007E3A2F">
      <w:pPr>
        <w:spacing w:line="240" w:lineRule="auto"/>
        <w:jc w:val="both"/>
        <w:rPr>
          <w:noProof/>
        </w:rPr>
      </w:pPr>
      <w:r>
        <w:rPr>
          <w:noProof/>
        </w:rPr>
        <w:t xml:space="preserve">Cet investissement vise à permettre la rénovation de l’éclairage public dans différentes municipalités de la République tchèque et à permettre que ces rénovations soient liées à d’autres éléments intelligents tels que le soutien au développement de l’électromobilité. </w:t>
      </w:r>
    </w:p>
    <w:p w14:paraId="41DDC90D" w14:textId="77777777" w:rsidR="00025543" w:rsidRDefault="007E3A2F">
      <w:pPr>
        <w:spacing w:line="240" w:lineRule="auto"/>
        <w:jc w:val="both"/>
        <w:rPr>
          <w:noProof/>
        </w:rPr>
      </w:pPr>
      <w:r>
        <w:rPr>
          <w:noProof/>
        </w:rPr>
        <w:t xml:space="preserve">Seuls les projets qui permettent, </w:t>
      </w:r>
      <w:r>
        <w:rPr>
          <w:rFonts w:eastAsia="Times New Roman"/>
          <w:noProof/>
        </w:rPr>
        <w:t>en moyenne,</w:t>
      </w:r>
      <w:r>
        <w:rPr>
          <w:noProof/>
        </w:rPr>
        <w:t xml:space="preserve"> une réduction de la consommation d’énergie primaire d’au moins 30 % ou une réduction des émissions de CO2 de 30 % sont financés.</w:t>
      </w:r>
    </w:p>
    <w:p w14:paraId="7476D5D4" w14:textId="567DBA5C" w:rsidR="00025543" w:rsidRDefault="007E3A2F">
      <w:pPr>
        <w:spacing w:line="240" w:lineRule="auto"/>
        <w:jc w:val="both"/>
        <w:rPr>
          <w:noProof/>
        </w:rPr>
      </w:pPr>
      <w:r>
        <w:rPr>
          <w:noProof/>
        </w:rPr>
        <w:t>L’investissement comprend le soutien d’au moins 800 projets de rénovation de systèmes d’éclairage public dans différentes municipalités de Tchéquie, dont 80 % feront l’objet d’un contrat au plus tard le 31 décembre 2024. L’investissement comprend le renouvellement des systèmes d’éclairage et l’acquisition ou l’optimisation du système de gestion.</w:t>
      </w:r>
    </w:p>
    <w:p w14:paraId="0DF62B9E" w14:textId="77777777" w:rsidR="00025543" w:rsidRDefault="007E3A2F">
      <w:pPr>
        <w:spacing w:line="240" w:lineRule="auto"/>
        <w:jc w:val="both"/>
        <w:rPr>
          <w:noProof/>
        </w:rPr>
      </w:pPr>
      <w:r>
        <w:rPr>
          <w:noProof/>
        </w:rPr>
        <w:t>Afin de mieux préparer cet investissement, un document relatif au programme est adopté et publié par le ministère de l’industrie et du commerce au plus tard le 31 décembre 2021. Il fixe le calendrier et les conditions de soutien des mesures de rénovation des parafoudres publics, y compris les éléments intelligents.</w:t>
      </w:r>
    </w:p>
    <w:p w14:paraId="37F3FAC8" w14:textId="77777777" w:rsidR="00025543" w:rsidRDefault="007E3A2F">
      <w:pPr>
        <w:spacing w:line="240" w:lineRule="auto"/>
        <w:jc w:val="both"/>
        <w:rPr>
          <w:noProof/>
        </w:rPr>
      </w:pPr>
      <w:r>
        <w:rPr>
          <w:noProof/>
        </w:rPr>
        <w:t>La mise en œuvre de l’investissement est achevée au plus tard le 31 mars 2026.</w:t>
      </w:r>
    </w:p>
    <w:p w14:paraId="25E88ED8" w14:textId="77777777" w:rsidR="00025543" w:rsidRDefault="007E3A2F">
      <w:pPr>
        <w:pStyle w:val="P68B1DB1-Normal7"/>
        <w:spacing w:line="240" w:lineRule="auto"/>
        <w:jc w:val="both"/>
        <w:rPr>
          <w:noProof/>
        </w:rPr>
      </w:pPr>
      <w:r>
        <w:rPr>
          <w:noProof/>
        </w:rPr>
        <w:t xml:space="preserve">Investissement 3: Amélioration de la performance énergétique des bâtiments publics </w:t>
      </w:r>
    </w:p>
    <w:p w14:paraId="1EF02137" w14:textId="30634CDD" w:rsidR="00025543" w:rsidRDefault="007E3A2F">
      <w:pPr>
        <w:pStyle w:val="pf0"/>
        <w:jc w:val="both"/>
        <w:rPr>
          <w:noProof/>
        </w:rPr>
      </w:pPr>
      <w:r>
        <w:rPr>
          <w:noProof/>
        </w:rPr>
        <w:t>Cet investissement vise à réduire la consommation finale d’énergie dans les bâtiments publics qui ne satisfont pas aux exigences minimales en matière de performance énergétique à long terme et à augmenter le nombre de rénovations de haute qualité et modérément profondes ou lourdes. Seuls les projets qui permettent, en moyenne, une réduction de la consommation d’énergie primaire d’au moins 30 % ou une réduction des émissions de CO2 de 30 % sont financés.</w:t>
      </w:r>
    </w:p>
    <w:p w14:paraId="1332ED31" w14:textId="4EAD210A" w:rsidR="00025543" w:rsidRDefault="007E3A2F">
      <w:pPr>
        <w:tabs>
          <w:tab w:val="left" w:pos="1402"/>
        </w:tabs>
        <w:spacing w:before="0" w:after="300" w:line="280" w:lineRule="exact"/>
        <w:jc w:val="both"/>
        <w:rPr>
          <w:rFonts w:eastAsia="Segoe UI" w:cs="Segoe UI"/>
          <w:noProof/>
          <w:color w:val="000000"/>
        </w:rPr>
      </w:pPr>
      <w:r>
        <w:rPr>
          <w:noProof/>
        </w:rPr>
        <w:t>L’investissement vise à soutenir au moins 220 projets de rénovation de bâtiments, y compris l’isolation d’un bâtiment, l’échange et la rénovation de fenêtres et de portes, l’installation de systèmes fondés sur des sources d’énergie renouvelables ou la mise en œuvre d’améliorations de l’environnement intérieur ayant une incidence démontrable sur la performance énergétique des bâtiments.</w:t>
      </w:r>
    </w:p>
    <w:p w14:paraId="23C21F7C" w14:textId="77777777" w:rsidR="00025543" w:rsidRDefault="007E3A2F">
      <w:pPr>
        <w:spacing w:line="240" w:lineRule="auto"/>
        <w:jc w:val="both"/>
        <w:rPr>
          <w:noProof/>
        </w:rPr>
      </w:pPr>
      <w:r>
        <w:rPr>
          <w:noProof/>
        </w:rPr>
        <w:t>75 % des projets feront l’objet de contrats au plus tard le 31 décembre 2023.</w:t>
      </w:r>
    </w:p>
    <w:p w14:paraId="693E91BD" w14:textId="77777777" w:rsidR="00025543" w:rsidRDefault="007E3A2F">
      <w:pPr>
        <w:spacing w:line="240" w:lineRule="auto"/>
        <w:jc w:val="both"/>
        <w:rPr>
          <w:noProof/>
        </w:rPr>
      </w:pPr>
      <w:r>
        <w:rPr>
          <w:noProof/>
        </w:rPr>
        <w:t xml:space="preserve">La mise en œuvre de l’investissement est achevée au plus tard le 31 mars 2026. </w:t>
      </w:r>
    </w:p>
    <w:p w14:paraId="2069FA9F" w14:textId="77777777" w:rsidR="00025543" w:rsidRDefault="00025543">
      <w:pPr>
        <w:spacing w:line="240" w:lineRule="auto"/>
        <w:rPr>
          <w:rFonts w:ascii="Calibri" w:hAnsi="Calibri"/>
          <w:noProof/>
          <w:sz w:val="22"/>
        </w:rPr>
        <w:sectPr w:rsidR="00025543" w:rsidSect="00D57C66">
          <w:headerReference w:type="even" r:id="rId162"/>
          <w:headerReference w:type="default" r:id="rId163"/>
          <w:footerReference w:type="even" r:id="rId164"/>
          <w:footerReference w:type="default" r:id="rId165"/>
          <w:headerReference w:type="first" r:id="rId166"/>
          <w:footerReference w:type="first" r:id="rId167"/>
          <w:pgSz w:w="11907" w:h="16839"/>
          <w:pgMar w:top="1134" w:right="1134" w:bottom="1134" w:left="1134" w:header="567" w:footer="567" w:gutter="0"/>
          <w:cols w:space="720"/>
          <w:docGrid w:linePitch="326"/>
        </w:sectPr>
      </w:pPr>
    </w:p>
    <w:p w14:paraId="1A96A60D" w14:textId="2C42163C" w:rsidR="00025543" w:rsidRDefault="007E3A2F">
      <w:pPr>
        <w:pStyle w:val="P68B1DB1-Normal8"/>
        <w:pBdr>
          <w:top w:val="nil"/>
          <w:left w:val="nil"/>
          <w:bottom w:val="nil"/>
          <w:right w:val="nil"/>
          <w:between w:val="nil"/>
        </w:pBdr>
        <w:tabs>
          <w:tab w:val="left" w:pos="993"/>
        </w:tabs>
        <w:spacing w:line="240" w:lineRule="auto"/>
        <w:rPr>
          <w:noProof/>
          <w:color w:val="006100"/>
          <w:sz w:val="15"/>
        </w:rPr>
      </w:pPr>
      <w:r>
        <w:rPr>
          <w:noProof/>
        </w:rPr>
        <w:t xml:space="preserve">I.2. Jalons, cibles, indicateurs et calendrier de suivi et de mise en œuvre en vue du soutien financier non remboursable </w:t>
      </w:r>
    </w:p>
    <w:tbl>
      <w:tblPr>
        <w:tblW w:w="14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3"/>
        <w:gridCol w:w="1168"/>
        <w:gridCol w:w="1115"/>
        <w:gridCol w:w="1281"/>
        <w:gridCol w:w="1407"/>
        <w:gridCol w:w="1031"/>
        <w:gridCol w:w="1031"/>
        <w:gridCol w:w="1031"/>
        <w:gridCol w:w="949"/>
        <w:gridCol w:w="706"/>
        <w:gridCol w:w="4226"/>
      </w:tblGrid>
      <w:tr w:rsidR="00025543" w14:paraId="04818075" w14:textId="77777777">
        <w:trPr>
          <w:trHeight w:val="75"/>
          <w:tblHeader/>
          <w:jc w:val="center"/>
        </w:trPr>
        <w:tc>
          <w:tcPr>
            <w:tcW w:w="663" w:type="dxa"/>
            <w:vMerge w:val="restart"/>
            <w:tcBorders>
              <w:top w:val="single" w:sz="8" w:space="0" w:color="000000"/>
              <w:left w:val="single" w:sz="8" w:space="0" w:color="000000"/>
              <w:right w:val="single" w:sz="8" w:space="0" w:color="000000"/>
            </w:tcBorders>
            <w:shd w:val="clear" w:color="auto" w:fill="BDD7EE"/>
            <w:vAlign w:val="center"/>
          </w:tcPr>
          <w:p w14:paraId="206CF4BA" w14:textId="77777777" w:rsidR="00025543" w:rsidRDefault="007E3A2F">
            <w:pPr>
              <w:pStyle w:val="P68B1DB1-Normal9"/>
              <w:spacing w:line="240" w:lineRule="auto"/>
              <w:jc w:val="center"/>
              <w:rPr>
                <w:noProof/>
              </w:rPr>
            </w:pPr>
            <w:r>
              <w:rPr>
                <w:noProof/>
              </w:rPr>
              <w:t xml:space="preserve">Séquence NUM. </w:t>
            </w:r>
          </w:p>
        </w:tc>
        <w:tc>
          <w:tcPr>
            <w:tcW w:w="1188" w:type="dxa"/>
            <w:vMerge w:val="restart"/>
            <w:tcBorders>
              <w:top w:val="single" w:sz="8" w:space="0" w:color="000000"/>
              <w:left w:val="single" w:sz="8" w:space="0" w:color="000000"/>
              <w:right w:val="single" w:sz="8" w:space="0" w:color="000000"/>
            </w:tcBorders>
            <w:shd w:val="clear" w:color="auto" w:fill="BDD7EE"/>
            <w:vAlign w:val="center"/>
          </w:tcPr>
          <w:p w14:paraId="0EF5394C" w14:textId="77777777" w:rsidR="00025543" w:rsidRDefault="007E3A2F">
            <w:pPr>
              <w:pStyle w:val="P68B1DB1-Normal9"/>
              <w:spacing w:line="240" w:lineRule="auto"/>
              <w:jc w:val="center"/>
              <w:rPr>
                <w:noProof/>
              </w:rPr>
            </w:pPr>
            <w:r>
              <w:rPr>
                <w:noProof/>
              </w:rPr>
              <w:t xml:space="preserve">Mesure connexe (réforme ou investissement) </w:t>
            </w:r>
          </w:p>
        </w:tc>
        <w:tc>
          <w:tcPr>
            <w:tcW w:w="1134" w:type="dxa"/>
            <w:vMerge w:val="restart"/>
            <w:tcBorders>
              <w:top w:val="single" w:sz="8" w:space="0" w:color="000000"/>
              <w:left w:val="single" w:sz="8" w:space="0" w:color="000000"/>
              <w:right w:val="single" w:sz="8" w:space="0" w:color="000000"/>
            </w:tcBorders>
            <w:shd w:val="clear" w:color="auto" w:fill="BDD7EE"/>
            <w:vAlign w:val="center"/>
          </w:tcPr>
          <w:p w14:paraId="70A3D526" w14:textId="77777777" w:rsidR="00025543" w:rsidRDefault="007E3A2F">
            <w:pPr>
              <w:pStyle w:val="P68B1DB1-Normal9"/>
              <w:spacing w:line="240" w:lineRule="auto"/>
              <w:jc w:val="center"/>
              <w:rPr>
                <w:noProof/>
              </w:rPr>
            </w:pPr>
            <w:r>
              <w:rPr>
                <w:noProof/>
              </w:rPr>
              <w:t>Jalon/cible</w:t>
            </w:r>
          </w:p>
        </w:tc>
        <w:tc>
          <w:tcPr>
            <w:tcW w:w="1304" w:type="dxa"/>
            <w:vMerge w:val="restart"/>
            <w:tcBorders>
              <w:top w:val="single" w:sz="8" w:space="0" w:color="000000"/>
              <w:left w:val="single" w:sz="8" w:space="0" w:color="000000"/>
              <w:right w:val="single" w:sz="8" w:space="0" w:color="000000"/>
            </w:tcBorders>
            <w:shd w:val="clear" w:color="auto" w:fill="BDD7EE"/>
            <w:vAlign w:val="center"/>
          </w:tcPr>
          <w:p w14:paraId="58350A04" w14:textId="77777777" w:rsidR="00025543" w:rsidRDefault="007E3A2F">
            <w:pPr>
              <w:pStyle w:val="P68B1DB1-Normal9"/>
              <w:spacing w:line="240" w:lineRule="auto"/>
              <w:jc w:val="center"/>
              <w:rPr>
                <w:noProof/>
              </w:rPr>
            </w:pPr>
            <w:r>
              <w:rPr>
                <w:noProof/>
              </w:rPr>
              <w:t>Nom</w:t>
            </w:r>
          </w:p>
        </w:tc>
        <w:tc>
          <w:tcPr>
            <w:tcW w:w="1432" w:type="dxa"/>
            <w:vMerge w:val="restart"/>
            <w:tcBorders>
              <w:top w:val="single" w:sz="8" w:space="0" w:color="000000"/>
              <w:left w:val="single" w:sz="8" w:space="0" w:color="000000"/>
              <w:right w:val="single" w:sz="8" w:space="0" w:color="000000"/>
            </w:tcBorders>
            <w:shd w:val="clear" w:color="auto" w:fill="BDD7EE"/>
            <w:vAlign w:val="center"/>
          </w:tcPr>
          <w:p w14:paraId="05CE14FF" w14:textId="77777777" w:rsidR="00025543" w:rsidRDefault="007E3A2F">
            <w:pPr>
              <w:pStyle w:val="P68B1DB1-Normal10"/>
              <w:spacing w:line="240" w:lineRule="auto"/>
              <w:jc w:val="center"/>
              <w:rPr>
                <w:noProof/>
              </w:rPr>
            </w:pPr>
            <w:r>
              <w:rPr>
                <w:b/>
                <w:noProof/>
              </w:rPr>
              <w:t>Qualitatifs</w:t>
            </w:r>
            <w:r>
              <w:rPr>
                <w:noProof/>
              </w:rPr>
              <w:br/>
            </w:r>
            <w:r>
              <w:rPr>
                <w:b/>
                <w:noProof/>
              </w:rPr>
              <w:t xml:space="preserve"> (pour les jalons)</w:t>
            </w:r>
          </w:p>
        </w:tc>
        <w:tc>
          <w:tcPr>
            <w:tcW w:w="3144" w:type="dxa"/>
            <w:gridSpan w:val="3"/>
            <w:tcBorders>
              <w:top w:val="single" w:sz="8" w:space="0" w:color="000000"/>
              <w:left w:val="single" w:sz="8" w:space="0" w:color="000000"/>
              <w:bottom w:val="single" w:sz="8" w:space="0" w:color="000000"/>
              <w:right w:val="single" w:sz="8" w:space="0" w:color="000000"/>
            </w:tcBorders>
            <w:shd w:val="clear" w:color="auto" w:fill="BDD7EE"/>
            <w:vAlign w:val="center"/>
          </w:tcPr>
          <w:p w14:paraId="4E08306F" w14:textId="77777777" w:rsidR="00025543" w:rsidRDefault="007E3A2F">
            <w:pPr>
              <w:pStyle w:val="P68B1DB1-Normal10"/>
              <w:spacing w:line="240" w:lineRule="auto"/>
              <w:jc w:val="center"/>
              <w:rPr>
                <w:noProof/>
              </w:rPr>
            </w:pPr>
            <w:r>
              <w:rPr>
                <w:b/>
                <w:noProof/>
              </w:rPr>
              <w:t>Indicateurs quantitatifs</w:t>
            </w:r>
            <w:r>
              <w:rPr>
                <w:noProof/>
              </w:rPr>
              <w:br/>
            </w:r>
            <w:r>
              <w:rPr>
                <w:b/>
                <w:noProof/>
              </w:rPr>
              <w:t xml:space="preserve"> (pour les objectifs)</w:t>
            </w:r>
          </w:p>
        </w:tc>
        <w:tc>
          <w:tcPr>
            <w:tcW w:w="1507" w:type="dxa"/>
            <w:gridSpan w:val="2"/>
            <w:tcBorders>
              <w:top w:val="single" w:sz="8" w:space="0" w:color="000000"/>
              <w:left w:val="nil"/>
              <w:bottom w:val="single" w:sz="8" w:space="0" w:color="000000"/>
              <w:right w:val="single" w:sz="8" w:space="0" w:color="000000"/>
            </w:tcBorders>
            <w:shd w:val="clear" w:color="auto" w:fill="BDD7EE"/>
            <w:vAlign w:val="center"/>
          </w:tcPr>
          <w:p w14:paraId="2B36FC33" w14:textId="77777777" w:rsidR="00025543" w:rsidRDefault="007E3A2F">
            <w:pPr>
              <w:pStyle w:val="P68B1DB1-Normal9"/>
              <w:spacing w:line="240" w:lineRule="auto"/>
              <w:jc w:val="center"/>
              <w:rPr>
                <w:noProof/>
              </w:rPr>
            </w:pPr>
            <w:r>
              <w:rPr>
                <w:noProof/>
              </w:rPr>
              <w:t xml:space="preserve">Calendrier indicatif de réalisation </w:t>
            </w:r>
          </w:p>
        </w:tc>
        <w:tc>
          <w:tcPr>
            <w:tcW w:w="4312" w:type="dxa"/>
            <w:vMerge w:val="restart"/>
            <w:tcBorders>
              <w:top w:val="single" w:sz="8" w:space="0" w:color="000000"/>
              <w:left w:val="nil"/>
              <w:right w:val="single" w:sz="8" w:space="0" w:color="000000"/>
            </w:tcBorders>
            <w:shd w:val="clear" w:color="auto" w:fill="BDD7EE"/>
            <w:vAlign w:val="center"/>
          </w:tcPr>
          <w:p w14:paraId="7775FD40" w14:textId="77777777" w:rsidR="00025543" w:rsidRDefault="007E3A2F">
            <w:pPr>
              <w:pStyle w:val="P68B1DB1-Normal9"/>
              <w:spacing w:line="240" w:lineRule="auto"/>
              <w:jc w:val="center"/>
              <w:rPr>
                <w:noProof/>
              </w:rPr>
            </w:pPr>
            <w:r>
              <w:rPr>
                <w:noProof/>
              </w:rPr>
              <w:t>Description et définition claire de chaque jalon et cible</w:t>
            </w:r>
          </w:p>
        </w:tc>
      </w:tr>
      <w:tr w:rsidR="00025543" w14:paraId="067B3A51" w14:textId="77777777">
        <w:trPr>
          <w:trHeight w:val="600"/>
          <w:tblHeader/>
          <w:jc w:val="center"/>
        </w:trPr>
        <w:tc>
          <w:tcPr>
            <w:tcW w:w="663" w:type="dxa"/>
            <w:vMerge/>
            <w:vAlign w:val="center"/>
          </w:tcPr>
          <w:p w14:paraId="7729B3E2"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c>
          <w:tcPr>
            <w:tcW w:w="1188" w:type="dxa"/>
            <w:vMerge/>
            <w:vAlign w:val="center"/>
          </w:tcPr>
          <w:p w14:paraId="15E6EBD3"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c>
          <w:tcPr>
            <w:tcW w:w="1134" w:type="dxa"/>
            <w:vMerge/>
            <w:vAlign w:val="center"/>
          </w:tcPr>
          <w:p w14:paraId="56F1C7E8"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c>
          <w:tcPr>
            <w:tcW w:w="1304" w:type="dxa"/>
            <w:vMerge/>
            <w:vAlign w:val="center"/>
          </w:tcPr>
          <w:p w14:paraId="148EE959"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c>
          <w:tcPr>
            <w:tcW w:w="1432" w:type="dxa"/>
            <w:vMerge/>
            <w:vAlign w:val="center"/>
          </w:tcPr>
          <w:p w14:paraId="499ABB8C"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c>
          <w:tcPr>
            <w:tcW w:w="1048" w:type="dxa"/>
            <w:tcBorders>
              <w:top w:val="single" w:sz="8" w:space="0" w:color="000000"/>
              <w:left w:val="single" w:sz="8" w:space="0" w:color="000000"/>
              <w:bottom w:val="single" w:sz="8" w:space="0" w:color="000000"/>
              <w:right w:val="single" w:sz="8" w:space="0" w:color="000000"/>
            </w:tcBorders>
            <w:shd w:val="clear" w:color="auto" w:fill="BDD7EE"/>
            <w:vAlign w:val="center"/>
          </w:tcPr>
          <w:p w14:paraId="5019B6E3" w14:textId="77777777" w:rsidR="00025543" w:rsidRDefault="007E3A2F">
            <w:pPr>
              <w:pStyle w:val="P68B1DB1-Normal9"/>
              <w:spacing w:line="240" w:lineRule="auto"/>
              <w:jc w:val="center"/>
              <w:rPr>
                <w:noProof/>
              </w:rPr>
            </w:pPr>
            <w:r>
              <w:rPr>
                <w:noProof/>
              </w:rPr>
              <w:t>Unité de mesure</w:t>
            </w:r>
          </w:p>
        </w:tc>
        <w:tc>
          <w:tcPr>
            <w:tcW w:w="1048" w:type="dxa"/>
            <w:tcBorders>
              <w:top w:val="nil"/>
              <w:left w:val="single" w:sz="8" w:space="0" w:color="000000"/>
              <w:bottom w:val="single" w:sz="8" w:space="0" w:color="000000"/>
              <w:right w:val="single" w:sz="8" w:space="0" w:color="000000"/>
            </w:tcBorders>
            <w:shd w:val="clear" w:color="auto" w:fill="BDD7EE"/>
            <w:vAlign w:val="center"/>
          </w:tcPr>
          <w:p w14:paraId="0589F1D1" w14:textId="77777777" w:rsidR="00025543" w:rsidRDefault="007E3A2F">
            <w:pPr>
              <w:pStyle w:val="P68B1DB1-Normal9"/>
              <w:spacing w:line="240" w:lineRule="auto"/>
              <w:jc w:val="center"/>
              <w:rPr>
                <w:noProof/>
              </w:rPr>
            </w:pPr>
            <w:r>
              <w:rPr>
                <w:noProof/>
              </w:rPr>
              <w:t>Scénario de référence</w:t>
            </w:r>
          </w:p>
        </w:tc>
        <w:tc>
          <w:tcPr>
            <w:tcW w:w="1048" w:type="dxa"/>
            <w:tcBorders>
              <w:top w:val="nil"/>
              <w:left w:val="single" w:sz="8" w:space="0" w:color="000000"/>
              <w:bottom w:val="single" w:sz="8" w:space="0" w:color="000000"/>
              <w:right w:val="single" w:sz="8" w:space="0" w:color="000000"/>
            </w:tcBorders>
            <w:shd w:val="clear" w:color="auto" w:fill="BDD7EE"/>
            <w:vAlign w:val="center"/>
          </w:tcPr>
          <w:p w14:paraId="180EA01E" w14:textId="77777777" w:rsidR="00025543" w:rsidRDefault="007E3A2F">
            <w:pPr>
              <w:pStyle w:val="P68B1DB1-Normal9"/>
              <w:spacing w:line="240" w:lineRule="auto"/>
              <w:jc w:val="center"/>
              <w:rPr>
                <w:noProof/>
              </w:rPr>
            </w:pPr>
            <w:r>
              <w:rPr>
                <w:noProof/>
              </w:rPr>
              <w:t>Objectif</w:t>
            </w:r>
          </w:p>
        </w:tc>
        <w:tc>
          <w:tcPr>
            <w:tcW w:w="964" w:type="dxa"/>
            <w:tcBorders>
              <w:top w:val="single" w:sz="8" w:space="0" w:color="000000"/>
              <w:left w:val="single" w:sz="8" w:space="0" w:color="000000"/>
              <w:bottom w:val="single" w:sz="8" w:space="0" w:color="000000"/>
              <w:right w:val="single" w:sz="8" w:space="0" w:color="000000"/>
            </w:tcBorders>
            <w:shd w:val="clear" w:color="auto" w:fill="BDD7EE"/>
            <w:vAlign w:val="center"/>
          </w:tcPr>
          <w:p w14:paraId="0421536D" w14:textId="77777777" w:rsidR="00025543" w:rsidRDefault="007E3A2F">
            <w:pPr>
              <w:pStyle w:val="P68B1DB1-Normal9"/>
              <w:spacing w:line="240" w:lineRule="auto"/>
              <w:jc w:val="center"/>
              <w:rPr>
                <w:noProof/>
              </w:rPr>
            </w:pPr>
            <w:r>
              <w:rPr>
                <w:noProof/>
              </w:rPr>
              <w:t>Trimestre</w:t>
            </w:r>
          </w:p>
        </w:tc>
        <w:tc>
          <w:tcPr>
            <w:tcW w:w="716" w:type="dxa"/>
            <w:tcBorders>
              <w:top w:val="nil"/>
              <w:left w:val="single" w:sz="8" w:space="0" w:color="000000"/>
              <w:bottom w:val="single" w:sz="8" w:space="0" w:color="000000"/>
              <w:right w:val="single" w:sz="8" w:space="0" w:color="000000"/>
            </w:tcBorders>
            <w:shd w:val="clear" w:color="auto" w:fill="BDD7EE"/>
            <w:vAlign w:val="center"/>
          </w:tcPr>
          <w:p w14:paraId="0D8A3CBD" w14:textId="77777777" w:rsidR="00025543" w:rsidRDefault="007E3A2F">
            <w:pPr>
              <w:pStyle w:val="P68B1DB1-Normal9"/>
              <w:spacing w:line="240" w:lineRule="auto"/>
              <w:jc w:val="center"/>
              <w:rPr>
                <w:noProof/>
              </w:rPr>
            </w:pPr>
            <w:r>
              <w:rPr>
                <w:noProof/>
              </w:rPr>
              <w:t>Année</w:t>
            </w:r>
          </w:p>
        </w:tc>
        <w:tc>
          <w:tcPr>
            <w:tcW w:w="4312" w:type="dxa"/>
            <w:vMerge/>
            <w:vAlign w:val="center"/>
          </w:tcPr>
          <w:p w14:paraId="0B48E4B9"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r>
      <w:tr w:rsidR="00025543" w14:paraId="395A8C2E" w14:textId="77777777">
        <w:trPr>
          <w:trHeight w:val="945"/>
          <w:jc w:val="center"/>
        </w:trPr>
        <w:tc>
          <w:tcPr>
            <w:tcW w:w="663"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4078F63D" w14:textId="77777777" w:rsidR="00025543" w:rsidRDefault="007E3A2F">
            <w:pPr>
              <w:pStyle w:val="P68B1DB1-Normal15"/>
              <w:spacing w:line="240" w:lineRule="auto"/>
              <w:jc w:val="center"/>
              <w:rPr>
                <w:noProof/>
              </w:rPr>
            </w:pPr>
            <w:r>
              <w:rPr>
                <w:noProof/>
              </w:rPr>
              <w:t>102</w:t>
            </w:r>
          </w:p>
        </w:tc>
        <w:tc>
          <w:tcPr>
            <w:tcW w:w="118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7B8B6091" w14:textId="77777777" w:rsidR="00025543" w:rsidRDefault="007E3A2F">
            <w:pPr>
              <w:pStyle w:val="P68B1DB1-Normal15"/>
              <w:spacing w:line="240" w:lineRule="auto"/>
              <w:rPr>
                <w:noProof/>
              </w:rPr>
            </w:pPr>
            <w:r>
              <w:rPr>
                <w:noProof/>
              </w:rPr>
              <w:t xml:space="preserve">Investissement 1: Amélioration de la performance énergétique des bâtiments publics </w:t>
            </w:r>
          </w:p>
        </w:tc>
        <w:tc>
          <w:tcPr>
            <w:tcW w:w="113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2D0495C9" w14:textId="77777777" w:rsidR="00025543" w:rsidRDefault="007E3A2F">
            <w:pPr>
              <w:pStyle w:val="P68B1DB1-Normal15"/>
              <w:spacing w:line="240" w:lineRule="auto"/>
              <w:rPr>
                <w:noProof/>
              </w:rPr>
            </w:pPr>
            <w:r>
              <w:rPr>
                <w:noProof/>
              </w:rPr>
              <w:t>Étapes</w:t>
            </w:r>
          </w:p>
        </w:tc>
        <w:tc>
          <w:tcPr>
            <w:tcW w:w="130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23F30448" w14:textId="77777777" w:rsidR="00025543" w:rsidRDefault="007E3A2F">
            <w:pPr>
              <w:pStyle w:val="P68B1DB1-Normal15"/>
              <w:spacing w:line="240" w:lineRule="auto"/>
              <w:rPr>
                <w:noProof/>
              </w:rPr>
            </w:pPr>
            <w:r>
              <w:rPr>
                <w:noProof/>
              </w:rPr>
              <w:t xml:space="preserve">Adoption du contrat type par le ministère de l’industrie et du commerce pour les services de méthode de passation des marchés de performance énergétique avec garantie </w:t>
            </w:r>
          </w:p>
        </w:tc>
        <w:tc>
          <w:tcPr>
            <w:tcW w:w="1432"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3CF803D7" w14:textId="77777777" w:rsidR="00025543" w:rsidRDefault="007E3A2F">
            <w:pPr>
              <w:pStyle w:val="P68B1DB1-Normal15"/>
              <w:spacing w:line="240" w:lineRule="auto"/>
              <w:rPr>
                <w:noProof/>
              </w:rPr>
            </w:pPr>
            <w:r>
              <w:rPr>
                <w:noProof/>
              </w:rPr>
              <w:t xml:space="preserve">Publication du contrat type sur le site web du ministère </w:t>
            </w: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11B8261A" w14:textId="77777777" w:rsidR="00025543" w:rsidRDefault="00025543">
            <w:pPr>
              <w:spacing w:line="240" w:lineRule="auto"/>
              <w:rPr>
                <w:rFonts w:eastAsia="Times New Roman"/>
                <w:noProof/>
                <w:color w:val="004300"/>
                <w:sz w:val="18"/>
              </w:rPr>
            </w:pP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609A6280" w14:textId="77777777" w:rsidR="00025543" w:rsidRDefault="00025543">
            <w:pPr>
              <w:spacing w:line="240" w:lineRule="auto"/>
              <w:jc w:val="center"/>
              <w:rPr>
                <w:rFonts w:eastAsia="Times New Roman"/>
                <w:noProof/>
                <w:color w:val="004300"/>
                <w:sz w:val="18"/>
              </w:rPr>
            </w:pP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1DC1A50A" w14:textId="77777777" w:rsidR="00025543" w:rsidRDefault="00025543">
            <w:pPr>
              <w:spacing w:line="240" w:lineRule="auto"/>
              <w:jc w:val="center"/>
              <w:rPr>
                <w:rFonts w:eastAsia="Times New Roman"/>
                <w:noProof/>
                <w:color w:val="004300"/>
                <w:sz w:val="18"/>
              </w:rPr>
            </w:pPr>
          </w:p>
        </w:tc>
        <w:tc>
          <w:tcPr>
            <w:tcW w:w="96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28E530A0" w14:textId="77777777" w:rsidR="00025543" w:rsidRDefault="007E3A2F">
            <w:pPr>
              <w:pStyle w:val="P68B1DB1-Normal15"/>
              <w:spacing w:line="240" w:lineRule="auto"/>
              <w:jc w:val="center"/>
              <w:rPr>
                <w:noProof/>
              </w:rPr>
            </w:pPr>
            <w:r>
              <w:rPr>
                <w:noProof/>
              </w:rPr>
              <w:t>TRIMESTRE 4</w:t>
            </w:r>
          </w:p>
        </w:tc>
        <w:tc>
          <w:tcPr>
            <w:tcW w:w="716"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7B87223E" w14:textId="77777777" w:rsidR="00025543" w:rsidRDefault="007E3A2F">
            <w:pPr>
              <w:pStyle w:val="P68B1DB1-Normal15"/>
              <w:spacing w:line="240" w:lineRule="auto"/>
              <w:jc w:val="center"/>
              <w:rPr>
                <w:noProof/>
              </w:rPr>
            </w:pPr>
            <w:r>
              <w:rPr>
                <w:noProof/>
              </w:rPr>
              <w:t>2021</w:t>
            </w:r>
          </w:p>
        </w:tc>
        <w:tc>
          <w:tcPr>
            <w:tcW w:w="4312"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0A39A69A" w14:textId="77777777" w:rsidR="00025543" w:rsidRDefault="007E3A2F">
            <w:pPr>
              <w:pStyle w:val="P68B1DB1-Normal15"/>
              <w:spacing w:line="240" w:lineRule="auto"/>
              <w:rPr>
                <w:noProof/>
              </w:rPr>
            </w:pPr>
            <w:r>
              <w:rPr>
                <w:noProof/>
              </w:rPr>
              <w:t>Le ministère de l’industrie et du commerce adopte un contrat type pour les services liés à la méthode de passation des marchés de performance énergétique, assorti d’une garantie, afin de promouvoir la mise en œuvre de projets en mettant l’accent sur la maximisation du rendement des économies d’énergie par rapport aux fonds dépensés.</w:t>
            </w:r>
          </w:p>
          <w:p w14:paraId="60B92202" w14:textId="77777777" w:rsidR="00025543" w:rsidRDefault="007E3A2F">
            <w:pPr>
              <w:pStyle w:val="P68B1DB1-Normal15"/>
              <w:spacing w:line="240" w:lineRule="auto"/>
              <w:rPr>
                <w:noProof/>
              </w:rPr>
            </w:pPr>
            <w:r>
              <w:rPr>
                <w:noProof/>
              </w:rPr>
              <w:t xml:space="preserve">Le contrat type est publié sur le site internet du ministère.  </w:t>
            </w:r>
          </w:p>
        </w:tc>
      </w:tr>
      <w:tr w:rsidR="00025543" w14:paraId="189E4835" w14:textId="77777777">
        <w:trPr>
          <w:trHeight w:val="573"/>
          <w:jc w:val="center"/>
        </w:trPr>
        <w:tc>
          <w:tcPr>
            <w:tcW w:w="663"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61C0984D" w14:textId="77777777" w:rsidR="00025543" w:rsidRDefault="007E3A2F">
            <w:pPr>
              <w:pStyle w:val="P68B1DB1-Normal15"/>
              <w:spacing w:line="240" w:lineRule="auto"/>
              <w:jc w:val="center"/>
              <w:rPr>
                <w:noProof/>
              </w:rPr>
            </w:pPr>
            <w:r>
              <w:rPr>
                <w:noProof/>
              </w:rPr>
              <w:t>103</w:t>
            </w:r>
          </w:p>
        </w:tc>
        <w:tc>
          <w:tcPr>
            <w:tcW w:w="118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349FA8C6" w14:textId="77777777" w:rsidR="00025543" w:rsidRDefault="007E3A2F">
            <w:pPr>
              <w:pStyle w:val="P68B1DB1-Normal15"/>
              <w:spacing w:line="240" w:lineRule="auto"/>
              <w:rPr>
                <w:noProof/>
              </w:rPr>
            </w:pPr>
            <w:r>
              <w:rPr>
                <w:noProof/>
              </w:rPr>
              <w:t xml:space="preserve">Investissement 1: Amélioration de la performance énergétique des bâtiments publics </w:t>
            </w:r>
          </w:p>
        </w:tc>
        <w:tc>
          <w:tcPr>
            <w:tcW w:w="113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6C1A95DC" w14:textId="77777777" w:rsidR="00025543" w:rsidRDefault="007E3A2F">
            <w:pPr>
              <w:pStyle w:val="P68B1DB1-Normal15"/>
              <w:spacing w:line="240" w:lineRule="auto"/>
              <w:rPr>
                <w:noProof/>
              </w:rPr>
            </w:pPr>
            <w:r>
              <w:rPr>
                <w:noProof/>
              </w:rPr>
              <w:t>Cible</w:t>
            </w:r>
          </w:p>
        </w:tc>
        <w:tc>
          <w:tcPr>
            <w:tcW w:w="130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52F40245" w14:textId="77777777" w:rsidR="00025543" w:rsidRDefault="007E3A2F">
            <w:pPr>
              <w:pStyle w:val="P68B1DB1-Normal16"/>
              <w:spacing w:line="240" w:lineRule="auto"/>
              <w:rPr>
                <w:rFonts w:eastAsia="Times New Roman"/>
                <w:noProof/>
              </w:rPr>
            </w:pPr>
            <w:r>
              <w:rPr>
                <w:noProof/>
              </w:rPr>
              <w:t>Attribution de 75 % de l’ensemble des marchés publics pour des projets de rénovation de bâtiments permettant d’économiser au moins 30 % d’énergie primaire</w:t>
            </w:r>
          </w:p>
        </w:tc>
        <w:tc>
          <w:tcPr>
            <w:tcW w:w="1432"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7607F9E3" w14:textId="77777777" w:rsidR="00025543" w:rsidRDefault="00025543">
            <w:pPr>
              <w:spacing w:line="240" w:lineRule="auto"/>
              <w:rPr>
                <w:rFonts w:eastAsia="Times New Roman"/>
                <w:noProof/>
                <w:color w:val="004300"/>
                <w:sz w:val="18"/>
              </w:rPr>
            </w:pP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2B0A7E17" w14:textId="77777777" w:rsidR="00025543" w:rsidRDefault="007E3A2F">
            <w:pPr>
              <w:pStyle w:val="P68B1DB1-Normal15"/>
              <w:spacing w:line="240" w:lineRule="auto"/>
              <w:rPr>
                <w:noProof/>
              </w:rPr>
            </w:pPr>
            <w:r>
              <w:rPr>
                <w:noProof/>
              </w:rPr>
              <w:t xml:space="preserve">Pourcentage </w:t>
            </w: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4C93FF50" w14:textId="77777777" w:rsidR="00025543" w:rsidRDefault="007E3A2F">
            <w:pPr>
              <w:pStyle w:val="P68B1DB1-Normal15"/>
              <w:spacing w:line="240" w:lineRule="auto"/>
              <w:jc w:val="center"/>
              <w:rPr>
                <w:noProof/>
              </w:rPr>
            </w:pPr>
            <w:r>
              <w:rPr>
                <w:noProof/>
              </w:rPr>
              <w:t>0</w:t>
            </w: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64B67A6D" w14:textId="77777777" w:rsidR="00025543" w:rsidRDefault="007E3A2F">
            <w:pPr>
              <w:pStyle w:val="P68B1DB1-Normal15"/>
              <w:spacing w:line="240" w:lineRule="auto"/>
              <w:jc w:val="center"/>
              <w:rPr>
                <w:noProof/>
              </w:rPr>
            </w:pPr>
            <w:r>
              <w:rPr>
                <w:noProof/>
              </w:rPr>
              <w:t>75</w:t>
            </w:r>
          </w:p>
        </w:tc>
        <w:tc>
          <w:tcPr>
            <w:tcW w:w="96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478383AF" w14:textId="77777777" w:rsidR="00025543" w:rsidRDefault="007E3A2F">
            <w:pPr>
              <w:pStyle w:val="P68B1DB1-Normal15"/>
              <w:spacing w:line="240" w:lineRule="auto"/>
              <w:jc w:val="center"/>
              <w:rPr>
                <w:noProof/>
              </w:rPr>
            </w:pPr>
            <w:r>
              <w:rPr>
                <w:noProof/>
              </w:rPr>
              <w:t>TRIMESTRE 4</w:t>
            </w:r>
          </w:p>
        </w:tc>
        <w:tc>
          <w:tcPr>
            <w:tcW w:w="716"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1B5FB37B" w14:textId="4589C0A1" w:rsidR="00025543" w:rsidRDefault="007E3A2F">
            <w:pPr>
              <w:pStyle w:val="P68B1DB1-Normal15"/>
              <w:spacing w:line="240" w:lineRule="auto"/>
              <w:jc w:val="center"/>
              <w:rPr>
                <w:noProof/>
              </w:rPr>
            </w:pPr>
            <w:r>
              <w:rPr>
                <w:noProof/>
              </w:rPr>
              <w:t>2024</w:t>
            </w:r>
          </w:p>
        </w:tc>
        <w:tc>
          <w:tcPr>
            <w:tcW w:w="4312"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41754688" w14:textId="77777777" w:rsidR="00025543" w:rsidRDefault="007E3A2F">
            <w:pPr>
              <w:pStyle w:val="P68B1DB1-Normal16"/>
              <w:spacing w:line="240" w:lineRule="auto"/>
              <w:rPr>
                <w:noProof/>
              </w:rPr>
            </w:pPr>
            <w:r>
              <w:rPr>
                <w:noProof/>
              </w:rPr>
              <w:t xml:space="preserve">Au total, au moins 100 projets de rénovation des bâtiments bénéficient d’un soutien au titre de cette mesure. L’objectif est atteint par la passation de contrats à 75 % d’entre eux. Les projets sont soumis au MIT dans le cadre d’un appel continu et évalués sur la base des critères établis, à l’issue d’une procédure de sélection transparente. </w:t>
            </w:r>
          </w:p>
          <w:p w14:paraId="4B1FA8DF" w14:textId="77777777" w:rsidR="00025543" w:rsidRDefault="007E3A2F">
            <w:pPr>
              <w:pStyle w:val="P68B1DB1-Normal16"/>
              <w:spacing w:line="240" w:lineRule="auto"/>
              <w:rPr>
                <w:rFonts w:eastAsia="Times New Roman"/>
                <w:noProof/>
              </w:rPr>
            </w:pPr>
            <w:r>
              <w:rPr>
                <w:noProof/>
              </w:rPr>
              <w:t xml:space="preserve">Seuls les projets qui permettent, en moyenne, une réduction de la consommation d’énergie primaire d’au moins 30 % ou une réduction des émissions de CO2 de 30 % sont retenus pour la mise en œuvre. L’objectif de 75 % concerne les projets ayant fait l’objet d’une convention de subvention signée. Les investissements </w:t>
            </w:r>
            <w:r>
              <w:rPr>
                <w:rFonts w:eastAsia="Times New Roman"/>
                <w:noProof/>
              </w:rPr>
              <w:t xml:space="preserve">dans les remplacements de chaudières, y compris ceux qui </w:t>
            </w:r>
            <w:r>
              <w:rPr>
                <w:noProof/>
              </w:rPr>
              <w:t>utilisent du gaz naturel comme source d’énergie, sont limités à 20 % au maximum de l’enveloppe globale.</w:t>
            </w:r>
          </w:p>
        </w:tc>
      </w:tr>
      <w:tr w:rsidR="00025543" w14:paraId="58D01BF7" w14:textId="77777777">
        <w:trPr>
          <w:trHeight w:val="945"/>
          <w:jc w:val="center"/>
        </w:trPr>
        <w:tc>
          <w:tcPr>
            <w:tcW w:w="663"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0B44E0E4" w14:textId="77777777" w:rsidR="00025543" w:rsidRDefault="007E3A2F">
            <w:pPr>
              <w:pStyle w:val="P68B1DB1-Normal15"/>
              <w:spacing w:line="240" w:lineRule="auto"/>
              <w:jc w:val="center"/>
              <w:rPr>
                <w:noProof/>
              </w:rPr>
            </w:pPr>
            <w:r>
              <w:rPr>
                <w:noProof/>
              </w:rPr>
              <w:t>104</w:t>
            </w:r>
          </w:p>
        </w:tc>
        <w:tc>
          <w:tcPr>
            <w:tcW w:w="118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6C7430D0" w14:textId="77777777" w:rsidR="00025543" w:rsidRDefault="007E3A2F">
            <w:pPr>
              <w:pStyle w:val="P68B1DB1-Normal15"/>
              <w:spacing w:line="240" w:lineRule="auto"/>
              <w:rPr>
                <w:noProof/>
              </w:rPr>
            </w:pPr>
            <w:r>
              <w:rPr>
                <w:noProof/>
              </w:rPr>
              <w:t>Investissement 1: Amélioration de la performance énergétique des bâtiments publics</w:t>
            </w:r>
          </w:p>
        </w:tc>
        <w:tc>
          <w:tcPr>
            <w:tcW w:w="113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40819F49" w14:textId="77777777" w:rsidR="00025543" w:rsidRDefault="007E3A2F">
            <w:pPr>
              <w:pStyle w:val="P68B1DB1-Normal15"/>
              <w:spacing w:line="240" w:lineRule="auto"/>
              <w:rPr>
                <w:noProof/>
              </w:rPr>
            </w:pPr>
            <w:r>
              <w:rPr>
                <w:noProof/>
              </w:rPr>
              <w:t>Cible</w:t>
            </w:r>
          </w:p>
        </w:tc>
        <w:tc>
          <w:tcPr>
            <w:tcW w:w="130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47C899F2" w14:textId="77777777" w:rsidR="00025543" w:rsidRDefault="007E3A2F">
            <w:pPr>
              <w:pStyle w:val="P68B1DB1-Normal15"/>
              <w:spacing w:line="240" w:lineRule="auto"/>
              <w:rPr>
                <w:noProof/>
              </w:rPr>
            </w:pPr>
            <w:r>
              <w:rPr>
                <w:noProof/>
              </w:rPr>
              <w:t xml:space="preserve">Réduction de la consommation d’énergie </w:t>
            </w:r>
          </w:p>
        </w:tc>
        <w:tc>
          <w:tcPr>
            <w:tcW w:w="1432"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75C6BE5D" w14:textId="77777777" w:rsidR="00025543" w:rsidRDefault="00025543">
            <w:pPr>
              <w:spacing w:line="240" w:lineRule="auto"/>
              <w:rPr>
                <w:rFonts w:eastAsia="Times New Roman"/>
                <w:noProof/>
                <w:color w:val="004300"/>
                <w:sz w:val="18"/>
              </w:rPr>
            </w:pP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6481F3BD" w14:textId="77777777" w:rsidR="00025543" w:rsidRDefault="007E3A2F">
            <w:pPr>
              <w:pStyle w:val="P68B1DB1-Normal15"/>
              <w:spacing w:line="240" w:lineRule="auto"/>
              <w:rPr>
                <w:noProof/>
              </w:rPr>
            </w:pPr>
            <w:r>
              <w:rPr>
                <w:noProof/>
              </w:rPr>
              <w:t>Économies d’énergie en tera joules par an</w:t>
            </w: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68708089" w14:textId="77777777" w:rsidR="00025543" w:rsidRDefault="007E3A2F">
            <w:pPr>
              <w:pStyle w:val="P68B1DB1-Normal15"/>
              <w:spacing w:line="240" w:lineRule="auto"/>
              <w:jc w:val="center"/>
              <w:rPr>
                <w:noProof/>
              </w:rPr>
            </w:pPr>
            <w:r>
              <w:rPr>
                <w:noProof/>
              </w:rPr>
              <w:t>0</w:t>
            </w: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3EFFF0AB" w14:textId="50AFCB8F" w:rsidR="00025543" w:rsidRDefault="007E3A2F">
            <w:pPr>
              <w:pStyle w:val="P68B1DB1-Normal15"/>
              <w:spacing w:line="240" w:lineRule="auto"/>
              <w:jc w:val="center"/>
              <w:rPr>
                <w:noProof/>
              </w:rPr>
            </w:pPr>
            <w:r>
              <w:rPr>
                <w:noProof/>
              </w:rPr>
              <w:t>140</w:t>
            </w:r>
          </w:p>
        </w:tc>
        <w:tc>
          <w:tcPr>
            <w:tcW w:w="96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7BC0B559" w14:textId="77777777" w:rsidR="00025543" w:rsidRDefault="007E3A2F">
            <w:pPr>
              <w:pStyle w:val="P68B1DB1-Normal15"/>
              <w:spacing w:line="240" w:lineRule="auto"/>
              <w:jc w:val="center"/>
              <w:rPr>
                <w:noProof/>
              </w:rPr>
            </w:pPr>
            <w:r>
              <w:rPr>
                <w:noProof/>
              </w:rPr>
              <w:t>TRIMESTRE 1</w:t>
            </w:r>
          </w:p>
        </w:tc>
        <w:tc>
          <w:tcPr>
            <w:tcW w:w="716"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2AFA0062" w14:textId="77777777" w:rsidR="00025543" w:rsidRDefault="007E3A2F">
            <w:pPr>
              <w:pStyle w:val="P68B1DB1-Normal15"/>
              <w:spacing w:line="240" w:lineRule="auto"/>
              <w:jc w:val="center"/>
              <w:rPr>
                <w:noProof/>
              </w:rPr>
            </w:pPr>
            <w:r>
              <w:rPr>
                <w:noProof/>
              </w:rPr>
              <w:t>2026</w:t>
            </w:r>
          </w:p>
        </w:tc>
        <w:tc>
          <w:tcPr>
            <w:tcW w:w="4312"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53ED7C8D" w14:textId="03211C72" w:rsidR="00025543" w:rsidRDefault="007E3A2F">
            <w:pPr>
              <w:pStyle w:val="P68B1DB1-Normal15"/>
              <w:spacing w:line="240" w:lineRule="auto"/>
              <w:rPr>
                <w:noProof/>
              </w:rPr>
            </w:pPr>
            <w:r>
              <w:rPr>
                <w:noProof/>
              </w:rPr>
              <w:t>L’objectif est atteint en réduisant la consommation d’énergie des bâtiments publics de 140 TJ/an par an d’ici au 31 mars 2026, à la suite de la rénovation des bâtiments, ce qui est démontré au moyen de certificats de performance énergétique. La consommation d’énergie doit être réduite par rapport au scénario de statu quo [c’est-à-dire l’absence de soutien au titre du règlement (UE) 2021/241]. La quantité d’énergie économisée doit être déterminée en mesurant et/ou en estimant la consommation avant et après la mise en œuvre d’une mesure visant à améliorer l’efficacité énergétique, tout en assurant la normalisation des conditions externes ayant une incidence sur la consommation d’énergie.</w:t>
            </w:r>
          </w:p>
        </w:tc>
      </w:tr>
      <w:tr w:rsidR="00025543" w14:paraId="0AD0541F" w14:textId="77777777">
        <w:trPr>
          <w:trHeight w:val="945"/>
          <w:jc w:val="center"/>
        </w:trPr>
        <w:tc>
          <w:tcPr>
            <w:tcW w:w="663"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42CDBE67" w14:textId="77777777" w:rsidR="00025543" w:rsidRDefault="007E3A2F">
            <w:pPr>
              <w:pStyle w:val="P68B1DB1-Normal15"/>
              <w:spacing w:line="240" w:lineRule="auto"/>
              <w:jc w:val="center"/>
              <w:rPr>
                <w:noProof/>
              </w:rPr>
            </w:pPr>
            <w:r>
              <w:rPr>
                <w:noProof/>
              </w:rPr>
              <w:t>105</w:t>
            </w:r>
          </w:p>
        </w:tc>
        <w:tc>
          <w:tcPr>
            <w:tcW w:w="118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6A0E4FEE" w14:textId="77777777" w:rsidR="00025543" w:rsidRDefault="007E3A2F">
            <w:pPr>
              <w:pStyle w:val="P68B1DB1-Normal15"/>
              <w:spacing w:line="240" w:lineRule="auto"/>
              <w:rPr>
                <w:noProof/>
              </w:rPr>
            </w:pPr>
            <w:r>
              <w:rPr>
                <w:noProof/>
              </w:rPr>
              <w:t>Investissement 2: Amélioration de la performance énergétique des systèmes d’éclairage public</w:t>
            </w:r>
          </w:p>
        </w:tc>
        <w:tc>
          <w:tcPr>
            <w:tcW w:w="113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421D477C" w14:textId="77777777" w:rsidR="00025543" w:rsidRDefault="007E3A2F">
            <w:pPr>
              <w:pStyle w:val="P68B1DB1-Normal15"/>
              <w:spacing w:line="240" w:lineRule="auto"/>
              <w:rPr>
                <w:noProof/>
              </w:rPr>
            </w:pPr>
            <w:r>
              <w:rPr>
                <w:noProof/>
              </w:rPr>
              <w:t>Étapes</w:t>
            </w:r>
          </w:p>
        </w:tc>
        <w:tc>
          <w:tcPr>
            <w:tcW w:w="130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784C3AB5" w14:textId="77777777" w:rsidR="00025543" w:rsidRDefault="007E3A2F">
            <w:pPr>
              <w:pStyle w:val="P68B1DB1-Normal15"/>
              <w:spacing w:line="240" w:lineRule="auto"/>
              <w:rPr>
                <w:noProof/>
              </w:rPr>
            </w:pPr>
            <w:r>
              <w:rPr>
                <w:noProof/>
              </w:rPr>
              <w:t>Adoption de la documentation du programme par le ministère de l’industrie et du commerce concernant les mesures de rénovation des systèmes d’éclairage public</w:t>
            </w:r>
          </w:p>
        </w:tc>
        <w:tc>
          <w:tcPr>
            <w:tcW w:w="1432"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1F7529B7" w14:textId="77777777" w:rsidR="00025543" w:rsidRDefault="007E3A2F">
            <w:pPr>
              <w:pStyle w:val="P68B1DB1-Normal15"/>
              <w:spacing w:line="240" w:lineRule="auto"/>
              <w:rPr>
                <w:noProof/>
              </w:rPr>
            </w:pPr>
            <w:r>
              <w:rPr>
                <w:noProof/>
              </w:rPr>
              <w:t>Publication de la documentation du programme sur le site web du ministère</w:t>
            </w: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6CCE23F9" w14:textId="77777777" w:rsidR="00025543" w:rsidRDefault="00025543">
            <w:pPr>
              <w:spacing w:line="240" w:lineRule="auto"/>
              <w:rPr>
                <w:rFonts w:eastAsia="Times New Roman"/>
                <w:noProof/>
                <w:color w:val="004300"/>
                <w:sz w:val="18"/>
              </w:rPr>
            </w:pP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3B470723" w14:textId="77777777" w:rsidR="00025543" w:rsidRDefault="00025543">
            <w:pPr>
              <w:spacing w:line="240" w:lineRule="auto"/>
              <w:jc w:val="center"/>
              <w:rPr>
                <w:rFonts w:eastAsia="Times New Roman"/>
                <w:noProof/>
                <w:color w:val="004300"/>
                <w:sz w:val="18"/>
              </w:rPr>
            </w:pP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2EE990F9" w14:textId="77777777" w:rsidR="00025543" w:rsidRDefault="00025543">
            <w:pPr>
              <w:spacing w:line="240" w:lineRule="auto"/>
              <w:jc w:val="center"/>
              <w:rPr>
                <w:rFonts w:eastAsia="Times New Roman"/>
                <w:noProof/>
                <w:color w:val="004300"/>
                <w:sz w:val="18"/>
              </w:rPr>
            </w:pPr>
          </w:p>
        </w:tc>
        <w:tc>
          <w:tcPr>
            <w:tcW w:w="96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516B7054" w14:textId="77777777" w:rsidR="00025543" w:rsidRDefault="007E3A2F">
            <w:pPr>
              <w:pStyle w:val="P68B1DB1-Normal15"/>
              <w:spacing w:line="240" w:lineRule="auto"/>
              <w:jc w:val="center"/>
              <w:rPr>
                <w:noProof/>
              </w:rPr>
            </w:pPr>
            <w:r>
              <w:rPr>
                <w:noProof/>
              </w:rPr>
              <w:t>TRIMESTRE 4</w:t>
            </w:r>
          </w:p>
        </w:tc>
        <w:tc>
          <w:tcPr>
            <w:tcW w:w="716"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21C1387C" w14:textId="77777777" w:rsidR="00025543" w:rsidRDefault="007E3A2F">
            <w:pPr>
              <w:pStyle w:val="P68B1DB1-Normal15"/>
              <w:spacing w:line="240" w:lineRule="auto"/>
              <w:jc w:val="center"/>
              <w:rPr>
                <w:noProof/>
              </w:rPr>
            </w:pPr>
            <w:r>
              <w:rPr>
                <w:noProof/>
              </w:rPr>
              <w:t>2021</w:t>
            </w:r>
          </w:p>
        </w:tc>
        <w:tc>
          <w:tcPr>
            <w:tcW w:w="4312"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0CA0AB17" w14:textId="77777777" w:rsidR="00025543" w:rsidRDefault="007E3A2F">
            <w:pPr>
              <w:pStyle w:val="P68B1DB1-Normal15"/>
              <w:spacing w:line="259" w:lineRule="auto"/>
              <w:jc w:val="both"/>
              <w:rPr>
                <w:noProof/>
              </w:rPr>
            </w:pPr>
            <w:r>
              <w:rPr>
                <w:noProof/>
              </w:rPr>
              <w:t>La documentation relative au programme est préparée par le ministère de l’industrie et du commerce et publiée sur le site web du ministère. Elle fixe le calendrier et les conditions de soutien des mesures de rénovation des systèmes d’éclairage public, y compris les éléments intelligents, en vue de réaliser au moins 30 % d’économies d’énergie primaire.</w:t>
            </w:r>
          </w:p>
        </w:tc>
      </w:tr>
      <w:tr w:rsidR="00025543" w14:paraId="429E5304" w14:textId="77777777">
        <w:trPr>
          <w:trHeight w:val="945"/>
          <w:jc w:val="center"/>
        </w:trPr>
        <w:tc>
          <w:tcPr>
            <w:tcW w:w="663"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7537D6AA" w14:textId="77777777" w:rsidR="00025543" w:rsidRDefault="007E3A2F">
            <w:pPr>
              <w:pStyle w:val="P68B1DB1-Normal15"/>
              <w:spacing w:line="240" w:lineRule="auto"/>
              <w:jc w:val="center"/>
              <w:rPr>
                <w:noProof/>
              </w:rPr>
            </w:pPr>
            <w:r>
              <w:rPr>
                <w:noProof/>
              </w:rPr>
              <w:t>106</w:t>
            </w:r>
          </w:p>
        </w:tc>
        <w:tc>
          <w:tcPr>
            <w:tcW w:w="118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7A333ACE" w14:textId="77777777" w:rsidR="00025543" w:rsidRDefault="007E3A2F">
            <w:pPr>
              <w:pStyle w:val="P68B1DB1-Normal15"/>
              <w:spacing w:line="240" w:lineRule="auto"/>
              <w:rPr>
                <w:noProof/>
              </w:rPr>
            </w:pPr>
            <w:r>
              <w:rPr>
                <w:noProof/>
              </w:rPr>
              <w:t>Investissement 2: Amélioration de la performance énergétique des systèmes d’éclairage public</w:t>
            </w:r>
          </w:p>
        </w:tc>
        <w:tc>
          <w:tcPr>
            <w:tcW w:w="113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1A63E534" w14:textId="77777777" w:rsidR="00025543" w:rsidRDefault="007E3A2F">
            <w:pPr>
              <w:pStyle w:val="P68B1DB1-Normal15"/>
              <w:spacing w:line="240" w:lineRule="auto"/>
              <w:rPr>
                <w:noProof/>
              </w:rPr>
            </w:pPr>
            <w:r>
              <w:rPr>
                <w:noProof/>
              </w:rPr>
              <w:t>Cible</w:t>
            </w:r>
          </w:p>
        </w:tc>
        <w:tc>
          <w:tcPr>
            <w:tcW w:w="130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055CB2D1" w14:textId="77777777" w:rsidR="00025543" w:rsidRDefault="007E3A2F">
            <w:pPr>
              <w:pStyle w:val="P68B1DB1-Normal16"/>
              <w:spacing w:line="240" w:lineRule="auto"/>
              <w:rPr>
                <w:rFonts w:eastAsia="Times New Roman"/>
                <w:noProof/>
              </w:rPr>
            </w:pPr>
            <w:r>
              <w:rPr>
                <w:noProof/>
              </w:rPr>
              <w:t>Attribution de 80 % de l’ensemble des marchés publics pour la rénovation de systèmes de parafoudre publics permettant d’économiser au moins 30 % d’énergie primaire</w:t>
            </w:r>
          </w:p>
        </w:tc>
        <w:tc>
          <w:tcPr>
            <w:tcW w:w="1432"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5044B4DF" w14:textId="77777777" w:rsidR="00025543" w:rsidRDefault="00025543">
            <w:pPr>
              <w:spacing w:line="240" w:lineRule="auto"/>
              <w:rPr>
                <w:rFonts w:eastAsia="Times New Roman"/>
                <w:noProof/>
                <w:color w:val="004300"/>
                <w:sz w:val="18"/>
              </w:rPr>
            </w:pP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76DBAAA5" w14:textId="77777777" w:rsidR="00025543" w:rsidRDefault="007E3A2F">
            <w:pPr>
              <w:pStyle w:val="P68B1DB1-Normal15"/>
              <w:spacing w:line="240" w:lineRule="auto"/>
              <w:rPr>
                <w:noProof/>
              </w:rPr>
            </w:pPr>
            <w:r>
              <w:rPr>
                <w:noProof/>
              </w:rPr>
              <w:t xml:space="preserve">Pourcentage </w:t>
            </w: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642E81C3" w14:textId="77777777" w:rsidR="00025543" w:rsidRDefault="007E3A2F">
            <w:pPr>
              <w:pStyle w:val="P68B1DB1-Normal15"/>
              <w:spacing w:line="240" w:lineRule="auto"/>
              <w:jc w:val="center"/>
              <w:rPr>
                <w:noProof/>
              </w:rPr>
            </w:pPr>
            <w:r>
              <w:rPr>
                <w:noProof/>
              </w:rPr>
              <w:t>0</w:t>
            </w: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6734FF90" w14:textId="77777777" w:rsidR="00025543" w:rsidRDefault="007E3A2F">
            <w:pPr>
              <w:pStyle w:val="P68B1DB1-Normal15"/>
              <w:spacing w:line="240" w:lineRule="auto"/>
              <w:jc w:val="center"/>
              <w:rPr>
                <w:noProof/>
              </w:rPr>
            </w:pPr>
            <w:r>
              <w:rPr>
                <w:noProof/>
              </w:rPr>
              <w:t>80</w:t>
            </w:r>
          </w:p>
        </w:tc>
        <w:tc>
          <w:tcPr>
            <w:tcW w:w="96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773D1C76" w14:textId="77777777" w:rsidR="00025543" w:rsidRDefault="007E3A2F">
            <w:pPr>
              <w:pStyle w:val="P68B1DB1-Normal15"/>
              <w:spacing w:line="240" w:lineRule="auto"/>
              <w:jc w:val="center"/>
              <w:rPr>
                <w:noProof/>
              </w:rPr>
            </w:pPr>
            <w:r>
              <w:rPr>
                <w:noProof/>
              </w:rPr>
              <w:t xml:space="preserve">TRIMESTRE 4 </w:t>
            </w:r>
          </w:p>
        </w:tc>
        <w:tc>
          <w:tcPr>
            <w:tcW w:w="716"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7E79E34F" w14:textId="77777777" w:rsidR="00025543" w:rsidRDefault="007E3A2F">
            <w:pPr>
              <w:pStyle w:val="P68B1DB1-Normal15"/>
              <w:spacing w:line="240" w:lineRule="auto"/>
              <w:jc w:val="center"/>
              <w:rPr>
                <w:noProof/>
              </w:rPr>
            </w:pPr>
            <w:r>
              <w:rPr>
                <w:noProof/>
              </w:rPr>
              <w:t>2024</w:t>
            </w:r>
          </w:p>
        </w:tc>
        <w:tc>
          <w:tcPr>
            <w:tcW w:w="4312"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25124510" w14:textId="2CF98DE2" w:rsidR="00025543" w:rsidRDefault="007E3A2F">
            <w:pPr>
              <w:pStyle w:val="P68B1DB1-Normal16"/>
              <w:spacing w:line="240" w:lineRule="auto"/>
              <w:rPr>
                <w:noProof/>
              </w:rPr>
            </w:pPr>
            <w:r>
              <w:rPr>
                <w:noProof/>
              </w:rPr>
              <w:t>Au total, au moins 800 projets de rénovation de systèmes publics de foudre bénéficieront d’un soutien au titre de cette mesure. L’objectif sera atteint si 80 % d’entre eux (à savoir 640) ont été conclus au plus tard le 31 décembre 2024. Les projets sont évalués et sélectionnés chaque année, sur la base des critères établis, à l’issue d’une procédure de sélection transparente.</w:t>
            </w:r>
          </w:p>
          <w:p w14:paraId="48F037ED" w14:textId="77777777" w:rsidR="00025543" w:rsidRDefault="007E3A2F">
            <w:pPr>
              <w:pStyle w:val="P68B1DB1-Normal16"/>
              <w:spacing w:line="240" w:lineRule="auto"/>
              <w:rPr>
                <w:rFonts w:eastAsia="Times New Roman"/>
                <w:noProof/>
              </w:rPr>
            </w:pPr>
            <w:r>
              <w:rPr>
                <w:noProof/>
              </w:rPr>
              <w:t>Seuls les projets qui permettent, en moyenne, une réduction de la consommation d’énergie primaire d’au moins 30 % ou une réduction des émissions de CO2 de 30 % sont retenus pour la mise en œuvre. L’objectif de 80 % concerne les projets ayant fait l’objet d’une convention de subvention signée.</w:t>
            </w:r>
          </w:p>
        </w:tc>
      </w:tr>
      <w:tr w:rsidR="00025543" w14:paraId="7B2EA6B4" w14:textId="77777777">
        <w:trPr>
          <w:trHeight w:val="945"/>
          <w:jc w:val="center"/>
        </w:trPr>
        <w:tc>
          <w:tcPr>
            <w:tcW w:w="663"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4EE3AB13" w14:textId="77777777" w:rsidR="00025543" w:rsidRDefault="007E3A2F">
            <w:pPr>
              <w:pStyle w:val="P68B1DB1-Normal15"/>
              <w:spacing w:line="240" w:lineRule="auto"/>
              <w:jc w:val="center"/>
              <w:rPr>
                <w:noProof/>
              </w:rPr>
            </w:pPr>
            <w:r>
              <w:rPr>
                <w:noProof/>
              </w:rPr>
              <w:t>107</w:t>
            </w:r>
          </w:p>
        </w:tc>
        <w:tc>
          <w:tcPr>
            <w:tcW w:w="118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0F26E3F4" w14:textId="77777777" w:rsidR="00025543" w:rsidRDefault="007E3A2F">
            <w:pPr>
              <w:pStyle w:val="P68B1DB1-Normal15"/>
              <w:spacing w:line="240" w:lineRule="auto"/>
              <w:rPr>
                <w:noProof/>
              </w:rPr>
            </w:pPr>
            <w:r>
              <w:rPr>
                <w:noProof/>
              </w:rPr>
              <w:t>Investissement 2: Amélioration de la performance énergétique des systèmes d’éclairage public</w:t>
            </w:r>
          </w:p>
          <w:p w14:paraId="6203B844" w14:textId="77777777" w:rsidR="00025543" w:rsidRDefault="00025543">
            <w:pPr>
              <w:spacing w:line="240" w:lineRule="auto"/>
              <w:rPr>
                <w:rFonts w:eastAsia="Times New Roman"/>
                <w:noProof/>
                <w:color w:val="004300"/>
                <w:sz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43C1047C" w14:textId="77777777" w:rsidR="00025543" w:rsidRDefault="007E3A2F">
            <w:pPr>
              <w:pStyle w:val="P68B1DB1-Normal15"/>
              <w:spacing w:line="240" w:lineRule="auto"/>
              <w:rPr>
                <w:noProof/>
              </w:rPr>
            </w:pPr>
            <w:r>
              <w:rPr>
                <w:noProof/>
              </w:rPr>
              <w:t>Cible</w:t>
            </w:r>
          </w:p>
        </w:tc>
        <w:tc>
          <w:tcPr>
            <w:tcW w:w="130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5ED5E595" w14:textId="77777777" w:rsidR="00025543" w:rsidRDefault="007E3A2F">
            <w:pPr>
              <w:pStyle w:val="P68B1DB1-Normal15"/>
              <w:spacing w:line="240" w:lineRule="auto"/>
              <w:rPr>
                <w:noProof/>
              </w:rPr>
            </w:pPr>
            <w:r>
              <w:rPr>
                <w:noProof/>
              </w:rPr>
              <w:t xml:space="preserve">Réduction de la consommation d’énergie </w:t>
            </w:r>
          </w:p>
        </w:tc>
        <w:tc>
          <w:tcPr>
            <w:tcW w:w="1432"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4ED56B7B" w14:textId="77777777" w:rsidR="00025543" w:rsidRDefault="00025543">
            <w:pPr>
              <w:spacing w:line="240" w:lineRule="auto"/>
              <w:rPr>
                <w:rFonts w:eastAsia="Times New Roman"/>
                <w:noProof/>
                <w:color w:val="004300"/>
                <w:sz w:val="18"/>
              </w:rPr>
            </w:pP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6C892C2A" w14:textId="77777777" w:rsidR="00025543" w:rsidRDefault="007E3A2F">
            <w:pPr>
              <w:pStyle w:val="P68B1DB1-Normal15"/>
              <w:spacing w:line="240" w:lineRule="auto"/>
              <w:rPr>
                <w:noProof/>
              </w:rPr>
            </w:pPr>
            <w:r>
              <w:rPr>
                <w:noProof/>
              </w:rPr>
              <w:t>Économies d’énergie en tera joules par an</w:t>
            </w:r>
          </w:p>
          <w:p w14:paraId="65704955" w14:textId="77777777" w:rsidR="00025543" w:rsidRDefault="00025543">
            <w:pPr>
              <w:spacing w:line="240" w:lineRule="auto"/>
              <w:rPr>
                <w:rFonts w:eastAsia="Times New Roman"/>
                <w:noProof/>
                <w:color w:val="004300"/>
                <w:sz w:val="18"/>
              </w:rPr>
            </w:pP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1FBA284F" w14:textId="77777777" w:rsidR="00025543" w:rsidRDefault="007E3A2F">
            <w:pPr>
              <w:pStyle w:val="P68B1DB1-Normal15"/>
              <w:spacing w:line="240" w:lineRule="auto"/>
              <w:jc w:val="center"/>
              <w:rPr>
                <w:noProof/>
              </w:rPr>
            </w:pPr>
            <w:r>
              <w:rPr>
                <w:noProof/>
              </w:rPr>
              <w:t>0</w:t>
            </w: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43A91DCA" w14:textId="77777777" w:rsidR="00025543" w:rsidRDefault="007E3A2F">
            <w:pPr>
              <w:pStyle w:val="P68B1DB1-Normal15"/>
              <w:spacing w:line="240" w:lineRule="auto"/>
              <w:jc w:val="center"/>
              <w:rPr>
                <w:noProof/>
              </w:rPr>
            </w:pPr>
            <w:r>
              <w:rPr>
                <w:noProof/>
              </w:rPr>
              <w:t>286</w:t>
            </w:r>
          </w:p>
        </w:tc>
        <w:tc>
          <w:tcPr>
            <w:tcW w:w="96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49E8A5F9" w14:textId="77777777" w:rsidR="00025543" w:rsidRDefault="007E3A2F">
            <w:pPr>
              <w:pStyle w:val="P68B1DB1-Normal15"/>
              <w:spacing w:line="240" w:lineRule="auto"/>
              <w:jc w:val="center"/>
              <w:rPr>
                <w:noProof/>
              </w:rPr>
            </w:pPr>
            <w:r>
              <w:rPr>
                <w:noProof/>
              </w:rPr>
              <w:t>TRIMESTRE 1</w:t>
            </w:r>
          </w:p>
        </w:tc>
        <w:tc>
          <w:tcPr>
            <w:tcW w:w="716"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7D342841" w14:textId="77777777" w:rsidR="00025543" w:rsidRDefault="007E3A2F">
            <w:pPr>
              <w:pStyle w:val="P68B1DB1-Normal15"/>
              <w:spacing w:line="240" w:lineRule="auto"/>
              <w:jc w:val="center"/>
              <w:rPr>
                <w:noProof/>
              </w:rPr>
            </w:pPr>
            <w:r>
              <w:rPr>
                <w:noProof/>
              </w:rPr>
              <w:t>2026</w:t>
            </w:r>
          </w:p>
        </w:tc>
        <w:tc>
          <w:tcPr>
            <w:tcW w:w="4312"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54F94DE8" w14:textId="77777777" w:rsidR="00025543" w:rsidRDefault="007E3A2F">
            <w:pPr>
              <w:pStyle w:val="P68B1DB1-Normal16"/>
              <w:spacing w:line="240" w:lineRule="auto"/>
              <w:rPr>
                <w:rFonts w:eastAsia="Times New Roman"/>
                <w:noProof/>
              </w:rPr>
            </w:pPr>
            <w:r>
              <w:rPr>
                <w:noProof/>
              </w:rPr>
              <w:t>L’objectif est atteint en réduisant la consommation d’énergie de 286 TJ/an par an d’ici au 31 mars 2026, à la suite de la reconstruction de l’éclairage public, ce qui est démontré au moyen de certificats de performance énergétique. La consommation d’énergie doit être réduite par rapport au scénario de statu quo</w:t>
            </w:r>
            <w:r>
              <w:rPr>
                <w:rFonts w:eastAsia="Times New Roman"/>
                <w:noProof/>
              </w:rPr>
              <w:t xml:space="preserve"> [c’est-à-dire l’absence de soutien au titre du règlement (UE) 2021/241]</w:t>
            </w:r>
            <w:r>
              <w:rPr>
                <w:noProof/>
              </w:rPr>
              <w:t xml:space="preserve">. La quantité d’énergie économisée doit être déterminée en mesurant et/ou en estimant la consommation avant et après la mise en œuvre d’une mesure visant à améliorer l’efficacité énergétique, tout en assurant la normalisation des conditions externes ayant une incidence sur la consommation d’énergie.   </w:t>
            </w:r>
          </w:p>
        </w:tc>
      </w:tr>
      <w:tr w:rsidR="00025543" w14:paraId="3EDA0E2F" w14:textId="77777777">
        <w:trPr>
          <w:trHeight w:val="337"/>
          <w:jc w:val="center"/>
        </w:trPr>
        <w:tc>
          <w:tcPr>
            <w:tcW w:w="663"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47BE3709" w14:textId="77777777" w:rsidR="00025543" w:rsidRDefault="007E3A2F">
            <w:pPr>
              <w:pStyle w:val="P68B1DB1-Normal15"/>
              <w:spacing w:line="240" w:lineRule="auto"/>
              <w:jc w:val="center"/>
              <w:rPr>
                <w:noProof/>
              </w:rPr>
            </w:pPr>
            <w:r>
              <w:rPr>
                <w:noProof/>
              </w:rPr>
              <w:t>108</w:t>
            </w:r>
          </w:p>
        </w:tc>
        <w:tc>
          <w:tcPr>
            <w:tcW w:w="118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6752209F" w14:textId="77777777" w:rsidR="00025543" w:rsidRDefault="007E3A2F">
            <w:pPr>
              <w:pStyle w:val="P68B1DB1-Normal15"/>
              <w:spacing w:line="240" w:lineRule="auto"/>
              <w:rPr>
                <w:noProof/>
              </w:rPr>
            </w:pPr>
            <w:r>
              <w:rPr>
                <w:noProof/>
              </w:rPr>
              <w:t>Investissement 3: Amélioration de la performance énergétique des bâtiments publics</w:t>
            </w:r>
          </w:p>
        </w:tc>
        <w:tc>
          <w:tcPr>
            <w:tcW w:w="113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54BA511F" w14:textId="77777777" w:rsidR="00025543" w:rsidRDefault="007E3A2F">
            <w:pPr>
              <w:pStyle w:val="P68B1DB1-Normal15"/>
              <w:spacing w:line="240" w:lineRule="auto"/>
              <w:rPr>
                <w:noProof/>
              </w:rPr>
            </w:pPr>
            <w:r>
              <w:rPr>
                <w:noProof/>
              </w:rPr>
              <w:t>Cible</w:t>
            </w:r>
          </w:p>
        </w:tc>
        <w:tc>
          <w:tcPr>
            <w:tcW w:w="130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0AC6F88B" w14:textId="77777777" w:rsidR="00025543" w:rsidRDefault="007E3A2F">
            <w:pPr>
              <w:pStyle w:val="P68B1DB1-Normal16"/>
              <w:spacing w:line="240" w:lineRule="auto"/>
              <w:rPr>
                <w:rFonts w:eastAsia="Times New Roman"/>
                <w:noProof/>
              </w:rPr>
            </w:pPr>
            <w:r>
              <w:rPr>
                <w:noProof/>
              </w:rPr>
              <w:t>Attribution de 75 % de l’ensemble des marchés publics pour des projets de rénovation de bâtiments permettant d’économiser au moins 30 % d’énergie primaire</w:t>
            </w:r>
          </w:p>
        </w:tc>
        <w:tc>
          <w:tcPr>
            <w:tcW w:w="1432"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0E399DA7" w14:textId="77777777" w:rsidR="00025543" w:rsidRDefault="00025543">
            <w:pPr>
              <w:spacing w:line="240" w:lineRule="auto"/>
              <w:rPr>
                <w:rFonts w:eastAsia="Times New Roman"/>
                <w:noProof/>
                <w:color w:val="004300"/>
                <w:sz w:val="18"/>
              </w:rPr>
            </w:pP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5361C923" w14:textId="77777777" w:rsidR="00025543" w:rsidRDefault="007E3A2F">
            <w:pPr>
              <w:pStyle w:val="P68B1DB1-Normal15"/>
              <w:spacing w:line="240" w:lineRule="auto"/>
              <w:rPr>
                <w:noProof/>
              </w:rPr>
            </w:pPr>
            <w:r>
              <w:rPr>
                <w:noProof/>
              </w:rPr>
              <w:t xml:space="preserve">Pourcentage </w:t>
            </w: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696E29C4" w14:textId="77777777" w:rsidR="00025543" w:rsidRDefault="007E3A2F">
            <w:pPr>
              <w:pStyle w:val="P68B1DB1-Normal15"/>
              <w:spacing w:line="240" w:lineRule="auto"/>
              <w:jc w:val="center"/>
              <w:rPr>
                <w:noProof/>
              </w:rPr>
            </w:pPr>
            <w:r>
              <w:rPr>
                <w:noProof/>
              </w:rPr>
              <w:t>0</w:t>
            </w: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42452D2E" w14:textId="77777777" w:rsidR="00025543" w:rsidRDefault="007E3A2F">
            <w:pPr>
              <w:pStyle w:val="P68B1DB1-Normal15"/>
              <w:spacing w:line="240" w:lineRule="auto"/>
              <w:jc w:val="center"/>
              <w:rPr>
                <w:noProof/>
              </w:rPr>
            </w:pPr>
            <w:r>
              <w:rPr>
                <w:noProof/>
              </w:rPr>
              <w:t>75</w:t>
            </w:r>
          </w:p>
        </w:tc>
        <w:tc>
          <w:tcPr>
            <w:tcW w:w="96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72E3038B" w14:textId="77777777" w:rsidR="00025543" w:rsidRDefault="007E3A2F">
            <w:pPr>
              <w:pStyle w:val="P68B1DB1-Normal15"/>
              <w:spacing w:line="240" w:lineRule="auto"/>
              <w:jc w:val="center"/>
              <w:rPr>
                <w:noProof/>
              </w:rPr>
            </w:pPr>
            <w:r>
              <w:rPr>
                <w:noProof/>
              </w:rPr>
              <w:t>TRIMESTRE 4</w:t>
            </w:r>
          </w:p>
        </w:tc>
        <w:tc>
          <w:tcPr>
            <w:tcW w:w="716"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0A0BD06E" w14:textId="77777777" w:rsidR="00025543" w:rsidRDefault="007E3A2F">
            <w:pPr>
              <w:pStyle w:val="P68B1DB1-Normal15"/>
              <w:spacing w:line="240" w:lineRule="auto"/>
              <w:jc w:val="center"/>
              <w:rPr>
                <w:noProof/>
              </w:rPr>
            </w:pPr>
            <w:r>
              <w:rPr>
                <w:noProof/>
              </w:rPr>
              <w:t>2023</w:t>
            </w:r>
          </w:p>
        </w:tc>
        <w:tc>
          <w:tcPr>
            <w:tcW w:w="4312"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0247B2DA" w14:textId="7CC4CF25" w:rsidR="00025543" w:rsidRDefault="007E3A2F">
            <w:pPr>
              <w:pStyle w:val="P68B1DB1-Normal16"/>
              <w:spacing w:line="240" w:lineRule="auto"/>
              <w:rPr>
                <w:noProof/>
              </w:rPr>
            </w:pPr>
            <w:r>
              <w:rPr>
                <w:noProof/>
              </w:rPr>
              <w:t xml:space="preserve">Au total, au moins 220 projets de rénovation des bâtiments bénéficient d’un soutien au titre de cette mesure. L’objectif est atteint par la passation de contrats à 75 % d’entre eux. Les projets sont soumis au Fonds national pour l’environnement dans le cadre d’un appel permanent et évalués sur la base des critères établis, à l’issue d’une procédure de sélection transparente. </w:t>
            </w:r>
          </w:p>
          <w:p w14:paraId="13A51317" w14:textId="77777777" w:rsidR="00025543" w:rsidRDefault="007E3A2F">
            <w:pPr>
              <w:pStyle w:val="P68B1DB1-Normal16"/>
              <w:spacing w:line="240" w:lineRule="auto"/>
              <w:rPr>
                <w:noProof/>
              </w:rPr>
            </w:pPr>
            <w:r>
              <w:rPr>
                <w:noProof/>
              </w:rPr>
              <w:t xml:space="preserve">Seuls les projets qui permettent, en moyenne, une réduction de la consommation d’énergie primaire d’au moins 30 % ou une réduction des émissions de CO2 de 30 % sont retenus pour la mise en œuvre. L’objectif de 75 % concerne les projets ayant fait l’objet d’une convention de subvention signée. Les investissements </w:t>
            </w:r>
            <w:r>
              <w:rPr>
                <w:rFonts w:eastAsia="Times New Roman"/>
                <w:noProof/>
              </w:rPr>
              <w:t xml:space="preserve">dans les remplacements de chaudières, y compris ceux qui </w:t>
            </w:r>
            <w:r>
              <w:rPr>
                <w:noProof/>
              </w:rPr>
              <w:t xml:space="preserve">utilisent du gaz naturel comme source d’énergie, sont limités à 20 % au maximum de l’enveloppe globale. </w:t>
            </w:r>
          </w:p>
        </w:tc>
      </w:tr>
      <w:tr w:rsidR="00025543" w14:paraId="38CC5739" w14:textId="77777777">
        <w:trPr>
          <w:trHeight w:val="578"/>
          <w:jc w:val="center"/>
        </w:trPr>
        <w:tc>
          <w:tcPr>
            <w:tcW w:w="663"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4E5EEDBA" w14:textId="77777777" w:rsidR="00025543" w:rsidRDefault="007E3A2F">
            <w:pPr>
              <w:pStyle w:val="P68B1DB1-Normal15"/>
              <w:spacing w:line="240" w:lineRule="auto"/>
              <w:jc w:val="center"/>
              <w:rPr>
                <w:noProof/>
              </w:rPr>
            </w:pPr>
            <w:r>
              <w:rPr>
                <w:noProof/>
              </w:rPr>
              <w:t>109</w:t>
            </w:r>
          </w:p>
        </w:tc>
        <w:tc>
          <w:tcPr>
            <w:tcW w:w="118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2AD2CB71" w14:textId="77777777" w:rsidR="00025543" w:rsidRDefault="007E3A2F">
            <w:pPr>
              <w:pStyle w:val="P68B1DB1-Normal15"/>
              <w:spacing w:line="240" w:lineRule="auto"/>
              <w:rPr>
                <w:noProof/>
              </w:rPr>
            </w:pPr>
            <w:r>
              <w:rPr>
                <w:noProof/>
              </w:rPr>
              <w:t>Investissement 3: Amélioration de la performance énergétique des bâtiments publics</w:t>
            </w:r>
          </w:p>
        </w:tc>
        <w:tc>
          <w:tcPr>
            <w:tcW w:w="113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73D383D7" w14:textId="77777777" w:rsidR="00025543" w:rsidRDefault="007E3A2F">
            <w:pPr>
              <w:pStyle w:val="P68B1DB1-Normal15"/>
              <w:spacing w:line="240" w:lineRule="auto"/>
              <w:rPr>
                <w:noProof/>
              </w:rPr>
            </w:pPr>
            <w:r>
              <w:rPr>
                <w:noProof/>
              </w:rPr>
              <w:t>Cible</w:t>
            </w:r>
          </w:p>
        </w:tc>
        <w:tc>
          <w:tcPr>
            <w:tcW w:w="130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1475CE7D" w14:textId="77777777" w:rsidR="00025543" w:rsidRDefault="007E3A2F">
            <w:pPr>
              <w:pStyle w:val="P68B1DB1-Normal15"/>
              <w:spacing w:line="240" w:lineRule="auto"/>
              <w:rPr>
                <w:noProof/>
              </w:rPr>
            </w:pPr>
            <w:r>
              <w:rPr>
                <w:noProof/>
              </w:rPr>
              <w:t>Réduction de la consommation d’énergie</w:t>
            </w:r>
          </w:p>
        </w:tc>
        <w:tc>
          <w:tcPr>
            <w:tcW w:w="1432"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067F3CCC" w14:textId="77777777" w:rsidR="00025543" w:rsidRDefault="00025543">
            <w:pPr>
              <w:spacing w:line="240" w:lineRule="auto"/>
              <w:rPr>
                <w:rFonts w:eastAsia="Times New Roman"/>
                <w:noProof/>
                <w:color w:val="004300"/>
                <w:sz w:val="18"/>
              </w:rPr>
            </w:pP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5A4C181A" w14:textId="77777777" w:rsidR="00025543" w:rsidRDefault="007E3A2F">
            <w:pPr>
              <w:pStyle w:val="P68B1DB1-Normal16"/>
              <w:spacing w:line="240" w:lineRule="auto"/>
              <w:rPr>
                <w:rFonts w:eastAsia="Times New Roman"/>
                <w:noProof/>
              </w:rPr>
            </w:pPr>
            <w:r>
              <w:rPr>
                <w:noProof/>
              </w:rPr>
              <w:t>Économies d’énergie en tera joules par an</w:t>
            </w: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34458DEA" w14:textId="77777777" w:rsidR="00025543" w:rsidRDefault="007E3A2F">
            <w:pPr>
              <w:pStyle w:val="P68B1DB1-Normal15"/>
              <w:spacing w:line="240" w:lineRule="auto"/>
              <w:jc w:val="center"/>
              <w:rPr>
                <w:noProof/>
              </w:rPr>
            </w:pPr>
            <w:r>
              <w:rPr>
                <w:noProof/>
              </w:rPr>
              <w:t>0</w:t>
            </w:r>
          </w:p>
        </w:tc>
        <w:tc>
          <w:tcPr>
            <w:tcW w:w="104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6B621622" w14:textId="254BB98D" w:rsidR="00025543" w:rsidRDefault="007E3A2F">
            <w:pPr>
              <w:pStyle w:val="P68B1DB1-Normal15"/>
              <w:spacing w:line="240" w:lineRule="auto"/>
              <w:jc w:val="center"/>
              <w:rPr>
                <w:noProof/>
              </w:rPr>
            </w:pPr>
            <w:r>
              <w:rPr>
                <w:noProof/>
              </w:rPr>
              <w:t>410</w:t>
            </w:r>
          </w:p>
        </w:tc>
        <w:tc>
          <w:tcPr>
            <w:tcW w:w="96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2CF8052C" w14:textId="77777777" w:rsidR="00025543" w:rsidRDefault="007E3A2F">
            <w:pPr>
              <w:pStyle w:val="P68B1DB1-Normal15"/>
              <w:spacing w:line="240" w:lineRule="auto"/>
              <w:jc w:val="center"/>
              <w:rPr>
                <w:noProof/>
              </w:rPr>
            </w:pPr>
            <w:r>
              <w:rPr>
                <w:noProof/>
              </w:rPr>
              <w:t>TRIMESTRE 1</w:t>
            </w:r>
          </w:p>
        </w:tc>
        <w:tc>
          <w:tcPr>
            <w:tcW w:w="716"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41EB3556" w14:textId="77777777" w:rsidR="00025543" w:rsidRDefault="007E3A2F">
            <w:pPr>
              <w:pStyle w:val="P68B1DB1-Normal15"/>
              <w:spacing w:line="240" w:lineRule="auto"/>
              <w:jc w:val="center"/>
              <w:rPr>
                <w:noProof/>
              </w:rPr>
            </w:pPr>
            <w:r>
              <w:rPr>
                <w:noProof/>
              </w:rPr>
              <w:t>2026</w:t>
            </w:r>
          </w:p>
        </w:tc>
        <w:tc>
          <w:tcPr>
            <w:tcW w:w="4312"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776A019A" w14:textId="651A1A7B" w:rsidR="00025543" w:rsidRDefault="007E3A2F">
            <w:pPr>
              <w:pStyle w:val="P68B1DB1-Normal16"/>
              <w:spacing w:line="240" w:lineRule="auto"/>
              <w:rPr>
                <w:noProof/>
              </w:rPr>
            </w:pPr>
            <w:r>
              <w:rPr>
                <w:noProof/>
              </w:rPr>
              <w:t>L’objectif est atteint en réduisant la consommation d’énergie dans les bâtiments publics de 410 TJ/an par an d’ici au 31 mars 2026, à la suite de la rénovation des bâtiments, ce qui est démontré au moyen de certificats de performance énergétique. La consommation d’énergie doit être réduite par rapport au scénario de statu quo</w:t>
            </w:r>
            <w:r>
              <w:rPr>
                <w:rFonts w:eastAsia="Times New Roman"/>
                <w:noProof/>
              </w:rPr>
              <w:t>[c’est-à-dire l’absence de soutien au titre du règlement (UE) 2021/241]</w:t>
            </w:r>
            <w:r>
              <w:rPr>
                <w:noProof/>
              </w:rPr>
              <w:t>. La quantité d’énergie économisée doit être déterminée en mesurant et/ou en estimant la consommation avant et après la mise en œuvre d’une mesure visant à améliorer l’efficacité énergétique, tout en assurant la normalisation des conditions externes ayant une incidence sur la consommation d’énergie.</w:t>
            </w:r>
          </w:p>
        </w:tc>
      </w:tr>
    </w:tbl>
    <w:p w14:paraId="123AFD4D" w14:textId="77777777" w:rsidR="00025543" w:rsidRDefault="00025543">
      <w:pPr>
        <w:pBdr>
          <w:top w:val="nil"/>
          <w:left w:val="nil"/>
          <w:bottom w:val="nil"/>
          <w:right w:val="nil"/>
          <w:between w:val="nil"/>
        </w:pBdr>
        <w:spacing w:line="240" w:lineRule="auto"/>
        <w:rPr>
          <w:noProof/>
          <w:color w:val="006100"/>
          <w:sz w:val="15"/>
        </w:rPr>
        <w:sectPr w:rsidR="00025543" w:rsidSect="00D57C66">
          <w:headerReference w:type="even" r:id="rId168"/>
          <w:headerReference w:type="default" r:id="rId169"/>
          <w:footerReference w:type="even" r:id="rId170"/>
          <w:footerReference w:type="default" r:id="rId171"/>
          <w:headerReference w:type="first" r:id="rId172"/>
          <w:footerReference w:type="first" r:id="rId173"/>
          <w:pgSz w:w="16839" w:h="11907" w:orient="landscape"/>
          <w:pgMar w:top="1134" w:right="1134" w:bottom="1134" w:left="1134" w:header="567" w:footer="567" w:gutter="0"/>
          <w:cols w:space="720"/>
          <w:docGrid w:linePitch="326"/>
        </w:sectPr>
      </w:pPr>
    </w:p>
    <w:p w14:paraId="7C143368" w14:textId="6994548E" w:rsidR="00025543" w:rsidRDefault="007E3A2F">
      <w:pPr>
        <w:pStyle w:val="P68B1DB1-Normal2"/>
        <w:keepNext/>
        <w:tabs>
          <w:tab w:val="left" w:pos="850"/>
        </w:tabs>
        <w:spacing w:line="240" w:lineRule="auto"/>
        <w:jc w:val="both"/>
        <w:outlineLvl w:val="0"/>
        <w:rPr>
          <w:noProof/>
        </w:rPr>
      </w:pPr>
      <w:r>
        <w:rPr>
          <w:noProof/>
        </w:rPr>
        <w:t xml:space="preserve">ÉLÉMENT J. COMPOSANTE 2.3: Transition vers des sources d’énergie plus propres </w:t>
      </w:r>
    </w:p>
    <w:p w14:paraId="2E052514" w14:textId="77777777" w:rsidR="00025543" w:rsidRDefault="007E3A2F">
      <w:pPr>
        <w:pStyle w:val="P68B1DB1-Normal3"/>
        <w:spacing w:line="240" w:lineRule="auto"/>
        <w:jc w:val="both"/>
        <w:rPr>
          <w:noProof/>
        </w:rPr>
      </w:pPr>
      <w:r>
        <w:rPr>
          <w:noProof/>
        </w:rPr>
        <w:t>Ce volet du plan pour la reprise et la résilience de la République tchèque contribue à relever le défi du passage des combustibles fossiles à des sources d’énergie à faibles émissions et à émissions nulles, telles que l’énergie photovoltaïque. Elle vise à réduire l’intensité des émissions de l’économie tchèque et des émissions de polluants, ainsi qu’à moderniser le réseau de distribution d’énergie thermique, en particulier par le remplacement de la vapeur par de l’eau chaude, ce qui permettra de réaliser des économies dans les sources d’énergie primaire.</w:t>
      </w:r>
    </w:p>
    <w:p w14:paraId="166C3354" w14:textId="77777777" w:rsidR="00025543" w:rsidRDefault="007E3A2F">
      <w:pPr>
        <w:spacing w:line="240" w:lineRule="auto"/>
        <w:jc w:val="both"/>
        <w:rPr>
          <w:rFonts w:eastAsia="Times New Roman"/>
          <w:noProof/>
          <w:color w:val="000000"/>
        </w:rPr>
      </w:pPr>
      <w:r>
        <w:rPr>
          <w:rFonts w:eastAsia="Times New Roman"/>
          <w:noProof/>
        </w:rPr>
        <w:t>Les réformes et le soutien à l’investissement répondant à la recommandationspécifique no 3 2019, selon laquelle la Tchéquie concentre la politique économique liée aux investissements sur la transition énergétique et à faible intensité de carbone, y compris l’efficacité énergétique, en tenant compte des disparités régionales et de la</w:t>
      </w:r>
      <w:r>
        <w:rPr>
          <w:noProof/>
        </w:rPr>
        <w:t xml:space="preserve">recommandation spécifique no 3 2020, selon laquelle la Tchéquie concentre ses investissements sur la transition écologique et numérique, en particulier sur la production et l’utilisation propres et efficaces de l’énergie, y compris dans les régions charbonnières. </w:t>
      </w:r>
    </w:p>
    <w:p w14:paraId="669613CF" w14:textId="77777777" w:rsidR="00025543" w:rsidRDefault="007E3A2F">
      <w:pPr>
        <w:spacing w:line="276" w:lineRule="auto"/>
        <w:jc w:val="both"/>
        <w:rPr>
          <w:noProof/>
          <w:sz w:val="22"/>
        </w:rPr>
      </w:pPr>
      <w:r>
        <w:rPr>
          <w:noProof/>
        </w:rPr>
        <w:t>Aucune mesure relevant de ce volet ne devrait nuire gravement aux objectifs environnementaux au sens de l’article 17 du règlement (UE) 2020/852, compte tenu de la description des mesures et des mesures d’atténuation prévues dans le plan pour la reprise et la résilience conformément aux orientations techniques de la DNSH (2021/C58/01).</w:t>
      </w:r>
    </w:p>
    <w:p w14:paraId="4117EC50" w14:textId="6C927183" w:rsidR="00025543" w:rsidRDefault="00025543">
      <w:pPr>
        <w:spacing w:line="240" w:lineRule="auto"/>
        <w:jc w:val="both"/>
        <w:rPr>
          <w:rFonts w:eastAsia="Times New Roman"/>
          <w:i/>
          <w:noProof/>
          <w:color w:val="000000"/>
        </w:rPr>
      </w:pPr>
    </w:p>
    <w:p w14:paraId="4DD1887C" w14:textId="79FB25E5" w:rsidR="00025543" w:rsidRDefault="007E3A2F">
      <w:pPr>
        <w:pStyle w:val="P68B1DB1-Normal32"/>
        <w:spacing w:line="240" w:lineRule="auto"/>
        <w:jc w:val="both"/>
        <w:rPr>
          <w:i/>
          <w:noProof/>
          <w:color w:val="4F81BD"/>
        </w:rPr>
      </w:pPr>
      <w:r>
        <w:rPr>
          <w:noProof/>
        </w:rPr>
        <w:t>J.1. Description des réformes et des investissements en vue du soutien financier non remboursable</w:t>
      </w:r>
    </w:p>
    <w:p w14:paraId="7A6DEB90" w14:textId="3503CDA7" w:rsidR="00025543" w:rsidRDefault="007E3A2F">
      <w:pPr>
        <w:pStyle w:val="P68B1DB1-Normal26"/>
        <w:spacing w:line="240" w:lineRule="auto"/>
        <w:jc w:val="both"/>
        <w:rPr>
          <w:noProof/>
        </w:rPr>
      </w:pPr>
      <w:r>
        <w:rPr>
          <w:noProof/>
        </w:rPr>
        <w:t xml:space="preserve">Réforme 1: Modernisation de la distribution de chaleur dans les systèmes de chauffage urbain </w:t>
      </w:r>
    </w:p>
    <w:p w14:paraId="65F2F071" w14:textId="77777777" w:rsidR="00025543" w:rsidRDefault="007E3A2F">
      <w:pPr>
        <w:pStyle w:val="P68B1DB1-Normal4"/>
        <w:spacing w:line="259" w:lineRule="auto"/>
        <w:jc w:val="both"/>
        <w:rPr>
          <w:rFonts w:ascii="Calibri" w:hAnsi="Calibri"/>
          <w:noProof/>
        </w:rPr>
      </w:pPr>
      <w:r>
        <w:rPr>
          <w:noProof/>
        </w:rPr>
        <w:t xml:space="preserve">Cette mesure vise à décarboner le chauffage urbain, notamment en augmentant l’efficacité énergétique, en passant de la combustion du charbon à des sources d’énergie renouvelables, à la combustion de gaz naturel, de biomasse et de déchets, et à réduire les émissions de gaz à effet de serre et les polluants. </w:t>
      </w:r>
    </w:p>
    <w:p w14:paraId="33FF0614" w14:textId="77777777" w:rsidR="00025543" w:rsidRDefault="007E3A2F">
      <w:pPr>
        <w:pStyle w:val="P68B1DB1-Normal4"/>
        <w:spacing w:line="259" w:lineRule="auto"/>
        <w:jc w:val="both"/>
        <w:rPr>
          <w:rFonts w:ascii="Calibri" w:hAnsi="Calibri"/>
          <w:noProof/>
        </w:rPr>
      </w:pPr>
      <w:r>
        <w:rPr>
          <w:noProof/>
        </w:rPr>
        <w:t>Une évaluation de la voie vers la décarbonation du chauffage urbain en Tchéquie est réalisée et publiée. Cette évaluation oriente les investissements financés au titre de ce volet du plan pour la reprise et la résilience de la République tchèque.</w:t>
      </w:r>
    </w:p>
    <w:p w14:paraId="5D4B18A5" w14:textId="79BAEED5" w:rsidR="00025543" w:rsidRDefault="007E3A2F">
      <w:pPr>
        <w:pStyle w:val="P68B1DB1-Normal4"/>
        <w:spacing w:line="259" w:lineRule="auto"/>
        <w:jc w:val="both"/>
        <w:rPr>
          <w:noProof/>
        </w:rPr>
      </w:pPr>
      <w:r>
        <w:rPr>
          <w:noProof/>
        </w:rPr>
        <w:t>La réforme est mise en œuvre au plus tard le 31 décembre 2023.</w:t>
      </w:r>
    </w:p>
    <w:p w14:paraId="24FD5BBE" w14:textId="35F2918B" w:rsidR="00025543" w:rsidRDefault="007E3A2F">
      <w:pPr>
        <w:pStyle w:val="P68B1DB1-Normal26"/>
        <w:spacing w:line="240" w:lineRule="auto"/>
        <w:jc w:val="both"/>
        <w:rPr>
          <w:noProof/>
        </w:rPr>
      </w:pPr>
      <w:r>
        <w:rPr>
          <w:noProof/>
        </w:rPr>
        <w:t>Réforme 2: Modernisation de la distribution de chaleur dans les systèmes de chauffage urbain</w:t>
      </w:r>
    </w:p>
    <w:p w14:paraId="26B54DC9" w14:textId="77777777" w:rsidR="00025543" w:rsidRDefault="007E3A2F">
      <w:pPr>
        <w:pStyle w:val="P68B1DB1-Normal3"/>
        <w:spacing w:line="240" w:lineRule="auto"/>
        <w:jc w:val="both"/>
        <w:rPr>
          <w:noProof/>
        </w:rPr>
      </w:pPr>
      <w:r>
        <w:rPr>
          <w:noProof/>
        </w:rPr>
        <w:t>Cette mesure</w:t>
      </w:r>
      <w:r>
        <w:rPr>
          <w:b/>
          <w:noProof/>
        </w:rPr>
        <w:t xml:space="preserve"> </w:t>
      </w:r>
      <w:r>
        <w:rPr>
          <w:noProof/>
        </w:rPr>
        <w:t>vise à promouvoir les investissements dans la biomasse</w:t>
      </w:r>
      <w:r>
        <w:rPr>
          <w:b/>
          <w:noProof/>
        </w:rPr>
        <w:t xml:space="preserve"> </w:t>
      </w:r>
      <w:r>
        <w:rPr>
          <w:noProof/>
        </w:rPr>
        <w:t xml:space="preserve">sur la base des déchets et des résidus de biomasse qui peuvent être extraits de manière durable, avec des mesures de réduction des émissions. </w:t>
      </w:r>
    </w:p>
    <w:p w14:paraId="1475CF9F" w14:textId="77777777" w:rsidR="00025543" w:rsidRDefault="007E3A2F">
      <w:pPr>
        <w:pStyle w:val="P68B1DB1-Normal3"/>
        <w:spacing w:line="259" w:lineRule="auto"/>
        <w:jc w:val="both"/>
        <w:rPr>
          <w:noProof/>
        </w:rPr>
      </w:pPr>
      <w:r>
        <w:rPr>
          <w:noProof/>
        </w:rPr>
        <w:t>Une évaluation des trajectoires d’utilisation durable de la bioénergie et de l’approvisionnement en biomasse en Tchéquie et de ses incidences sur l’utilisation des terres, le changement d’affectation des terres et les puits forestiers et sur la biodiversité, ainsi que de son incidence sur la qualité de l’air pour la période 2020-2030 est publiée. Cette évaluation oriente les investissements en bioénergie financés au titre des volets 2.2, 2.3 et 2.5 du plan tchèque pour la reprise et la résilience.</w:t>
      </w:r>
    </w:p>
    <w:p w14:paraId="06AAB1B3" w14:textId="13696D33" w:rsidR="00025543" w:rsidRDefault="007E3A2F">
      <w:pPr>
        <w:pStyle w:val="P68B1DB1-Normal3"/>
        <w:spacing w:line="259" w:lineRule="auto"/>
        <w:jc w:val="both"/>
        <w:rPr>
          <w:noProof/>
        </w:rPr>
      </w:pPr>
      <w:r>
        <w:rPr>
          <w:noProof/>
        </w:rPr>
        <w:t xml:space="preserve">La réforme est </w:t>
      </w:r>
      <w:r>
        <w:rPr>
          <w:noProof/>
          <w:color w:val="000000" w:themeColor="text1"/>
        </w:rPr>
        <w:t>mise en œuvre</w:t>
      </w:r>
      <w:r>
        <w:rPr>
          <w:noProof/>
        </w:rPr>
        <w:t xml:space="preserve"> au plus tard le 31 décembre 2023.</w:t>
      </w:r>
      <w:r>
        <w:rPr>
          <w:b/>
          <w:noProof/>
        </w:rPr>
        <w:t xml:space="preserve"> </w:t>
      </w:r>
    </w:p>
    <w:p w14:paraId="5D6FD693" w14:textId="4D44197B" w:rsidR="00025543" w:rsidRDefault="007E3A2F">
      <w:pPr>
        <w:pStyle w:val="P68B1DB1-Normal3"/>
        <w:spacing w:line="259" w:lineRule="auto"/>
        <w:jc w:val="both"/>
        <w:rPr>
          <w:noProof/>
        </w:rPr>
      </w:pPr>
      <w:r>
        <w:rPr>
          <w:b/>
          <w:noProof/>
          <w:sz w:val="22"/>
        </w:rPr>
        <w:br w:type="page"/>
      </w:r>
      <w:r>
        <w:rPr>
          <w:b/>
          <w:noProof/>
        </w:rPr>
        <w:t>Investissement 1: Développement de nouvelles sources d’énergie photovoltaïque</w:t>
      </w:r>
      <w:r>
        <w:rPr>
          <w:noProof/>
        </w:rPr>
        <w:t xml:space="preserve"> </w:t>
      </w:r>
    </w:p>
    <w:p w14:paraId="2687A83C" w14:textId="77777777" w:rsidR="00025543" w:rsidRDefault="007E3A2F">
      <w:pPr>
        <w:pStyle w:val="P68B1DB1-Normal4"/>
        <w:pBdr>
          <w:top w:val="nil"/>
          <w:left w:val="nil"/>
          <w:bottom w:val="nil"/>
          <w:right w:val="nil"/>
          <w:between w:val="nil"/>
        </w:pBdr>
        <w:spacing w:line="240" w:lineRule="auto"/>
        <w:jc w:val="both"/>
        <w:rPr>
          <w:noProof/>
        </w:rPr>
      </w:pPr>
      <w:r>
        <w:rPr>
          <w:noProof/>
        </w:rPr>
        <w:t xml:space="preserve">Cette mesure vise à remplacer au moins une partie des sources d’énergie au charbon par des sources d’énergie photovoltaïque. </w:t>
      </w:r>
    </w:p>
    <w:p w14:paraId="3D4DCFAD" w14:textId="77777777" w:rsidR="00025543" w:rsidRDefault="007E3A2F">
      <w:pPr>
        <w:pStyle w:val="P68B1DB1-Normal4"/>
        <w:pBdr>
          <w:top w:val="nil"/>
          <w:left w:val="nil"/>
          <w:bottom w:val="nil"/>
          <w:right w:val="nil"/>
          <w:between w:val="nil"/>
        </w:pBdr>
        <w:spacing w:line="240" w:lineRule="auto"/>
        <w:jc w:val="both"/>
        <w:rPr>
          <w:noProof/>
        </w:rPr>
      </w:pPr>
      <w:r>
        <w:rPr>
          <w:noProof/>
        </w:rPr>
        <w:t xml:space="preserve">Une nouvelle capacité des sources d’énergie photovoltaïque de 270 MWp doit être installée et mise en service. Les projets comprennent la construction de centrales photovoltaïques sur les toits des bâtiments des entreprises, y compris des abris (tels que des abris pour voitures, des machines de construction ou le stockage de matériaux), ainsi que l’accumulation d’énergie visant à optimiser la production d’électricité. </w:t>
      </w:r>
    </w:p>
    <w:p w14:paraId="3F1B6025" w14:textId="4E8EEEE8" w:rsidR="00025543" w:rsidRDefault="007E3A2F">
      <w:pPr>
        <w:pStyle w:val="P68B1DB1-Normal4"/>
        <w:pBdr>
          <w:top w:val="nil"/>
          <w:left w:val="nil"/>
          <w:bottom w:val="nil"/>
          <w:right w:val="nil"/>
          <w:between w:val="nil"/>
        </w:pBdr>
        <w:spacing w:line="240" w:lineRule="auto"/>
        <w:jc w:val="both"/>
        <w:rPr>
          <w:noProof/>
        </w:rPr>
      </w:pPr>
      <w:r>
        <w:rPr>
          <w:noProof/>
        </w:rPr>
        <w:t>Cet investissement est mis en œuvre au plus tard le 31 mars 2026.</w:t>
      </w:r>
    </w:p>
    <w:p w14:paraId="18443699" w14:textId="599662DB" w:rsidR="00025543" w:rsidRDefault="007E3A2F">
      <w:pPr>
        <w:pStyle w:val="P68B1DB1-Normal26"/>
        <w:jc w:val="both"/>
        <w:rPr>
          <w:noProof/>
        </w:rPr>
      </w:pPr>
      <w:r>
        <w:rPr>
          <w:noProof/>
        </w:rPr>
        <w:t>Investissement 2: Modernisation de la distribution de chaleur dans les systèmes de chauffage urbain</w:t>
      </w:r>
    </w:p>
    <w:p w14:paraId="0BEF462E" w14:textId="77777777" w:rsidR="00025543" w:rsidRDefault="007E3A2F">
      <w:pPr>
        <w:pStyle w:val="P68B1DB1-Normal3"/>
        <w:spacing w:line="240" w:lineRule="auto"/>
        <w:jc w:val="both"/>
        <w:rPr>
          <w:noProof/>
        </w:rPr>
      </w:pPr>
      <w:r>
        <w:rPr>
          <w:noProof/>
        </w:rPr>
        <w:t>Cette mesure vise à</w:t>
      </w:r>
      <w:r>
        <w:rPr>
          <w:b/>
          <w:noProof/>
        </w:rPr>
        <w:t xml:space="preserve"> </w:t>
      </w:r>
      <w:r>
        <w:rPr>
          <w:noProof/>
        </w:rPr>
        <w:t xml:space="preserve">réduire la combustion de charbon pour la production de chaleur (et la production d’électricité connexe) d’ici à 2030, conformément à l’évaluation adoptée de la </w:t>
      </w:r>
      <w:r>
        <w:rPr>
          <w:noProof/>
          <w:shd w:val="clear" w:color="auto" w:fill="FFFFFF"/>
        </w:rPr>
        <w:t>décarbonation du chauffage urbain en Tchéquie dans le cadre de la réforme 1 de ce volet,</w:t>
      </w:r>
      <w:r>
        <w:rPr>
          <w:noProof/>
        </w:rPr>
        <w:t xml:space="preserve"> notamment en rendant le chauffage urbain hautement efficace et en réduisant les émissions de gaz à effet de serre et les polluants grâce au remplacement des réseaux de distribution à base de vapeur par des réseaux de distribution d’eau chaude.</w:t>
      </w:r>
    </w:p>
    <w:p w14:paraId="756407D5" w14:textId="77777777" w:rsidR="00025543" w:rsidRDefault="007E3A2F">
      <w:pPr>
        <w:pStyle w:val="P68B1DB1-Normal3"/>
        <w:spacing w:line="240" w:lineRule="auto"/>
        <w:jc w:val="both"/>
        <w:rPr>
          <w:noProof/>
        </w:rPr>
      </w:pPr>
      <w:r>
        <w:rPr>
          <w:noProof/>
        </w:rPr>
        <w:t xml:space="preserve">Cette mesure ne devrait pas causer de préjudice important aux objectifs environnementaux au sens de l’article 17 du règlement (UE) 2020/852, compte tenu de la description de la mesure et des mesures d’atténuation prévues dans le plan pour la reprise et la résilience conformément aux orientations techniques du DNSH (2021/C58/01). En particulier, la rénovation de l’installation de production de chaleur et d’électricité commence dans un délai de trois ans à compter de la modernisation du réseau, afin de satisfaire à la définition de «réseaux de chaleur et de froid efficaces» figurant à l’article 2, paragraphe 41, de la directive 2012/27/UE («un système de chauffage ou de refroidissement urbain utilisant au moins 50 % d’énergie renouvelable, 50 % de chaleur fatale, 75 % de chaleur issue de la cogénération ou 50 % d’une combinaison de cette énergie et de cette chaleur»). Il convient de veiller à ce que ces installations de production de chaleur respectent les exigences des orientations techniques «Ne pas causer de préjudice important» (2021/C58/01) et qu’elles n’utilisent pas de combustibles fossiles solides comme source de chaleur, à l’exception de celles qui satisfont aux critères applicables à la production de chaleur à partir de gaz naturel spécifiés à l’annexe III des orientations techniques «Ne pas causer de préjudice important». </w:t>
      </w:r>
    </w:p>
    <w:p w14:paraId="198D6E44" w14:textId="77777777" w:rsidR="00025543" w:rsidRDefault="007E3A2F">
      <w:pPr>
        <w:pStyle w:val="P68B1DB1-Normal3"/>
        <w:spacing w:line="240" w:lineRule="auto"/>
        <w:jc w:val="both"/>
        <w:rPr>
          <w:noProof/>
        </w:rPr>
      </w:pPr>
      <w:r>
        <w:rPr>
          <w:noProof/>
        </w:rPr>
        <w:t>Si la biomasse est utilisée comme source de combustible, l’investissement doit être conforme aux critères de durabilité et de réduction des émissions de gaz à effet de serre énoncés à l’article 29 de la directive 2018/2001 relative à la promotion de l’utilisation de l’énergie produite à partir de sources renouvelables (ci-après la «directive sur les énergies renouvelables» ou «RED II»). Seuls les déchets et résidus de biomasse pouvant être extraits de manière durable sont utilisés et l’investissement s’accompagne de mesures de réduction des émissions. </w:t>
      </w:r>
    </w:p>
    <w:p w14:paraId="61CBF227" w14:textId="77777777" w:rsidR="00025543" w:rsidRDefault="007E3A2F">
      <w:pPr>
        <w:pStyle w:val="P68B1DB1-Normal3"/>
        <w:spacing w:line="240" w:lineRule="auto"/>
        <w:jc w:val="both"/>
        <w:rPr>
          <w:noProof/>
        </w:rPr>
      </w:pPr>
      <w:r>
        <w:rPr>
          <w:noProof/>
        </w:rPr>
        <w:t xml:space="preserve">Le respect de la législation environnementale de l’Union et nationale applicable est assuré de manière à ce que les émissions soient inférieures ou inférieures aux niveaux d’émission associés aux limites fixées dans les conclusions sur les meilleures techniques disponibles (en vertu de la directive sur les émissions industrielles). </w:t>
      </w:r>
    </w:p>
    <w:p w14:paraId="6815BEFF" w14:textId="77777777" w:rsidR="00025543" w:rsidRDefault="007E3A2F">
      <w:pPr>
        <w:pStyle w:val="P68B1DB1-Normal3"/>
        <w:spacing w:line="240" w:lineRule="auto"/>
        <w:jc w:val="both"/>
        <w:rPr>
          <w:noProof/>
        </w:rPr>
      </w:pPr>
      <w:r>
        <w:rPr>
          <w:noProof/>
        </w:rPr>
        <w:t xml:space="preserve">L’investissement est mis </w:t>
      </w:r>
      <w:r>
        <w:rPr>
          <w:noProof/>
          <w:color w:val="000000"/>
        </w:rPr>
        <w:t>en œuvre</w:t>
      </w:r>
      <w:r>
        <w:rPr>
          <w:noProof/>
        </w:rPr>
        <w:t xml:space="preserve"> au moyen des mesures suivantes:</w:t>
      </w:r>
    </w:p>
    <w:p w14:paraId="254D2E01" w14:textId="77777777" w:rsidR="00025543" w:rsidRDefault="007E3A2F">
      <w:pPr>
        <w:pStyle w:val="P68B1DB1-Normal3"/>
        <w:numPr>
          <w:ilvl w:val="0"/>
          <w:numId w:val="173"/>
        </w:numPr>
        <w:spacing w:line="240" w:lineRule="auto"/>
        <w:ind w:left="360"/>
        <w:jc w:val="both"/>
        <w:rPr>
          <w:noProof/>
        </w:rPr>
      </w:pPr>
      <w:r>
        <w:rPr>
          <w:noProof/>
        </w:rPr>
        <w:t>Au plus tard le 30 juin 2024, avant l’achèvement de l’investissement dans le réseau, la Tchéquie présente un plan concret d’investissement dans les installations de production de chaleur et d’électricité, y compris les obligations contractuelles contractées par le gouvernement tchèque pour commander les travaux concernés.</w:t>
      </w:r>
    </w:p>
    <w:p w14:paraId="1CEAAF63" w14:textId="77777777" w:rsidR="00025543" w:rsidRDefault="007E3A2F">
      <w:pPr>
        <w:pStyle w:val="P68B1DB1-Normal3"/>
        <w:numPr>
          <w:ilvl w:val="0"/>
          <w:numId w:val="173"/>
        </w:numPr>
        <w:spacing w:line="240" w:lineRule="auto"/>
        <w:ind w:left="360"/>
        <w:jc w:val="both"/>
        <w:rPr>
          <w:noProof/>
        </w:rPr>
      </w:pPr>
      <w:r>
        <w:rPr>
          <w:noProof/>
        </w:rPr>
        <w:t>Réaliser des économies d’énergie primaire de 245 327 GJ résultant de la modernisation des réseaux de distribution de chaleur d’ici au 31 mars 2026.</w:t>
      </w:r>
    </w:p>
    <w:p w14:paraId="72572654" w14:textId="77777777" w:rsidR="00025543" w:rsidRDefault="00025543">
      <w:pPr>
        <w:spacing w:before="0" w:after="160" w:line="259" w:lineRule="auto"/>
        <w:jc w:val="both"/>
        <w:rPr>
          <w:rFonts w:eastAsia="Times New Roman"/>
          <w:noProof/>
        </w:rPr>
        <w:sectPr w:rsidR="00025543" w:rsidSect="00D57C66">
          <w:headerReference w:type="even" r:id="rId174"/>
          <w:headerReference w:type="default" r:id="rId175"/>
          <w:footerReference w:type="even" r:id="rId176"/>
          <w:footerReference w:type="default" r:id="rId177"/>
          <w:headerReference w:type="first" r:id="rId178"/>
          <w:footerReference w:type="first" r:id="rId179"/>
          <w:pgSz w:w="11907" w:h="16839"/>
          <w:pgMar w:top="1134" w:right="1134" w:bottom="1134" w:left="1134" w:header="567" w:footer="567" w:gutter="0"/>
          <w:cols w:space="720"/>
          <w:docGrid w:linePitch="326"/>
        </w:sectPr>
      </w:pPr>
    </w:p>
    <w:p w14:paraId="35D6E851" w14:textId="67C8A417" w:rsidR="00025543" w:rsidRDefault="007E3A2F">
      <w:pPr>
        <w:pStyle w:val="P68B1DB1-Normal33"/>
        <w:pBdr>
          <w:top w:val="nil"/>
          <w:left w:val="nil"/>
          <w:bottom w:val="nil"/>
          <w:right w:val="nil"/>
          <w:between w:val="nil"/>
        </w:pBdr>
        <w:tabs>
          <w:tab w:val="left" w:pos="993"/>
        </w:tabs>
        <w:spacing w:line="240" w:lineRule="auto"/>
        <w:jc w:val="both"/>
        <w:rPr>
          <w:noProof/>
          <w:color w:val="000000"/>
        </w:rPr>
      </w:pPr>
      <w:r>
        <w:rPr>
          <w:noProof/>
        </w:rPr>
        <w:t xml:space="preserve">J.2. Jalons, cibles, indicateurs et calendrier de suivi et de mise en œuvre en vue du soutien financier non remboursable </w:t>
      </w:r>
    </w:p>
    <w:tbl>
      <w:tblPr>
        <w:tblW w:w="14887" w:type="dxa"/>
        <w:jc w:val="center"/>
        <w:tblLayout w:type="fixed"/>
        <w:tblLook w:val="0400" w:firstRow="0" w:lastRow="0" w:firstColumn="0" w:lastColumn="0" w:noHBand="0" w:noVBand="1"/>
      </w:tblPr>
      <w:tblGrid>
        <w:gridCol w:w="834"/>
        <w:gridCol w:w="1172"/>
        <w:gridCol w:w="1070"/>
        <w:gridCol w:w="1045"/>
        <w:gridCol w:w="1126"/>
        <w:gridCol w:w="918"/>
        <w:gridCol w:w="1045"/>
        <w:gridCol w:w="789"/>
        <w:gridCol w:w="984"/>
        <w:gridCol w:w="662"/>
        <w:gridCol w:w="5242"/>
      </w:tblGrid>
      <w:tr w:rsidR="00025543" w14:paraId="088E29AA" w14:textId="77777777">
        <w:trPr>
          <w:trHeight w:val="75"/>
          <w:tblHeader/>
          <w:jc w:val="center"/>
        </w:trPr>
        <w:tc>
          <w:tcPr>
            <w:tcW w:w="838"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109B2C51" w14:textId="77777777" w:rsidR="00025543" w:rsidRDefault="007E3A2F">
            <w:pPr>
              <w:pStyle w:val="P68B1DB1-Normal9"/>
              <w:spacing w:line="240" w:lineRule="auto"/>
              <w:jc w:val="center"/>
              <w:rPr>
                <w:noProof/>
              </w:rPr>
            </w:pPr>
            <w:r>
              <w:rPr>
                <w:noProof/>
              </w:rPr>
              <w:t>Séquence NUM.</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2BFFDE71" w14:textId="77777777" w:rsidR="00025543" w:rsidRDefault="007E3A2F">
            <w:pPr>
              <w:pStyle w:val="P68B1DB1-Normal9"/>
              <w:spacing w:line="240" w:lineRule="auto"/>
              <w:jc w:val="center"/>
              <w:rPr>
                <w:noProof/>
              </w:rPr>
            </w:pPr>
            <w:r>
              <w:rPr>
                <w:noProof/>
              </w:rPr>
              <w:t>Mesure connexe (réforme ou investissement)</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120565AD" w14:textId="77777777" w:rsidR="00025543" w:rsidRDefault="007E3A2F">
            <w:pPr>
              <w:pStyle w:val="P68B1DB1-Normal9"/>
              <w:spacing w:line="240" w:lineRule="auto"/>
              <w:jc w:val="center"/>
              <w:rPr>
                <w:noProof/>
              </w:rPr>
            </w:pPr>
            <w:r>
              <w:rPr>
                <w:noProof/>
              </w:rPr>
              <w:t xml:space="preserve">Jalon/cible </w:t>
            </w:r>
          </w:p>
        </w:tc>
        <w:tc>
          <w:tcPr>
            <w:tcW w:w="1052"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741A6267" w14:textId="77777777" w:rsidR="00025543" w:rsidRDefault="007E3A2F">
            <w:pPr>
              <w:pStyle w:val="P68B1DB1-Normal9"/>
              <w:spacing w:line="240" w:lineRule="auto"/>
              <w:jc w:val="center"/>
              <w:rPr>
                <w:noProof/>
              </w:rPr>
            </w:pPr>
            <w:r>
              <w:rPr>
                <w:noProof/>
              </w:rPr>
              <w:t xml:space="preserve">Nom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333E1157" w14:textId="77777777" w:rsidR="00025543" w:rsidRDefault="007E3A2F">
            <w:pPr>
              <w:pStyle w:val="P68B1DB1-Normal10"/>
              <w:spacing w:line="240" w:lineRule="auto"/>
              <w:jc w:val="center"/>
              <w:rPr>
                <w:noProof/>
              </w:rPr>
            </w:pPr>
            <w:r>
              <w:rPr>
                <w:b/>
                <w:noProof/>
              </w:rPr>
              <w:t>Qualitatifs</w:t>
            </w:r>
            <w:r>
              <w:rPr>
                <w:noProof/>
              </w:rPr>
              <w:br/>
            </w:r>
            <w:r>
              <w:rPr>
                <w:b/>
                <w:noProof/>
              </w:rPr>
              <w:t xml:space="preserve"> (pour les jalons)</w:t>
            </w:r>
          </w:p>
        </w:tc>
        <w:tc>
          <w:tcPr>
            <w:tcW w:w="2770" w:type="dxa"/>
            <w:gridSpan w:val="3"/>
            <w:tcBorders>
              <w:top w:val="single" w:sz="8" w:space="0" w:color="000000" w:themeColor="text1"/>
              <w:left w:val="single" w:sz="4" w:space="0" w:color="auto"/>
              <w:bottom w:val="single" w:sz="8" w:space="0" w:color="000000" w:themeColor="text1"/>
              <w:right w:val="single" w:sz="8" w:space="0" w:color="000000" w:themeColor="text1"/>
            </w:tcBorders>
            <w:shd w:val="clear" w:color="auto" w:fill="BDD7EE"/>
            <w:vAlign w:val="center"/>
          </w:tcPr>
          <w:p w14:paraId="6F2BFD43" w14:textId="77777777" w:rsidR="00025543" w:rsidRDefault="007E3A2F">
            <w:pPr>
              <w:pStyle w:val="P68B1DB1-Normal10"/>
              <w:spacing w:line="240" w:lineRule="auto"/>
              <w:jc w:val="center"/>
              <w:rPr>
                <w:noProof/>
              </w:rPr>
            </w:pPr>
            <w:r>
              <w:rPr>
                <w:b/>
                <w:noProof/>
              </w:rPr>
              <w:t>Indicateurs quantitatifs</w:t>
            </w:r>
            <w:r>
              <w:rPr>
                <w:noProof/>
              </w:rPr>
              <w:br/>
            </w:r>
            <w:r>
              <w:rPr>
                <w:b/>
                <w:noProof/>
              </w:rPr>
              <w:t xml:space="preserve"> (pour les objectifs)</w:t>
            </w:r>
          </w:p>
        </w:tc>
        <w:tc>
          <w:tcPr>
            <w:tcW w:w="1657" w:type="dxa"/>
            <w:gridSpan w:val="2"/>
            <w:tcBorders>
              <w:top w:val="single" w:sz="8" w:space="0" w:color="000000" w:themeColor="text1"/>
              <w:left w:val="nil"/>
              <w:bottom w:val="single" w:sz="8" w:space="0" w:color="000000" w:themeColor="text1"/>
              <w:right w:val="single" w:sz="4" w:space="0" w:color="auto"/>
            </w:tcBorders>
            <w:shd w:val="clear" w:color="auto" w:fill="BDD7EE"/>
            <w:vAlign w:val="center"/>
          </w:tcPr>
          <w:p w14:paraId="059FD832" w14:textId="77777777" w:rsidR="00025543" w:rsidRDefault="007E3A2F">
            <w:pPr>
              <w:pStyle w:val="P68B1DB1-Normal9"/>
              <w:spacing w:line="240" w:lineRule="auto"/>
              <w:jc w:val="center"/>
              <w:rPr>
                <w:noProof/>
              </w:rPr>
            </w:pPr>
            <w:r>
              <w:rPr>
                <w:noProof/>
              </w:rPr>
              <w:t xml:space="preserve">Calendrier indicatif de réalisation </w:t>
            </w:r>
          </w:p>
        </w:tc>
        <w:tc>
          <w:tcPr>
            <w:tcW w:w="5286"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6035BC85" w14:textId="77777777" w:rsidR="00025543" w:rsidRDefault="007E3A2F">
            <w:pPr>
              <w:pStyle w:val="P68B1DB1-Normal9"/>
              <w:spacing w:line="240" w:lineRule="auto"/>
              <w:jc w:val="center"/>
              <w:rPr>
                <w:noProof/>
              </w:rPr>
            </w:pPr>
            <w:r>
              <w:rPr>
                <w:noProof/>
              </w:rPr>
              <w:t>Description et définition claire de chaque jalon et cible</w:t>
            </w:r>
          </w:p>
        </w:tc>
      </w:tr>
      <w:tr w:rsidR="00025543" w14:paraId="2C9752B3" w14:textId="77777777">
        <w:trPr>
          <w:trHeight w:val="600"/>
          <w:tblHeader/>
          <w:jc w:val="center"/>
        </w:trPr>
        <w:tc>
          <w:tcPr>
            <w:tcW w:w="838" w:type="dxa"/>
            <w:vMerge/>
            <w:tcBorders>
              <w:top w:val="single" w:sz="4" w:space="0" w:color="auto"/>
              <w:left w:val="single" w:sz="4" w:space="0" w:color="auto"/>
              <w:bottom w:val="single" w:sz="4" w:space="0" w:color="auto"/>
              <w:right w:val="single" w:sz="4" w:space="0" w:color="auto"/>
            </w:tcBorders>
            <w:vAlign w:val="center"/>
          </w:tcPr>
          <w:p w14:paraId="50E10F16" w14:textId="77777777" w:rsidR="00025543" w:rsidRDefault="00025543">
            <w:pPr>
              <w:spacing w:line="240" w:lineRule="auto"/>
              <w:jc w:val="center"/>
              <w:rPr>
                <w:rFonts w:eastAsia="Times New Roman"/>
                <w:noProof/>
                <w:sz w:val="18"/>
              </w:rPr>
            </w:pPr>
          </w:p>
        </w:tc>
        <w:tc>
          <w:tcPr>
            <w:tcW w:w="1180" w:type="dxa"/>
            <w:vMerge/>
            <w:tcBorders>
              <w:top w:val="single" w:sz="4" w:space="0" w:color="auto"/>
              <w:left w:val="single" w:sz="4" w:space="0" w:color="auto"/>
              <w:bottom w:val="single" w:sz="4" w:space="0" w:color="auto"/>
              <w:right w:val="single" w:sz="4" w:space="0" w:color="auto"/>
            </w:tcBorders>
            <w:vAlign w:val="center"/>
          </w:tcPr>
          <w:p w14:paraId="650C9EE6" w14:textId="77777777" w:rsidR="00025543" w:rsidRDefault="00025543">
            <w:pPr>
              <w:spacing w:line="240" w:lineRule="auto"/>
              <w:jc w:val="center"/>
              <w:rPr>
                <w:rFonts w:eastAsia="Times New Roman"/>
                <w:noProof/>
                <w:sz w:val="18"/>
              </w:rPr>
            </w:pPr>
          </w:p>
        </w:tc>
        <w:tc>
          <w:tcPr>
            <w:tcW w:w="1077" w:type="dxa"/>
            <w:vMerge/>
            <w:tcBorders>
              <w:top w:val="single" w:sz="4" w:space="0" w:color="auto"/>
              <w:left w:val="single" w:sz="4" w:space="0" w:color="auto"/>
              <w:bottom w:val="single" w:sz="4" w:space="0" w:color="auto"/>
              <w:right w:val="single" w:sz="4" w:space="0" w:color="auto"/>
            </w:tcBorders>
            <w:vAlign w:val="center"/>
          </w:tcPr>
          <w:p w14:paraId="3038CA94" w14:textId="77777777" w:rsidR="00025543" w:rsidRDefault="00025543">
            <w:pPr>
              <w:spacing w:line="240" w:lineRule="auto"/>
              <w:jc w:val="center"/>
              <w:rPr>
                <w:rFonts w:eastAsia="Times New Roman"/>
                <w:noProof/>
                <w:sz w:val="18"/>
              </w:rPr>
            </w:pPr>
          </w:p>
        </w:tc>
        <w:tc>
          <w:tcPr>
            <w:tcW w:w="1052" w:type="dxa"/>
            <w:vMerge/>
            <w:tcBorders>
              <w:top w:val="single" w:sz="4" w:space="0" w:color="auto"/>
              <w:left w:val="single" w:sz="4" w:space="0" w:color="auto"/>
              <w:bottom w:val="single" w:sz="4" w:space="0" w:color="auto"/>
              <w:right w:val="single" w:sz="4" w:space="0" w:color="auto"/>
            </w:tcBorders>
            <w:vAlign w:val="center"/>
          </w:tcPr>
          <w:p w14:paraId="0DC04E42" w14:textId="77777777" w:rsidR="00025543" w:rsidRDefault="00025543">
            <w:pPr>
              <w:spacing w:line="240" w:lineRule="auto"/>
              <w:jc w:val="center"/>
              <w:rPr>
                <w:rFonts w:eastAsia="Times New Roman"/>
                <w:noProof/>
                <w:sz w:val="18"/>
              </w:rPr>
            </w:pPr>
          </w:p>
        </w:tc>
        <w:tc>
          <w:tcPr>
            <w:tcW w:w="1134" w:type="dxa"/>
            <w:vMerge/>
            <w:tcBorders>
              <w:left w:val="single" w:sz="4" w:space="0" w:color="auto"/>
            </w:tcBorders>
            <w:vAlign w:val="center"/>
          </w:tcPr>
          <w:p w14:paraId="25870030" w14:textId="77777777" w:rsidR="00025543" w:rsidRDefault="00025543">
            <w:pPr>
              <w:spacing w:line="240" w:lineRule="auto"/>
              <w:jc w:val="center"/>
              <w:rPr>
                <w:rFonts w:eastAsia="Times New Roman"/>
                <w:noProof/>
                <w:sz w:val="18"/>
              </w:rPr>
            </w:pPr>
          </w:p>
        </w:tc>
        <w:tc>
          <w:tcPr>
            <w:tcW w:w="924" w:type="dxa"/>
            <w:tcBorders>
              <w:top w:val="single" w:sz="8" w:space="0" w:color="000000" w:themeColor="text1"/>
              <w:left w:val="single" w:sz="4" w:space="0" w:color="auto"/>
              <w:bottom w:val="single" w:sz="8" w:space="0" w:color="000000" w:themeColor="text1"/>
              <w:right w:val="single" w:sz="4" w:space="0" w:color="auto"/>
            </w:tcBorders>
            <w:shd w:val="clear" w:color="auto" w:fill="BDD7EE"/>
            <w:vAlign w:val="center"/>
          </w:tcPr>
          <w:p w14:paraId="471EEC7B" w14:textId="77777777" w:rsidR="00025543" w:rsidRDefault="007E3A2F">
            <w:pPr>
              <w:pStyle w:val="P68B1DB1-Normal9"/>
              <w:spacing w:line="240" w:lineRule="auto"/>
              <w:jc w:val="center"/>
              <w:rPr>
                <w:noProof/>
              </w:rPr>
            </w:pPr>
            <w:r>
              <w:rPr>
                <w:noProof/>
              </w:rPr>
              <w:t>Unité de mesure</w:t>
            </w:r>
          </w:p>
        </w:tc>
        <w:tc>
          <w:tcPr>
            <w:tcW w:w="1052" w:type="dxa"/>
            <w:tcBorders>
              <w:top w:val="nil"/>
              <w:left w:val="single" w:sz="4" w:space="0" w:color="auto"/>
              <w:bottom w:val="single" w:sz="8" w:space="0" w:color="000000" w:themeColor="text1"/>
              <w:right w:val="single" w:sz="8" w:space="0" w:color="000000" w:themeColor="text1"/>
            </w:tcBorders>
            <w:shd w:val="clear" w:color="auto" w:fill="BDD7EE"/>
            <w:vAlign w:val="center"/>
          </w:tcPr>
          <w:p w14:paraId="0863099F" w14:textId="77777777" w:rsidR="00025543" w:rsidRDefault="007E3A2F">
            <w:pPr>
              <w:pStyle w:val="P68B1DB1-Normal9"/>
              <w:spacing w:line="240" w:lineRule="auto"/>
              <w:jc w:val="center"/>
              <w:rPr>
                <w:noProof/>
              </w:rPr>
            </w:pPr>
            <w:r>
              <w:rPr>
                <w:noProof/>
              </w:rPr>
              <w:t>Scénario de référence</w:t>
            </w:r>
          </w:p>
        </w:tc>
        <w:tc>
          <w:tcPr>
            <w:tcW w:w="794"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tcPr>
          <w:p w14:paraId="5A74D18E" w14:textId="77777777" w:rsidR="00025543" w:rsidRDefault="007E3A2F">
            <w:pPr>
              <w:pStyle w:val="P68B1DB1-Normal9"/>
              <w:spacing w:line="240" w:lineRule="auto"/>
              <w:jc w:val="center"/>
              <w:rPr>
                <w:noProof/>
              </w:rPr>
            </w:pPr>
            <w:r>
              <w:rPr>
                <w:noProof/>
              </w:rPr>
              <w:t>Objectif</w:t>
            </w:r>
          </w:p>
        </w:tc>
        <w:tc>
          <w:tcPr>
            <w:tcW w:w="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vAlign w:val="center"/>
          </w:tcPr>
          <w:p w14:paraId="4E9828A6" w14:textId="77777777" w:rsidR="00025543" w:rsidRDefault="007E3A2F">
            <w:pPr>
              <w:pStyle w:val="P68B1DB1-Normal9"/>
              <w:spacing w:line="240" w:lineRule="auto"/>
              <w:jc w:val="center"/>
              <w:rPr>
                <w:noProof/>
              </w:rPr>
            </w:pPr>
            <w:r>
              <w:rPr>
                <w:noProof/>
              </w:rPr>
              <w:t>Trimestre</w:t>
            </w:r>
          </w:p>
        </w:tc>
        <w:tc>
          <w:tcPr>
            <w:tcW w:w="666" w:type="dxa"/>
            <w:tcBorders>
              <w:top w:val="nil"/>
              <w:left w:val="single" w:sz="8" w:space="0" w:color="000000" w:themeColor="text1"/>
              <w:bottom w:val="single" w:sz="8" w:space="0" w:color="000000" w:themeColor="text1"/>
              <w:right w:val="single" w:sz="4" w:space="0" w:color="auto"/>
            </w:tcBorders>
            <w:shd w:val="clear" w:color="auto" w:fill="BDD7EE"/>
            <w:vAlign w:val="center"/>
          </w:tcPr>
          <w:p w14:paraId="3E5C5002" w14:textId="77777777" w:rsidR="00025543" w:rsidRDefault="007E3A2F">
            <w:pPr>
              <w:pStyle w:val="P68B1DB1-Normal9"/>
              <w:spacing w:line="240" w:lineRule="auto"/>
              <w:jc w:val="center"/>
              <w:rPr>
                <w:noProof/>
              </w:rPr>
            </w:pPr>
            <w:r>
              <w:rPr>
                <w:noProof/>
              </w:rPr>
              <w:t>Année</w:t>
            </w:r>
          </w:p>
        </w:tc>
        <w:tc>
          <w:tcPr>
            <w:tcW w:w="5286" w:type="dxa"/>
            <w:vMerge/>
            <w:tcBorders>
              <w:bottom w:val="single" w:sz="4" w:space="0" w:color="auto"/>
              <w:right w:val="single" w:sz="4" w:space="0" w:color="auto"/>
            </w:tcBorders>
            <w:vAlign w:val="center"/>
          </w:tcPr>
          <w:p w14:paraId="76761F2F" w14:textId="77777777" w:rsidR="00025543" w:rsidRDefault="00025543">
            <w:pPr>
              <w:spacing w:line="240" w:lineRule="auto"/>
              <w:jc w:val="center"/>
              <w:rPr>
                <w:rFonts w:eastAsia="Times New Roman"/>
                <w:noProof/>
                <w:sz w:val="18"/>
              </w:rPr>
            </w:pPr>
          </w:p>
        </w:tc>
      </w:tr>
      <w:tr w:rsidR="00025543" w14:paraId="12E667E2" w14:textId="77777777">
        <w:trPr>
          <w:trHeight w:val="945"/>
          <w:jc w:val="center"/>
        </w:trPr>
        <w:tc>
          <w:tcPr>
            <w:tcW w:w="838"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444C63FC" w14:textId="77777777" w:rsidR="00025543" w:rsidRDefault="007E3A2F">
            <w:pPr>
              <w:pStyle w:val="P68B1DB1-Normal28"/>
              <w:spacing w:line="240" w:lineRule="auto"/>
              <w:jc w:val="center"/>
              <w:rPr>
                <w:noProof/>
              </w:rPr>
            </w:pPr>
            <w:r>
              <w:rPr>
                <w:noProof/>
              </w:rPr>
              <w:t>110</w:t>
            </w:r>
          </w:p>
        </w:tc>
        <w:tc>
          <w:tcPr>
            <w:tcW w:w="118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41A494E9" w14:textId="77777777" w:rsidR="00025543" w:rsidRDefault="007E3A2F">
            <w:pPr>
              <w:pStyle w:val="P68B1DB1-Normal28"/>
              <w:spacing w:line="240" w:lineRule="auto"/>
              <w:rPr>
                <w:noProof/>
              </w:rPr>
            </w:pPr>
            <w:r>
              <w:rPr>
                <w:noProof/>
              </w:rPr>
              <w:t>Réforme 1: Modernisation de la distribution de chaleur dans les systèmes de chauffage urbain</w:t>
            </w:r>
          </w:p>
        </w:tc>
        <w:tc>
          <w:tcPr>
            <w:tcW w:w="1077"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61F18ABB" w14:textId="77777777" w:rsidR="00025543" w:rsidRDefault="007E3A2F">
            <w:pPr>
              <w:pStyle w:val="P68B1DB1-Normal28"/>
              <w:spacing w:line="240" w:lineRule="auto"/>
              <w:rPr>
                <w:noProof/>
              </w:rPr>
            </w:pPr>
            <w:r>
              <w:rPr>
                <w:noProof/>
              </w:rPr>
              <w:t>Étapes</w:t>
            </w:r>
          </w:p>
        </w:tc>
        <w:tc>
          <w:tcPr>
            <w:tcW w:w="1052"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0A640AD8" w14:textId="77777777" w:rsidR="00025543" w:rsidRDefault="007E3A2F">
            <w:pPr>
              <w:pStyle w:val="P68B1DB1-Normal28"/>
              <w:spacing w:line="240" w:lineRule="auto"/>
              <w:rPr>
                <w:noProof/>
              </w:rPr>
            </w:pPr>
            <w:r>
              <w:rPr>
                <w:noProof/>
              </w:rPr>
              <w:t>Évaluation de la décarbonation du chauffage urbain en Tchéquie</w:t>
            </w:r>
          </w:p>
        </w:tc>
        <w:tc>
          <w:tcPr>
            <w:tcW w:w="1134" w:type="dxa"/>
            <w:tcBorders>
              <w:top w:val="single" w:sz="4" w:space="0" w:color="auto"/>
              <w:left w:val="single" w:sz="8" w:space="0" w:color="000000" w:themeColor="text1"/>
              <w:bottom w:val="single" w:sz="4" w:space="0" w:color="auto"/>
              <w:right w:val="single" w:sz="8" w:space="0" w:color="000000" w:themeColor="text1"/>
            </w:tcBorders>
            <w:shd w:val="clear" w:color="auto" w:fill="C6EFCE"/>
            <w:vAlign w:val="center"/>
          </w:tcPr>
          <w:p w14:paraId="3B00AAF4" w14:textId="77777777" w:rsidR="00025543" w:rsidRDefault="007E3A2F">
            <w:pPr>
              <w:pStyle w:val="P68B1DB1-Normal28"/>
              <w:spacing w:line="240" w:lineRule="auto"/>
              <w:rPr>
                <w:noProof/>
              </w:rPr>
            </w:pPr>
            <w:r>
              <w:rPr>
                <w:noProof/>
              </w:rPr>
              <w:t>Publication de l’évaluation</w:t>
            </w:r>
          </w:p>
        </w:tc>
        <w:tc>
          <w:tcPr>
            <w:tcW w:w="9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3AB2C1B" w14:textId="77777777" w:rsidR="00025543" w:rsidRDefault="00025543">
            <w:pPr>
              <w:spacing w:line="240" w:lineRule="auto"/>
              <w:rPr>
                <w:noProof/>
                <w:color w:val="006100"/>
                <w:sz w:val="18"/>
              </w:rPr>
            </w:pPr>
          </w:p>
        </w:tc>
        <w:tc>
          <w:tcPr>
            <w:tcW w:w="10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8C7DD00" w14:textId="77777777" w:rsidR="00025543" w:rsidRDefault="00025543">
            <w:pPr>
              <w:spacing w:line="240" w:lineRule="auto"/>
              <w:jc w:val="center"/>
              <w:rPr>
                <w:noProof/>
                <w:color w:val="006100"/>
                <w:sz w:val="18"/>
              </w:rPr>
            </w:pPr>
          </w:p>
        </w:tc>
        <w:tc>
          <w:tcPr>
            <w:tcW w:w="7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67636FF" w14:textId="77777777" w:rsidR="00025543" w:rsidRDefault="00025543">
            <w:pPr>
              <w:spacing w:line="240" w:lineRule="auto"/>
              <w:jc w:val="center"/>
              <w:rPr>
                <w:noProof/>
                <w:color w:val="006100"/>
                <w:sz w:val="18"/>
              </w:rPr>
            </w:pPr>
          </w:p>
        </w:tc>
        <w:tc>
          <w:tcPr>
            <w:tcW w:w="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028A0FE" w14:textId="5108EEB8" w:rsidR="00025543" w:rsidRDefault="007E3A2F">
            <w:pPr>
              <w:pStyle w:val="P68B1DB1-Normal28"/>
              <w:spacing w:line="240" w:lineRule="auto"/>
              <w:jc w:val="center"/>
              <w:rPr>
                <w:noProof/>
              </w:rPr>
            </w:pPr>
            <w:r>
              <w:rPr>
                <w:noProof/>
              </w:rPr>
              <w:t>TRIMESTRE 4</w:t>
            </w:r>
          </w:p>
        </w:tc>
        <w:tc>
          <w:tcPr>
            <w:tcW w:w="6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1B4E745" w14:textId="5EBAF2F1" w:rsidR="00025543" w:rsidRDefault="007E3A2F">
            <w:pPr>
              <w:pStyle w:val="P68B1DB1-Normal28"/>
              <w:spacing w:line="240" w:lineRule="auto"/>
              <w:jc w:val="center"/>
              <w:rPr>
                <w:noProof/>
              </w:rPr>
            </w:pPr>
            <w:r>
              <w:rPr>
                <w:noProof/>
              </w:rPr>
              <w:t>2023</w:t>
            </w:r>
          </w:p>
        </w:tc>
        <w:tc>
          <w:tcPr>
            <w:tcW w:w="5286"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24192858" w14:textId="185CAFF5" w:rsidR="00025543" w:rsidRDefault="007E3A2F">
            <w:pPr>
              <w:pStyle w:val="P68B1DB1-Normal28"/>
              <w:spacing w:line="240" w:lineRule="auto"/>
              <w:rPr>
                <w:noProof/>
              </w:rPr>
            </w:pPr>
            <w:r>
              <w:rPr>
                <w:noProof/>
              </w:rPr>
              <w:t>Le ministère de l’industrie et du commerce procède à une évaluation de la voie vers la décarbonation du chauffage urbain en Tchéquie, conformément aux exigences légales de l’UE, y compris les exigences figurant dans les orientations techniques «Ne pas causer de préjudice important» (2021/C58/01).</w:t>
            </w:r>
          </w:p>
          <w:p w14:paraId="742D8F7B" w14:textId="77777777" w:rsidR="00025543" w:rsidRDefault="007E3A2F">
            <w:pPr>
              <w:pStyle w:val="P68B1DB1-Normal28"/>
              <w:spacing w:line="240" w:lineRule="auto"/>
              <w:rPr>
                <w:noProof/>
              </w:rPr>
            </w:pPr>
            <w:r>
              <w:rPr>
                <w:noProof/>
              </w:rPr>
              <w:t>Cette évaluation oriente les investissements financés au titre de la présente composante du plan tchèque pour la reprise et la résilience, ainsi que les investissements dans le domaine de la décarbonation du chauffage urbain financés par d’autres fonds de l’Union ou des sources nationales, dans le plein respect des exigences légales, y compris en ce qui concerne l’absence de préjudice important.</w:t>
            </w:r>
          </w:p>
        </w:tc>
      </w:tr>
      <w:tr w:rsidR="00025543" w14:paraId="2D1A0C92" w14:textId="77777777">
        <w:trPr>
          <w:trHeight w:val="945"/>
          <w:jc w:val="center"/>
        </w:trPr>
        <w:tc>
          <w:tcPr>
            <w:tcW w:w="8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C2C08DE" w14:textId="77777777" w:rsidR="00025543" w:rsidRDefault="007E3A2F">
            <w:pPr>
              <w:pStyle w:val="P68B1DB1-Normal28"/>
              <w:spacing w:line="240" w:lineRule="auto"/>
              <w:jc w:val="center"/>
              <w:rPr>
                <w:noProof/>
              </w:rPr>
            </w:pPr>
            <w:r>
              <w:rPr>
                <w:noProof/>
              </w:rPr>
              <w:t>111</w:t>
            </w:r>
          </w:p>
        </w:tc>
        <w:tc>
          <w:tcPr>
            <w:tcW w:w="11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05CF63B" w14:textId="77777777" w:rsidR="00025543" w:rsidRDefault="007E3A2F">
            <w:pPr>
              <w:pStyle w:val="P68B1DB1-Normal28"/>
              <w:spacing w:line="240" w:lineRule="auto"/>
              <w:rPr>
                <w:noProof/>
              </w:rPr>
            </w:pPr>
            <w:r>
              <w:rPr>
                <w:noProof/>
              </w:rPr>
              <w:t>Réforme 2: Modernisation de la distribution de chaleur dans les systèmes de chauffage urbain</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95EF724" w14:textId="77777777" w:rsidR="00025543" w:rsidRDefault="007E3A2F">
            <w:pPr>
              <w:pStyle w:val="P68B1DB1-Normal28"/>
              <w:spacing w:line="240" w:lineRule="auto"/>
              <w:rPr>
                <w:noProof/>
              </w:rPr>
            </w:pPr>
            <w:r>
              <w:rPr>
                <w:noProof/>
              </w:rPr>
              <w:t>Étapes</w:t>
            </w:r>
          </w:p>
        </w:tc>
        <w:tc>
          <w:tcPr>
            <w:tcW w:w="1052"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C6EFCE"/>
            <w:vAlign w:val="center"/>
          </w:tcPr>
          <w:p w14:paraId="4B3C2BBE" w14:textId="77777777" w:rsidR="00025543" w:rsidRDefault="007E3A2F">
            <w:pPr>
              <w:pStyle w:val="P68B1DB1-Normal28"/>
              <w:spacing w:line="240" w:lineRule="auto"/>
              <w:rPr>
                <w:noProof/>
              </w:rPr>
            </w:pPr>
            <w:r>
              <w:rPr>
                <w:noProof/>
              </w:rPr>
              <w:t>Évaluation des trajectoires d’approvisionnement durable en biomasse en Tchéquie</w:t>
            </w:r>
          </w:p>
        </w:tc>
        <w:tc>
          <w:tcPr>
            <w:tcW w:w="1134" w:type="dxa"/>
            <w:tcBorders>
              <w:top w:val="single" w:sz="4" w:space="0" w:color="auto"/>
              <w:left w:val="single" w:sz="4" w:space="0" w:color="auto"/>
              <w:bottom w:val="single" w:sz="8" w:space="0" w:color="000000" w:themeColor="text1"/>
              <w:right w:val="single" w:sz="4" w:space="0" w:color="auto"/>
            </w:tcBorders>
            <w:shd w:val="clear" w:color="auto" w:fill="C6EFCE"/>
            <w:vAlign w:val="center"/>
          </w:tcPr>
          <w:p w14:paraId="5E67080A" w14:textId="77777777" w:rsidR="00025543" w:rsidRDefault="007E3A2F">
            <w:pPr>
              <w:pStyle w:val="P68B1DB1-Normal28"/>
              <w:spacing w:line="240" w:lineRule="auto"/>
              <w:rPr>
                <w:noProof/>
              </w:rPr>
            </w:pPr>
            <w:r>
              <w:rPr>
                <w:noProof/>
              </w:rPr>
              <w:t>Publication de l’évaluation</w:t>
            </w:r>
          </w:p>
        </w:tc>
        <w:tc>
          <w:tcPr>
            <w:tcW w:w="924"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C6EFCE"/>
            <w:vAlign w:val="center"/>
          </w:tcPr>
          <w:p w14:paraId="31AC56AE" w14:textId="77777777" w:rsidR="00025543" w:rsidRDefault="00025543">
            <w:pPr>
              <w:spacing w:line="240" w:lineRule="auto"/>
              <w:jc w:val="center"/>
              <w:rPr>
                <w:noProof/>
                <w:color w:val="006100"/>
                <w:sz w:val="18"/>
              </w:rPr>
            </w:pPr>
          </w:p>
        </w:tc>
        <w:tc>
          <w:tcPr>
            <w:tcW w:w="10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B860C08" w14:textId="77777777" w:rsidR="00025543" w:rsidRDefault="00025543">
            <w:pPr>
              <w:spacing w:line="240" w:lineRule="auto"/>
              <w:jc w:val="center"/>
              <w:rPr>
                <w:noProof/>
                <w:color w:val="006100"/>
                <w:sz w:val="18"/>
              </w:rPr>
            </w:pPr>
          </w:p>
        </w:tc>
        <w:tc>
          <w:tcPr>
            <w:tcW w:w="7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08858F0" w14:textId="77777777" w:rsidR="00025543" w:rsidRDefault="00025543">
            <w:pPr>
              <w:spacing w:line="240" w:lineRule="auto"/>
              <w:jc w:val="center"/>
              <w:rPr>
                <w:noProof/>
                <w:color w:val="006100"/>
                <w:sz w:val="18"/>
              </w:rPr>
            </w:pPr>
          </w:p>
        </w:tc>
        <w:tc>
          <w:tcPr>
            <w:tcW w:w="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9C8B459" w14:textId="77777777" w:rsidR="00025543" w:rsidRDefault="007E3A2F">
            <w:pPr>
              <w:pStyle w:val="P68B1DB1-Normal28"/>
              <w:spacing w:line="240" w:lineRule="auto"/>
              <w:jc w:val="center"/>
              <w:rPr>
                <w:noProof/>
              </w:rPr>
            </w:pPr>
            <w:r>
              <w:rPr>
                <w:noProof/>
              </w:rPr>
              <w:t>TRIMESTRE 4</w:t>
            </w:r>
          </w:p>
        </w:tc>
        <w:tc>
          <w:tcPr>
            <w:tcW w:w="6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3BB86E9" w14:textId="4506E92F" w:rsidR="00025543" w:rsidRDefault="007E3A2F">
            <w:pPr>
              <w:pStyle w:val="P68B1DB1-Normal28"/>
              <w:spacing w:line="240" w:lineRule="auto"/>
              <w:jc w:val="center"/>
              <w:rPr>
                <w:noProof/>
              </w:rPr>
            </w:pPr>
            <w:r>
              <w:rPr>
                <w:noProof/>
              </w:rPr>
              <w:t>2023</w:t>
            </w:r>
          </w:p>
        </w:tc>
        <w:tc>
          <w:tcPr>
            <w:tcW w:w="52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C33648D" w14:textId="77777777" w:rsidR="00025543" w:rsidRDefault="007E3A2F">
            <w:pPr>
              <w:pStyle w:val="P68B1DB1-Normal28"/>
              <w:spacing w:line="240" w:lineRule="auto"/>
              <w:rPr>
                <w:noProof/>
              </w:rPr>
            </w:pPr>
            <w:r>
              <w:rPr>
                <w:noProof/>
              </w:rPr>
              <w:t>L’évaluation des trajectoires d’utilisation durable de la bioénergie et de l’approvisionnement en biomasse en Tchéquie et de ses incidences sur l’utilisation des terres, le changement d’affectation des terres et les puits forestiers et sur la biodiversité, ainsi que de l’incidence sur la qualité de l’air pour la période 2020-2030, conformément aux exigences légales de l’UE, y compris les exigences figurant dans les orientations techniques «Ne pas causer de préjudice important» (2021/C58/01), est réalisée et publiée par le ministère de l’environnement en coopération avec le ministère de l’industrie et du commerce et le ministère de l’agriculture.</w:t>
            </w:r>
          </w:p>
          <w:p w14:paraId="7AA528C5" w14:textId="77777777" w:rsidR="00025543" w:rsidRDefault="007E3A2F">
            <w:pPr>
              <w:pStyle w:val="P68B1DB1-Normal28"/>
              <w:spacing w:line="240" w:lineRule="auto"/>
              <w:rPr>
                <w:noProof/>
              </w:rPr>
            </w:pPr>
            <w:r>
              <w:rPr>
                <w:noProof/>
              </w:rPr>
              <w:t>Cette évaluation oriente les investissements en bioénergie financés au titre des volets 2.2, 2.3 et 2.5 du plan tchèque pour la reprise et la résilience, ainsi que les investissements en bioénergie dans les domaines de l’énergie, des transports, de l’environnement, du changement climatique, de la foresterie ou de l’agriculture financés par d’autres fonds de l’Union ou des sources nationales, dans le plein respect des exigences légales, y compris en ce qui concerne l’absence de préjudice important.</w:t>
            </w:r>
          </w:p>
        </w:tc>
      </w:tr>
      <w:tr w:rsidR="00025543" w14:paraId="28EC8D34" w14:textId="77777777">
        <w:trPr>
          <w:trHeight w:val="354"/>
          <w:jc w:val="center"/>
        </w:trPr>
        <w:tc>
          <w:tcPr>
            <w:tcW w:w="8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B611262" w14:textId="77777777" w:rsidR="00025543" w:rsidRDefault="007E3A2F">
            <w:pPr>
              <w:pStyle w:val="P68B1DB1-Normal28"/>
              <w:spacing w:line="240" w:lineRule="auto"/>
              <w:jc w:val="center"/>
              <w:rPr>
                <w:noProof/>
              </w:rPr>
            </w:pPr>
            <w:r>
              <w:rPr>
                <w:noProof/>
              </w:rPr>
              <w:t>112</w:t>
            </w:r>
          </w:p>
        </w:tc>
        <w:tc>
          <w:tcPr>
            <w:tcW w:w="11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60B0F2C" w14:textId="77777777" w:rsidR="00025543" w:rsidRDefault="007E3A2F">
            <w:pPr>
              <w:pStyle w:val="P68B1DB1-Normal28"/>
              <w:spacing w:line="240" w:lineRule="auto"/>
              <w:rPr>
                <w:noProof/>
              </w:rPr>
            </w:pPr>
            <w:r>
              <w:rPr>
                <w:noProof/>
              </w:rPr>
              <w:t>Investissement 1: Développement de nouvelles sources d’énergie photovoltaïque</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151CF18" w14:textId="77777777" w:rsidR="00025543" w:rsidRDefault="007E3A2F">
            <w:pPr>
              <w:pStyle w:val="P68B1DB1-Normal28"/>
              <w:spacing w:line="240" w:lineRule="auto"/>
              <w:rPr>
                <w:noProof/>
              </w:rPr>
            </w:pPr>
            <w:r>
              <w:rPr>
                <w:noProof/>
              </w:rPr>
              <w:t>Cible</w:t>
            </w:r>
          </w:p>
        </w:tc>
        <w:tc>
          <w:tcPr>
            <w:tcW w:w="10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A82A9D5" w14:textId="77777777" w:rsidR="00025543" w:rsidRDefault="007E3A2F">
            <w:pPr>
              <w:pStyle w:val="P68B1DB1-Normal28"/>
              <w:spacing w:line="240" w:lineRule="auto"/>
              <w:rPr>
                <w:noProof/>
              </w:rPr>
            </w:pPr>
            <w:r>
              <w:rPr>
                <w:noProof/>
              </w:rPr>
              <w:t>Augmentation de la capacité installée des sources FVE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1BA0940" w14:textId="77777777" w:rsidR="00025543" w:rsidRDefault="00025543">
            <w:pPr>
              <w:spacing w:line="240" w:lineRule="auto"/>
              <w:rPr>
                <w:noProof/>
                <w:color w:val="006100"/>
                <w:sz w:val="18"/>
              </w:rPr>
            </w:pPr>
          </w:p>
        </w:tc>
        <w:tc>
          <w:tcPr>
            <w:tcW w:w="9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901B0EA" w14:textId="77777777" w:rsidR="00025543" w:rsidRDefault="007E3A2F">
            <w:pPr>
              <w:pStyle w:val="P68B1DB1-Normal28"/>
              <w:spacing w:line="240" w:lineRule="auto"/>
              <w:jc w:val="center"/>
              <w:rPr>
                <w:noProof/>
              </w:rPr>
            </w:pPr>
            <w:r>
              <w:rPr>
                <w:noProof/>
              </w:rPr>
              <w:t>MWp</w:t>
            </w:r>
          </w:p>
        </w:tc>
        <w:tc>
          <w:tcPr>
            <w:tcW w:w="10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0ED0AF3" w14:textId="77777777" w:rsidR="00025543" w:rsidRDefault="007E3A2F">
            <w:pPr>
              <w:pStyle w:val="P68B1DB1-Normal28"/>
              <w:spacing w:line="240" w:lineRule="auto"/>
              <w:jc w:val="center"/>
              <w:rPr>
                <w:noProof/>
              </w:rPr>
            </w:pPr>
            <w:r>
              <w:rPr>
                <w:noProof/>
              </w:rPr>
              <w:t>0</w:t>
            </w:r>
          </w:p>
        </w:tc>
        <w:tc>
          <w:tcPr>
            <w:tcW w:w="7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0C9F58E" w14:textId="77777777" w:rsidR="00025543" w:rsidRDefault="007E3A2F">
            <w:pPr>
              <w:pStyle w:val="P68B1DB1-Normal28"/>
              <w:spacing w:line="240" w:lineRule="auto"/>
              <w:jc w:val="center"/>
              <w:rPr>
                <w:noProof/>
              </w:rPr>
            </w:pPr>
            <w:r>
              <w:rPr>
                <w:noProof/>
              </w:rPr>
              <w:t>270</w:t>
            </w:r>
          </w:p>
        </w:tc>
        <w:tc>
          <w:tcPr>
            <w:tcW w:w="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EDE03EE" w14:textId="77777777" w:rsidR="00025543" w:rsidRDefault="007E3A2F">
            <w:pPr>
              <w:pStyle w:val="P68B1DB1-Normal28"/>
              <w:spacing w:line="240" w:lineRule="auto"/>
              <w:jc w:val="center"/>
              <w:rPr>
                <w:noProof/>
              </w:rPr>
            </w:pPr>
            <w:r>
              <w:rPr>
                <w:noProof/>
              </w:rPr>
              <w:t>TRIMESTRE 1</w:t>
            </w:r>
          </w:p>
        </w:tc>
        <w:tc>
          <w:tcPr>
            <w:tcW w:w="6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64995E8" w14:textId="77777777" w:rsidR="00025543" w:rsidRDefault="007E3A2F">
            <w:pPr>
              <w:pStyle w:val="P68B1DB1-Normal28"/>
              <w:spacing w:line="240" w:lineRule="auto"/>
              <w:jc w:val="center"/>
              <w:rPr>
                <w:noProof/>
              </w:rPr>
            </w:pPr>
            <w:r>
              <w:rPr>
                <w:noProof/>
              </w:rPr>
              <w:t>2026</w:t>
            </w:r>
          </w:p>
        </w:tc>
        <w:tc>
          <w:tcPr>
            <w:tcW w:w="52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008B3F5" w14:textId="77777777" w:rsidR="00025543" w:rsidRDefault="007E3A2F">
            <w:pPr>
              <w:pStyle w:val="P68B1DB1-Normal28"/>
              <w:spacing w:line="240" w:lineRule="auto"/>
              <w:rPr>
                <w:noProof/>
              </w:rPr>
            </w:pPr>
            <w:r>
              <w:rPr>
                <w:noProof/>
              </w:rPr>
              <w:t>Une nouvelle capacité de sources d’énergie photovoltaïque de 270 MWp sera installée et mise en service.</w:t>
            </w:r>
          </w:p>
        </w:tc>
      </w:tr>
      <w:tr w:rsidR="00025543" w14:paraId="2AF069B4" w14:textId="77777777">
        <w:trPr>
          <w:trHeight w:val="746"/>
          <w:jc w:val="center"/>
        </w:trPr>
        <w:tc>
          <w:tcPr>
            <w:tcW w:w="8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5F1DD82" w14:textId="77777777" w:rsidR="00025543" w:rsidRDefault="007E3A2F">
            <w:pPr>
              <w:pStyle w:val="P68B1DB1-Normal28"/>
              <w:spacing w:line="240" w:lineRule="auto"/>
              <w:jc w:val="center"/>
              <w:rPr>
                <w:noProof/>
              </w:rPr>
            </w:pPr>
            <w:r>
              <w:rPr>
                <w:noProof/>
              </w:rPr>
              <w:t>113</w:t>
            </w:r>
          </w:p>
        </w:tc>
        <w:tc>
          <w:tcPr>
            <w:tcW w:w="11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ACB80FD" w14:textId="77777777" w:rsidR="00025543" w:rsidRDefault="007E3A2F">
            <w:pPr>
              <w:pStyle w:val="P68B1DB1-Normal28"/>
              <w:spacing w:line="240" w:lineRule="auto"/>
              <w:rPr>
                <w:noProof/>
              </w:rPr>
            </w:pPr>
            <w:r>
              <w:rPr>
                <w:noProof/>
              </w:rPr>
              <w:t>Investissement 2: Modernisation de la distribution de chaleur dans les systèmes de chauffage urbain</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C207606" w14:textId="77777777" w:rsidR="00025543" w:rsidRDefault="007E3A2F">
            <w:pPr>
              <w:pStyle w:val="P68B1DB1-Normal28"/>
              <w:spacing w:line="240" w:lineRule="auto"/>
              <w:rPr>
                <w:noProof/>
              </w:rPr>
            </w:pPr>
            <w:r>
              <w:rPr>
                <w:noProof/>
              </w:rPr>
              <w:t>Étapes</w:t>
            </w:r>
          </w:p>
        </w:tc>
        <w:tc>
          <w:tcPr>
            <w:tcW w:w="10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45CB7CC" w14:textId="77777777" w:rsidR="00025543" w:rsidRDefault="007E3A2F">
            <w:pPr>
              <w:pStyle w:val="P68B1DB1-Normal28"/>
              <w:spacing w:line="240" w:lineRule="auto"/>
              <w:rPr>
                <w:noProof/>
              </w:rPr>
            </w:pPr>
            <w:r>
              <w:rPr>
                <w:noProof/>
              </w:rPr>
              <w:t>Plan d’investissement dans les installations de production de chaleur/d’électricité</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403CB13" w14:textId="77777777" w:rsidR="00025543" w:rsidRDefault="007E3A2F">
            <w:pPr>
              <w:pStyle w:val="P68B1DB1-Normal28"/>
              <w:spacing w:line="240" w:lineRule="auto"/>
              <w:rPr>
                <w:noProof/>
              </w:rPr>
            </w:pPr>
            <w:r>
              <w:rPr>
                <w:noProof/>
              </w:rPr>
              <w:t>Soumission à la Commission</w:t>
            </w:r>
          </w:p>
        </w:tc>
        <w:tc>
          <w:tcPr>
            <w:tcW w:w="9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0927A10" w14:textId="77777777" w:rsidR="00025543" w:rsidRDefault="00025543">
            <w:pPr>
              <w:spacing w:line="240" w:lineRule="auto"/>
              <w:rPr>
                <w:noProof/>
                <w:color w:val="006100"/>
                <w:sz w:val="18"/>
              </w:rPr>
            </w:pPr>
          </w:p>
        </w:tc>
        <w:tc>
          <w:tcPr>
            <w:tcW w:w="10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E616958" w14:textId="77777777" w:rsidR="00025543" w:rsidRDefault="00025543">
            <w:pPr>
              <w:spacing w:line="240" w:lineRule="auto"/>
              <w:jc w:val="center"/>
              <w:rPr>
                <w:noProof/>
                <w:color w:val="006100"/>
                <w:sz w:val="18"/>
              </w:rPr>
            </w:pPr>
          </w:p>
        </w:tc>
        <w:tc>
          <w:tcPr>
            <w:tcW w:w="7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A130AEB" w14:textId="77777777" w:rsidR="00025543" w:rsidRDefault="00025543">
            <w:pPr>
              <w:spacing w:line="240" w:lineRule="auto"/>
              <w:jc w:val="center"/>
              <w:rPr>
                <w:noProof/>
                <w:color w:val="006100"/>
                <w:sz w:val="18"/>
              </w:rPr>
            </w:pPr>
          </w:p>
        </w:tc>
        <w:tc>
          <w:tcPr>
            <w:tcW w:w="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796B652" w14:textId="77777777" w:rsidR="00025543" w:rsidRDefault="007E3A2F">
            <w:pPr>
              <w:pStyle w:val="P68B1DB1-Normal28"/>
              <w:spacing w:line="240" w:lineRule="auto"/>
              <w:jc w:val="center"/>
              <w:rPr>
                <w:noProof/>
              </w:rPr>
            </w:pPr>
            <w:r>
              <w:rPr>
                <w:noProof/>
              </w:rPr>
              <w:t>TRIMESTRE 2</w:t>
            </w:r>
          </w:p>
        </w:tc>
        <w:tc>
          <w:tcPr>
            <w:tcW w:w="6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BDD3AF6" w14:textId="77777777" w:rsidR="00025543" w:rsidRDefault="007E3A2F">
            <w:pPr>
              <w:pStyle w:val="P68B1DB1-Normal28"/>
              <w:spacing w:line="240" w:lineRule="auto"/>
              <w:jc w:val="center"/>
              <w:rPr>
                <w:noProof/>
              </w:rPr>
            </w:pPr>
            <w:r>
              <w:rPr>
                <w:noProof/>
              </w:rPr>
              <w:t>2024</w:t>
            </w:r>
          </w:p>
        </w:tc>
        <w:tc>
          <w:tcPr>
            <w:tcW w:w="52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12BBAAD" w14:textId="77777777" w:rsidR="00025543" w:rsidRDefault="007E3A2F">
            <w:pPr>
              <w:pStyle w:val="P68B1DB1-Normal28"/>
              <w:spacing w:line="240" w:lineRule="auto"/>
              <w:rPr>
                <w:noProof/>
              </w:rPr>
            </w:pPr>
            <w:r>
              <w:rPr>
                <w:noProof/>
              </w:rPr>
              <w:t>Conformément aux orientations techniques «Ne pas causer de préjudice important» (2021/C58/01), la Tchéquie fournit, avant que l’investissement dans le réseau ne soit achevé, un plan concret d’investissement dans les installations de production de chaleur/d’électricité conforme aux orientations techniques «Ne pas causer de préjudice important» (2021/C58/01), en particulier les critères applicables à la chaleur et à l’électricité au gaz naturel énoncés à l’annexe III des orientations, en cas d’utilisation du gaz naturel, y compris au moyen d’obligations contractuelles contractées par le gouvernement tchèque pour commander les travaux concernés.</w:t>
            </w:r>
          </w:p>
          <w:p w14:paraId="05A52105" w14:textId="77777777" w:rsidR="00025543" w:rsidRDefault="007E3A2F">
            <w:pPr>
              <w:pStyle w:val="P68B1DB1-Normal28"/>
              <w:spacing w:line="240" w:lineRule="auto"/>
              <w:rPr>
                <w:noProof/>
              </w:rPr>
            </w:pPr>
            <w:r>
              <w:rPr>
                <w:noProof/>
              </w:rPr>
              <w:t>La rénovation de l’installation de production de chaleur et d’électricité commence dans un délai de trois ans à compter de la modernisation du réseau, afin de satisfaire à la définition de «réseaux de chaleur et de froid efficaces» figurant à l’article 2, paragraphe 41, de la directive 2012/27/UE («un système de chauffage ou de refroidissement urbain utilisant au moins 50 % d’énergie renouvelable, 50 % de chaleur fatale, 75 % de chaleur issue de la cogénération ou 50 % d’une combinaison de cette énergie et de cette chaleur»).</w:t>
            </w:r>
          </w:p>
        </w:tc>
      </w:tr>
      <w:tr w:rsidR="00025543" w14:paraId="72C6BEF7" w14:textId="77777777">
        <w:trPr>
          <w:trHeight w:val="945"/>
          <w:jc w:val="center"/>
        </w:trPr>
        <w:tc>
          <w:tcPr>
            <w:tcW w:w="8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413D5CB" w14:textId="77777777" w:rsidR="00025543" w:rsidRDefault="007E3A2F">
            <w:pPr>
              <w:pStyle w:val="P68B1DB1-Normal28"/>
              <w:spacing w:line="240" w:lineRule="auto"/>
              <w:jc w:val="center"/>
              <w:rPr>
                <w:noProof/>
              </w:rPr>
            </w:pPr>
            <w:r>
              <w:rPr>
                <w:noProof/>
              </w:rPr>
              <w:t>114</w:t>
            </w:r>
          </w:p>
        </w:tc>
        <w:tc>
          <w:tcPr>
            <w:tcW w:w="11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7FDBE86" w14:textId="77777777" w:rsidR="00025543" w:rsidRDefault="007E3A2F">
            <w:pPr>
              <w:pStyle w:val="P68B1DB1-Normal28"/>
              <w:spacing w:line="240" w:lineRule="auto"/>
              <w:rPr>
                <w:noProof/>
              </w:rPr>
            </w:pPr>
            <w:r>
              <w:rPr>
                <w:noProof/>
              </w:rPr>
              <w:t>Investissement 2: Modernisation de la distribution de chaleur dans les systèmes de chauffage urbain</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C8300E3" w14:textId="77777777" w:rsidR="00025543" w:rsidRDefault="007E3A2F">
            <w:pPr>
              <w:pStyle w:val="P68B1DB1-Normal28"/>
              <w:spacing w:line="240" w:lineRule="auto"/>
              <w:rPr>
                <w:noProof/>
              </w:rPr>
            </w:pPr>
            <w:r>
              <w:rPr>
                <w:noProof/>
              </w:rPr>
              <w:t>Cible</w:t>
            </w:r>
          </w:p>
        </w:tc>
        <w:tc>
          <w:tcPr>
            <w:tcW w:w="10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8C5AEA7" w14:textId="77777777" w:rsidR="00025543" w:rsidRDefault="007E3A2F">
            <w:pPr>
              <w:pStyle w:val="P68B1DB1-Normal28"/>
              <w:spacing w:line="240" w:lineRule="auto"/>
              <w:rPr>
                <w:noProof/>
              </w:rPr>
            </w:pPr>
            <w:r>
              <w:rPr>
                <w:noProof/>
              </w:rPr>
              <w:t>Économies d’énergie primaire résultant de la modernisation de la distribution de chaleur</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2C9FA42" w14:textId="77777777" w:rsidR="00025543" w:rsidRDefault="00025543">
            <w:pPr>
              <w:spacing w:line="240" w:lineRule="auto"/>
              <w:rPr>
                <w:noProof/>
                <w:color w:val="006100"/>
                <w:sz w:val="18"/>
              </w:rPr>
            </w:pPr>
          </w:p>
        </w:tc>
        <w:tc>
          <w:tcPr>
            <w:tcW w:w="9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9929BA7" w14:textId="77777777" w:rsidR="00025543" w:rsidRDefault="007E3A2F">
            <w:pPr>
              <w:pStyle w:val="P68B1DB1-Normal28"/>
              <w:spacing w:line="240" w:lineRule="auto"/>
              <w:rPr>
                <w:noProof/>
              </w:rPr>
            </w:pPr>
            <w:r>
              <w:rPr>
                <w:noProof/>
              </w:rPr>
              <w:t>Économies d’énergie primaire en gigajoules</w:t>
            </w:r>
          </w:p>
        </w:tc>
        <w:tc>
          <w:tcPr>
            <w:tcW w:w="10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86A423E" w14:textId="77777777" w:rsidR="00025543" w:rsidRDefault="007E3A2F">
            <w:pPr>
              <w:pStyle w:val="P68B1DB1-Normal28"/>
              <w:spacing w:line="240" w:lineRule="auto"/>
              <w:jc w:val="center"/>
              <w:rPr>
                <w:noProof/>
              </w:rPr>
            </w:pPr>
            <w:r>
              <w:rPr>
                <w:noProof/>
              </w:rPr>
              <w:t>0</w:t>
            </w:r>
          </w:p>
        </w:tc>
        <w:tc>
          <w:tcPr>
            <w:tcW w:w="7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F7BFF91" w14:textId="77777777" w:rsidR="00025543" w:rsidRDefault="007E3A2F">
            <w:pPr>
              <w:pStyle w:val="P68B1DB1-Normal28"/>
              <w:spacing w:line="240" w:lineRule="auto"/>
              <w:jc w:val="center"/>
              <w:rPr>
                <w:noProof/>
              </w:rPr>
            </w:pPr>
            <w:r>
              <w:rPr>
                <w:noProof/>
              </w:rPr>
              <w:t>245 327</w:t>
            </w:r>
          </w:p>
        </w:tc>
        <w:tc>
          <w:tcPr>
            <w:tcW w:w="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3083C9D" w14:textId="77777777" w:rsidR="00025543" w:rsidRDefault="007E3A2F">
            <w:pPr>
              <w:pStyle w:val="P68B1DB1-Normal28"/>
              <w:spacing w:line="240" w:lineRule="auto"/>
              <w:jc w:val="center"/>
              <w:rPr>
                <w:noProof/>
              </w:rPr>
            </w:pPr>
            <w:r>
              <w:rPr>
                <w:noProof/>
              </w:rPr>
              <w:t>TRIMESTRE 1</w:t>
            </w:r>
          </w:p>
        </w:tc>
        <w:tc>
          <w:tcPr>
            <w:tcW w:w="6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E0A0BD5" w14:textId="77777777" w:rsidR="00025543" w:rsidRDefault="007E3A2F">
            <w:pPr>
              <w:pStyle w:val="P68B1DB1-Normal28"/>
              <w:spacing w:line="240" w:lineRule="auto"/>
              <w:jc w:val="center"/>
              <w:rPr>
                <w:noProof/>
              </w:rPr>
            </w:pPr>
            <w:r>
              <w:rPr>
                <w:noProof/>
              </w:rPr>
              <w:t>2026</w:t>
            </w:r>
          </w:p>
        </w:tc>
        <w:tc>
          <w:tcPr>
            <w:tcW w:w="52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274B815" w14:textId="77777777" w:rsidR="00025543" w:rsidRDefault="007E3A2F">
            <w:pPr>
              <w:pStyle w:val="P68B1DB1-Normal28"/>
              <w:spacing w:line="240" w:lineRule="auto"/>
              <w:rPr>
                <w:noProof/>
              </w:rPr>
            </w:pPr>
            <w:r>
              <w:rPr>
                <w:noProof/>
              </w:rPr>
              <w:t>Des économies d’énergie primaire de 245 327 GJ doivent être réalisées.</w:t>
            </w:r>
          </w:p>
        </w:tc>
      </w:tr>
    </w:tbl>
    <w:p w14:paraId="4D98F28E" w14:textId="77777777" w:rsidR="00025543" w:rsidRDefault="00025543">
      <w:pPr>
        <w:pBdr>
          <w:top w:val="nil"/>
          <w:left w:val="nil"/>
          <w:bottom w:val="nil"/>
          <w:right w:val="nil"/>
          <w:between w:val="nil"/>
        </w:pBdr>
        <w:spacing w:line="240" w:lineRule="auto"/>
        <w:jc w:val="both"/>
        <w:rPr>
          <w:rFonts w:eastAsia="Times New Roman"/>
          <w:noProof/>
          <w:color w:val="000000"/>
        </w:rPr>
        <w:sectPr w:rsidR="00025543" w:rsidSect="00D57C66">
          <w:headerReference w:type="even" r:id="rId180"/>
          <w:headerReference w:type="default" r:id="rId181"/>
          <w:footerReference w:type="even" r:id="rId182"/>
          <w:footerReference w:type="default" r:id="rId183"/>
          <w:headerReference w:type="first" r:id="rId184"/>
          <w:footerReference w:type="first" r:id="rId185"/>
          <w:pgSz w:w="16839" w:h="11907" w:orient="landscape"/>
          <w:pgMar w:top="1134" w:right="1134" w:bottom="1134" w:left="1134" w:header="567" w:footer="567" w:gutter="0"/>
          <w:cols w:space="720"/>
          <w:docGrid w:linePitch="326"/>
        </w:sectPr>
      </w:pPr>
    </w:p>
    <w:p w14:paraId="7F9E0FEB" w14:textId="7156A00E" w:rsidR="00025543" w:rsidRDefault="007E3A2F">
      <w:pPr>
        <w:pStyle w:val="P68B1DB1-Normal2"/>
        <w:keepNext/>
        <w:tabs>
          <w:tab w:val="left" w:pos="850"/>
        </w:tabs>
        <w:spacing w:line="240" w:lineRule="auto"/>
        <w:jc w:val="both"/>
        <w:outlineLvl w:val="0"/>
        <w:rPr>
          <w:noProof/>
        </w:rPr>
      </w:pPr>
      <w:r>
        <w:rPr>
          <w:noProof/>
        </w:rPr>
        <w:t xml:space="preserve">K. ELÉMENT 2.4: Une mobilité propre </w:t>
      </w:r>
    </w:p>
    <w:p w14:paraId="6DD59E82" w14:textId="77777777" w:rsidR="00025543" w:rsidRDefault="007E3A2F">
      <w:pPr>
        <w:pStyle w:val="P68B1DB1-Normal4"/>
        <w:pBdr>
          <w:top w:val="nil"/>
          <w:left w:val="nil"/>
          <w:bottom w:val="nil"/>
          <w:right w:val="nil"/>
          <w:between w:val="nil"/>
        </w:pBdr>
        <w:spacing w:line="240" w:lineRule="auto"/>
        <w:jc w:val="both"/>
        <w:rPr>
          <w:noProof/>
        </w:rPr>
      </w:pPr>
      <w:r>
        <w:rPr>
          <w:noProof/>
        </w:rPr>
        <w:t xml:space="preserve">Ce volet du plan tchèque pour la reprise et la résilience vise à soutenir les objectifs du plan d’action national actualisé pour une mobilité propre de la République tchèque fondé sur la directive 2014/94/UE. L’un des principaux objectifs stratégiques du plan d’action est de faire fonctionner entre 220 000 et 500 000 véhicules électriques en Tchéquie d’ici à 2030. Cet objectif doit être atteint en stimulant la demande au moyen de subventions, en favorisant les véhicules électriques sur la route, en soutenant la construction d’infrastructures de recharge et en fournissant des informations au public. Outre le programme de subventions aux entreprises, la même initiative a été annoncée pour les municipalités, les régions et d’autres entités publiques. </w:t>
      </w:r>
    </w:p>
    <w:p w14:paraId="372ED00C" w14:textId="77777777" w:rsidR="00025543" w:rsidRDefault="007E3A2F">
      <w:pPr>
        <w:pStyle w:val="P68B1DB1-Normal3"/>
        <w:pBdr>
          <w:top w:val="nil"/>
          <w:left w:val="nil"/>
          <w:bottom w:val="nil"/>
          <w:right w:val="nil"/>
          <w:between w:val="nil"/>
        </w:pBdr>
        <w:spacing w:line="240" w:lineRule="auto"/>
        <w:jc w:val="both"/>
        <w:rPr>
          <w:noProof/>
        </w:rPr>
      </w:pPr>
      <w:r>
        <w:rPr>
          <w:noProof/>
        </w:rPr>
        <w:t>Le</w:t>
      </w:r>
      <w:r>
        <w:rPr>
          <w:noProof/>
          <w:color w:val="000000"/>
        </w:rPr>
        <w:t xml:space="preserve">volet soutient la mise en œuvre de la recommandation par pays no 3 et no 2019, selon laquelle la Tchéquie concentre </w:t>
      </w:r>
      <w:r>
        <w:rPr>
          <w:noProof/>
        </w:rPr>
        <w:t xml:space="preserve">ses investissements sur la transition écologique et numérique, en particulier sur les infrastructures et technologies numériques à haute capacité, la production et l’utilisation propres et efficaces de l’énergie et les infrastructures de transport durables, y compris dans les régions charbonnières, et les recommandations par pays no 3 et 2020, selon lesquelles la Tchéquie concentre sa politique économique en matière d’investissement sur les transports, notamment sur sa durabilité, ses infrastructures numériques et la transition vers une économie à faible intensité de carbone et une transition énergétique, y compris l’efficacité énergétique, en tenant compte des disparités régionales. </w:t>
      </w:r>
    </w:p>
    <w:p w14:paraId="5F5177E8" w14:textId="77777777" w:rsidR="00025543" w:rsidRDefault="007E3A2F">
      <w:pPr>
        <w:spacing w:line="276" w:lineRule="auto"/>
        <w:jc w:val="both"/>
        <w:rPr>
          <w:noProof/>
          <w:sz w:val="22"/>
        </w:rPr>
      </w:pPr>
      <w:r>
        <w:rPr>
          <w:noProof/>
        </w:rPr>
        <w:t>Aucune mesure relevant de ce volet ne devrait nuire gravement aux objectifs environnementaux au sens de l’article 17 du règlement (UE) 2020/852, compte tenu de la description des mesures et des mesures d’atténuation prévues dans le plan pour la reprise et la résilience conformément aux orientations techniques de la DNSH (2021/C58/01).</w:t>
      </w:r>
    </w:p>
    <w:p w14:paraId="2D56AB7B" w14:textId="77777777" w:rsidR="00025543" w:rsidRDefault="007E3A2F">
      <w:pPr>
        <w:pStyle w:val="P68B1DB1-Normal34"/>
        <w:pBdr>
          <w:top w:val="nil"/>
          <w:left w:val="nil"/>
          <w:bottom w:val="nil"/>
          <w:right w:val="nil"/>
          <w:between w:val="nil"/>
        </w:pBdr>
        <w:spacing w:line="240" w:lineRule="auto"/>
        <w:jc w:val="both"/>
        <w:rPr>
          <w:rFonts w:eastAsia="Times New Roman"/>
          <w:noProof/>
          <w:color w:val="000000"/>
        </w:rPr>
      </w:pPr>
      <w:r>
        <w:rPr>
          <w:noProof/>
        </w:rPr>
        <w:t xml:space="preserve">  </w:t>
      </w:r>
    </w:p>
    <w:p w14:paraId="70FD4D98" w14:textId="20C2600A" w:rsidR="00025543" w:rsidRDefault="007E3A2F">
      <w:pPr>
        <w:pStyle w:val="P68B1DB1-Normal33"/>
        <w:pBdr>
          <w:top w:val="nil"/>
          <w:left w:val="nil"/>
          <w:bottom w:val="nil"/>
          <w:right w:val="nil"/>
          <w:between w:val="nil"/>
        </w:pBdr>
        <w:spacing w:line="240" w:lineRule="auto"/>
        <w:jc w:val="both"/>
        <w:rPr>
          <w:i/>
          <w:noProof/>
        </w:rPr>
      </w:pPr>
      <w:r>
        <w:rPr>
          <w:noProof/>
        </w:rPr>
        <w:t>K.1. Description des réformes et des investissements en vue du soutien financier non remboursable</w:t>
      </w:r>
    </w:p>
    <w:p w14:paraId="4096BE19" w14:textId="77777777" w:rsidR="00025543" w:rsidRDefault="007E3A2F">
      <w:pPr>
        <w:pStyle w:val="P68B1DB1-Normal18"/>
        <w:pBdr>
          <w:top w:val="nil"/>
          <w:left w:val="nil"/>
          <w:bottom w:val="nil"/>
          <w:right w:val="nil"/>
          <w:between w:val="nil"/>
        </w:pBdr>
        <w:spacing w:line="240" w:lineRule="auto"/>
        <w:jc w:val="both"/>
        <w:rPr>
          <w:noProof/>
          <w:color w:val="000000"/>
        </w:rPr>
      </w:pPr>
      <w:r>
        <w:rPr>
          <w:noProof/>
        </w:rPr>
        <w:t>Investissement 1: Construction d’infrastructures pour les transports publics dans la ville de Prague</w:t>
      </w:r>
    </w:p>
    <w:p w14:paraId="7207A4EA" w14:textId="77777777" w:rsidR="00025543" w:rsidRDefault="007E3A2F">
      <w:pPr>
        <w:pStyle w:val="P68B1DB1-Normal3"/>
        <w:spacing w:line="240" w:lineRule="auto"/>
        <w:jc w:val="both"/>
        <w:rPr>
          <w:noProof/>
          <w:color w:val="000000"/>
        </w:rPr>
      </w:pPr>
      <w:r>
        <w:rPr>
          <w:noProof/>
          <w:color w:val="000000"/>
        </w:rPr>
        <w:t>Complétée par l’investissement 6 au titre de ce volet, l’objectif de cette mesure est de renouveler et de décarboner la flotte de transports publics à Prague. Le</w:t>
      </w:r>
      <w:r>
        <w:rPr>
          <w:noProof/>
        </w:rPr>
        <w:t xml:space="preserve">soutien aux flottes de bus électriques à émissions nulles et de trolleybus devrait contribuer aux efforts de décarbonation du secteur des transports et de l’énergie. En outre, elle devrait améliorer la qualité de l’air et les niveaux de bruit dans l’environnement urbain. </w:t>
      </w:r>
      <w:r>
        <w:rPr>
          <w:noProof/>
          <w:color w:val="000000"/>
        </w:rPr>
        <w:t>Cet investissement vise à augmenter le nombre de bornes de recharge pour les autobus électriques et les trolleybus à batterie à Prague de 52 unités et à augmenter de 40 km le tronçon des routes de recharge dynamique (électrification de la route) pour les trolleybus à batterie.</w:t>
      </w:r>
    </w:p>
    <w:p w14:paraId="2A4E8B10" w14:textId="2F790BB7" w:rsidR="00025543" w:rsidRDefault="007E3A2F">
      <w:pPr>
        <w:pStyle w:val="P68B1DB1-Normal4"/>
        <w:spacing w:line="240" w:lineRule="auto"/>
        <w:jc w:val="both"/>
        <w:rPr>
          <w:noProof/>
        </w:rPr>
      </w:pPr>
      <w:r>
        <w:rPr>
          <w:noProof/>
        </w:rPr>
        <w:t>L’investissement est achevé au plus tard le 30 juin 2026.</w:t>
      </w:r>
    </w:p>
    <w:p w14:paraId="2239A793" w14:textId="77777777" w:rsidR="00025543" w:rsidRDefault="007E3A2F">
      <w:pPr>
        <w:pStyle w:val="P68B1DB1-Normal18"/>
        <w:pBdr>
          <w:top w:val="nil"/>
          <w:left w:val="nil"/>
          <w:bottom w:val="nil"/>
          <w:right w:val="nil"/>
          <w:between w:val="nil"/>
        </w:pBdr>
        <w:spacing w:line="240" w:lineRule="auto"/>
        <w:jc w:val="both"/>
        <w:rPr>
          <w:noProof/>
          <w:color w:val="000000"/>
        </w:rPr>
      </w:pPr>
      <w:r>
        <w:rPr>
          <w:noProof/>
        </w:rPr>
        <w:t>Investissement 2: Infrastructure immobilière — points de recharge pour les entreprises privées</w:t>
      </w:r>
    </w:p>
    <w:p w14:paraId="18DE862D" w14:textId="030C3F4B" w:rsidR="00025543" w:rsidRDefault="007E3A2F">
      <w:pPr>
        <w:pStyle w:val="P68B1DB1-Normal3"/>
        <w:autoSpaceDE w:val="0"/>
        <w:autoSpaceDN w:val="0"/>
        <w:spacing w:after="0" w:line="240" w:lineRule="auto"/>
        <w:jc w:val="both"/>
        <w:rPr>
          <w:rFonts w:ascii="Calibri" w:hAnsi="Calibri" w:cs="Calibri"/>
          <w:noProof/>
          <w:sz w:val="22"/>
        </w:rPr>
      </w:pPr>
      <w:r>
        <w:rPr>
          <w:noProof/>
          <w:color w:val="000000"/>
        </w:rPr>
        <w:t>Parallèlement à l’investissement 4 au titre de ce volet, cet investissement vise à stimuler la demande de voitures électriques</w:t>
      </w:r>
      <w:r>
        <w:rPr>
          <w:noProof/>
        </w:rPr>
        <w:t xml:space="preserve"> </w:t>
      </w:r>
      <w:r>
        <w:rPr>
          <w:noProof/>
          <w:color w:val="000000"/>
        </w:rPr>
        <w:t>et à soutenir le développement de la technologie de l’hydrogène dans les transports. Il consiste à augmenter de 1500 unités le nombre de points de recharge pour les entreprises privées.</w:t>
      </w:r>
    </w:p>
    <w:p w14:paraId="2BCE22AC" w14:textId="77777777" w:rsidR="00025543" w:rsidRDefault="007E3A2F">
      <w:pPr>
        <w:pStyle w:val="P68B1DB1-Normal4"/>
        <w:pBdr>
          <w:top w:val="nil"/>
          <w:left w:val="nil"/>
          <w:bottom w:val="nil"/>
          <w:right w:val="nil"/>
          <w:between w:val="nil"/>
        </w:pBdr>
        <w:spacing w:line="240" w:lineRule="auto"/>
        <w:jc w:val="both"/>
        <w:rPr>
          <w:noProof/>
        </w:rPr>
      </w:pPr>
      <w:r>
        <w:rPr>
          <w:noProof/>
        </w:rPr>
        <w:t xml:space="preserve">L’investissement est achevé au plus tard le 31 décembre 2025. </w:t>
      </w:r>
    </w:p>
    <w:p w14:paraId="1E14EE6A" w14:textId="77777777" w:rsidR="00025543" w:rsidRDefault="007E3A2F">
      <w:pPr>
        <w:spacing w:line="240" w:lineRule="auto"/>
        <w:rPr>
          <w:rFonts w:eastAsia="Times New Roman"/>
          <w:b/>
          <w:noProof/>
          <w:color w:val="000000"/>
        </w:rPr>
      </w:pPr>
      <w:r>
        <w:rPr>
          <w:rFonts w:ascii="Calibri" w:hAnsi="Calibri"/>
          <w:noProof/>
          <w:sz w:val="22"/>
        </w:rPr>
        <w:br w:type="page"/>
      </w:r>
      <w:r>
        <w:rPr>
          <w:rFonts w:eastAsia="Times New Roman"/>
          <w:b/>
          <w:noProof/>
          <w:color w:val="000000"/>
        </w:rPr>
        <w:t>Investissement 3: Infrastructures immobilières — points de recharge pour bâtiments résidentiels</w:t>
      </w:r>
    </w:p>
    <w:p w14:paraId="240B0864" w14:textId="77777777" w:rsidR="00025543" w:rsidRDefault="007E3A2F">
      <w:pPr>
        <w:pStyle w:val="P68B1DB1-Normal4"/>
        <w:pBdr>
          <w:top w:val="nil"/>
          <w:left w:val="nil"/>
          <w:bottom w:val="nil"/>
          <w:right w:val="nil"/>
          <w:between w:val="nil"/>
        </w:pBdr>
        <w:spacing w:line="240" w:lineRule="auto"/>
        <w:jc w:val="both"/>
        <w:rPr>
          <w:noProof/>
        </w:rPr>
      </w:pPr>
      <w:r>
        <w:rPr>
          <w:noProof/>
        </w:rPr>
        <w:t>Dans le but de contribuer au développement des véhicules électriques, cet investissement consiste à augmenter de 2880 unités le nombre de points de recharge dans les bâtiments résidentiels, tant dans le garage privé que dans les emplacements de stationnement réservés aux résidents du bâtiment.</w:t>
      </w:r>
    </w:p>
    <w:p w14:paraId="564D9A6D" w14:textId="77777777" w:rsidR="00025543" w:rsidRDefault="007E3A2F">
      <w:pPr>
        <w:pStyle w:val="P68B1DB1-Normal3"/>
        <w:pBdr>
          <w:top w:val="nil"/>
          <w:left w:val="nil"/>
          <w:bottom w:val="nil"/>
          <w:right w:val="nil"/>
          <w:between w:val="nil"/>
        </w:pBdr>
        <w:spacing w:line="240" w:lineRule="auto"/>
        <w:jc w:val="both"/>
        <w:rPr>
          <w:noProof/>
          <w:color w:val="000000"/>
        </w:rPr>
      </w:pPr>
      <w:r>
        <w:rPr>
          <w:noProof/>
          <w:color w:val="000000"/>
        </w:rPr>
        <w:t xml:space="preserve">L’investissement est achevé au plus tard </w:t>
      </w:r>
      <w:r>
        <w:rPr>
          <w:noProof/>
        </w:rPr>
        <w:t>le 31 décembre 2</w:t>
      </w:r>
      <w:r>
        <w:rPr>
          <w:noProof/>
          <w:color w:val="000000"/>
        </w:rPr>
        <w:t xml:space="preserve">025. </w:t>
      </w:r>
    </w:p>
    <w:p w14:paraId="7A2A26FA" w14:textId="77777777" w:rsidR="00025543" w:rsidRDefault="007E3A2F">
      <w:pPr>
        <w:pStyle w:val="P68B1DB1-Normal18"/>
        <w:pBdr>
          <w:top w:val="nil"/>
          <w:left w:val="nil"/>
          <w:bottom w:val="nil"/>
          <w:right w:val="nil"/>
          <w:between w:val="nil"/>
        </w:pBdr>
        <w:spacing w:line="240" w:lineRule="auto"/>
        <w:jc w:val="both"/>
        <w:rPr>
          <w:noProof/>
          <w:color w:val="000000"/>
        </w:rPr>
      </w:pPr>
      <w:r>
        <w:rPr>
          <w:noProof/>
        </w:rPr>
        <w:t>Investissement 4: Aides à l’achat de véhicules — véhicules (électriques, H2, vélos électriques) pour les entreprises privées</w:t>
      </w:r>
    </w:p>
    <w:p w14:paraId="3E264DCA" w14:textId="660177A6" w:rsidR="00025543" w:rsidRDefault="007E3A2F">
      <w:pPr>
        <w:pStyle w:val="P68B1DB1-Normal3"/>
        <w:pBdr>
          <w:top w:val="nil"/>
          <w:left w:val="nil"/>
          <w:bottom w:val="nil"/>
          <w:right w:val="nil"/>
          <w:between w:val="nil"/>
        </w:pBdr>
        <w:spacing w:line="240" w:lineRule="auto"/>
        <w:jc w:val="both"/>
        <w:rPr>
          <w:noProof/>
          <w:color w:val="000000"/>
          <w:highlight w:val="red"/>
        </w:rPr>
      </w:pPr>
      <w:r>
        <w:rPr>
          <w:noProof/>
          <w:color w:val="000000" w:themeColor="text1"/>
        </w:rPr>
        <w:t xml:space="preserve">Dans le but de stimuler la demande de véhicules à émissions nulles, cet investissement vise à augmenter le nombre de véhicules à carburant alternatif (électriques, H2) destinés aux entreprises de 2670 unités </w:t>
      </w:r>
      <w:r>
        <w:rPr>
          <w:noProof/>
        </w:rPr>
        <w:t xml:space="preserve">(2170 voitures et camionnettes électriques à batterie et à hydrogène, 500 vélos électriques à cargaison). </w:t>
      </w:r>
    </w:p>
    <w:p w14:paraId="5E8319B8" w14:textId="77777777" w:rsidR="00025543" w:rsidRDefault="007E3A2F">
      <w:pPr>
        <w:pStyle w:val="P68B1DB1-Normal4"/>
        <w:pBdr>
          <w:top w:val="nil"/>
          <w:left w:val="nil"/>
          <w:bottom w:val="nil"/>
          <w:right w:val="nil"/>
          <w:between w:val="nil"/>
        </w:pBdr>
        <w:spacing w:line="240" w:lineRule="auto"/>
        <w:jc w:val="both"/>
        <w:rPr>
          <w:noProof/>
        </w:rPr>
      </w:pPr>
      <w:r>
        <w:rPr>
          <w:noProof/>
        </w:rPr>
        <w:t xml:space="preserve">L’investissement est achevé au plus tard le 31 décembre 2025. </w:t>
      </w:r>
    </w:p>
    <w:p w14:paraId="667E91CA" w14:textId="77777777" w:rsidR="00025543" w:rsidRDefault="007E3A2F">
      <w:pPr>
        <w:pStyle w:val="P68B1DB1-Normal18"/>
        <w:pBdr>
          <w:top w:val="nil"/>
          <w:left w:val="nil"/>
          <w:bottom w:val="nil"/>
          <w:right w:val="nil"/>
          <w:between w:val="nil"/>
        </w:pBdr>
        <w:spacing w:line="240" w:lineRule="auto"/>
        <w:jc w:val="both"/>
        <w:rPr>
          <w:noProof/>
          <w:color w:val="000000"/>
        </w:rPr>
      </w:pPr>
      <w:r>
        <w:rPr>
          <w:noProof/>
        </w:rPr>
        <w:t>Investissement 5: Aides à l’achat de véhicules (électriques, H2) et d’infrastructures pour les municipalités, les régions, l’administration publique et d’autres entités publiques et autres organisations.</w:t>
      </w:r>
    </w:p>
    <w:p w14:paraId="20ABEC71" w14:textId="77777777" w:rsidR="00025543" w:rsidRDefault="007E3A2F">
      <w:pPr>
        <w:pStyle w:val="P68B1DB1-Normal3"/>
        <w:pBdr>
          <w:top w:val="nil"/>
          <w:left w:val="nil"/>
          <w:bottom w:val="nil"/>
          <w:right w:val="nil"/>
          <w:between w:val="nil"/>
        </w:pBdr>
        <w:spacing w:line="240" w:lineRule="auto"/>
        <w:jc w:val="both"/>
        <w:rPr>
          <w:noProof/>
          <w:color w:val="000000"/>
        </w:rPr>
      </w:pPr>
      <w:r>
        <w:rPr>
          <w:noProof/>
          <w:color w:val="000000"/>
        </w:rPr>
        <w:t>Cet investissement</w:t>
      </w:r>
      <w:r>
        <w:rPr>
          <w:noProof/>
        </w:rPr>
        <w:t xml:space="preserve"> </w:t>
      </w:r>
      <w:r>
        <w:rPr>
          <w:noProof/>
          <w:color w:val="000000"/>
        </w:rPr>
        <w:t xml:space="preserve"> vise à augmenter le nombre de véhicules utilisant des carburants alternatifs (électriques, H2) pour les municipalités, les régions et l’administration publique de 1485 unités et à augmenter de 200 unités le nombre de points de recharge pour les municipalités, les régions et l’administration publique. </w:t>
      </w:r>
    </w:p>
    <w:p w14:paraId="7E9A80C4" w14:textId="77777777" w:rsidR="00025543" w:rsidRDefault="007E3A2F">
      <w:pPr>
        <w:pStyle w:val="P68B1DB1-Normal4"/>
        <w:pBdr>
          <w:top w:val="nil"/>
          <w:left w:val="nil"/>
          <w:bottom w:val="nil"/>
          <w:right w:val="nil"/>
          <w:between w:val="nil"/>
        </w:pBdr>
        <w:spacing w:line="240" w:lineRule="auto"/>
        <w:jc w:val="both"/>
        <w:rPr>
          <w:noProof/>
          <w:highlight w:val="yellow"/>
        </w:rPr>
      </w:pPr>
      <w:r>
        <w:rPr>
          <w:noProof/>
        </w:rPr>
        <w:t>L’investissement est achevé au plus tard le 31 décembre 2025.</w:t>
      </w:r>
    </w:p>
    <w:p w14:paraId="084AD79E" w14:textId="77777777" w:rsidR="00025543" w:rsidRDefault="007E3A2F">
      <w:pPr>
        <w:pStyle w:val="P68B1DB1-Normal18"/>
        <w:pBdr>
          <w:top w:val="nil"/>
          <w:left w:val="nil"/>
          <w:bottom w:val="nil"/>
          <w:right w:val="nil"/>
          <w:between w:val="nil"/>
        </w:pBdr>
        <w:spacing w:line="240" w:lineRule="auto"/>
        <w:jc w:val="both"/>
        <w:rPr>
          <w:noProof/>
          <w:color w:val="000000"/>
        </w:rPr>
      </w:pPr>
      <w:r>
        <w:rPr>
          <w:noProof/>
        </w:rPr>
        <w:t>Investissement 6: Aide à l’achat de véhicules (trolleybus à batterie et tramways surplancher) pour les transports publics dans la ville de Prague</w:t>
      </w:r>
    </w:p>
    <w:p w14:paraId="3A3E77FB" w14:textId="77777777" w:rsidR="00025543" w:rsidRDefault="007E3A2F">
      <w:pPr>
        <w:pStyle w:val="P68B1DB1-Normal4"/>
        <w:pBdr>
          <w:top w:val="nil"/>
          <w:left w:val="nil"/>
          <w:bottom w:val="nil"/>
          <w:right w:val="nil"/>
          <w:between w:val="nil"/>
        </w:pBdr>
        <w:spacing w:line="240" w:lineRule="auto"/>
        <w:jc w:val="both"/>
        <w:rPr>
          <w:noProof/>
        </w:rPr>
      </w:pPr>
      <w:r>
        <w:rPr>
          <w:noProof/>
        </w:rPr>
        <w:t xml:space="preserve">Cet investissement vise à soutenir l’achat de 20 trolleybus alimentés par batterie et de 20 tramways à plancher surbaissé pour la ville de Prague. </w:t>
      </w:r>
    </w:p>
    <w:p w14:paraId="098D98C7" w14:textId="77777777" w:rsidR="00025543" w:rsidRDefault="007E3A2F">
      <w:pPr>
        <w:pStyle w:val="P68B1DB1-Normal4"/>
        <w:pBdr>
          <w:top w:val="nil"/>
          <w:left w:val="nil"/>
          <w:bottom w:val="nil"/>
          <w:right w:val="nil"/>
          <w:between w:val="nil"/>
        </w:pBdr>
        <w:spacing w:line="240" w:lineRule="auto"/>
        <w:rPr>
          <w:noProof/>
          <w:u w:val="single"/>
        </w:rPr>
        <w:sectPr w:rsidR="00025543" w:rsidSect="0078369E">
          <w:headerReference w:type="even" r:id="rId186"/>
          <w:headerReference w:type="default" r:id="rId187"/>
          <w:footerReference w:type="even" r:id="rId188"/>
          <w:footerReference w:type="default" r:id="rId189"/>
          <w:headerReference w:type="first" r:id="rId190"/>
          <w:footerReference w:type="first" r:id="rId191"/>
          <w:pgSz w:w="11907" w:h="16839"/>
          <w:pgMar w:top="1134" w:right="1134" w:bottom="1134" w:left="1134" w:header="567" w:footer="567" w:gutter="0"/>
          <w:cols w:space="720"/>
          <w:docGrid w:linePitch="326"/>
        </w:sectPr>
      </w:pPr>
      <w:r>
        <w:rPr>
          <w:noProof/>
        </w:rPr>
        <w:t>L’investissement est achevé au plus tard le 31 mars 2026.</w:t>
      </w:r>
    </w:p>
    <w:p w14:paraId="384C5C6F" w14:textId="1DDE9CBE" w:rsidR="00025543" w:rsidRDefault="007E3A2F">
      <w:pPr>
        <w:pStyle w:val="P68B1DB1-Normal33"/>
        <w:pBdr>
          <w:top w:val="nil"/>
          <w:left w:val="nil"/>
          <w:bottom w:val="nil"/>
          <w:right w:val="nil"/>
          <w:between w:val="nil"/>
        </w:pBdr>
        <w:spacing w:line="240" w:lineRule="auto"/>
        <w:ind w:firstLine="142"/>
        <w:jc w:val="both"/>
        <w:rPr>
          <w:rFonts w:ascii="Calibri" w:hAnsi="Calibri"/>
          <w:noProof/>
          <w:sz w:val="22"/>
        </w:rPr>
      </w:pPr>
      <w:r>
        <w:rPr>
          <w:noProof/>
        </w:rPr>
        <w:t>K.2. Jalons, cibles, indicateurs et calendrier de suivi et de mise en œuvre en vue du soutien financier non remboursable</w:t>
      </w:r>
    </w:p>
    <w:tbl>
      <w:tblPr>
        <w:tblW w:w="15172" w:type="dxa"/>
        <w:tblInd w:w="-147" w:type="dxa"/>
        <w:tblLayout w:type="fixed"/>
        <w:tblLook w:val="0400" w:firstRow="0" w:lastRow="0" w:firstColumn="0" w:lastColumn="0" w:noHBand="0" w:noVBand="1"/>
      </w:tblPr>
      <w:tblGrid>
        <w:gridCol w:w="710"/>
        <w:gridCol w:w="2206"/>
        <w:gridCol w:w="1124"/>
        <w:gridCol w:w="1587"/>
        <w:gridCol w:w="1124"/>
        <w:gridCol w:w="1064"/>
        <w:gridCol w:w="1064"/>
        <w:gridCol w:w="672"/>
        <w:gridCol w:w="956"/>
        <w:gridCol w:w="717"/>
        <w:gridCol w:w="3948"/>
      </w:tblGrid>
      <w:tr w:rsidR="00025543" w14:paraId="79D7A47F" w14:textId="77777777">
        <w:trPr>
          <w:trHeight w:val="540"/>
          <w:tblHeader/>
        </w:trPr>
        <w:tc>
          <w:tcPr>
            <w:tcW w:w="715" w:type="dxa"/>
            <w:vMerge w:val="restart"/>
            <w:tcBorders>
              <w:top w:val="single" w:sz="4" w:space="0" w:color="auto"/>
              <w:left w:val="single" w:sz="4" w:space="0" w:color="auto"/>
              <w:bottom w:val="single" w:sz="8" w:space="0" w:color="000000" w:themeColor="text1"/>
              <w:right w:val="single" w:sz="8" w:space="0" w:color="000000" w:themeColor="text1"/>
            </w:tcBorders>
            <w:shd w:val="clear" w:color="auto" w:fill="BDD7EE"/>
            <w:vAlign w:val="center"/>
          </w:tcPr>
          <w:p w14:paraId="6482D162" w14:textId="77777777" w:rsidR="00025543" w:rsidRDefault="007E3A2F">
            <w:pPr>
              <w:pStyle w:val="P68B1DB1-Normal9"/>
              <w:spacing w:line="240" w:lineRule="auto"/>
              <w:jc w:val="center"/>
              <w:rPr>
                <w:rFonts w:ascii="Calibri" w:hAnsi="Calibri"/>
                <w:noProof/>
              </w:rPr>
            </w:pPr>
            <w:r>
              <w:rPr>
                <w:noProof/>
              </w:rPr>
              <w:t xml:space="preserve">Séquence NUM. </w:t>
            </w:r>
          </w:p>
        </w:tc>
        <w:tc>
          <w:tcPr>
            <w:tcW w:w="2228" w:type="dxa"/>
            <w:vMerge w:val="restart"/>
            <w:tcBorders>
              <w:top w:val="single" w:sz="4" w:space="0" w:color="auto"/>
              <w:left w:val="single" w:sz="8" w:space="0" w:color="000000" w:themeColor="text1"/>
              <w:bottom w:val="single" w:sz="8" w:space="0" w:color="000000" w:themeColor="text1"/>
              <w:right w:val="single" w:sz="8" w:space="0" w:color="000000" w:themeColor="text1"/>
            </w:tcBorders>
            <w:shd w:val="clear" w:color="auto" w:fill="BDD7EE"/>
            <w:vAlign w:val="center"/>
          </w:tcPr>
          <w:p w14:paraId="09A78C40" w14:textId="77777777" w:rsidR="00025543" w:rsidRDefault="007E3A2F">
            <w:pPr>
              <w:pStyle w:val="P68B1DB1-Normal9"/>
              <w:spacing w:line="240" w:lineRule="auto"/>
              <w:jc w:val="center"/>
              <w:rPr>
                <w:rFonts w:ascii="Calibri" w:hAnsi="Calibri"/>
                <w:noProof/>
              </w:rPr>
            </w:pPr>
            <w:r>
              <w:rPr>
                <w:noProof/>
              </w:rPr>
              <w:t>Mesure connexe (réforme ou investissement)</w:t>
            </w:r>
          </w:p>
        </w:tc>
        <w:tc>
          <w:tcPr>
            <w:tcW w:w="1134" w:type="dxa"/>
            <w:vMerge w:val="restart"/>
            <w:tcBorders>
              <w:top w:val="single" w:sz="4" w:space="0" w:color="auto"/>
              <w:left w:val="single" w:sz="8" w:space="0" w:color="000000" w:themeColor="text1"/>
              <w:bottom w:val="single" w:sz="4" w:space="0" w:color="auto"/>
              <w:right w:val="single" w:sz="8" w:space="0" w:color="000000" w:themeColor="text1"/>
            </w:tcBorders>
            <w:shd w:val="clear" w:color="auto" w:fill="BDD7EE"/>
            <w:vAlign w:val="center"/>
          </w:tcPr>
          <w:p w14:paraId="7BBC1916" w14:textId="77777777" w:rsidR="00025543" w:rsidRDefault="007E3A2F">
            <w:pPr>
              <w:pStyle w:val="P68B1DB1-Normal9"/>
              <w:spacing w:line="240" w:lineRule="auto"/>
              <w:jc w:val="center"/>
              <w:rPr>
                <w:rFonts w:ascii="Calibri" w:hAnsi="Calibri"/>
                <w:noProof/>
              </w:rPr>
            </w:pPr>
            <w:r>
              <w:rPr>
                <w:noProof/>
              </w:rPr>
              <w:t>Jalon/cible</w:t>
            </w:r>
          </w:p>
        </w:tc>
        <w:tc>
          <w:tcPr>
            <w:tcW w:w="1602" w:type="dxa"/>
            <w:vMerge w:val="restart"/>
            <w:tcBorders>
              <w:top w:val="single" w:sz="4" w:space="0" w:color="auto"/>
              <w:left w:val="single" w:sz="8" w:space="0" w:color="000000" w:themeColor="text1"/>
              <w:bottom w:val="single" w:sz="8" w:space="0" w:color="000000" w:themeColor="text1"/>
              <w:right w:val="single" w:sz="8" w:space="0" w:color="000000" w:themeColor="text1"/>
            </w:tcBorders>
            <w:shd w:val="clear" w:color="auto" w:fill="BDD7EE"/>
            <w:vAlign w:val="center"/>
          </w:tcPr>
          <w:p w14:paraId="7A1B56C7" w14:textId="77777777" w:rsidR="00025543" w:rsidRDefault="007E3A2F">
            <w:pPr>
              <w:pStyle w:val="P68B1DB1-Normal9"/>
              <w:spacing w:line="240" w:lineRule="auto"/>
              <w:jc w:val="center"/>
              <w:rPr>
                <w:rFonts w:ascii="Calibri" w:hAnsi="Calibri"/>
                <w:noProof/>
              </w:rPr>
            </w:pPr>
            <w:r>
              <w:rPr>
                <w:noProof/>
              </w:rPr>
              <w:t>Nom</w:t>
            </w:r>
          </w:p>
        </w:tc>
        <w:tc>
          <w:tcPr>
            <w:tcW w:w="1134" w:type="dxa"/>
            <w:vMerge w:val="restart"/>
            <w:tcBorders>
              <w:top w:val="single" w:sz="4" w:space="0" w:color="auto"/>
              <w:left w:val="single" w:sz="8" w:space="0" w:color="000000" w:themeColor="text1"/>
              <w:bottom w:val="single" w:sz="4" w:space="0" w:color="auto"/>
              <w:right w:val="single" w:sz="4" w:space="0" w:color="auto"/>
            </w:tcBorders>
            <w:shd w:val="clear" w:color="auto" w:fill="BDD7EE"/>
            <w:vAlign w:val="center"/>
          </w:tcPr>
          <w:p w14:paraId="05DCFED1" w14:textId="77777777" w:rsidR="00025543" w:rsidRDefault="007E3A2F">
            <w:pPr>
              <w:pStyle w:val="P68B1DB1-Normal12"/>
              <w:spacing w:line="240" w:lineRule="auto"/>
              <w:jc w:val="center"/>
              <w:rPr>
                <w:rFonts w:ascii="Calibri" w:hAnsi="Calibri"/>
                <w:noProof/>
              </w:rPr>
            </w:pPr>
            <w:r>
              <w:rPr>
                <w:rFonts w:eastAsia="Times New Roman"/>
                <w:b/>
                <w:noProof/>
              </w:rPr>
              <w:t>Qualitatifs</w:t>
            </w:r>
            <w:r>
              <w:rPr>
                <w:rFonts w:ascii="Calibri" w:hAnsi="Calibri"/>
                <w:noProof/>
              </w:rPr>
              <w:br/>
            </w:r>
            <w:r>
              <w:rPr>
                <w:rFonts w:eastAsia="Times New Roman"/>
                <w:b/>
                <w:noProof/>
              </w:rPr>
              <w:t>(pour les jalons)</w:t>
            </w:r>
          </w:p>
        </w:tc>
        <w:tc>
          <w:tcPr>
            <w:tcW w:w="2823" w:type="dxa"/>
            <w:gridSpan w:val="3"/>
            <w:tcBorders>
              <w:top w:val="single" w:sz="8" w:space="0" w:color="000000" w:themeColor="text1"/>
              <w:left w:val="single" w:sz="4" w:space="0" w:color="auto"/>
              <w:bottom w:val="single" w:sz="8" w:space="0" w:color="000000" w:themeColor="text1"/>
              <w:right w:val="single" w:sz="8" w:space="0" w:color="000000" w:themeColor="text1"/>
            </w:tcBorders>
            <w:shd w:val="clear" w:color="auto" w:fill="BDD7EE"/>
            <w:vAlign w:val="center"/>
          </w:tcPr>
          <w:p w14:paraId="0A284868" w14:textId="77777777" w:rsidR="00025543" w:rsidRDefault="007E3A2F">
            <w:pPr>
              <w:pStyle w:val="P68B1DB1-Normal12"/>
              <w:spacing w:line="240" w:lineRule="auto"/>
              <w:jc w:val="center"/>
              <w:rPr>
                <w:rFonts w:ascii="Calibri" w:hAnsi="Calibri"/>
                <w:noProof/>
              </w:rPr>
            </w:pPr>
            <w:r>
              <w:rPr>
                <w:rFonts w:eastAsia="Times New Roman"/>
                <w:b/>
                <w:noProof/>
              </w:rPr>
              <w:t>Indicateurs quantitatifs</w:t>
            </w:r>
            <w:r>
              <w:rPr>
                <w:rFonts w:ascii="Calibri" w:hAnsi="Calibri"/>
                <w:noProof/>
              </w:rPr>
              <w:br/>
            </w:r>
            <w:r>
              <w:rPr>
                <w:rFonts w:eastAsia="Times New Roman"/>
                <w:b/>
                <w:noProof/>
              </w:rPr>
              <w:t>(pour les objectifs)</w:t>
            </w:r>
          </w:p>
        </w:tc>
        <w:tc>
          <w:tcPr>
            <w:tcW w:w="1686" w:type="dxa"/>
            <w:gridSpan w:val="2"/>
            <w:tcBorders>
              <w:top w:val="single" w:sz="8" w:space="0" w:color="000000" w:themeColor="text1"/>
              <w:left w:val="nil"/>
              <w:bottom w:val="single" w:sz="8" w:space="0" w:color="000000" w:themeColor="text1"/>
              <w:right w:val="single" w:sz="4" w:space="0" w:color="auto"/>
            </w:tcBorders>
            <w:shd w:val="clear" w:color="auto" w:fill="BDD7EE"/>
            <w:vAlign w:val="center"/>
          </w:tcPr>
          <w:p w14:paraId="466E8543" w14:textId="77777777" w:rsidR="00025543" w:rsidRDefault="007E3A2F">
            <w:pPr>
              <w:pStyle w:val="P68B1DB1-Normal9"/>
              <w:spacing w:line="240" w:lineRule="auto"/>
              <w:jc w:val="center"/>
              <w:rPr>
                <w:rFonts w:ascii="Calibri" w:hAnsi="Calibri"/>
                <w:noProof/>
              </w:rPr>
            </w:pPr>
            <w:r>
              <w:rPr>
                <w:noProof/>
              </w:rPr>
              <w:t xml:space="preserve">Calendrier indicatif de réalisation </w:t>
            </w:r>
          </w:p>
        </w:tc>
        <w:tc>
          <w:tcPr>
            <w:tcW w:w="3989"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18FB401F" w14:textId="77777777" w:rsidR="00025543" w:rsidRDefault="007E3A2F">
            <w:pPr>
              <w:pStyle w:val="P68B1DB1-Normal9"/>
              <w:spacing w:line="240" w:lineRule="auto"/>
              <w:jc w:val="center"/>
              <w:rPr>
                <w:rFonts w:ascii="Calibri" w:hAnsi="Calibri"/>
                <w:noProof/>
              </w:rPr>
            </w:pPr>
            <w:r>
              <w:rPr>
                <w:noProof/>
              </w:rPr>
              <w:t>Description de chaque jalon et cible</w:t>
            </w:r>
          </w:p>
        </w:tc>
      </w:tr>
      <w:tr w:rsidR="00025543" w14:paraId="6FF239D5" w14:textId="77777777">
        <w:trPr>
          <w:trHeight w:val="420"/>
          <w:tblHeader/>
        </w:trPr>
        <w:tc>
          <w:tcPr>
            <w:tcW w:w="715" w:type="dxa"/>
            <w:vMerge/>
            <w:tcBorders>
              <w:top w:val="single" w:sz="8" w:space="0" w:color="000000" w:themeColor="text1"/>
              <w:left w:val="single" w:sz="4" w:space="0" w:color="auto"/>
              <w:bottom w:val="single" w:sz="8" w:space="0" w:color="000000" w:themeColor="text1"/>
              <w:right w:val="single" w:sz="8" w:space="0" w:color="000000" w:themeColor="text1"/>
            </w:tcBorders>
            <w:vAlign w:val="center"/>
          </w:tcPr>
          <w:p w14:paraId="60CEA807" w14:textId="77777777" w:rsidR="00025543" w:rsidRDefault="00025543">
            <w:pPr>
              <w:spacing w:line="240" w:lineRule="auto"/>
              <w:rPr>
                <w:rFonts w:ascii="Calibri" w:hAnsi="Calibri"/>
                <w:noProof/>
                <w:sz w:val="18"/>
              </w:rPr>
            </w:pPr>
          </w:p>
        </w:tc>
        <w:tc>
          <w:tcPr>
            <w:tcW w:w="222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10F32D" w14:textId="77777777" w:rsidR="00025543" w:rsidRDefault="00025543">
            <w:pPr>
              <w:spacing w:line="240" w:lineRule="auto"/>
              <w:rPr>
                <w:rFonts w:ascii="Calibri" w:hAnsi="Calibri"/>
                <w:noProof/>
                <w:sz w:val="18"/>
              </w:rPr>
            </w:pPr>
          </w:p>
        </w:tc>
        <w:tc>
          <w:tcPr>
            <w:tcW w:w="1134" w:type="dxa"/>
            <w:vMerge/>
            <w:tcBorders>
              <w:top w:val="single" w:sz="8" w:space="0" w:color="000000" w:themeColor="text1"/>
              <w:left w:val="single" w:sz="8" w:space="0" w:color="000000" w:themeColor="text1"/>
              <w:bottom w:val="single" w:sz="4" w:space="0" w:color="auto"/>
              <w:right w:val="single" w:sz="8" w:space="0" w:color="000000" w:themeColor="text1"/>
            </w:tcBorders>
            <w:vAlign w:val="center"/>
          </w:tcPr>
          <w:p w14:paraId="6C4DEEFF" w14:textId="77777777" w:rsidR="00025543" w:rsidRDefault="00025543">
            <w:pPr>
              <w:spacing w:line="240" w:lineRule="auto"/>
              <w:rPr>
                <w:rFonts w:ascii="Calibri" w:hAnsi="Calibri"/>
                <w:noProof/>
                <w:sz w:val="18"/>
              </w:rPr>
            </w:pPr>
          </w:p>
        </w:tc>
        <w:tc>
          <w:tcPr>
            <w:tcW w:w="160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D68AFA" w14:textId="77777777" w:rsidR="00025543" w:rsidRDefault="00025543">
            <w:pPr>
              <w:spacing w:line="240" w:lineRule="auto"/>
              <w:rPr>
                <w:rFonts w:ascii="Calibri" w:hAnsi="Calibri"/>
                <w:noProof/>
                <w:sz w:val="18"/>
              </w:rPr>
            </w:pPr>
          </w:p>
        </w:tc>
        <w:tc>
          <w:tcPr>
            <w:tcW w:w="1134" w:type="dxa"/>
            <w:vMerge/>
            <w:tcBorders>
              <w:left w:val="single" w:sz="8" w:space="0" w:color="000000" w:themeColor="text1"/>
            </w:tcBorders>
            <w:vAlign w:val="center"/>
          </w:tcPr>
          <w:p w14:paraId="359E404F" w14:textId="77777777" w:rsidR="00025543" w:rsidRDefault="00025543">
            <w:pPr>
              <w:spacing w:line="240" w:lineRule="auto"/>
              <w:rPr>
                <w:rFonts w:ascii="Calibri" w:hAnsi="Calibri"/>
                <w:noProof/>
                <w:sz w:val="18"/>
              </w:rPr>
            </w:pPr>
          </w:p>
        </w:tc>
        <w:tc>
          <w:tcPr>
            <w:tcW w:w="1073"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BDD7EE"/>
            <w:vAlign w:val="center"/>
          </w:tcPr>
          <w:p w14:paraId="1315E5FA" w14:textId="77777777" w:rsidR="00025543" w:rsidRDefault="007E3A2F">
            <w:pPr>
              <w:pStyle w:val="P68B1DB1-Normal9"/>
              <w:spacing w:line="240" w:lineRule="auto"/>
              <w:jc w:val="center"/>
              <w:rPr>
                <w:rFonts w:ascii="Calibri" w:hAnsi="Calibri"/>
                <w:noProof/>
              </w:rPr>
            </w:pPr>
            <w:r>
              <w:rPr>
                <w:noProof/>
              </w:rPr>
              <w:t>Unité de mesure</w:t>
            </w:r>
          </w:p>
        </w:tc>
        <w:tc>
          <w:tcPr>
            <w:tcW w:w="1073"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tcPr>
          <w:p w14:paraId="4A24620A" w14:textId="77777777" w:rsidR="00025543" w:rsidRDefault="007E3A2F">
            <w:pPr>
              <w:pStyle w:val="P68B1DB1-Normal9"/>
              <w:spacing w:line="240" w:lineRule="auto"/>
              <w:jc w:val="center"/>
              <w:rPr>
                <w:rFonts w:ascii="Calibri" w:hAnsi="Calibri"/>
                <w:noProof/>
              </w:rPr>
            </w:pPr>
            <w:r>
              <w:rPr>
                <w:noProof/>
              </w:rPr>
              <w:t xml:space="preserve">Scénario de référence </w:t>
            </w:r>
          </w:p>
        </w:tc>
        <w:tc>
          <w:tcPr>
            <w:tcW w:w="677"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tcPr>
          <w:p w14:paraId="70D1F8A4" w14:textId="77777777" w:rsidR="00025543" w:rsidRDefault="007E3A2F">
            <w:pPr>
              <w:pStyle w:val="P68B1DB1-Normal9"/>
              <w:spacing w:line="240" w:lineRule="auto"/>
              <w:jc w:val="center"/>
              <w:rPr>
                <w:rFonts w:ascii="Calibri" w:hAnsi="Calibri"/>
                <w:noProof/>
              </w:rPr>
            </w:pPr>
            <w:r>
              <w:rPr>
                <w:noProof/>
              </w:rPr>
              <w:t xml:space="preserve">Objectif </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vAlign w:val="center"/>
          </w:tcPr>
          <w:p w14:paraId="423C91B5" w14:textId="77777777" w:rsidR="00025543" w:rsidRDefault="007E3A2F">
            <w:pPr>
              <w:pStyle w:val="P68B1DB1-Normal9"/>
              <w:spacing w:line="240" w:lineRule="auto"/>
              <w:jc w:val="center"/>
              <w:rPr>
                <w:rFonts w:ascii="Calibri" w:hAnsi="Calibri"/>
                <w:noProof/>
              </w:rPr>
            </w:pPr>
            <w:r>
              <w:rPr>
                <w:noProof/>
              </w:rPr>
              <w:t>Trimestre</w:t>
            </w:r>
          </w:p>
        </w:tc>
        <w:tc>
          <w:tcPr>
            <w:tcW w:w="677" w:type="dxa"/>
            <w:tcBorders>
              <w:top w:val="nil"/>
              <w:left w:val="single" w:sz="8" w:space="0" w:color="000000" w:themeColor="text1"/>
              <w:bottom w:val="single" w:sz="8" w:space="0" w:color="000000" w:themeColor="text1"/>
              <w:right w:val="single" w:sz="4" w:space="0" w:color="auto"/>
            </w:tcBorders>
            <w:shd w:val="clear" w:color="auto" w:fill="BDD7EE"/>
            <w:vAlign w:val="center"/>
          </w:tcPr>
          <w:p w14:paraId="28AE9669" w14:textId="77777777" w:rsidR="00025543" w:rsidRDefault="007E3A2F">
            <w:pPr>
              <w:pStyle w:val="P68B1DB1-Normal9"/>
              <w:spacing w:line="240" w:lineRule="auto"/>
              <w:jc w:val="center"/>
              <w:rPr>
                <w:rFonts w:ascii="Calibri" w:hAnsi="Calibri"/>
                <w:noProof/>
              </w:rPr>
            </w:pPr>
            <w:r>
              <w:rPr>
                <w:noProof/>
              </w:rPr>
              <w:t>Année</w:t>
            </w:r>
          </w:p>
        </w:tc>
        <w:tc>
          <w:tcPr>
            <w:tcW w:w="3989" w:type="dxa"/>
            <w:vMerge/>
            <w:tcBorders>
              <w:bottom w:val="single" w:sz="4" w:space="0" w:color="auto"/>
              <w:right w:val="single" w:sz="4" w:space="0" w:color="auto"/>
            </w:tcBorders>
            <w:vAlign w:val="center"/>
          </w:tcPr>
          <w:p w14:paraId="4CCD02D3" w14:textId="77777777" w:rsidR="00025543" w:rsidRDefault="00025543">
            <w:pPr>
              <w:spacing w:line="240" w:lineRule="auto"/>
              <w:rPr>
                <w:rFonts w:ascii="Calibri" w:hAnsi="Calibri"/>
                <w:noProof/>
                <w:sz w:val="18"/>
              </w:rPr>
            </w:pPr>
          </w:p>
        </w:tc>
      </w:tr>
      <w:tr w:rsidR="00025543" w14:paraId="5C005225" w14:textId="77777777">
        <w:trPr>
          <w:trHeight w:val="315"/>
        </w:trPr>
        <w:tc>
          <w:tcPr>
            <w:tcW w:w="7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AA190C6" w14:textId="77777777" w:rsidR="00025543" w:rsidRDefault="007E3A2F">
            <w:pPr>
              <w:pStyle w:val="P68B1DB1-Normal15"/>
              <w:spacing w:line="240" w:lineRule="auto"/>
              <w:jc w:val="center"/>
              <w:rPr>
                <w:rFonts w:ascii="Calibri" w:hAnsi="Calibri"/>
                <w:noProof/>
              </w:rPr>
            </w:pPr>
            <w:r>
              <w:rPr>
                <w:noProof/>
              </w:rPr>
              <w:t>115</w:t>
            </w:r>
          </w:p>
        </w:tc>
        <w:tc>
          <w:tcPr>
            <w:tcW w:w="22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33BC116" w14:textId="77777777" w:rsidR="00025543" w:rsidRDefault="007E3A2F">
            <w:pPr>
              <w:pStyle w:val="P68B1DB1-Normal15"/>
              <w:spacing w:line="240" w:lineRule="auto"/>
              <w:rPr>
                <w:rFonts w:ascii="Calibri" w:hAnsi="Calibri"/>
                <w:noProof/>
              </w:rPr>
            </w:pPr>
            <w:r>
              <w:rPr>
                <w:noProof/>
              </w:rPr>
              <w:t xml:space="preserve">Investissement 1: Construction d’infrastructures pour les transports publics dans la ville de Prague </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066B5BF0" w14:textId="77777777" w:rsidR="00025543" w:rsidRDefault="007E3A2F">
            <w:pPr>
              <w:pStyle w:val="P68B1DB1-Normal15"/>
              <w:spacing w:line="240" w:lineRule="auto"/>
              <w:rPr>
                <w:rFonts w:ascii="Calibri" w:hAnsi="Calibri"/>
                <w:noProof/>
              </w:rPr>
            </w:pPr>
            <w:r>
              <w:rPr>
                <w:noProof/>
              </w:rPr>
              <w:t>Cible</w:t>
            </w:r>
          </w:p>
        </w:tc>
        <w:tc>
          <w:tcPr>
            <w:tcW w:w="16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FB2ABBA" w14:textId="77777777" w:rsidR="00025543" w:rsidRDefault="007E3A2F">
            <w:pPr>
              <w:pStyle w:val="P68B1DB1-Normal15"/>
              <w:spacing w:line="240" w:lineRule="auto"/>
              <w:rPr>
                <w:rFonts w:ascii="Calibri" w:hAnsi="Calibri"/>
                <w:noProof/>
              </w:rPr>
            </w:pPr>
            <w:r>
              <w:rPr>
                <w:noProof/>
              </w:rPr>
              <w:t>Nombre de points de recharge pour la ville de Prague</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6472D87B" w14:textId="77777777" w:rsidR="00025543" w:rsidRDefault="007E3A2F">
            <w:pPr>
              <w:pStyle w:val="P68B1DB1-Normal15"/>
              <w:spacing w:line="240" w:lineRule="auto"/>
              <w:rPr>
                <w:rFonts w:ascii="Calibri" w:hAnsi="Calibri"/>
                <w:noProof/>
              </w:rPr>
            </w:pPr>
            <w:r>
              <w:rPr>
                <w:noProof/>
              </w:rPr>
              <w:t xml:space="preserve"> </w:t>
            </w:r>
          </w:p>
        </w:tc>
        <w:tc>
          <w:tcPr>
            <w:tcW w:w="10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4E7E5B0" w14:textId="77777777" w:rsidR="00025543" w:rsidRDefault="007E3A2F">
            <w:pPr>
              <w:pStyle w:val="P68B1DB1-Normal15"/>
              <w:spacing w:line="240" w:lineRule="auto"/>
              <w:rPr>
                <w:rFonts w:ascii="Calibri" w:hAnsi="Calibri"/>
                <w:noProof/>
              </w:rPr>
            </w:pPr>
            <w:r>
              <w:rPr>
                <w:noProof/>
              </w:rPr>
              <w:t>Numéro</w:t>
            </w:r>
          </w:p>
        </w:tc>
        <w:tc>
          <w:tcPr>
            <w:tcW w:w="10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F636634" w14:textId="77777777" w:rsidR="00025543" w:rsidRDefault="007E3A2F">
            <w:pPr>
              <w:pStyle w:val="P68B1DB1-Normal15"/>
              <w:spacing w:line="240" w:lineRule="auto"/>
              <w:jc w:val="center"/>
              <w:rPr>
                <w:rFonts w:ascii="Calibri" w:hAnsi="Calibri"/>
                <w:noProof/>
              </w:rPr>
            </w:pPr>
            <w:r>
              <w:rPr>
                <w:noProof/>
              </w:rPr>
              <w:t>0</w:t>
            </w:r>
          </w:p>
        </w:tc>
        <w:tc>
          <w:tcPr>
            <w:tcW w:w="6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354CDDA" w14:textId="77777777" w:rsidR="00025543" w:rsidRDefault="007E3A2F">
            <w:pPr>
              <w:pStyle w:val="P68B1DB1-Normal15"/>
              <w:spacing w:line="240" w:lineRule="auto"/>
              <w:jc w:val="center"/>
              <w:rPr>
                <w:rFonts w:ascii="Calibri" w:hAnsi="Calibri"/>
                <w:noProof/>
              </w:rPr>
            </w:pPr>
            <w:r>
              <w:rPr>
                <w:noProof/>
              </w:rPr>
              <w:t>52</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76A12DD" w14:textId="77777777" w:rsidR="00025543" w:rsidRDefault="007E3A2F">
            <w:pPr>
              <w:pStyle w:val="P68B1DB1-Normal15"/>
              <w:spacing w:line="240" w:lineRule="auto"/>
              <w:jc w:val="center"/>
              <w:rPr>
                <w:rFonts w:ascii="Calibri" w:hAnsi="Calibri"/>
                <w:noProof/>
              </w:rPr>
            </w:pPr>
            <w:r>
              <w:rPr>
                <w:noProof/>
              </w:rPr>
              <w:t>TRIMESTRE 4</w:t>
            </w:r>
          </w:p>
        </w:tc>
        <w:tc>
          <w:tcPr>
            <w:tcW w:w="6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B628CFD" w14:textId="77777777" w:rsidR="00025543" w:rsidRDefault="007E3A2F">
            <w:pPr>
              <w:pStyle w:val="P68B1DB1-Normal15"/>
              <w:spacing w:line="240" w:lineRule="auto"/>
              <w:jc w:val="center"/>
              <w:rPr>
                <w:noProof/>
              </w:rPr>
            </w:pPr>
            <w:r>
              <w:rPr>
                <w:noProof/>
              </w:rPr>
              <w:t>2025</w:t>
            </w:r>
          </w:p>
        </w:tc>
        <w:tc>
          <w:tcPr>
            <w:tcW w:w="3989"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4EC7A48B" w14:textId="77777777" w:rsidR="00025543" w:rsidRDefault="007E3A2F">
            <w:pPr>
              <w:pStyle w:val="P68B1DB1-Normal15"/>
              <w:spacing w:line="240" w:lineRule="auto"/>
              <w:rPr>
                <w:rFonts w:ascii="Calibri" w:hAnsi="Calibri"/>
                <w:noProof/>
              </w:rPr>
            </w:pPr>
            <w:r>
              <w:rPr>
                <w:noProof/>
              </w:rPr>
              <w:t xml:space="preserve">Au moins 52 nouveaux points de recharge sont opérationnels pour la ville de Prague. </w:t>
            </w:r>
          </w:p>
        </w:tc>
      </w:tr>
      <w:tr w:rsidR="00025543" w14:paraId="7A9E6D28" w14:textId="77777777">
        <w:trPr>
          <w:trHeight w:val="315"/>
        </w:trPr>
        <w:tc>
          <w:tcPr>
            <w:tcW w:w="7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35C33A1" w14:textId="77777777" w:rsidR="00025543" w:rsidRDefault="007E3A2F">
            <w:pPr>
              <w:pStyle w:val="P68B1DB1-Normal15"/>
              <w:spacing w:line="240" w:lineRule="auto"/>
              <w:jc w:val="center"/>
              <w:rPr>
                <w:rFonts w:ascii="Calibri" w:hAnsi="Calibri"/>
                <w:noProof/>
              </w:rPr>
            </w:pPr>
            <w:r>
              <w:rPr>
                <w:noProof/>
              </w:rPr>
              <w:t>116</w:t>
            </w:r>
          </w:p>
        </w:tc>
        <w:tc>
          <w:tcPr>
            <w:tcW w:w="22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3356754" w14:textId="77777777" w:rsidR="00025543" w:rsidRDefault="007E3A2F">
            <w:pPr>
              <w:pStyle w:val="P68B1DB1-Normal15"/>
              <w:spacing w:line="240" w:lineRule="auto"/>
              <w:rPr>
                <w:rFonts w:ascii="Calibri" w:hAnsi="Calibri"/>
                <w:noProof/>
              </w:rPr>
            </w:pPr>
            <w:r>
              <w:rPr>
                <w:noProof/>
              </w:rPr>
              <w:t xml:space="preserve">Investissement 1: Construction d’infrastructures pour les transports publics dans la ville de Prague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2C9D210" w14:textId="77777777" w:rsidR="00025543" w:rsidRDefault="007E3A2F">
            <w:pPr>
              <w:pStyle w:val="P68B1DB1-Normal15"/>
              <w:spacing w:line="240" w:lineRule="auto"/>
              <w:rPr>
                <w:rFonts w:ascii="Calibri" w:hAnsi="Calibri"/>
                <w:noProof/>
              </w:rPr>
            </w:pPr>
            <w:r>
              <w:rPr>
                <w:noProof/>
              </w:rPr>
              <w:t>Cible</w:t>
            </w:r>
          </w:p>
        </w:tc>
        <w:tc>
          <w:tcPr>
            <w:tcW w:w="16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38C93C4" w14:textId="3CFB10D5" w:rsidR="00025543" w:rsidRDefault="007E3A2F">
            <w:pPr>
              <w:pStyle w:val="P68B1DB1-Normal15"/>
              <w:spacing w:line="240" w:lineRule="auto"/>
              <w:rPr>
                <w:rFonts w:ascii="Calibri" w:hAnsi="Calibri"/>
                <w:noProof/>
              </w:rPr>
            </w:pPr>
            <w:r>
              <w:rPr>
                <w:noProof/>
              </w:rPr>
              <w:t xml:space="preserve">Nombre de kilomètres de route de tarification dynamique pour la ville de Prague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30DABE1" w14:textId="77777777" w:rsidR="00025543" w:rsidRDefault="007E3A2F">
            <w:pPr>
              <w:pStyle w:val="P68B1DB1-Normal15"/>
              <w:spacing w:line="240" w:lineRule="auto"/>
              <w:rPr>
                <w:rFonts w:ascii="Calibri" w:hAnsi="Calibri"/>
                <w:noProof/>
              </w:rPr>
            </w:pPr>
            <w:r>
              <w:rPr>
                <w:noProof/>
              </w:rPr>
              <w:t xml:space="preserve"> </w:t>
            </w:r>
          </w:p>
        </w:tc>
        <w:tc>
          <w:tcPr>
            <w:tcW w:w="10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E87C33C" w14:textId="77777777" w:rsidR="00025543" w:rsidRDefault="007E3A2F">
            <w:pPr>
              <w:pStyle w:val="P68B1DB1-Normal15"/>
              <w:spacing w:line="240" w:lineRule="auto"/>
              <w:rPr>
                <w:rFonts w:ascii="Calibri" w:hAnsi="Calibri"/>
                <w:noProof/>
              </w:rPr>
            </w:pPr>
            <w:r>
              <w:rPr>
                <w:noProof/>
              </w:rPr>
              <w:t xml:space="preserve">Km de </w:t>
            </w:r>
          </w:p>
        </w:tc>
        <w:tc>
          <w:tcPr>
            <w:tcW w:w="10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959AF3C" w14:textId="77777777" w:rsidR="00025543" w:rsidRDefault="007E3A2F">
            <w:pPr>
              <w:pStyle w:val="P68B1DB1-Normal15"/>
              <w:spacing w:line="240" w:lineRule="auto"/>
              <w:jc w:val="center"/>
              <w:rPr>
                <w:rFonts w:ascii="Calibri" w:hAnsi="Calibri"/>
                <w:noProof/>
              </w:rPr>
            </w:pPr>
            <w:r>
              <w:rPr>
                <w:noProof/>
              </w:rPr>
              <w:t>0</w:t>
            </w:r>
          </w:p>
        </w:tc>
        <w:tc>
          <w:tcPr>
            <w:tcW w:w="6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0A473DB" w14:textId="77777777" w:rsidR="00025543" w:rsidRDefault="007E3A2F">
            <w:pPr>
              <w:pStyle w:val="P68B1DB1-Normal15"/>
              <w:spacing w:line="240" w:lineRule="auto"/>
              <w:jc w:val="center"/>
              <w:rPr>
                <w:rFonts w:ascii="Calibri" w:hAnsi="Calibri"/>
                <w:noProof/>
              </w:rPr>
            </w:pPr>
            <w:r>
              <w:rPr>
                <w:noProof/>
              </w:rPr>
              <w:t>40</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FFD50FC" w14:textId="06C1985E" w:rsidR="00025543" w:rsidRDefault="007E3A2F">
            <w:pPr>
              <w:pStyle w:val="P68B1DB1-Normal15"/>
              <w:spacing w:line="240" w:lineRule="auto"/>
              <w:jc w:val="center"/>
              <w:rPr>
                <w:rFonts w:ascii="Calibri" w:hAnsi="Calibri"/>
                <w:noProof/>
              </w:rPr>
            </w:pPr>
            <w:r>
              <w:rPr>
                <w:noProof/>
              </w:rPr>
              <w:t>TRIMESTRE 2</w:t>
            </w:r>
          </w:p>
        </w:tc>
        <w:tc>
          <w:tcPr>
            <w:tcW w:w="6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4187E69" w14:textId="4BFF1195" w:rsidR="00025543" w:rsidRDefault="007E3A2F">
            <w:pPr>
              <w:pStyle w:val="P68B1DB1-Normal15"/>
              <w:spacing w:line="240" w:lineRule="auto"/>
              <w:jc w:val="center"/>
              <w:rPr>
                <w:noProof/>
              </w:rPr>
            </w:pPr>
            <w:r>
              <w:rPr>
                <w:noProof/>
              </w:rPr>
              <w:t>2026</w:t>
            </w:r>
          </w:p>
        </w:tc>
        <w:tc>
          <w:tcPr>
            <w:tcW w:w="3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AB631BA" w14:textId="77777777" w:rsidR="00025543" w:rsidRDefault="007E3A2F">
            <w:pPr>
              <w:pStyle w:val="P68B1DB1-Normal15"/>
              <w:spacing w:line="240" w:lineRule="auto"/>
              <w:rPr>
                <w:noProof/>
                <w:highlight w:val="yellow"/>
              </w:rPr>
            </w:pPr>
            <w:r>
              <w:rPr>
                <w:noProof/>
              </w:rPr>
              <w:t xml:space="preserve">Au moins 40 km de route de recharge dynamique pour le trolleybus à batterie pour la ville de Prague doivent être prêts à fonctionner. </w:t>
            </w:r>
          </w:p>
        </w:tc>
      </w:tr>
      <w:tr w:rsidR="00025543" w14:paraId="680C13A7" w14:textId="77777777">
        <w:trPr>
          <w:trHeight w:val="315"/>
        </w:trPr>
        <w:tc>
          <w:tcPr>
            <w:tcW w:w="7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ACE8767" w14:textId="77777777" w:rsidR="00025543" w:rsidRDefault="007E3A2F">
            <w:pPr>
              <w:pStyle w:val="P68B1DB1-Normal15"/>
              <w:spacing w:line="240" w:lineRule="auto"/>
              <w:jc w:val="center"/>
              <w:rPr>
                <w:rFonts w:ascii="Calibri" w:hAnsi="Calibri"/>
                <w:noProof/>
              </w:rPr>
            </w:pPr>
            <w:r>
              <w:rPr>
                <w:noProof/>
              </w:rPr>
              <w:t>117</w:t>
            </w:r>
          </w:p>
        </w:tc>
        <w:tc>
          <w:tcPr>
            <w:tcW w:w="22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02D353C" w14:textId="77777777" w:rsidR="00025543" w:rsidRDefault="007E3A2F">
            <w:pPr>
              <w:pStyle w:val="P68B1DB1-Normal15"/>
              <w:spacing w:line="240" w:lineRule="auto"/>
              <w:rPr>
                <w:rFonts w:ascii="Calibri" w:hAnsi="Calibri"/>
                <w:noProof/>
              </w:rPr>
            </w:pPr>
            <w:r>
              <w:rPr>
                <w:noProof/>
              </w:rPr>
              <w:t xml:space="preserve">Investissement 2: Infrastructure immobilière — points de recharge pour les entreprises privées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1602F30" w14:textId="77777777" w:rsidR="00025543" w:rsidRDefault="007E3A2F">
            <w:pPr>
              <w:pStyle w:val="P68B1DB1-Normal15"/>
              <w:spacing w:line="240" w:lineRule="auto"/>
              <w:rPr>
                <w:rFonts w:ascii="Calibri" w:hAnsi="Calibri"/>
                <w:noProof/>
              </w:rPr>
            </w:pPr>
            <w:r>
              <w:rPr>
                <w:noProof/>
              </w:rPr>
              <w:t>Cible</w:t>
            </w:r>
          </w:p>
        </w:tc>
        <w:tc>
          <w:tcPr>
            <w:tcW w:w="16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1FF2FF6" w14:textId="77777777" w:rsidR="00025543" w:rsidRDefault="007E3A2F">
            <w:pPr>
              <w:pStyle w:val="P68B1DB1-Normal15"/>
              <w:spacing w:line="240" w:lineRule="auto"/>
              <w:rPr>
                <w:noProof/>
              </w:rPr>
            </w:pPr>
            <w:r>
              <w:rPr>
                <w:noProof/>
              </w:rPr>
              <w:t>Nombre de points de recharge déployés pour des entreprises privées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5DFBD06" w14:textId="77777777" w:rsidR="00025543" w:rsidRDefault="007E3A2F">
            <w:pPr>
              <w:pStyle w:val="P68B1DB1-Normal15"/>
              <w:spacing w:line="240" w:lineRule="auto"/>
              <w:rPr>
                <w:rFonts w:ascii="Calibri" w:hAnsi="Calibri"/>
                <w:noProof/>
              </w:rPr>
            </w:pPr>
            <w:r>
              <w:rPr>
                <w:noProof/>
              </w:rPr>
              <w:t xml:space="preserve"> </w:t>
            </w:r>
          </w:p>
        </w:tc>
        <w:tc>
          <w:tcPr>
            <w:tcW w:w="10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3633BAF" w14:textId="77777777" w:rsidR="00025543" w:rsidRDefault="007E3A2F">
            <w:pPr>
              <w:pStyle w:val="P68B1DB1-Normal15"/>
              <w:spacing w:line="240" w:lineRule="auto"/>
              <w:rPr>
                <w:rFonts w:ascii="Calibri" w:hAnsi="Calibri"/>
                <w:noProof/>
              </w:rPr>
            </w:pPr>
            <w:r>
              <w:rPr>
                <w:noProof/>
              </w:rPr>
              <w:t xml:space="preserve">Numéro de  </w:t>
            </w:r>
          </w:p>
        </w:tc>
        <w:tc>
          <w:tcPr>
            <w:tcW w:w="10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0F5A4BB" w14:textId="77777777" w:rsidR="00025543" w:rsidRDefault="007E3A2F">
            <w:pPr>
              <w:pStyle w:val="P68B1DB1-Normal15"/>
              <w:spacing w:line="240" w:lineRule="auto"/>
              <w:jc w:val="center"/>
              <w:rPr>
                <w:rFonts w:ascii="Calibri" w:hAnsi="Calibri"/>
                <w:noProof/>
              </w:rPr>
            </w:pPr>
            <w:r>
              <w:rPr>
                <w:noProof/>
              </w:rPr>
              <w:t>0</w:t>
            </w:r>
          </w:p>
        </w:tc>
        <w:tc>
          <w:tcPr>
            <w:tcW w:w="6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ABD7306" w14:textId="77777777" w:rsidR="00025543" w:rsidRDefault="007E3A2F">
            <w:pPr>
              <w:pStyle w:val="P68B1DB1-Normal15"/>
              <w:spacing w:line="240" w:lineRule="auto"/>
              <w:jc w:val="center"/>
              <w:rPr>
                <w:rFonts w:ascii="Calibri" w:hAnsi="Calibri"/>
                <w:noProof/>
              </w:rPr>
            </w:pPr>
            <w:r>
              <w:rPr>
                <w:noProof/>
              </w:rPr>
              <w:t>1500</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0F285E5" w14:textId="77777777" w:rsidR="00025543" w:rsidRDefault="007E3A2F">
            <w:pPr>
              <w:pStyle w:val="P68B1DB1-Normal15"/>
              <w:spacing w:line="240" w:lineRule="auto"/>
              <w:jc w:val="center"/>
              <w:rPr>
                <w:rFonts w:ascii="Calibri" w:hAnsi="Calibri"/>
                <w:noProof/>
              </w:rPr>
            </w:pPr>
            <w:r>
              <w:rPr>
                <w:noProof/>
              </w:rPr>
              <w:t>TRIMESTRE 4</w:t>
            </w:r>
          </w:p>
        </w:tc>
        <w:tc>
          <w:tcPr>
            <w:tcW w:w="6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3077E6E" w14:textId="77777777" w:rsidR="00025543" w:rsidRDefault="007E3A2F">
            <w:pPr>
              <w:pStyle w:val="P68B1DB1-Normal15"/>
              <w:spacing w:line="240" w:lineRule="auto"/>
              <w:jc w:val="center"/>
              <w:rPr>
                <w:noProof/>
              </w:rPr>
            </w:pPr>
            <w:r>
              <w:rPr>
                <w:noProof/>
              </w:rPr>
              <w:t>2025</w:t>
            </w:r>
          </w:p>
        </w:tc>
        <w:tc>
          <w:tcPr>
            <w:tcW w:w="3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18A0C71" w14:textId="13526D41" w:rsidR="00025543" w:rsidRDefault="007E3A2F">
            <w:pPr>
              <w:pStyle w:val="P68B1DB1-Normal15"/>
              <w:spacing w:line="240" w:lineRule="auto"/>
              <w:rPr>
                <w:rFonts w:ascii="Calibri" w:hAnsi="Calibri"/>
                <w:noProof/>
              </w:rPr>
            </w:pPr>
            <w:r>
              <w:rPr>
                <w:noProof/>
              </w:rPr>
              <w:t xml:space="preserve">Au moins 1500 nouveaux points de recharge sont opérationnels. </w:t>
            </w:r>
          </w:p>
        </w:tc>
      </w:tr>
      <w:tr w:rsidR="00025543" w14:paraId="2CEF153F" w14:textId="77777777">
        <w:trPr>
          <w:trHeight w:val="315"/>
        </w:trPr>
        <w:tc>
          <w:tcPr>
            <w:tcW w:w="7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25AEE3F" w14:textId="77777777" w:rsidR="00025543" w:rsidRDefault="007E3A2F">
            <w:pPr>
              <w:pStyle w:val="P68B1DB1-Normal15"/>
              <w:spacing w:line="240" w:lineRule="auto"/>
              <w:jc w:val="center"/>
              <w:rPr>
                <w:rFonts w:ascii="Calibri" w:hAnsi="Calibri"/>
                <w:noProof/>
              </w:rPr>
            </w:pPr>
            <w:r>
              <w:rPr>
                <w:noProof/>
              </w:rPr>
              <w:t>118</w:t>
            </w:r>
          </w:p>
        </w:tc>
        <w:tc>
          <w:tcPr>
            <w:tcW w:w="22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572B509" w14:textId="77777777" w:rsidR="00025543" w:rsidRDefault="007E3A2F">
            <w:pPr>
              <w:pStyle w:val="P68B1DB1-Normal15"/>
              <w:spacing w:line="240" w:lineRule="auto"/>
              <w:rPr>
                <w:rFonts w:ascii="Calibri" w:hAnsi="Calibri"/>
                <w:noProof/>
              </w:rPr>
            </w:pPr>
            <w:r>
              <w:rPr>
                <w:noProof/>
              </w:rPr>
              <w:t xml:space="preserve">Investissement 3: Infrastructures immobilières — points de recharge pour bâtiments résidentiels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C98056A" w14:textId="77777777" w:rsidR="00025543" w:rsidRDefault="007E3A2F">
            <w:pPr>
              <w:pStyle w:val="P68B1DB1-Normal15"/>
              <w:spacing w:line="240" w:lineRule="auto"/>
              <w:rPr>
                <w:rFonts w:ascii="Calibri" w:hAnsi="Calibri"/>
                <w:noProof/>
              </w:rPr>
            </w:pPr>
            <w:r>
              <w:rPr>
                <w:noProof/>
              </w:rPr>
              <w:t xml:space="preserve"> Cible</w:t>
            </w:r>
          </w:p>
        </w:tc>
        <w:tc>
          <w:tcPr>
            <w:tcW w:w="16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F14A9F8" w14:textId="77777777" w:rsidR="00025543" w:rsidRDefault="007E3A2F">
            <w:pPr>
              <w:pStyle w:val="P68B1DB1-Normal15"/>
              <w:spacing w:line="240" w:lineRule="auto"/>
              <w:rPr>
                <w:rFonts w:ascii="Calibri" w:hAnsi="Calibri"/>
                <w:noProof/>
              </w:rPr>
            </w:pPr>
            <w:r>
              <w:rPr>
                <w:noProof/>
              </w:rPr>
              <w:t xml:space="preserve">Nombre de points de recharge déployés pour les bâtiments résidentiels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6C96FAE" w14:textId="77777777" w:rsidR="00025543" w:rsidRDefault="007E3A2F">
            <w:pPr>
              <w:pStyle w:val="P68B1DB1-Normal15"/>
              <w:spacing w:line="240" w:lineRule="auto"/>
              <w:rPr>
                <w:rFonts w:ascii="Calibri" w:hAnsi="Calibri"/>
                <w:noProof/>
              </w:rPr>
            </w:pPr>
            <w:r>
              <w:rPr>
                <w:noProof/>
              </w:rPr>
              <w:t xml:space="preserve"> </w:t>
            </w:r>
          </w:p>
        </w:tc>
        <w:tc>
          <w:tcPr>
            <w:tcW w:w="10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8CE1EEE" w14:textId="77777777" w:rsidR="00025543" w:rsidRDefault="007E3A2F">
            <w:pPr>
              <w:pStyle w:val="P68B1DB1-Normal15"/>
              <w:spacing w:line="240" w:lineRule="auto"/>
              <w:rPr>
                <w:rFonts w:ascii="Calibri" w:hAnsi="Calibri"/>
                <w:noProof/>
              </w:rPr>
            </w:pPr>
            <w:r>
              <w:rPr>
                <w:noProof/>
              </w:rPr>
              <w:t xml:space="preserve">Numéro de  </w:t>
            </w:r>
          </w:p>
        </w:tc>
        <w:tc>
          <w:tcPr>
            <w:tcW w:w="10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6857D8F" w14:textId="77777777" w:rsidR="00025543" w:rsidRDefault="007E3A2F">
            <w:pPr>
              <w:pStyle w:val="P68B1DB1-Normal15"/>
              <w:spacing w:line="240" w:lineRule="auto"/>
              <w:jc w:val="center"/>
              <w:rPr>
                <w:rFonts w:ascii="Calibri" w:hAnsi="Calibri"/>
                <w:noProof/>
              </w:rPr>
            </w:pPr>
            <w:r>
              <w:rPr>
                <w:noProof/>
              </w:rPr>
              <w:t>0</w:t>
            </w:r>
          </w:p>
        </w:tc>
        <w:tc>
          <w:tcPr>
            <w:tcW w:w="6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A2E9C69" w14:textId="77777777" w:rsidR="00025543" w:rsidRDefault="007E3A2F">
            <w:pPr>
              <w:pStyle w:val="P68B1DB1-Normal15"/>
              <w:spacing w:line="240" w:lineRule="auto"/>
              <w:jc w:val="center"/>
              <w:rPr>
                <w:rFonts w:ascii="Calibri" w:hAnsi="Calibri"/>
                <w:noProof/>
              </w:rPr>
            </w:pPr>
            <w:r>
              <w:rPr>
                <w:noProof/>
              </w:rPr>
              <w:t>2 880</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9332A3C" w14:textId="77777777" w:rsidR="00025543" w:rsidRDefault="007E3A2F">
            <w:pPr>
              <w:pStyle w:val="P68B1DB1-Normal15"/>
              <w:spacing w:line="240" w:lineRule="auto"/>
              <w:jc w:val="center"/>
              <w:rPr>
                <w:rFonts w:ascii="Calibri" w:hAnsi="Calibri"/>
                <w:noProof/>
              </w:rPr>
            </w:pPr>
            <w:r>
              <w:rPr>
                <w:noProof/>
              </w:rPr>
              <w:t>TRIMESTRE 4</w:t>
            </w:r>
          </w:p>
        </w:tc>
        <w:tc>
          <w:tcPr>
            <w:tcW w:w="6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AE7FB38" w14:textId="77777777" w:rsidR="00025543" w:rsidRDefault="007E3A2F">
            <w:pPr>
              <w:pStyle w:val="P68B1DB1-Normal15"/>
              <w:spacing w:line="240" w:lineRule="auto"/>
              <w:jc w:val="center"/>
              <w:rPr>
                <w:noProof/>
              </w:rPr>
            </w:pPr>
            <w:r>
              <w:rPr>
                <w:noProof/>
              </w:rPr>
              <w:t>2025</w:t>
            </w:r>
          </w:p>
        </w:tc>
        <w:tc>
          <w:tcPr>
            <w:tcW w:w="3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09D4866" w14:textId="77777777" w:rsidR="00025543" w:rsidRDefault="007E3A2F">
            <w:pPr>
              <w:pStyle w:val="P68B1DB1-Normal15"/>
              <w:spacing w:line="240" w:lineRule="auto"/>
              <w:rPr>
                <w:noProof/>
              </w:rPr>
            </w:pPr>
            <w:r>
              <w:rPr>
                <w:noProof/>
              </w:rPr>
              <w:t xml:space="preserve"> Au moins 2880 nouveaux points de recharge sont opérationnels. </w:t>
            </w:r>
          </w:p>
        </w:tc>
      </w:tr>
      <w:tr w:rsidR="00025543" w14:paraId="684FA013" w14:textId="77777777">
        <w:trPr>
          <w:trHeight w:val="315"/>
        </w:trPr>
        <w:tc>
          <w:tcPr>
            <w:tcW w:w="7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B0EE176" w14:textId="77777777" w:rsidR="00025543" w:rsidRDefault="007E3A2F">
            <w:pPr>
              <w:pStyle w:val="P68B1DB1-Normal15"/>
              <w:spacing w:line="240" w:lineRule="auto"/>
              <w:jc w:val="center"/>
              <w:rPr>
                <w:rFonts w:ascii="Calibri" w:hAnsi="Calibri"/>
                <w:noProof/>
              </w:rPr>
            </w:pPr>
            <w:r>
              <w:rPr>
                <w:noProof/>
              </w:rPr>
              <w:t>119</w:t>
            </w:r>
          </w:p>
        </w:tc>
        <w:tc>
          <w:tcPr>
            <w:tcW w:w="22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4EC4D76" w14:textId="77777777" w:rsidR="00025543" w:rsidRDefault="007E3A2F">
            <w:pPr>
              <w:pStyle w:val="P68B1DB1-Normal15"/>
              <w:spacing w:line="240" w:lineRule="auto"/>
              <w:rPr>
                <w:rFonts w:ascii="Calibri" w:hAnsi="Calibri"/>
                <w:noProof/>
              </w:rPr>
            </w:pPr>
            <w:r>
              <w:rPr>
                <w:noProof/>
              </w:rPr>
              <w:t xml:space="preserve">Investissement 4: Aides à l’achat de véhicules — véhicules (électriques, H2, vélos) pour les entreprises privées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8648527" w14:textId="77777777" w:rsidR="00025543" w:rsidRDefault="007E3A2F">
            <w:pPr>
              <w:pStyle w:val="P68B1DB1-Normal15"/>
              <w:spacing w:line="240" w:lineRule="auto"/>
              <w:rPr>
                <w:rFonts w:ascii="Calibri" w:hAnsi="Calibri"/>
                <w:noProof/>
              </w:rPr>
            </w:pPr>
            <w:r>
              <w:rPr>
                <w:noProof/>
              </w:rPr>
              <w:t xml:space="preserve"> Cible</w:t>
            </w:r>
          </w:p>
        </w:tc>
        <w:tc>
          <w:tcPr>
            <w:tcW w:w="16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3550879" w14:textId="77777777" w:rsidR="00025543" w:rsidRDefault="007E3A2F">
            <w:pPr>
              <w:pStyle w:val="P68B1DB1-Normal15"/>
              <w:spacing w:line="240" w:lineRule="auto"/>
              <w:rPr>
                <w:noProof/>
              </w:rPr>
            </w:pPr>
            <w:r>
              <w:rPr>
                <w:noProof/>
              </w:rPr>
              <w:t xml:space="preserve"> Nombre de véhicules (électriques, H2, vélos) pour les entreprises privées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0330BF6" w14:textId="77777777" w:rsidR="00025543" w:rsidRDefault="007E3A2F">
            <w:pPr>
              <w:pStyle w:val="P68B1DB1-Normal15"/>
              <w:spacing w:line="240" w:lineRule="auto"/>
              <w:rPr>
                <w:rFonts w:ascii="Calibri" w:hAnsi="Calibri"/>
                <w:noProof/>
              </w:rPr>
            </w:pPr>
            <w:r>
              <w:rPr>
                <w:noProof/>
              </w:rPr>
              <w:t xml:space="preserve"> </w:t>
            </w:r>
          </w:p>
        </w:tc>
        <w:tc>
          <w:tcPr>
            <w:tcW w:w="10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15E9589" w14:textId="77777777" w:rsidR="00025543" w:rsidRDefault="007E3A2F">
            <w:pPr>
              <w:pStyle w:val="P68B1DB1-Normal15"/>
              <w:spacing w:line="240" w:lineRule="auto"/>
              <w:rPr>
                <w:rFonts w:ascii="Calibri" w:hAnsi="Calibri"/>
                <w:noProof/>
              </w:rPr>
            </w:pPr>
            <w:r>
              <w:rPr>
                <w:noProof/>
              </w:rPr>
              <w:t xml:space="preserve">Numéro de  </w:t>
            </w:r>
          </w:p>
        </w:tc>
        <w:tc>
          <w:tcPr>
            <w:tcW w:w="10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49B9951" w14:textId="77777777" w:rsidR="00025543" w:rsidRDefault="007E3A2F">
            <w:pPr>
              <w:pStyle w:val="P68B1DB1-Normal15"/>
              <w:spacing w:line="240" w:lineRule="auto"/>
              <w:jc w:val="center"/>
              <w:rPr>
                <w:rFonts w:ascii="Calibri" w:hAnsi="Calibri"/>
                <w:noProof/>
              </w:rPr>
            </w:pPr>
            <w:r>
              <w:rPr>
                <w:noProof/>
              </w:rPr>
              <w:t>0</w:t>
            </w:r>
          </w:p>
        </w:tc>
        <w:tc>
          <w:tcPr>
            <w:tcW w:w="6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0556528" w14:textId="5C360E35" w:rsidR="00025543" w:rsidRDefault="007E3A2F">
            <w:pPr>
              <w:pStyle w:val="P68B1DB1-Normal15"/>
              <w:spacing w:line="240" w:lineRule="auto"/>
              <w:jc w:val="center"/>
              <w:rPr>
                <w:rFonts w:ascii="Calibri" w:hAnsi="Calibri"/>
                <w:noProof/>
              </w:rPr>
            </w:pPr>
            <w:r>
              <w:rPr>
                <w:noProof/>
              </w:rPr>
              <w:t>2670</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7169A3B" w14:textId="77777777" w:rsidR="00025543" w:rsidRDefault="007E3A2F">
            <w:pPr>
              <w:pStyle w:val="P68B1DB1-Normal15"/>
              <w:spacing w:line="240" w:lineRule="auto"/>
              <w:jc w:val="center"/>
              <w:rPr>
                <w:rFonts w:ascii="Calibri" w:hAnsi="Calibri"/>
                <w:noProof/>
              </w:rPr>
            </w:pPr>
            <w:r>
              <w:rPr>
                <w:noProof/>
              </w:rPr>
              <w:t>TRIMESTRE 4</w:t>
            </w:r>
          </w:p>
        </w:tc>
        <w:tc>
          <w:tcPr>
            <w:tcW w:w="6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9279616" w14:textId="77777777" w:rsidR="00025543" w:rsidRDefault="007E3A2F">
            <w:pPr>
              <w:pStyle w:val="P68B1DB1-Normal15"/>
              <w:spacing w:line="240" w:lineRule="auto"/>
              <w:jc w:val="center"/>
              <w:rPr>
                <w:noProof/>
              </w:rPr>
            </w:pPr>
            <w:r>
              <w:rPr>
                <w:noProof/>
              </w:rPr>
              <w:t>2025</w:t>
            </w:r>
          </w:p>
        </w:tc>
        <w:tc>
          <w:tcPr>
            <w:tcW w:w="3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EB59CDE" w14:textId="1217842E" w:rsidR="00025543" w:rsidRDefault="007E3A2F">
            <w:pPr>
              <w:pStyle w:val="P68B1DB1-Normal15"/>
              <w:spacing w:line="240" w:lineRule="auto"/>
              <w:rPr>
                <w:noProof/>
              </w:rPr>
            </w:pPr>
            <w:r>
              <w:rPr>
                <w:noProof/>
              </w:rPr>
              <w:t xml:space="preserve">Au moins 2670 nouveaux véhicules à émission nulle (2170 voitures et camionnettes à émissions nulles, 500 vélos électriques cargo) destinés aux entreprises doivent être achetés. </w:t>
            </w:r>
          </w:p>
        </w:tc>
      </w:tr>
      <w:tr w:rsidR="00025543" w14:paraId="5299230A" w14:textId="77777777">
        <w:trPr>
          <w:trHeight w:val="315"/>
        </w:trPr>
        <w:tc>
          <w:tcPr>
            <w:tcW w:w="715" w:type="dxa"/>
            <w:tcBorders>
              <w:top w:val="nil"/>
              <w:left w:val="single" w:sz="8" w:space="0" w:color="000000" w:themeColor="text1"/>
              <w:bottom w:val="single" w:sz="8" w:space="0" w:color="000000" w:themeColor="text1"/>
              <w:right w:val="single" w:sz="8" w:space="0" w:color="000000" w:themeColor="text1"/>
            </w:tcBorders>
            <w:shd w:val="clear" w:color="auto" w:fill="C6EFCE"/>
            <w:vAlign w:val="center"/>
          </w:tcPr>
          <w:p w14:paraId="51BCF848" w14:textId="77777777" w:rsidR="00025543" w:rsidRDefault="007E3A2F">
            <w:pPr>
              <w:pStyle w:val="P68B1DB1-Normal15"/>
              <w:spacing w:line="240" w:lineRule="auto"/>
              <w:jc w:val="center"/>
              <w:rPr>
                <w:rFonts w:ascii="Calibri" w:hAnsi="Calibri"/>
                <w:noProof/>
              </w:rPr>
            </w:pPr>
            <w:r>
              <w:rPr>
                <w:noProof/>
              </w:rPr>
              <w:t>120</w:t>
            </w:r>
          </w:p>
        </w:tc>
        <w:tc>
          <w:tcPr>
            <w:tcW w:w="2228" w:type="dxa"/>
            <w:tcBorders>
              <w:top w:val="nil"/>
              <w:left w:val="single" w:sz="8" w:space="0" w:color="000000" w:themeColor="text1"/>
              <w:bottom w:val="single" w:sz="8" w:space="0" w:color="000000" w:themeColor="text1"/>
              <w:right w:val="single" w:sz="8" w:space="0" w:color="000000" w:themeColor="text1"/>
            </w:tcBorders>
            <w:shd w:val="clear" w:color="auto" w:fill="C6EFCE"/>
            <w:vAlign w:val="center"/>
          </w:tcPr>
          <w:p w14:paraId="598DB3E7" w14:textId="77777777" w:rsidR="00025543" w:rsidRDefault="007E3A2F">
            <w:pPr>
              <w:pStyle w:val="P68B1DB1-Normal15"/>
              <w:spacing w:line="240" w:lineRule="auto"/>
              <w:rPr>
                <w:rFonts w:ascii="Calibri" w:hAnsi="Calibri"/>
                <w:noProof/>
              </w:rPr>
            </w:pPr>
            <w:r>
              <w:rPr>
                <w:noProof/>
              </w:rPr>
              <w:t xml:space="preserve">Investissement 5: Aides à l’achat de véhicules (électriques, H2) et d’infrastructures pour les municipalités, les régions, l’administration publique </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C6EFCE"/>
            <w:vAlign w:val="center"/>
          </w:tcPr>
          <w:p w14:paraId="2C3B8547" w14:textId="77777777" w:rsidR="00025543" w:rsidRDefault="007E3A2F">
            <w:pPr>
              <w:pStyle w:val="P68B1DB1-Normal15"/>
              <w:spacing w:line="240" w:lineRule="auto"/>
              <w:rPr>
                <w:rFonts w:ascii="Calibri" w:hAnsi="Calibri"/>
                <w:noProof/>
              </w:rPr>
            </w:pPr>
            <w:r>
              <w:rPr>
                <w:noProof/>
              </w:rPr>
              <w:t>Cible</w:t>
            </w:r>
          </w:p>
        </w:tc>
        <w:tc>
          <w:tcPr>
            <w:tcW w:w="1602" w:type="dxa"/>
            <w:tcBorders>
              <w:top w:val="nil"/>
              <w:left w:val="single" w:sz="8" w:space="0" w:color="000000" w:themeColor="text1"/>
              <w:bottom w:val="single" w:sz="8" w:space="0" w:color="000000" w:themeColor="text1"/>
              <w:right w:val="single" w:sz="8" w:space="0" w:color="000000" w:themeColor="text1"/>
            </w:tcBorders>
            <w:shd w:val="clear" w:color="auto" w:fill="C6EFCE"/>
            <w:vAlign w:val="center"/>
          </w:tcPr>
          <w:p w14:paraId="0274BEE7" w14:textId="77777777" w:rsidR="00025543" w:rsidRDefault="007E3A2F">
            <w:pPr>
              <w:pStyle w:val="P68B1DB1-Normal15"/>
              <w:spacing w:line="240" w:lineRule="auto"/>
              <w:rPr>
                <w:rFonts w:ascii="Calibri" w:hAnsi="Calibri"/>
                <w:noProof/>
              </w:rPr>
            </w:pPr>
            <w:r>
              <w:rPr>
                <w:noProof/>
              </w:rPr>
              <w:t xml:space="preserve">Nombre de véhicules (électriques, H2) pour les municipalités, les régions, l’administration publique </w:t>
            </w:r>
          </w:p>
        </w:tc>
        <w:tc>
          <w:tcPr>
            <w:tcW w:w="1134"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C6EFCE"/>
            <w:vAlign w:val="center"/>
          </w:tcPr>
          <w:p w14:paraId="53CC49AE" w14:textId="77777777" w:rsidR="00025543" w:rsidRDefault="007E3A2F">
            <w:pPr>
              <w:pStyle w:val="P68B1DB1-Normal15"/>
              <w:spacing w:line="240" w:lineRule="auto"/>
              <w:rPr>
                <w:rFonts w:ascii="Calibri" w:hAnsi="Calibri"/>
                <w:noProof/>
              </w:rPr>
            </w:pPr>
            <w:r>
              <w:rPr>
                <w:noProof/>
              </w:rPr>
              <w:t xml:space="preserve"> </w:t>
            </w:r>
          </w:p>
        </w:tc>
        <w:tc>
          <w:tcPr>
            <w:tcW w:w="1073" w:type="dxa"/>
            <w:tcBorders>
              <w:top w:val="nil"/>
              <w:left w:val="single" w:sz="8" w:space="0" w:color="000000" w:themeColor="text1"/>
              <w:bottom w:val="single" w:sz="8" w:space="0" w:color="000000" w:themeColor="text1"/>
              <w:right w:val="single" w:sz="8" w:space="0" w:color="000000" w:themeColor="text1"/>
            </w:tcBorders>
            <w:shd w:val="clear" w:color="auto" w:fill="C6EFCE"/>
            <w:vAlign w:val="center"/>
          </w:tcPr>
          <w:p w14:paraId="5F338708" w14:textId="77777777" w:rsidR="00025543" w:rsidRDefault="007E3A2F">
            <w:pPr>
              <w:pStyle w:val="P68B1DB1-Normal15"/>
              <w:spacing w:line="240" w:lineRule="auto"/>
              <w:rPr>
                <w:rFonts w:ascii="Calibri" w:hAnsi="Calibri"/>
                <w:noProof/>
              </w:rPr>
            </w:pPr>
            <w:r>
              <w:rPr>
                <w:noProof/>
              </w:rPr>
              <w:t xml:space="preserve">Numéro de  </w:t>
            </w:r>
          </w:p>
        </w:tc>
        <w:tc>
          <w:tcPr>
            <w:tcW w:w="1073" w:type="dxa"/>
            <w:tcBorders>
              <w:top w:val="nil"/>
              <w:left w:val="single" w:sz="8" w:space="0" w:color="000000" w:themeColor="text1"/>
              <w:bottom w:val="single" w:sz="8" w:space="0" w:color="000000" w:themeColor="text1"/>
              <w:right w:val="single" w:sz="8" w:space="0" w:color="000000" w:themeColor="text1"/>
            </w:tcBorders>
            <w:shd w:val="clear" w:color="auto" w:fill="C6EFCE"/>
            <w:vAlign w:val="center"/>
          </w:tcPr>
          <w:p w14:paraId="56D0212F" w14:textId="77777777" w:rsidR="00025543" w:rsidRDefault="007E3A2F">
            <w:pPr>
              <w:pStyle w:val="P68B1DB1-Normal15"/>
              <w:spacing w:line="240" w:lineRule="auto"/>
              <w:jc w:val="center"/>
              <w:rPr>
                <w:rFonts w:ascii="Calibri" w:hAnsi="Calibri"/>
                <w:noProof/>
              </w:rPr>
            </w:pPr>
            <w:r>
              <w:rPr>
                <w:noProof/>
              </w:rPr>
              <w:t>0</w:t>
            </w:r>
          </w:p>
        </w:tc>
        <w:tc>
          <w:tcPr>
            <w:tcW w:w="677" w:type="dxa"/>
            <w:tcBorders>
              <w:top w:val="nil"/>
              <w:left w:val="single" w:sz="8" w:space="0" w:color="000000" w:themeColor="text1"/>
              <w:bottom w:val="single" w:sz="8" w:space="0" w:color="000000" w:themeColor="text1"/>
              <w:right w:val="single" w:sz="8" w:space="0" w:color="000000" w:themeColor="text1"/>
            </w:tcBorders>
            <w:shd w:val="clear" w:color="auto" w:fill="C6EFCE"/>
            <w:vAlign w:val="center"/>
          </w:tcPr>
          <w:p w14:paraId="0995FBC4" w14:textId="77777777" w:rsidR="00025543" w:rsidRDefault="007E3A2F">
            <w:pPr>
              <w:pStyle w:val="P68B1DB1-Normal15"/>
              <w:spacing w:line="240" w:lineRule="auto"/>
              <w:jc w:val="center"/>
              <w:rPr>
                <w:rFonts w:ascii="Calibri" w:hAnsi="Calibri"/>
                <w:noProof/>
              </w:rPr>
            </w:pPr>
            <w:r>
              <w:rPr>
                <w:noProof/>
              </w:rPr>
              <w:t>1 485</w:t>
            </w:r>
          </w:p>
        </w:tc>
        <w:tc>
          <w:tcPr>
            <w:tcW w:w="964" w:type="dxa"/>
            <w:tcBorders>
              <w:top w:val="nil"/>
              <w:left w:val="single" w:sz="8" w:space="0" w:color="000000" w:themeColor="text1"/>
              <w:bottom w:val="single" w:sz="8" w:space="0" w:color="000000" w:themeColor="text1"/>
              <w:right w:val="single" w:sz="8" w:space="0" w:color="000000" w:themeColor="text1"/>
            </w:tcBorders>
            <w:shd w:val="clear" w:color="auto" w:fill="C6EFCE"/>
            <w:vAlign w:val="center"/>
          </w:tcPr>
          <w:p w14:paraId="59E85310" w14:textId="77777777" w:rsidR="00025543" w:rsidRDefault="007E3A2F">
            <w:pPr>
              <w:pStyle w:val="P68B1DB1-Normal15"/>
              <w:spacing w:line="240" w:lineRule="auto"/>
              <w:jc w:val="center"/>
              <w:rPr>
                <w:rFonts w:ascii="Calibri" w:hAnsi="Calibri"/>
                <w:noProof/>
              </w:rPr>
            </w:pPr>
            <w:r>
              <w:rPr>
                <w:noProof/>
              </w:rPr>
              <w:t>TRIMESTRE 4</w:t>
            </w:r>
          </w:p>
        </w:tc>
        <w:tc>
          <w:tcPr>
            <w:tcW w:w="677" w:type="dxa"/>
            <w:tcBorders>
              <w:top w:val="nil"/>
              <w:left w:val="single" w:sz="8" w:space="0" w:color="000000" w:themeColor="text1"/>
              <w:bottom w:val="single" w:sz="8" w:space="0" w:color="000000" w:themeColor="text1"/>
              <w:right w:val="single" w:sz="8" w:space="0" w:color="000000" w:themeColor="text1"/>
            </w:tcBorders>
            <w:shd w:val="clear" w:color="auto" w:fill="C6EFCE"/>
            <w:vAlign w:val="center"/>
          </w:tcPr>
          <w:p w14:paraId="40C763E1" w14:textId="77777777" w:rsidR="00025543" w:rsidRDefault="007E3A2F">
            <w:pPr>
              <w:pStyle w:val="P68B1DB1-Normal15"/>
              <w:spacing w:line="240" w:lineRule="auto"/>
              <w:jc w:val="center"/>
              <w:rPr>
                <w:noProof/>
              </w:rPr>
            </w:pPr>
            <w:r>
              <w:rPr>
                <w:noProof/>
              </w:rPr>
              <w:t>2025</w:t>
            </w:r>
          </w:p>
        </w:tc>
        <w:tc>
          <w:tcPr>
            <w:tcW w:w="3989" w:type="dxa"/>
            <w:tcBorders>
              <w:top w:val="nil"/>
              <w:left w:val="single" w:sz="8" w:space="0" w:color="000000" w:themeColor="text1"/>
              <w:bottom w:val="single" w:sz="8" w:space="0" w:color="000000" w:themeColor="text1"/>
              <w:right w:val="single" w:sz="8" w:space="0" w:color="000000" w:themeColor="text1"/>
            </w:tcBorders>
            <w:shd w:val="clear" w:color="auto" w:fill="C6EFCE"/>
            <w:vAlign w:val="center"/>
          </w:tcPr>
          <w:p w14:paraId="3C4F8B20" w14:textId="77777777" w:rsidR="00025543" w:rsidRDefault="007E3A2F">
            <w:pPr>
              <w:pStyle w:val="P68B1DB1-Normal15"/>
              <w:spacing w:line="240" w:lineRule="auto"/>
              <w:rPr>
                <w:rFonts w:ascii="Calibri" w:hAnsi="Calibri"/>
                <w:noProof/>
              </w:rPr>
            </w:pPr>
            <w:r>
              <w:rPr>
                <w:noProof/>
              </w:rPr>
              <w:t xml:space="preserve">Au moins 1 485 nouveaux véhicules à émissions nulles (électriques, H2) pour les municipalités, les régions et l’administration publique doivent être achetés. </w:t>
            </w:r>
          </w:p>
        </w:tc>
      </w:tr>
      <w:tr w:rsidR="00025543" w14:paraId="7924C84B" w14:textId="77777777">
        <w:trPr>
          <w:trHeight w:val="315"/>
        </w:trPr>
        <w:tc>
          <w:tcPr>
            <w:tcW w:w="7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7E21D5C" w14:textId="77777777" w:rsidR="00025543" w:rsidRDefault="007E3A2F">
            <w:pPr>
              <w:pStyle w:val="P68B1DB1-Normal15"/>
              <w:spacing w:line="240" w:lineRule="auto"/>
              <w:jc w:val="center"/>
              <w:rPr>
                <w:rFonts w:ascii="Calibri" w:hAnsi="Calibri"/>
                <w:noProof/>
              </w:rPr>
            </w:pPr>
            <w:r>
              <w:rPr>
                <w:noProof/>
              </w:rPr>
              <w:t>121</w:t>
            </w:r>
          </w:p>
        </w:tc>
        <w:tc>
          <w:tcPr>
            <w:tcW w:w="22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88D2D63" w14:textId="77777777" w:rsidR="00025543" w:rsidRDefault="007E3A2F">
            <w:pPr>
              <w:pStyle w:val="P68B1DB1-Normal15"/>
              <w:spacing w:line="240" w:lineRule="auto"/>
              <w:rPr>
                <w:rFonts w:ascii="Calibri" w:hAnsi="Calibri"/>
                <w:noProof/>
              </w:rPr>
            </w:pPr>
            <w:r>
              <w:rPr>
                <w:noProof/>
              </w:rPr>
              <w:t xml:space="preserve">Investissement 5: Aides à l’achat de véhicules (électriques, H2) et d’infrastructures pour les municipalités, les régions, l’administration publique et d’autres entités publiques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B12F612" w14:textId="77777777" w:rsidR="00025543" w:rsidRDefault="007E3A2F">
            <w:pPr>
              <w:pStyle w:val="P68B1DB1-Normal15"/>
              <w:spacing w:line="240" w:lineRule="auto"/>
              <w:rPr>
                <w:rFonts w:ascii="Calibri" w:hAnsi="Calibri"/>
                <w:noProof/>
              </w:rPr>
            </w:pPr>
            <w:r>
              <w:rPr>
                <w:noProof/>
              </w:rPr>
              <w:t>Cible</w:t>
            </w:r>
          </w:p>
        </w:tc>
        <w:tc>
          <w:tcPr>
            <w:tcW w:w="16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176F8D7" w14:textId="77777777" w:rsidR="00025543" w:rsidRDefault="007E3A2F">
            <w:pPr>
              <w:pStyle w:val="P68B1DB1-Normal15"/>
              <w:spacing w:line="240" w:lineRule="auto"/>
              <w:rPr>
                <w:rFonts w:ascii="Calibri" w:hAnsi="Calibri"/>
                <w:noProof/>
              </w:rPr>
            </w:pPr>
            <w:r>
              <w:rPr>
                <w:noProof/>
              </w:rPr>
              <w:t>Nombre de bornes de recharge pour les municipalités, les régions, l’administration publique et d’autres entités publiques</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6C3523F3" w14:textId="77777777" w:rsidR="00025543" w:rsidRDefault="007E3A2F">
            <w:pPr>
              <w:pStyle w:val="P68B1DB1-Normal15"/>
              <w:spacing w:line="240" w:lineRule="auto"/>
              <w:rPr>
                <w:rFonts w:ascii="Calibri" w:hAnsi="Calibri"/>
                <w:noProof/>
              </w:rPr>
            </w:pPr>
            <w:r>
              <w:rPr>
                <w:noProof/>
              </w:rPr>
              <w:t xml:space="preserve"> </w:t>
            </w:r>
          </w:p>
        </w:tc>
        <w:tc>
          <w:tcPr>
            <w:tcW w:w="10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DB104EE" w14:textId="77777777" w:rsidR="00025543" w:rsidRDefault="007E3A2F">
            <w:pPr>
              <w:pStyle w:val="P68B1DB1-Normal15"/>
              <w:spacing w:line="240" w:lineRule="auto"/>
              <w:rPr>
                <w:rFonts w:ascii="Calibri" w:hAnsi="Calibri"/>
                <w:noProof/>
              </w:rPr>
            </w:pPr>
            <w:r>
              <w:rPr>
                <w:noProof/>
              </w:rPr>
              <w:t xml:space="preserve">Numéro de </w:t>
            </w:r>
          </w:p>
        </w:tc>
        <w:tc>
          <w:tcPr>
            <w:tcW w:w="10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B170EC8" w14:textId="77777777" w:rsidR="00025543" w:rsidRDefault="007E3A2F">
            <w:pPr>
              <w:pStyle w:val="P68B1DB1-Normal15"/>
              <w:spacing w:line="240" w:lineRule="auto"/>
              <w:jc w:val="center"/>
              <w:rPr>
                <w:rFonts w:ascii="Calibri" w:hAnsi="Calibri"/>
                <w:noProof/>
              </w:rPr>
            </w:pPr>
            <w:r>
              <w:rPr>
                <w:noProof/>
              </w:rPr>
              <w:t>0</w:t>
            </w:r>
          </w:p>
        </w:tc>
        <w:tc>
          <w:tcPr>
            <w:tcW w:w="6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E9ECCD8" w14:textId="77777777" w:rsidR="00025543" w:rsidRDefault="007E3A2F">
            <w:pPr>
              <w:pStyle w:val="P68B1DB1-Normal15"/>
              <w:spacing w:line="240" w:lineRule="auto"/>
              <w:jc w:val="center"/>
              <w:rPr>
                <w:rFonts w:ascii="Calibri" w:hAnsi="Calibri"/>
                <w:noProof/>
              </w:rPr>
            </w:pPr>
            <w:r>
              <w:rPr>
                <w:noProof/>
              </w:rPr>
              <w:t>200</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D257189" w14:textId="77777777" w:rsidR="00025543" w:rsidRDefault="007E3A2F">
            <w:pPr>
              <w:pStyle w:val="P68B1DB1-Normal15"/>
              <w:spacing w:line="240" w:lineRule="auto"/>
              <w:jc w:val="center"/>
              <w:rPr>
                <w:rFonts w:ascii="Calibri" w:hAnsi="Calibri"/>
                <w:noProof/>
              </w:rPr>
            </w:pPr>
            <w:r>
              <w:rPr>
                <w:noProof/>
              </w:rPr>
              <w:t>TRIMESTRE 4</w:t>
            </w:r>
          </w:p>
        </w:tc>
        <w:tc>
          <w:tcPr>
            <w:tcW w:w="6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08139EE" w14:textId="77777777" w:rsidR="00025543" w:rsidRDefault="007E3A2F">
            <w:pPr>
              <w:pStyle w:val="P68B1DB1-Normal15"/>
              <w:spacing w:line="240" w:lineRule="auto"/>
              <w:jc w:val="center"/>
              <w:rPr>
                <w:noProof/>
              </w:rPr>
            </w:pPr>
            <w:r>
              <w:rPr>
                <w:noProof/>
              </w:rPr>
              <w:t>2025</w:t>
            </w:r>
          </w:p>
        </w:tc>
        <w:tc>
          <w:tcPr>
            <w:tcW w:w="3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8986343" w14:textId="77777777" w:rsidR="00025543" w:rsidRDefault="007E3A2F">
            <w:pPr>
              <w:pStyle w:val="P68B1DB1-Normal15"/>
              <w:spacing w:line="240" w:lineRule="auto"/>
              <w:rPr>
                <w:rFonts w:ascii="Calibri" w:hAnsi="Calibri"/>
                <w:noProof/>
              </w:rPr>
            </w:pPr>
            <w:r>
              <w:rPr>
                <w:noProof/>
              </w:rPr>
              <w:t xml:space="preserve">Au moins 200 nouvelles stations de recharge pour les municipalités, les régions, l’administration publique et d’autres entités et organisations publiques sont opérationnelles. </w:t>
            </w:r>
          </w:p>
        </w:tc>
      </w:tr>
      <w:tr w:rsidR="00025543" w14:paraId="1D9B8DE0" w14:textId="77777777">
        <w:trPr>
          <w:trHeight w:val="315"/>
        </w:trPr>
        <w:tc>
          <w:tcPr>
            <w:tcW w:w="7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324E5FA" w14:textId="77777777" w:rsidR="00025543" w:rsidRDefault="007E3A2F">
            <w:pPr>
              <w:pStyle w:val="P68B1DB1-Normal15"/>
              <w:spacing w:line="240" w:lineRule="auto"/>
              <w:jc w:val="center"/>
              <w:rPr>
                <w:rFonts w:ascii="Calibri" w:hAnsi="Calibri"/>
                <w:noProof/>
              </w:rPr>
            </w:pPr>
            <w:r>
              <w:rPr>
                <w:noProof/>
              </w:rPr>
              <w:t>122</w:t>
            </w:r>
          </w:p>
        </w:tc>
        <w:tc>
          <w:tcPr>
            <w:tcW w:w="22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9975DB3" w14:textId="77777777" w:rsidR="00025543" w:rsidRDefault="007E3A2F">
            <w:pPr>
              <w:pStyle w:val="P68B1DB1-Normal15"/>
              <w:spacing w:line="240" w:lineRule="auto"/>
              <w:rPr>
                <w:rFonts w:ascii="Calibri" w:hAnsi="Calibri"/>
                <w:noProof/>
              </w:rPr>
            </w:pPr>
            <w:r>
              <w:rPr>
                <w:noProof/>
              </w:rPr>
              <w:t xml:space="preserve">Investissement 6: Aide à l’achat de véhicules (trolleybus à batterie et tramways surplancher) pour les transports publics dans la ville de Prague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EF24025" w14:textId="77777777" w:rsidR="00025543" w:rsidRDefault="007E3A2F">
            <w:pPr>
              <w:pStyle w:val="P68B1DB1-Normal15"/>
              <w:spacing w:line="240" w:lineRule="auto"/>
              <w:rPr>
                <w:rFonts w:ascii="Calibri" w:hAnsi="Calibri"/>
                <w:noProof/>
              </w:rPr>
            </w:pPr>
            <w:r>
              <w:rPr>
                <w:noProof/>
              </w:rPr>
              <w:t>Cible</w:t>
            </w:r>
          </w:p>
        </w:tc>
        <w:tc>
          <w:tcPr>
            <w:tcW w:w="16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E93940B" w14:textId="77777777" w:rsidR="00025543" w:rsidRDefault="007E3A2F">
            <w:pPr>
              <w:pStyle w:val="P68B1DB1-Normal15"/>
              <w:spacing w:line="240" w:lineRule="auto"/>
              <w:rPr>
                <w:rFonts w:ascii="Calibri" w:hAnsi="Calibri"/>
                <w:noProof/>
              </w:rPr>
            </w:pPr>
            <w:r>
              <w:rPr>
                <w:noProof/>
              </w:rPr>
              <w:t xml:space="preserve">Nombre de véhicules (trolleybus à batterie et tramways surplancher) pour les transports publics dans la ville de Prague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EA36A92" w14:textId="77777777" w:rsidR="00025543" w:rsidRDefault="007E3A2F">
            <w:pPr>
              <w:pStyle w:val="P68B1DB1-Normal15"/>
              <w:spacing w:line="240" w:lineRule="auto"/>
              <w:rPr>
                <w:rFonts w:ascii="Calibri" w:hAnsi="Calibri"/>
                <w:noProof/>
              </w:rPr>
            </w:pPr>
            <w:r>
              <w:rPr>
                <w:noProof/>
              </w:rPr>
              <w:t xml:space="preserve"> </w:t>
            </w:r>
          </w:p>
        </w:tc>
        <w:tc>
          <w:tcPr>
            <w:tcW w:w="10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E3C578D" w14:textId="77777777" w:rsidR="00025543" w:rsidRDefault="007E3A2F">
            <w:pPr>
              <w:pStyle w:val="P68B1DB1-Normal15"/>
              <w:spacing w:line="240" w:lineRule="auto"/>
              <w:rPr>
                <w:rFonts w:ascii="Calibri" w:hAnsi="Calibri"/>
                <w:noProof/>
              </w:rPr>
            </w:pPr>
            <w:r>
              <w:rPr>
                <w:noProof/>
              </w:rPr>
              <w:t xml:space="preserve">Numéro de  </w:t>
            </w:r>
          </w:p>
        </w:tc>
        <w:tc>
          <w:tcPr>
            <w:tcW w:w="10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BF7A772" w14:textId="77777777" w:rsidR="00025543" w:rsidRDefault="007E3A2F">
            <w:pPr>
              <w:pStyle w:val="P68B1DB1-Normal15"/>
              <w:spacing w:line="240" w:lineRule="auto"/>
              <w:jc w:val="center"/>
              <w:rPr>
                <w:rFonts w:ascii="Calibri" w:hAnsi="Calibri"/>
                <w:noProof/>
              </w:rPr>
            </w:pPr>
            <w:r>
              <w:rPr>
                <w:noProof/>
              </w:rPr>
              <w:t>0</w:t>
            </w:r>
          </w:p>
        </w:tc>
        <w:tc>
          <w:tcPr>
            <w:tcW w:w="6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6DF977A" w14:textId="77777777" w:rsidR="00025543" w:rsidRDefault="007E3A2F">
            <w:pPr>
              <w:pStyle w:val="P68B1DB1-Normal15"/>
              <w:spacing w:line="240" w:lineRule="auto"/>
              <w:jc w:val="center"/>
              <w:rPr>
                <w:rFonts w:ascii="Calibri" w:hAnsi="Calibri"/>
                <w:noProof/>
              </w:rPr>
            </w:pPr>
            <w:r>
              <w:rPr>
                <w:noProof/>
              </w:rPr>
              <w:t>40</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AC32611" w14:textId="77777777" w:rsidR="00025543" w:rsidRDefault="007E3A2F">
            <w:pPr>
              <w:pStyle w:val="P68B1DB1-Normal15"/>
              <w:spacing w:line="240" w:lineRule="auto"/>
              <w:jc w:val="center"/>
              <w:rPr>
                <w:rFonts w:ascii="Calibri" w:hAnsi="Calibri"/>
                <w:noProof/>
              </w:rPr>
            </w:pPr>
            <w:r>
              <w:rPr>
                <w:noProof/>
              </w:rPr>
              <w:t>TRIMESTRE 1</w:t>
            </w:r>
          </w:p>
        </w:tc>
        <w:tc>
          <w:tcPr>
            <w:tcW w:w="6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B985908" w14:textId="77777777" w:rsidR="00025543" w:rsidRDefault="007E3A2F">
            <w:pPr>
              <w:pStyle w:val="P68B1DB1-Normal15"/>
              <w:spacing w:line="240" w:lineRule="auto"/>
              <w:jc w:val="center"/>
              <w:rPr>
                <w:noProof/>
              </w:rPr>
            </w:pPr>
            <w:r>
              <w:rPr>
                <w:noProof/>
              </w:rPr>
              <w:t>2026</w:t>
            </w:r>
          </w:p>
        </w:tc>
        <w:tc>
          <w:tcPr>
            <w:tcW w:w="3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E9C4F51" w14:textId="77777777" w:rsidR="00025543" w:rsidRDefault="007E3A2F">
            <w:pPr>
              <w:pStyle w:val="P68B1DB1-Normal15"/>
              <w:spacing w:line="240" w:lineRule="auto"/>
              <w:rPr>
                <w:rFonts w:ascii="Calibri" w:hAnsi="Calibri"/>
                <w:noProof/>
              </w:rPr>
            </w:pPr>
            <w:r>
              <w:rPr>
                <w:noProof/>
              </w:rPr>
              <w:t>Au moins 40 nouveaux véhicules à émissions nulles (20 trolleybus à batterie et 20 tramways surplancher) destinés aux transports publics dans la ville de Prague seront opérationnels.</w:t>
            </w:r>
          </w:p>
        </w:tc>
      </w:tr>
    </w:tbl>
    <w:p w14:paraId="739E8DBC" w14:textId="77777777" w:rsidR="00025543" w:rsidRDefault="00025543">
      <w:pPr>
        <w:pBdr>
          <w:top w:val="nil"/>
          <w:left w:val="nil"/>
          <w:bottom w:val="nil"/>
          <w:right w:val="nil"/>
          <w:between w:val="nil"/>
        </w:pBdr>
        <w:spacing w:line="240" w:lineRule="auto"/>
        <w:jc w:val="both"/>
        <w:rPr>
          <w:rFonts w:eastAsia="Times New Roman"/>
          <w:noProof/>
          <w:color w:val="000000"/>
          <w:sz w:val="22"/>
        </w:rPr>
      </w:pPr>
    </w:p>
    <w:p w14:paraId="24B04A74" w14:textId="77777777" w:rsidR="00025543" w:rsidRDefault="00025543">
      <w:pPr>
        <w:pBdr>
          <w:top w:val="nil"/>
          <w:left w:val="nil"/>
          <w:bottom w:val="nil"/>
          <w:right w:val="nil"/>
          <w:between w:val="nil"/>
        </w:pBdr>
        <w:spacing w:line="240" w:lineRule="auto"/>
        <w:jc w:val="both"/>
        <w:rPr>
          <w:rFonts w:eastAsia="Times New Roman"/>
          <w:noProof/>
          <w:color w:val="000000"/>
          <w:sz w:val="16"/>
        </w:rPr>
        <w:sectPr w:rsidR="00025543" w:rsidSect="0078369E">
          <w:headerReference w:type="even" r:id="rId192"/>
          <w:headerReference w:type="default" r:id="rId193"/>
          <w:footerReference w:type="even" r:id="rId194"/>
          <w:footerReference w:type="default" r:id="rId195"/>
          <w:headerReference w:type="first" r:id="rId196"/>
          <w:footerReference w:type="first" r:id="rId197"/>
          <w:pgSz w:w="16839" w:h="11907" w:orient="landscape"/>
          <w:pgMar w:top="1134" w:right="1134" w:bottom="1134" w:left="1134" w:header="567" w:footer="567" w:gutter="0"/>
          <w:cols w:space="720"/>
          <w:docGrid w:linePitch="326"/>
        </w:sectPr>
      </w:pPr>
    </w:p>
    <w:p w14:paraId="1A250003" w14:textId="498B6B1B" w:rsidR="00025543" w:rsidRDefault="007E3A2F">
      <w:pPr>
        <w:pStyle w:val="P68B1DB1-Normal2"/>
        <w:keepNext/>
        <w:tabs>
          <w:tab w:val="left" w:pos="850"/>
        </w:tabs>
        <w:spacing w:line="240" w:lineRule="auto"/>
        <w:jc w:val="both"/>
        <w:outlineLvl w:val="0"/>
        <w:rPr>
          <w:noProof/>
        </w:rPr>
      </w:pPr>
      <w:r>
        <w:rPr>
          <w:noProof/>
        </w:rPr>
        <w:t xml:space="preserve">L. ELÉMENT 2.5: Rénovation des bâtiments et protection de l’air </w:t>
      </w:r>
    </w:p>
    <w:p w14:paraId="187E2B97" w14:textId="77777777" w:rsidR="00025543" w:rsidRDefault="007E3A2F">
      <w:pPr>
        <w:spacing w:line="240" w:lineRule="auto"/>
        <w:jc w:val="both"/>
        <w:rPr>
          <w:noProof/>
        </w:rPr>
      </w:pPr>
      <w:r>
        <w:rPr>
          <w:noProof/>
        </w:rPr>
        <w:t>Ce volet du plan pour la reprise et la résilience de la République tchèque contribue à relever les défis que constituent la réduction de la consommation d’énergie et d’eau dans les bâtiments résidentiels, l’amélioration de la qualité de vie dans ces bâtiments, la réduction des émissions de gaz à effet de serre et d’autres polluants en remplaçant les chaudières à combustibles solides, l’adaptation des bâtiments résidentiels aux effets du changement climatique, la construction de nouveaux bâtiments, ainsi que la sensibilisation aux économies d’énergie, à l’utilisation de sources d’énergie renouvelables et à l’adaptation au changement climatique dans le secteur résidentiel. Ce volet sera mis en œuvre dans le cadre du programme de soutien «New Green Savings» (NGS) 2030.</w:t>
      </w:r>
    </w:p>
    <w:p w14:paraId="2AF69866" w14:textId="6BE0C761" w:rsidR="00025543" w:rsidRDefault="007E3A2F">
      <w:pPr>
        <w:spacing w:line="240" w:lineRule="auto"/>
        <w:jc w:val="both"/>
        <w:rPr>
          <w:rFonts w:eastAsia="Times New Roman"/>
          <w:noProof/>
          <w:color w:val="000000"/>
        </w:rPr>
      </w:pPr>
      <w:r>
        <w:rPr>
          <w:rFonts w:eastAsia="Times New Roman"/>
          <w:noProof/>
        </w:rPr>
        <w:t>Les réformes et les investissements inclus dans ce volet soutiennent la recommandation</w:t>
      </w:r>
      <w:r>
        <w:rPr>
          <w:noProof/>
        </w:rPr>
        <w:t>spécifique no 3 2019</w:t>
      </w:r>
      <w:r>
        <w:rPr>
          <w:rFonts w:eastAsia="Times New Roman"/>
          <w:noProof/>
        </w:rPr>
        <w:t>, selon laquelle la Tchéquie concentre sa politique économique liée aux investissements sur la transition énergétique et à faible intensité de carbone, y compris l’efficacité énergétique, en tenant compte des disparités régionales, et la</w:t>
      </w:r>
      <w:r>
        <w:rPr>
          <w:noProof/>
        </w:rPr>
        <w:t>recommandation no 3 2020, selon laquelle la Tchéquie concentre ses investissements sur la transition écologique, en particulier sur la production et l’utilisation propres et efficaces de l’énergie, y compris dans les régions charbonnières.</w:t>
      </w:r>
    </w:p>
    <w:p w14:paraId="27531018" w14:textId="77777777" w:rsidR="00025543" w:rsidRDefault="007E3A2F">
      <w:pPr>
        <w:spacing w:line="276" w:lineRule="auto"/>
        <w:jc w:val="both"/>
        <w:rPr>
          <w:noProof/>
        </w:rPr>
      </w:pPr>
      <w:r>
        <w:rPr>
          <w:noProof/>
        </w:rPr>
        <w:t>Aucune mesure relevant de ce volet ne devrait nuire gravement aux objectifs environnementaux au sens de l’article 17 du règlement (UE) 2020/852, compte tenu de la description des mesures et des mesures d’atténuation prévues dans le plan pour la reprise et la résilience conformément aux orientations techniques de la DNSH (2021/C58/01). En particulier, les investissements doivent être conformes aux critères de durabilité et de réduction des gaz à effet de serre (GES) énoncés à l’article 29 de la directive 2018/2001 relative à la promotion de l’utilisation de l’énergie produite à partir de sources renouvelables (ci-après la «directive sur les énergies renouvelables» ou «RED II»). Ces exigences s’appliquent à toutes les installations, indépendamment des seuils inclus dans la directive RED II. Les investissements sont conformes à l’exigence du règlement FRR consistant à réduire d’au moins 80 % les émissions de gaz à effet de serre résultant de l’utilisation de la biomasse en ce qui concerne la méthode de réduction des GES et la méthode de référence pour les combustibles fossiles figurant à l’annexe VI de la directive RED II. Dans les environnements résidentiels, les investissements dans les chaudières à biomasse ne devraient pas compromettre la réalisation de la directive 2008/50/UE. Les investissements sont conformes aux exigences en matière d’écoconception (c’est-à-dire aux exigences de la directive no 2009/125/CE du Parlement européen et du Conseil) et sont classés dans l’une des deux classes d’efficacité énergétique sensiblement les plus élevées au sens de l’article 7, paragraphe 2, du règlement (UE) 2017/1369 du Parlement européen et du Conseil. Ces prescriptions doivent être respectées pour tous les carburants et toutes les méthodes de chargement. Les investissements sont guidés et cohérents avec l’évaluation des trajectoires d’utilisation durable de la bioénergie et de l’approvisionnement en biomasse en Tchéquie et de ses incidences sur l’utilisation des terres, le changement d’affectation des terres et les puits forestiers et sur la biodiversité, ainsi qu’avec l’incidence sur la qualité de l’air pour la période 2020-2030, qui fait partie de la réforme 2 au titre du volet 2.3.</w:t>
      </w:r>
    </w:p>
    <w:p w14:paraId="3893B0AC" w14:textId="389D378B" w:rsidR="00025543" w:rsidRDefault="007E3A2F">
      <w:pPr>
        <w:spacing w:line="276" w:lineRule="auto"/>
        <w:jc w:val="both"/>
        <w:rPr>
          <w:noProof/>
        </w:rPr>
      </w:pPr>
      <w:r>
        <w:rPr>
          <w:noProof/>
        </w:rPr>
        <w:t>La rénovation énergétique des bâtiments, l’utilisation de sources d’énergie renouvelables dans le secteur résidentiel et l’échange de chaudières à combustibles solides augmentent l’efficacité du chauffage domestique et constituent une mesure essentielle pour atteindre les objectifs nationaux de réduction au titre de la directive (UE) 2016/2284 et pour atteindre les normes de qualité de l’air dans le cadre des programmes d’amélioration de la qualité de l’air. Les réductions d’émissions ont également une incidence positive sur la qualité de l’eau, en particulier la réduction des émissions de benzo (a) pyrène.</w:t>
      </w:r>
    </w:p>
    <w:p w14:paraId="4F8E7FCC" w14:textId="77777777" w:rsidR="00025543" w:rsidRDefault="00025543">
      <w:pPr>
        <w:spacing w:line="240" w:lineRule="auto"/>
        <w:jc w:val="both"/>
        <w:rPr>
          <w:rFonts w:eastAsia="Times New Roman"/>
          <w:noProof/>
          <w:sz w:val="22"/>
        </w:rPr>
      </w:pPr>
    </w:p>
    <w:p w14:paraId="28C9A7FA" w14:textId="18999FF3" w:rsidR="00025543" w:rsidRDefault="007E3A2F">
      <w:pPr>
        <w:pStyle w:val="P68B1DB1-Normal5"/>
        <w:pageBreakBefore/>
        <w:spacing w:line="240" w:lineRule="auto"/>
        <w:jc w:val="both"/>
        <w:rPr>
          <w:i/>
          <w:noProof/>
        </w:rPr>
      </w:pPr>
      <w:r>
        <w:rPr>
          <w:noProof/>
        </w:rPr>
        <w:t>L.1. Description des réformes et des investissements en vue du soutien financier non remboursable</w:t>
      </w:r>
    </w:p>
    <w:p w14:paraId="5B3DE6C1" w14:textId="045BFEB2" w:rsidR="00025543" w:rsidRDefault="007E3A2F">
      <w:pPr>
        <w:pStyle w:val="P68B1DB1-Normal7"/>
        <w:pBdr>
          <w:top w:val="nil"/>
          <w:left w:val="nil"/>
          <w:bottom w:val="nil"/>
          <w:right w:val="nil"/>
          <w:between w:val="nil"/>
        </w:pBdr>
        <w:spacing w:line="240" w:lineRule="auto"/>
        <w:jc w:val="both"/>
        <w:rPr>
          <w:noProof/>
        </w:rPr>
      </w:pPr>
      <w:r>
        <w:rPr>
          <w:noProof/>
        </w:rPr>
        <w:t xml:space="preserve">Réforme 1: Vague de rénovations dans le secteur des ménages </w:t>
      </w:r>
    </w:p>
    <w:p w14:paraId="70CA5825" w14:textId="77777777" w:rsidR="00025543" w:rsidRDefault="007E3A2F">
      <w:pPr>
        <w:pBdr>
          <w:top w:val="nil"/>
          <w:left w:val="nil"/>
          <w:bottom w:val="nil"/>
          <w:right w:val="nil"/>
          <w:between w:val="nil"/>
        </w:pBdr>
        <w:spacing w:line="240" w:lineRule="auto"/>
        <w:jc w:val="both"/>
        <w:rPr>
          <w:noProof/>
        </w:rPr>
      </w:pPr>
      <w:r>
        <w:rPr>
          <w:noProof/>
        </w:rPr>
        <w:t xml:space="preserve">Cette mesure vise à soutenir la mise en œuvre d’améliorations de l’efficacité énergétique dans les bâtiments résidentiels, y compris l’optimisation de ce soutien et l’introduction d’un nouveau niveau qualitatif de préparation des projets. La mesure doit également sensibiliser aux possibilités de réduire les besoins énergétiques et de modifier progressivement le comportement des consommateurs d’énergie. </w:t>
      </w:r>
    </w:p>
    <w:p w14:paraId="1DA48213" w14:textId="77777777" w:rsidR="00025543" w:rsidRDefault="007E3A2F">
      <w:pPr>
        <w:pBdr>
          <w:top w:val="nil"/>
          <w:left w:val="nil"/>
          <w:bottom w:val="nil"/>
          <w:right w:val="nil"/>
          <w:between w:val="nil"/>
        </w:pBdr>
        <w:spacing w:line="240" w:lineRule="auto"/>
        <w:jc w:val="both"/>
        <w:rPr>
          <w:noProof/>
        </w:rPr>
      </w:pPr>
      <w:r>
        <w:rPr>
          <w:noProof/>
        </w:rPr>
        <w:t xml:space="preserve">La réforme sera réalisée au moyen des actions suivantes: </w:t>
      </w:r>
    </w:p>
    <w:p w14:paraId="4B1EC57B" w14:textId="77777777" w:rsidR="00025543" w:rsidRDefault="007E3A2F">
      <w:pPr>
        <w:numPr>
          <w:ilvl w:val="0"/>
          <w:numId w:val="155"/>
        </w:numPr>
        <w:spacing w:line="259" w:lineRule="auto"/>
        <w:ind w:left="360"/>
        <w:contextualSpacing/>
        <w:jc w:val="both"/>
        <w:rPr>
          <w:noProof/>
        </w:rPr>
      </w:pPr>
      <w:r>
        <w:rPr>
          <w:noProof/>
        </w:rPr>
        <w:t xml:space="preserve">Le programme «Nouvelles économies vertes 2030» sera amélioré en optimisant la fixation des conditions de soutien, en augmentant les exigences pour les rénovations à moyenne échelle (économie de 30 % de la consommation d’énergie primaire), en mettant davantage l’accent sur les rénovations énergétiques complexes, en renforçant le soutien à la construction de nouvelles maisons répondant à des normes plus élevées en matière d’efficacité énergétique et en soutenant une gestion efficace de l’eau. </w:t>
      </w:r>
    </w:p>
    <w:p w14:paraId="768ACA76" w14:textId="77777777" w:rsidR="00025543" w:rsidRDefault="007E3A2F">
      <w:pPr>
        <w:numPr>
          <w:ilvl w:val="0"/>
          <w:numId w:val="155"/>
        </w:numPr>
        <w:spacing w:line="259" w:lineRule="auto"/>
        <w:ind w:left="360"/>
        <w:contextualSpacing/>
        <w:jc w:val="both"/>
        <w:rPr>
          <w:noProof/>
        </w:rPr>
      </w:pPr>
      <w:r>
        <w:rPr>
          <w:noProof/>
        </w:rPr>
        <w:t>Une préparation préalable au projet en deux étapes est mise en place pour les ménages: une évaluation de base des options de rénovation, des alternatives, de l’intensité d’investissement, des économies d’énergie, du niveau de subvention possible des nouvelles économies vertes (première étape) et une vue d’ensemble des mesures envisageables pour rénover les logements et utiliser des sources d’énergie renouvelables dans celles-ci, y compris une évaluation de l’efficacité économique et de la faisabilité de ces mesures (deuxième étape).</w:t>
      </w:r>
      <w:r>
        <w:rPr>
          <w:rFonts w:ascii="Calibri" w:hAnsi="Calibri"/>
          <w:noProof/>
          <w:sz w:val="22"/>
        </w:rPr>
        <w:t xml:space="preserve"> Le soutien préalable au projet</w:t>
      </w:r>
      <w:r>
        <w:rPr>
          <w:noProof/>
        </w:rPr>
        <w:t>en deux étapes améliore considérablement l’aide à l’investissement, en particulier pour les ménages à faibles revenus.</w:t>
      </w:r>
    </w:p>
    <w:p w14:paraId="4585F559" w14:textId="77777777" w:rsidR="00025543" w:rsidRDefault="007E3A2F">
      <w:pPr>
        <w:numPr>
          <w:ilvl w:val="0"/>
          <w:numId w:val="155"/>
        </w:numPr>
        <w:spacing w:line="259" w:lineRule="auto"/>
        <w:ind w:left="360"/>
        <w:contextualSpacing/>
        <w:jc w:val="both"/>
        <w:rPr>
          <w:noProof/>
        </w:rPr>
      </w:pPr>
      <w:r>
        <w:rPr>
          <w:noProof/>
        </w:rPr>
        <w:t xml:space="preserve">Les centres de consultation sur l’énergie du réseau national de groupes d’action locale sont intégrés au réseau des agences locales de l’énergie. </w:t>
      </w:r>
    </w:p>
    <w:p w14:paraId="3F222123" w14:textId="77777777" w:rsidR="00025543" w:rsidRDefault="007E3A2F">
      <w:pPr>
        <w:numPr>
          <w:ilvl w:val="0"/>
          <w:numId w:val="155"/>
        </w:numPr>
        <w:spacing w:line="259" w:lineRule="auto"/>
        <w:ind w:left="360"/>
        <w:contextualSpacing/>
        <w:jc w:val="both"/>
        <w:rPr>
          <w:rFonts w:ascii="Calibri" w:hAnsi="Calibri"/>
          <w:noProof/>
          <w:sz w:val="22"/>
        </w:rPr>
      </w:pPr>
      <w:r>
        <w:rPr>
          <w:noProof/>
        </w:rPr>
        <w:t>Le soutien à la formation et à la reconversion des travailleurs qui déploient la construction verte, les technologies ou les matériaux verts dans le cadre du programme national de soutien aux économies d’énergie (EFEKT) sera renforcé et étendu afin de favoriser la qualité de la préparation et de la mise en œuvre des projets d’économies d’énergie.</w:t>
      </w:r>
    </w:p>
    <w:p w14:paraId="1B5E1256" w14:textId="77777777" w:rsidR="00025543" w:rsidRDefault="007E3A2F">
      <w:pPr>
        <w:numPr>
          <w:ilvl w:val="0"/>
          <w:numId w:val="155"/>
        </w:numPr>
        <w:spacing w:after="240" w:line="259" w:lineRule="auto"/>
        <w:ind w:left="357" w:hanging="357"/>
        <w:contextualSpacing/>
        <w:jc w:val="both"/>
        <w:rPr>
          <w:rFonts w:ascii="Calibri" w:hAnsi="Calibri"/>
          <w:noProof/>
          <w:sz w:val="22"/>
        </w:rPr>
      </w:pPr>
      <w:r>
        <w:rPr>
          <w:noProof/>
        </w:rPr>
        <w:t>Le système existant d’éducation et de sensibilisation à l’environnement dans les écocentres ciblant les enfants et les jeunes est étendu à l’ensemble du grand public et met fortement l’accent sur les économies d’énergie, l’utilisation de sources d’énergie renouvelables, le changement climatique et l’adaptation au changement climatique.</w:t>
      </w:r>
    </w:p>
    <w:p w14:paraId="02F21FD3" w14:textId="77777777" w:rsidR="00025543" w:rsidRDefault="007E3A2F">
      <w:pPr>
        <w:pStyle w:val="P68B1DB1-Normal3"/>
        <w:spacing w:line="240" w:lineRule="auto"/>
        <w:jc w:val="both"/>
        <w:rPr>
          <w:noProof/>
        </w:rPr>
      </w:pPr>
      <w:r>
        <w:rPr>
          <w:noProof/>
        </w:rPr>
        <w:t xml:space="preserve">La réforme est </w:t>
      </w:r>
      <w:r>
        <w:rPr>
          <w:noProof/>
          <w:color w:val="000000"/>
        </w:rPr>
        <w:t>mise en œuvre</w:t>
      </w:r>
      <w:r>
        <w:rPr>
          <w:noProof/>
        </w:rPr>
        <w:t xml:space="preserve"> au plus tard le 31 décembre 2025.</w:t>
      </w:r>
    </w:p>
    <w:p w14:paraId="1DBB8612" w14:textId="77777777" w:rsidR="00025543" w:rsidRDefault="007E3A2F">
      <w:pPr>
        <w:pStyle w:val="P68B1DB1-Normal26"/>
        <w:autoSpaceDE w:val="0"/>
        <w:autoSpaceDN w:val="0"/>
        <w:adjustRightInd w:val="0"/>
        <w:spacing w:line="240" w:lineRule="auto"/>
        <w:jc w:val="both"/>
        <w:rPr>
          <w:noProof/>
        </w:rPr>
      </w:pPr>
      <w:r>
        <w:rPr>
          <w:noProof/>
        </w:rPr>
        <w:t>Réforme 2: Soutien aux communautés énergétiques</w:t>
      </w:r>
    </w:p>
    <w:p w14:paraId="3E131EA8" w14:textId="77777777" w:rsidR="00025543" w:rsidRDefault="007E3A2F">
      <w:pPr>
        <w:pStyle w:val="P68B1DB1-Normal3"/>
        <w:autoSpaceDE w:val="0"/>
        <w:autoSpaceDN w:val="0"/>
        <w:adjustRightInd w:val="0"/>
        <w:spacing w:line="240" w:lineRule="auto"/>
        <w:jc w:val="both"/>
        <w:rPr>
          <w:noProof/>
        </w:rPr>
      </w:pPr>
      <w:r>
        <w:rPr>
          <w:noProof/>
        </w:rPr>
        <w:t xml:space="preserve">Cette mesure vise à mettre en place des «communautés énergétiques» associant activement le secteur résidentiel et entrepreneurial à l’utilisation des énergies renouvelables, ainsi que des actions de sensibilisation et de formation axées sur le développement de l’énergie locale. </w:t>
      </w:r>
    </w:p>
    <w:p w14:paraId="7E8BF3C3" w14:textId="77777777" w:rsidR="00025543" w:rsidRDefault="007E3A2F">
      <w:pPr>
        <w:pStyle w:val="P68B1DB1-Normal3"/>
        <w:autoSpaceDE w:val="0"/>
        <w:autoSpaceDN w:val="0"/>
        <w:adjustRightInd w:val="0"/>
        <w:spacing w:line="240" w:lineRule="auto"/>
        <w:jc w:val="both"/>
        <w:rPr>
          <w:noProof/>
        </w:rPr>
      </w:pPr>
      <w:r>
        <w:rPr>
          <w:noProof/>
        </w:rPr>
        <w:t>La réforme sera réalisée au moyen des actions suivantes:</w:t>
      </w:r>
    </w:p>
    <w:p w14:paraId="5A136CC9" w14:textId="77777777" w:rsidR="00025543" w:rsidRDefault="007E3A2F">
      <w:pPr>
        <w:pStyle w:val="P68B1DB1-Normal3"/>
        <w:numPr>
          <w:ilvl w:val="0"/>
          <w:numId w:val="156"/>
        </w:numPr>
        <w:autoSpaceDE w:val="0"/>
        <w:autoSpaceDN w:val="0"/>
        <w:adjustRightInd w:val="0"/>
        <w:spacing w:line="240" w:lineRule="auto"/>
        <w:ind w:left="340"/>
        <w:jc w:val="both"/>
        <w:rPr>
          <w:noProof/>
        </w:rPr>
      </w:pPr>
      <w:r>
        <w:rPr>
          <w:noProof/>
        </w:rPr>
        <w:t xml:space="preserve">Le programme «Nouvelles économies vertes 2030» soutient l’installation de nouvelles sources d’énergie renouvelables d’une manière qui élimine les obstacles à leur intégration future dans la communauté énergétique au sens large. Le programme «Nouvelles économies vertes 2030» soutient également les petits sites communs de stockage d’énergie à logements multiples ou la création de communautés énergétiques au sein de bâtiments multifamiliaux individuels et d’autres mesures d’investissement liées aux communautés énergétiques. </w:t>
      </w:r>
    </w:p>
    <w:p w14:paraId="3641390E" w14:textId="77777777" w:rsidR="00025543" w:rsidRDefault="007E3A2F">
      <w:pPr>
        <w:pStyle w:val="P68B1DB1-Normal3"/>
        <w:numPr>
          <w:ilvl w:val="0"/>
          <w:numId w:val="174"/>
        </w:numPr>
        <w:autoSpaceDE w:val="0"/>
        <w:autoSpaceDN w:val="0"/>
        <w:adjustRightInd w:val="0"/>
        <w:spacing w:line="259" w:lineRule="auto"/>
        <w:ind w:left="340"/>
        <w:contextualSpacing/>
        <w:jc w:val="both"/>
        <w:rPr>
          <w:rFonts w:ascii="Calibri" w:hAnsi="Calibri"/>
          <w:noProof/>
          <w:sz w:val="22"/>
        </w:rPr>
      </w:pPr>
      <w:r>
        <w:rPr>
          <w:noProof/>
        </w:rPr>
        <w:t>La mise en place de communautés énergétiques ainsi que la sensibilisation et l’éducation axées sur le développement de communautés énergétiques sont soutenues par des mesures autres que d’investissement.</w:t>
      </w:r>
    </w:p>
    <w:p w14:paraId="7F36A659" w14:textId="77777777" w:rsidR="00025543" w:rsidRDefault="007E3A2F">
      <w:pPr>
        <w:pStyle w:val="P68B1DB1-Normal3"/>
        <w:autoSpaceDE w:val="0"/>
        <w:autoSpaceDN w:val="0"/>
        <w:adjustRightInd w:val="0"/>
        <w:spacing w:line="240" w:lineRule="auto"/>
        <w:jc w:val="both"/>
        <w:rPr>
          <w:noProof/>
        </w:rPr>
      </w:pPr>
      <w:r>
        <w:rPr>
          <w:noProof/>
        </w:rPr>
        <w:t xml:space="preserve">La réforme est </w:t>
      </w:r>
      <w:r>
        <w:rPr>
          <w:noProof/>
          <w:color w:val="000000"/>
        </w:rPr>
        <w:t>mise en œuvre</w:t>
      </w:r>
      <w:r>
        <w:rPr>
          <w:noProof/>
        </w:rPr>
        <w:t xml:space="preserve"> au plus tard le 31 décembre 2025.</w:t>
      </w:r>
    </w:p>
    <w:p w14:paraId="6E98A37C" w14:textId="0DF8F684" w:rsidR="00025543" w:rsidRDefault="007E3A2F">
      <w:pPr>
        <w:pStyle w:val="P68B1DB1-Normal26"/>
        <w:keepNext/>
        <w:autoSpaceDE w:val="0"/>
        <w:autoSpaceDN w:val="0"/>
        <w:adjustRightInd w:val="0"/>
        <w:spacing w:line="240" w:lineRule="auto"/>
        <w:jc w:val="both"/>
        <w:rPr>
          <w:noProof/>
        </w:rPr>
      </w:pPr>
      <w:r>
        <w:rPr>
          <w:noProof/>
        </w:rPr>
        <w:t>Investissement 1: Rénovation et revitalisation des bâtiments en vue d’économies d’énergie</w:t>
      </w:r>
    </w:p>
    <w:p w14:paraId="70C4AF53" w14:textId="77777777" w:rsidR="00025543" w:rsidRDefault="007E3A2F">
      <w:pPr>
        <w:pStyle w:val="P68B1DB1-Normal3"/>
        <w:autoSpaceDE w:val="0"/>
        <w:autoSpaceDN w:val="0"/>
        <w:adjustRightInd w:val="0"/>
        <w:spacing w:line="240" w:lineRule="auto"/>
        <w:jc w:val="both"/>
        <w:rPr>
          <w:noProof/>
        </w:rPr>
      </w:pPr>
      <w:r>
        <w:rPr>
          <w:noProof/>
        </w:rPr>
        <w:t>Cette mesure vise à</w:t>
      </w:r>
      <w:r>
        <w:rPr>
          <w:b/>
          <w:noProof/>
        </w:rPr>
        <w:t xml:space="preserve"> </w:t>
      </w:r>
      <w:r>
        <w:rPr>
          <w:noProof/>
        </w:rPr>
        <w:t>économiser</w:t>
      </w:r>
      <w:r>
        <w:rPr>
          <w:b/>
          <w:noProof/>
        </w:rPr>
        <w:t xml:space="preserve"> </w:t>
      </w:r>
      <w:r>
        <w:rPr>
          <w:noProof/>
        </w:rPr>
        <w:t>l’énergie dans les bâtiments résidentiels, à construire de nouveaux bâtiments résidentiels qui dépassent les normes énergétiques obligatoires, à remplacer les sources de combustion non conformes dans les ménages utilisant des combustibles solides par des chaudières à condensation au gaz de classe énergétique A, à utiliser des sources d’énergie renouvelables dans le cadre de la rénovation énergétique complète des bâtiments, et à s’adapter au changement climatique, y compris la gestion de l’eau. Les solutions énergétiques intelligentes au niveau des ménages individuels, des maisons ou des petits groupes de maisons, telles que les compteurs intelligents, les sites communs de stockage d’énergie et l’agrégation de la demande, sont encouragées.</w:t>
      </w:r>
    </w:p>
    <w:p w14:paraId="4486F6EB" w14:textId="77777777" w:rsidR="00025543" w:rsidRDefault="007E3A2F">
      <w:pPr>
        <w:pStyle w:val="P68B1DB1-Normal3"/>
        <w:autoSpaceDE w:val="0"/>
        <w:autoSpaceDN w:val="0"/>
        <w:adjustRightInd w:val="0"/>
        <w:spacing w:line="240" w:lineRule="auto"/>
        <w:jc w:val="both"/>
        <w:rPr>
          <w:noProof/>
        </w:rPr>
      </w:pPr>
      <w:r>
        <w:rPr>
          <w:noProof/>
        </w:rPr>
        <w:t>Les coûts d’installation de chaudières à condensation au gaz représenteront au maximum 20 % du coût global du programme de rénovation et seront installés pour remplacer les chaudières à combustibles solides. Le mécanisme en faveur de l’efficacité énergétique encourage les bénéficiaires à installer de nouvelles chaudières au gaz et à adopter également d’autres mesures d’efficacité énergétique.</w:t>
      </w:r>
    </w:p>
    <w:p w14:paraId="08BB6147" w14:textId="77777777" w:rsidR="00025543" w:rsidRDefault="007E3A2F">
      <w:pPr>
        <w:pStyle w:val="P68B1DB1-Normal3"/>
        <w:autoSpaceDE w:val="0"/>
        <w:autoSpaceDN w:val="0"/>
        <w:adjustRightInd w:val="0"/>
        <w:spacing w:line="240" w:lineRule="auto"/>
        <w:jc w:val="both"/>
        <w:rPr>
          <w:noProof/>
        </w:rPr>
      </w:pPr>
      <w:r>
        <w:rPr>
          <w:noProof/>
        </w:rPr>
        <w:t xml:space="preserve">Le programme de rénovation entraîne, en moyenne, une réduction de 30 % de la demande d’énergie primaire des bâtiments rénovés. </w:t>
      </w:r>
    </w:p>
    <w:p w14:paraId="178F9459" w14:textId="3E15F351" w:rsidR="00025543" w:rsidRDefault="007E3A2F">
      <w:pPr>
        <w:pStyle w:val="P68B1DB1-Normal3"/>
        <w:autoSpaceDE w:val="0"/>
        <w:autoSpaceDN w:val="0"/>
        <w:adjustRightInd w:val="0"/>
        <w:spacing w:line="240" w:lineRule="auto"/>
        <w:jc w:val="both"/>
        <w:rPr>
          <w:noProof/>
        </w:rPr>
      </w:pPr>
      <w:r>
        <w:rPr>
          <w:noProof/>
        </w:rPr>
        <w:t>Un maximum de 10 % de la dotation totale de cette mesure est destiné à soutenir la construction de nouveaux bâtiments. Les nouveaux bâtiments bénéficiant d’un soutien doivent avoir une demande d’énergie primaire inférieure d’au moins 20 % à l’exigence relative aux bâtiments à consommation d’énergie quasi nulle.</w:t>
      </w:r>
    </w:p>
    <w:p w14:paraId="7A3ACC9B" w14:textId="5D10C785" w:rsidR="00025543" w:rsidRDefault="007E3A2F">
      <w:pPr>
        <w:pStyle w:val="P68B1DB1-Normal3"/>
        <w:spacing w:line="240" w:lineRule="auto"/>
        <w:jc w:val="both"/>
        <w:rPr>
          <w:noProof/>
        </w:rPr>
      </w:pPr>
      <w:r>
        <w:rPr>
          <w:noProof/>
        </w:rPr>
        <w:t>Au moins 70 % des déchets de construction et de démolition non dangereux sont préparés en vue du réemploi, du recyclage ou d’une autre valorisation des matériaux. Des indicateurs Level (s) de l’UE sont utilisés pour évaluer et rendre compte de la performance des bâtiments en matière de durabilité tout au long du cycle de vie des bâtiments.</w:t>
      </w:r>
    </w:p>
    <w:p w14:paraId="3B97F9B4" w14:textId="6349873F" w:rsidR="00025543" w:rsidRDefault="007E3A2F">
      <w:pPr>
        <w:pStyle w:val="pf0"/>
        <w:jc w:val="both"/>
        <w:rPr>
          <w:noProof/>
        </w:rPr>
      </w:pPr>
      <w:r>
        <w:rPr>
          <w:noProof/>
        </w:rPr>
        <w:t>Les consommateurs d’énergie vulnérables doivent également bénéficier d’un soutien.</w:t>
      </w:r>
    </w:p>
    <w:p w14:paraId="6BFC594C" w14:textId="77777777" w:rsidR="00025543" w:rsidRDefault="007E3A2F">
      <w:pPr>
        <w:pStyle w:val="P68B1DB1-Normal3"/>
        <w:autoSpaceDE w:val="0"/>
        <w:autoSpaceDN w:val="0"/>
        <w:adjustRightInd w:val="0"/>
        <w:spacing w:line="240" w:lineRule="auto"/>
        <w:jc w:val="both"/>
        <w:rPr>
          <w:noProof/>
        </w:rPr>
      </w:pPr>
      <w:r>
        <w:rPr>
          <w:noProof/>
        </w:rPr>
        <w:t xml:space="preserve">L’investissement est mis </w:t>
      </w:r>
      <w:r>
        <w:rPr>
          <w:noProof/>
          <w:color w:val="000000"/>
        </w:rPr>
        <w:t>en œuvre</w:t>
      </w:r>
      <w:r>
        <w:rPr>
          <w:noProof/>
        </w:rPr>
        <w:t xml:space="preserve"> au moyen des projets suivants:</w:t>
      </w:r>
    </w:p>
    <w:p w14:paraId="4AFAB524" w14:textId="422192EF" w:rsidR="00025543" w:rsidRDefault="007E3A2F">
      <w:pPr>
        <w:numPr>
          <w:ilvl w:val="0"/>
          <w:numId w:val="156"/>
        </w:numPr>
        <w:autoSpaceDE w:val="0"/>
        <w:autoSpaceDN w:val="0"/>
        <w:adjustRightInd w:val="0"/>
        <w:spacing w:line="240" w:lineRule="auto"/>
        <w:ind w:left="360"/>
        <w:jc w:val="both"/>
        <w:rPr>
          <w:noProof/>
        </w:rPr>
      </w:pPr>
      <w:r>
        <w:rPr>
          <w:noProof/>
        </w:rPr>
        <w:t>Les projets de réduction de la consommation d’énergie de 1 200 TJ/an ont fait l’objet d’un contrat au 1 février 2020.</w:t>
      </w:r>
    </w:p>
    <w:p w14:paraId="0F03FBB9" w14:textId="3164B0F3" w:rsidR="00025543" w:rsidRDefault="007E3A2F">
      <w:pPr>
        <w:numPr>
          <w:ilvl w:val="0"/>
          <w:numId w:val="156"/>
        </w:numPr>
        <w:autoSpaceDE w:val="0"/>
        <w:autoSpaceDN w:val="0"/>
        <w:adjustRightInd w:val="0"/>
        <w:spacing w:line="240" w:lineRule="auto"/>
        <w:ind w:left="360"/>
        <w:jc w:val="both"/>
        <w:rPr>
          <w:rFonts w:ascii="Calibri" w:hAnsi="Calibri"/>
          <w:noProof/>
          <w:sz w:val="22"/>
        </w:rPr>
      </w:pPr>
      <w:r>
        <w:rPr>
          <w:noProof/>
        </w:rPr>
        <w:t>Réduction de la consommation d’énergie de 1 900 TJ/an et réduction des émissions de CO2 de 100 kt/an d’ici au 31 décembre 2025.</w:t>
      </w:r>
    </w:p>
    <w:p w14:paraId="26DCB349" w14:textId="70C9B84C" w:rsidR="00025543" w:rsidRDefault="007E3A2F">
      <w:pPr>
        <w:pStyle w:val="P68B1DB1-Normal26"/>
        <w:autoSpaceDE w:val="0"/>
        <w:autoSpaceDN w:val="0"/>
        <w:adjustRightInd w:val="0"/>
        <w:spacing w:line="240" w:lineRule="auto"/>
        <w:jc w:val="both"/>
        <w:rPr>
          <w:noProof/>
        </w:rPr>
      </w:pPr>
      <w:r>
        <w:rPr>
          <w:noProof/>
        </w:rPr>
        <w:t>Investissement 2: Remplacement des sources fixes de pollution dans les ménages par des sources d’énergie renouvelables</w:t>
      </w:r>
    </w:p>
    <w:p w14:paraId="7D00D3A5" w14:textId="7EE52C3F" w:rsidR="00025543" w:rsidRDefault="007E3A2F">
      <w:pPr>
        <w:pStyle w:val="P68B1DB1-Normal3"/>
        <w:autoSpaceDE w:val="0"/>
        <w:autoSpaceDN w:val="0"/>
        <w:adjustRightInd w:val="0"/>
        <w:spacing w:line="240" w:lineRule="auto"/>
        <w:jc w:val="both"/>
        <w:rPr>
          <w:noProof/>
        </w:rPr>
      </w:pPr>
      <w:r>
        <w:rPr>
          <w:noProof/>
        </w:rPr>
        <w:t>Cette mesure vise à remplacer les sources de combustion non conformes des ménages utilisant des combustibles solides par des sources de chauffage à faibles émissions (pompes à chaleur, chaudières à biomasse) et à installer des sources d’énergie renouvelables adaptées au secteur du logement, en particulier les systèmes photovoltaïques et photothermiques.</w:t>
      </w:r>
    </w:p>
    <w:p w14:paraId="7B3047D5" w14:textId="77777777" w:rsidR="00025543" w:rsidRDefault="007E3A2F">
      <w:pPr>
        <w:pStyle w:val="P68B1DB1-Normal3"/>
        <w:autoSpaceDE w:val="0"/>
        <w:autoSpaceDN w:val="0"/>
        <w:adjustRightInd w:val="0"/>
        <w:spacing w:line="240" w:lineRule="auto"/>
        <w:jc w:val="both"/>
        <w:rPr>
          <w:noProof/>
        </w:rPr>
      </w:pPr>
      <w:r>
        <w:rPr>
          <w:noProof/>
        </w:rPr>
        <w:t xml:space="preserve">L’investissement est mis </w:t>
      </w:r>
      <w:r>
        <w:rPr>
          <w:noProof/>
          <w:color w:val="000000"/>
        </w:rPr>
        <w:t>en œuvre</w:t>
      </w:r>
      <w:r>
        <w:rPr>
          <w:noProof/>
        </w:rPr>
        <w:t xml:space="preserve"> au moyen des projets suivants:</w:t>
      </w:r>
    </w:p>
    <w:p w14:paraId="0640ADE5" w14:textId="0A7A0157" w:rsidR="00025543" w:rsidRDefault="007E3A2F">
      <w:pPr>
        <w:numPr>
          <w:ilvl w:val="0"/>
          <w:numId w:val="156"/>
        </w:numPr>
        <w:autoSpaceDE w:val="0"/>
        <w:autoSpaceDN w:val="0"/>
        <w:adjustRightInd w:val="0"/>
        <w:spacing w:line="240" w:lineRule="auto"/>
        <w:ind w:left="360"/>
        <w:jc w:val="both"/>
        <w:rPr>
          <w:noProof/>
        </w:rPr>
      </w:pPr>
      <w:r>
        <w:rPr>
          <w:noProof/>
        </w:rPr>
        <w:t>Projets de réduction de la consommation d’énergie de 720 TJ/an et de réduction des émissions de CO2 de 100 kt/an</w:t>
      </w:r>
    </w:p>
    <w:p w14:paraId="7A5BD2E0" w14:textId="51418653" w:rsidR="00025543" w:rsidRDefault="007E3A2F">
      <w:pPr>
        <w:numPr>
          <w:ilvl w:val="0"/>
          <w:numId w:val="156"/>
        </w:numPr>
        <w:autoSpaceDE w:val="0"/>
        <w:autoSpaceDN w:val="0"/>
        <w:adjustRightInd w:val="0"/>
        <w:spacing w:line="240" w:lineRule="auto"/>
        <w:ind w:left="360"/>
        <w:jc w:val="both"/>
        <w:rPr>
          <w:noProof/>
        </w:rPr>
      </w:pPr>
      <w:r>
        <w:rPr>
          <w:noProof/>
        </w:rPr>
        <w:t>Réduction de la consommation d’énergie de 1 500 TJ/an et réduction des émissions de CO2 de 170 kt CO2/year d’ici au 30 septembre 2023.</w:t>
      </w:r>
    </w:p>
    <w:p w14:paraId="2FB5CD6B" w14:textId="5D925AAC" w:rsidR="00025543" w:rsidRDefault="007E3A2F">
      <w:pPr>
        <w:pStyle w:val="P68B1DB1-Normal3"/>
        <w:numPr>
          <w:ilvl w:val="0"/>
          <w:numId w:val="156"/>
        </w:numPr>
        <w:autoSpaceDE w:val="0"/>
        <w:autoSpaceDN w:val="0"/>
        <w:adjustRightInd w:val="0"/>
        <w:spacing w:line="240" w:lineRule="auto"/>
        <w:ind w:left="360"/>
        <w:jc w:val="both"/>
        <w:rPr>
          <w:noProof/>
        </w:rPr>
      </w:pPr>
      <w:r>
        <w:rPr>
          <w:noProof/>
        </w:rPr>
        <w:t>Réduction de la consommation d’énergie de 4 500 TJ/an et réduction des émissions de CO2 de 500 kt CO2/year d’ici au 31 décembre 2025.</w:t>
      </w:r>
    </w:p>
    <w:p w14:paraId="6C964707" w14:textId="0AE1555D" w:rsidR="00025543" w:rsidRDefault="007E3A2F">
      <w:pPr>
        <w:numPr>
          <w:ilvl w:val="0"/>
          <w:numId w:val="156"/>
        </w:numPr>
        <w:autoSpaceDE w:val="0"/>
        <w:autoSpaceDN w:val="0"/>
        <w:adjustRightInd w:val="0"/>
        <w:spacing w:line="240" w:lineRule="auto"/>
        <w:ind w:left="360"/>
        <w:jc w:val="both"/>
        <w:rPr>
          <w:noProof/>
        </w:rPr>
      </w:pPr>
      <w:r>
        <w:rPr>
          <w:noProof/>
        </w:rPr>
        <w:t>Réduction de la consommation d’énergie de 415 TJ/an et réduction des émissions de CO2 de 66 kt/an grâce au soutien des groupes socialement défavorisés de la population d’ici au 31 décembre 2025.</w:t>
      </w:r>
    </w:p>
    <w:p w14:paraId="5C2FCA7B" w14:textId="73B63524" w:rsidR="00025543" w:rsidRDefault="007E3A2F">
      <w:pPr>
        <w:pStyle w:val="P68B1DB1-Normal26"/>
        <w:autoSpaceDE w:val="0"/>
        <w:autoSpaceDN w:val="0"/>
        <w:adjustRightInd w:val="0"/>
        <w:spacing w:line="240" w:lineRule="auto"/>
        <w:jc w:val="both"/>
        <w:rPr>
          <w:noProof/>
        </w:rPr>
      </w:pPr>
      <w:r>
        <w:rPr>
          <w:noProof/>
        </w:rPr>
        <w:t xml:space="preserve">Investissement 3: Soutien à la préparation et à la sensibilisation préalables au projet, à l’éducation, à la formation et à l’information dans le domaine des économies d’énergie et de la réduction des émissions de gaz à effet de serre et d’autres polluants atmosphériques  </w:t>
      </w:r>
    </w:p>
    <w:p w14:paraId="3077C31A" w14:textId="77777777" w:rsidR="00025543" w:rsidRDefault="007E3A2F">
      <w:pPr>
        <w:pStyle w:val="P68B1DB1-Normal3"/>
        <w:autoSpaceDE w:val="0"/>
        <w:autoSpaceDN w:val="0"/>
        <w:adjustRightInd w:val="0"/>
        <w:spacing w:line="240" w:lineRule="auto"/>
        <w:jc w:val="both"/>
        <w:rPr>
          <w:noProof/>
        </w:rPr>
      </w:pPr>
      <w:r>
        <w:rPr>
          <w:noProof/>
        </w:rPr>
        <w:t xml:space="preserve">Cette mesure vise à soutenir la préparation préalable au projet de rénovations permettant d’économiser l’énergie, les échanges de chaleur pour une énergie plus efficace sur le plan énergétique et, en particulier, l’automatisation de la gestion de la consommation d’énergie dans le secteur du logement, y compris l’éducation et la formation dans ces domaines. 40 projets communautaires de préparation de projets énergétiques, 3 600 études de préparation de projets pour des maisons familiales, 1 200 études de préparation de projets pour des immeubles à appartements et 50 projets de centres de consultation et d’information sur l’énergie seront achevés. </w:t>
      </w:r>
    </w:p>
    <w:p w14:paraId="7D847DEE" w14:textId="77777777" w:rsidR="00025543" w:rsidRDefault="007E3A2F">
      <w:pPr>
        <w:pStyle w:val="P68B1DB1-Normal3"/>
        <w:autoSpaceDE w:val="0"/>
        <w:autoSpaceDN w:val="0"/>
        <w:adjustRightInd w:val="0"/>
        <w:spacing w:line="240" w:lineRule="auto"/>
        <w:jc w:val="both"/>
        <w:rPr>
          <w:noProof/>
        </w:rPr>
      </w:pPr>
      <w:r>
        <w:rPr>
          <w:noProof/>
        </w:rPr>
        <w:t>L’investissement est mis en œuvre au plus tard le 31 décembre 2025.</w:t>
      </w:r>
    </w:p>
    <w:p w14:paraId="5EE00A39" w14:textId="77777777" w:rsidR="00025543" w:rsidRDefault="00025543">
      <w:pPr>
        <w:spacing w:line="240" w:lineRule="auto"/>
        <w:ind w:left="850"/>
        <w:jc w:val="both"/>
        <w:rPr>
          <w:b/>
          <w:noProof/>
          <w:highlight w:val="red"/>
          <w:u w:val="single"/>
        </w:rPr>
        <w:sectPr w:rsidR="00025543" w:rsidSect="0078369E">
          <w:headerReference w:type="even" r:id="rId198"/>
          <w:headerReference w:type="default" r:id="rId199"/>
          <w:footerReference w:type="even" r:id="rId200"/>
          <w:footerReference w:type="default" r:id="rId201"/>
          <w:headerReference w:type="first" r:id="rId202"/>
          <w:footerReference w:type="first" r:id="rId203"/>
          <w:pgSz w:w="11907" w:h="16839"/>
          <w:pgMar w:top="1134" w:right="1134" w:bottom="1134" w:left="1134" w:header="567" w:footer="567" w:gutter="0"/>
          <w:cols w:space="720"/>
          <w:docGrid w:linePitch="360"/>
        </w:sectPr>
      </w:pPr>
    </w:p>
    <w:p w14:paraId="797940FF" w14:textId="631CE992" w:rsidR="00025543" w:rsidRDefault="007E3A2F">
      <w:pPr>
        <w:pStyle w:val="P68B1DB1-Normal5"/>
        <w:tabs>
          <w:tab w:val="left" w:pos="993"/>
        </w:tabs>
        <w:spacing w:line="240" w:lineRule="auto"/>
        <w:rPr>
          <w:noProof/>
        </w:rPr>
      </w:pPr>
      <w:r>
        <w:rPr>
          <w:noProof/>
        </w:rPr>
        <w:t xml:space="preserve">L.2. Jalons, cibles, indicateurs et calendrier de suivi et de mise en œuvre en vue du soutien financier non remboursable </w:t>
      </w:r>
    </w:p>
    <w:tbl>
      <w:tblPr>
        <w:tblW w:w="0" w:type="auto"/>
        <w:jc w:val="center"/>
        <w:tblLayout w:type="fixed"/>
        <w:tblLook w:val="04A0" w:firstRow="1" w:lastRow="0" w:firstColumn="1" w:lastColumn="0" w:noHBand="0" w:noVBand="1"/>
      </w:tblPr>
      <w:tblGrid>
        <w:gridCol w:w="675"/>
        <w:gridCol w:w="1319"/>
        <w:gridCol w:w="1134"/>
        <w:gridCol w:w="1276"/>
        <w:gridCol w:w="1134"/>
        <w:gridCol w:w="1077"/>
        <w:gridCol w:w="1134"/>
        <w:gridCol w:w="709"/>
        <w:gridCol w:w="1077"/>
        <w:gridCol w:w="665"/>
        <w:gridCol w:w="5387"/>
      </w:tblGrid>
      <w:tr w:rsidR="00025543" w14:paraId="7B8228DF" w14:textId="77777777">
        <w:trPr>
          <w:trHeight w:val="75"/>
          <w:tblHeader/>
          <w:jc w:val="center"/>
        </w:trPr>
        <w:tc>
          <w:tcPr>
            <w:tcW w:w="675"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3BBF5E43" w14:textId="77777777" w:rsidR="00025543" w:rsidRDefault="007E3A2F">
            <w:pPr>
              <w:pStyle w:val="P68B1DB1-Normal9"/>
              <w:spacing w:line="240" w:lineRule="auto"/>
              <w:jc w:val="center"/>
              <w:rPr>
                <w:noProof/>
              </w:rPr>
            </w:pPr>
            <w:r>
              <w:rPr>
                <w:noProof/>
              </w:rPr>
              <w:t>Séquence NUM.</w:t>
            </w:r>
          </w:p>
        </w:tc>
        <w:tc>
          <w:tcPr>
            <w:tcW w:w="1319"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37901246" w14:textId="77777777" w:rsidR="00025543" w:rsidRDefault="007E3A2F">
            <w:pPr>
              <w:pStyle w:val="P68B1DB1-Normal9"/>
              <w:spacing w:line="240" w:lineRule="auto"/>
              <w:jc w:val="center"/>
              <w:rPr>
                <w:noProof/>
              </w:rPr>
            </w:pPr>
            <w:r>
              <w:rPr>
                <w:noProof/>
              </w:rPr>
              <w:t xml:space="preserve">Mesure connexe (réforme ou investissement)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2D19CA6B" w14:textId="77777777" w:rsidR="00025543" w:rsidRDefault="007E3A2F">
            <w:pPr>
              <w:pStyle w:val="P68B1DB1-Normal9"/>
              <w:spacing w:line="240" w:lineRule="auto"/>
              <w:jc w:val="center"/>
              <w:rPr>
                <w:noProof/>
              </w:rPr>
            </w:pPr>
            <w:r>
              <w:rPr>
                <w:noProof/>
              </w:rPr>
              <w:t xml:space="preserve">Jalon/cible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51772D2F" w14:textId="77777777" w:rsidR="00025543" w:rsidRDefault="007E3A2F">
            <w:pPr>
              <w:pStyle w:val="P68B1DB1-Normal9"/>
              <w:spacing w:line="240" w:lineRule="auto"/>
              <w:jc w:val="center"/>
              <w:rPr>
                <w:noProof/>
              </w:rPr>
            </w:pPr>
            <w:r>
              <w:rPr>
                <w:noProof/>
              </w:rPr>
              <w:t xml:space="preserve">Nom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640D3465" w14:textId="77777777" w:rsidR="00025543" w:rsidRDefault="007E3A2F">
            <w:pPr>
              <w:pStyle w:val="P68B1DB1-Normal12"/>
              <w:spacing w:line="240" w:lineRule="auto"/>
              <w:jc w:val="center"/>
              <w:rPr>
                <w:noProof/>
              </w:rPr>
            </w:pPr>
            <w:r>
              <w:rPr>
                <w:rFonts w:eastAsia="Times New Roman"/>
                <w:b/>
                <w:noProof/>
              </w:rPr>
              <w:t>Qualitatifs</w:t>
            </w:r>
            <w:r>
              <w:rPr>
                <w:noProof/>
              </w:rPr>
              <w:br/>
            </w:r>
            <w:r>
              <w:rPr>
                <w:rFonts w:eastAsia="Times New Roman"/>
                <w:b/>
                <w:noProof/>
              </w:rPr>
              <w:t xml:space="preserve"> (pour les jalons) </w:t>
            </w:r>
          </w:p>
        </w:tc>
        <w:tc>
          <w:tcPr>
            <w:tcW w:w="2693" w:type="dxa"/>
            <w:gridSpan w:val="3"/>
            <w:tcBorders>
              <w:top w:val="single" w:sz="8" w:space="0" w:color="auto"/>
              <w:left w:val="single" w:sz="4" w:space="0" w:color="auto"/>
              <w:bottom w:val="single" w:sz="8" w:space="0" w:color="auto"/>
              <w:right w:val="single" w:sz="8" w:space="0" w:color="000000" w:themeColor="text1"/>
            </w:tcBorders>
            <w:shd w:val="clear" w:color="auto" w:fill="BDD7EE"/>
            <w:vAlign w:val="center"/>
          </w:tcPr>
          <w:p w14:paraId="699FFC1A" w14:textId="77777777" w:rsidR="00025543" w:rsidRDefault="007E3A2F">
            <w:pPr>
              <w:pStyle w:val="P68B1DB1-Normal12"/>
              <w:spacing w:line="240" w:lineRule="auto"/>
              <w:jc w:val="center"/>
              <w:rPr>
                <w:noProof/>
              </w:rPr>
            </w:pPr>
            <w:r>
              <w:rPr>
                <w:rFonts w:eastAsia="Times New Roman"/>
                <w:b/>
                <w:noProof/>
              </w:rPr>
              <w:t>Indicateurs quantitatifs</w:t>
            </w:r>
            <w:r>
              <w:rPr>
                <w:noProof/>
              </w:rPr>
              <w:br/>
            </w:r>
            <w:r>
              <w:rPr>
                <w:rFonts w:eastAsia="Times New Roman"/>
                <w:b/>
                <w:noProof/>
              </w:rPr>
              <w:t xml:space="preserve"> (pour les objectifs)</w:t>
            </w:r>
          </w:p>
        </w:tc>
        <w:tc>
          <w:tcPr>
            <w:tcW w:w="1374" w:type="dxa"/>
            <w:gridSpan w:val="2"/>
            <w:tcBorders>
              <w:top w:val="single" w:sz="8" w:space="0" w:color="auto"/>
              <w:left w:val="nil"/>
              <w:bottom w:val="single" w:sz="8" w:space="0" w:color="auto"/>
              <w:right w:val="single" w:sz="4" w:space="0" w:color="auto"/>
            </w:tcBorders>
            <w:shd w:val="clear" w:color="auto" w:fill="BDD7EE"/>
            <w:vAlign w:val="center"/>
          </w:tcPr>
          <w:p w14:paraId="3997637D" w14:textId="77777777" w:rsidR="00025543" w:rsidRDefault="007E3A2F">
            <w:pPr>
              <w:pStyle w:val="P68B1DB1-Normal9"/>
              <w:spacing w:line="240" w:lineRule="auto"/>
              <w:jc w:val="center"/>
              <w:rPr>
                <w:noProof/>
              </w:rPr>
            </w:pPr>
            <w:r>
              <w:rPr>
                <w:noProof/>
              </w:rPr>
              <w:t xml:space="preserve">Calendrier indicatif de réalisation </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7FD0776A" w14:textId="77777777" w:rsidR="00025543" w:rsidRDefault="007E3A2F">
            <w:pPr>
              <w:pStyle w:val="P68B1DB1-Normal9"/>
              <w:spacing w:line="240" w:lineRule="auto"/>
              <w:jc w:val="center"/>
              <w:rPr>
                <w:noProof/>
              </w:rPr>
            </w:pPr>
            <w:r>
              <w:rPr>
                <w:noProof/>
              </w:rPr>
              <w:t>Description et définition claire de chaque jalon et cible</w:t>
            </w:r>
          </w:p>
        </w:tc>
      </w:tr>
      <w:tr w:rsidR="00025543" w14:paraId="35E2B411" w14:textId="77777777">
        <w:trPr>
          <w:trHeight w:val="600"/>
          <w:tblHeader/>
          <w:jc w:val="center"/>
        </w:trPr>
        <w:tc>
          <w:tcPr>
            <w:tcW w:w="675" w:type="dxa"/>
            <w:vMerge/>
            <w:tcBorders>
              <w:top w:val="single" w:sz="4" w:space="0" w:color="auto"/>
              <w:left w:val="single" w:sz="4" w:space="0" w:color="auto"/>
              <w:bottom w:val="single" w:sz="4" w:space="0" w:color="auto"/>
              <w:right w:val="single" w:sz="4" w:space="0" w:color="auto"/>
            </w:tcBorders>
            <w:vAlign w:val="center"/>
          </w:tcPr>
          <w:p w14:paraId="4B66ED85" w14:textId="77777777" w:rsidR="00025543" w:rsidRDefault="00025543">
            <w:pPr>
              <w:spacing w:line="240" w:lineRule="auto"/>
              <w:jc w:val="center"/>
              <w:rPr>
                <w:noProof/>
                <w:sz w:val="18"/>
              </w:rPr>
            </w:pPr>
          </w:p>
        </w:tc>
        <w:tc>
          <w:tcPr>
            <w:tcW w:w="1319" w:type="dxa"/>
            <w:vMerge/>
            <w:tcBorders>
              <w:top w:val="single" w:sz="4" w:space="0" w:color="auto"/>
              <w:left w:val="single" w:sz="4" w:space="0" w:color="auto"/>
              <w:bottom w:val="single" w:sz="4" w:space="0" w:color="auto"/>
              <w:right w:val="single" w:sz="4" w:space="0" w:color="auto"/>
            </w:tcBorders>
            <w:vAlign w:val="center"/>
          </w:tcPr>
          <w:p w14:paraId="46B2E08E" w14:textId="77777777" w:rsidR="00025543" w:rsidRDefault="00025543">
            <w:pPr>
              <w:spacing w:line="240" w:lineRule="auto"/>
              <w:jc w:val="center"/>
              <w:rPr>
                <w:noProof/>
                <w:sz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75D8E3D" w14:textId="77777777" w:rsidR="00025543" w:rsidRDefault="00025543">
            <w:pPr>
              <w:spacing w:line="240" w:lineRule="auto"/>
              <w:jc w:val="center"/>
              <w:rPr>
                <w:noProof/>
                <w:sz w:val="18"/>
              </w:rPr>
            </w:pPr>
          </w:p>
        </w:tc>
        <w:tc>
          <w:tcPr>
            <w:tcW w:w="1276" w:type="dxa"/>
            <w:vMerge/>
            <w:tcBorders>
              <w:left w:val="single" w:sz="4" w:space="0" w:color="auto"/>
              <w:right w:val="single" w:sz="4" w:space="0" w:color="auto"/>
            </w:tcBorders>
            <w:vAlign w:val="center"/>
          </w:tcPr>
          <w:p w14:paraId="3B268E28" w14:textId="77777777" w:rsidR="00025543" w:rsidRDefault="00025543">
            <w:pPr>
              <w:spacing w:line="240" w:lineRule="auto"/>
              <w:jc w:val="center"/>
              <w:rPr>
                <w:noProof/>
                <w:sz w:val="18"/>
              </w:rPr>
            </w:pPr>
          </w:p>
        </w:tc>
        <w:tc>
          <w:tcPr>
            <w:tcW w:w="1134" w:type="dxa"/>
            <w:vMerge/>
            <w:tcBorders>
              <w:top w:val="single" w:sz="4" w:space="0" w:color="auto"/>
              <w:left w:val="single" w:sz="4" w:space="0" w:color="auto"/>
              <w:bottom w:val="single" w:sz="4" w:space="0" w:color="auto"/>
            </w:tcBorders>
            <w:vAlign w:val="center"/>
          </w:tcPr>
          <w:p w14:paraId="51285FC2" w14:textId="77777777" w:rsidR="00025543" w:rsidRDefault="00025543">
            <w:pPr>
              <w:spacing w:line="240" w:lineRule="auto"/>
              <w:jc w:val="center"/>
              <w:rPr>
                <w:noProof/>
                <w:sz w:val="18"/>
              </w:rPr>
            </w:pPr>
          </w:p>
        </w:tc>
        <w:tc>
          <w:tcPr>
            <w:tcW w:w="1077" w:type="dxa"/>
            <w:tcBorders>
              <w:top w:val="single" w:sz="8" w:space="0" w:color="auto"/>
              <w:left w:val="single" w:sz="4" w:space="0" w:color="auto"/>
              <w:bottom w:val="single" w:sz="8" w:space="0" w:color="auto"/>
              <w:right w:val="single" w:sz="8" w:space="0" w:color="000000" w:themeColor="text1"/>
            </w:tcBorders>
            <w:shd w:val="clear" w:color="auto" w:fill="BDD7EE"/>
            <w:vAlign w:val="center"/>
          </w:tcPr>
          <w:p w14:paraId="14EE7D68" w14:textId="77777777" w:rsidR="00025543" w:rsidRDefault="007E3A2F">
            <w:pPr>
              <w:pStyle w:val="P68B1DB1-Normal9"/>
              <w:spacing w:line="240" w:lineRule="auto"/>
              <w:jc w:val="center"/>
              <w:rPr>
                <w:noProof/>
              </w:rPr>
            </w:pPr>
            <w:r>
              <w:rPr>
                <w:noProof/>
              </w:rPr>
              <w:t>Unité de mesure</w:t>
            </w:r>
          </w:p>
        </w:tc>
        <w:tc>
          <w:tcPr>
            <w:tcW w:w="1134" w:type="dxa"/>
            <w:tcBorders>
              <w:top w:val="nil"/>
              <w:left w:val="single" w:sz="8" w:space="0" w:color="auto"/>
              <w:bottom w:val="single" w:sz="8" w:space="0" w:color="auto"/>
              <w:right w:val="single" w:sz="8" w:space="0" w:color="auto"/>
            </w:tcBorders>
            <w:shd w:val="clear" w:color="auto" w:fill="BDD7EE"/>
            <w:vAlign w:val="center"/>
          </w:tcPr>
          <w:p w14:paraId="1C4DAFC9" w14:textId="77777777" w:rsidR="00025543" w:rsidRDefault="007E3A2F">
            <w:pPr>
              <w:pStyle w:val="P68B1DB1-Normal9"/>
              <w:spacing w:line="240" w:lineRule="auto"/>
              <w:jc w:val="center"/>
              <w:rPr>
                <w:noProof/>
              </w:rPr>
            </w:pPr>
            <w:r>
              <w:rPr>
                <w:noProof/>
              </w:rPr>
              <w:t>Scénario de référence</w:t>
            </w:r>
          </w:p>
        </w:tc>
        <w:tc>
          <w:tcPr>
            <w:tcW w:w="709" w:type="dxa"/>
            <w:tcBorders>
              <w:top w:val="nil"/>
              <w:left w:val="single" w:sz="8" w:space="0" w:color="auto"/>
              <w:bottom w:val="single" w:sz="8" w:space="0" w:color="auto"/>
              <w:right w:val="single" w:sz="8" w:space="0" w:color="000000" w:themeColor="text1"/>
            </w:tcBorders>
            <w:shd w:val="clear" w:color="auto" w:fill="BDD7EE"/>
            <w:vAlign w:val="center"/>
          </w:tcPr>
          <w:p w14:paraId="6B5D83EA" w14:textId="77777777" w:rsidR="00025543" w:rsidRDefault="007E3A2F">
            <w:pPr>
              <w:pStyle w:val="P68B1DB1-Normal9"/>
              <w:spacing w:line="240" w:lineRule="auto"/>
              <w:jc w:val="center"/>
              <w:rPr>
                <w:noProof/>
              </w:rPr>
            </w:pPr>
            <w:r>
              <w:rPr>
                <w:noProof/>
              </w:rPr>
              <w:t>Objectif</w:t>
            </w:r>
          </w:p>
        </w:tc>
        <w:tc>
          <w:tcPr>
            <w:tcW w:w="1077" w:type="dxa"/>
            <w:tcBorders>
              <w:top w:val="single" w:sz="8" w:space="0" w:color="auto"/>
              <w:left w:val="single" w:sz="8" w:space="0" w:color="auto"/>
              <w:bottom w:val="single" w:sz="8" w:space="0" w:color="auto"/>
              <w:right w:val="single" w:sz="4" w:space="0" w:color="auto"/>
            </w:tcBorders>
            <w:shd w:val="clear" w:color="auto" w:fill="BDD7EE"/>
            <w:vAlign w:val="center"/>
          </w:tcPr>
          <w:p w14:paraId="7D9A964C" w14:textId="77777777" w:rsidR="00025543" w:rsidRDefault="007E3A2F">
            <w:pPr>
              <w:pStyle w:val="P68B1DB1-Normal9"/>
              <w:spacing w:line="240" w:lineRule="auto"/>
              <w:jc w:val="center"/>
              <w:rPr>
                <w:noProof/>
              </w:rPr>
            </w:pPr>
            <w:r>
              <w:rPr>
                <w:noProof/>
              </w:rPr>
              <w:t>Trimestre</w:t>
            </w:r>
          </w:p>
        </w:tc>
        <w:tc>
          <w:tcPr>
            <w:tcW w:w="665" w:type="dxa"/>
            <w:tcBorders>
              <w:top w:val="nil"/>
              <w:left w:val="single" w:sz="4" w:space="0" w:color="auto"/>
              <w:bottom w:val="single" w:sz="8" w:space="0" w:color="auto"/>
              <w:right w:val="single" w:sz="4" w:space="0" w:color="auto"/>
            </w:tcBorders>
            <w:shd w:val="clear" w:color="auto" w:fill="BDD7EE"/>
            <w:vAlign w:val="center"/>
          </w:tcPr>
          <w:p w14:paraId="2E84F033" w14:textId="77777777" w:rsidR="00025543" w:rsidRDefault="007E3A2F">
            <w:pPr>
              <w:pStyle w:val="P68B1DB1-Normal9"/>
              <w:spacing w:line="240" w:lineRule="auto"/>
              <w:jc w:val="center"/>
              <w:rPr>
                <w:noProof/>
              </w:rPr>
            </w:pPr>
            <w:r>
              <w:rPr>
                <w:noProof/>
              </w:rPr>
              <w:t>Année</w:t>
            </w:r>
          </w:p>
        </w:tc>
        <w:tc>
          <w:tcPr>
            <w:tcW w:w="5387" w:type="dxa"/>
            <w:vMerge/>
            <w:tcBorders>
              <w:bottom w:val="single" w:sz="4" w:space="0" w:color="auto"/>
              <w:right w:val="single" w:sz="4" w:space="0" w:color="auto"/>
            </w:tcBorders>
            <w:vAlign w:val="center"/>
          </w:tcPr>
          <w:p w14:paraId="3CFFA17B" w14:textId="77777777" w:rsidR="00025543" w:rsidRDefault="00025543">
            <w:pPr>
              <w:spacing w:line="240" w:lineRule="auto"/>
              <w:jc w:val="center"/>
              <w:rPr>
                <w:noProof/>
                <w:sz w:val="18"/>
              </w:rPr>
            </w:pPr>
          </w:p>
        </w:tc>
      </w:tr>
      <w:tr w:rsidR="00025543" w14:paraId="09CB2536" w14:textId="77777777">
        <w:trPr>
          <w:trHeight w:val="945"/>
          <w:jc w:val="center"/>
        </w:trPr>
        <w:tc>
          <w:tcPr>
            <w:tcW w:w="675" w:type="dxa"/>
            <w:tcBorders>
              <w:top w:val="single" w:sz="4" w:space="0" w:color="auto"/>
              <w:left w:val="single" w:sz="8" w:space="0" w:color="auto"/>
              <w:bottom w:val="single" w:sz="8" w:space="0" w:color="auto"/>
              <w:right w:val="single" w:sz="8" w:space="0" w:color="auto"/>
            </w:tcBorders>
            <w:shd w:val="clear" w:color="auto" w:fill="C6EFCE"/>
            <w:vAlign w:val="center"/>
          </w:tcPr>
          <w:p w14:paraId="5522B57C" w14:textId="77777777" w:rsidR="00025543" w:rsidRDefault="007E3A2F">
            <w:pPr>
              <w:pStyle w:val="P68B1DB1-Normal28"/>
              <w:spacing w:line="240" w:lineRule="auto"/>
              <w:jc w:val="center"/>
              <w:rPr>
                <w:noProof/>
              </w:rPr>
            </w:pPr>
            <w:r>
              <w:rPr>
                <w:noProof/>
              </w:rPr>
              <w:t>123</w:t>
            </w:r>
          </w:p>
        </w:tc>
        <w:tc>
          <w:tcPr>
            <w:tcW w:w="1319" w:type="dxa"/>
            <w:tcBorders>
              <w:top w:val="single" w:sz="4" w:space="0" w:color="auto"/>
              <w:left w:val="single" w:sz="8" w:space="0" w:color="auto"/>
              <w:bottom w:val="single" w:sz="8" w:space="0" w:color="auto"/>
              <w:right w:val="single" w:sz="8" w:space="0" w:color="auto"/>
            </w:tcBorders>
            <w:shd w:val="clear" w:color="auto" w:fill="C6EFCE"/>
            <w:vAlign w:val="center"/>
          </w:tcPr>
          <w:p w14:paraId="2F993090" w14:textId="24876947" w:rsidR="00025543" w:rsidRDefault="007E3A2F">
            <w:pPr>
              <w:pStyle w:val="P68B1DB1-Normal28"/>
              <w:spacing w:line="240" w:lineRule="auto"/>
              <w:rPr>
                <w:noProof/>
              </w:rPr>
            </w:pPr>
            <w:r>
              <w:rPr>
                <w:noProof/>
              </w:rPr>
              <w:t>Réforme 1: Vague de rénovations dans le secteur des ménages</w:t>
            </w:r>
          </w:p>
        </w:tc>
        <w:tc>
          <w:tcPr>
            <w:tcW w:w="1134" w:type="dxa"/>
            <w:tcBorders>
              <w:top w:val="single" w:sz="4" w:space="0" w:color="auto"/>
              <w:left w:val="single" w:sz="8" w:space="0" w:color="auto"/>
              <w:bottom w:val="single" w:sz="8" w:space="0" w:color="auto"/>
              <w:right w:val="single" w:sz="8" w:space="0" w:color="auto"/>
            </w:tcBorders>
            <w:shd w:val="clear" w:color="auto" w:fill="C6EFCE"/>
            <w:vAlign w:val="center"/>
          </w:tcPr>
          <w:p w14:paraId="22E8C7FA" w14:textId="77777777" w:rsidR="00025543" w:rsidRDefault="007E3A2F">
            <w:pPr>
              <w:pStyle w:val="P68B1DB1-Normal28"/>
              <w:spacing w:line="240" w:lineRule="auto"/>
              <w:rPr>
                <w:noProof/>
              </w:rPr>
            </w:pPr>
            <w:r>
              <w:rPr>
                <w:noProof/>
              </w:rPr>
              <w:t>Étapes</w:t>
            </w:r>
          </w:p>
        </w:tc>
        <w:tc>
          <w:tcPr>
            <w:tcW w:w="1276" w:type="dxa"/>
            <w:tcBorders>
              <w:top w:val="single" w:sz="4" w:space="0" w:color="auto"/>
              <w:left w:val="single" w:sz="8" w:space="0" w:color="auto"/>
              <w:bottom w:val="single" w:sz="8" w:space="0" w:color="auto"/>
              <w:right w:val="single" w:sz="8" w:space="0" w:color="auto"/>
            </w:tcBorders>
            <w:shd w:val="clear" w:color="auto" w:fill="C6EFCE"/>
            <w:vAlign w:val="center"/>
          </w:tcPr>
          <w:p w14:paraId="574C761F" w14:textId="77777777" w:rsidR="00025543" w:rsidRDefault="007E3A2F">
            <w:pPr>
              <w:pStyle w:val="P68B1DB1-Normal28"/>
              <w:spacing w:line="240" w:lineRule="auto"/>
              <w:rPr>
                <w:noProof/>
              </w:rPr>
            </w:pPr>
            <w:r>
              <w:rPr>
                <w:noProof/>
              </w:rPr>
              <w:t>Services de consultation et de formation pour la vague de rénovations dans le secteur des ménages et calendrier de mise en œuvre des mesures prévues dans les plans relatifs à la qualité de l’air</w:t>
            </w:r>
          </w:p>
        </w:tc>
        <w:tc>
          <w:tcPr>
            <w:tcW w:w="1134" w:type="dxa"/>
            <w:tcBorders>
              <w:top w:val="single" w:sz="4" w:space="0" w:color="auto"/>
              <w:left w:val="single" w:sz="8" w:space="0" w:color="auto"/>
              <w:bottom w:val="single" w:sz="8" w:space="0" w:color="auto"/>
              <w:right w:val="single" w:sz="8" w:space="0" w:color="auto"/>
            </w:tcBorders>
            <w:shd w:val="clear" w:color="auto" w:fill="C6EFCE"/>
            <w:vAlign w:val="center"/>
          </w:tcPr>
          <w:p w14:paraId="2B5C54DC" w14:textId="77777777" w:rsidR="00025543" w:rsidRDefault="007E3A2F">
            <w:pPr>
              <w:pStyle w:val="P68B1DB1-Normal28"/>
              <w:spacing w:line="240" w:lineRule="auto"/>
              <w:rPr>
                <w:noProof/>
              </w:rPr>
            </w:pPr>
            <w:r>
              <w:rPr>
                <w:noProof/>
              </w:rPr>
              <w:t>Mise en service des services de consultation et de formation et présentation à la Commission d’un calendrier pour la mise en œuvre des mesures prévues dans les plans relatifs à la qualité de l’air</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10304E59" w14:textId="77777777" w:rsidR="00025543" w:rsidRDefault="00025543">
            <w:pPr>
              <w:spacing w:line="240" w:lineRule="auto"/>
              <w:rPr>
                <w:noProof/>
                <w:color w:val="006100"/>
                <w:sz w:val="18"/>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283A5851" w14:textId="77777777" w:rsidR="00025543" w:rsidRDefault="00025543">
            <w:pPr>
              <w:spacing w:line="240" w:lineRule="auto"/>
              <w:jc w:val="center"/>
              <w:rPr>
                <w:noProof/>
                <w:color w:val="006100"/>
                <w:sz w:val="18"/>
              </w:rPr>
            </w:pP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615AE6CD" w14:textId="77777777" w:rsidR="00025543" w:rsidRDefault="00025543">
            <w:pPr>
              <w:spacing w:line="240" w:lineRule="auto"/>
              <w:jc w:val="center"/>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77553C55" w14:textId="77777777" w:rsidR="00025543" w:rsidRDefault="007E3A2F">
            <w:pPr>
              <w:pStyle w:val="P68B1DB1-Normal28"/>
              <w:spacing w:line="240" w:lineRule="auto"/>
              <w:jc w:val="center"/>
              <w:rPr>
                <w:noProof/>
              </w:rPr>
            </w:pPr>
            <w:r>
              <w:rPr>
                <w:noProof/>
              </w:rPr>
              <w:t>TRIMESTRE 4</w:t>
            </w:r>
          </w:p>
        </w:tc>
        <w:tc>
          <w:tcPr>
            <w:tcW w:w="665" w:type="dxa"/>
            <w:tcBorders>
              <w:top w:val="single" w:sz="8" w:space="0" w:color="auto"/>
              <w:left w:val="single" w:sz="8" w:space="0" w:color="auto"/>
              <w:bottom w:val="single" w:sz="8" w:space="0" w:color="auto"/>
              <w:right w:val="single" w:sz="8" w:space="0" w:color="auto"/>
            </w:tcBorders>
            <w:shd w:val="clear" w:color="auto" w:fill="C6EFCE"/>
            <w:vAlign w:val="center"/>
          </w:tcPr>
          <w:p w14:paraId="1BF87E5E" w14:textId="77777777" w:rsidR="00025543" w:rsidRDefault="007E3A2F">
            <w:pPr>
              <w:pStyle w:val="P68B1DB1-Normal28"/>
              <w:spacing w:line="240" w:lineRule="auto"/>
              <w:jc w:val="center"/>
              <w:rPr>
                <w:noProof/>
              </w:rPr>
            </w:pPr>
            <w:r>
              <w:rPr>
                <w:noProof/>
              </w:rPr>
              <w:t>2025</w:t>
            </w:r>
          </w:p>
        </w:tc>
        <w:tc>
          <w:tcPr>
            <w:tcW w:w="5387" w:type="dxa"/>
            <w:tcBorders>
              <w:top w:val="single" w:sz="4" w:space="0" w:color="auto"/>
              <w:left w:val="single" w:sz="8" w:space="0" w:color="auto"/>
              <w:bottom w:val="single" w:sz="8" w:space="0" w:color="auto"/>
              <w:right w:val="single" w:sz="8" w:space="0" w:color="auto"/>
            </w:tcBorders>
            <w:shd w:val="clear" w:color="auto" w:fill="C6EFCE"/>
            <w:vAlign w:val="center"/>
          </w:tcPr>
          <w:p w14:paraId="2714AECC" w14:textId="77777777" w:rsidR="00025543" w:rsidRDefault="007E3A2F">
            <w:pPr>
              <w:pStyle w:val="P68B1DB1-Normal28"/>
              <w:spacing w:line="240" w:lineRule="auto"/>
              <w:rPr>
                <w:noProof/>
              </w:rPr>
            </w:pPr>
            <w:r>
              <w:rPr>
                <w:noProof/>
              </w:rPr>
              <w:t>Une préparation préalable au projet en deux étapes est mise en place pour les ménages.</w:t>
            </w:r>
          </w:p>
          <w:p w14:paraId="5F8288FF" w14:textId="77777777" w:rsidR="00025543" w:rsidRDefault="007E3A2F">
            <w:pPr>
              <w:pStyle w:val="P68B1DB1-Normal28"/>
              <w:spacing w:line="240" w:lineRule="auto"/>
              <w:rPr>
                <w:noProof/>
              </w:rPr>
            </w:pPr>
            <w:r>
              <w:rPr>
                <w:noProof/>
              </w:rPr>
              <w:t>Les centres de consultation sur l’énergie du réseau national de groupes d’action locale sont intégrés au réseau des agences locales de l’énergie, un système de conseil énergétique composé des centres de consultation et d’information sur l’énergie et des différents groupes d’action locale.</w:t>
            </w:r>
          </w:p>
          <w:p w14:paraId="2DCE8404" w14:textId="77777777" w:rsidR="00025543" w:rsidRDefault="007E3A2F">
            <w:pPr>
              <w:pStyle w:val="P68B1DB1-Normal28"/>
              <w:spacing w:line="240" w:lineRule="auto"/>
              <w:rPr>
                <w:noProof/>
              </w:rPr>
            </w:pPr>
            <w:r>
              <w:rPr>
                <w:noProof/>
              </w:rPr>
              <w:t>Le programme national de soutien aux économies d’énergie (EFEKT) sera élargi afin de couvrir la demande de formation et de reconversion des travailleurs qui déploient des travaux de construction, de technologies ou de matériaux verts, ainsi que l’amélioration de la qualité de la préparation et de la mise en œuvre de projets d’économie d’énergie.</w:t>
            </w:r>
          </w:p>
          <w:p w14:paraId="66AB5E13" w14:textId="77777777" w:rsidR="00025543" w:rsidRDefault="007E3A2F">
            <w:pPr>
              <w:pStyle w:val="P68B1DB1-Normal28"/>
              <w:spacing w:line="240" w:lineRule="auto"/>
              <w:rPr>
                <w:noProof/>
              </w:rPr>
            </w:pPr>
            <w:r>
              <w:rPr>
                <w:noProof/>
              </w:rPr>
              <w:t>Le système existant d’éducation et de sensibilisation à l’environnement destiné aux enfants et aux jeunes est étendu à l’ensemble du public et met l’accent sur les économies d’énergie, l’utilisation de sources d’énergie renouvelables, le changement climatique et l’adaptation au changement climatique.</w:t>
            </w:r>
          </w:p>
          <w:p w14:paraId="5744E9D3" w14:textId="77777777" w:rsidR="00025543" w:rsidRDefault="007E3A2F">
            <w:pPr>
              <w:pStyle w:val="P68B1DB1-Normal28"/>
              <w:spacing w:line="240" w:lineRule="auto"/>
              <w:rPr>
                <w:noProof/>
              </w:rPr>
            </w:pPr>
            <w:r>
              <w:rPr>
                <w:noProof/>
              </w:rPr>
              <w:t xml:space="preserve">Un calendrier pour la mise en œuvre des mesures figurant dans les plans relatifs à la qualité de l’air approuvés axés sur les agglomérations présentant les niveaux de dépassement les plus élevés est établi et leur mise en œuvre commence le 30 juin 2022 au plus tard. </w:t>
            </w:r>
          </w:p>
        </w:tc>
      </w:tr>
      <w:tr w:rsidR="00025543" w14:paraId="11D360B3" w14:textId="77777777">
        <w:trPr>
          <w:trHeight w:val="384"/>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515F4F20" w14:textId="77777777" w:rsidR="00025543" w:rsidRDefault="007E3A2F">
            <w:pPr>
              <w:pStyle w:val="P68B1DB1-Normal28"/>
              <w:spacing w:line="240" w:lineRule="auto"/>
              <w:jc w:val="center"/>
              <w:rPr>
                <w:noProof/>
              </w:rPr>
            </w:pPr>
            <w:r>
              <w:rPr>
                <w:noProof/>
              </w:rPr>
              <w:t>124</w:t>
            </w:r>
          </w:p>
        </w:tc>
        <w:tc>
          <w:tcPr>
            <w:tcW w:w="1319" w:type="dxa"/>
            <w:tcBorders>
              <w:top w:val="single" w:sz="8" w:space="0" w:color="auto"/>
              <w:left w:val="single" w:sz="8" w:space="0" w:color="auto"/>
              <w:bottom w:val="single" w:sz="8" w:space="0" w:color="auto"/>
              <w:right w:val="single" w:sz="8" w:space="0" w:color="auto"/>
            </w:tcBorders>
            <w:shd w:val="clear" w:color="auto" w:fill="C6EFCE"/>
            <w:vAlign w:val="center"/>
          </w:tcPr>
          <w:p w14:paraId="506B558B" w14:textId="77777777" w:rsidR="00025543" w:rsidRDefault="007E3A2F">
            <w:pPr>
              <w:pStyle w:val="P68B1DB1-Normal28"/>
              <w:spacing w:line="240" w:lineRule="auto"/>
              <w:rPr>
                <w:noProof/>
              </w:rPr>
            </w:pPr>
            <w:r>
              <w:rPr>
                <w:noProof/>
              </w:rPr>
              <w:t>Réforme 2: Soutien à la préparation des préprojets et soutien aux projets énergétiques communautaires</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40BD83F2" w14:textId="77777777" w:rsidR="00025543" w:rsidRDefault="007E3A2F">
            <w:pPr>
              <w:pStyle w:val="P68B1DB1-Normal28"/>
              <w:spacing w:line="240" w:lineRule="auto"/>
              <w:rPr>
                <w:noProof/>
              </w:rPr>
            </w:pPr>
            <w:r>
              <w:rPr>
                <w:noProof/>
              </w:rPr>
              <w:t>Cible</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417BBB92" w14:textId="77777777" w:rsidR="00025543" w:rsidRDefault="007E3A2F">
            <w:pPr>
              <w:pStyle w:val="P68B1DB1-Normal28"/>
              <w:spacing w:line="240" w:lineRule="auto"/>
              <w:rPr>
                <w:noProof/>
              </w:rPr>
            </w:pPr>
            <w:r>
              <w:rPr>
                <w:noProof/>
              </w:rPr>
              <w:t>Services de conseil sur les communautés énergétiques</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42D7B604" w14:textId="77777777" w:rsidR="00025543" w:rsidRDefault="00025543">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86E9975" w14:textId="77777777" w:rsidR="00025543" w:rsidRDefault="007E3A2F">
            <w:pPr>
              <w:pStyle w:val="P68B1DB1-Normal28"/>
              <w:spacing w:line="240" w:lineRule="auto"/>
              <w:rPr>
                <w:noProof/>
              </w:rPr>
            </w:pPr>
            <w:r>
              <w:rPr>
                <w:noProof/>
              </w:rPr>
              <w:t>Nombre de communautés énergétiques bénéficiant d’un soutien</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76020DD2" w14:textId="77777777" w:rsidR="00025543" w:rsidRDefault="007E3A2F">
            <w:pPr>
              <w:pStyle w:val="P68B1DB1-Normal28"/>
              <w:spacing w:line="240" w:lineRule="auto"/>
              <w:jc w:val="center"/>
              <w:rPr>
                <w:noProof/>
              </w:rPr>
            </w:pPr>
            <w:r>
              <w:rPr>
                <w:noProof/>
              </w:rPr>
              <w:t>0</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47D915D8" w14:textId="77777777" w:rsidR="00025543" w:rsidRDefault="007E3A2F">
            <w:pPr>
              <w:pStyle w:val="P68B1DB1-Normal35"/>
              <w:spacing w:line="240" w:lineRule="auto"/>
              <w:jc w:val="center"/>
              <w:rPr>
                <w:noProof/>
              </w:rPr>
            </w:pPr>
            <w:r>
              <w:rPr>
                <w:noProof/>
              </w:rPr>
              <w:t>40</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E27D050" w14:textId="77777777" w:rsidR="00025543" w:rsidRDefault="007E3A2F">
            <w:pPr>
              <w:pStyle w:val="P68B1DB1-Normal28"/>
              <w:spacing w:line="240" w:lineRule="auto"/>
              <w:jc w:val="center"/>
              <w:rPr>
                <w:noProof/>
              </w:rPr>
            </w:pPr>
            <w:r>
              <w:rPr>
                <w:noProof/>
              </w:rPr>
              <w:t>TRIMESTRE 4</w:t>
            </w:r>
          </w:p>
        </w:tc>
        <w:tc>
          <w:tcPr>
            <w:tcW w:w="665" w:type="dxa"/>
            <w:tcBorders>
              <w:top w:val="single" w:sz="8" w:space="0" w:color="auto"/>
              <w:left w:val="single" w:sz="8" w:space="0" w:color="auto"/>
              <w:bottom w:val="single" w:sz="8" w:space="0" w:color="auto"/>
              <w:right w:val="single" w:sz="8" w:space="0" w:color="auto"/>
            </w:tcBorders>
            <w:shd w:val="clear" w:color="auto" w:fill="C6EFCE"/>
            <w:vAlign w:val="center"/>
          </w:tcPr>
          <w:p w14:paraId="086F8CE5" w14:textId="77777777" w:rsidR="00025543" w:rsidRDefault="007E3A2F">
            <w:pPr>
              <w:pStyle w:val="P68B1DB1-Normal28"/>
              <w:spacing w:line="240" w:lineRule="auto"/>
              <w:jc w:val="center"/>
              <w:rPr>
                <w:noProof/>
              </w:rPr>
            </w:pPr>
            <w:r>
              <w:rPr>
                <w:noProof/>
              </w:rPr>
              <w:t>2025</w:t>
            </w:r>
          </w:p>
        </w:tc>
        <w:tc>
          <w:tcPr>
            <w:tcW w:w="5387" w:type="dxa"/>
            <w:tcBorders>
              <w:top w:val="single" w:sz="8" w:space="0" w:color="auto"/>
              <w:left w:val="single" w:sz="8" w:space="0" w:color="auto"/>
              <w:bottom w:val="single" w:sz="8" w:space="0" w:color="auto"/>
              <w:right w:val="single" w:sz="8" w:space="0" w:color="auto"/>
            </w:tcBorders>
            <w:shd w:val="clear" w:color="auto" w:fill="C6EFCE"/>
            <w:vAlign w:val="center"/>
          </w:tcPr>
          <w:p w14:paraId="3A7CDC2C" w14:textId="77777777" w:rsidR="00025543" w:rsidRDefault="007E3A2F">
            <w:pPr>
              <w:pStyle w:val="P68B1DB1-Normal28"/>
              <w:spacing w:line="240" w:lineRule="auto"/>
              <w:rPr>
                <w:noProof/>
              </w:rPr>
            </w:pPr>
            <w:r>
              <w:rPr>
                <w:noProof/>
              </w:rPr>
              <w:t>Des services de conseil sur l’installation de nouvelles sources d’énergie renouvelables de manière à éliminer les obstacles à leur intégration future dans la communauté énergétique au sens large, les petits sites communs de stockage d’énergie à logements multiples, la création de communautés énergétiques au sein de bâtiments multifamiliaux individuels et d’autres mesures d’investissement liées aux communautés énergétiques sont introduits dans chaque région de Tchéquie par le bureau régional du Fonds national pour l’environnement.</w:t>
            </w:r>
          </w:p>
          <w:p w14:paraId="6317598D" w14:textId="77777777" w:rsidR="00025543" w:rsidRDefault="007E3A2F">
            <w:pPr>
              <w:pStyle w:val="P68B1DB1-Normal28"/>
              <w:spacing w:line="240" w:lineRule="auto"/>
              <w:rPr>
                <w:noProof/>
              </w:rPr>
            </w:pPr>
            <w:r>
              <w:rPr>
                <w:noProof/>
              </w:rPr>
              <w:t>La création de 40 communautés énergétiques ainsi que la sensibilisation et l’éducation axées sur le développement de communautés énergétiques sont soutenues par des services de conseil du Fonds national pour l’environnement.</w:t>
            </w:r>
          </w:p>
        </w:tc>
      </w:tr>
      <w:tr w:rsidR="00025543" w14:paraId="7296630C"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75316AC5" w14:textId="77777777" w:rsidR="00025543" w:rsidRDefault="007E3A2F">
            <w:pPr>
              <w:pStyle w:val="P68B1DB1-Normal28"/>
              <w:spacing w:line="240" w:lineRule="auto"/>
              <w:jc w:val="center"/>
              <w:rPr>
                <w:noProof/>
              </w:rPr>
            </w:pPr>
            <w:r>
              <w:rPr>
                <w:noProof/>
              </w:rPr>
              <w:t>125</w:t>
            </w:r>
          </w:p>
        </w:tc>
        <w:tc>
          <w:tcPr>
            <w:tcW w:w="1319" w:type="dxa"/>
            <w:tcBorders>
              <w:top w:val="single" w:sz="8" w:space="0" w:color="auto"/>
              <w:left w:val="single" w:sz="8" w:space="0" w:color="auto"/>
              <w:bottom w:val="single" w:sz="8" w:space="0" w:color="auto"/>
              <w:right w:val="single" w:sz="8" w:space="0" w:color="auto"/>
            </w:tcBorders>
            <w:shd w:val="clear" w:color="auto" w:fill="C6EFCE"/>
            <w:vAlign w:val="center"/>
          </w:tcPr>
          <w:p w14:paraId="03DA0D2B" w14:textId="77777777" w:rsidR="00025543" w:rsidRDefault="007E3A2F">
            <w:pPr>
              <w:pStyle w:val="P68B1DB1-Normal28"/>
              <w:spacing w:line="240" w:lineRule="auto"/>
              <w:rPr>
                <w:noProof/>
              </w:rPr>
            </w:pPr>
            <w:r>
              <w:rPr>
                <w:noProof/>
              </w:rPr>
              <w:t>Investissement 1: Rénovation et revitalisation des bâtiments en vue d’économies d’énergie</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5F37D900" w14:textId="51E3A67E" w:rsidR="00025543" w:rsidRDefault="007E3A2F">
            <w:pPr>
              <w:pStyle w:val="P68B1DB1-Normal35"/>
              <w:spacing w:line="240" w:lineRule="auto"/>
              <w:rPr>
                <w:noProof/>
              </w:rPr>
            </w:pPr>
            <w:r>
              <w:rPr>
                <w:noProof/>
              </w:rPr>
              <w:t>Cible</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7C8CBF8B" w14:textId="40F80ADB" w:rsidR="00025543" w:rsidRDefault="007E3A2F">
            <w:pPr>
              <w:pStyle w:val="P68B1DB1-Normal28"/>
              <w:spacing w:line="240" w:lineRule="auto"/>
              <w:rPr>
                <w:noProof/>
              </w:rPr>
            </w:pPr>
            <w:r>
              <w:rPr>
                <w:noProof/>
              </w:rPr>
              <w:t>Projets de réduction de la consommation d’énergie faisant l’objet de contrats</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3E9D42F0" w14:textId="77777777" w:rsidR="00025543" w:rsidRDefault="00025543">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21DCC60" w14:textId="77777777" w:rsidR="00025543" w:rsidRDefault="007E3A2F">
            <w:pPr>
              <w:pStyle w:val="P68B1DB1-Normal28"/>
              <w:spacing w:line="240" w:lineRule="auto"/>
              <w:rPr>
                <w:noProof/>
              </w:rPr>
            </w:pPr>
            <w:r>
              <w:rPr>
                <w:noProof/>
              </w:rPr>
              <w:t>Économies d’énergie en terra joules par an</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3C365AE3" w14:textId="77777777" w:rsidR="00025543" w:rsidRDefault="00025543">
            <w:pPr>
              <w:spacing w:line="240" w:lineRule="auto"/>
              <w:jc w:val="center"/>
              <w:rPr>
                <w:noProof/>
                <w:color w:val="006100"/>
                <w:sz w:val="18"/>
              </w:rPr>
            </w:pPr>
          </w:p>
          <w:p w14:paraId="0C499268" w14:textId="77777777" w:rsidR="00025543" w:rsidRDefault="007E3A2F">
            <w:pPr>
              <w:pStyle w:val="P68B1DB1-Normal28"/>
              <w:spacing w:line="240" w:lineRule="auto"/>
              <w:jc w:val="center"/>
              <w:rPr>
                <w:noProof/>
              </w:rPr>
            </w:pPr>
            <w:r>
              <w:rPr>
                <w:noProof/>
              </w:rPr>
              <w:t>0</w:t>
            </w:r>
          </w:p>
          <w:p w14:paraId="7D824E62" w14:textId="77777777" w:rsidR="00025543" w:rsidRDefault="00025543">
            <w:pPr>
              <w:spacing w:line="240" w:lineRule="auto"/>
              <w:jc w:val="center"/>
              <w:rPr>
                <w:noProof/>
                <w:color w:val="006100"/>
                <w:sz w:val="18"/>
              </w:rPr>
            </w:pP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0B06050F" w14:textId="77777777" w:rsidR="00025543" w:rsidRDefault="007E3A2F">
            <w:pPr>
              <w:pStyle w:val="P68B1DB1-Normal28"/>
              <w:spacing w:line="240" w:lineRule="auto"/>
              <w:jc w:val="center"/>
              <w:rPr>
                <w:noProof/>
              </w:rPr>
            </w:pPr>
            <w:r>
              <w:rPr>
                <w:noProof/>
              </w:rPr>
              <w:t>1 200</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0FCC2E1" w14:textId="77777777" w:rsidR="00025543" w:rsidRDefault="007E3A2F">
            <w:pPr>
              <w:pStyle w:val="P68B1DB1-Normal28"/>
              <w:spacing w:line="240" w:lineRule="auto"/>
              <w:jc w:val="center"/>
              <w:rPr>
                <w:noProof/>
              </w:rPr>
            </w:pPr>
            <w:r>
              <w:rPr>
                <w:noProof/>
              </w:rPr>
              <w:t>TRIMESTRE 3</w:t>
            </w:r>
          </w:p>
        </w:tc>
        <w:tc>
          <w:tcPr>
            <w:tcW w:w="665" w:type="dxa"/>
            <w:tcBorders>
              <w:top w:val="single" w:sz="8" w:space="0" w:color="auto"/>
              <w:left w:val="single" w:sz="8" w:space="0" w:color="auto"/>
              <w:bottom w:val="single" w:sz="8" w:space="0" w:color="auto"/>
              <w:right w:val="single" w:sz="8" w:space="0" w:color="auto"/>
            </w:tcBorders>
            <w:shd w:val="clear" w:color="auto" w:fill="C6EFCE"/>
            <w:vAlign w:val="center"/>
          </w:tcPr>
          <w:p w14:paraId="7BCCEE94" w14:textId="77777777" w:rsidR="00025543" w:rsidRDefault="007E3A2F">
            <w:pPr>
              <w:pStyle w:val="P68B1DB1-Normal28"/>
              <w:spacing w:line="240" w:lineRule="auto"/>
              <w:jc w:val="center"/>
              <w:rPr>
                <w:noProof/>
              </w:rPr>
            </w:pPr>
            <w:r>
              <w:rPr>
                <w:noProof/>
              </w:rPr>
              <w:t>2024</w:t>
            </w:r>
          </w:p>
        </w:tc>
        <w:tc>
          <w:tcPr>
            <w:tcW w:w="5387" w:type="dxa"/>
            <w:tcBorders>
              <w:top w:val="single" w:sz="8" w:space="0" w:color="auto"/>
              <w:left w:val="single" w:sz="8" w:space="0" w:color="auto"/>
              <w:bottom w:val="single" w:sz="8" w:space="0" w:color="auto"/>
              <w:right w:val="single" w:sz="8" w:space="0" w:color="auto"/>
            </w:tcBorders>
            <w:shd w:val="clear" w:color="auto" w:fill="C6EFCE"/>
            <w:vAlign w:val="center"/>
          </w:tcPr>
          <w:p w14:paraId="7FE9907C" w14:textId="06C55B6A" w:rsidR="00025543" w:rsidRDefault="007E3A2F">
            <w:pPr>
              <w:pStyle w:val="P68B1DB1-Normal28"/>
              <w:spacing w:line="240" w:lineRule="auto"/>
              <w:rPr>
                <w:noProof/>
              </w:rPr>
            </w:pPr>
            <w:r>
              <w:rPr>
                <w:noProof/>
              </w:rPr>
              <w:t xml:space="preserve">Les projets de réduction de la consommation d’énergie de 1 200 TJ/an feront l’objet d’un contrat avec le Fonds national pour l’environnement à partir de février 2020. </w:t>
            </w:r>
          </w:p>
          <w:p w14:paraId="3E58E001" w14:textId="77777777" w:rsidR="00025543" w:rsidRDefault="007E3A2F">
            <w:pPr>
              <w:pStyle w:val="P68B1DB1-Normal12"/>
              <w:spacing w:line="240" w:lineRule="auto"/>
              <w:rPr>
                <w:noProof/>
                <w:color w:val="006100"/>
              </w:rPr>
            </w:pPr>
            <w:r>
              <w:rPr>
                <w:noProof/>
                <w:color w:val="006100"/>
              </w:rPr>
              <w:t>Seuls les projets qui, en moyenne, permettent une réduction d’au moins 30 % de la consommation d’énergie primaire sont retenus pour la mise en œuvre.</w:t>
            </w:r>
            <w:r>
              <w:rPr>
                <w:noProof/>
              </w:rPr>
              <w:t xml:space="preserve"> </w:t>
            </w:r>
            <w:r>
              <w:rPr>
                <w:noProof/>
                <w:color w:val="006100"/>
              </w:rPr>
              <w:t>Les investissements dans les remplacements de chaudières à condensation au gaz sont limités à 20 % au maximum de l’enveloppe globale de la mesure 2.5.1.</w:t>
            </w:r>
            <w:r>
              <w:rPr>
                <w:rFonts w:ascii="Calibri" w:hAnsi="Calibri"/>
                <w:noProof/>
              </w:rPr>
              <w:t xml:space="preserve"> </w:t>
            </w:r>
          </w:p>
        </w:tc>
      </w:tr>
      <w:tr w:rsidR="00025543" w14:paraId="06644A6D"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0E62B7A7" w14:textId="77777777" w:rsidR="00025543" w:rsidRDefault="007E3A2F">
            <w:pPr>
              <w:pStyle w:val="P68B1DB1-Normal28"/>
              <w:spacing w:line="240" w:lineRule="auto"/>
              <w:jc w:val="center"/>
              <w:rPr>
                <w:noProof/>
              </w:rPr>
            </w:pPr>
            <w:r>
              <w:rPr>
                <w:noProof/>
              </w:rPr>
              <w:t>126</w:t>
            </w:r>
          </w:p>
        </w:tc>
        <w:tc>
          <w:tcPr>
            <w:tcW w:w="1319" w:type="dxa"/>
            <w:tcBorders>
              <w:top w:val="single" w:sz="8" w:space="0" w:color="auto"/>
              <w:left w:val="single" w:sz="8" w:space="0" w:color="auto"/>
              <w:bottom w:val="single" w:sz="8" w:space="0" w:color="auto"/>
              <w:right w:val="single" w:sz="8" w:space="0" w:color="auto"/>
            </w:tcBorders>
            <w:shd w:val="clear" w:color="auto" w:fill="C6EFCE"/>
            <w:vAlign w:val="center"/>
          </w:tcPr>
          <w:p w14:paraId="7C2C318B" w14:textId="77777777" w:rsidR="00025543" w:rsidRDefault="007E3A2F">
            <w:pPr>
              <w:pStyle w:val="P68B1DB1-Normal28"/>
              <w:spacing w:line="240" w:lineRule="auto"/>
              <w:rPr>
                <w:noProof/>
              </w:rPr>
            </w:pPr>
            <w:r>
              <w:rPr>
                <w:noProof/>
              </w:rPr>
              <w:t>Investissement 1: Rénovation et revitalisation des bâtiments en vue d’économies d’énergie</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4675A452" w14:textId="77777777" w:rsidR="00025543" w:rsidRDefault="007E3A2F">
            <w:pPr>
              <w:pStyle w:val="P68B1DB1-Normal28"/>
              <w:spacing w:line="240" w:lineRule="auto"/>
              <w:rPr>
                <w:noProof/>
              </w:rPr>
            </w:pPr>
            <w:r>
              <w:rPr>
                <w:noProof/>
              </w:rPr>
              <w:t>Cible</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2A2DBD53" w14:textId="77777777" w:rsidR="00025543" w:rsidRDefault="007E3A2F">
            <w:pPr>
              <w:pStyle w:val="P68B1DB1-Normal12"/>
              <w:spacing w:line="240" w:lineRule="auto"/>
              <w:rPr>
                <w:noProof/>
                <w:color w:val="006100"/>
              </w:rPr>
            </w:pPr>
            <w:r>
              <w:rPr>
                <w:noProof/>
                <w:color w:val="006100"/>
              </w:rPr>
              <w:t>Réduction de la consommation d’énergie</w:t>
            </w:r>
            <w:r>
              <w:rPr>
                <w:noProof/>
              </w:rPr>
              <w:t xml:space="preserve"> </w:t>
            </w:r>
            <w:r>
              <w:rPr>
                <w:noProof/>
                <w:color w:val="006100"/>
              </w:rPr>
              <w:t>et des émissions de CO2</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37C4E355" w14:textId="77777777" w:rsidR="00025543" w:rsidRDefault="00025543">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175206FA" w14:textId="77777777" w:rsidR="00025543" w:rsidRDefault="007E3A2F">
            <w:pPr>
              <w:pStyle w:val="P68B1DB1-Normal28"/>
              <w:spacing w:line="240" w:lineRule="auto"/>
              <w:rPr>
                <w:noProof/>
              </w:rPr>
            </w:pPr>
            <w:r>
              <w:rPr>
                <w:noProof/>
              </w:rPr>
              <w:t>Économies d’énergie en terra joules par an</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40E26928" w14:textId="77777777" w:rsidR="00025543" w:rsidRDefault="007E3A2F">
            <w:pPr>
              <w:pStyle w:val="P68B1DB1-Normal28"/>
              <w:spacing w:line="240" w:lineRule="auto"/>
              <w:jc w:val="center"/>
              <w:rPr>
                <w:noProof/>
              </w:rPr>
            </w:pPr>
            <w:r>
              <w:rPr>
                <w:noProof/>
              </w:rPr>
              <w:t>1 200</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48E8F02F" w14:textId="1B6BF984" w:rsidR="00025543" w:rsidRDefault="007E3A2F">
            <w:pPr>
              <w:pStyle w:val="P68B1DB1-Normal28"/>
              <w:spacing w:line="240" w:lineRule="auto"/>
              <w:jc w:val="center"/>
              <w:rPr>
                <w:noProof/>
              </w:rPr>
            </w:pPr>
            <w:r>
              <w:rPr>
                <w:noProof/>
              </w:rPr>
              <w:t>  1 900</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B530DF2" w14:textId="77777777" w:rsidR="00025543" w:rsidRDefault="007E3A2F">
            <w:pPr>
              <w:pStyle w:val="P68B1DB1-Normal28"/>
              <w:spacing w:line="240" w:lineRule="auto"/>
              <w:jc w:val="center"/>
              <w:rPr>
                <w:noProof/>
              </w:rPr>
            </w:pPr>
            <w:r>
              <w:rPr>
                <w:noProof/>
              </w:rPr>
              <w:t>TRIMESTRE 4</w:t>
            </w:r>
          </w:p>
        </w:tc>
        <w:tc>
          <w:tcPr>
            <w:tcW w:w="665" w:type="dxa"/>
            <w:tcBorders>
              <w:top w:val="single" w:sz="8" w:space="0" w:color="auto"/>
              <w:left w:val="single" w:sz="8" w:space="0" w:color="auto"/>
              <w:bottom w:val="single" w:sz="8" w:space="0" w:color="auto"/>
              <w:right w:val="single" w:sz="8" w:space="0" w:color="auto"/>
            </w:tcBorders>
            <w:shd w:val="clear" w:color="auto" w:fill="C6EFCE"/>
            <w:vAlign w:val="center"/>
          </w:tcPr>
          <w:p w14:paraId="2C4AD2B5" w14:textId="77777777" w:rsidR="00025543" w:rsidRDefault="007E3A2F">
            <w:pPr>
              <w:pStyle w:val="P68B1DB1-Normal28"/>
              <w:spacing w:line="240" w:lineRule="auto"/>
              <w:jc w:val="center"/>
              <w:rPr>
                <w:noProof/>
              </w:rPr>
            </w:pPr>
            <w:r>
              <w:rPr>
                <w:noProof/>
              </w:rPr>
              <w:t>2025</w:t>
            </w:r>
          </w:p>
        </w:tc>
        <w:tc>
          <w:tcPr>
            <w:tcW w:w="5387" w:type="dxa"/>
            <w:tcBorders>
              <w:top w:val="single" w:sz="8" w:space="0" w:color="auto"/>
              <w:left w:val="single" w:sz="8" w:space="0" w:color="auto"/>
              <w:bottom w:val="single" w:sz="8" w:space="0" w:color="auto"/>
              <w:right w:val="single" w:sz="8" w:space="0" w:color="auto"/>
            </w:tcBorders>
            <w:shd w:val="clear" w:color="auto" w:fill="C6EFCE"/>
            <w:vAlign w:val="center"/>
          </w:tcPr>
          <w:p w14:paraId="4D8242C5" w14:textId="28755165" w:rsidR="00025543" w:rsidRDefault="007E3A2F">
            <w:pPr>
              <w:pStyle w:val="P68B1DB1-Normal28"/>
              <w:spacing w:line="240" w:lineRule="auto"/>
              <w:rPr>
                <w:noProof/>
              </w:rPr>
            </w:pPr>
            <w:r>
              <w:rPr>
                <w:noProof/>
              </w:rPr>
              <w:t>La consommation d’énergie et les émissions de CO2 sont réduites de 1 900 TJ/an et de 100 kt/an respectivement d’ici au 31 décembre 2025, ce qui est démontré au moyen de certificats de performance énergétique.</w:t>
            </w:r>
          </w:p>
          <w:p w14:paraId="19485151" w14:textId="77777777" w:rsidR="00025543" w:rsidRDefault="007E3A2F">
            <w:pPr>
              <w:pStyle w:val="P68B1DB1-Normal28"/>
              <w:spacing w:line="240" w:lineRule="auto"/>
              <w:rPr>
                <w:noProof/>
              </w:rPr>
            </w:pPr>
            <w:r>
              <w:rPr>
                <w:noProof/>
              </w:rPr>
              <w:t>Seuls les projets qui, en moyenne, permettent une réduction d’au moins 30 % de la consommation d’énergie primaire sont retenus pour la mise en œuvre. Les investissements dans les remplacements de chaudières à condensation au gaz sont limités à 20 % au maximum de l’enveloppe globale de la mesure 2.5.1.</w:t>
            </w:r>
          </w:p>
        </w:tc>
      </w:tr>
      <w:tr w:rsidR="00025543" w14:paraId="49B815C0"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5087DB56" w14:textId="77777777" w:rsidR="00025543" w:rsidRDefault="007E3A2F">
            <w:pPr>
              <w:pStyle w:val="P68B1DB1-Normal28"/>
              <w:spacing w:line="240" w:lineRule="auto"/>
              <w:jc w:val="center"/>
              <w:rPr>
                <w:noProof/>
              </w:rPr>
            </w:pPr>
            <w:r>
              <w:rPr>
                <w:noProof/>
              </w:rPr>
              <w:t>127</w:t>
            </w:r>
          </w:p>
        </w:tc>
        <w:tc>
          <w:tcPr>
            <w:tcW w:w="1319" w:type="dxa"/>
            <w:tcBorders>
              <w:top w:val="single" w:sz="8" w:space="0" w:color="auto"/>
              <w:left w:val="single" w:sz="8" w:space="0" w:color="auto"/>
              <w:bottom w:val="single" w:sz="8" w:space="0" w:color="auto"/>
              <w:right w:val="single" w:sz="8" w:space="0" w:color="auto"/>
            </w:tcBorders>
            <w:shd w:val="clear" w:color="auto" w:fill="C6EFCE"/>
            <w:vAlign w:val="center"/>
          </w:tcPr>
          <w:p w14:paraId="06F664BD" w14:textId="77777777" w:rsidR="00025543" w:rsidRDefault="007E3A2F">
            <w:pPr>
              <w:pStyle w:val="P68B1DB1-Normal28"/>
              <w:spacing w:line="240" w:lineRule="auto"/>
              <w:rPr>
                <w:noProof/>
              </w:rPr>
            </w:pPr>
            <w:r>
              <w:rPr>
                <w:noProof/>
              </w:rPr>
              <w:t>Investissement 2: Remplacement des sources fixes de pollution dans les ménages par des sources d’énergie renouvelables</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358348C1" w14:textId="1AD72FC8" w:rsidR="00025543" w:rsidRDefault="007E3A2F">
            <w:pPr>
              <w:pStyle w:val="P68B1DB1-Normal28"/>
              <w:spacing w:line="240" w:lineRule="auto"/>
              <w:rPr>
                <w:noProof/>
              </w:rPr>
            </w:pPr>
            <w:r>
              <w:rPr>
                <w:noProof/>
              </w:rPr>
              <w:t>Cible</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088AE065" w14:textId="69DA0C61" w:rsidR="00025543" w:rsidRDefault="007E3A2F">
            <w:pPr>
              <w:pStyle w:val="P68B1DB1-Normal12"/>
              <w:spacing w:line="240" w:lineRule="auto"/>
              <w:rPr>
                <w:noProof/>
                <w:color w:val="006100"/>
              </w:rPr>
            </w:pPr>
            <w:r>
              <w:rPr>
                <w:noProof/>
                <w:color w:val="006100"/>
              </w:rPr>
              <w:t>Projets de réduction de la consommation d’énergie</w:t>
            </w:r>
            <w:r>
              <w:rPr>
                <w:noProof/>
              </w:rPr>
              <w:t xml:space="preserve"> </w:t>
            </w:r>
            <w:r>
              <w:rPr>
                <w:noProof/>
                <w:color w:val="006100"/>
              </w:rPr>
              <w:t xml:space="preserve">et des émissions de CO2 faisant l’ </w:t>
            </w:r>
            <w:r>
              <w:rPr>
                <w:noProof/>
              </w:rPr>
              <w:t>objet de contrats</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52CF32B8" w14:textId="77777777" w:rsidR="00025543" w:rsidRDefault="00025543">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71D9A73D" w14:textId="77777777" w:rsidR="00025543" w:rsidRDefault="007E3A2F">
            <w:pPr>
              <w:pStyle w:val="P68B1DB1-Normal28"/>
              <w:spacing w:line="240" w:lineRule="auto"/>
              <w:rPr>
                <w:noProof/>
              </w:rPr>
            </w:pPr>
            <w:r>
              <w:rPr>
                <w:noProof/>
              </w:rPr>
              <w:t>Économies d’énergie en terra joules par an</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45F1CCAA" w14:textId="77777777" w:rsidR="00025543" w:rsidRDefault="007E3A2F">
            <w:pPr>
              <w:pStyle w:val="P68B1DB1-Normal28"/>
              <w:spacing w:line="240" w:lineRule="auto"/>
              <w:jc w:val="center"/>
              <w:rPr>
                <w:noProof/>
              </w:rPr>
            </w:pPr>
            <w:r>
              <w:rPr>
                <w:noProof/>
              </w:rPr>
              <w:t>0</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6845792F" w14:textId="6D19DFD2" w:rsidR="00025543" w:rsidRDefault="007E3A2F">
            <w:pPr>
              <w:pStyle w:val="P68B1DB1-Normal28"/>
              <w:spacing w:line="240" w:lineRule="auto"/>
              <w:jc w:val="center"/>
              <w:rPr>
                <w:noProof/>
              </w:rPr>
            </w:pPr>
            <w:r>
              <w:rPr>
                <w:noProof/>
              </w:rPr>
              <w:t xml:space="preserve"> 720</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4C4701B3" w14:textId="77777777" w:rsidR="00025543" w:rsidRDefault="007E3A2F">
            <w:pPr>
              <w:pStyle w:val="P68B1DB1-Normal28"/>
              <w:spacing w:line="240" w:lineRule="auto"/>
              <w:jc w:val="center"/>
              <w:rPr>
                <w:noProof/>
              </w:rPr>
            </w:pPr>
            <w:r>
              <w:rPr>
                <w:noProof/>
              </w:rPr>
              <w:t>TRIMESTRE 3</w:t>
            </w:r>
          </w:p>
        </w:tc>
        <w:tc>
          <w:tcPr>
            <w:tcW w:w="665" w:type="dxa"/>
            <w:tcBorders>
              <w:top w:val="single" w:sz="8" w:space="0" w:color="auto"/>
              <w:left w:val="single" w:sz="8" w:space="0" w:color="auto"/>
              <w:bottom w:val="single" w:sz="8" w:space="0" w:color="auto"/>
              <w:right w:val="single" w:sz="8" w:space="0" w:color="auto"/>
            </w:tcBorders>
            <w:shd w:val="clear" w:color="auto" w:fill="C6EFCE"/>
            <w:vAlign w:val="center"/>
          </w:tcPr>
          <w:p w14:paraId="5B191302" w14:textId="77777777" w:rsidR="00025543" w:rsidRDefault="007E3A2F">
            <w:pPr>
              <w:pStyle w:val="P68B1DB1-Normal28"/>
              <w:spacing w:line="240" w:lineRule="auto"/>
              <w:jc w:val="center"/>
              <w:rPr>
                <w:noProof/>
              </w:rPr>
            </w:pPr>
            <w:r>
              <w:rPr>
                <w:noProof/>
              </w:rPr>
              <w:t>2023</w:t>
            </w:r>
          </w:p>
        </w:tc>
        <w:tc>
          <w:tcPr>
            <w:tcW w:w="5387" w:type="dxa"/>
            <w:tcBorders>
              <w:top w:val="single" w:sz="8" w:space="0" w:color="auto"/>
              <w:left w:val="single" w:sz="8" w:space="0" w:color="auto"/>
              <w:bottom w:val="single" w:sz="8" w:space="0" w:color="auto"/>
              <w:right w:val="single" w:sz="8" w:space="0" w:color="auto"/>
            </w:tcBorders>
            <w:shd w:val="clear" w:color="auto" w:fill="C6EFCE"/>
            <w:vAlign w:val="center"/>
          </w:tcPr>
          <w:p w14:paraId="6BFB0B8A" w14:textId="333C19DF" w:rsidR="00025543" w:rsidRDefault="007E3A2F">
            <w:pPr>
              <w:pStyle w:val="P68B1DB1-Normal28"/>
              <w:spacing w:line="240" w:lineRule="auto"/>
              <w:rPr>
                <w:noProof/>
              </w:rPr>
            </w:pPr>
            <w:r>
              <w:rPr>
                <w:noProof/>
              </w:rPr>
              <w:t>Les projets de réduction de la consommation d’énergie et des émissions de CO2 de 720 TJ/an et de 100 kt/an, respectivement, feront l’objet d’un contrat avec le Fonds national pour l’environnement au plus tard le 30 septembre 2021.</w:t>
            </w:r>
          </w:p>
          <w:p w14:paraId="18F6A8D8" w14:textId="77777777" w:rsidR="00025543" w:rsidRDefault="007E3A2F">
            <w:pPr>
              <w:pStyle w:val="P68B1DB1-Normal28"/>
              <w:spacing w:line="240" w:lineRule="auto"/>
              <w:rPr>
                <w:noProof/>
              </w:rPr>
            </w:pPr>
            <w:r>
              <w:rPr>
                <w:noProof/>
              </w:rPr>
              <w:t>En ce qui concerne la biomasse, une réduction d’au moins 80 % des émissions de gaz à effet de serre (GES) est obtenue grâce à l’utilisation de la biomasse par rapport à la méthode de réduction des gaz à effet de serre et à la méthode de référence relative pour les combustibles fossiles figurant à l’annexe VI de la directive (UE) 2018/2001.</w:t>
            </w:r>
          </w:p>
        </w:tc>
      </w:tr>
      <w:tr w:rsidR="00025543" w14:paraId="191A1DB7"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362731D4" w14:textId="77777777" w:rsidR="00025543" w:rsidRDefault="007E3A2F">
            <w:pPr>
              <w:pStyle w:val="P68B1DB1-Normal28"/>
              <w:spacing w:line="240" w:lineRule="auto"/>
              <w:jc w:val="center"/>
              <w:rPr>
                <w:noProof/>
              </w:rPr>
            </w:pPr>
            <w:r>
              <w:rPr>
                <w:noProof/>
              </w:rPr>
              <w:t>128</w:t>
            </w:r>
          </w:p>
        </w:tc>
        <w:tc>
          <w:tcPr>
            <w:tcW w:w="1319" w:type="dxa"/>
            <w:tcBorders>
              <w:top w:val="single" w:sz="8" w:space="0" w:color="auto"/>
              <w:left w:val="single" w:sz="8" w:space="0" w:color="auto"/>
              <w:bottom w:val="single" w:sz="8" w:space="0" w:color="auto"/>
              <w:right w:val="single" w:sz="8" w:space="0" w:color="auto"/>
            </w:tcBorders>
            <w:shd w:val="clear" w:color="auto" w:fill="C6EFCE"/>
            <w:vAlign w:val="center"/>
          </w:tcPr>
          <w:p w14:paraId="18AF6C02" w14:textId="77777777" w:rsidR="00025543" w:rsidRDefault="007E3A2F">
            <w:pPr>
              <w:pStyle w:val="P68B1DB1-Normal28"/>
              <w:spacing w:line="240" w:lineRule="auto"/>
              <w:rPr>
                <w:noProof/>
              </w:rPr>
            </w:pPr>
            <w:r>
              <w:rPr>
                <w:noProof/>
              </w:rPr>
              <w:t>Investissement 2: Remplacement des sources fixes de pollution dans les ménages par des sources d’énergie renouvelables</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1CCF41F9" w14:textId="77777777" w:rsidR="00025543" w:rsidRDefault="007E3A2F">
            <w:pPr>
              <w:pStyle w:val="P68B1DB1-Normal28"/>
              <w:spacing w:line="240" w:lineRule="auto"/>
              <w:rPr>
                <w:noProof/>
              </w:rPr>
            </w:pPr>
            <w:r>
              <w:rPr>
                <w:noProof/>
              </w:rPr>
              <w:t>Cible</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5622BE9A" w14:textId="77777777" w:rsidR="00025543" w:rsidRDefault="007E3A2F">
            <w:pPr>
              <w:pStyle w:val="P68B1DB1-Normal28"/>
              <w:spacing w:line="240" w:lineRule="auto"/>
              <w:rPr>
                <w:noProof/>
              </w:rPr>
            </w:pPr>
            <w:r>
              <w:rPr>
                <w:noProof/>
              </w:rPr>
              <w:t>Réduction de la consommation d’énergie et des émissions de CO2 (</w:t>
            </w:r>
            <w:r>
              <w:rPr>
                <w:rFonts w:eastAsia="Times New Roman"/>
                <w:noProof/>
              </w:rPr>
              <w:t>mise en œuvre de 35 %)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0DF70F49" w14:textId="77777777" w:rsidR="00025543" w:rsidRDefault="00025543">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A12283A" w14:textId="77777777" w:rsidR="00025543" w:rsidRDefault="007E3A2F">
            <w:pPr>
              <w:pStyle w:val="P68B1DB1-Normal28"/>
              <w:spacing w:line="240" w:lineRule="auto"/>
              <w:rPr>
                <w:noProof/>
              </w:rPr>
            </w:pPr>
            <w:r>
              <w:rPr>
                <w:noProof/>
              </w:rPr>
              <w:t xml:space="preserve">Économies d’énergie en terra joules par an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059E2891" w14:textId="23B95F79" w:rsidR="00025543" w:rsidRDefault="007E3A2F">
            <w:pPr>
              <w:pStyle w:val="P68B1DB1-Normal28"/>
              <w:spacing w:line="240" w:lineRule="auto"/>
              <w:jc w:val="center"/>
              <w:rPr>
                <w:noProof/>
              </w:rPr>
            </w:pPr>
            <w:r>
              <w:rPr>
                <w:noProof/>
              </w:rPr>
              <w:t>720</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1F8700F2" w14:textId="1990682C" w:rsidR="00025543" w:rsidRDefault="007E3A2F">
            <w:pPr>
              <w:pStyle w:val="P68B1DB1-Normal28"/>
              <w:spacing w:line="240" w:lineRule="auto"/>
              <w:jc w:val="center"/>
              <w:rPr>
                <w:noProof/>
              </w:rPr>
            </w:pPr>
            <w:r>
              <w:rPr>
                <w:noProof/>
              </w:rPr>
              <w:t xml:space="preserve"> 1 500</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193BF538" w14:textId="77777777" w:rsidR="00025543" w:rsidRDefault="007E3A2F">
            <w:pPr>
              <w:pStyle w:val="P68B1DB1-Normal28"/>
              <w:spacing w:line="240" w:lineRule="auto"/>
              <w:jc w:val="center"/>
              <w:rPr>
                <w:noProof/>
              </w:rPr>
            </w:pPr>
            <w:r>
              <w:rPr>
                <w:noProof/>
              </w:rPr>
              <w:t>TRIMESTRE 3</w:t>
            </w:r>
          </w:p>
        </w:tc>
        <w:tc>
          <w:tcPr>
            <w:tcW w:w="665" w:type="dxa"/>
            <w:tcBorders>
              <w:top w:val="single" w:sz="8" w:space="0" w:color="auto"/>
              <w:left w:val="single" w:sz="8" w:space="0" w:color="auto"/>
              <w:bottom w:val="single" w:sz="8" w:space="0" w:color="auto"/>
              <w:right w:val="single" w:sz="8" w:space="0" w:color="auto"/>
            </w:tcBorders>
            <w:shd w:val="clear" w:color="auto" w:fill="C6EFCE"/>
            <w:vAlign w:val="center"/>
          </w:tcPr>
          <w:p w14:paraId="2C3B2CC0" w14:textId="77777777" w:rsidR="00025543" w:rsidRDefault="007E3A2F">
            <w:pPr>
              <w:pStyle w:val="P68B1DB1-Normal28"/>
              <w:spacing w:line="240" w:lineRule="auto"/>
              <w:jc w:val="center"/>
              <w:rPr>
                <w:noProof/>
              </w:rPr>
            </w:pPr>
            <w:r>
              <w:rPr>
                <w:noProof/>
              </w:rPr>
              <w:t>2023</w:t>
            </w:r>
          </w:p>
        </w:tc>
        <w:tc>
          <w:tcPr>
            <w:tcW w:w="5387" w:type="dxa"/>
            <w:tcBorders>
              <w:top w:val="single" w:sz="8" w:space="0" w:color="auto"/>
              <w:left w:val="single" w:sz="8" w:space="0" w:color="auto"/>
              <w:bottom w:val="single" w:sz="8" w:space="0" w:color="auto"/>
              <w:right w:val="single" w:sz="8" w:space="0" w:color="auto"/>
            </w:tcBorders>
            <w:shd w:val="clear" w:color="auto" w:fill="C6EFCE"/>
            <w:vAlign w:val="center"/>
          </w:tcPr>
          <w:p w14:paraId="75309F8F" w14:textId="1507CC12" w:rsidR="00025543" w:rsidRDefault="007E3A2F">
            <w:pPr>
              <w:pStyle w:val="P68B1DB1-Normal28"/>
              <w:spacing w:line="240" w:lineRule="auto"/>
              <w:rPr>
                <w:noProof/>
              </w:rPr>
            </w:pPr>
            <w:r>
              <w:rPr>
                <w:noProof/>
              </w:rPr>
              <w:t>La consommation d’énergie et les émissions de CO2 sont réduites respectivement de 1 500 TJ/an et de 170 kt/an au plus tard le 30 septembre 2023, ce qui est démontré au moyen de certificats de performance énergétique.</w:t>
            </w:r>
          </w:p>
          <w:p w14:paraId="65661AAC" w14:textId="77777777" w:rsidR="00025543" w:rsidRDefault="007E3A2F">
            <w:pPr>
              <w:pStyle w:val="P68B1DB1-Normal28"/>
              <w:spacing w:line="240" w:lineRule="auto"/>
              <w:rPr>
                <w:noProof/>
              </w:rPr>
            </w:pPr>
            <w:r>
              <w:rPr>
                <w:noProof/>
              </w:rPr>
              <w:t>En ce qui concerne la biomasse, une réduction d’au moins 80 % des émissions de gaz à effet de serre (GES) est obtenue grâce à l’utilisation de la biomasse par rapport à la méthode de réduction des gaz à effet de serre et à la méthode de référence relative pour les combustibles fossiles figurant à l’annexe VI de la directive (UE) 2018/2001.</w:t>
            </w:r>
          </w:p>
        </w:tc>
      </w:tr>
      <w:tr w:rsidR="00025543" w14:paraId="20681F83"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19F2B82B" w14:textId="77777777" w:rsidR="00025543" w:rsidRDefault="007E3A2F">
            <w:pPr>
              <w:pStyle w:val="P68B1DB1-Normal28"/>
              <w:spacing w:line="240" w:lineRule="auto"/>
              <w:jc w:val="center"/>
              <w:rPr>
                <w:noProof/>
              </w:rPr>
            </w:pPr>
            <w:r>
              <w:rPr>
                <w:noProof/>
              </w:rPr>
              <w:t>129</w:t>
            </w:r>
          </w:p>
        </w:tc>
        <w:tc>
          <w:tcPr>
            <w:tcW w:w="1319" w:type="dxa"/>
            <w:tcBorders>
              <w:top w:val="single" w:sz="8" w:space="0" w:color="auto"/>
              <w:left w:val="single" w:sz="8" w:space="0" w:color="auto"/>
              <w:bottom w:val="single" w:sz="8" w:space="0" w:color="auto"/>
              <w:right w:val="single" w:sz="8" w:space="0" w:color="auto"/>
            </w:tcBorders>
            <w:shd w:val="clear" w:color="auto" w:fill="C6EFCE"/>
            <w:vAlign w:val="center"/>
          </w:tcPr>
          <w:p w14:paraId="0F90166D" w14:textId="77777777" w:rsidR="00025543" w:rsidRDefault="007E3A2F">
            <w:pPr>
              <w:pStyle w:val="P68B1DB1-Normal28"/>
              <w:spacing w:line="240" w:lineRule="auto"/>
              <w:rPr>
                <w:noProof/>
              </w:rPr>
            </w:pPr>
            <w:r>
              <w:rPr>
                <w:noProof/>
              </w:rPr>
              <w:t>Investissement 2: Remplacement des sources fixes de pollution dans les ménages par des sources d’énergie renouvelables</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25B90E0B" w14:textId="77777777" w:rsidR="00025543" w:rsidRDefault="007E3A2F">
            <w:pPr>
              <w:pStyle w:val="P68B1DB1-Normal28"/>
              <w:spacing w:line="240" w:lineRule="auto"/>
              <w:rPr>
                <w:noProof/>
              </w:rPr>
            </w:pPr>
            <w:r>
              <w:rPr>
                <w:noProof/>
              </w:rPr>
              <w:t>Cible</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475C898C" w14:textId="77777777" w:rsidR="00025543" w:rsidRDefault="007E3A2F">
            <w:pPr>
              <w:pStyle w:val="P68B1DB1-Normal28"/>
              <w:spacing w:line="240" w:lineRule="auto"/>
              <w:rPr>
                <w:noProof/>
              </w:rPr>
            </w:pPr>
            <w:r>
              <w:rPr>
                <w:noProof/>
              </w:rPr>
              <w:t>Réduction de la consommation d’énergie et des émissions de CO2</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441599A0" w14:textId="77777777" w:rsidR="00025543" w:rsidRDefault="00025543">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BB359D5" w14:textId="77777777" w:rsidR="00025543" w:rsidRDefault="007E3A2F">
            <w:pPr>
              <w:pStyle w:val="P68B1DB1-Normal12"/>
              <w:spacing w:line="240" w:lineRule="auto"/>
              <w:rPr>
                <w:noProof/>
                <w:color w:val="006100"/>
              </w:rPr>
            </w:pPr>
            <w:r>
              <w:rPr>
                <w:noProof/>
                <w:color w:val="006100"/>
              </w:rPr>
              <w:t>Économies d’énergie en terra joules par an</w:t>
            </w:r>
            <w:r>
              <w:rPr>
                <w:noProof/>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7A89F786" w14:textId="672C7859" w:rsidR="00025543" w:rsidRDefault="007E3A2F">
            <w:pPr>
              <w:pStyle w:val="P68B1DB1-Normal28"/>
              <w:spacing w:line="240" w:lineRule="auto"/>
              <w:jc w:val="center"/>
              <w:rPr>
                <w:noProof/>
              </w:rPr>
            </w:pPr>
            <w:r>
              <w:rPr>
                <w:noProof/>
              </w:rPr>
              <w:t>1 500</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19E9C3E5" w14:textId="3011D5CF" w:rsidR="00025543" w:rsidRDefault="007E3A2F">
            <w:pPr>
              <w:pStyle w:val="P68B1DB1-Normal28"/>
              <w:spacing w:line="240" w:lineRule="auto"/>
              <w:jc w:val="center"/>
              <w:rPr>
                <w:noProof/>
              </w:rPr>
            </w:pPr>
            <w:r>
              <w:rPr>
                <w:noProof/>
              </w:rPr>
              <w:t>4 500</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80CF78B" w14:textId="77777777" w:rsidR="00025543" w:rsidRDefault="007E3A2F">
            <w:pPr>
              <w:pStyle w:val="P68B1DB1-Normal28"/>
              <w:spacing w:line="240" w:lineRule="auto"/>
              <w:jc w:val="center"/>
              <w:rPr>
                <w:noProof/>
              </w:rPr>
            </w:pPr>
            <w:r>
              <w:rPr>
                <w:noProof/>
              </w:rPr>
              <w:t>TRIMESTRE 4</w:t>
            </w:r>
          </w:p>
        </w:tc>
        <w:tc>
          <w:tcPr>
            <w:tcW w:w="665" w:type="dxa"/>
            <w:tcBorders>
              <w:top w:val="single" w:sz="8" w:space="0" w:color="auto"/>
              <w:left w:val="single" w:sz="8" w:space="0" w:color="auto"/>
              <w:bottom w:val="single" w:sz="8" w:space="0" w:color="auto"/>
              <w:right w:val="single" w:sz="8" w:space="0" w:color="auto"/>
            </w:tcBorders>
            <w:shd w:val="clear" w:color="auto" w:fill="C6EFCE"/>
            <w:vAlign w:val="center"/>
          </w:tcPr>
          <w:p w14:paraId="648150AF" w14:textId="77777777" w:rsidR="00025543" w:rsidRDefault="007E3A2F">
            <w:pPr>
              <w:pStyle w:val="P68B1DB1-Normal28"/>
              <w:spacing w:line="240" w:lineRule="auto"/>
              <w:jc w:val="center"/>
              <w:rPr>
                <w:noProof/>
              </w:rPr>
            </w:pPr>
            <w:r>
              <w:rPr>
                <w:noProof/>
              </w:rPr>
              <w:t>2025</w:t>
            </w:r>
          </w:p>
        </w:tc>
        <w:tc>
          <w:tcPr>
            <w:tcW w:w="5387" w:type="dxa"/>
            <w:tcBorders>
              <w:top w:val="single" w:sz="8" w:space="0" w:color="auto"/>
              <w:left w:val="single" w:sz="8" w:space="0" w:color="auto"/>
              <w:bottom w:val="single" w:sz="8" w:space="0" w:color="auto"/>
              <w:right w:val="single" w:sz="8" w:space="0" w:color="auto"/>
            </w:tcBorders>
            <w:shd w:val="clear" w:color="auto" w:fill="C6EFCE"/>
            <w:vAlign w:val="center"/>
          </w:tcPr>
          <w:p w14:paraId="50012476" w14:textId="4F767B85" w:rsidR="00025543" w:rsidRDefault="007E3A2F">
            <w:pPr>
              <w:pStyle w:val="P68B1DB1-Normal28"/>
              <w:spacing w:line="240" w:lineRule="auto"/>
              <w:rPr>
                <w:noProof/>
              </w:rPr>
            </w:pPr>
            <w:r>
              <w:rPr>
                <w:noProof/>
              </w:rPr>
              <w:t>La consommation d’énergie et les émissions de CO2 sont réduites respectivement de 14 500 TJ/an et de 500 kt/an au plus tard le 31 décembre 2025, ce qui est démontré au moyen de certificats de performance énergétique.</w:t>
            </w:r>
          </w:p>
          <w:p w14:paraId="56E0A95E" w14:textId="783B8BC6" w:rsidR="00025543" w:rsidRDefault="007E3A2F">
            <w:pPr>
              <w:pStyle w:val="P68B1DB1-Normal28"/>
              <w:spacing w:line="240" w:lineRule="auto"/>
              <w:rPr>
                <w:noProof/>
              </w:rPr>
            </w:pPr>
            <w:r>
              <w:rPr>
                <w:noProof/>
              </w:rPr>
              <w:t>La consommation d’énergie et les émissions de CO2 sont réduites de 430 TJ/an et de 69 kt/an, respectivement, grâce au soutien des groupes socialement défavorisés de la population au plus tard le 31 décembre 2025. Les réductions sont démontrées au moyen de certificats de performance énergétique.</w:t>
            </w:r>
          </w:p>
          <w:p w14:paraId="03CE6793" w14:textId="77777777" w:rsidR="00025543" w:rsidRDefault="007E3A2F">
            <w:pPr>
              <w:pStyle w:val="P68B1DB1-Normal28"/>
              <w:spacing w:line="240" w:lineRule="auto"/>
              <w:rPr>
                <w:noProof/>
              </w:rPr>
            </w:pPr>
            <w:r>
              <w:rPr>
                <w:noProof/>
              </w:rPr>
              <w:t>En ce qui concerne la biomasse, une réduction d’au moins 80 % des émissions de gaz à effet de serre (GES) est obtenue grâce à l’utilisation de la biomasse par rapport à la méthode de réduction des gaz à effet de serre et à la méthode de référence relative pour les combustibles fossiles figurant à l’annexe VI de la directive (UE) 2018/2001.</w:t>
            </w:r>
          </w:p>
        </w:tc>
      </w:tr>
      <w:tr w:rsidR="00025543" w14:paraId="337D7AB3"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558DA567" w14:textId="77777777" w:rsidR="00025543" w:rsidRDefault="007E3A2F">
            <w:pPr>
              <w:pStyle w:val="P68B1DB1-Normal28"/>
              <w:spacing w:line="240" w:lineRule="auto"/>
              <w:jc w:val="center"/>
              <w:rPr>
                <w:noProof/>
              </w:rPr>
            </w:pPr>
            <w:r>
              <w:rPr>
                <w:noProof/>
              </w:rPr>
              <w:t>130</w:t>
            </w:r>
          </w:p>
        </w:tc>
        <w:tc>
          <w:tcPr>
            <w:tcW w:w="1319" w:type="dxa"/>
            <w:tcBorders>
              <w:top w:val="single" w:sz="8" w:space="0" w:color="auto"/>
              <w:left w:val="single" w:sz="8" w:space="0" w:color="auto"/>
              <w:bottom w:val="single" w:sz="8" w:space="0" w:color="auto"/>
              <w:right w:val="single" w:sz="8" w:space="0" w:color="auto"/>
            </w:tcBorders>
            <w:shd w:val="clear" w:color="auto" w:fill="C6EFCE"/>
            <w:vAlign w:val="center"/>
          </w:tcPr>
          <w:p w14:paraId="360F3ED4" w14:textId="77777777" w:rsidR="00025543" w:rsidRDefault="007E3A2F">
            <w:pPr>
              <w:pStyle w:val="P68B1DB1-Normal28"/>
              <w:spacing w:line="240" w:lineRule="auto"/>
              <w:rPr>
                <w:noProof/>
              </w:rPr>
            </w:pPr>
            <w:r>
              <w:rPr>
                <w:noProof/>
              </w:rPr>
              <w:t>Investissement 3: Soutien à la préparation et à la sensibilisation préalables au projet, à l’éducation, à la formation et à l’information dans le domaine des économies d’énergie et de la réduction des émissions de gaz à effet de serre et d’autres polluants atmosphériques</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01EA1FC3" w14:textId="77777777" w:rsidR="00025543" w:rsidRDefault="007E3A2F">
            <w:pPr>
              <w:pStyle w:val="P68B1DB1-Normal28"/>
              <w:spacing w:line="240" w:lineRule="auto"/>
              <w:rPr>
                <w:noProof/>
              </w:rPr>
            </w:pPr>
            <w:r>
              <w:rPr>
                <w:noProof/>
              </w:rPr>
              <w:t>Cible</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0DD14007" w14:textId="77777777" w:rsidR="00025543" w:rsidRDefault="007E3A2F">
            <w:pPr>
              <w:pStyle w:val="P68B1DB1-Normal28"/>
              <w:spacing w:line="240" w:lineRule="auto"/>
              <w:rPr>
                <w:noProof/>
              </w:rPr>
            </w:pPr>
            <w:r>
              <w:rPr>
                <w:noProof/>
              </w:rPr>
              <w:t>Projets de préparation préalable au projet, études, formations et projets énergétiques communautaires</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2F920B43" w14:textId="77777777" w:rsidR="00025543" w:rsidRDefault="00025543">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10C6D518" w14:textId="77777777" w:rsidR="00025543" w:rsidRDefault="007E3A2F">
            <w:pPr>
              <w:pStyle w:val="P68B1DB1-Normal28"/>
              <w:spacing w:line="240" w:lineRule="auto"/>
              <w:rPr>
                <w:noProof/>
              </w:rPr>
            </w:pPr>
            <w:r>
              <w:rPr>
                <w:noProof/>
              </w:rPr>
              <w:t>Nombre de projets</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36E9C5B2" w14:textId="77777777" w:rsidR="00025543" w:rsidRDefault="007E3A2F">
            <w:pPr>
              <w:pStyle w:val="P68B1DB1-Normal28"/>
              <w:spacing w:line="240" w:lineRule="auto"/>
              <w:jc w:val="center"/>
              <w:rPr>
                <w:noProof/>
              </w:rPr>
            </w:pPr>
            <w:r>
              <w:rPr>
                <w:noProof/>
              </w:rPr>
              <w:t>0</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41521E8C" w14:textId="4D320FAC" w:rsidR="00025543" w:rsidRDefault="007E3A2F">
            <w:pPr>
              <w:pStyle w:val="P68B1DB1-Normal28"/>
              <w:spacing w:line="240" w:lineRule="auto"/>
              <w:jc w:val="center"/>
              <w:rPr>
                <w:noProof/>
              </w:rPr>
            </w:pPr>
            <w:r>
              <w:rPr>
                <w:noProof/>
              </w:rPr>
              <w:t>4 890</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66AB562" w14:textId="77777777" w:rsidR="00025543" w:rsidRDefault="007E3A2F">
            <w:pPr>
              <w:pStyle w:val="P68B1DB1-Normal28"/>
              <w:spacing w:line="240" w:lineRule="auto"/>
              <w:jc w:val="center"/>
              <w:rPr>
                <w:noProof/>
              </w:rPr>
            </w:pPr>
            <w:r>
              <w:rPr>
                <w:noProof/>
              </w:rPr>
              <w:t>TRIMESTRE 4</w:t>
            </w:r>
          </w:p>
        </w:tc>
        <w:tc>
          <w:tcPr>
            <w:tcW w:w="665" w:type="dxa"/>
            <w:tcBorders>
              <w:top w:val="single" w:sz="8" w:space="0" w:color="auto"/>
              <w:left w:val="single" w:sz="8" w:space="0" w:color="auto"/>
              <w:bottom w:val="single" w:sz="8" w:space="0" w:color="auto"/>
              <w:right w:val="single" w:sz="8" w:space="0" w:color="auto"/>
            </w:tcBorders>
            <w:shd w:val="clear" w:color="auto" w:fill="C6EFCE"/>
            <w:vAlign w:val="center"/>
          </w:tcPr>
          <w:p w14:paraId="46BD1FE2" w14:textId="77777777" w:rsidR="00025543" w:rsidRDefault="007E3A2F">
            <w:pPr>
              <w:pStyle w:val="P68B1DB1-Normal28"/>
              <w:spacing w:line="240" w:lineRule="auto"/>
              <w:jc w:val="center"/>
              <w:rPr>
                <w:noProof/>
              </w:rPr>
            </w:pPr>
            <w:r>
              <w:rPr>
                <w:noProof/>
              </w:rPr>
              <w:t>2025</w:t>
            </w:r>
          </w:p>
        </w:tc>
        <w:tc>
          <w:tcPr>
            <w:tcW w:w="5387" w:type="dxa"/>
            <w:tcBorders>
              <w:top w:val="single" w:sz="8" w:space="0" w:color="auto"/>
              <w:left w:val="single" w:sz="8" w:space="0" w:color="auto"/>
              <w:bottom w:val="single" w:sz="8" w:space="0" w:color="auto"/>
              <w:right w:val="single" w:sz="8" w:space="0" w:color="auto"/>
            </w:tcBorders>
            <w:shd w:val="clear" w:color="auto" w:fill="C6EFCE"/>
            <w:vAlign w:val="center"/>
          </w:tcPr>
          <w:p w14:paraId="607CEC2E" w14:textId="77777777" w:rsidR="00025543" w:rsidRDefault="007E3A2F">
            <w:pPr>
              <w:pStyle w:val="P68B1DB1-Normal28"/>
              <w:spacing w:line="240" w:lineRule="auto"/>
              <w:rPr>
                <w:noProof/>
              </w:rPr>
            </w:pPr>
            <w:r>
              <w:rPr>
                <w:noProof/>
              </w:rPr>
              <w:t>4 890 projets, dont 40 projets de préparation de projets énergétiques communautaires, 3 600 études de préparation de projets pour des maisons familiales, 1 200 études de préparation de projets pour des immeubles à appartements et 50 projets de centres de consultation et d’information sur l’énergie, seront achevés.</w:t>
            </w:r>
          </w:p>
        </w:tc>
      </w:tr>
    </w:tbl>
    <w:p w14:paraId="7393B25C" w14:textId="77777777" w:rsidR="00025543" w:rsidRDefault="00025543">
      <w:pPr>
        <w:spacing w:before="0" w:after="200" w:line="276" w:lineRule="auto"/>
        <w:rPr>
          <w:b/>
          <w:smallCaps/>
          <w:noProof/>
        </w:rPr>
        <w:sectPr w:rsidR="00025543" w:rsidSect="0078369E">
          <w:headerReference w:type="even" r:id="rId204"/>
          <w:headerReference w:type="default" r:id="rId205"/>
          <w:footerReference w:type="even" r:id="rId206"/>
          <w:footerReference w:type="default" r:id="rId207"/>
          <w:headerReference w:type="first" r:id="rId208"/>
          <w:footerReference w:type="first" r:id="rId209"/>
          <w:pgSz w:w="16839" w:h="11907" w:orient="landscape"/>
          <w:pgMar w:top="1134" w:right="1134" w:bottom="1134" w:left="1134" w:header="567" w:footer="567" w:gutter="0"/>
          <w:cols w:space="720"/>
          <w:docGrid w:linePitch="326"/>
        </w:sectPr>
      </w:pPr>
    </w:p>
    <w:p w14:paraId="042E68D7" w14:textId="423E2A14" w:rsidR="00025543" w:rsidRDefault="007E3A2F">
      <w:pPr>
        <w:pStyle w:val="P68B1DB1-Normal36"/>
        <w:keepNext/>
        <w:spacing w:before="360" w:line="240" w:lineRule="auto"/>
        <w:ind w:left="850" w:hanging="850"/>
        <w:jc w:val="both"/>
        <w:outlineLvl w:val="0"/>
        <w:rPr>
          <w:noProof/>
          <w:highlight w:val="yellow"/>
        </w:rPr>
      </w:pPr>
      <w:r>
        <w:rPr>
          <w:noProof/>
        </w:rPr>
        <w:t xml:space="preserve">VOLET M. 2.6: Protection de la nature et adaptation au changement climatique </w:t>
      </w:r>
    </w:p>
    <w:p w14:paraId="0378A580" w14:textId="77777777" w:rsidR="00025543" w:rsidRDefault="007E3A2F">
      <w:pPr>
        <w:pStyle w:val="P68B1DB1-Normal4"/>
        <w:pBdr>
          <w:top w:val="nil"/>
          <w:left w:val="nil"/>
          <w:bottom w:val="nil"/>
          <w:right w:val="nil"/>
          <w:between w:val="nil"/>
        </w:pBdr>
        <w:spacing w:line="240" w:lineRule="auto"/>
        <w:jc w:val="both"/>
        <w:rPr>
          <w:noProof/>
        </w:rPr>
      </w:pPr>
      <w:r>
        <w:rPr>
          <w:noProof/>
        </w:rPr>
        <w:t xml:space="preserve">Ce volet du plan pour la reprise et la résilience de la République tchèque contribue à relever, conformément à la «stratégie d’adaptation au changement climatique en République tchèque», les défis découlant du changement climatique dans les domaines prioritaires suivants: gestion des forêts, agriculture, régime de l’eau dans le paysage, gestion de l’eau et biodiversité. </w:t>
      </w:r>
    </w:p>
    <w:p w14:paraId="15A3CA6C" w14:textId="5602C76B" w:rsidR="00025543" w:rsidRDefault="007E3A2F">
      <w:pPr>
        <w:pStyle w:val="P68B1DB1-Normal3"/>
        <w:pBdr>
          <w:top w:val="nil"/>
          <w:left w:val="nil"/>
          <w:bottom w:val="nil"/>
          <w:right w:val="nil"/>
          <w:between w:val="nil"/>
        </w:pBdr>
        <w:spacing w:line="240" w:lineRule="auto"/>
        <w:jc w:val="both"/>
        <w:rPr>
          <w:noProof/>
          <w:color w:val="000000"/>
        </w:rPr>
      </w:pPr>
      <w:r>
        <w:rPr>
          <w:noProof/>
        </w:rPr>
        <w:t>Aucune mesure relevant de ce volet ne devrait nuire gravement aux objectifs environnementaux au sens de l’article 17 du règlement (UE) 2020/852, compte tenu de la description des mesures et des mesures d’atténuation prévues dans le plan pour la reprise et la résilience conformément aux orientations techniques de la DNSH (2021/C58/01).</w:t>
      </w:r>
    </w:p>
    <w:p w14:paraId="22B858F1" w14:textId="77777777" w:rsidR="00025543" w:rsidRDefault="00025543">
      <w:pPr>
        <w:spacing w:line="240" w:lineRule="auto"/>
        <w:jc w:val="both"/>
        <w:rPr>
          <w:noProof/>
        </w:rPr>
      </w:pPr>
    </w:p>
    <w:p w14:paraId="5D21B4F8" w14:textId="10D2102A" w:rsidR="00025543" w:rsidRDefault="007E3A2F">
      <w:pPr>
        <w:pStyle w:val="P68B1DB1-Normal33"/>
        <w:pBdr>
          <w:top w:val="nil"/>
          <w:left w:val="nil"/>
          <w:bottom w:val="nil"/>
          <w:right w:val="nil"/>
          <w:between w:val="nil"/>
        </w:pBdr>
        <w:spacing w:line="240" w:lineRule="auto"/>
        <w:jc w:val="both"/>
        <w:rPr>
          <w:i/>
          <w:noProof/>
        </w:rPr>
      </w:pPr>
      <w:r>
        <w:rPr>
          <w:noProof/>
        </w:rPr>
        <w:t>M.1. Description des réformes et des investissements en vue du soutien financier non remboursable</w:t>
      </w:r>
    </w:p>
    <w:p w14:paraId="71287F88" w14:textId="77777777" w:rsidR="00025543" w:rsidRDefault="007E3A2F">
      <w:pPr>
        <w:pStyle w:val="P68B1DB1-Normal18"/>
        <w:pBdr>
          <w:top w:val="nil"/>
          <w:left w:val="nil"/>
          <w:bottom w:val="nil"/>
          <w:right w:val="nil"/>
          <w:between w:val="nil"/>
        </w:pBdr>
        <w:spacing w:line="240" w:lineRule="auto"/>
        <w:jc w:val="both"/>
        <w:rPr>
          <w:noProof/>
          <w:color w:val="000000"/>
        </w:rPr>
      </w:pPr>
      <w:r>
        <w:rPr>
          <w:noProof/>
        </w:rPr>
        <w:t xml:space="preserve">Investissement 1: Protection contre les inondations </w:t>
      </w:r>
    </w:p>
    <w:p w14:paraId="39B184C2" w14:textId="5F8040BE" w:rsidR="00025543" w:rsidRDefault="007E3A2F">
      <w:pPr>
        <w:pStyle w:val="P68B1DB1-Normal4"/>
        <w:pBdr>
          <w:top w:val="nil"/>
          <w:left w:val="nil"/>
          <w:bottom w:val="nil"/>
          <w:right w:val="nil"/>
          <w:between w:val="nil"/>
        </w:pBdr>
        <w:spacing w:line="240" w:lineRule="auto"/>
        <w:jc w:val="both"/>
        <w:rPr>
          <w:noProof/>
        </w:rPr>
      </w:pPr>
      <w:r>
        <w:rPr>
          <w:noProof/>
        </w:rPr>
        <w:t>Cette mesure</w:t>
      </w:r>
      <w:r>
        <w:rPr>
          <w:b/>
          <w:noProof/>
        </w:rPr>
        <w:t xml:space="preserve"> </w:t>
      </w:r>
      <w:r>
        <w:rPr>
          <w:noProof/>
        </w:rPr>
        <w:t xml:space="preserve">vise à protéger les zones peuplées contre les effets négatifs des inondations, à améliorer la rétention d’eau dans le paysage et à faciliter le traitement naturel des structures hydrographiques existantes dans les zones bâties. L’investissement soutient des projets de protection contre les inondations (par exemple, identification du potentiel de rétention d’eau; la mise en place, le traitement et la reconstruction de polders et l’absorption de bandes d’herbe; construction et reconstruction de réservoirs d’eau naturels; ou d’autres mesures visant à retarder le ruissellement de surface et à réduire la vitesse des vagues d’inondation). </w:t>
      </w:r>
    </w:p>
    <w:p w14:paraId="6A3EE628" w14:textId="37E733F9" w:rsidR="00025543" w:rsidRDefault="007E3A2F">
      <w:pPr>
        <w:pStyle w:val="P68B1DB1-Normal4"/>
        <w:pBdr>
          <w:top w:val="nil"/>
          <w:left w:val="nil"/>
          <w:bottom w:val="nil"/>
          <w:right w:val="nil"/>
          <w:between w:val="nil"/>
        </w:pBdr>
        <w:spacing w:line="240" w:lineRule="auto"/>
        <w:jc w:val="both"/>
        <w:rPr>
          <w:noProof/>
        </w:rPr>
      </w:pPr>
      <w:r>
        <w:rPr>
          <w:noProof/>
        </w:rPr>
        <w:t xml:space="preserve">L’investissement est achevé au plus tard le 31 décembre 2024. </w:t>
      </w:r>
    </w:p>
    <w:p w14:paraId="0A108B04" w14:textId="77777777" w:rsidR="00025543" w:rsidRDefault="007E3A2F">
      <w:pPr>
        <w:pStyle w:val="P68B1DB1-Normal18"/>
        <w:pBdr>
          <w:top w:val="nil"/>
          <w:left w:val="nil"/>
          <w:bottom w:val="nil"/>
          <w:right w:val="nil"/>
          <w:between w:val="nil"/>
        </w:pBdr>
        <w:spacing w:line="240" w:lineRule="auto"/>
        <w:jc w:val="both"/>
        <w:rPr>
          <w:noProof/>
          <w:color w:val="000000"/>
        </w:rPr>
      </w:pPr>
      <w:r>
        <w:rPr>
          <w:noProof/>
        </w:rPr>
        <w:t xml:space="preserve">Investissement 2: Petits cours d’eau et réservoirs d’eau de petite taille </w:t>
      </w:r>
    </w:p>
    <w:p w14:paraId="37B1BCF2" w14:textId="56409B41" w:rsidR="00025543" w:rsidRDefault="007E3A2F">
      <w:pPr>
        <w:pStyle w:val="P68B1DB1-Normal3"/>
        <w:pBdr>
          <w:top w:val="nil"/>
          <w:left w:val="nil"/>
          <w:bottom w:val="nil"/>
          <w:right w:val="nil"/>
          <w:between w:val="nil"/>
        </w:pBdr>
        <w:spacing w:line="240" w:lineRule="auto"/>
        <w:jc w:val="both"/>
        <w:rPr>
          <w:noProof/>
          <w:color w:val="000000"/>
        </w:rPr>
      </w:pPr>
      <w:r>
        <w:rPr>
          <w:noProof/>
        </w:rPr>
        <w:t>La mesure</w:t>
      </w:r>
      <w:r>
        <w:rPr>
          <w:noProof/>
          <w:color w:val="000000"/>
        </w:rPr>
        <w:t xml:space="preserve">vise à améliorer sensiblement l’état morphologique des petits cours d’eau et réservoirs d’eau existants, la revitalisation des petits cours d’eau et la construction de petits étangs proches de la nature. Elle contribue à la rétention de l’eau </w:t>
      </w:r>
      <w:r>
        <w:rPr>
          <w:noProof/>
        </w:rPr>
        <w:t xml:space="preserve">et </w:t>
      </w:r>
      <w:r>
        <w:rPr>
          <w:noProof/>
          <w:color w:val="000000"/>
        </w:rPr>
        <w:t>accroît</w:t>
      </w:r>
      <w:r>
        <w:rPr>
          <w:noProof/>
        </w:rPr>
        <w:t xml:space="preserve"> </w:t>
      </w:r>
      <w:r>
        <w:rPr>
          <w:noProof/>
          <w:color w:val="000000"/>
        </w:rPr>
        <w:t>le développement de la végétation côtière et la rétention d’eau dans les cours d’eau. Elle permet également</w:t>
      </w:r>
      <w:r>
        <w:rPr>
          <w:noProof/>
        </w:rPr>
        <w:t xml:space="preserve"> </w:t>
      </w:r>
      <w:r>
        <w:rPr>
          <w:noProof/>
          <w:color w:val="000000"/>
        </w:rPr>
        <w:t xml:space="preserve">d’accroître la sécurité en cas de flux dans les villes et les municipalités. </w:t>
      </w:r>
    </w:p>
    <w:p w14:paraId="38AA5500" w14:textId="77777777" w:rsidR="00025543" w:rsidRDefault="007E3A2F">
      <w:pPr>
        <w:pStyle w:val="P68B1DB1-Normal4"/>
        <w:pBdr>
          <w:top w:val="nil"/>
          <w:left w:val="nil"/>
          <w:bottom w:val="nil"/>
          <w:right w:val="nil"/>
          <w:between w:val="nil"/>
        </w:pBdr>
        <w:spacing w:line="240" w:lineRule="auto"/>
        <w:jc w:val="both"/>
        <w:rPr>
          <w:noProof/>
        </w:rPr>
      </w:pPr>
      <w:r>
        <w:rPr>
          <w:noProof/>
        </w:rPr>
        <w:t xml:space="preserve">L’investissement est achevé au plus tard le 31 décembre 2023. </w:t>
      </w:r>
    </w:p>
    <w:p w14:paraId="798BA69B" w14:textId="77777777" w:rsidR="00025543" w:rsidRDefault="007E3A2F">
      <w:pPr>
        <w:pStyle w:val="P68B1DB1-Normal3"/>
        <w:pBdr>
          <w:top w:val="nil"/>
          <w:left w:val="nil"/>
          <w:bottom w:val="nil"/>
          <w:right w:val="nil"/>
          <w:between w:val="nil"/>
        </w:pBdr>
        <w:spacing w:line="240" w:lineRule="auto"/>
        <w:jc w:val="both"/>
        <w:rPr>
          <w:b/>
          <w:noProof/>
          <w:color w:val="000000"/>
        </w:rPr>
      </w:pPr>
      <w:r>
        <w:rPr>
          <w:b/>
          <w:noProof/>
          <w:color w:val="000000"/>
        </w:rPr>
        <w:t>Investissement 3</w:t>
      </w:r>
      <w:r>
        <w:rPr>
          <w:noProof/>
        </w:rPr>
        <w:t xml:space="preserve">: </w:t>
      </w:r>
      <w:r>
        <w:rPr>
          <w:b/>
          <w:noProof/>
          <w:color w:val="000000"/>
        </w:rPr>
        <w:t>Remembrement</w:t>
      </w:r>
    </w:p>
    <w:p w14:paraId="7D837EB1" w14:textId="0790EB7A" w:rsidR="00025543" w:rsidRDefault="007E3A2F">
      <w:pPr>
        <w:pStyle w:val="P68B1DB1-Normal4"/>
        <w:pBdr>
          <w:top w:val="nil"/>
          <w:left w:val="nil"/>
          <w:bottom w:val="nil"/>
          <w:right w:val="nil"/>
          <w:between w:val="nil"/>
        </w:pBdr>
        <w:spacing w:line="240" w:lineRule="auto"/>
        <w:jc w:val="both"/>
        <w:rPr>
          <w:noProof/>
        </w:rPr>
      </w:pPr>
      <w:r>
        <w:rPr>
          <w:noProof/>
        </w:rPr>
        <w:t xml:space="preserve">La mesure vise à accroître la stabilité écologique du paysage et sa résilience au changement climatique, à promouvoir la biodiversité et les fonctions non productives du paysage et à protéger les terres agricoles et les ressources en eau. Les mesures sont fondées sur une évaluation du potentiel de rétention d’eau dans le paysage et visent principalement à protéger la qualité et la quantité des sols et des eaux, à diviser de grandes parcelles de terres agricoles par des particularités topographiques, à mettre en œuvre des mesures de lutte contre l’érosion fondées sur la nature (balles, diagonales, tranchées, bandes herbagères) dans le paysage afin d’éliminer les effets néfastes du ruissellement de surface. Les mesures de rétention d’eau se concentrent principalement sur des projets tels que la restauration des zones humides, la revitalisation des cours d’eau et la création d’étangs. Ces investissements comprennent également la mise en œuvre de mesures d’infrastructure verte en faveur de la biodiversité, telles que les centres et les corridors biologiques. </w:t>
      </w:r>
    </w:p>
    <w:p w14:paraId="38A04C34" w14:textId="5DA65925" w:rsidR="00025543" w:rsidRDefault="007E3A2F">
      <w:pPr>
        <w:pStyle w:val="P68B1DB1-Normal4"/>
        <w:pBdr>
          <w:top w:val="nil"/>
          <w:left w:val="nil"/>
          <w:bottom w:val="nil"/>
          <w:right w:val="nil"/>
          <w:between w:val="nil"/>
        </w:pBdr>
        <w:spacing w:line="240" w:lineRule="auto"/>
        <w:jc w:val="both"/>
        <w:rPr>
          <w:noProof/>
        </w:rPr>
      </w:pPr>
      <w:r>
        <w:rPr>
          <w:noProof/>
        </w:rPr>
        <w:t xml:space="preserve">L’investissement est achevé au plus tard le 31 décembre 2024. </w:t>
      </w:r>
    </w:p>
    <w:p w14:paraId="564E42C0" w14:textId="724D749C" w:rsidR="00025543" w:rsidRDefault="00025543">
      <w:pPr>
        <w:pBdr>
          <w:top w:val="nil"/>
          <w:left w:val="nil"/>
          <w:bottom w:val="nil"/>
          <w:right w:val="nil"/>
          <w:between w:val="nil"/>
        </w:pBdr>
        <w:spacing w:line="240" w:lineRule="auto"/>
        <w:jc w:val="both"/>
        <w:rPr>
          <w:rFonts w:eastAsia="Times New Roman"/>
          <w:b/>
          <w:noProof/>
          <w:color w:val="000000" w:themeColor="text1"/>
        </w:rPr>
      </w:pPr>
    </w:p>
    <w:p w14:paraId="78984320" w14:textId="77777777" w:rsidR="00025543" w:rsidRDefault="007E3A2F">
      <w:pPr>
        <w:pStyle w:val="P68B1DB1-Normal3"/>
        <w:pBdr>
          <w:top w:val="nil"/>
          <w:left w:val="nil"/>
          <w:bottom w:val="nil"/>
          <w:right w:val="nil"/>
          <w:between w:val="nil"/>
        </w:pBdr>
        <w:spacing w:line="240" w:lineRule="auto"/>
        <w:jc w:val="both"/>
        <w:rPr>
          <w:noProof/>
          <w:color w:val="000000"/>
        </w:rPr>
      </w:pPr>
      <w:r>
        <w:rPr>
          <w:b/>
          <w:noProof/>
          <w:color w:val="000000"/>
        </w:rPr>
        <w:t>Investissement 4</w:t>
      </w:r>
      <w:r>
        <w:rPr>
          <w:noProof/>
        </w:rPr>
        <w:t xml:space="preserve">: </w:t>
      </w:r>
      <w:r>
        <w:rPr>
          <w:b/>
          <w:noProof/>
          <w:color w:val="000000"/>
        </w:rPr>
        <w:t>Construire des forêts résilientes face au changement climatique</w:t>
      </w:r>
    </w:p>
    <w:p w14:paraId="04541379" w14:textId="3EF17D20" w:rsidR="00025543" w:rsidRDefault="007E3A2F">
      <w:pPr>
        <w:pStyle w:val="P68B1DB1-Normal4"/>
        <w:pBdr>
          <w:top w:val="nil"/>
          <w:left w:val="nil"/>
          <w:bottom w:val="nil"/>
          <w:right w:val="nil"/>
          <w:between w:val="nil"/>
        </w:pBdr>
        <w:spacing w:line="240" w:lineRule="auto"/>
        <w:jc w:val="both"/>
        <w:rPr>
          <w:noProof/>
        </w:rPr>
      </w:pPr>
      <w:r>
        <w:rPr>
          <w:noProof/>
        </w:rPr>
        <w:t xml:space="preserve">Cette mesure vise à restaurer une forêt stable en plantant des espèces indigènes et hétérogènes, tout en visant à ce que la composition multigénérationnelle et spatiale de la forêt soit résiliente au changement climatique, et cohérente avec le plan d’action national pour l’adaptation au changement climatique. Cet investissement est complété par une modification de l’arrêté ministériel sur la planification de la gestion forestière, qui ouvrira spécifiquement la voie à des forêts multigénérationnelles, multiespèces et résilientes. </w:t>
      </w:r>
    </w:p>
    <w:p w14:paraId="287BAB5A" w14:textId="77777777" w:rsidR="00025543" w:rsidRDefault="007E3A2F">
      <w:pPr>
        <w:pStyle w:val="P68B1DB1-Normal4"/>
        <w:pBdr>
          <w:top w:val="nil"/>
          <w:left w:val="nil"/>
          <w:bottom w:val="nil"/>
          <w:right w:val="nil"/>
          <w:between w:val="nil"/>
        </w:pBdr>
        <w:spacing w:line="240" w:lineRule="auto"/>
        <w:jc w:val="both"/>
        <w:rPr>
          <w:noProof/>
        </w:rPr>
      </w:pPr>
      <w:r>
        <w:rPr>
          <w:noProof/>
        </w:rPr>
        <w:t xml:space="preserve">L’investissement est achevé au plus tard le 30 septembre 2024. </w:t>
      </w:r>
    </w:p>
    <w:p w14:paraId="2B695D7C" w14:textId="77777777" w:rsidR="00025543" w:rsidRDefault="007E3A2F">
      <w:pPr>
        <w:pStyle w:val="P68B1DB1-Normal3"/>
        <w:pBdr>
          <w:top w:val="nil"/>
          <w:left w:val="nil"/>
          <w:bottom w:val="nil"/>
          <w:right w:val="nil"/>
          <w:between w:val="nil"/>
        </w:pBdr>
        <w:spacing w:line="240" w:lineRule="auto"/>
        <w:jc w:val="both"/>
        <w:rPr>
          <w:b/>
          <w:noProof/>
          <w:color w:val="000000"/>
        </w:rPr>
      </w:pPr>
      <w:r>
        <w:rPr>
          <w:b/>
          <w:noProof/>
          <w:color w:val="000000"/>
        </w:rPr>
        <w:t>Investissement 5</w:t>
      </w:r>
      <w:r>
        <w:rPr>
          <w:noProof/>
        </w:rPr>
        <w:t xml:space="preserve">: </w:t>
      </w:r>
      <w:r>
        <w:rPr>
          <w:b/>
          <w:noProof/>
          <w:color w:val="000000"/>
        </w:rPr>
        <w:t>Rétention d’eau dans les forêts</w:t>
      </w:r>
    </w:p>
    <w:p w14:paraId="043423F5" w14:textId="7F97F68C" w:rsidR="00025543" w:rsidRDefault="007E3A2F">
      <w:pPr>
        <w:pStyle w:val="P68B1DB1-Normal4"/>
        <w:pBdr>
          <w:top w:val="nil"/>
          <w:left w:val="nil"/>
          <w:bottom w:val="nil"/>
          <w:right w:val="nil"/>
          <w:between w:val="nil"/>
        </w:pBdr>
        <w:spacing w:line="240" w:lineRule="auto"/>
        <w:jc w:val="both"/>
        <w:rPr>
          <w:noProof/>
        </w:rPr>
      </w:pPr>
      <w:r>
        <w:rPr>
          <w:noProof/>
        </w:rPr>
        <w:t xml:space="preserve">Cette mesure vise à renforcer la capacité de rétention d’eau dans les forêts par la mise en œuvre de projets visant à améliorer les conditions pédologiques, aquatiques et microclimatiques telles que le traitement des cours d’eau forestiers, les petits réservoirs d’eau dans les forêts et les mesures de rétention naturelle de l’eau visant à ralentir le ruissellement, ainsi que par la surveillance de l’érosion accélérée et la protection des bassins de déversement. </w:t>
      </w:r>
    </w:p>
    <w:p w14:paraId="5F543389" w14:textId="77777777" w:rsidR="00025543" w:rsidRDefault="007E3A2F">
      <w:pPr>
        <w:pStyle w:val="P68B1DB1-Normal4"/>
        <w:pBdr>
          <w:top w:val="nil"/>
          <w:left w:val="nil"/>
          <w:bottom w:val="nil"/>
          <w:right w:val="nil"/>
          <w:between w:val="nil"/>
        </w:pBdr>
        <w:spacing w:line="240" w:lineRule="auto"/>
        <w:rPr>
          <w:noProof/>
          <w:u w:val="single"/>
        </w:rPr>
        <w:sectPr w:rsidR="00025543" w:rsidSect="00786C7E">
          <w:headerReference w:type="even" r:id="rId210"/>
          <w:headerReference w:type="default" r:id="rId211"/>
          <w:footerReference w:type="even" r:id="rId212"/>
          <w:footerReference w:type="default" r:id="rId213"/>
          <w:headerReference w:type="first" r:id="rId214"/>
          <w:footerReference w:type="first" r:id="rId215"/>
          <w:pgSz w:w="11907" w:h="16839"/>
          <w:pgMar w:top="1134" w:right="1134" w:bottom="1134" w:left="1134" w:header="567" w:footer="567" w:gutter="0"/>
          <w:cols w:space="720"/>
          <w:docGrid w:linePitch="326"/>
        </w:sectPr>
      </w:pPr>
      <w:r>
        <w:rPr>
          <w:noProof/>
        </w:rPr>
        <w:t>L’investissement est achevé au plus tard le 31 mars 2024.</w:t>
      </w:r>
    </w:p>
    <w:p w14:paraId="3C49FE30" w14:textId="2EB43B0E" w:rsidR="00025543" w:rsidRDefault="007E3A2F">
      <w:pPr>
        <w:pStyle w:val="P68B1DB1-Normal33"/>
        <w:pBdr>
          <w:top w:val="nil"/>
          <w:left w:val="nil"/>
          <w:bottom w:val="nil"/>
          <w:right w:val="nil"/>
          <w:between w:val="nil"/>
        </w:pBdr>
        <w:spacing w:line="240" w:lineRule="auto"/>
        <w:jc w:val="both"/>
        <w:rPr>
          <w:noProof/>
          <w:color w:val="000000"/>
        </w:rPr>
      </w:pPr>
      <w:r>
        <w:rPr>
          <w:noProof/>
        </w:rPr>
        <w:t>M.2. Jalons, cibles, indicateurs et calendrier de suivi et de mise en œuvre en vue du soutien financier non remboursable</w:t>
      </w:r>
    </w:p>
    <w:tbl>
      <w:tblPr>
        <w:tblW w:w="14607" w:type="dxa"/>
        <w:jc w:val="center"/>
        <w:tblLayout w:type="fixed"/>
        <w:tblLook w:val="0400" w:firstRow="0" w:lastRow="0" w:firstColumn="0" w:lastColumn="0" w:noHBand="0" w:noVBand="1"/>
      </w:tblPr>
      <w:tblGrid>
        <w:gridCol w:w="662"/>
        <w:gridCol w:w="1162"/>
        <w:gridCol w:w="1106"/>
        <w:gridCol w:w="1373"/>
        <w:gridCol w:w="1100"/>
        <w:gridCol w:w="1051"/>
        <w:gridCol w:w="866"/>
        <w:gridCol w:w="948"/>
        <w:gridCol w:w="948"/>
        <w:gridCol w:w="636"/>
        <w:gridCol w:w="4755"/>
      </w:tblGrid>
      <w:tr w:rsidR="00025543" w14:paraId="026051ED" w14:textId="77777777">
        <w:trPr>
          <w:trHeight w:val="945"/>
          <w:tblHeader/>
          <w:jc w:val="center"/>
        </w:trPr>
        <w:tc>
          <w:tcPr>
            <w:tcW w:w="674"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7DA95518" w14:textId="77777777" w:rsidR="00025543" w:rsidRDefault="007E3A2F">
            <w:pPr>
              <w:pStyle w:val="P68B1DB1-Normal9"/>
              <w:spacing w:line="240" w:lineRule="auto"/>
              <w:jc w:val="center"/>
              <w:rPr>
                <w:rFonts w:ascii="Calibri" w:hAnsi="Calibri"/>
                <w:noProof/>
              </w:rPr>
            </w:pPr>
            <w:r>
              <w:rPr>
                <w:noProof/>
              </w:rPr>
              <w:t>Séquence NUM.</w:t>
            </w:r>
          </w:p>
        </w:tc>
        <w:tc>
          <w:tcPr>
            <w:tcW w:w="1191"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64327BDE" w14:textId="77777777" w:rsidR="00025543" w:rsidRDefault="007E3A2F">
            <w:pPr>
              <w:pStyle w:val="P68B1DB1-Normal9"/>
              <w:spacing w:line="240" w:lineRule="auto"/>
              <w:jc w:val="center"/>
              <w:rPr>
                <w:rFonts w:ascii="Calibri" w:hAnsi="Calibri"/>
                <w:noProof/>
              </w:rPr>
            </w:pPr>
            <w:r>
              <w:rPr>
                <w:noProof/>
              </w:rPr>
              <w:t>Mesure connexe (réforme ou investissement)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7FC6E11D" w14:textId="77777777" w:rsidR="00025543" w:rsidRDefault="007E3A2F">
            <w:pPr>
              <w:pStyle w:val="P68B1DB1-Normal9"/>
              <w:spacing w:line="240" w:lineRule="auto"/>
              <w:jc w:val="center"/>
              <w:rPr>
                <w:rFonts w:ascii="Calibri" w:hAnsi="Calibri"/>
                <w:noProof/>
              </w:rPr>
            </w:pPr>
            <w:r>
              <w:rPr>
                <w:noProof/>
              </w:rPr>
              <w:t>Jalon/cible</w:t>
            </w:r>
          </w:p>
        </w:tc>
        <w:tc>
          <w:tcPr>
            <w:tcW w:w="1409"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0BB72434" w14:textId="77777777" w:rsidR="00025543" w:rsidRDefault="007E3A2F">
            <w:pPr>
              <w:pStyle w:val="P68B1DB1-Normal9"/>
              <w:spacing w:line="240" w:lineRule="auto"/>
              <w:jc w:val="center"/>
              <w:rPr>
                <w:rFonts w:ascii="Calibri" w:hAnsi="Calibri"/>
                <w:noProof/>
              </w:rPr>
            </w:pPr>
            <w:r>
              <w:rPr>
                <w:noProof/>
              </w:rPr>
              <w:t>Nom</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0BF48C60" w14:textId="77777777" w:rsidR="00025543" w:rsidRDefault="007E3A2F">
            <w:pPr>
              <w:pStyle w:val="P68B1DB1-Normal12"/>
              <w:spacing w:line="240" w:lineRule="auto"/>
              <w:jc w:val="center"/>
              <w:rPr>
                <w:rFonts w:ascii="Calibri" w:hAnsi="Calibri"/>
                <w:noProof/>
              </w:rPr>
            </w:pPr>
            <w:r>
              <w:rPr>
                <w:rFonts w:eastAsia="Times New Roman"/>
                <w:b/>
                <w:noProof/>
              </w:rPr>
              <w:t>Qualitatifs</w:t>
            </w:r>
            <w:r>
              <w:rPr>
                <w:rFonts w:ascii="Calibri" w:hAnsi="Calibri"/>
                <w:noProof/>
              </w:rPr>
              <w:br/>
            </w:r>
            <w:r>
              <w:rPr>
                <w:rFonts w:eastAsia="Times New Roman"/>
                <w:b/>
                <w:noProof/>
              </w:rPr>
              <w:t>(pour les jalons)</w:t>
            </w:r>
          </w:p>
        </w:tc>
        <w:tc>
          <w:tcPr>
            <w:tcW w:w="1743" w:type="dxa"/>
            <w:gridSpan w:val="2"/>
            <w:tcBorders>
              <w:top w:val="single" w:sz="8" w:space="0" w:color="000000" w:themeColor="text1"/>
              <w:left w:val="single" w:sz="4" w:space="0" w:color="auto"/>
              <w:bottom w:val="single" w:sz="8" w:space="0" w:color="000000" w:themeColor="text1"/>
              <w:right w:val="single" w:sz="8" w:space="0" w:color="000000" w:themeColor="text1"/>
            </w:tcBorders>
            <w:shd w:val="clear" w:color="auto" w:fill="BDD7EE"/>
            <w:vAlign w:val="center"/>
          </w:tcPr>
          <w:p w14:paraId="3FB9FC2B" w14:textId="77777777" w:rsidR="00025543" w:rsidRDefault="007E3A2F">
            <w:pPr>
              <w:pStyle w:val="P68B1DB1-Normal12"/>
              <w:spacing w:line="240" w:lineRule="auto"/>
              <w:jc w:val="center"/>
              <w:rPr>
                <w:rFonts w:ascii="Calibri" w:hAnsi="Calibri"/>
                <w:noProof/>
              </w:rPr>
            </w:pPr>
            <w:r>
              <w:rPr>
                <w:rFonts w:eastAsia="Times New Roman"/>
                <w:b/>
                <w:noProof/>
              </w:rPr>
              <w:t>Indicateurs quantitatifs</w:t>
            </w:r>
            <w:r>
              <w:rPr>
                <w:rFonts w:ascii="Calibri" w:hAnsi="Calibri"/>
                <w:noProof/>
              </w:rPr>
              <w:br/>
            </w:r>
            <w:r>
              <w:rPr>
                <w:rFonts w:eastAsia="Times New Roman"/>
                <w:b/>
                <w:noProof/>
              </w:rPr>
              <w:t>(pour les objectifs)</w:t>
            </w:r>
          </w:p>
        </w:tc>
        <w:tc>
          <w:tcPr>
            <w:tcW w:w="2591" w:type="dxa"/>
            <w:gridSpan w:val="3"/>
            <w:tcBorders>
              <w:top w:val="single" w:sz="8" w:space="0" w:color="000000" w:themeColor="text1"/>
              <w:left w:val="nil"/>
              <w:bottom w:val="single" w:sz="8" w:space="0" w:color="000000" w:themeColor="text1"/>
              <w:right w:val="single" w:sz="4" w:space="0" w:color="auto"/>
            </w:tcBorders>
            <w:shd w:val="clear" w:color="auto" w:fill="BDD7EE"/>
            <w:vAlign w:val="center"/>
          </w:tcPr>
          <w:p w14:paraId="5D0BC76D" w14:textId="77777777" w:rsidR="00025543" w:rsidRDefault="007E3A2F">
            <w:pPr>
              <w:pStyle w:val="P68B1DB1-Normal9"/>
              <w:spacing w:line="240" w:lineRule="auto"/>
              <w:jc w:val="center"/>
              <w:rPr>
                <w:rFonts w:ascii="Calibri" w:hAnsi="Calibri"/>
                <w:noProof/>
              </w:rPr>
            </w:pPr>
            <w:r>
              <w:rPr>
                <w:noProof/>
              </w:rPr>
              <w:t xml:space="preserve">Calendrier indicatif de réalisation </w:t>
            </w:r>
          </w:p>
        </w:tc>
        <w:tc>
          <w:tcPr>
            <w:tcW w:w="4898"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27EE7737" w14:textId="77777777" w:rsidR="00025543" w:rsidRDefault="007E3A2F">
            <w:pPr>
              <w:pStyle w:val="P68B1DB1-Normal9"/>
              <w:spacing w:line="240" w:lineRule="auto"/>
              <w:jc w:val="center"/>
              <w:rPr>
                <w:rFonts w:ascii="Calibri" w:hAnsi="Calibri"/>
                <w:noProof/>
              </w:rPr>
            </w:pPr>
            <w:r>
              <w:rPr>
                <w:noProof/>
              </w:rPr>
              <w:t>Description de chaque jalon et cible</w:t>
            </w:r>
          </w:p>
        </w:tc>
      </w:tr>
      <w:tr w:rsidR="00025543" w14:paraId="07C932EF" w14:textId="77777777">
        <w:trPr>
          <w:trHeight w:val="90"/>
          <w:tblHeader/>
          <w:jc w:val="center"/>
        </w:trPr>
        <w:tc>
          <w:tcPr>
            <w:tcW w:w="674" w:type="dxa"/>
            <w:vMerge/>
            <w:tcBorders>
              <w:top w:val="single" w:sz="4" w:space="0" w:color="auto"/>
              <w:left w:val="single" w:sz="4" w:space="0" w:color="auto"/>
              <w:bottom w:val="single" w:sz="4" w:space="0" w:color="auto"/>
              <w:right w:val="single" w:sz="4" w:space="0" w:color="auto"/>
            </w:tcBorders>
            <w:vAlign w:val="center"/>
          </w:tcPr>
          <w:p w14:paraId="44339583" w14:textId="77777777" w:rsidR="00025543" w:rsidRDefault="00025543">
            <w:pPr>
              <w:spacing w:line="240" w:lineRule="auto"/>
              <w:rPr>
                <w:rFonts w:ascii="Calibri" w:hAnsi="Calibri"/>
                <w:noProof/>
                <w:sz w:val="18"/>
              </w:rPr>
            </w:pPr>
          </w:p>
        </w:tc>
        <w:tc>
          <w:tcPr>
            <w:tcW w:w="1191" w:type="dxa"/>
            <w:vMerge/>
            <w:tcBorders>
              <w:top w:val="single" w:sz="4" w:space="0" w:color="auto"/>
              <w:left w:val="single" w:sz="4" w:space="0" w:color="auto"/>
              <w:bottom w:val="single" w:sz="4" w:space="0" w:color="auto"/>
              <w:right w:val="single" w:sz="4" w:space="0" w:color="auto"/>
            </w:tcBorders>
            <w:vAlign w:val="center"/>
          </w:tcPr>
          <w:p w14:paraId="09FBA713" w14:textId="77777777" w:rsidR="00025543" w:rsidRDefault="00025543">
            <w:pPr>
              <w:spacing w:line="240" w:lineRule="auto"/>
              <w:rPr>
                <w:rFonts w:ascii="Calibri" w:hAnsi="Calibri"/>
                <w:noProof/>
                <w:sz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6453E46" w14:textId="77777777" w:rsidR="00025543" w:rsidRDefault="00025543">
            <w:pPr>
              <w:spacing w:line="240" w:lineRule="auto"/>
              <w:rPr>
                <w:rFonts w:ascii="Calibri" w:hAnsi="Calibri"/>
                <w:noProof/>
                <w:sz w:val="18"/>
              </w:rPr>
            </w:pPr>
          </w:p>
        </w:tc>
        <w:tc>
          <w:tcPr>
            <w:tcW w:w="1409" w:type="dxa"/>
            <w:vMerge/>
            <w:tcBorders>
              <w:top w:val="single" w:sz="4" w:space="0" w:color="auto"/>
              <w:left w:val="single" w:sz="4" w:space="0" w:color="auto"/>
              <w:bottom w:val="single" w:sz="4" w:space="0" w:color="auto"/>
              <w:right w:val="single" w:sz="4" w:space="0" w:color="auto"/>
            </w:tcBorders>
            <w:vAlign w:val="center"/>
          </w:tcPr>
          <w:p w14:paraId="7972CA02" w14:textId="77777777" w:rsidR="00025543" w:rsidRDefault="00025543">
            <w:pPr>
              <w:spacing w:line="240" w:lineRule="auto"/>
              <w:rPr>
                <w:rFonts w:ascii="Calibri" w:hAnsi="Calibri"/>
                <w:noProof/>
                <w:sz w:val="18"/>
              </w:rPr>
            </w:pPr>
          </w:p>
        </w:tc>
        <w:tc>
          <w:tcPr>
            <w:tcW w:w="1127" w:type="dxa"/>
            <w:vMerge/>
            <w:tcBorders>
              <w:top w:val="single" w:sz="4" w:space="0" w:color="auto"/>
              <w:left w:val="single" w:sz="4" w:space="0" w:color="auto"/>
              <w:bottom w:val="single" w:sz="4" w:space="0" w:color="auto"/>
              <w:right w:val="single" w:sz="4" w:space="0" w:color="auto"/>
            </w:tcBorders>
            <w:vAlign w:val="center"/>
          </w:tcPr>
          <w:p w14:paraId="43BCB2FA" w14:textId="77777777" w:rsidR="00025543" w:rsidRDefault="00025543">
            <w:pPr>
              <w:spacing w:line="240" w:lineRule="auto"/>
              <w:rPr>
                <w:rFonts w:ascii="Calibri" w:hAnsi="Calibri"/>
                <w:noProof/>
                <w:sz w:val="18"/>
              </w:rPr>
            </w:pPr>
          </w:p>
        </w:tc>
        <w:tc>
          <w:tcPr>
            <w:tcW w:w="1077"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BDD7EE"/>
            <w:vAlign w:val="center"/>
          </w:tcPr>
          <w:p w14:paraId="392AEB3A" w14:textId="77777777" w:rsidR="00025543" w:rsidRDefault="007E3A2F">
            <w:pPr>
              <w:pStyle w:val="P68B1DB1-Normal9"/>
              <w:spacing w:line="240" w:lineRule="auto"/>
              <w:jc w:val="center"/>
              <w:rPr>
                <w:rFonts w:ascii="Calibri" w:hAnsi="Calibri"/>
                <w:noProof/>
              </w:rPr>
            </w:pPr>
            <w:r>
              <w:rPr>
                <w:noProof/>
              </w:rPr>
              <w:t>Unité de mesure</w:t>
            </w:r>
          </w:p>
        </w:tc>
        <w:tc>
          <w:tcPr>
            <w:tcW w:w="886"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tcPr>
          <w:p w14:paraId="3E8ED1B5" w14:textId="77777777" w:rsidR="00025543" w:rsidRDefault="007E3A2F">
            <w:pPr>
              <w:pStyle w:val="P68B1DB1-Normal9"/>
              <w:spacing w:line="240" w:lineRule="auto"/>
              <w:jc w:val="center"/>
              <w:rPr>
                <w:rFonts w:ascii="Calibri" w:hAnsi="Calibri"/>
                <w:noProof/>
              </w:rPr>
            </w:pPr>
            <w:r>
              <w:rPr>
                <w:noProof/>
              </w:rPr>
              <w:t xml:space="preserve">Scénario de référence </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vAlign w:val="center"/>
          </w:tcPr>
          <w:p w14:paraId="080FEB18" w14:textId="77777777" w:rsidR="00025543" w:rsidRDefault="007E3A2F">
            <w:pPr>
              <w:pStyle w:val="P68B1DB1-Normal9"/>
              <w:spacing w:line="240" w:lineRule="auto"/>
              <w:jc w:val="center"/>
              <w:rPr>
                <w:rFonts w:ascii="Calibri" w:hAnsi="Calibri"/>
                <w:noProof/>
              </w:rPr>
            </w:pPr>
            <w:r>
              <w:rPr>
                <w:noProof/>
              </w:rPr>
              <w:t xml:space="preserve">Objectif </w:t>
            </w:r>
          </w:p>
        </w:tc>
        <w:tc>
          <w:tcPr>
            <w:tcW w:w="971"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tcPr>
          <w:p w14:paraId="65BA9F21" w14:textId="77777777" w:rsidR="00025543" w:rsidRDefault="007E3A2F">
            <w:pPr>
              <w:pStyle w:val="P68B1DB1-Normal9"/>
              <w:spacing w:line="240" w:lineRule="auto"/>
              <w:jc w:val="center"/>
              <w:rPr>
                <w:rFonts w:ascii="Calibri" w:hAnsi="Calibri"/>
                <w:noProof/>
              </w:rPr>
            </w:pPr>
            <w:r>
              <w:rPr>
                <w:noProof/>
              </w:rPr>
              <w:t>Trimestre</w:t>
            </w:r>
          </w:p>
        </w:tc>
        <w:tc>
          <w:tcPr>
            <w:tcW w:w="649" w:type="dxa"/>
            <w:tcBorders>
              <w:top w:val="nil"/>
              <w:left w:val="single" w:sz="8" w:space="0" w:color="000000" w:themeColor="text1"/>
              <w:bottom w:val="single" w:sz="8" w:space="0" w:color="000000" w:themeColor="text1"/>
              <w:right w:val="single" w:sz="4" w:space="0" w:color="auto"/>
            </w:tcBorders>
            <w:shd w:val="clear" w:color="auto" w:fill="BDD7EE"/>
            <w:vAlign w:val="center"/>
          </w:tcPr>
          <w:p w14:paraId="4377A3A8" w14:textId="77777777" w:rsidR="00025543" w:rsidRDefault="007E3A2F">
            <w:pPr>
              <w:pStyle w:val="P68B1DB1-Normal9"/>
              <w:spacing w:line="240" w:lineRule="auto"/>
              <w:jc w:val="center"/>
              <w:rPr>
                <w:rFonts w:ascii="Calibri" w:hAnsi="Calibri"/>
                <w:noProof/>
              </w:rPr>
            </w:pPr>
            <w:r>
              <w:rPr>
                <w:noProof/>
              </w:rPr>
              <w:t>Année</w:t>
            </w:r>
          </w:p>
        </w:tc>
        <w:tc>
          <w:tcPr>
            <w:tcW w:w="4898" w:type="dxa"/>
            <w:vMerge/>
            <w:tcBorders>
              <w:bottom w:val="single" w:sz="4" w:space="0" w:color="auto"/>
              <w:right w:val="single" w:sz="4" w:space="0" w:color="auto"/>
            </w:tcBorders>
            <w:vAlign w:val="center"/>
          </w:tcPr>
          <w:p w14:paraId="5FCE48BC" w14:textId="77777777" w:rsidR="00025543" w:rsidRDefault="00025543">
            <w:pPr>
              <w:spacing w:line="240" w:lineRule="auto"/>
              <w:rPr>
                <w:rFonts w:ascii="Calibri" w:hAnsi="Calibri"/>
                <w:noProof/>
                <w:sz w:val="18"/>
              </w:rPr>
            </w:pPr>
          </w:p>
        </w:tc>
      </w:tr>
      <w:tr w:rsidR="00025543" w14:paraId="475E17BF" w14:textId="77777777">
        <w:trPr>
          <w:trHeight w:val="315"/>
          <w:jc w:val="center"/>
        </w:trPr>
        <w:tc>
          <w:tcPr>
            <w:tcW w:w="67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4CB3BE1C" w14:textId="77777777" w:rsidR="00025543" w:rsidRDefault="007E3A2F">
            <w:pPr>
              <w:pStyle w:val="P68B1DB1-Normal15"/>
              <w:spacing w:line="240" w:lineRule="auto"/>
              <w:rPr>
                <w:noProof/>
              </w:rPr>
            </w:pPr>
            <w:r>
              <w:rPr>
                <w:noProof/>
              </w:rPr>
              <w:t xml:space="preserve"> 131</w:t>
            </w:r>
          </w:p>
        </w:tc>
        <w:tc>
          <w:tcPr>
            <w:tcW w:w="1191"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2691165C" w14:textId="77777777" w:rsidR="00025543" w:rsidRDefault="007E3A2F">
            <w:pPr>
              <w:pStyle w:val="P68B1DB1-Normal15"/>
              <w:spacing w:line="240" w:lineRule="auto"/>
              <w:rPr>
                <w:noProof/>
              </w:rPr>
            </w:pPr>
            <w:r>
              <w:rPr>
                <w:noProof/>
              </w:rPr>
              <w:t>Investissement 1: Protection contre les inondations</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27138743" w14:textId="77777777" w:rsidR="00025543" w:rsidRDefault="007E3A2F">
            <w:pPr>
              <w:pStyle w:val="P68B1DB1-Normal15"/>
              <w:spacing w:line="240" w:lineRule="auto"/>
              <w:rPr>
                <w:noProof/>
              </w:rPr>
            </w:pPr>
            <w:r>
              <w:rPr>
                <w:noProof/>
              </w:rPr>
              <w:t>Étapes</w:t>
            </w:r>
          </w:p>
        </w:tc>
        <w:tc>
          <w:tcPr>
            <w:tcW w:w="1409"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3338E5E4" w14:textId="77777777" w:rsidR="00025543" w:rsidRDefault="007E3A2F">
            <w:pPr>
              <w:pStyle w:val="P68B1DB1-Normal15"/>
              <w:spacing w:line="240" w:lineRule="auto"/>
              <w:rPr>
                <w:noProof/>
              </w:rPr>
            </w:pPr>
            <w:r>
              <w:rPr>
                <w:noProof/>
              </w:rPr>
              <w:t>Notification de l’attribution de contrats de protection contre les inondations</w:t>
            </w:r>
          </w:p>
        </w:tc>
        <w:tc>
          <w:tcPr>
            <w:tcW w:w="1127"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28D8196C" w14:textId="77777777" w:rsidR="00025543" w:rsidRDefault="007E3A2F">
            <w:pPr>
              <w:pStyle w:val="P68B1DB1-Normal15"/>
              <w:spacing w:line="240" w:lineRule="auto"/>
              <w:rPr>
                <w:noProof/>
              </w:rPr>
            </w:pPr>
            <w:r>
              <w:rPr>
                <w:noProof/>
              </w:rPr>
              <w:t>Notification des projets attribués et des soumissionnaires engagés par [nom de l’autorité de gestion]</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554038D" w14:textId="77777777" w:rsidR="00025543" w:rsidRDefault="007E3A2F">
            <w:pPr>
              <w:pStyle w:val="P68B1DB1-Normal15"/>
              <w:spacing w:line="240" w:lineRule="auto"/>
              <w:rPr>
                <w:noProof/>
              </w:rPr>
            </w:pPr>
            <w:r>
              <w:rPr>
                <w:noProof/>
              </w:rPr>
              <w:t xml:space="preserve"> </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318FE5C" w14:textId="77777777" w:rsidR="00025543" w:rsidRDefault="007E3A2F">
            <w:pPr>
              <w:pStyle w:val="P68B1DB1-Normal15"/>
              <w:spacing w:line="240" w:lineRule="auto"/>
              <w:rPr>
                <w:noProof/>
              </w:rPr>
            </w:pPr>
            <w:r>
              <w:rPr>
                <w:noProof/>
              </w:rPr>
              <w:t xml:space="preserve"> </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0E2C37F" w14:textId="77777777" w:rsidR="00025543" w:rsidRDefault="007E3A2F">
            <w:pPr>
              <w:pStyle w:val="P68B1DB1-Normal15"/>
              <w:spacing w:line="240" w:lineRule="auto"/>
              <w:rPr>
                <w:noProof/>
              </w:rPr>
            </w:pPr>
            <w:r>
              <w:rPr>
                <w:noProof/>
              </w:rPr>
              <w:t xml:space="preserve"> </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672C232" w14:textId="77777777" w:rsidR="00025543" w:rsidRDefault="007E3A2F">
            <w:pPr>
              <w:pStyle w:val="P68B1DB1-Normal15"/>
              <w:spacing w:line="259" w:lineRule="auto"/>
              <w:rPr>
                <w:noProof/>
              </w:rPr>
            </w:pPr>
            <w:r>
              <w:rPr>
                <w:noProof/>
              </w:rPr>
              <w:t>TRIMESTRE 1</w:t>
            </w: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B90C7AA" w14:textId="77777777" w:rsidR="00025543" w:rsidRDefault="007E3A2F">
            <w:pPr>
              <w:pStyle w:val="P68B1DB1-Normal15"/>
              <w:spacing w:line="240" w:lineRule="auto"/>
              <w:rPr>
                <w:noProof/>
              </w:rPr>
            </w:pPr>
            <w:r>
              <w:rPr>
                <w:noProof/>
              </w:rPr>
              <w:t xml:space="preserve">2022 </w:t>
            </w:r>
          </w:p>
        </w:tc>
        <w:tc>
          <w:tcPr>
            <w:tcW w:w="4898"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3C4893E2" w14:textId="77777777" w:rsidR="00025543" w:rsidRDefault="007E3A2F">
            <w:pPr>
              <w:pStyle w:val="P68B1DB1-Normal15"/>
              <w:spacing w:line="240" w:lineRule="auto"/>
              <w:jc w:val="both"/>
              <w:rPr>
                <w:noProof/>
              </w:rPr>
            </w:pPr>
            <w:r>
              <w:rPr>
                <w:noProof/>
              </w:rPr>
              <w:t xml:space="preserve">Notification des projets de protection contre les inondations attribués (nombre total de projets: 40). Pour chaque projet, le respect intégral des exigences de la directive-cadre sur l’eau doit être garanti et démontré avant le début de tout ouvrage de construction. </w:t>
            </w:r>
          </w:p>
        </w:tc>
      </w:tr>
      <w:tr w:rsidR="00025543" w14:paraId="4E9DD06D" w14:textId="77777777">
        <w:trPr>
          <w:trHeight w:val="671"/>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FC1E1A2" w14:textId="77777777" w:rsidR="00025543" w:rsidRDefault="007E3A2F">
            <w:pPr>
              <w:pStyle w:val="P68B1DB1-Normal15"/>
              <w:spacing w:line="240" w:lineRule="auto"/>
              <w:rPr>
                <w:noProof/>
              </w:rPr>
            </w:pPr>
            <w:r>
              <w:rPr>
                <w:noProof/>
              </w:rPr>
              <w:t>132</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BFA0F98" w14:textId="77777777" w:rsidR="00025543" w:rsidRDefault="007E3A2F">
            <w:pPr>
              <w:pStyle w:val="P68B1DB1-Normal15"/>
              <w:spacing w:line="240" w:lineRule="auto"/>
              <w:rPr>
                <w:noProof/>
              </w:rPr>
            </w:pPr>
            <w:r>
              <w:rPr>
                <w:noProof/>
              </w:rPr>
              <w:t>Investissement 1: Protection contre les inondations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3350AEA" w14:textId="77777777" w:rsidR="00025543" w:rsidRDefault="007E3A2F">
            <w:pPr>
              <w:pStyle w:val="P68B1DB1-Normal15"/>
              <w:spacing w:line="240" w:lineRule="auto"/>
              <w:rPr>
                <w:noProof/>
              </w:rPr>
            </w:pPr>
            <w:r>
              <w:rPr>
                <w:noProof/>
              </w:rPr>
              <w:t>Cible</w:t>
            </w:r>
          </w:p>
        </w:tc>
        <w:tc>
          <w:tcPr>
            <w:tcW w:w="14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4F0A4E6" w14:textId="13609591" w:rsidR="00025543" w:rsidRDefault="007E3A2F">
            <w:pPr>
              <w:pStyle w:val="P68B1DB1-Normal15"/>
              <w:spacing w:line="240" w:lineRule="auto"/>
              <w:rPr>
                <w:noProof/>
              </w:rPr>
            </w:pPr>
            <w:r>
              <w:rPr>
                <w:noProof/>
              </w:rPr>
              <w:t>T1: Achèvement de 15 projets visant à mettre en place une protection résiliente contre les inondations.</w:t>
            </w: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EF2E8FE" w14:textId="77777777" w:rsidR="00025543" w:rsidRDefault="00025543">
            <w:pPr>
              <w:spacing w:line="240" w:lineRule="auto"/>
              <w:rPr>
                <w:rFonts w:eastAsia="Times New Roman"/>
                <w:noProof/>
                <w:color w:val="0043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7E11F29" w14:textId="77777777" w:rsidR="00025543" w:rsidRDefault="007E3A2F">
            <w:pPr>
              <w:pStyle w:val="P68B1DB1-Normal15"/>
              <w:spacing w:line="240" w:lineRule="auto"/>
              <w:rPr>
                <w:noProof/>
              </w:rPr>
            </w:pPr>
            <w:r>
              <w:rPr>
                <w:noProof/>
              </w:rPr>
              <w:t>Nombre de projets</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27514ED" w14:textId="77777777" w:rsidR="00025543" w:rsidRDefault="007E3A2F">
            <w:pPr>
              <w:pStyle w:val="P68B1DB1-Normal15"/>
              <w:spacing w:line="240" w:lineRule="auto"/>
              <w:rPr>
                <w:noProof/>
              </w:rPr>
            </w:pPr>
            <w:r>
              <w:rPr>
                <w:noProof/>
              </w:rPr>
              <w:t xml:space="preserve"> 0</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0B0A84E" w14:textId="03DA583E" w:rsidR="00025543" w:rsidRDefault="007E3A2F">
            <w:pPr>
              <w:pStyle w:val="P68B1DB1-Normal15"/>
              <w:spacing w:line="240" w:lineRule="auto"/>
              <w:rPr>
                <w:noProof/>
              </w:rPr>
            </w:pPr>
            <w:r>
              <w:rPr>
                <w:noProof/>
              </w:rPr>
              <w:t xml:space="preserve"> 15</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4359ADE" w14:textId="77777777" w:rsidR="00025543" w:rsidRDefault="007E3A2F">
            <w:pPr>
              <w:pStyle w:val="P68B1DB1-Normal15"/>
              <w:spacing w:line="240" w:lineRule="auto"/>
              <w:rPr>
                <w:noProof/>
              </w:rPr>
            </w:pPr>
            <w:r>
              <w:rPr>
                <w:noProof/>
              </w:rPr>
              <w:t>TRIMESTRE 4</w:t>
            </w: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7830B05" w14:textId="6A77EDE8" w:rsidR="00025543" w:rsidRDefault="007E3A2F">
            <w:pPr>
              <w:pStyle w:val="P68B1DB1-Normal15"/>
              <w:spacing w:line="240" w:lineRule="auto"/>
              <w:rPr>
                <w:noProof/>
              </w:rPr>
            </w:pPr>
            <w:r>
              <w:rPr>
                <w:noProof/>
              </w:rPr>
              <w:t xml:space="preserve">2022 </w:t>
            </w:r>
          </w:p>
        </w:tc>
        <w:tc>
          <w:tcPr>
            <w:tcW w:w="48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94A8686" w14:textId="6F058261" w:rsidR="00025543" w:rsidRDefault="007E3A2F">
            <w:pPr>
              <w:pStyle w:val="P68B1DB1-Normal15"/>
              <w:spacing w:line="240" w:lineRule="auto"/>
              <w:jc w:val="both"/>
              <w:rPr>
                <w:noProof/>
              </w:rPr>
            </w:pPr>
            <w:r>
              <w:rPr>
                <w:noProof/>
              </w:rPr>
              <w:t>Premier rapport d’achèvement établi par un ingénieur indépendant pour 15 projets énumérés. Conformément au plan d’action national pour l’adaptation au changement climatique et à la politique nationale de l’environnement en République tchèque 2030 en vue de 2050, les solutions fondées sur la nature doivent être privilégiées, tandis que la construction et/ou la rénovation d’infrastructures artificielles de protection contre les inondations à béton doivent être évitées autant que possible.</w:t>
            </w:r>
          </w:p>
          <w:p w14:paraId="7B1795FF" w14:textId="25E8A757" w:rsidR="00025543" w:rsidRDefault="007E3A2F">
            <w:pPr>
              <w:pStyle w:val="P68B1DB1-Normal15"/>
              <w:spacing w:line="240" w:lineRule="auto"/>
              <w:jc w:val="both"/>
              <w:rPr>
                <w:noProof/>
              </w:rPr>
            </w:pPr>
            <w:r>
              <w:rPr>
                <w:noProof/>
              </w:rPr>
              <w:t xml:space="preserve">Les projets énumérés ne sont mis en œuvre qu’une fois que les autorisations ont été délivrées par l’autorité compétente en matière d’eau sur la base d’une évaluation des incidences sur l’environnement, lorsque la directive 2011/92/UE l’exige, et des évaluations pertinentes dans le cadre de la directive 2000/60/CE. Ces permis évaluent toutes les incidences potentielles sur l’état des masses d’eau au sein d’un même bassin hydrographique et sur les habitats et espèces protégés directement tributaires de l’eau, en tenant compte en particulier des corridors de migration, des cours d’eau à courant libre ou des écosystèmes proches de conditions non perturbées, ainsi que des pressions actuelles liées au captage d’eau. L’analyse d’impact établit que le projet i) n’a pas d’incidence significative ou irréversible sur les masses d’eau concernées, ni n’empêche la masse d’eau spécifique à laquelle il se rapporte ni les autres masses d’eau du même bassin hydrographique d’atteindre un bon état ou un bon potentiel, et ii) n’a pas d’incidence négative significative sur les habitats et les espèces protégés directement tributaires de l’eau. Les projets contribuent à la réalisation d’un bon état ou d’un bon potentiel écologique des masses d’eau concernées conformément aux exigences de la directive 2000/60/CE relative à la directive-cadre sur l’eau. </w:t>
            </w:r>
          </w:p>
          <w:p w14:paraId="52E2573D" w14:textId="636C9C6E" w:rsidR="00025543" w:rsidRDefault="007E3A2F">
            <w:pPr>
              <w:pStyle w:val="P68B1DB1-Normal15"/>
              <w:spacing w:line="240" w:lineRule="auto"/>
              <w:jc w:val="both"/>
              <w:rPr>
                <w:noProof/>
              </w:rPr>
            </w:pPr>
            <w:r>
              <w:rPr>
                <w:noProof/>
              </w:rPr>
              <w:t xml:space="preserve">De même, tous les résultats et conditions nécessaires de l’évaluation des incidences sur l’environnement réalisée conformément à la directive 2011/92/UE doivent être respectés (en particulier la consultation des parties prenantes) ainsi que les évaluations pertinentes au titre de la directive «Habitats», comme le prévoient les conditions fixées par les autorités chargées de la protection de la nature. </w:t>
            </w:r>
          </w:p>
          <w:p w14:paraId="5039A5E3" w14:textId="749BB35B" w:rsidR="00025543" w:rsidRDefault="007E3A2F">
            <w:pPr>
              <w:pStyle w:val="P68B1DB1-Normal15"/>
              <w:spacing w:line="240" w:lineRule="auto"/>
              <w:jc w:val="both"/>
              <w:rPr>
                <w:noProof/>
              </w:rPr>
            </w:pPr>
            <w:r>
              <w:rPr>
                <w:noProof/>
              </w:rPr>
              <w:t>En ce qui concerne les projets visant à la reconstruction ou à la modernisation des barrages: la conception du projet intègre les résultats et conditions nécessaires de l’évaluation des incidences sur l’environnement, qui doit être achevée conformément à la directive 2011/92/UE, ainsi que les évaluations pertinentes dans le cadre de la directive 2000/60/CE, y compris la mise en œuvre des mesures d’atténuation requises, garantissant le respect des orientations techniques DNSH (2021/C58/01). Toute mesure jugée nécessaire dans le cadre de l’EIE et de l’évaluation au titre de la directive 2000/60/CE pour garantir le respect du principe consistant à «ne pas causer de préjudice important» est intégrée dans le projet et strictement respectée aux stades de la construction, de l’exploitation et du déclassement de l’infrastructure. Le rapport d’achèvement confirme le plein respect des résultats de l’EIE, y compris la mise en œuvre des mesures d’atténuation requises, garantissant le respect des orientations techniques DNSH (2021/C58/01). Une analyse des risques du projet est effectuée. Cette analyse des risques porte également sur les conditions climatiques futures. Aucune reconstruction ou modernisation n’entraîne une augmentation de la capacité du barrage.</w:t>
            </w:r>
          </w:p>
        </w:tc>
      </w:tr>
      <w:tr w:rsidR="00025543" w14:paraId="6BDED56E" w14:textId="77777777">
        <w:trPr>
          <w:trHeight w:val="109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751D312" w14:textId="77777777" w:rsidR="00025543" w:rsidRDefault="007E3A2F">
            <w:pPr>
              <w:pStyle w:val="P68B1DB1-Normal15"/>
              <w:spacing w:line="240" w:lineRule="auto"/>
              <w:rPr>
                <w:noProof/>
              </w:rPr>
            </w:pPr>
            <w:r>
              <w:rPr>
                <w:noProof/>
              </w:rPr>
              <w:t xml:space="preserve"> 133</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91B1B7A" w14:textId="77777777" w:rsidR="00025543" w:rsidRDefault="007E3A2F">
            <w:pPr>
              <w:pStyle w:val="P68B1DB1-Normal15"/>
              <w:spacing w:line="240" w:lineRule="auto"/>
              <w:rPr>
                <w:noProof/>
              </w:rPr>
            </w:pPr>
            <w:r>
              <w:rPr>
                <w:noProof/>
              </w:rPr>
              <w:t>Investissement 1: Protection contre les inondations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FF9EB2A" w14:textId="77777777" w:rsidR="00025543" w:rsidRDefault="007E3A2F">
            <w:pPr>
              <w:pStyle w:val="P68B1DB1-Normal15"/>
              <w:spacing w:line="240" w:lineRule="auto"/>
              <w:rPr>
                <w:noProof/>
              </w:rPr>
            </w:pPr>
            <w:r>
              <w:rPr>
                <w:noProof/>
              </w:rPr>
              <w:t xml:space="preserve">Cible </w:t>
            </w:r>
          </w:p>
        </w:tc>
        <w:tc>
          <w:tcPr>
            <w:tcW w:w="14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1BF8DEA" w14:textId="74C7B808" w:rsidR="00025543" w:rsidRDefault="007E3A2F">
            <w:pPr>
              <w:pStyle w:val="P68B1DB1-Normal15"/>
              <w:spacing w:line="240" w:lineRule="auto"/>
              <w:rPr>
                <w:noProof/>
              </w:rPr>
            </w:pPr>
            <w:r>
              <w:rPr>
                <w:noProof/>
              </w:rPr>
              <w:t xml:space="preserve">T2: Achèvement de 23 projets supplémentaires visant à mettre en place une protection résiliente contre les inondations. </w:t>
            </w: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CB413CF" w14:textId="77777777" w:rsidR="00025543" w:rsidRDefault="00025543">
            <w:pPr>
              <w:spacing w:line="240" w:lineRule="auto"/>
              <w:rPr>
                <w:rFonts w:eastAsia="Times New Roman"/>
                <w:noProof/>
                <w:color w:val="0043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368E92F" w14:textId="77777777" w:rsidR="00025543" w:rsidRDefault="007E3A2F">
            <w:pPr>
              <w:pStyle w:val="P68B1DB1-Normal15"/>
              <w:spacing w:line="257" w:lineRule="auto"/>
              <w:rPr>
                <w:noProof/>
              </w:rPr>
            </w:pPr>
            <w:r>
              <w:rPr>
                <w:noProof/>
              </w:rPr>
              <w:t xml:space="preserve"> Nombre de projets </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AC662A8" w14:textId="73CA5BC6" w:rsidR="00025543" w:rsidRDefault="007E3A2F">
            <w:pPr>
              <w:pStyle w:val="P68B1DB1-Normal15"/>
              <w:spacing w:line="240" w:lineRule="auto"/>
              <w:rPr>
                <w:noProof/>
              </w:rPr>
            </w:pPr>
            <w:r>
              <w:rPr>
                <w:noProof/>
              </w:rPr>
              <w:t xml:space="preserve">15 </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7C36B71" w14:textId="352FB943" w:rsidR="00025543" w:rsidRDefault="007E3A2F">
            <w:pPr>
              <w:pStyle w:val="P68B1DB1-Normal15"/>
              <w:spacing w:line="240" w:lineRule="auto"/>
              <w:rPr>
                <w:noProof/>
              </w:rPr>
            </w:pPr>
            <w:r>
              <w:rPr>
                <w:noProof/>
              </w:rPr>
              <w:t xml:space="preserve"> 38</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EFDD8E5" w14:textId="77777777" w:rsidR="00025543" w:rsidRDefault="007E3A2F">
            <w:pPr>
              <w:pStyle w:val="P68B1DB1-Normal15"/>
              <w:spacing w:line="240" w:lineRule="auto"/>
              <w:rPr>
                <w:noProof/>
              </w:rPr>
            </w:pPr>
            <w:r>
              <w:rPr>
                <w:noProof/>
              </w:rPr>
              <w:t>TRIMESTRE 4</w:t>
            </w: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B769300" w14:textId="02E2FC69" w:rsidR="00025543" w:rsidRDefault="007E3A2F">
            <w:pPr>
              <w:pStyle w:val="P68B1DB1-Normal15"/>
              <w:spacing w:line="240" w:lineRule="auto"/>
              <w:rPr>
                <w:noProof/>
              </w:rPr>
            </w:pPr>
            <w:r>
              <w:rPr>
                <w:noProof/>
              </w:rPr>
              <w:t>2024</w:t>
            </w:r>
          </w:p>
        </w:tc>
        <w:tc>
          <w:tcPr>
            <w:tcW w:w="48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EF21741" w14:textId="20CB8B5D" w:rsidR="00025543" w:rsidRDefault="007E3A2F">
            <w:pPr>
              <w:pStyle w:val="P68B1DB1-Normal15"/>
              <w:spacing w:line="240" w:lineRule="auto"/>
              <w:jc w:val="both"/>
              <w:rPr>
                <w:noProof/>
              </w:rPr>
            </w:pPr>
            <w:r>
              <w:rPr>
                <w:noProof/>
              </w:rPr>
              <w:t>Deuxième rapport d’achèvement établi par un ingénieur indépendant pour 23 projets supplémentaires énumérés. Conformément au plan d’action national pour l’adaptation au changement climatique et à la politique nationale de l’environnement en République tchèque 2030 en vue de 2050, les solutions fondées sur la nature doivent être privilégiées, tandis que la construction et/ou la rénovation d’infrastructures artificielles de protection contre les inondations à béton doivent être évitées autant que possible.</w:t>
            </w:r>
          </w:p>
          <w:p w14:paraId="0872F18F" w14:textId="4068ACF4" w:rsidR="00025543" w:rsidRDefault="007E3A2F">
            <w:pPr>
              <w:pStyle w:val="P68B1DB1-Normal15"/>
              <w:spacing w:line="240" w:lineRule="auto"/>
              <w:jc w:val="both"/>
              <w:rPr>
                <w:noProof/>
              </w:rPr>
            </w:pPr>
            <w:r>
              <w:rPr>
                <w:noProof/>
              </w:rPr>
              <w:t>Les projets énumérés ne sont mis en œuvre qu’une fois que les autorisations ont été délivrées par l’autorité compétente en matière d’eau sur la base d’une évaluation des incidences sur l’environnement, si nécessaire conformément à la directive 2011/92/UE, et des évaluations pertinentes dans le cadre de la directive 2000/60/CE. Ces permis évaluent toutes les incidences potentielles sur l’état des masses d’eau au sein d’un même bassin hydrographique et sur les habitats et espèces protégés qui dépendent directement de l’eau, en tenant compte en particulier des corridors de migration, des cours d’eau à courant libre ou des écosystèmes proches de conditions non perturbées, ainsi que des pressions actuelles liées au captage d’eau. L’analyse d’impact établit que le projet i) n’a pas d’incidence significative ou irréversible sur les masses d’eau concernées, ni n’empêche la masse d’eau spécifique à laquelle il se rapporte ni les autres masses d’eau du même bassin hydrographique d’atteindre un bon état ou un bon potentiel, et ii) n’a pas d’incidence négative significative sur les habitats protégés et les espèces directement tributaires de l’eau. Les projets contribuent à la réalisation d’un bon état ou d’un bon potentiel écologique des masses d’eau concernées conformément aux exigences de la directive 2000/60/CE relative à la directive-cadre sur l’eau.</w:t>
            </w:r>
          </w:p>
          <w:p w14:paraId="3CA99F5D" w14:textId="0ABFD0C1" w:rsidR="00025543" w:rsidRDefault="007E3A2F">
            <w:pPr>
              <w:pStyle w:val="P68B1DB1-Normal15"/>
              <w:spacing w:line="240" w:lineRule="auto"/>
              <w:jc w:val="both"/>
              <w:rPr>
                <w:noProof/>
              </w:rPr>
            </w:pPr>
            <w:r>
              <w:rPr>
                <w:noProof/>
              </w:rPr>
              <w:t xml:space="preserve">De même, tous les résultats et conditions nécessaires de l’évaluation des incidences sur l’environnement réalisée conformément à la directive 2011/92/UE doivent être respectés (en particulier la consultation des parties prenantes), ainsi que les évaluations pertinentes au titre de la directive «Habitats», telles qu’elles figurent dans les conditions fixées par les autorités chargées de la protection de la nature. </w:t>
            </w:r>
          </w:p>
          <w:p w14:paraId="52539743" w14:textId="7BB833DB" w:rsidR="00025543" w:rsidRDefault="007E3A2F">
            <w:pPr>
              <w:pStyle w:val="P68B1DB1-Normal15"/>
              <w:spacing w:line="240" w:lineRule="auto"/>
              <w:jc w:val="both"/>
              <w:rPr>
                <w:noProof/>
              </w:rPr>
            </w:pPr>
            <w:r>
              <w:rPr>
                <w:noProof/>
              </w:rPr>
              <w:t>En ce qui concerne les projets visant à la reconstruction ou à la modernisation des barrages: la conception du projet intègre les résultats et conditions nécessaires de l’évaluation des incidences sur l’environnement, qui doit être achevée conformément à la directive 2011/92/UE, ainsi que les évaluations pertinentes dans le cadre de la directive 2000/60/CE, y compris la mise en œuvre des mesures d’atténuation requises, garantissant le respect des orientations techniques DNSH (2021/C58/01). Toute mesure jugée nécessaire dans le cadre de l’EIE et de l’évaluation au titre de la directive 2000/60/CE pour garantir le respect du principe consistant à «ne pas causer de préjudice important» est intégrée dans le projet et strictement respectée aux stades de la construction, de l’exploitation et du déclassement de l’infrastructure. Le rapport d’achèvement confirme le plein respect des résultats de l’EIE, y compris la mise en œuvre des mesures d’atténuation requises, garantissant le respect des orientations techniques DNSH (2021/C58/01). Une analyse des risques du projet est effectuée. Cette analyse des risques porte également sur les conditions climatiques futures. Aucune reconstruction ou modernisation n’entraîne une augmentation de la capacité du barrage.</w:t>
            </w:r>
          </w:p>
        </w:tc>
      </w:tr>
      <w:tr w:rsidR="00025543" w14:paraId="092A7CDC" w14:textId="77777777">
        <w:trPr>
          <w:trHeight w:val="109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EAED2F9" w14:textId="77777777" w:rsidR="00025543" w:rsidRDefault="007E3A2F">
            <w:pPr>
              <w:pStyle w:val="P68B1DB1-Normal15"/>
              <w:spacing w:line="240" w:lineRule="auto"/>
              <w:rPr>
                <w:noProof/>
              </w:rPr>
            </w:pPr>
            <w:r>
              <w:rPr>
                <w:noProof/>
              </w:rPr>
              <w:t>134</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3E07797" w14:textId="77777777" w:rsidR="00025543" w:rsidRDefault="007E3A2F">
            <w:pPr>
              <w:pStyle w:val="P68B1DB1-Normal15"/>
              <w:spacing w:line="240" w:lineRule="auto"/>
              <w:rPr>
                <w:noProof/>
              </w:rPr>
            </w:pPr>
            <w:r>
              <w:rPr>
                <w:noProof/>
              </w:rPr>
              <w:t>Investissement 2: Petits cours d’eau et réservoirs d’eau</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558D398" w14:textId="77777777" w:rsidR="00025543" w:rsidRDefault="007E3A2F">
            <w:pPr>
              <w:pStyle w:val="P68B1DB1-Normal15"/>
              <w:spacing w:line="240" w:lineRule="auto"/>
              <w:rPr>
                <w:noProof/>
              </w:rPr>
            </w:pPr>
            <w:r>
              <w:rPr>
                <w:noProof/>
              </w:rPr>
              <w:t>Étapes</w:t>
            </w:r>
          </w:p>
        </w:tc>
        <w:tc>
          <w:tcPr>
            <w:tcW w:w="14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BBA2BE3" w14:textId="77777777" w:rsidR="00025543" w:rsidRDefault="007E3A2F">
            <w:pPr>
              <w:pStyle w:val="P68B1DB1-Normal15"/>
              <w:spacing w:line="240" w:lineRule="auto"/>
              <w:rPr>
                <w:noProof/>
              </w:rPr>
            </w:pPr>
            <w:r>
              <w:rPr>
                <w:noProof/>
              </w:rPr>
              <w:t>Présentation par le ministère de l’agriculture de la liste des projets à soutenir au titre de l’investissement 2</w:t>
            </w: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03269BF" w14:textId="77777777" w:rsidR="00025543" w:rsidRDefault="007E3A2F">
            <w:pPr>
              <w:pStyle w:val="P68B1DB1-Normal15"/>
              <w:spacing w:line="240" w:lineRule="auto"/>
              <w:rPr>
                <w:noProof/>
              </w:rPr>
            </w:pPr>
            <w:r>
              <w:rPr>
                <w:noProof/>
              </w:rPr>
              <w:t xml:space="preserve">Présentation de la liste des projets à soutenir au titre de l’investissement 2 </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90FACC3" w14:textId="77777777" w:rsidR="00025543" w:rsidRDefault="007E3A2F">
            <w:pPr>
              <w:pStyle w:val="P68B1DB1-Normal15"/>
              <w:spacing w:line="257" w:lineRule="auto"/>
              <w:rPr>
                <w:noProof/>
              </w:rPr>
            </w:pPr>
            <w:r>
              <w:rPr>
                <w:noProof/>
              </w:rPr>
              <w:t xml:space="preserve"> </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9638FBA" w14:textId="77777777" w:rsidR="00025543" w:rsidRDefault="007E3A2F">
            <w:pPr>
              <w:pStyle w:val="P68B1DB1-Normal15"/>
              <w:spacing w:line="240" w:lineRule="auto"/>
              <w:rPr>
                <w:noProof/>
              </w:rPr>
            </w:pPr>
            <w:r>
              <w:rPr>
                <w:noProof/>
              </w:rPr>
              <w:t xml:space="preserve"> </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B8DB913" w14:textId="77777777" w:rsidR="00025543" w:rsidRDefault="007E3A2F">
            <w:pPr>
              <w:pStyle w:val="P68B1DB1-Normal15"/>
              <w:spacing w:line="240" w:lineRule="auto"/>
              <w:rPr>
                <w:noProof/>
              </w:rPr>
            </w:pPr>
            <w:r>
              <w:rPr>
                <w:noProof/>
              </w:rPr>
              <w:t xml:space="preserve"> </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701D3F6" w14:textId="77777777" w:rsidR="00025543" w:rsidRDefault="007E3A2F">
            <w:pPr>
              <w:pStyle w:val="P68B1DB1-Normal15"/>
              <w:spacing w:line="240" w:lineRule="auto"/>
              <w:rPr>
                <w:noProof/>
              </w:rPr>
            </w:pPr>
            <w:r>
              <w:rPr>
                <w:noProof/>
              </w:rPr>
              <w:t>TRIMESTRE 3</w:t>
            </w: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C2D57D5" w14:textId="77777777" w:rsidR="00025543" w:rsidRDefault="007E3A2F">
            <w:pPr>
              <w:pStyle w:val="P68B1DB1-Normal15"/>
              <w:spacing w:line="240" w:lineRule="auto"/>
              <w:rPr>
                <w:noProof/>
              </w:rPr>
            </w:pPr>
            <w:r>
              <w:rPr>
                <w:noProof/>
              </w:rPr>
              <w:t>2021</w:t>
            </w:r>
          </w:p>
        </w:tc>
        <w:tc>
          <w:tcPr>
            <w:tcW w:w="48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28F93EA" w14:textId="77777777" w:rsidR="00025543" w:rsidRDefault="007E3A2F">
            <w:pPr>
              <w:pStyle w:val="P68B1DB1-Normal15"/>
              <w:spacing w:line="240" w:lineRule="auto"/>
              <w:jc w:val="both"/>
              <w:rPr>
                <w:noProof/>
              </w:rPr>
            </w:pPr>
            <w:r>
              <w:rPr>
                <w:noProof/>
              </w:rPr>
              <w:t xml:space="preserve">Le ministère de l’agriculture soumet à la Commission une base de données comprenant l’identification des projets, une brève description et un calendrier d’exécution. Les projets consistent en la construction et la reconstruction de petits réservoirs d’eau dans toute la République tchèque. La conception des projets intègre les résultats et conditions nécessaires de l’évaluation des incidences sur l’environnement, qui doit être réalisée conformément à la directive 2011/92/UE, ainsi que des évaluations pertinentes dans le cadre de la directive 2000/60/CE et de la directive 92/43/EE du Conseil. </w:t>
            </w:r>
          </w:p>
        </w:tc>
      </w:tr>
      <w:tr w:rsidR="00025543" w14:paraId="7CD80070" w14:textId="77777777">
        <w:trPr>
          <w:trHeight w:val="109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E04B959" w14:textId="77777777" w:rsidR="00025543" w:rsidRDefault="007E3A2F">
            <w:pPr>
              <w:pStyle w:val="P68B1DB1-Normal15"/>
              <w:spacing w:line="240" w:lineRule="auto"/>
              <w:rPr>
                <w:noProof/>
              </w:rPr>
            </w:pPr>
            <w:r>
              <w:rPr>
                <w:noProof/>
              </w:rPr>
              <w:t>135</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647525D" w14:textId="77777777" w:rsidR="00025543" w:rsidRDefault="007E3A2F">
            <w:pPr>
              <w:pStyle w:val="P68B1DB1-Normal15"/>
              <w:spacing w:line="240" w:lineRule="auto"/>
              <w:rPr>
                <w:noProof/>
              </w:rPr>
            </w:pPr>
            <w:r>
              <w:rPr>
                <w:noProof/>
              </w:rPr>
              <w:t>Investissement 2: Petits cours d’eau et réservoirs d’eau</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92F9B1F" w14:textId="77777777" w:rsidR="00025543" w:rsidRDefault="007E3A2F">
            <w:pPr>
              <w:pStyle w:val="P68B1DB1-Normal15"/>
              <w:spacing w:line="240" w:lineRule="auto"/>
              <w:rPr>
                <w:noProof/>
              </w:rPr>
            </w:pPr>
            <w:r>
              <w:rPr>
                <w:noProof/>
              </w:rPr>
              <w:t xml:space="preserve">Cible </w:t>
            </w:r>
          </w:p>
        </w:tc>
        <w:tc>
          <w:tcPr>
            <w:tcW w:w="14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25EA5DE" w14:textId="77777777" w:rsidR="00025543" w:rsidRDefault="007E3A2F">
            <w:pPr>
              <w:pStyle w:val="P68B1DB1-Normal15"/>
              <w:spacing w:line="240" w:lineRule="auto"/>
              <w:rPr>
                <w:noProof/>
              </w:rPr>
            </w:pPr>
            <w:r>
              <w:rPr>
                <w:noProof/>
              </w:rPr>
              <w:t xml:space="preserve">T1: Achèvement de 50 % des projets relatifs aux petits cours d’eau et réservoirs d’eau </w:t>
            </w: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40DF292" w14:textId="77777777" w:rsidR="00025543" w:rsidRDefault="00025543">
            <w:pPr>
              <w:spacing w:line="240" w:lineRule="auto"/>
              <w:rPr>
                <w:rFonts w:eastAsia="Times New Roman"/>
                <w:noProof/>
                <w:color w:val="0043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61F7202" w14:textId="77777777" w:rsidR="00025543" w:rsidRDefault="007E3A2F">
            <w:pPr>
              <w:pStyle w:val="P68B1DB1-Normal15"/>
              <w:spacing w:line="257" w:lineRule="auto"/>
              <w:rPr>
                <w:noProof/>
              </w:rPr>
            </w:pPr>
            <w:r>
              <w:rPr>
                <w:noProof/>
              </w:rPr>
              <w:t xml:space="preserve"> Nombre de projets </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F656C38" w14:textId="77777777" w:rsidR="00025543" w:rsidRDefault="007E3A2F">
            <w:pPr>
              <w:pStyle w:val="P68B1DB1-Normal15"/>
              <w:spacing w:line="240" w:lineRule="auto"/>
              <w:rPr>
                <w:noProof/>
              </w:rPr>
            </w:pPr>
            <w:r>
              <w:rPr>
                <w:noProof/>
              </w:rPr>
              <w:t xml:space="preserve"> 0</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0F55F19" w14:textId="77777777" w:rsidR="00025543" w:rsidRDefault="007E3A2F">
            <w:pPr>
              <w:pStyle w:val="P68B1DB1-Normal15"/>
              <w:spacing w:line="240" w:lineRule="auto"/>
              <w:rPr>
                <w:noProof/>
              </w:rPr>
            </w:pPr>
            <w:r>
              <w:rPr>
                <w:noProof/>
              </w:rPr>
              <w:t xml:space="preserve"> 450</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04E0D80" w14:textId="77777777" w:rsidR="00025543" w:rsidRDefault="007E3A2F">
            <w:pPr>
              <w:pStyle w:val="P68B1DB1-Normal15"/>
              <w:spacing w:line="240" w:lineRule="auto"/>
              <w:rPr>
                <w:noProof/>
              </w:rPr>
            </w:pPr>
            <w:r>
              <w:rPr>
                <w:noProof/>
              </w:rPr>
              <w:t>TRIMESTRE 2</w:t>
            </w: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D68A74D" w14:textId="77777777" w:rsidR="00025543" w:rsidRDefault="007E3A2F">
            <w:pPr>
              <w:pStyle w:val="P68B1DB1-Normal15"/>
              <w:spacing w:line="240" w:lineRule="auto"/>
              <w:rPr>
                <w:noProof/>
              </w:rPr>
            </w:pPr>
            <w:r>
              <w:rPr>
                <w:noProof/>
              </w:rPr>
              <w:t>2022</w:t>
            </w:r>
          </w:p>
        </w:tc>
        <w:tc>
          <w:tcPr>
            <w:tcW w:w="48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2E71537" w14:textId="77777777" w:rsidR="00025543" w:rsidRDefault="007E3A2F">
            <w:pPr>
              <w:pStyle w:val="P68B1DB1-Normal15"/>
              <w:spacing w:line="240" w:lineRule="auto"/>
              <w:jc w:val="both"/>
              <w:rPr>
                <w:noProof/>
              </w:rPr>
            </w:pPr>
            <w:r>
              <w:rPr>
                <w:noProof/>
              </w:rPr>
              <w:t>Rapport d’achèvement par un ingénieur indépendant pour 50 % des projets. Conformément au plan d’action national pour l’adaptation au changement climatique et à la politique nationale de l’environnement en République tchèque 2030 en vue de 2050, les solutions fondées sur la nature doivent être privilégiées, tandis que la construction et/ou la rénovation d’infrastructures artificielles de protection contre les inondations à béton doivent être évitées autant que possible.</w:t>
            </w:r>
          </w:p>
          <w:p w14:paraId="2625D837" w14:textId="0EC873D7" w:rsidR="00025543" w:rsidRDefault="007E3A2F">
            <w:pPr>
              <w:pStyle w:val="P68B1DB1-Normal15"/>
              <w:spacing w:line="240" w:lineRule="auto"/>
              <w:jc w:val="both"/>
              <w:rPr>
                <w:noProof/>
              </w:rPr>
            </w:pPr>
            <w:r>
              <w:rPr>
                <w:noProof/>
              </w:rPr>
              <w:t>Les projets ne sont mis en œuvre qu’une fois que les autorisations ont été accordées par l’autorité compétente en matière d’eau sur la base d’une évaluation des incidences sur l’environnement et d’évaluations pertinentes dans le cadre de la directive 2000/60/CE. Ces permis évaluent toutes les incidences potentielles sur l’état des masses d’eau au sein d’un même bassin hydrographique et sur les habitats et espèces protégés qui dépendent directement de l’eau, en tenant compte en particulier des corridors de migration, des cours d’eau à courant libre ou des écosystèmes proches de conditions non perturbées, ainsi que des pressions actuelles liées au captage d’eau. L’analyse d’impact établit que le projet i) n’a pas d’incidence significative ou irréversible sur les masses d’eau concernées, ni n’empêche la masse d’eau spécifique à laquelle il se rapporte ni les autres masses d’eau du même bassin hydrographique d’atteindre un bon état ou un bon potentiel, et ii) n’a pas d’incidence négative significative sur les habitats protégés et les espèces directement tributaires de l’eau. Un bon état/potentiel écologique des masses d’eau concernées conformément aux exigences de la directive 2000/60/CE relative à la directive-cadre sur l’eau a été atteint et attesté par les données pertinentes les plus récentes.</w:t>
            </w:r>
          </w:p>
          <w:p w14:paraId="14E48BED" w14:textId="77777777" w:rsidR="00025543" w:rsidRDefault="007E3A2F">
            <w:pPr>
              <w:pStyle w:val="P68B1DB1-Normal15"/>
              <w:spacing w:line="240" w:lineRule="auto"/>
              <w:jc w:val="both"/>
              <w:rPr>
                <w:noProof/>
              </w:rPr>
            </w:pPr>
            <w:r>
              <w:rPr>
                <w:noProof/>
              </w:rPr>
              <w:t xml:space="preserve">De même, tous les résultats et conditions nécessaires de l’évaluation des incidences sur l’environnement, qui doit être achevée conformément à la directive 2011/92/UE, doivent être respectés (en particulier la consultation des parties prenantes), ainsi que les évaluations pertinentes au titre de la directive «Habitats», telles qu’elles figurent dans les conditions fixées par les autorités chargées de la protection de la nature. </w:t>
            </w:r>
          </w:p>
          <w:p w14:paraId="1ED8C3B0" w14:textId="77777777" w:rsidR="00025543" w:rsidRDefault="007E3A2F">
            <w:pPr>
              <w:pStyle w:val="P68B1DB1-Normal15"/>
              <w:spacing w:line="240" w:lineRule="auto"/>
              <w:jc w:val="both"/>
              <w:rPr>
                <w:noProof/>
              </w:rPr>
            </w:pPr>
            <w:r>
              <w:rPr>
                <w:noProof/>
              </w:rPr>
              <w:t xml:space="preserve"> Dans le cas où les réservoirs d’eau sont destinés à l’irrigation, toute expansion du système d’irrigation existant (y compris par une utilisation accrue de l’eau, c’est-à-dire pas seulement une expansion physique), même par des méthodes plus efficaces, n’est pas soutenue lorsque les masses d’eau concernées (eaux de surface ou souterraines) sont ou sont censées (dans le contexte de l’intensification du changement climatique) être dans un état ou un potentiel inférieur à un bon état ou à un bon potentiel. </w:t>
            </w:r>
          </w:p>
        </w:tc>
      </w:tr>
      <w:tr w:rsidR="00025543" w14:paraId="39ED8763" w14:textId="77777777">
        <w:trPr>
          <w:trHeight w:val="109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595D029" w14:textId="77777777" w:rsidR="00025543" w:rsidRDefault="007E3A2F">
            <w:pPr>
              <w:pStyle w:val="P68B1DB1-Normal15"/>
              <w:spacing w:line="240" w:lineRule="auto"/>
              <w:rPr>
                <w:noProof/>
              </w:rPr>
            </w:pPr>
            <w:r>
              <w:rPr>
                <w:noProof/>
              </w:rPr>
              <w:t>136</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F5F77F4" w14:textId="77777777" w:rsidR="00025543" w:rsidRDefault="007E3A2F">
            <w:pPr>
              <w:pStyle w:val="P68B1DB1-Normal15"/>
              <w:spacing w:line="240" w:lineRule="auto"/>
              <w:rPr>
                <w:noProof/>
              </w:rPr>
            </w:pPr>
            <w:r>
              <w:rPr>
                <w:noProof/>
              </w:rPr>
              <w:t xml:space="preserve">Investissement 2: Petits cours d’eau et réservoirs d’eau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C89BB48" w14:textId="77777777" w:rsidR="00025543" w:rsidRDefault="007E3A2F">
            <w:pPr>
              <w:pStyle w:val="P68B1DB1-Normal15"/>
              <w:spacing w:line="240" w:lineRule="auto"/>
              <w:rPr>
                <w:noProof/>
              </w:rPr>
            </w:pPr>
            <w:r>
              <w:rPr>
                <w:noProof/>
              </w:rPr>
              <w:t>Cible</w:t>
            </w:r>
          </w:p>
        </w:tc>
        <w:tc>
          <w:tcPr>
            <w:tcW w:w="14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AE2ABB8" w14:textId="77777777" w:rsidR="00025543" w:rsidRDefault="007E3A2F">
            <w:pPr>
              <w:pStyle w:val="P68B1DB1-Normal15"/>
              <w:spacing w:line="259" w:lineRule="auto"/>
              <w:rPr>
                <w:noProof/>
              </w:rPr>
            </w:pPr>
            <w:r>
              <w:rPr>
                <w:noProof/>
              </w:rPr>
              <w:t xml:space="preserve">T2: Achèvement de 50 % de petits cours d’eau et réservoirs d’eau supplémentaires </w:t>
            </w: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4E2A7B4" w14:textId="77777777" w:rsidR="00025543" w:rsidRDefault="007E3A2F">
            <w:pPr>
              <w:pStyle w:val="P68B1DB1-Normal15"/>
              <w:spacing w:line="240" w:lineRule="auto"/>
              <w:rPr>
                <w:noProof/>
              </w:rPr>
            </w:pPr>
            <w:r>
              <w:rPr>
                <w:noProof/>
              </w:rPr>
              <w:t xml:space="preserve"> </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64899F3" w14:textId="77777777" w:rsidR="00025543" w:rsidRDefault="007E3A2F">
            <w:pPr>
              <w:pStyle w:val="P68B1DB1-Normal15"/>
              <w:spacing w:line="257" w:lineRule="auto"/>
              <w:rPr>
                <w:noProof/>
              </w:rPr>
            </w:pPr>
            <w:r>
              <w:rPr>
                <w:noProof/>
              </w:rPr>
              <w:t xml:space="preserve"> Nombre de projets </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A46FF42" w14:textId="77777777" w:rsidR="00025543" w:rsidRDefault="007E3A2F">
            <w:pPr>
              <w:pStyle w:val="P68B1DB1-Normal15"/>
              <w:spacing w:line="240" w:lineRule="auto"/>
              <w:rPr>
                <w:noProof/>
              </w:rPr>
            </w:pPr>
            <w:r>
              <w:rPr>
                <w:noProof/>
              </w:rPr>
              <w:t xml:space="preserve">450 </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0BB43BE" w14:textId="77777777" w:rsidR="00025543" w:rsidRDefault="007E3A2F">
            <w:pPr>
              <w:pStyle w:val="P68B1DB1-Normal15"/>
              <w:spacing w:line="240" w:lineRule="auto"/>
              <w:rPr>
                <w:noProof/>
              </w:rPr>
            </w:pPr>
            <w:r>
              <w:rPr>
                <w:noProof/>
              </w:rPr>
              <w:t xml:space="preserve"> 900</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B22B5C8" w14:textId="77777777" w:rsidR="00025543" w:rsidRDefault="007E3A2F">
            <w:pPr>
              <w:pStyle w:val="P68B1DB1-Normal15"/>
              <w:spacing w:line="240" w:lineRule="auto"/>
              <w:rPr>
                <w:noProof/>
              </w:rPr>
            </w:pPr>
            <w:r>
              <w:rPr>
                <w:noProof/>
              </w:rPr>
              <w:t>TRIMESTRE 4</w:t>
            </w: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DA46065" w14:textId="77777777" w:rsidR="00025543" w:rsidRDefault="007E3A2F">
            <w:pPr>
              <w:pStyle w:val="P68B1DB1-Normal15"/>
              <w:spacing w:line="240" w:lineRule="auto"/>
              <w:rPr>
                <w:noProof/>
              </w:rPr>
            </w:pPr>
            <w:r>
              <w:rPr>
                <w:noProof/>
              </w:rPr>
              <w:t>2023</w:t>
            </w:r>
          </w:p>
        </w:tc>
        <w:tc>
          <w:tcPr>
            <w:tcW w:w="48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612D902" w14:textId="44E7DBC1" w:rsidR="00025543" w:rsidRDefault="007E3A2F">
            <w:pPr>
              <w:pStyle w:val="P68B1DB1-Normal15"/>
              <w:spacing w:line="240" w:lineRule="auto"/>
              <w:jc w:val="both"/>
              <w:rPr>
                <w:noProof/>
              </w:rPr>
            </w:pPr>
            <w:r>
              <w:rPr>
                <w:noProof/>
              </w:rPr>
              <w:t>Rapport d’achèvement établi par un ingénieur indépendant certifié par le ministère de l’agriculture pour les 50 % restants des projets. Conformément au plan d’action national pour l’adaptation au changement climatique et à la politique nationale de l’environnement en République tchèque 2030 en vue de 2050, les solutions fondées sur la nature doivent être privilégiées, tandis que la construction et/ou la rénovation d’infrastructures artificielles de protection contre les inondations à béton doivent être évitées autant que possible.</w:t>
            </w:r>
          </w:p>
          <w:p w14:paraId="0C1C0529" w14:textId="2F69DCFB" w:rsidR="00025543" w:rsidRDefault="007E3A2F">
            <w:pPr>
              <w:pStyle w:val="P68B1DB1-Normal15"/>
              <w:spacing w:line="240" w:lineRule="auto"/>
              <w:jc w:val="both"/>
              <w:rPr>
                <w:noProof/>
              </w:rPr>
            </w:pPr>
            <w:r>
              <w:rPr>
                <w:noProof/>
              </w:rPr>
              <w:t>Les projets ne sont mis en œuvre qu’une fois que les autorisations ont été accordées par l’autorité compétente en matière d’eau sur la base d’une évaluation des incidences sur l’environnement et d’évaluations pertinentes dans le cadre de la directive 2000/60/CE. Ces permis évaluent toutes les incidences potentielles sur l’état des masses d’eau au sein d’un même bassin hydrographique et sur les habitats et espèces protégés qui dépendent directement de l’eau, en tenant compte en particulier des corridors de migration, des cours d’eau à courant libre ou des écosystèmes proches de conditions non perturbées, ainsi que des pressions actuelles liées au captage d’eau. L’analyse d’impact établit que le projet i) n’a pas d’incidence significative ou irréversible sur les masses d’eau concernées, ni n’empêche la masse d’eau spécifique à laquelle il se rapporte ni les autres masses d’eau du même bassin hydrographique d’atteindre un bon état ou un bon potentiel, et ii) n’a pas d’incidence négative significative sur les habitats protégés et les espèces directement tributaires de l’eau.  Les projets contribuent à la réalisation d’un bon état ou d’un bon potentiel écologique des masses d’eau concernées conformément aux exigences de la directive 2000/60/CE relative à la directive-cadre sur l’eau.</w:t>
            </w:r>
          </w:p>
          <w:p w14:paraId="29FEAACC" w14:textId="0B4F480D" w:rsidR="00025543" w:rsidRDefault="007E3A2F">
            <w:pPr>
              <w:pStyle w:val="P68B1DB1-Normal15"/>
              <w:spacing w:line="240" w:lineRule="auto"/>
              <w:jc w:val="both"/>
              <w:rPr>
                <w:noProof/>
              </w:rPr>
            </w:pPr>
            <w:r>
              <w:rPr>
                <w:noProof/>
              </w:rPr>
              <w:t xml:space="preserve">De même, tous les résultats et conditions nécessaires de l’évaluation des incidences sur l’environnement réalisée conformément à la directive 2011/92/UE doivent être respectés (en particulier la consultation des parties prenantes), ainsi que les évaluations pertinentes au titre de la directive «Habitats», telles qu’elles figurent dans les conditions fixées par les autorités chargées de la protection de la nature. </w:t>
            </w:r>
          </w:p>
          <w:p w14:paraId="29EB10BA" w14:textId="77777777" w:rsidR="00025543" w:rsidRDefault="007E3A2F">
            <w:pPr>
              <w:pStyle w:val="P68B1DB1-Normal15"/>
              <w:spacing w:line="240" w:lineRule="auto"/>
              <w:jc w:val="both"/>
              <w:rPr>
                <w:noProof/>
              </w:rPr>
            </w:pPr>
            <w:r>
              <w:rPr>
                <w:noProof/>
              </w:rPr>
              <w:t xml:space="preserve">Dans le cas où les réservoirs d’eau sont destinés à l’irrigation, toute expansion du système d’irrigation existant (y compris par une utilisation accrue de l’eau, c’est-à-dire pas seulement une expansion physique), même par des méthodes plus efficaces, n’est pas soutenue lorsque les masses d’eau concernées (eaux de surface ou souterraines) sont ou sont censées (dans le contexte de l’intensification du changement climatique) être dans un état ou un potentiel inférieur à un bon état ou à un bon potentiel. </w:t>
            </w:r>
          </w:p>
        </w:tc>
      </w:tr>
      <w:tr w:rsidR="00025543" w14:paraId="24E96F28" w14:textId="77777777">
        <w:trPr>
          <w:trHeight w:val="813"/>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86FB64E" w14:textId="77777777" w:rsidR="00025543" w:rsidRDefault="007E3A2F">
            <w:pPr>
              <w:pStyle w:val="P68B1DB1-Normal15"/>
              <w:spacing w:line="240" w:lineRule="auto"/>
              <w:rPr>
                <w:noProof/>
              </w:rPr>
            </w:pPr>
            <w:r>
              <w:rPr>
                <w:noProof/>
              </w:rPr>
              <w:t>137</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0B1CA45" w14:textId="77777777" w:rsidR="00025543" w:rsidRDefault="007E3A2F">
            <w:pPr>
              <w:pStyle w:val="P68B1DB1-Normal15"/>
              <w:spacing w:line="240" w:lineRule="auto"/>
              <w:rPr>
                <w:noProof/>
              </w:rPr>
            </w:pPr>
            <w:r>
              <w:rPr>
                <w:noProof/>
              </w:rPr>
              <w:t xml:space="preserve"> </w:t>
            </w:r>
          </w:p>
          <w:p w14:paraId="5FA97D2D" w14:textId="77777777" w:rsidR="00025543" w:rsidRDefault="007E3A2F">
            <w:pPr>
              <w:pStyle w:val="P68B1DB1-Normal15"/>
              <w:spacing w:line="240" w:lineRule="auto"/>
              <w:rPr>
                <w:noProof/>
              </w:rPr>
            </w:pPr>
            <w:r>
              <w:rPr>
                <w:noProof/>
              </w:rPr>
              <w:t xml:space="preserve">Investissement 3: Remembrement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4340576" w14:textId="77777777" w:rsidR="00025543" w:rsidRDefault="007E3A2F">
            <w:pPr>
              <w:pStyle w:val="P68B1DB1-Normal15"/>
              <w:spacing w:line="240" w:lineRule="auto"/>
              <w:rPr>
                <w:noProof/>
              </w:rPr>
            </w:pPr>
            <w:r>
              <w:rPr>
                <w:noProof/>
              </w:rPr>
              <w:t>Cible</w:t>
            </w:r>
          </w:p>
        </w:tc>
        <w:tc>
          <w:tcPr>
            <w:tcW w:w="14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AC238BD" w14:textId="77777777" w:rsidR="00025543" w:rsidRDefault="007E3A2F">
            <w:pPr>
              <w:pStyle w:val="P68B1DB1-Normal15"/>
              <w:spacing w:line="240" w:lineRule="auto"/>
              <w:rPr>
                <w:noProof/>
              </w:rPr>
            </w:pPr>
            <w:r>
              <w:rPr>
                <w:noProof/>
              </w:rPr>
              <w:t>Achèvement de projets d’infrastructures vertes en faveur de la biodiversité, y compris les centres biologiques, les corridors biologiques et la plantation de verdure typique locale dans le paysage agricole (en ha de terres desservies par l’investissement).</w:t>
            </w: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8077F54" w14:textId="77777777" w:rsidR="00025543" w:rsidRDefault="007E3A2F">
            <w:pPr>
              <w:pStyle w:val="P68B1DB1-Normal15"/>
              <w:spacing w:line="240" w:lineRule="auto"/>
              <w:rPr>
                <w:noProof/>
              </w:rPr>
            </w:pPr>
            <w:r>
              <w:rPr>
                <w:noProof/>
              </w:rPr>
              <w:t xml:space="preserve"> </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2AC9D19" w14:textId="77777777" w:rsidR="00025543" w:rsidRDefault="007E3A2F">
            <w:pPr>
              <w:pStyle w:val="P68B1DB1-Normal15"/>
              <w:spacing w:line="240" w:lineRule="auto"/>
              <w:rPr>
                <w:noProof/>
              </w:rPr>
            </w:pPr>
            <w:r>
              <w:rPr>
                <w:noProof/>
              </w:rPr>
              <w:t xml:space="preserve"> Hectares de projets d’infrastructure verte</w:t>
            </w:r>
          </w:p>
          <w:p w14:paraId="33138AEB" w14:textId="77777777" w:rsidR="00025543" w:rsidRDefault="007E3A2F">
            <w:pPr>
              <w:pStyle w:val="P68B1DB1-Normal15"/>
              <w:spacing w:line="240" w:lineRule="auto"/>
              <w:rPr>
                <w:noProof/>
              </w:rPr>
            </w:pPr>
            <w:r>
              <w:rPr>
                <w:noProof/>
              </w:rPr>
              <w:t xml:space="preserve"> </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FC5341D" w14:textId="77777777" w:rsidR="00025543" w:rsidRDefault="007E3A2F">
            <w:pPr>
              <w:pStyle w:val="P68B1DB1-Normal15"/>
              <w:spacing w:line="240" w:lineRule="auto"/>
              <w:rPr>
                <w:noProof/>
              </w:rPr>
            </w:pPr>
            <w:r>
              <w:rPr>
                <w:noProof/>
              </w:rPr>
              <w:t xml:space="preserve"> 0</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B6D05BE" w14:textId="77777777" w:rsidR="00025543" w:rsidRDefault="007E3A2F">
            <w:pPr>
              <w:pStyle w:val="P68B1DB1-Normal15"/>
              <w:spacing w:line="240" w:lineRule="auto"/>
              <w:rPr>
                <w:noProof/>
              </w:rPr>
            </w:pPr>
            <w:r>
              <w:rPr>
                <w:noProof/>
              </w:rPr>
              <w:t xml:space="preserve">  90</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0820F42" w14:textId="77777777" w:rsidR="00025543" w:rsidRDefault="007E3A2F">
            <w:pPr>
              <w:pStyle w:val="P68B1DB1-Normal15"/>
              <w:spacing w:line="240" w:lineRule="auto"/>
              <w:rPr>
                <w:noProof/>
              </w:rPr>
            </w:pPr>
            <w:r>
              <w:rPr>
                <w:noProof/>
              </w:rPr>
              <w:t xml:space="preserve"> TRIMESTRE 4 </w:t>
            </w: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8902A85" w14:textId="7B8BDD68" w:rsidR="00025543" w:rsidRDefault="007E3A2F">
            <w:pPr>
              <w:pStyle w:val="P68B1DB1-Normal15"/>
              <w:spacing w:line="240" w:lineRule="auto"/>
              <w:rPr>
                <w:noProof/>
              </w:rPr>
            </w:pPr>
            <w:r>
              <w:rPr>
                <w:noProof/>
              </w:rPr>
              <w:t xml:space="preserve"> 2024 </w:t>
            </w:r>
          </w:p>
        </w:tc>
        <w:tc>
          <w:tcPr>
            <w:tcW w:w="48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DBC1E76" w14:textId="77777777" w:rsidR="00025543" w:rsidRDefault="007E3A2F">
            <w:pPr>
              <w:pStyle w:val="P68B1DB1-Normal15"/>
              <w:spacing w:line="257" w:lineRule="auto"/>
              <w:jc w:val="both"/>
              <w:rPr>
                <w:noProof/>
              </w:rPr>
            </w:pPr>
            <w:r>
              <w:rPr>
                <w:noProof/>
              </w:rPr>
              <w:t xml:space="preserve">Au moins 90 ha de projets d’infrastructures vertes doivent être achevés. Ces projets sont fondés sur une évaluation de la rétention d’eau dans le paysage par l’autorité locale de l’administration publique chargée de la protection de l’environnement et sont conformes au plan d’action national pour l’adaptation au changement climatique et à la stratégie de protection de la biodiversité de la République tchèque, aux plans de gestion des bassins hydrographiques et aux plans de gestion des risques d’inondation.  </w:t>
            </w:r>
          </w:p>
        </w:tc>
      </w:tr>
      <w:tr w:rsidR="00025543" w14:paraId="548C7218" w14:textId="77777777">
        <w:trPr>
          <w:trHeight w:val="2243"/>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A5A26A7" w14:textId="77777777" w:rsidR="00025543" w:rsidRDefault="007E3A2F">
            <w:pPr>
              <w:pStyle w:val="P68B1DB1-Normal15"/>
              <w:spacing w:line="240" w:lineRule="auto"/>
              <w:rPr>
                <w:noProof/>
              </w:rPr>
            </w:pPr>
            <w:r>
              <w:rPr>
                <w:noProof/>
              </w:rPr>
              <w:t>138</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F899554" w14:textId="77777777" w:rsidR="00025543" w:rsidRDefault="007E3A2F">
            <w:pPr>
              <w:pStyle w:val="P68B1DB1-Normal15"/>
              <w:spacing w:line="240" w:lineRule="auto"/>
              <w:rPr>
                <w:noProof/>
              </w:rPr>
            </w:pPr>
            <w:r>
              <w:rPr>
                <w:noProof/>
              </w:rPr>
              <w:t xml:space="preserve">Investissement 3: Remembrement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C32AE5A" w14:textId="77777777" w:rsidR="00025543" w:rsidRDefault="007E3A2F">
            <w:pPr>
              <w:pStyle w:val="P68B1DB1-Normal15"/>
              <w:spacing w:line="240" w:lineRule="auto"/>
              <w:rPr>
                <w:noProof/>
              </w:rPr>
            </w:pPr>
            <w:r>
              <w:rPr>
                <w:noProof/>
              </w:rPr>
              <w:t>Cible</w:t>
            </w:r>
          </w:p>
        </w:tc>
        <w:tc>
          <w:tcPr>
            <w:tcW w:w="14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F578FAE" w14:textId="77777777" w:rsidR="00025543" w:rsidRDefault="007E3A2F">
            <w:pPr>
              <w:pStyle w:val="P68B1DB1-Normal15"/>
              <w:spacing w:line="240" w:lineRule="auto"/>
              <w:rPr>
                <w:noProof/>
              </w:rPr>
            </w:pPr>
            <w:r>
              <w:rPr>
                <w:noProof/>
              </w:rPr>
              <w:t xml:space="preserve">Achèvement des activités de protection de l’environnement et adaptation au changement climatique (en ha de terres desservies par l’investissement). </w:t>
            </w: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D2FF002" w14:textId="77777777" w:rsidR="00025543" w:rsidRDefault="007E3A2F">
            <w:pPr>
              <w:pStyle w:val="P68B1DB1-Normal15"/>
              <w:spacing w:line="240" w:lineRule="auto"/>
              <w:rPr>
                <w:noProof/>
              </w:rPr>
            </w:pPr>
            <w:r>
              <w:rPr>
                <w:noProof/>
              </w:rPr>
              <w:t xml:space="preserve"> </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31768DA" w14:textId="77777777" w:rsidR="00025543" w:rsidRDefault="007E3A2F">
            <w:pPr>
              <w:pStyle w:val="P68B1DB1-Normal15"/>
              <w:spacing w:line="240" w:lineRule="auto"/>
              <w:rPr>
                <w:noProof/>
              </w:rPr>
            </w:pPr>
            <w:r>
              <w:rPr>
                <w:noProof/>
              </w:rPr>
              <w:t>Hectares de terres</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41E2ACC" w14:textId="77777777" w:rsidR="00025543" w:rsidRDefault="007E3A2F">
            <w:pPr>
              <w:pStyle w:val="P68B1DB1-Normal15"/>
              <w:spacing w:line="240" w:lineRule="auto"/>
              <w:rPr>
                <w:noProof/>
              </w:rPr>
            </w:pPr>
            <w:r>
              <w:rPr>
                <w:noProof/>
              </w:rPr>
              <w:t>0</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45C7F0C" w14:textId="77777777" w:rsidR="00025543" w:rsidRDefault="007E3A2F">
            <w:pPr>
              <w:pStyle w:val="P68B1DB1-Normal15"/>
              <w:spacing w:line="240" w:lineRule="auto"/>
              <w:rPr>
                <w:noProof/>
              </w:rPr>
            </w:pPr>
            <w:r>
              <w:rPr>
                <w:noProof/>
              </w:rPr>
              <w:t>150</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B82A5E8" w14:textId="77777777" w:rsidR="00025543" w:rsidRDefault="007E3A2F">
            <w:pPr>
              <w:pStyle w:val="P68B1DB1-Normal15"/>
              <w:spacing w:line="240" w:lineRule="auto"/>
              <w:rPr>
                <w:noProof/>
              </w:rPr>
            </w:pPr>
            <w:r>
              <w:rPr>
                <w:noProof/>
              </w:rPr>
              <w:t>TRIMESTRE 4</w:t>
            </w: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E23981D" w14:textId="3FB9D1F2" w:rsidR="00025543" w:rsidRDefault="007E3A2F">
            <w:pPr>
              <w:pStyle w:val="P68B1DB1-Normal15"/>
              <w:spacing w:line="240" w:lineRule="auto"/>
              <w:rPr>
                <w:noProof/>
              </w:rPr>
            </w:pPr>
            <w:r>
              <w:rPr>
                <w:noProof/>
              </w:rPr>
              <w:t>2024</w:t>
            </w:r>
          </w:p>
        </w:tc>
        <w:tc>
          <w:tcPr>
            <w:tcW w:w="48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68F5A6A" w14:textId="77777777" w:rsidR="00025543" w:rsidRDefault="007E3A2F">
            <w:pPr>
              <w:pStyle w:val="P68B1DB1-Normal15"/>
              <w:spacing w:line="240" w:lineRule="auto"/>
              <w:jc w:val="both"/>
              <w:rPr>
                <w:noProof/>
              </w:rPr>
            </w:pPr>
            <w:r>
              <w:rPr>
                <w:noProof/>
              </w:rPr>
              <w:t xml:space="preserve">Au moins 150 ha d’activités de protection de l’environnement et d’adaptation au changement climatique sont achevés. Ces activités portent principalement sur la protection des sols et de l’eau, tant sur le plan quantitatif que qualitatif. Des projets individuels doivent mettre en œuvre des actions de lutte contre l’érosion dans le paysage (fossés, débordements, bordures, bandes herbacées et autres éléments retardateurs) afin d’éliminer les effets néfastes, en particulier des pluies torrentielles. Ces actions, qui contribuent à retenir l’eau dans le paysage, principalement en raison des précipitations torrentielles de plus en plus fréquentes, favorisent l’infiltration de l’eau dans le sous-sol, réduisent l’évaporation de l’eau dans le paysage agricole et soutiennent un petit cycle de l’eau, réduisent la pollution de l’eau et l’élimination des sols. Les investissements dans les infrastructures (comme les routes locales) sont exclus. </w:t>
            </w:r>
          </w:p>
        </w:tc>
      </w:tr>
      <w:tr w:rsidR="00025543" w14:paraId="1AB90C38" w14:textId="77777777">
        <w:trPr>
          <w:trHeight w:val="7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B01D78A" w14:textId="77777777" w:rsidR="00025543" w:rsidRDefault="007E3A2F">
            <w:pPr>
              <w:pStyle w:val="P68B1DB1-Normal15"/>
              <w:spacing w:line="240" w:lineRule="auto"/>
              <w:rPr>
                <w:noProof/>
              </w:rPr>
            </w:pPr>
            <w:r>
              <w:rPr>
                <w:noProof/>
              </w:rPr>
              <w:t xml:space="preserve"> 139</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0B6944A" w14:textId="77777777" w:rsidR="00025543" w:rsidRDefault="007E3A2F">
            <w:pPr>
              <w:pStyle w:val="P68B1DB1-Normal15"/>
              <w:spacing w:line="240" w:lineRule="auto"/>
              <w:rPr>
                <w:noProof/>
              </w:rPr>
            </w:pPr>
            <w:r>
              <w:rPr>
                <w:noProof/>
              </w:rPr>
              <w:t xml:space="preserve">Investissement 4: Construire des forêts résilientes face au changement climatique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7639579" w14:textId="77777777" w:rsidR="00025543" w:rsidRDefault="007E3A2F">
            <w:pPr>
              <w:pStyle w:val="P68B1DB1-Normal15"/>
              <w:spacing w:line="240" w:lineRule="auto"/>
              <w:rPr>
                <w:noProof/>
              </w:rPr>
            </w:pPr>
            <w:r>
              <w:rPr>
                <w:noProof/>
              </w:rPr>
              <w:t>Étapes</w:t>
            </w:r>
          </w:p>
        </w:tc>
        <w:tc>
          <w:tcPr>
            <w:tcW w:w="14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26A44CF" w14:textId="77777777" w:rsidR="00025543" w:rsidRDefault="007E3A2F">
            <w:pPr>
              <w:pStyle w:val="P68B1DB1-Normal15"/>
              <w:spacing w:line="240" w:lineRule="auto"/>
              <w:rPr>
                <w:noProof/>
              </w:rPr>
            </w:pPr>
            <w:r>
              <w:rPr>
                <w:noProof/>
              </w:rPr>
              <w:t>Modification du décret ministériel sur la planification de la gestion forestière (modification du décret no 84/1996 Rec. sur la planification de la gestion forestière)</w:t>
            </w: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1DE9657" w14:textId="77777777" w:rsidR="00025543" w:rsidRDefault="007E3A2F">
            <w:pPr>
              <w:pStyle w:val="P68B1DB1-Normal15"/>
              <w:spacing w:line="240" w:lineRule="auto"/>
              <w:rPr>
                <w:noProof/>
              </w:rPr>
            </w:pPr>
            <w:r>
              <w:rPr>
                <w:noProof/>
              </w:rPr>
              <w:t xml:space="preserve">Entrée en vigueur de la modification du décret ministériel sur la planification de la gestion forestière (modification du décret no 84/1996 Rec. sur la planification de la gestion forestière) </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33A329D" w14:textId="77777777" w:rsidR="00025543" w:rsidRDefault="007E3A2F">
            <w:pPr>
              <w:pStyle w:val="P68B1DB1-Normal15"/>
              <w:spacing w:line="240" w:lineRule="auto"/>
              <w:rPr>
                <w:noProof/>
              </w:rPr>
            </w:pPr>
            <w:r>
              <w:rPr>
                <w:noProof/>
              </w:rPr>
              <w:t xml:space="preserve"> </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AB494EA" w14:textId="77777777" w:rsidR="00025543" w:rsidRDefault="007E3A2F">
            <w:pPr>
              <w:pStyle w:val="P68B1DB1-Normal15"/>
              <w:spacing w:line="240" w:lineRule="auto"/>
              <w:rPr>
                <w:noProof/>
              </w:rPr>
            </w:pPr>
            <w:r>
              <w:rPr>
                <w:noProof/>
              </w:rPr>
              <w:t xml:space="preserve"> </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CC1CAB7" w14:textId="77777777" w:rsidR="00025543" w:rsidRDefault="007E3A2F">
            <w:pPr>
              <w:pStyle w:val="P68B1DB1-Normal15"/>
              <w:spacing w:line="240" w:lineRule="auto"/>
              <w:rPr>
                <w:noProof/>
              </w:rPr>
            </w:pPr>
            <w:r>
              <w:rPr>
                <w:noProof/>
              </w:rPr>
              <w:t xml:space="preserve"> </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18ADC79" w14:textId="77777777" w:rsidR="00025543" w:rsidRDefault="007E3A2F">
            <w:pPr>
              <w:pStyle w:val="P68B1DB1-Normal15"/>
              <w:spacing w:line="240" w:lineRule="auto"/>
              <w:rPr>
                <w:noProof/>
              </w:rPr>
            </w:pPr>
            <w:r>
              <w:rPr>
                <w:noProof/>
              </w:rPr>
              <w:t>TRIMESTRE 1</w:t>
            </w: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738C987" w14:textId="77777777" w:rsidR="00025543" w:rsidRDefault="007E3A2F">
            <w:pPr>
              <w:pStyle w:val="P68B1DB1-Normal15"/>
              <w:spacing w:line="240" w:lineRule="auto"/>
              <w:rPr>
                <w:noProof/>
              </w:rPr>
            </w:pPr>
            <w:r>
              <w:rPr>
                <w:noProof/>
              </w:rPr>
              <w:t>2023</w:t>
            </w:r>
          </w:p>
        </w:tc>
        <w:tc>
          <w:tcPr>
            <w:tcW w:w="48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8980308" w14:textId="1092D7FF" w:rsidR="00025543" w:rsidRDefault="007E3A2F">
            <w:pPr>
              <w:pStyle w:val="P68B1DB1-Normal16"/>
              <w:spacing w:line="240" w:lineRule="auto"/>
              <w:jc w:val="both"/>
              <w:rPr>
                <w:noProof/>
              </w:rPr>
            </w:pPr>
            <w:r>
              <w:rPr>
                <w:noProof/>
              </w:rPr>
              <w:t>La</w:t>
            </w:r>
            <w:r>
              <w:rPr>
                <w:rFonts w:eastAsia="Times New Roman"/>
                <w:noProof/>
              </w:rPr>
              <w:t>modification de l’arrêté ministériel sur la planification de la gestion forestière, qui ouvre spécifiquement la voie à des forêts multigénérationnelles, multiespèces et résilientes, est adoptée. La</w:t>
            </w:r>
            <w:r>
              <w:rPr>
                <w:noProof/>
              </w:rPr>
              <w:t>modification du décret relatif à la gestion forestière vise à créer une véritable forêt multigénérationnelle et à introduire des méthodes innovantes de planification de la gestion forestière pour les forêts riches en âge. Le décret garantit que la composition en espèces d’arbres des forêts nouvellement plantées vise une composition proche de la nature avec une augmentation significative des espèces de feuillus (la «composition recommandée» par la recherche).</w:t>
            </w:r>
          </w:p>
        </w:tc>
      </w:tr>
      <w:tr w:rsidR="00025543" w14:paraId="177B3337" w14:textId="77777777">
        <w:trPr>
          <w:trHeight w:val="7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81690AB" w14:textId="77777777" w:rsidR="00025543" w:rsidRDefault="007E3A2F">
            <w:pPr>
              <w:pStyle w:val="P68B1DB1-Normal15"/>
              <w:spacing w:line="240" w:lineRule="auto"/>
              <w:rPr>
                <w:noProof/>
              </w:rPr>
            </w:pPr>
            <w:r>
              <w:rPr>
                <w:noProof/>
              </w:rPr>
              <w:t>140</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4B8BF2C" w14:textId="77777777" w:rsidR="00025543" w:rsidRDefault="007E3A2F">
            <w:pPr>
              <w:pStyle w:val="P68B1DB1-Normal15"/>
              <w:spacing w:line="240" w:lineRule="auto"/>
              <w:rPr>
                <w:noProof/>
              </w:rPr>
            </w:pPr>
            <w:r>
              <w:rPr>
                <w:noProof/>
              </w:rPr>
              <w:t xml:space="preserve">Investissement 4: Construire des forêts résilientes face au changement climatique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E8AC6A9" w14:textId="77777777" w:rsidR="00025543" w:rsidRDefault="007E3A2F">
            <w:pPr>
              <w:pStyle w:val="P68B1DB1-Normal15"/>
              <w:spacing w:line="240" w:lineRule="auto"/>
              <w:rPr>
                <w:noProof/>
              </w:rPr>
            </w:pPr>
            <w:r>
              <w:rPr>
                <w:noProof/>
              </w:rPr>
              <w:t>Cible</w:t>
            </w:r>
          </w:p>
        </w:tc>
        <w:tc>
          <w:tcPr>
            <w:tcW w:w="14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CF42CC5" w14:textId="77777777" w:rsidR="00025543" w:rsidRDefault="007E3A2F">
            <w:pPr>
              <w:pStyle w:val="P68B1DB1-Normal15"/>
              <w:spacing w:line="240" w:lineRule="auto"/>
              <w:rPr>
                <w:noProof/>
              </w:rPr>
            </w:pPr>
            <w:r>
              <w:rPr>
                <w:noProof/>
              </w:rPr>
              <w:t xml:space="preserve">T1: Reboisement de 12 000 ha de surfaces par des essences forestières améliorées et stabilisatrices </w:t>
            </w: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E664036" w14:textId="77777777" w:rsidR="00025543" w:rsidRDefault="007E3A2F">
            <w:pPr>
              <w:pStyle w:val="P68B1DB1-Normal15"/>
              <w:spacing w:line="240" w:lineRule="auto"/>
              <w:rPr>
                <w:noProof/>
              </w:rPr>
            </w:pPr>
            <w:r>
              <w:rPr>
                <w:noProof/>
              </w:rPr>
              <w:t xml:space="preserve"> </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3BA0567" w14:textId="77777777" w:rsidR="00025543" w:rsidRDefault="007E3A2F">
            <w:pPr>
              <w:pStyle w:val="P68B1DB1-Normal15"/>
              <w:spacing w:line="240" w:lineRule="auto"/>
              <w:rPr>
                <w:noProof/>
              </w:rPr>
            </w:pPr>
            <w:r>
              <w:rPr>
                <w:noProof/>
              </w:rPr>
              <w:t xml:space="preserve"> Hectares de reboisement </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26DF339" w14:textId="77777777" w:rsidR="00025543" w:rsidRDefault="007E3A2F">
            <w:pPr>
              <w:pStyle w:val="P68B1DB1-Normal15"/>
              <w:spacing w:line="240" w:lineRule="auto"/>
              <w:rPr>
                <w:noProof/>
              </w:rPr>
            </w:pPr>
            <w:r>
              <w:rPr>
                <w:noProof/>
              </w:rPr>
              <w:t xml:space="preserve"> 0</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F188B08" w14:textId="77777777" w:rsidR="00025543" w:rsidRDefault="007E3A2F">
            <w:pPr>
              <w:pStyle w:val="P68B1DB1-Normal15"/>
              <w:spacing w:line="240" w:lineRule="auto"/>
              <w:rPr>
                <w:noProof/>
              </w:rPr>
            </w:pPr>
            <w:r>
              <w:rPr>
                <w:noProof/>
              </w:rPr>
              <w:t xml:space="preserve"> 12000</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B9A63AA" w14:textId="77777777" w:rsidR="00025543" w:rsidRDefault="007E3A2F">
            <w:pPr>
              <w:pStyle w:val="P68B1DB1-Normal15"/>
              <w:spacing w:line="240" w:lineRule="auto"/>
              <w:rPr>
                <w:noProof/>
              </w:rPr>
            </w:pPr>
            <w:r>
              <w:rPr>
                <w:noProof/>
              </w:rPr>
              <w:t>TRIMESTRE 3</w:t>
            </w: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CEE1540" w14:textId="77777777" w:rsidR="00025543" w:rsidRDefault="007E3A2F">
            <w:pPr>
              <w:pStyle w:val="P68B1DB1-Normal15"/>
              <w:spacing w:line="240" w:lineRule="auto"/>
              <w:rPr>
                <w:noProof/>
              </w:rPr>
            </w:pPr>
            <w:r>
              <w:rPr>
                <w:noProof/>
              </w:rPr>
              <w:t>2022</w:t>
            </w:r>
          </w:p>
        </w:tc>
        <w:tc>
          <w:tcPr>
            <w:tcW w:w="48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4B1FD56" w14:textId="7EC9C828" w:rsidR="00025543" w:rsidRDefault="007E3A2F">
            <w:pPr>
              <w:pStyle w:val="P68B1DB1-Normal15"/>
              <w:autoSpaceDE w:val="0"/>
              <w:autoSpaceDN w:val="0"/>
              <w:spacing w:before="40" w:after="40" w:line="240" w:lineRule="auto"/>
              <w:jc w:val="both"/>
              <w:rPr>
                <w:noProof/>
              </w:rPr>
            </w:pPr>
            <w:r>
              <w:rPr>
                <w:noProof/>
              </w:rPr>
              <w:t>Rapport d’achèvement par un organisme indépendant pour les projets de reboisement de 12 000 ha. Le reboisement vise à garantir des forêts multigénérationnelles et multiespèces en ce qui concerne la composition spatiale, qui sont gérées selon une approche forestière à couverture continue. Les forêts monospécifiques d’âge homogène sont remplacées par des écosystèmes plus riches en biodiversité, en limitant le recours à la coupe à blanc aux cas où cela est nécessaire pour assurer la santé des forêts et une régénération efficace, et en limitant autant que possible la taille de la zone coupée à blanc. </w:t>
            </w:r>
          </w:p>
          <w:p w14:paraId="0B5091DB" w14:textId="77777777" w:rsidR="00025543" w:rsidRDefault="007E3A2F">
            <w:pPr>
              <w:pStyle w:val="P68B1DB1-Normal15"/>
              <w:autoSpaceDE w:val="0"/>
              <w:autoSpaceDN w:val="0"/>
              <w:spacing w:before="40" w:after="40" w:line="240" w:lineRule="auto"/>
              <w:jc w:val="both"/>
              <w:rPr>
                <w:noProof/>
              </w:rPr>
            </w:pPr>
            <w:r>
              <w:rPr>
                <w:noProof/>
              </w:rPr>
              <w:t>Les essences d’arbres indigènes sont utilisées, sauf s’il peut être démontré qu’elles ne sont plus adaptées aux conditions climatiques et pédohydrologiques prévues. En outre, les admélanges ne contenant pas plus de 25 % de fir de Douglas dans les peuplements mixtes sont acceptés.</w:t>
            </w:r>
          </w:p>
          <w:p w14:paraId="2CF82838" w14:textId="77777777" w:rsidR="00025543" w:rsidRDefault="007E3A2F">
            <w:pPr>
              <w:pStyle w:val="P68B1DB1-Normal15"/>
              <w:autoSpaceDE w:val="0"/>
              <w:autoSpaceDN w:val="0"/>
              <w:spacing w:before="40" w:after="40" w:line="240" w:lineRule="auto"/>
              <w:jc w:val="both"/>
              <w:rPr>
                <w:noProof/>
              </w:rPr>
            </w:pPr>
            <w:r>
              <w:rPr>
                <w:noProof/>
              </w:rPr>
              <w:t>• Lorsque la législation nationale le permet </w:t>
            </w:r>
          </w:p>
          <w:p w14:paraId="472BC5E2" w14:textId="77777777" w:rsidR="00025543" w:rsidRDefault="007E3A2F">
            <w:pPr>
              <w:pStyle w:val="P68B1DB1-Normal15"/>
              <w:autoSpaceDE w:val="0"/>
              <w:autoSpaceDN w:val="0"/>
              <w:spacing w:before="40" w:after="40" w:line="240" w:lineRule="auto"/>
              <w:jc w:val="both"/>
              <w:rPr>
                <w:noProof/>
              </w:rPr>
            </w:pPr>
            <w:r>
              <w:rPr>
                <w:noProof/>
              </w:rPr>
              <w:t>• À l’exclusion de Natura 2000 et d’autres zones protégées</w:t>
            </w:r>
          </w:p>
          <w:p w14:paraId="75534B43" w14:textId="1725C9A7" w:rsidR="00025543" w:rsidRDefault="007E3A2F">
            <w:pPr>
              <w:pStyle w:val="P68B1DB1-Normal15"/>
              <w:autoSpaceDE w:val="0"/>
              <w:autoSpaceDN w:val="0"/>
              <w:spacing w:before="0" w:after="0" w:line="240" w:lineRule="auto"/>
              <w:jc w:val="both"/>
              <w:rPr>
                <w:noProof/>
              </w:rPr>
            </w:pPr>
            <w:r>
              <w:rPr>
                <w:noProof/>
              </w:rPr>
              <w:t xml:space="preserve">• Et si l’adéquation de Douglas fir aux conditions climatiques prévues du site de reboisement peut être démontrée. </w:t>
            </w:r>
          </w:p>
        </w:tc>
      </w:tr>
      <w:tr w:rsidR="00025543" w14:paraId="1F2CF120" w14:textId="77777777">
        <w:trPr>
          <w:trHeight w:val="671"/>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C6891C8" w14:textId="77777777" w:rsidR="00025543" w:rsidRDefault="007E3A2F">
            <w:pPr>
              <w:pStyle w:val="P68B1DB1-Normal15"/>
              <w:spacing w:line="240" w:lineRule="auto"/>
              <w:rPr>
                <w:noProof/>
              </w:rPr>
            </w:pPr>
            <w:r>
              <w:rPr>
                <w:noProof/>
              </w:rPr>
              <w:t>141</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2AD8678" w14:textId="77777777" w:rsidR="00025543" w:rsidRDefault="007E3A2F">
            <w:pPr>
              <w:pStyle w:val="P68B1DB1-Normal15"/>
              <w:spacing w:line="240" w:lineRule="auto"/>
              <w:rPr>
                <w:noProof/>
              </w:rPr>
            </w:pPr>
            <w:r>
              <w:rPr>
                <w:noProof/>
              </w:rPr>
              <w:t>Investissement 4: Construire des forêts résilientes face au changement climatique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60C50C8" w14:textId="77777777" w:rsidR="00025543" w:rsidRDefault="007E3A2F">
            <w:pPr>
              <w:pStyle w:val="P68B1DB1-Normal15"/>
              <w:spacing w:line="240" w:lineRule="auto"/>
              <w:rPr>
                <w:noProof/>
              </w:rPr>
            </w:pPr>
            <w:r>
              <w:rPr>
                <w:noProof/>
              </w:rPr>
              <w:t>Cible</w:t>
            </w:r>
          </w:p>
        </w:tc>
        <w:tc>
          <w:tcPr>
            <w:tcW w:w="14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183E26D" w14:textId="77777777" w:rsidR="00025543" w:rsidRDefault="007E3A2F">
            <w:pPr>
              <w:pStyle w:val="P68B1DB1-Normal15"/>
              <w:spacing w:line="240" w:lineRule="auto"/>
              <w:rPr>
                <w:noProof/>
              </w:rPr>
            </w:pPr>
            <w:r>
              <w:rPr>
                <w:noProof/>
              </w:rPr>
              <w:t xml:space="preserve">T2: Reboisement de 24 000 ha supplémentaires par des essences forestières améliorées et stabilisatrices </w:t>
            </w: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B922AF1" w14:textId="77777777" w:rsidR="00025543" w:rsidRDefault="00025543">
            <w:pPr>
              <w:spacing w:line="240" w:lineRule="auto"/>
              <w:rPr>
                <w:rFonts w:eastAsia="Times New Roman"/>
                <w:noProof/>
                <w:color w:val="0043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18633FF" w14:textId="77777777" w:rsidR="00025543" w:rsidRDefault="007E3A2F">
            <w:pPr>
              <w:pStyle w:val="P68B1DB1-Normal15"/>
              <w:spacing w:line="240" w:lineRule="auto"/>
              <w:rPr>
                <w:noProof/>
              </w:rPr>
            </w:pPr>
            <w:r>
              <w:rPr>
                <w:noProof/>
              </w:rPr>
              <w:t xml:space="preserve"> Hectares de reboisement </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4858C50" w14:textId="77777777" w:rsidR="00025543" w:rsidRDefault="007E3A2F">
            <w:pPr>
              <w:pStyle w:val="P68B1DB1-Normal15"/>
              <w:spacing w:line="240" w:lineRule="auto"/>
              <w:rPr>
                <w:noProof/>
              </w:rPr>
            </w:pPr>
            <w:r>
              <w:rPr>
                <w:noProof/>
              </w:rPr>
              <w:t xml:space="preserve"> 12000</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264A844" w14:textId="77777777" w:rsidR="00025543" w:rsidRDefault="007E3A2F">
            <w:pPr>
              <w:pStyle w:val="P68B1DB1-Normal15"/>
              <w:spacing w:line="240" w:lineRule="auto"/>
              <w:rPr>
                <w:noProof/>
              </w:rPr>
            </w:pPr>
            <w:r>
              <w:rPr>
                <w:noProof/>
              </w:rPr>
              <w:t xml:space="preserve"> 36000</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A97EBF4" w14:textId="77777777" w:rsidR="00025543" w:rsidRDefault="007E3A2F">
            <w:pPr>
              <w:pStyle w:val="P68B1DB1-Normal15"/>
              <w:spacing w:line="240" w:lineRule="auto"/>
              <w:rPr>
                <w:noProof/>
              </w:rPr>
            </w:pPr>
            <w:r>
              <w:rPr>
                <w:noProof/>
              </w:rPr>
              <w:t>TRIMESTRE 3</w:t>
            </w: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143D2C5" w14:textId="77777777" w:rsidR="00025543" w:rsidRDefault="007E3A2F">
            <w:pPr>
              <w:pStyle w:val="P68B1DB1-Normal15"/>
              <w:spacing w:line="240" w:lineRule="auto"/>
              <w:rPr>
                <w:noProof/>
              </w:rPr>
            </w:pPr>
            <w:r>
              <w:rPr>
                <w:noProof/>
              </w:rPr>
              <w:t>2024</w:t>
            </w:r>
          </w:p>
        </w:tc>
        <w:tc>
          <w:tcPr>
            <w:tcW w:w="48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1F9CC53" w14:textId="7F74B07E" w:rsidR="00025543" w:rsidRDefault="007E3A2F">
            <w:pPr>
              <w:pStyle w:val="P68B1DB1-Normal15"/>
              <w:autoSpaceDE w:val="0"/>
              <w:autoSpaceDN w:val="0"/>
              <w:spacing w:before="40" w:after="40" w:line="240" w:lineRule="auto"/>
              <w:jc w:val="both"/>
              <w:rPr>
                <w:noProof/>
              </w:rPr>
            </w:pPr>
            <w:r>
              <w:rPr>
                <w:noProof/>
              </w:rPr>
              <w:t>Rapport d’achèvement par un organisme indépendant pour 24 000 ha supplémentaires. Le reboisement vise à garantir des forêts multigénérationnelles et multiespèces en ce qui concerne la composition spatiale, qui sont gérées selon une approche forestière à couverture continue. Les forêts monospécifiques d’âge homogène sont remplacées par des écosystèmes plus riches en biodiversité, en limitant le recours à la coupe à blanc aux cas où cela est nécessaire pour assurer la santé des forêts et une régénération efficace, et en limitant autant que possible la taille de la zone coupée à blanc. </w:t>
            </w:r>
          </w:p>
          <w:p w14:paraId="6720502F" w14:textId="77777777" w:rsidR="00025543" w:rsidRDefault="007E3A2F">
            <w:pPr>
              <w:pStyle w:val="P68B1DB1-Normal15"/>
              <w:autoSpaceDE w:val="0"/>
              <w:autoSpaceDN w:val="0"/>
              <w:spacing w:before="40" w:after="40" w:line="240" w:lineRule="auto"/>
              <w:jc w:val="both"/>
              <w:rPr>
                <w:noProof/>
              </w:rPr>
            </w:pPr>
            <w:r>
              <w:rPr>
                <w:noProof/>
              </w:rPr>
              <w:t>Les essences d’arbres indigènes sont utilisées, sauf s’il peut être démontré qu’elles ne sont plus adaptées aux conditions climatiques et pédohydrologiques prévues. En outre, les admélanges ne contenant pas plus de 25 % de fir de Douglas dans les peuplements mixtes sont acceptés.</w:t>
            </w:r>
          </w:p>
          <w:p w14:paraId="5DB11894" w14:textId="77777777" w:rsidR="00025543" w:rsidRDefault="007E3A2F">
            <w:pPr>
              <w:pStyle w:val="P68B1DB1-Normal15"/>
              <w:autoSpaceDE w:val="0"/>
              <w:autoSpaceDN w:val="0"/>
              <w:spacing w:before="40" w:after="40" w:line="240" w:lineRule="auto"/>
              <w:jc w:val="both"/>
              <w:rPr>
                <w:noProof/>
              </w:rPr>
            </w:pPr>
            <w:r>
              <w:rPr>
                <w:noProof/>
              </w:rPr>
              <w:t>• Lorsque la législation nationale le permet </w:t>
            </w:r>
          </w:p>
          <w:p w14:paraId="6E08E01F" w14:textId="77777777" w:rsidR="00025543" w:rsidRDefault="007E3A2F">
            <w:pPr>
              <w:pStyle w:val="P68B1DB1-Normal15"/>
              <w:autoSpaceDE w:val="0"/>
              <w:autoSpaceDN w:val="0"/>
              <w:spacing w:before="40" w:after="40" w:line="240" w:lineRule="auto"/>
              <w:jc w:val="both"/>
              <w:rPr>
                <w:noProof/>
              </w:rPr>
            </w:pPr>
            <w:r>
              <w:rPr>
                <w:noProof/>
              </w:rPr>
              <w:t>• À l’exclusion de Natura 2000 et d’autres zones protégées</w:t>
            </w:r>
          </w:p>
          <w:p w14:paraId="658AF6DA" w14:textId="77777777" w:rsidR="00025543" w:rsidRDefault="007E3A2F">
            <w:pPr>
              <w:pStyle w:val="P68B1DB1-Normal15"/>
              <w:autoSpaceDE w:val="0"/>
              <w:autoSpaceDN w:val="0"/>
              <w:spacing w:before="0" w:after="0" w:line="240" w:lineRule="auto"/>
              <w:jc w:val="both"/>
              <w:rPr>
                <w:noProof/>
              </w:rPr>
            </w:pPr>
            <w:r>
              <w:rPr>
                <w:noProof/>
              </w:rPr>
              <w:t>• Et si l’adéquation de Douglas fir aux conditions climatiques prévues du site de reboisement peut être démontrée.</w:t>
            </w:r>
          </w:p>
        </w:tc>
      </w:tr>
      <w:tr w:rsidR="00025543" w14:paraId="4492AA04" w14:textId="77777777">
        <w:trPr>
          <w:trHeight w:val="31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A2B09A1" w14:textId="77777777" w:rsidR="00025543" w:rsidRDefault="007E3A2F">
            <w:pPr>
              <w:pStyle w:val="P68B1DB1-Normal15"/>
              <w:spacing w:line="240" w:lineRule="auto"/>
              <w:rPr>
                <w:noProof/>
              </w:rPr>
            </w:pPr>
            <w:r>
              <w:rPr>
                <w:noProof/>
              </w:rPr>
              <w:t>142</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01D3764" w14:textId="77777777" w:rsidR="00025543" w:rsidRDefault="007E3A2F">
            <w:pPr>
              <w:pStyle w:val="P68B1DB1-Normal15"/>
              <w:spacing w:line="240" w:lineRule="auto"/>
              <w:rPr>
                <w:noProof/>
              </w:rPr>
            </w:pPr>
            <w:r>
              <w:rPr>
                <w:noProof/>
              </w:rPr>
              <w:t>Investissement 5: Rétention d’eau dans les forêts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BE298E5" w14:textId="08D91F94" w:rsidR="00025543" w:rsidRDefault="007E3A2F">
            <w:pPr>
              <w:pStyle w:val="P68B1DB1-Normal28"/>
              <w:spacing w:line="240" w:lineRule="auto"/>
              <w:rPr>
                <w:noProof/>
                <w:color w:val="004300"/>
              </w:rPr>
            </w:pPr>
            <w:r>
              <w:rPr>
                <w:noProof/>
              </w:rPr>
              <w:t>Cible</w:t>
            </w:r>
          </w:p>
        </w:tc>
        <w:tc>
          <w:tcPr>
            <w:tcW w:w="14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F10716B" w14:textId="77777777" w:rsidR="00025543" w:rsidRDefault="007E3A2F">
            <w:pPr>
              <w:pStyle w:val="P68B1DB1-Normal15"/>
              <w:spacing w:line="240" w:lineRule="auto"/>
              <w:rPr>
                <w:noProof/>
              </w:rPr>
            </w:pPr>
            <w:r>
              <w:rPr>
                <w:noProof/>
              </w:rPr>
              <w:t>T1: Achèvement de 40 projets de contrôle des torrent (barrages à petite échelle en bois et en pierre naturelle) afin de ralentir les projets de ruissellement de surface et de rétention d’eau dans les forêts (rétention et petits réservoirs).</w:t>
            </w: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4DBF135" w14:textId="77777777" w:rsidR="00025543" w:rsidRDefault="00025543">
            <w:pPr>
              <w:spacing w:line="240" w:lineRule="auto"/>
              <w:rPr>
                <w:rFonts w:eastAsia="Times New Roman"/>
                <w:noProof/>
                <w:color w:val="0043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4C16834" w14:textId="77777777" w:rsidR="00025543" w:rsidRDefault="007E3A2F">
            <w:pPr>
              <w:pStyle w:val="P68B1DB1-Normal15"/>
              <w:spacing w:line="240" w:lineRule="auto"/>
              <w:rPr>
                <w:noProof/>
              </w:rPr>
            </w:pPr>
            <w:r>
              <w:rPr>
                <w:noProof/>
              </w:rPr>
              <w:t xml:space="preserve"> Nombre de projets</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AC766BB" w14:textId="77777777" w:rsidR="00025543" w:rsidRDefault="007E3A2F">
            <w:pPr>
              <w:pStyle w:val="P68B1DB1-Normal15"/>
              <w:spacing w:line="240" w:lineRule="auto"/>
              <w:rPr>
                <w:noProof/>
              </w:rPr>
            </w:pPr>
            <w:r>
              <w:rPr>
                <w:noProof/>
              </w:rPr>
              <w:t xml:space="preserve"> 0</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EBD1DF3" w14:textId="77777777" w:rsidR="00025543" w:rsidRDefault="007E3A2F">
            <w:pPr>
              <w:pStyle w:val="P68B1DB1-Normal15"/>
              <w:spacing w:line="240" w:lineRule="auto"/>
              <w:rPr>
                <w:noProof/>
              </w:rPr>
            </w:pPr>
            <w:r>
              <w:rPr>
                <w:noProof/>
              </w:rPr>
              <w:t xml:space="preserve"> 40</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832E398" w14:textId="77777777" w:rsidR="00025543" w:rsidRDefault="007E3A2F">
            <w:pPr>
              <w:pStyle w:val="P68B1DB1-Normal15"/>
              <w:spacing w:line="240" w:lineRule="auto"/>
              <w:rPr>
                <w:noProof/>
              </w:rPr>
            </w:pPr>
            <w:r>
              <w:rPr>
                <w:noProof/>
              </w:rPr>
              <w:t>TRIMESTRE 1</w:t>
            </w: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35222C5" w14:textId="77777777" w:rsidR="00025543" w:rsidRDefault="007E3A2F">
            <w:pPr>
              <w:pStyle w:val="P68B1DB1-Normal15"/>
              <w:spacing w:line="240" w:lineRule="auto"/>
              <w:rPr>
                <w:noProof/>
              </w:rPr>
            </w:pPr>
            <w:r>
              <w:rPr>
                <w:noProof/>
              </w:rPr>
              <w:t>2023</w:t>
            </w:r>
          </w:p>
        </w:tc>
        <w:tc>
          <w:tcPr>
            <w:tcW w:w="48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10CD6A0" w14:textId="6FEF18A8" w:rsidR="00025543" w:rsidRDefault="007E3A2F">
            <w:pPr>
              <w:spacing w:line="240" w:lineRule="auto"/>
              <w:jc w:val="both"/>
              <w:rPr>
                <w:noProof/>
                <w:color w:val="004300"/>
                <w:sz w:val="18"/>
              </w:rPr>
            </w:pPr>
            <w:r>
              <w:rPr>
                <w:rFonts w:eastAsia="Times New Roman"/>
                <w:noProof/>
                <w:color w:val="004300"/>
                <w:sz w:val="18"/>
              </w:rPr>
              <w:t>Rapport d’achèvement par un organisme indépendant pour 40 projets.</w:t>
            </w:r>
            <w:r>
              <w:rPr>
                <w:noProof/>
              </w:rPr>
              <w:t xml:space="preserve"> Les</w:t>
            </w:r>
            <w:r>
              <w:rPr>
                <w:rFonts w:eastAsia="Times New Roman"/>
                <w:noProof/>
                <w:color w:val="004300"/>
                <w:sz w:val="18"/>
              </w:rPr>
              <w:t>projets sont fondés, dans la mesure du possible, sur la nature (conformément au plan d’action national pour l’adaptation au changement climatique et à la politique nationale de la République tchèque visant à lutter contre les sécheresses). La conception des projets intègre les résultats et conditions nécessaires de l’évaluation des incidences sur l’environnement, qui doit être réalisée conformément à la directive 2011/92/UE, ainsi que des évaluations pertinentes dans le cadre de la directive 2000/60/CE et de la directive 92/43/EE du Conseil.</w:t>
            </w:r>
          </w:p>
        </w:tc>
      </w:tr>
      <w:tr w:rsidR="00025543" w14:paraId="35697EF0" w14:textId="77777777">
        <w:trPr>
          <w:trHeight w:val="755"/>
          <w:jc w:val="center"/>
        </w:trPr>
        <w:tc>
          <w:tcPr>
            <w:tcW w:w="6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99138E3" w14:textId="77777777" w:rsidR="00025543" w:rsidRDefault="007E3A2F">
            <w:pPr>
              <w:pStyle w:val="P68B1DB1-Normal15"/>
              <w:spacing w:line="240" w:lineRule="auto"/>
              <w:rPr>
                <w:noProof/>
              </w:rPr>
            </w:pPr>
            <w:r>
              <w:rPr>
                <w:noProof/>
              </w:rPr>
              <w:t>143</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34049B5" w14:textId="77777777" w:rsidR="00025543" w:rsidRDefault="007E3A2F">
            <w:pPr>
              <w:pStyle w:val="P68B1DB1-Normal15"/>
              <w:spacing w:line="240" w:lineRule="auto"/>
              <w:rPr>
                <w:noProof/>
              </w:rPr>
            </w:pPr>
            <w:r>
              <w:rPr>
                <w:noProof/>
              </w:rPr>
              <w:t>Investissement 5: Rétention d’eau dans les forêts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4589E83" w14:textId="1ED45A0B" w:rsidR="00025543" w:rsidRDefault="007E3A2F">
            <w:pPr>
              <w:pStyle w:val="P68B1DB1-Normal28"/>
              <w:spacing w:line="240" w:lineRule="auto"/>
              <w:rPr>
                <w:noProof/>
                <w:color w:val="004300"/>
              </w:rPr>
            </w:pPr>
            <w:r>
              <w:rPr>
                <w:noProof/>
              </w:rPr>
              <w:t>Cible</w:t>
            </w:r>
          </w:p>
        </w:tc>
        <w:tc>
          <w:tcPr>
            <w:tcW w:w="14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6C5E7CC" w14:textId="77777777" w:rsidR="00025543" w:rsidRDefault="007E3A2F">
            <w:pPr>
              <w:pStyle w:val="P68B1DB1-Normal15"/>
              <w:spacing w:line="240" w:lineRule="auto"/>
              <w:rPr>
                <w:noProof/>
              </w:rPr>
            </w:pPr>
            <w:r>
              <w:rPr>
                <w:noProof/>
              </w:rPr>
              <w:t>T2: Achèvement de 20 projets supplémentaires de contrôle des torrent (barrages à petite échelle en bois et en pierre naturelle) afin de ralentir les projets de ruissellement de surface et de rétention d’eau dans les forêts (rétention et petits réservoirs).</w:t>
            </w: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15A5FA4" w14:textId="77777777" w:rsidR="00025543" w:rsidRDefault="007E3A2F">
            <w:pPr>
              <w:pStyle w:val="P68B1DB1-Normal15"/>
              <w:spacing w:line="240" w:lineRule="auto"/>
              <w:rPr>
                <w:noProof/>
              </w:rPr>
            </w:pPr>
            <w:r>
              <w:rPr>
                <w:noProof/>
              </w:rPr>
              <w:t xml:space="preserve"> </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313EAF2" w14:textId="77777777" w:rsidR="00025543" w:rsidRDefault="007E3A2F">
            <w:pPr>
              <w:pStyle w:val="P68B1DB1-Normal15"/>
              <w:spacing w:line="240" w:lineRule="auto"/>
              <w:rPr>
                <w:noProof/>
              </w:rPr>
            </w:pPr>
            <w:r>
              <w:rPr>
                <w:noProof/>
              </w:rPr>
              <w:t xml:space="preserve"> Nombre de projets</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E2933FB" w14:textId="77777777" w:rsidR="00025543" w:rsidRDefault="007E3A2F">
            <w:pPr>
              <w:pStyle w:val="P68B1DB1-Normal15"/>
              <w:spacing w:line="240" w:lineRule="auto"/>
              <w:rPr>
                <w:noProof/>
              </w:rPr>
            </w:pPr>
            <w:r>
              <w:rPr>
                <w:noProof/>
              </w:rPr>
              <w:t xml:space="preserve">40 </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DBC1DF1" w14:textId="77777777" w:rsidR="00025543" w:rsidRDefault="007E3A2F">
            <w:pPr>
              <w:pStyle w:val="P68B1DB1-Normal15"/>
              <w:spacing w:line="240" w:lineRule="auto"/>
              <w:rPr>
                <w:noProof/>
              </w:rPr>
            </w:pPr>
            <w:r>
              <w:rPr>
                <w:noProof/>
              </w:rPr>
              <w:t xml:space="preserve"> 60</w:t>
            </w:r>
          </w:p>
        </w:tc>
        <w:tc>
          <w:tcPr>
            <w:tcW w:w="9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4D586C2" w14:textId="77777777" w:rsidR="00025543" w:rsidRDefault="007E3A2F">
            <w:pPr>
              <w:pStyle w:val="P68B1DB1-Normal15"/>
              <w:spacing w:line="240" w:lineRule="auto"/>
              <w:rPr>
                <w:noProof/>
              </w:rPr>
            </w:pPr>
            <w:r>
              <w:rPr>
                <w:noProof/>
              </w:rPr>
              <w:t>TRIMESTRE 1</w:t>
            </w: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E9FA301" w14:textId="77777777" w:rsidR="00025543" w:rsidRDefault="007E3A2F">
            <w:pPr>
              <w:pStyle w:val="P68B1DB1-Normal15"/>
              <w:spacing w:line="240" w:lineRule="auto"/>
              <w:rPr>
                <w:noProof/>
              </w:rPr>
            </w:pPr>
            <w:r>
              <w:rPr>
                <w:noProof/>
              </w:rPr>
              <w:t>2024</w:t>
            </w:r>
          </w:p>
        </w:tc>
        <w:tc>
          <w:tcPr>
            <w:tcW w:w="48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D3D5818" w14:textId="064F0020" w:rsidR="00025543" w:rsidRDefault="007E3A2F">
            <w:pPr>
              <w:pStyle w:val="P68B1DB1-Normal15"/>
              <w:spacing w:line="240" w:lineRule="auto"/>
              <w:jc w:val="both"/>
              <w:rPr>
                <w:noProof/>
              </w:rPr>
            </w:pPr>
            <w:r>
              <w:rPr>
                <w:noProof/>
              </w:rPr>
              <w:t xml:space="preserve">Rapport d’achèvement par un organisme indépendant certifié pour 20 projets supplémentaires. Les projets sont fondés, dans la mesure du possible, sur la nature (conformément au plan d’action national pour l’adaptation au changement climatique et à la politique nationale de la République tchèque visant à lutter contre les sécheresses). La conception des projets intègre les résultats et conditions nécessaires de l’évaluation des incidences sur l’environnement, qui doit être réalisée conformément à la directive 2011/92/UE, ainsi que des évaluations pertinentes dans le cadre de la directive 2000/60/CE et de la directive 92/43/EE du Conseil. </w:t>
            </w:r>
          </w:p>
        </w:tc>
      </w:tr>
    </w:tbl>
    <w:p w14:paraId="2B379E85" w14:textId="77777777" w:rsidR="00025543" w:rsidRDefault="00025543">
      <w:pPr>
        <w:pBdr>
          <w:top w:val="nil"/>
          <w:left w:val="nil"/>
          <w:bottom w:val="nil"/>
          <w:right w:val="nil"/>
          <w:between w:val="nil"/>
        </w:pBdr>
        <w:spacing w:line="240" w:lineRule="auto"/>
        <w:rPr>
          <w:rFonts w:eastAsia="Times New Roman"/>
          <w:noProof/>
          <w:color w:val="000000"/>
        </w:rPr>
        <w:sectPr w:rsidR="00025543" w:rsidSect="00786C7E">
          <w:headerReference w:type="even" r:id="rId216"/>
          <w:headerReference w:type="default" r:id="rId217"/>
          <w:footerReference w:type="even" r:id="rId218"/>
          <w:footerReference w:type="default" r:id="rId219"/>
          <w:headerReference w:type="first" r:id="rId220"/>
          <w:footerReference w:type="first" r:id="rId221"/>
          <w:pgSz w:w="16839" w:h="11907" w:orient="landscape"/>
          <w:pgMar w:top="1134" w:right="1134" w:bottom="1134" w:left="1134" w:header="567" w:footer="567" w:gutter="0"/>
          <w:cols w:space="720"/>
          <w:docGrid w:linePitch="326"/>
        </w:sectPr>
      </w:pPr>
    </w:p>
    <w:p w14:paraId="0FC92C49" w14:textId="75FF3BC4" w:rsidR="00025543" w:rsidRDefault="007E3A2F">
      <w:pPr>
        <w:pStyle w:val="P68B1DB1-Normal2"/>
        <w:keepNext/>
        <w:tabs>
          <w:tab w:val="left" w:pos="850"/>
        </w:tabs>
        <w:spacing w:line="240" w:lineRule="auto"/>
        <w:jc w:val="both"/>
        <w:outlineLvl w:val="0"/>
        <w:rPr>
          <w:noProof/>
          <w:color w:val="000000"/>
        </w:rPr>
      </w:pPr>
      <w:r>
        <w:rPr>
          <w:noProof/>
        </w:rPr>
        <w:t xml:space="preserve">N. ELÉMENT 2.7: </w:t>
      </w:r>
      <w:r>
        <w:rPr>
          <w:noProof/>
          <w:color w:val="000000" w:themeColor="text1"/>
        </w:rPr>
        <w:t>Économie circulaire, recyclage et eau industrielle</w:t>
      </w:r>
    </w:p>
    <w:p w14:paraId="33B4A970" w14:textId="6EA748C7" w:rsidR="00025543" w:rsidRDefault="007E3A2F">
      <w:pPr>
        <w:pStyle w:val="P68B1DB1-Normal13"/>
        <w:pBdr>
          <w:top w:val="nil"/>
          <w:left w:val="nil"/>
          <w:bottom w:val="nil"/>
          <w:right w:val="nil"/>
          <w:between w:val="nil"/>
        </w:pBdr>
        <w:spacing w:line="240" w:lineRule="auto"/>
        <w:jc w:val="both"/>
        <w:rPr>
          <w:noProof/>
        </w:rPr>
      </w:pPr>
      <w:r>
        <w:rPr>
          <w:noProof/>
        </w:rPr>
        <w:t xml:space="preserve">Ce volet du plan pour la reprise et la résilience de la République tchèque aide à relever le défi de la production de déchets et de la dépendance aux matières premières, dans le but de soutenir la transition vers une économie circulaire en Tchéquie. Cet objectif est atteint par des mesures visant à prévenir les déchets, à accroître les infrastructures de recyclage, à réduire le gaspillage des matières premières secondaires, à accroître la part des matières recyclées dans les produits et à accroître la sécurité des matières premières de la Tchéquie grâce à la réduction de la dépendance à l’égard des matières premières importées en raison de la disponibilité continue et ininterrompue des matières premières. En outre, le volet est axé sur la gestion durable de l’eau, y compris des mesures visant à économiser et à recycler l’eau et à optimiser l’utilisation de l’eau dans les entreprises. La transition vers l’économie circulaire contribue à accroître la résilience de la Tchéquie face aux menaces environnementales et économiques. </w:t>
      </w:r>
    </w:p>
    <w:p w14:paraId="34D4FB04" w14:textId="77777777" w:rsidR="00025543" w:rsidRDefault="007E3A2F">
      <w:pPr>
        <w:pStyle w:val="P68B1DB1-Normal13"/>
        <w:pBdr>
          <w:top w:val="nil"/>
          <w:left w:val="nil"/>
          <w:bottom w:val="nil"/>
          <w:right w:val="nil"/>
          <w:between w:val="nil"/>
        </w:pBdr>
        <w:spacing w:line="240" w:lineRule="auto"/>
        <w:jc w:val="both"/>
        <w:rPr>
          <w:noProof/>
        </w:rPr>
      </w:pPr>
      <w:r>
        <w:rPr>
          <w:noProof/>
        </w:rPr>
        <w:t xml:space="preserve">Le volet soutient la mise en œuvre de la recommandation par pays, selon laquelle la Tchéquie concentre sa politique économique en matière d’investissement sur la transition énergétique et à faible intensité de carbone, y compris l’efficacité énergétique (recommandation spécifique par pays no 3 2019), et sur la recommandation spécifique par pays, selon laquelle la Tchéquie vise à concentrer ses investissements sur la transition écologique et numérique, en particulier sur la production et l’utilisation propres et efficaces de l’énergie (recommandation par pays no 3 2020). </w:t>
      </w:r>
    </w:p>
    <w:p w14:paraId="0C87A967" w14:textId="17C8174C" w:rsidR="00025543" w:rsidRDefault="007E3A2F">
      <w:pPr>
        <w:spacing w:line="276" w:lineRule="auto"/>
        <w:jc w:val="both"/>
        <w:rPr>
          <w:noProof/>
          <w:sz w:val="22"/>
        </w:rPr>
      </w:pPr>
      <w:r>
        <w:rPr>
          <w:noProof/>
        </w:rPr>
        <w:t>Aucune mesure relevant de ce volet ne devrait nuire gravement aux objectifs environnementaux au sens de l’article 17 du règlement (UE) 2020/852, compte tenu de la description des mesures et des mesures d’atténuation prévues dans le plan pour la reprise et la résilience conformément aux orientations techniques de la DNSH (2021/C58/01).</w:t>
      </w:r>
    </w:p>
    <w:p w14:paraId="68700D21" w14:textId="59A8D60D" w:rsidR="00025543" w:rsidRDefault="00025543">
      <w:pPr>
        <w:pBdr>
          <w:top w:val="nil"/>
          <w:left w:val="nil"/>
          <w:bottom w:val="nil"/>
          <w:right w:val="nil"/>
          <w:between w:val="nil"/>
        </w:pBdr>
        <w:spacing w:line="240" w:lineRule="auto"/>
        <w:jc w:val="both"/>
        <w:rPr>
          <w:i/>
          <w:noProof/>
        </w:rPr>
      </w:pPr>
    </w:p>
    <w:p w14:paraId="2DB48760" w14:textId="66DB705A" w:rsidR="00025543" w:rsidRDefault="007E3A2F">
      <w:pPr>
        <w:pStyle w:val="P68B1DB1-Normal8"/>
        <w:pBdr>
          <w:top w:val="nil"/>
          <w:left w:val="nil"/>
          <w:bottom w:val="nil"/>
          <w:right w:val="nil"/>
          <w:between w:val="nil"/>
        </w:pBdr>
        <w:spacing w:line="240" w:lineRule="auto"/>
        <w:jc w:val="both"/>
        <w:rPr>
          <w:i/>
          <w:noProof/>
        </w:rPr>
      </w:pPr>
      <w:r>
        <w:rPr>
          <w:noProof/>
        </w:rPr>
        <w:t>NO 1. Description des réformes et des investissements en vue du soutien financier non remboursable</w:t>
      </w:r>
    </w:p>
    <w:p w14:paraId="01BA464B" w14:textId="77777777" w:rsidR="00025543" w:rsidRDefault="007E3A2F">
      <w:pPr>
        <w:pStyle w:val="P68B1DB1-Normal13"/>
        <w:pBdr>
          <w:top w:val="nil"/>
          <w:left w:val="nil"/>
          <w:bottom w:val="nil"/>
          <w:right w:val="nil"/>
          <w:between w:val="nil"/>
        </w:pBdr>
        <w:spacing w:line="240" w:lineRule="auto"/>
        <w:jc w:val="both"/>
        <w:rPr>
          <w:noProof/>
        </w:rPr>
      </w:pPr>
      <w:r>
        <w:rPr>
          <w:b/>
          <w:noProof/>
        </w:rPr>
        <w:t>Réforme 1: Mise en œuvre de la nouvelle législation sur la gestion des déchets en République tchèque</w:t>
      </w:r>
      <w:r>
        <w:rPr>
          <w:noProof/>
        </w:rPr>
        <w:t xml:space="preserve"> </w:t>
      </w:r>
    </w:p>
    <w:p w14:paraId="62276B9C" w14:textId="77777777" w:rsidR="00025543" w:rsidRDefault="007E3A2F">
      <w:pPr>
        <w:spacing w:line="240" w:lineRule="auto"/>
        <w:jc w:val="both"/>
        <w:rPr>
          <w:noProof/>
          <w:color w:val="000000"/>
        </w:rPr>
      </w:pPr>
      <w:r>
        <w:rPr>
          <w:rFonts w:eastAsia="Times New Roman"/>
          <w:noProof/>
        </w:rPr>
        <w:t>La réforme vise à accroître la prévention, le recyclage, la valorisation et le tri des déchets et à réduire la mise en décharge, dans le but de renforcer les principes de responsabilité des producteurs et d’éco-modulation. D’ici à 2035, au moins 65 % des déchets municipaux seront recyclés</w:t>
      </w:r>
      <w:r w:rsidRPr="007E3A2F">
        <w:rPr>
          <w:rFonts w:eastAsia="Times New Roman"/>
          <w:noProof/>
          <w:vertAlign w:val="superscript"/>
        </w:rPr>
        <w:footnoteReference w:id="14"/>
      </w:r>
      <w:r>
        <w:rPr>
          <w:rFonts w:eastAsia="Times New Roman"/>
          <w:noProof/>
        </w:rPr>
        <w:t xml:space="preserve"> et 10 % au maximum seront mis en décharge</w:t>
      </w:r>
      <w:r w:rsidRPr="007E3A2F">
        <w:rPr>
          <w:rFonts w:eastAsia="Times New Roman"/>
          <w:noProof/>
          <w:vertAlign w:val="superscript"/>
        </w:rPr>
        <w:footnoteReference w:id="15"/>
      </w:r>
      <w:r>
        <w:rPr>
          <w:rFonts w:eastAsia="Times New Roman"/>
          <w:noProof/>
        </w:rPr>
        <w:t>. La nouvelle législation sur la gestion des déchets en République tchèque est en vigueur depuis le 1 janvier 2021. À la suite de la législation sur les déchets récemment adoptée, les actes d’exécution suivants relatifs à la gestion des déchets sont finalisés et entrent en vigueur</w:t>
      </w:r>
      <w:r>
        <w:rPr>
          <w:rFonts w:ascii="Times" w:eastAsia="Times" w:hAnsi="Times" w:cs="Times"/>
          <w:noProof/>
        </w:rPr>
        <w:t>au plus tard le 30 septembre 2023, conformément aux éléments précisés à l’article 28 de la directive 2008/98/CE telle que modifiée par la directive</w:t>
      </w:r>
      <w:r>
        <w:rPr>
          <w:rFonts w:eastAsia="Times New Roman"/>
          <w:noProof/>
        </w:rPr>
        <w:t xml:space="preserve"> 2018/851/UE: </w:t>
      </w:r>
    </w:p>
    <w:p w14:paraId="1D581AA4" w14:textId="77777777" w:rsidR="00025543" w:rsidRDefault="007E3A2F">
      <w:pPr>
        <w:pStyle w:val="P68B1DB1-Normal37"/>
        <w:numPr>
          <w:ilvl w:val="0"/>
          <w:numId w:val="160"/>
        </w:numPr>
        <w:spacing w:line="240" w:lineRule="auto"/>
        <w:jc w:val="both"/>
        <w:rPr>
          <w:noProof/>
        </w:rPr>
      </w:pPr>
      <w:r>
        <w:rPr>
          <w:noProof/>
        </w:rPr>
        <w:t>Décret sur le catalogue des déchets no 8/2021 Coll., établissant le nouveau catalogue des déchets et fixant des règles pour l’évaluation des propriétés dangereuses des déchets</w:t>
      </w:r>
    </w:p>
    <w:p w14:paraId="5802BD53" w14:textId="77777777" w:rsidR="00025543" w:rsidRDefault="007E3A2F">
      <w:pPr>
        <w:pStyle w:val="P68B1DB1-Normal38"/>
        <w:numPr>
          <w:ilvl w:val="0"/>
          <w:numId w:val="160"/>
        </w:numPr>
        <w:spacing w:line="240" w:lineRule="auto"/>
        <w:jc w:val="both"/>
        <w:rPr>
          <w:noProof/>
          <w:color w:val="000000"/>
        </w:rPr>
      </w:pPr>
      <w:r>
        <w:rPr>
          <w:noProof/>
        </w:rPr>
        <w:t>Ordonnance sur la gestion des emballages no 30/2021 Coll., prévoyant des règles relatives au registre des emballages et à la notification des registres provenant de ce registre, ainsi qu’une méthode de comptabilisation de l’utilisation des emballages.</w:t>
      </w:r>
    </w:p>
    <w:p w14:paraId="7C25F862" w14:textId="55E0B3BA" w:rsidR="00025543" w:rsidRDefault="007E3A2F">
      <w:pPr>
        <w:pStyle w:val="P68B1DB1-Normal38"/>
        <w:numPr>
          <w:ilvl w:val="0"/>
          <w:numId w:val="160"/>
        </w:numPr>
        <w:spacing w:line="240" w:lineRule="auto"/>
        <w:jc w:val="both"/>
        <w:rPr>
          <w:noProof/>
          <w:color w:val="000000"/>
        </w:rPr>
      </w:pPr>
      <w:r>
        <w:rPr>
          <w:noProof/>
        </w:rPr>
        <w:t>Décret sur les modalités de la gestion des déchets, en préparation, en application de la loi modifiée sur les déchets et fixant des règles pour la gestion de tous les flux de déchets.</w:t>
      </w:r>
    </w:p>
    <w:p w14:paraId="57B6C2A2" w14:textId="7AB0B891" w:rsidR="00025543" w:rsidRDefault="007E3A2F">
      <w:pPr>
        <w:pStyle w:val="P68B1DB1-Normal38"/>
        <w:numPr>
          <w:ilvl w:val="0"/>
          <w:numId w:val="160"/>
        </w:numPr>
        <w:spacing w:line="240" w:lineRule="auto"/>
        <w:jc w:val="both"/>
        <w:rPr>
          <w:noProof/>
          <w:color w:val="000000"/>
        </w:rPr>
      </w:pPr>
      <w:r>
        <w:rPr>
          <w:noProof/>
        </w:rPr>
        <w:t>Décret relatif aux sous-produits et à la transformation des déchets (décret sur l’asphalte), en préparation, fixant les conditions dans lesquelles le mélange d’asphalte est un sous-produit ou cesse d’être un déchet.</w:t>
      </w:r>
    </w:p>
    <w:p w14:paraId="1955A495" w14:textId="09108129" w:rsidR="00025543" w:rsidRDefault="007E3A2F">
      <w:pPr>
        <w:pStyle w:val="P68B1DB1-Normal38"/>
        <w:numPr>
          <w:ilvl w:val="0"/>
          <w:numId w:val="160"/>
        </w:numPr>
        <w:spacing w:line="240" w:lineRule="auto"/>
        <w:jc w:val="both"/>
        <w:rPr>
          <w:noProof/>
        </w:rPr>
      </w:pPr>
      <w:r>
        <w:rPr>
          <w:noProof/>
        </w:rPr>
        <w:t>Arrêté relatif aux modalités de gestion des véhicules hors d’usage, en préparation, à la fixation de règles pour la collecte et le traitement des véhicules hors d’usage, ainsi qu’à la méthode de calcul du niveau de réutilisation et de recyclage ou autre valorisation des véhicules hors d’usage.</w:t>
      </w:r>
    </w:p>
    <w:p w14:paraId="0597B8E8" w14:textId="29049EBD" w:rsidR="00025543" w:rsidRDefault="007E3A2F">
      <w:pPr>
        <w:pStyle w:val="P68B1DB1-Normal38"/>
        <w:numPr>
          <w:ilvl w:val="0"/>
          <w:numId w:val="160"/>
        </w:numPr>
        <w:spacing w:after="0" w:line="240" w:lineRule="auto"/>
        <w:contextualSpacing/>
        <w:jc w:val="both"/>
        <w:rPr>
          <w:noProof/>
        </w:rPr>
      </w:pPr>
      <w:r>
        <w:rPr>
          <w:noProof/>
        </w:rPr>
        <w:t>Décret relatif à la gestion des produits en fin de vie, en préparation, fixant les exigences relatives à la tenue de campagnes d’information visant à sensibiliser davantage le public au traitement des produits hors d’usage et fixant des exigences techniques pour le stockage et l’utilisation des déchets électriques et électroniques tels que les déchets de piles et d’accumulateurs, les déchets d’équipements électriques et les pneus.</w:t>
      </w:r>
    </w:p>
    <w:p w14:paraId="289D486A" w14:textId="77777777" w:rsidR="00025543" w:rsidRDefault="007E3A2F">
      <w:pPr>
        <w:pStyle w:val="P68B1DB1-Normal38"/>
        <w:spacing w:line="240" w:lineRule="auto"/>
        <w:jc w:val="both"/>
        <w:rPr>
          <w:noProof/>
        </w:rPr>
      </w:pPr>
      <w:r>
        <w:rPr>
          <w:noProof/>
        </w:rPr>
        <w:t xml:space="preserve">Les plans nationaux et régionaux de gestion des déchets visant à améliorer la préparation écologiquement rationnelle en vue du réemploi, du recyclage, de la valorisation et de l’élimination des déchets sont finalisés et entrent en vigueur. </w:t>
      </w:r>
    </w:p>
    <w:p w14:paraId="34EFE3D3" w14:textId="77777777" w:rsidR="00025543" w:rsidRDefault="007E3A2F">
      <w:pPr>
        <w:pStyle w:val="P68B1DB1-Normal38"/>
        <w:spacing w:line="240" w:lineRule="auto"/>
        <w:jc w:val="both"/>
        <w:rPr>
          <w:noProof/>
          <w:color w:val="000000"/>
        </w:rPr>
      </w:pPr>
      <w:r>
        <w:rPr>
          <w:noProof/>
        </w:rPr>
        <w:t xml:space="preserve">La réforme doit être achevée au plus tard le 31 décembre 2023. </w:t>
      </w:r>
    </w:p>
    <w:p w14:paraId="7203DCE8" w14:textId="77777777" w:rsidR="00025543" w:rsidRDefault="007E3A2F">
      <w:pPr>
        <w:pStyle w:val="P68B1DB1-Normal13"/>
        <w:pBdr>
          <w:top w:val="nil"/>
          <w:left w:val="nil"/>
          <w:bottom w:val="nil"/>
          <w:right w:val="nil"/>
          <w:between w:val="nil"/>
        </w:pBdr>
        <w:spacing w:line="240" w:lineRule="auto"/>
        <w:jc w:val="both"/>
        <w:rPr>
          <w:noProof/>
        </w:rPr>
      </w:pPr>
      <w:r>
        <w:rPr>
          <w:b/>
          <w:noProof/>
        </w:rPr>
        <w:t>Réforme 2: Finalisation et mise en œuvre de la stratégie circulaire pour la Tchéquie à l’horizon 2040</w:t>
      </w:r>
      <w:r>
        <w:rPr>
          <w:noProof/>
        </w:rPr>
        <w:t xml:space="preserve"> </w:t>
      </w:r>
    </w:p>
    <w:p w14:paraId="193EA685" w14:textId="77777777" w:rsidR="00025543" w:rsidRDefault="007E3A2F">
      <w:pPr>
        <w:pStyle w:val="P68B1DB1-Normal13"/>
        <w:pBdr>
          <w:top w:val="nil"/>
          <w:left w:val="nil"/>
          <w:bottom w:val="nil"/>
          <w:right w:val="nil"/>
          <w:between w:val="nil"/>
        </w:pBdr>
        <w:spacing w:line="240" w:lineRule="auto"/>
        <w:jc w:val="both"/>
        <w:rPr>
          <w:noProof/>
        </w:rPr>
      </w:pPr>
      <w:r>
        <w:rPr>
          <w:noProof/>
        </w:rPr>
        <w:t>La réforme vise à établir et à lancer la mise en œuvre d’une stratégie visant à transformer la société tchèque en une économie circulaire. Ce système économique circulaire envisagé sera réalisé en réduisant au minimum la production de déchets et l’utilisation des ressources, conformément au nouveau plan d’action de l’UE en faveur de l’économie circulaire.</w:t>
      </w:r>
    </w:p>
    <w:p w14:paraId="13870812" w14:textId="77777777" w:rsidR="00025543" w:rsidRDefault="007E3A2F">
      <w:pPr>
        <w:pBdr>
          <w:top w:val="nil"/>
          <w:left w:val="nil"/>
          <w:bottom w:val="nil"/>
          <w:right w:val="nil"/>
          <w:between w:val="nil"/>
        </w:pBdr>
        <w:spacing w:line="240" w:lineRule="auto"/>
        <w:jc w:val="both"/>
        <w:rPr>
          <w:noProof/>
          <w:color w:val="000000"/>
        </w:rPr>
      </w:pPr>
      <w:r>
        <w:rPr>
          <w:rFonts w:eastAsia="Times New Roman"/>
          <w:noProof/>
          <w:color w:val="000000"/>
        </w:rPr>
        <w:t>La réforme consiste en la finalisation et la mise en œuvre de la stratégie circulaire 2040 pour la Tchéquie, qui</w:t>
      </w:r>
      <w:r>
        <w:rPr>
          <w:rFonts w:eastAsia="Times New Roman"/>
          <w:noProof/>
        </w:rPr>
        <w:t xml:space="preserve"> </w:t>
      </w:r>
      <w:r>
        <w:rPr>
          <w:noProof/>
          <w:color w:val="000000"/>
        </w:rPr>
        <w:t>promeut les principes de l’économie circulaire et définit plus précisément les priorités et les mesures nécessaires pour que la Tchéquie devienne résiliente à long terme aux futures menaces environnementales, y compris le changement climatique et la perte de biodiversité, et développe un système social global durable. Grâce à des chaînes d’approvisionnement raccourcies et diversifiées et à une dépendance moindre à l’égard des ressources primaires, une économie circulaire contribue au renforcement de l’autonomie stratégique et de la résilience de la Tchéquie. La stratégie encourage notamment les entreprises, les consommateurs, les villes et les municipalités à soutenir des solutions circulaires par la conception et la fabrication de produits, l’innovation, la recherche, la numérisation et l’éducation. La stratégie sera finalisée au plus tard le 31 mars 2022, puis le plan d’action.</w:t>
      </w:r>
    </w:p>
    <w:p w14:paraId="3E4D6684" w14:textId="77777777" w:rsidR="00025543" w:rsidRDefault="007E3A2F">
      <w:pPr>
        <w:pStyle w:val="P68B1DB1-Normal13"/>
        <w:pBdr>
          <w:top w:val="nil"/>
          <w:left w:val="nil"/>
          <w:bottom w:val="nil"/>
          <w:right w:val="nil"/>
          <w:between w:val="nil"/>
        </w:pBdr>
        <w:spacing w:line="240" w:lineRule="auto"/>
        <w:jc w:val="both"/>
        <w:rPr>
          <w:noProof/>
        </w:rPr>
      </w:pPr>
      <w:r>
        <w:rPr>
          <w:noProof/>
        </w:rPr>
        <w:t xml:space="preserve">La réforme doit être achevée au plus tard le 30 septembre 2025. </w:t>
      </w:r>
    </w:p>
    <w:p w14:paraId="3A62B6D6" w14:textId="15BB894F" w:rsidR="00025543" w:rsidRDefault="007E3A2F">
      <w:pPr>
        <w:pStyle w:val="P68B1DB1-Normal13"/>
        <w:pBdr>
          <w:top w:val="nil"/>
          <w:left w:val="nil"/>
          <w:bottom w:val="nil"/>
          <w:right w:val="nil"/>
          <w:between w:val="nil"/>
        </w:pBdr>
        <w:spacing w:line="240" w:lineRule="auto"/>
        <w:rPr>
          <w:noProof/>
        </w:rPr>
      </w:pPr>
      <w:r>
        <w:rPr>
          <w:b/>
          <w:noProof/>
        </w:rPr>
        <w:t>Investissement 1</w:t>
      </w:r>
      <w:r>
        <w:rPr>
          <w:noProof/>
        </w:rPr>
        <w:t xml:space="preserve">: </w:t>
      </w:r>
      <w:r>
        <w:rPr>
          <w:b/>
          <w:noProof/>
        </w:rPr>
        <w:t>Construction d’infrastructures de recyclage</w:t>
      </w:r>
      <w:r>
        <w:rPr>
          <w:noProof/>
        </w:rPr>
        <w:t xml:space="preserve"> </w:t>
      </w:r>
    </w:p>
    <w:p w14:paraId="3339B5BE" w14:textId="0A35F3B4" w:rsidR="00025543" w:rsidRDefault="007E3A2F">
      <w:pPr>
        <w:pStyle w:val="P68B1DB1-Normal3"/>
        <w:autoSpaceDE w:val="0"/>
        <w:autoSpaceDN w:val="0"/>
        <w:spacing w:after="0" w:line="240" w:lineRule="auto"/>
        <w:rPr>
          <w:noProof/>
          <w:color w:val="006100"/>
          <w:sz w:val="18"/>
        </w:rPr>
      </w:pPr>
      <w:r>
        <w:rPr>
          <w:noProof/>
        </w:rPr>
        <w:t xml:space="preserve">L’objectif général de cette mesure est de soutenir les investissements conduisant au développement d’une économie circulaire dans le domaine de la gestion des déchets biodégradables. La mesure soutient des projets améliorant les capacités de recyclage des déchets biodégradables et des projets visant à réintroduire dans le sol le compost et les déchets provenant des digesteurs de biogaz.  </w:t>
      </w:r>
    </w:p>
    <w:p w14:paraId="31C7B5B3" w14:textId="77777777" w:rsidR="00025543" w:rsidRDefault="007E3A2F">
      <w:pPr>
        <w:pStyle w:val="P68B1DB1-Normal13"/>
        <w:pBdr>
          <w:top w:val="nil"/>
          <w:left w:val="nil"/>
          <w:bottom w:val="nil"/>
          <w:right w:val="nil"/>
          <w:between w:val="nil"/>
        </w:pBdr>
        <w:spacing w:line="240" w:lineRule="auto"/>
        <w:jc w:val="both"/>
        <w:rPr>
          <w:noProof/>
        </w:rPr>
      </w:pPr>
      <w:r>
        <w:rPr>
          <w:noProof/>
        </w:rPr>
        <w:t>L’investissement est achevé au plus tard le 31 décembre 2025.</w:t>
      </w:r>
    </w:p>
    <w:p w14:paraId="559274FC" w14:textId="5DE82F3C" w:rsidR="00025543" w:rsidRDefault="007E3A2F">
      <w:pPr>
        <w:pStyle w:val="P68B1DB1-Normal14"/>
        <w:spacing w:line="240" w:lineRule="auto"/>
        <w:rPr>
          <w:noProof/>
        </w:rPr>
      </w:pPr>
      <w:r>
        <w:rPr>
          <w:noProof/>
        </w:rPr>
        <w:t>Investissement 2: Solutions circulaires dans les entreprises</w:t>
      </w:r>
    </w:p>
    <w:p w14:paraId="6E9EC308" w14:textId="77777777" w:rsidR="00025543" w:rsidRDefault="007E3A2F">
      <w:pPr>
        <w:pBdr>
          <w:top w:val="nil"/>
          <w:left w:val="nil"/>
          <w:bottom w:val="nil"/>
          <w:right w:val="nil"/>
          <w:between w:val="nil"/>
        </w:pBdr>
        <w:spacing w:line="240" w:lineRule="auto"/>
        <w:jc w:val="both"/>
        <w:rPr>
          <w:noProof/>
          <w:color w:val="000000"/>
        </w:rPr>
      </w:pPr>
      <w:r>
        <w:rPr>
          <w:noProof/>
        </w:rPr>
        <w:t>La mesure</w:t>
      </w:r>
      <w:r>
        <w:rPr>
          <w:noProof/>
          <w:color w:val="000000"/>
        </w:rPr>
        <w:t>vise à contribuer à la transition écologique et à l’utilisation durable des ressources en matières premières primaires. À cette fin, la mesure soutient des projets qui favorisent le développement de solutions d’économie circulaire parmi les entreprises. Cela implique des investissements dans des technologies innovantes</w:t>
      </w:r>
      <w:r>
        <w:rPr>
          <w:noProof/>
        </w:rPr>
        <w:t xml:space="preserve"> qui</w:t>
      </w:r>
      <w:r>
        <w:rPr>
          <w:noProof/>
          <w:color w:val="000000"/>
        </w:rPr>
        <w:t xml:space="preserve"> i) permettent l’utilisation nouvelle ou accrue de matières premières secondaires en remplacement des ressources primaires et ii)</w:t>
      </w:r>
      <w:r>
        <w:rPr>
          <w:noProof/>
          <w:color w:val="000000"/>
          <w:highlight w:val="white"/>
        </w:rPr>
        <w:t xml:space="preserve"> réduisent</w:t>
      </w:r>
      <w:r>
        <w:rPr>
          <w:noProof/>
        </w:rPr>
        <w:t xml:space="preserve"> </w:t>
      </w:r>
      <w:r>
        <w:rPr>
          <w:noProof/>
          <w:color w:val="000000"/>
          <w:highlight w:val="white"/>
        </w:rPr>
        <w:t>l’intensité de la production et remplacent les matières premières primaires par des matières premières secondaires</w:t>
      </w:r>
      <w:r>
        <w:rPr>
          <w:noProof/>
          <w:color w:val="000000"/>
        </w:rPr>
        <w:t xml:space="preserve">. </w:t>
      </w:r>
    </w:p>
    <w:p w14:paraId="5BAD01CA" w14:textId="77777777" w:rsidR="00025543" w:rsidRDefault="007E3A2F">
      <w:pPr>
        <w:pBdr>
          <w:top w:val="nil"/>
          <w:left w:val="nil"/>
          <w:bottom w:val="nil"/>
          <w:right w:val="nil"/>
          <w:between w:val="nil"/>
        </w:pBdr>
        <w:spacing w:line="240" w:lineRule="auto"/>
        <w:jc w:val="both"/>
        <w:rPr>
          <w:b/>
          <w:noProof/>
        </w:rPr>
      </w:pPr>
      <w:r>
        <w:rPr>
          <w:noProof/>
        </w:rPr>
        <w:t xml:space="preserve">La mesure est également axée sur l’ </w:t>
      </w:r>
      <w:r>
        <w:rPr>
          <w:noProof/>
          <w:highlight w:val="white"/>
        </w:rPr>
        <w:t xml:space="preserve">optimisation de l’écoconception des matériaux des produits afin de faciliter le recyclage et la réutilisation, parallèlement aux projets de symbiose industrielle et à d’autres projets d’investissement contribuant à la </w:t>
      </w:r>
      <w:r>
        <w:rPr>
          <w:noProof/>
        </w:rPr>
        <w:t xml:space="preserve">transition vers une économie circulaire. Enfin, </w:t>
      </w:r>
      <w:r>
        <w:rPr>
          <w:noProof/>
          <w:highlight w:val="white"/>
        </w:rPr>
        <w:t>l’investissement soutient des projets portant sur l’application ciblée de matériaux recyclés dans les produits</w:t>
      </w:r>
      <w:r>
        <w:rPr>
          <w:noProof/>
        </w:rPr>
        <w:t xml:space="preserve">. Un soutien est attendu pour au moins 60 entreprises. </w:t>
      </w:r>
    </w:p>
    <w:p w14:paraId="172A9434" w14:textId="77777777" w:rsidR="00025543" w:rsidRDefault="007E3A2F">
      <w:pPr>
        <w:pBdr>
          <w:top w:val="nil"/>
          <w:left w:val="nil"/>
          <w:bottom w:val="nil"/>
          <w:right w:val="nil"/>
          <w:between w:val="nil"/>
        </w:pBdr>
        <w:spacing w:line="240" w:lineRule="auto"/>
        <w:jc w:val="both"/>
        <w:rPr>
          <w:noProof/>
        </w:rPr>
      </w:pPr>
      <w:r>
        <w:rPr>
          <w:noProof/>
        </w:rPr>
        <w:t>L’investissement est achevé au plus tard le 31 décembre 2025.</w:t>
      </w:r>
    </w:p>
    <w:p w14:paraId="57843EFE" w14:textId="77777777" w:rsidR="00025543" w:rsidRDefault="007E3A2F">
      <w:pPr>
        <w:pStyle w:val="P68B1DB1-Normal13"/>
        <w:pBdr>
          <w:top w:val="nil"/>
          <w:left w:val="nil"/>
          <w:bottom w:val="nil"/>
          <w:right w:val="nil"/>
          <w:between w:val="nil"/>
        </w:pBdr>
        <w:spacing w:line="240" w:lineRule="auto"/>
        <w:rPr>
          <w:b/>
          <w:noProof/>
        </w:rPr>
      </w:pPr>
      <w:r>
        <w:rPr>
          <w:b/>
          <w:noProof/>
        </w:rPr>
        <w:t>Investissement 3</w:t>
      </w:r>
      <w:r>
        <w:rPr>
          <w:noProof/>
        </w:rPr>
        <w:t xml:space="preserve">: </w:t>
      </w:r>
      <w:r>
        <w:rPr>
          <w:b/>
          <w:noProof/>
        </w:rPr>
        <w:t>Économies d’eau dans l’industrie</w:t>
      </w:r>
    </w:p>
    <w:p w14:paraId="077187A5" w14:textId="77777777" w:rsidR="00025543" w:rsidRDefault="007E3A2F">
      <w:pPr>
        <w:pBdr>
          <w:top w:val="nil"/>
          <w:left w:val="nil"/>
          <w:bottom w:val="nil"/>
          <w:right w:val="nil"/>
          <w:between w:val="nil"/>
        </w:pBdr>
        <w:spacing w:line="240" w:lineRule="auto"/>
        <w:rPr>
          <w:noProof/>
        </w:rPr>
      </w:pPr>
      <w:r>
        <w:rPr>
          <w:noProof/>
        </w:rPr>
        <w:t>La</w:t>
      </w:r>
      <w:r>
        <w:rPr>
          <w:noProof/>
          <w:color w:val="000000"/>
        </w:rPr>
        <w:t>mesure</w:t>
      </w:r>
      <w:r>
        <w:rPr>
          <w:b/>
          <w:noProof/>
          <w:color w:val="000000"/>
        </w:rPr>
        <w:t xml:space="preserve"> </w:t>
      </w:r>
      <w:r>
        <w:rPr>
          <w:noProof/>
          <w:color w:val="000000"/>
        </w:rPr>
        <w:t xml:space="preserve">vise à contribuer à une économie circulaire en améliorant la gestion de l’eau dans </w:t>
      </w:r>
      <w:r>
        <w:rPr>
          <w:noProof/>
        </w:rPr>
        <w:t xml:space="preserve">le secteur. </w:t>
      </w:r>
    </w:p>
    <w:p w14:paraId="296D719A" w14:textId="77777777" w:rsidR="00025543" w:rsidRDefault="007E3A2F">
      <w:pPr>
        <w:pBdr>
          <w:top w:val="nil"/>
          <w:left w:val="nil"/>
          <w:bottom w:val="nil"/>
          <w:right w:val="nil"/>
          <w:between w:val="nil"/>
        </w:pBdr>
        <w:spacing w:line="240" w:lineRule="auto"/>
        <w:rPr>
          <w:noProof/>
        </w:rPr>
      </w:pPr>
      <w:r>
        <w:rPr>
          <w:noProof/>
        </w:rPr>
        <w:t xml:space="preserve">La mesure est axée sur des projets portant sur les questions suivantes: </w:t>
      </w:r>
    </w:p>
    <w:p w14:paraId="66ABDE4F" w14:textId="77777777" w:rsidR="00025543" w:rsidRDefault="007E3A2F">
      <w:pPr>
        <w:numPr>
          <w:ilvl w:val="0"/>
          <w:numId w:val="161"/>
        </w:numPr>
        <w:pBdr>
          <w:top w:val="nil"/>
          <w:left w:val="nil"/>
          <w:bottom w:val="nil"/>
          <w:right w:val="nil"/>
          <w:between w:val="nil"/>
        </w:pBdr>
        <w:spacing w:line="240" w:lineRule="auto"/>
        <w:contextualSpacing/>
        <w:rPr>
          <w:noProof/>
        </w:rPr>
      </w:pPr>
      <w:r>
        <w:rPr>
          <w:noProof/>
        </w:rPr>
        <w:t xml:space="preserve">optimiser la consommation d’eau par l’installation de nouvelles technologies et de nouveaux équipements permettant d’économiser l’eau, </w:t>
      </w:r>
    </w:p>
    <w:p w14:paraId="6A7C73D5" w14:textId="77777777" w:rsidR="00025543" w:rsidRDefault="007E3A2F">
      <w:pPr>
        <w:numPr>
          <w:ilvl w:val="0"/>
          <w:numId w:val="161"/>
        </w:numPr>
        <w:pBdr>
          <w:top w:val="nil"/>
          <w:left w:val="nil"/>
          <w:bottom w:val="nil"/>
          <w:right w:val="nil"/>
          <w:between w:val="nil"/>
        </w:pBdr>
        <w:spacing w:line="240" w:lineRule="auto"/>
        <w:contextualSpacing/>
        <w:rPr>
          <w:noProof/>
        </w:rPr>
      </w:pPr>
      <w:r>
        <w:rPr>
          <w:noProof/>
        </w:rPr>
        <w:t>recyclage de l’eau dans les secteurs de production et autres activités commerciales à forte consommation d’eau,</w:t>
      </w:r>
    </w:p>
    <w:p w14:paraId="4374AB3D" w14:textId="77777777" w:rsidR="00025543" w:rsidRDefault="007E3A2F">
      <w:pPr>
        <w:numPr>
          <w:ilvl w:val="0"/>
          <w:numId w:val="161"/>
        </w:numPr>
        <w:pBdr>
          <w:top w:val="nil"/>
          <w:left w:val="nil"/>
          <w:bottom w:val="nil"/>
          <w:right w:val="nil"/>
          <w:between w:val="nil"/>
        </w:pBdr>
        <w:spacing w:line="240" w:lineRule="auto"/>
        <w:contextualSpacing/>
        <w:rPr>
          <w:noProof/>
        </w:rPr>
      </w:pPr>
      <w:r>
        <w:rPr>
          <w:noProof/>
        </w:rPr>
        <w:t xml:space="preserve">la réutilisation de l’eau polluée ou utilisée dans d’autres procédés, </w:t>
      </w:r>
    </w:p>
    <w:p w14:paraId="6DDA1C79" w14:textId="77777777" w:rsidR="00025543" w:rsidRDefault="007E3A2F">
      <w:pPr>
        <w:numPr>
          <w:ilvl w:val="0"/>
          <w:numId w:val="161"/>
        </w:numPr>
        <w:pBdr>
          <w:top w:val="nil"/>
          <w:left w:val="nil"/>
          <w:bottom w:val="nil"/>
          <w:right w:val="nil"/>
          <w:between w:val="nil"/>
        </w:pBdr>
        <w:spacing w:line="240" w:lineRule="auto"/>
        <w:contextualSpacing/>
        <w:rPr>
          <w:noProof/>
        </w:rPr>
      </w:pPr>
      <w:r>
        <w:rPr>
          <w:noProof/>
        </w:rPr>
        <w:t xml:space="preserve">optimiser l’utilisation de l’eau dans les centrales d’utilité publique, </w:t>
      </w:r>
    </w:p>
    <w:p w14:paraId="63833B93" w14:textId="77777777" w:rsidR="00025543" w:rsidRDefault="007E3A2F">
      <w:pPr>
        <w:numPr>
          <w:ilvl w:val="0"/>
          <w:numId w:val="161"/>
        </w:numPr>
        <w:pBdr>
          <w:top w:val="nil"/>
          <w:left w:val="nil"/>
          <w:bottom w:val="nil"/>
          <w:right w:val="nil"/>
          <w:between w:val="nil"/>
        </w:pBdr>
        <w:spacing w:line="240" w:lineRule="auto"/>
        <w:contextualSpacing/>
        <w:rPr>
          <w:noProof/>
        </w:rPr>
      </w:pPr>
      <w:r>
        <w:rPr>
          <w:noProof/>
        </w:rPr>
        <w:t>réduire les pertes d’eau dans les réseaux d’eau fermés et les réseaux de distribution d’eau,</w:t>
      </w:r>
    </w:p>
    <w:p w14:paraId="3C916CB7" w14:textId="77777777" w:rsidR="00025543" w:rsidRDefault="007E3A2F">
      <w:pPr>
        <w:numPr>
          <w:ilvl w:val="0"/>
          <w:numId w:val="161"/>
        </w:numPr>
        <w:pBdr>
          <w:top w:val="nil"/>
          <w:left w:val="nil"/>
          <w:bottom w:val="nil"/>
          <w:right w:val="nil"/>
          <w:between w:val="nil"/>
        </w:pBdr>
        <w:spacing w:line="240" w:lineRule="auto"/>
        <w:contextualSpacing/>
        <w:rPr>
          <w:noProof/>
        </w:rPr>
      </w:pPr>
      <w:r>
        <w:rPr>
          <w:noProof/>
        </w:rPr>
        <w:t>exploiter le potentiel des déchets de vapeur,</w:t>
      </w:r>
    </w:p>
    <w:p w14:paraId="32047B0D" w14:textId="77777777" w:rsidR="00025543" w:rsidRDefault="007E3A2F">
      <w:pPr>
        <w:numPr>
          <w:ilvl w:val="0"/>
          <w:numId w:val="161"/>
        </w:numPr>
        <w:pBdr>
          <w:top w:val="nil"/>
          <w:left w:val="nil"/>
          <w:bottom w:val="nil"/>
          <w:right w:val="nil"/>
          <w:between w:val="nil"/>
        </w:pBdr>
        <w:spacing w:line="240" w:lineRule="auto"/>
        <w:contextualSpacing/>
        <w:rPr>
          <w:noProof/>
        </w:rPr>
      </w:pPr>
      <w:r>
        <w:rPr>
          <w:noProof/>
        </w:rPr>
        <w:t xml:space="preserve">d’autres projets visant à améliorer la gestion de l’eau dans l’industrie. </w:t>
      </w:r>
    </w:p>
    <w:p w14:paraId="70F18201" w14:textId="77777777" w:rsidR="00025543" w:rsidRDefault="007E3A2F">
      <w:pPr>
        <w:pBdr>
          <w:top w:val="nil"/>
          <w:left w:val="nil"/>
          <w:bottom w:val="nil"/>
          <w:right w:val="nil"/>
          <w:between w:val="nil"/>
        </w:pBdr>
        <w:spacing w:line="240" w:lineRule="auto"/>
        <w:rPr>
          <w:noProof/>
        </w:rPr>
      </w:pPr>
      <w:r>
        <w:rPr>
          <w:noProof/>
        </w:rPr>
        <w:t>Un soutien est attendu pour au moins 40 entreprises.</w:t>
      </w:r>
    </w:p>
    <w:p w14:paraId="7C1549DC" w14:textId="77777777" w:rsidR="00025543" w:rsidRDefault="007E3A2F">
      <w:pPr>
        <w:pBdr>
          <w:top w:val="nil"/>
          <w:left w:val="nil"/>
          <w:bottom w:val="nil"/>
          <w:right w:val="nil"/>
          <w:between w:val="nil"/>
        </w:pBdr>
        <w:spacing w:line="240" w:lineRule="auto"/>
        <w:rPr>
          <w:noProof/>
        </w:rPr>
      </w:pPr>
      <w:r>
        <w:rPr>
          <w:noProof/>
        </w:rPr>
        <w:t>L’investissement est achevé au plus tard le 31 décembre 2025.</w:t>
      </w:r>
    </w:p>
    <w:p w14:paraId="57BF7388" w14:textId="77777777" w:rsidR="00025543" w:rsidRDefault="00025543">
      <w:pPr>
        <w:tabs>
          <w:tab w:val="left" w:pos="993"/>
        </w:tabs>
        <w:spacing w:line="240" w:lineRule="auto"/>
        <w:jc w:val="both"/>
        <w:rPr>
          <w:b/>
          <w:noProof/>
          <w:u w:val="single"/>
        </w:rPr>
        <w:sectPr w:rsidR="00025543" w:rsidSect="00786C7E">
          <w:headerReference w:type="even" r:id="rId222"/>
          <w:headerReference w:type="default" r:id="rId223"/>
          <w:footerReference w:type="even" r:id="rId224"/>
          <w:footerReference w:type="default" r:id="rId225"/>
          <w:headerReference w:type="first" r:id="rId226"/>
          <w:footerReference w:type="first" r:id="rId227"/>
          <w:pgSz w:w="11907" w:h="16839"/>
          <w:pgMar w:top="1134" w:right="1134" w:bottom="1134" w:left="1134" w:header="567" w:footer="567" w:gutter="0"/>
          <w:cols w:space="720"/>
          <w:docGrid w:linePitch="326"/>
        </w:sectPr>
      </w:pPr>
    </w:p>
    <w:p w14:paraId="723C58DD" w14:textId="6FE8DACB" w:rsidR="00025543" w:rsidRDefault="007E3A2F">
      <w:pPr>
        <w:pStyle w:val="P68B1DB1-Normal5"/>
        <w:tabs>
          <w:tab w:val="left" w:pos="993"/>
        </w:tabs>
        <w:spacing w:line="240" w:lineRule="auto"/>
        <w:jc w:val="both"/>
        <w:rPr>
          <w:noProof/>
        </w:rPr>
      </w:pPr>
      <w:r>
        <w:rPr>
          <w:noProof/>
        </w:rPr>
        <w:t xml:space="preserve">NO 2. Jalons, cibles, indicateurs et calendrier de suivi et de mise en œuvre en vue du soutien financier non remboursable </w:t>
      </w:r>
    </w:p>
    <w:tbl>
      <w:tblPr>
        <w:tblW w:w="14564" w:type="dxa"/>
        <w:jc w:val="center"/>
        <w:tblLayout w:type="fixed"/>
        <w:tblLook w:val="0400" w:firstRow="0" w:lastRow="0" w:firstColumn="0" w:lastColumn="0" w:noHBand="0" w:noVBand="1"/>
      </w:tblPr>
      <w:tblGrid>
        <w:gridCol w:w="650"/>
        <w:gridCol w:w="1245"/>
        <w:gridCol w:w="1082"/>
        <w:gridCol w:w="1378"/>
        <w:gridCol w:w="1482"/>
        <w:gridCol w:w="948"/>
        <w:gridCol w:w="1082"/>
        <w:gridCol w:w="681"/>
        <w:gridCol w:w="948"/>
        <w:gridCol w:w="681"/>
        <w:gridCol w:w="4387"/>
      </w:tblGrid>
      <w:tr w:rsidR="00025543" w14:paraId="186EEF92" w14:textId="77777777">
        <w:trPr>
          <w:trHeight w:val="533"/>
          <w:tblHeader/>
          <w:jc w:val="center"/>
        </w:trPr>
        <w:tc>
          <w:tcPr>
            <w:tcW w:w="675"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1029FD2A" w14:textId="77777777" w:rsidR="00025543" w:rsidRDefault="007E3A2F">
            <w:pPr>
              <w:pStyle w:val="P68B1DB1-Normal9"/>
              <w:spacing w:line="240" w:lineRule="auto"/>
              <w:jc w:val="center"/>
              <w:rPr>
                <w:noProof/>
              </w:rPr>
            </w:pPr>
            <w:r>
              <w:rPr>
                <w:noProof/>
              </w:rPr>
              <w:t>Séquence NUM.</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35E1F6DF" w14:textId="77777777" w:rsidR="00025543" w:rsidRDefault="007E3A2F">
            <w:pPr>
              <w:pStyle w:val="P68B1DB1-Normal9"/>
              <w:spacing w:line="240" w:lineRule="auto"/>
              <w:jc w:val="center"/>
              <w:rPr>
                <w:noProof/>
              </w:rPr>
            </w:pPr>
            <w:r>
              <w:rPr>
                <w:noProof/>
              </w:rPr>
              <w:t>Mesure connexe (réforme ou investissement)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38C88ED8" w14:textId="77777777" w:rsidR="00025543" w:rsidRDefault="007E3A2F">
            <w:pPr>
              <w:pStyle w:val="P68B1DB1-Normal9"/>
              <w:spacing w:line="240" w:lineRule="auto"/>
              <w:jc w:val="center"/>
              <w:rPr>
                <w:noProof/>
              </w:rPr>
            </w:pPr>
            <w:r>
              <w:rPr>
                <w:noProof/>
              </w:rPr>
              <w:t xml:space="preserve">Jalon/cible </w:t>
            </w:r>
          </w:p>
        </w:tc>
        <w:tc>
          <w:tcPr>
            <w:tcW w:w="1449"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011CD967" w14:textId="77777777" w:rsidR="00025543" w:rsidRDefault="007E3A2F">
            <w:pPr>
              <w:pStyle w:val="P68B1DB1-Normal9"/>
              <w:spacing w:line="240" w:lineRule="auto"/>
              <w:jc w:val="center"/>
              <w:rPr>
                <w:noProof/>
              </w:rPr>
            </w:pPr>
            <w:r>
              <w:rPr>
                <w:noProof/>
              </w:rPr>
              <w:t xml:space="preserve">Nom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4ACCEB3B" w14:textId="77777777" w:rsidR="00025543" w:rsidRDefault="007E3A2F">
            <w:pPr>
              <w:pStyle w:val="P68B1DB1-Normal10"/>
              <w:spacing w:line="240" w:lineRule="auto"/>
              <w:jc w:val="center"/>
              <w:rPr>
                <w:noProof/>
              </w:rPr>
            </w:pPr>
            <w:r>
              <w:rPr>
                <w:b/>
                <w:noProof/>
              </w:rPr>
              <w:t>Qualitatifs</w:t>
            </w:r>
            <w:r>
              <w:rPr>
                <w:noProof/>
              </w:rPr>
              <w:br/>
            </w:r>
            <w:r>
              <w:rPr>
                <w:b/>
                <w:noProof/>
              </w:rPr>
              <w:t xml:space="preserve"> (pour les jalons)</w:t>
            </w:r>
          </w:p>
        </w:tc>
        <w:tc>
          <w:tcPr>
            <w:tcW w:w="2268" w:type="dxa"/>
            <w:gridSpan w:val="3"/>
            <w:tcBorders>
              <w:top w:val="single" w:sz="8" w:space="0" w:color="000000" w:themeColor="text1"/>
              <w:left w:val="single" w:sz="4" w:space="0" w:color="auto"/>
              <w:bottom w:val="single" w:sz="8" w:space="0" w:color="000000" w:themeColor="text1"/>
              <w:right w:val="single" w:sz="8" w:space="0" w:color="000000" w:themeColor="text1"/>
            </w:tcBorders>
            <w:shd w:val="clear" w:color="auto" w:fill="BDD7EE"/>
            <w:vAlign w:val="center"/>
          </w:tcPr>
          <w:p w14:paraId="326913B9" w14:textId="77777777" w:rsidR="00025543" w:rsidRDefault="007E3A2F">
            <w:pPr>
              <w:pStyle w:val="P68B1DB1-Normal10"/>
              <w:spacing w:line="240" w:lineRule="auto"/>
              <w:jc w:val="center"/>
              <w:rPr>
                <w:noProof/>
              </w:rPr>
            </w:pPr>
            <w:r>
              <w:rPr>
                <w:b/>
                <w:noProof/>
              </w:rPr>
              <w:t>Indicateurs quantitatifs</w:t>
            </w:r>
            <w:r>
              <w:rPr>
                <w:noProof/>
              </w:rPr>
              <w:br/>
            </w:r>
            <w:r>
              <w:rPr>
                <w:b/>
                <w:noProof/>
              </w:rPr>
              <w:t xml:space="preserve"> (pour les objectifs)</w:t>
            </w:r>
          </w:p>
        </w:tc>
        <w:tc>
          <w:tcPr>
            <w:tcW w:w="1701" w:type="dxa"/>
            <w:gridSpan w:val="2"/>
            <w:tcBorders>
              <w:top w:val="single" w:sz="8" w:space="0" w:color="000000" w:themeColor="text1"/>
              <w:left w:val="nil"/>
              <w:bottom w:val="single" w:sz="8" w:space="0" w:color="000000" w:themeColor="text1"/>
              <w:right w:val="single" w:sz="4" w:space="0" w:color="auto"/>
            </w:tcBorders>
            <w:shd w:val="clear" w:color="auto" w:fill="BDD7EE"/>
            <w:vAlign w:val="center"/>
          </w:tcPr>
          <w:p w14:paraId="0426649F" w14:textId="77777777" w:rsidR="00025543" w:rsidRDefault="007E3A2F">
            <w:pPr>
              <w:pStyle w:val="P68B1DB1-Normal9"/>
              <w:spacing w:line="240" w:lineRule="auto"/>
              <w:jc w:val="center"/>
              <w:rPr>
                <w:noProof/>
              </w:rPr>
            </w:pPr>
            <w:r>
              <w:rPr>
                <w:noProof/>
              </w:rPr>
              <w:t xml:space="preserve">Calendrier indicatif de réalisation </w:t>
            </w:r>
          </w:p>
        </w:tc>
        <w:tc>
          <w:tcPr>
            <w:tcW w:w="4644"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4FEED505" w14:textId="77777777" w:rsidR="00025543" w:rsidRDefault="007E3A2F">
            <w:pPr>
              <w:pStyle w:val="P68B1DB1-Normal9"/>
              <w:spacing w:line="240" w:lineRule="auto"/>
              <w:jc w:val="center"/>
              <w:rPr>
                <w:noProof/>
              </w:rPr>
            </w:pPr>
            <w:r>
              <w:rPr>
                <w:noProof/>
              </w:rPr>
              <w:t>Description et définition claire de chaque jalon et cible</w:t>
            </w:r>
          </w:p>
        </w:tc>
      </w:tr>
      <w:tr w:rsidR="00025543" w14:paraId="6251875B" w14:textId="77777777">
        <w:trPr>
          <w:trHeight w:val="75"/>
          <w:tblHeader/>
          <w:jc w:val="center"/>
        </w:trPr>
        <w:tc>
          <w:tcPr>
            <w:tcW w:w="675" w:type="dxa"/>
            <w:vMerge/>
            <w:tcBorders>
              <w:top w:val="single" w:sz="4" w:space="0" w:color="auto"/>
              <w:left w:val="single" w:sz="4" w:space="0" w:color="auto"/>
              <w:bottom w:val="single" w:sz="4" w:space="0" w:color="auto"/>
              <w:right w:val="single" w:sz="4" w:space="0" w:color="auto"/>
            </w:tcBorders>
            <w:vAlign w:val="center"/>
          </w:tcPr>
          <w:p w14:paraId="72E963D7"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c>
          <w:tcPr>
            <w:tcW w:w="1307" w:type="dxa"/>
            <w:vMerge/>
            <w:tcBorders>
              <w:top w:val="single" w:sz="4" w:space="0" w:color="auto"/>
              <w:left w:val="single" w:sz="4" w:space="0" w:color="auto"/>
              <w:bottom w:val="single" w:sz="4" w:space="0" w:color="auto"/>
              <w:right w:val="single" w:sz="4" w:space="0" w:color="auto"/>
            </w:tcBorders>
            <w:vAlign w:val="center"/>
          </w:tcPr>
          <w:p w14:paraId="7EA82AF5"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48502F3"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c>
          <w:tcPr>
            <w:tcW w:w="1449" w:type="dxa"/>
            <w:vMerge/>
            <w:tcBorders>
              <w:top w:val="single" w:sz="4" w:space="0" w:color="auto"/>
              <w:left w:val="single" w:sz="4" w:space="0" w:color="auto"/>
              <w:bottom w:val="single" w:sz="4" w:space="0" w:color="auto"/>
              <w:right w:val="single" w:sz="4" w:space="0" w:color="auto"/>
            </w:tcBorders>
            <w:vAlign w:val="center"/>
          </w:tcPr>
          <w:p w14:paraId="4DCEE730"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1587FE26"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c>
          <w:tcPr>
            <w:tcW w:w="992"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BDD7EE"/>
            <w:vAlign w:val="center"/>
          </w:tcPr>
          <w:p w14:paraId="1D2DA5E3" w14:textId="77777777" w:rsidR="00025543" w:rsidRDefault="007E3A2F">
            <w:pPr>
              <w:pStyle w:val="P68B1DB1-Normal9"/>
              <w:spacing w:line="240" w:lineRule="auto"/>
              <w:jc w:val="center"/>
              <w:rPr>
                <w:noProof/>
              </w:rPr>
            </w:pPr>
            <w:r>
              <w:rPr>
                <w:noProof/>
              </w:rPr>
              <w:t>Unité de mesure</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tcPr>
          <w:p w14:paraId="7B41C423" w14:textId="77777777" w:rsidR="00025543" w:rsidRDefault="007E3A2F">
            <w:pPr>
              <w:pStyle w:val="P68B1DB1-Normal9"/>
              <w:spacing w:line="240" w:lineRule="auto"/>
              <w:jc w:val="center"/>
              <w:rPr>
                <w:noProof/>
              </w:rPr>
            </w:pPr>
            <w:r>
              <w:rPr>
                <w:noProof/>
              </w:rPr>
              <w:t>Scénario de référence</w:t>
            </w:r>
          </w:p>
        </w:tc>
        <w:tc>
          <w:tcPr>
            <w:tcW w:w="709"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tcPr>
          <w:p w14:paraId="250E6848" w14:textId="77777777" w:rsidR="00025543" w:rsidRDefault="007E3A2F">
            <w:pPr>
              <w:pStyle w:val="P68B1DB1-Normal9"/>
              <w:spacing w:line="240" w:lineRule="auto"/>
              <w:jc w:val="center"/>
              <w:rPr>
                <w:noProof/>
              </w:rPr>
            </w:pPr>
            <w:r>
              <w:rPr>
                <w:noProof/>
              </w:rPr>
              <w:t>Objectif</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vAlign w:val="center"/>
          </w:tcPr>
          <w:p w14:paraId="34C3457C" w14:textId="77777777" w:rsidR="00025543" w:rsidRDefault="007E3A2F">
            <w:pPr>
              <w:pStyle w:val="P68B1DB1-Normal9"/>
              <w:spacing w:line="240" w:lineRule="auto"/>
              <w:jc w:val="center"/>
              <w:rPr>
                <w:noProof/>
              </w:rPr>
            </w:pPr>
            <w:r>
              <w:rPr>
                <w:noProof/>
              </w:rPr>
              <w:t>Trimestre</w:t>
            </w:r>
          </w:p>
        </w:tc>
        <w:tc>
          <w:tcPr>
            <w:tcW w:w="709" w:type="dxa"/>
            <w:tcBorders>
              <w:top w:val="nil"/>
              <w:left w:val="single" w:sz="8" w:space="0" w:color="000000" w:themeColor="text1"/>
              <w:bottom w:val="single" w:sz="8" w:space="0" w:color="000000" w:themeColor="text1"/>
              <w:right w:val="single" w:sz="4" w:space="0" w:color="auto"/>
            </w:tcBorders>
            <w:shd w:val="clear" w:color="auto" w:fill="BDD7EE"/>
            <w:vAlign w:val="center"/>
          </w:tcPr>
          <w:p w14:paraId="424D69C8" w14:textId="77777777" w:rsidR="00025543" w:rsidRDefault="007E3A2F">
            <w:pPr>
              <w:pStyle w:val="P68B1DB1-Normal9"/>
              <w:spacing w:line="240" w:lineRule="auto"/>
              <w:jc w:val="center"/>
              <w:rPr>
                <w:noProof/>
              </w:rPr>
            </w:pPr>
            <w:r>
              <w:rPr>
                <w:noProof/>
              </w:rPr>
              <w:t>Année</w:t>
            </w:r>
          </w:p>
        </w:tc>
        <w:tc>
          <w:tcPr>
            <w:tcW w:w="4644" w:type="dxa"/>
            <w:vMerge/>
            <w:tcBorders>
              <w:bottom w:val="single" w:sz="4" w:space="0" w:color="auto"/>
              <w:right w:val="single" w:sz="4" w:space="0" w:color="auto"/>
            </w:tcBorders>
            <w:vAlign w:val="center"/>
          </w:tcPr>
          <w:p w14:paraId="2EDFFF4A"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r>
      <w:tr w:rsidR="00025543" w14:paraId="399215E3" w14:textId="77777777">
        <w:trPr>
          <w:trHeight w:val="945"/>
          <w:jc w:val="center"/>
        </w:trPr>
        <w:tc>
          <w:tcPr>
            <w:tcW w:w="675"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6CC2A737" w14:textId="77777777" w:rsidR="00025543" w:rsidRDefault="007E3A2F">
            <w:pPr>
              <w:pStyle w:val="P68B1DB1-Normal28"/>
              <w:spacing w:line="240" w:lineRule="auto"/>
              <w:jc w:val="center"/>
              <w:rPr>
                <w:rFonts w:eastAsia="Times New Roman"/>
                <w:noProof/>
              </w:rPr>
            </w:pPr>
            <w:r>
              <w:rPr>
                <w:noProof/>
              </w:rPr>
              <w:t>144</w:t>
            </w:r>
          </w:p>
        </w:tc>
        <w:tc>
          <w:tcPr>
            <w:tcW w:w="1307"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0295DE2C" w14:textId="77777777" w:rsidR="00025543" w:rsidRDefault="007E3A2F">
            <w:pPr>
              <w:pStyle w:val="P68B1DB1-Normal28"/>
              <w:spacing w:line="240" w:lineRule="auto"/>
              <w:rPr>
                <w:rFonts w:eastAsia="Times New Roman"/>
                <w:noProof/>
              </w:rPr>
            </w:pPr>
            <w:r>
              <w:rPr>
                <w:noProof/>
              </w:rPr>
              <w:t>Réforme 1: Mise en œuvre de la nouvelle législation sur la gestion des déchets en République tchèque</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4A78F4C2" w14:textId="77777777" w:rsidR="00025543" w:rsidRDefault="007E3A2F">
            <w:pPr>
              <w:pStyle w:val="P68B1DB1-Normal28"/>
              <w:spacing w:line="240" w:lineRule="auto"/>
              <w:rPr>
                <w:rFonts w:eastAsia="Times New Roman"/>
                <w:noProof/>
              </w:rPr>
            </w:pPr>
            <w:r>
              <w:rPr>
                <w:noProof/>
              </w:rPr>
              <w:t>Étapes</w:t>
            </w:r>
          </w:p>
        </w:tc>
        <w:tc>
          <w:tcPr>
            <w:tcW w:w="1449"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1D5287DA" w14:textId="77777777" w:rsidR="00025543" w:rsidRDefault="007E3A2F">
            <w:pPr>
              <w:pStyle w:val="P68B1DB1-Normal28"/>
              <w:spacing w:line="240" w:lineRule="auto"/>
              <w:rPr>
                <w:rFonts w:eastAsia="Times New Roman"/>
                <w:noProof/>
              </w:rPr>
            </w:pPr>
            <w:r>
              <w:rPr>
                <w:noProof/>
              </w:rPr>
              <w:t>Entrée en vigueur des décisions d’exécution à la suite de la législation sur la gestion des déchets préparée par le ministère de l’environnement</w:t>
            </w:r>
          </w:p>
        </w:tc>
        <w:tc>
          <w:tcPr>
            <w:tcW w:w="1559"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02328AB8" w14:textId="77777777" w:rsidR="00025543" w:rsidRDefault="007E3A2F">
            <w:pPr>
              <w:pStyle w:val="P68B1DB1-Normal28"/>
              <w:spacing w:line="240" w:lineRule="auto"/>
              <w:rPr>
                <w:noProof/>
              </w:rPr>
            </w:pPr>
            <w:r>
              <w:rPr>
                <w:noProof/>
              </w:rPr>
              <w:t xml:space="preserve">Disposition des décisions d’exécution indiquant l’entrée en vigueur des décisions d’exécution respectives </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800641F" w14:textId="77777777" w:rsidR="00025543" w:rsidRDefault="00025543">
            <w:pPr>
              <w:spacing w:line="240" w:lineRule="auto"/>
              <w:rPr>
                <w:rFonts w:eastAsia="Times New Roman"/>
                <w:noProof/>
                <w:color w:val="006100"/>
                <w:sz w:val="18"/>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20DEAB4" w14:textId="77777777" w:rsidR="00025543" w:rsidRDefault="00025543">
            <w:pPr>
              <w:spacing w:line="240" w:lineRule="auto"/>
              <w:jc w:val="center"/>
              <w:rPr>
                <w:rFonts w:eastAsia="Times New Roman"/>
                <w:noProof/>
                <w:color w:val="006100"/>
                <w:sz w:val="18"/>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AF1EC63" w14:textId="77777777" w:rsidR="00025543" w:rsidRDefault="00025543">
            <w:pPr>
              <w:spacing w:line="240" w:lineRule="auto"/>
              <w:jc w:val="center"/>
              <w:rPr>
                <w:rFonts w:eastAsia="Times New Roman"/>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E064225" w14:textId="77777777" w:rsidR="00025543" w:rsidRDefault="007E3A2F">
            <w:pPr>
              <w:pStyle w:val="P68B1DB1-Normal11"/>
              <w:spacing w:line="240" w:lineRule="auto"/>
              <w:jc w:val="center"/>
              <w:rPr>
                <w:noProof/>
              </w:rPr>
            </w:pPr>
            <w:r>
              <w:rPr>
                <w:noProof/>
              </w:rPr>
              <w:t>TRIMESTRE 3</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1245769" w14:textId="77777777" w:rsidR="00025543" w:rsidRDefault="007E3A2F">
            <w:pPr>
              <w:pStyle w:val="P68B1DB1-Normal11"/>
              <w:spacing w:line="240" w:lineRule="auto"/>
              <w:jc w:val="center"/>
              <w:rPr>
                <w:noProof/>
              </w:rPr>
            </w:pPr>
            <w:r>
              <w:rPr>
                <w:noProof/>
              </w:rPr>
              <w:t>2023</w:t>
            </w:r>
          </w:p>
        </w:tc>
        <w:tc>
          <w:tcPr>
            <w:tcW w:w="464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4A3A4C68" w14:textId="77777777" w:rsidR="00025543" w:rsidRDefault="007E3A2F">
            <w:pPr>
              <w:pStyle w:val="P68B1DB1-Normal28"/>
              <w:spacing w:line="240" w:lineRule="auto"/>
              <w:rPr>
                <w:rFonts w:eastAsia="Times New Roman"/>
                <w:noProof/>
              </w:rPr>
            </w:pPr>
            <w:r>
              <w:rPr>
                <w:noProof/>
              </w:rPr>
              <w:t>Ces décisions d’exécution comprennent le décret sur le catalogue des déchets no 8/2021 Coll., le décret sur la manutention des emballages no 30/2021 Coll., le décret relatif aux modalités de gestion des déchets, le décret sur les sous-produits et les déchets de transfert (décret sur l’asphalte), le décret relatif aux modalités de traitement des véhicules hors d’usage et le décret relatif aux modalités de traitement des produits hors d’usage (pneus, électriques, batteries).</w:t>
            </w:r>
          </w:p>
        </w:tc>
      </w:tr>
      <w:tr w:rsidR="00025543" w14:paraId="64424C22" w14:textId="77777777">
        <w:trPr>
          <w:trHeight w:val="945"/>
          <w:jc w:val="center"/>
        </w:trPr>
        <w:tc>
          <w:tcPr>
            <w:tcW w:w="6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45E72B8" w14:textId="77777777" w:rsidR="00025543" w:rsidRDefault="007E3A2F">
            <w:pPr>
              <w:pStyle w:val="P68B1DB1-Normal28"/>
              <w:spacing w:line="240" w:lineRule="auto"/>
              <w:jc w:val="center"/>
              <w:rPr>
                <w:rFonts w:eastAsia="Times New Roman"/>
                <w:noProof/>
              </w:rPr>
            </w:pPr>
            <w:r>
              <w:rPr>
                <w:noProof/>
              </w:rPr>
              <w:t>145</w:t>
            </w:r>
          </w:p>
        </w:tc>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663BABD" w14:textId="77777777" w:rsidR="00025543" w:rsidRDefault="007E3A2F">
            <w:pPr>
              <w:pStyle w:val="P68B1DB1-Normal28"/>
              <w:spacing w:line="240" w:lineRule="auto"/>
              <w:rPr>
                <w:rFonts w:eastAsia="Times New Roman"/>
                <w:noProof/>
              </w:rPr>
            </w:pPr>
            <w:r>
              <w:rPr>
                <w:noProof/>
              </w:rPr>
              <w:t>Réforme 1: Mise en œuvre de la nouvelle législation sur la gestion des déchets en République tchèque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AFF997C" w14:textId="77777777" w:rsidR="00025543" w:rsidRDefault="007E3A2F">
            <w:pPr>
              <w:pStyle w:val="P68B1DB1-Normal28"/>
              <w:spacing w:line="240" w:lineRule="auto"/>
              <w:rPr>
                <w:rFonts w:eastAsia="Times New Roman"/>
                <w:noProof/>
              </w:rPr>
            </w:pPr>
            <w:r>
              <w:rPr>
                <w:noProof/>
              </w:rPr>
              <w:t>Étapes</w:t>
            </w:r>
          </w:p>
        </w:tc>
        <w:tc>
          <w:tcPr>
            <w:tcW w:w="14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AB00610" w14:textId="77777777" w:rsidR="00025543" w:rsidRDefault="007E3A2F">
            <w:pPr>
              <w:pStyle w:val="P68B1DB1-Normal28"/>
              <w:spacing w:line="240" w:lineRule="auto"/>
              <w:rPr>
                <w:noProof/>
              </w:rPr>
            </w:pPr>
            <w:r>
              <w:rPr>
                <w:noProof/>
              </w:rPr>
              <w:t>Entrée en vigueur d’un plan national et régional de gestion des déchets</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DE54962" w14:textId="77777777" w:rsidR="00025543" w:rsidRDefault="007E3A2F">
            <w:pPr>
              <w:pStyle w:val="P68B1DB1-Normal28"/>
              <w:spacing w:line="240" w:lineRule="auto"/>
              <w:rPr>
                <w:rFonts w:eastAsia="Times New Roman"/>
                <w:noProof/>
              </w:rPr>
            </w:pPr>
            <w:r>
              <w:rPr>
                <w:noProof/>
              </w:rPr>
              <w:t xml:space="preserve">Disposition de la loi indiquant l’entrée en vigueur d’un plan national et régional de gestion des déchets </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03D2FF0" w14:textId="77777777" w:rsidR="00025543" w:rsidRDefault="00025543">
            <w:pPr>
              <w:spacing w:line="240" w:lineRule="auto"/>
              <w:rPr>
                <w:rFonts w:eastAsia="Times New Roman"/>
                <w:noProof/>
                <w:color w:val="006100"/>
                <w:sz w:val="18"/>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664BD11" w14:textId="77777777" w:rsidR="00025543" w:rsidRDefault="00025543">
            <w:pPr>
              <w:spacing w:line="240" w:lineRule="auto"/>
              <w:jc w:val="center"/>
              <w:rPr>
                <w:rFonts w:eastAsia="Times New Roman"/>
                <w:noProof/>
                <w:color w:val="006100"/>
                <w:sz w:val="18"/>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1B5F577" w14:textId="77777777" w:rsidR="00025543" w:rsidRDefault="00025543">
            <w:pPr>
              <w:spacing w:line="240" w:lineRule="auto"/>
              <w:jc w:val="center"/>
              <w:rPr>
                <w:rFonts w:eastAsia="Times New Roman"/>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C96AA3A" w14:textId="77777777" w:rsidR="00025543" w:rsidRDefault="007E3A2F">
            <w:pPr>
              <w:pStyle w:val="P68B1DB1-Normal11"/>
              <w:spacing w:line="240" w:lineRule="auto"/>
              <w:jc w:val="center"/>
              <w:rPr>
                <w:noProof/>
              </w:rPr>
            </w:pPr>
            <w:r>
              <w:rPr>
                <w:noProof/>
              </w:rPr>
              <w:t>TRIMESTRE 4</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B0D3E4D" w14:textId="77777777" w:rsidR="00025543" w:rsidRDefault="007E3A2F">
            <w:pPr>
              <w:pStyle w:val="P68B1DB1-Normal11"/>
              <w:spacing w:line="240" w:lineRule="auto"/>
              <w:jc w:val="center"/>
              <w:rPr>
                <w:noProof/>
              </w:rPr>
            </w:pPr>
            <w:r>
              <w:rPr>
                <w:noProof/>
              </w:rPr>
              <w:t>2023</w:t>
            </w:r>
          </w:p>
        </w:tc>
        <w:tc>
          <w:tcPr>
            <w:tcW w:w="4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61BD189" w14:textId="77777777" w:rsidR="00025543" w:rsidRDefault="007E3A2F">
            <w:pPr>
              <w:pStyle w:val="P68B1DB1-Normal28"/>
              <w:spacing w:line="240" w:lineRule="auto"/>
              <w:rPr>
                <w:rFonts w:eastAsia="Times New Roman"/>
                <w:noProof/>
              </w:rPr>
            </w:pPr>
            <w:r>
              <w:rPr>
                <w:noProof/>
              </w:rPr>
              <w:t>La mise en place d’un nouveau plan national et régional de gestion des déchets, visant à améliorer la préparation écologiquement rationnelle en vue du réemploi, du recyclage, de la valorisation et de l’élimination des déchets.</w:t>
            </w:r>
          </w:p>
        </w:tc>
      </w:tr>
      <w:tr w:rsidR="00025543" w14:paraId="3818500B" w14:textId="77777777">
        <w:trPr>
          <w:trHeight w:val="945"/>
          <w:jc w:val="center"/>
        </w:trPr>
        <w:tc>
          <w:tcPr>
            <w:tcW w:w="6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E6FAC9C" w14:textId="77777777" w:rsidR="00025543" w:rsidRDefault="007E3A2F">
            <w:pPr>
              <w:pStyle w:val="P68B1DB1-Normal28"/>
              <w:spacing w:line="240" w:lineRule="auto"/>
              <w:jc w:val="center"/>
              <w:rPr>
                <w:rFonts w:eastAsia="Times New Roman"/>
                <w:noProof/>
              </w:rPr>
            </w:pPr>
            <w:r>
              <w:rPr>
                <w:noProof/>
              </w:rPr>
              <w:t>146</w:t>
            </w:r>
          </w:p>
        </w:tc>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D3DCAF7" w14:textId="77777777" w:rsidR="00025543" w:rsidRDefault="007E3A2F">
            <w:pPr>
              <w:pStyle w:val="P68B1DB1-Normal28"/>
              <w:spacing w:line="240" w:lineRule="auto"/>
              <w:rPr>
                <w:rFonts w:eastAsia="Times New Roman"/>
                <w:noProof/>
              </w:rPr>
            </w:pPr>
            <w:r>
              <w:rPr>
                <w:noProof/>
              </w:rPr>
              <w:t>Réforme 2: Finalisation et mise en œuvre de la stratégie circulaire pour la Tchéquie à l’horizon 2040</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6A04DF5" w14:textId="77777777" w:rsidR="00025543" w:rsidRDefault="007E3A2F">
            <w:pPr>
              <w:pStyle w:val="P68B1DB1-Normal28"/>
              <w:spacing w:line="240" w:lineRule="auto"/>
              <w:rPr>
                <w:rFonts w:eastAsia="Times New Roman"/>
                <w:noProof/>
              </w:rPr>
            </w:pPr>
            <w:r>
              <w:rPr>
                <w:noProof/>
              </w:rPr>
              <w:t>Étapes</w:t>
            </w:r>
          </w:p>
        </w:tc>
        <w:tc>
          <w:tcPr>
            <w:tcW w:w="14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EDB7CF5" w14:textId="77777777" w:rsidR="00025543" w:rsidRDefault="007E3A2F">
            <w:pPr>
              <w:pStyle w:val="P68B1DB1-Normal28"/>
              <w:spacing w:line="240" w:lineRule="auto"/>
              <w:rPr>
                <w:rFonts w:eastAsia="Times New Roman"/>
                <w:noProof/>
              </w:rPr>
            </w:pPr>
            <w:r>
              <w:rPr>
                <w:noProof/>
              </w:rPr>
              <w:t>Achèvement et adoption de la stratégie circulaire 2040 de la Tchéquie par le ministère de l’environnement</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5558B63" w14:textId="77777777" w:rsidR="00025543" w:rsidRDefault="007E3A2F">
            <w:pPr>
              <w:pStyle w:val="P68B1DB1-Normal28"/>
              <w:spacing w:line="240" w:lineRule="auto"/>
              <w:rPr>
                <w:rFonts w:eastAsia="Times New Roman"/>
                <w:noProof/>
              </w:rPr>
            </w:pPr>
            <w:r>
              <w:rPr>
                <w:noProof/>
              </w:rPr>
              <w:t>Publication de la circulaire «Tchéquie» stratégie 2040 dans la base de données des documents stratégiques de la République tchèque</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DD11A47" w14:textId="77777777" w:rsidR="00025543" w:rsidRDefault="00025543">
            <w:pPr>
              <w:spacing w:line="240" w:lineRule="auto"/>
              <w:rPr>
                <w:rFonts w:eastAsia="Times New Roman"/>
                <w:noProof/>
                <w:color w:val="006100"/>
                <w:sz w:val="18"/>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9E9C9F2" w14:textId="77777777" w:rsidR="00025543" w:rsidRDefault="00025543">
            <w:pPr>
              <w:spacing w:line="240" w:lineRule="auto"/>
              <w:jc w:val="center"/>
              <w:rPr>
                <w:rFonts w:eastAsia="Times New Roman"/>
                <w:noProof/>
                <w:color w:val="006100"/>
                <w:sz w:val="18"/>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8F50C94" w14:textId="77777777" w:rsidR="00025543" w:rsidRDefault="00025543">
            <w:pPr>
              <w:spacing w:line="240" w:lineRule="auto"/>
              <w:jc w:val="center"/>
              <w:rPr>
                <w:rFonts w:eastAsia="Times New Roman"/>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BF03E11" w14:textId="77777777" w:rsidR="00025543" w:rsidRDefault="007E3A2F">
            <w:pPr>
              <w:pStyle w:val="P68B1DB1-Normal11"/>
              <w:spacing w:line="240" w:lineRule="auto"/>
              <w:jc w:val="center"/>
              <w:rPr>
                <w:noProof/>
              </w:rPr>
            </w:pPr>
            <w:r>
              <w:rPr>
                <w:noProof/>
              </w:rPr>
              <w:t>TRIMESTRE 1</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A89E3C7" w14:textId="77777777" w:rsidR="00025543" w:rsidRDefault="007E3A2F">
            <w:pPr>
              <w:pStyle w:val="P68B1DB1-Normal11"/>
              <w:spacing w:line="240" w:lineRule="auto"/>
              <w:jc w:val="center"/>
              <w:rPr>
                <w:noProof/>
              </w:rPr>
            </w:pPr>
            <w:r>
              <w:rPr>
                <w:noProof/>
              </w:rPr>
              <w:t>2022</w:t>
            </w:r>
          </w:p>
        </w:tc>
        <w:tc>
          <w:tcPr>
            <w:tcW w:w="4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6F3F559" w14:textId="77777777" w:rsidR="00025543" w:rsidRDefault="007E3A2F">
            <w:pPr>
              <w:pStyle w:val="P68B1DB1-Normal28"/>
              <w:spacing w:line="240" w:lineRule="auto"/>
              <w:rPr>
                <w:rFonts w:eastAsia="Times New Roman"/>
                <w:noProof/>
              </w:rPr>
            </w:pPr>
            <w:r>
              <w:rPr>
                <w:noProof/>
              </w:rPr>
              <w:t xml:space="preserve">Achèvement et adoption de la stratégie circulaire Tchéquie 2040. La stratégie définit la vision, les objectifs globaux et stratégiques, les domaines prioritaires et les principes nécessaires à la réalisation d’une économie circulaire en République tchèque. </w:t>
            </w:r>
          </w:p>
        </w:tc>
      </w:tr>
      <w:tr w:rsidR="00025543" w14:paraId="7D3270EA" w14:textId="77777777">
        <w:trPr>
          <w:trHeight w:val="624"/>
          <w:jc w:val="center"/>
        </w:trPr>
        <w:tc>
          <w:tcPr>
            <w:tcW w:w="6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7C38160" w14:textId="77777777" w:rsidR="00025543" w:rsidRDefault="007E3A2F">
            <w:pPr>
              <w:pStyle w:val="P68B1DB1-Normal28"/>
              <w:spacing w:line="240" w:lineRule="auto"/>
              <w:jc w:val="center"/>
              <w:rPr>
                <w:noProof/>
              </w:rPr>
            </w:pPr>
            <w:r>
              <w:rPr>
                <w:noProof/>
              </w:rPr>
              <w:t>147</w:t>
            </w:r>
          </w:p>
        </w:tc>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2470F60" w14:textId="77777777" w:rsidR="00025543" w:rsidRDefault="007E3A2F">
            <w:pPr>
              <w:pStyle w:val="P68B1DB1-Normal28"/>
              <w:spacing w:line="240" w:lineRule="auto"/>
              <w:rPr>
                <w:rFonts w:eastAsia="Times New Roman"/>
                <w:noProof/>
              </w:rPr>
            </w:pPr>
            <w:r>
              <w:rPr>
                <w:noProof/>
              </w:rPr>
              <w:t>Réforme 2: Finalisation et mise en œuvre de la stratégie circulaire pour la Tchéquie à l’horizon 2040</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B25A500" w14:textId="77777777" w:rsidR="00025543" w:rsidRDefault="007E3A2F">
            <w:pPr>
              <w:pStyle w:val="P68B1DB1-Normal28"/>
              <w:spacing w:line="240" w:lineRule="auto"/>
              <w:rPr>
                <w:rFonts w:eastAsia="Times New Roman"/>
                <w:noProof/>
              </w:rPr>
            </w:pPr>
            <w:r>
              <w:rPr>
                <w:noProof/>
              </w:rPr>
              <w:t>Étapes</w:t>
            </w:r>
          </w:p>
        </w:tc>
        <w:tc>
          <w:tcPr>
            <w:tcW w:w="14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E37C3A6" w14:textId="3FAE9185" w:rsidR="00025543" w:rsidRDefault="007E3A2F">
            <w:pPr>
              <w:pStyle w:val="P68B1DB1-Normal28"/>
              <w:spacing w:line="240" w:lineRule="auto"/>
              <w:rPr>
                <w:rFonts w:eastAsia="Times New Roman"/>
                <w:noProof/>
              </w:rPr>
            </w:pPr>
            <w:r>
              <w:rPr>
                <w:noProof/>
              </w:rPr>
              <w:t xml:space="preserve">Achèvement d’un rapport de suivi évaluant l’état d’avancement de la mise en œuvre de la stratégie circulaire Tchéquie 2040 </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C597832" w14:textId="77777777" w:rsidR="00025543" w:rsidRDefault="007E3A2F">
            <w:pPr>
              <w:pStyle w:val="P68B1DB1-Normal28"/>
              <w:spacing w:line="240" w:lineRule="auto"/>
              <w:rPr>
                <w:rFonts w:eastAsia="Times New Roman"/>
                <w:noProof/>
              </w:rPr>
            </w:pPr>
            <w:r>
              <w:rPr>
                <w:noProof/>
              </w:rPr>
              <w:t>Publication d’un rapport de suivi évaluant l’état d’avancement de la mise en œuvre de la stratégie circulaire Tchéquie 2040</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F64D52D" w14:textId="77777777" w:rsidR="00025543" w:rsidRDefault="00025543">
            <w:pPr>
              <w:spacing w:line="240" w:lineRule="auto"/>
              <w:rPr>
                <w:rFonts w:eastAsia="Times New Roman"/>
                <w:noProof/>
                <w:color w:val="006100"/>
                <w:sz w:val="18"/>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A531655" w14:textId="77777777" w:rsidR="00025543" w:rsidRDefault="00025543">
            <w:pPr>
              <w:spacing w:line="240" w:lineRule="auto"/>
              <w:jc w:val="center"/>
              <w:rPr>
                <w:rFonts w:eastAsia="Times New Roman"/>
                <w:noProof/>
                <w:color w:val="006100"/>
                <w:sz w:val="18"/>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08CA5CD" w14:textId="77777777" w:rsidR="00025543" w:rsidRDefault="00025543">
            <w:pPr>
              <w:spacing w:line="240" w:lineRule="auto"/>
              <w:jc w:val="center"/>
              <w:rPr>
                <w:rFonts w:eastAsia="Times New Roman"/>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EC18B07" w14:textId="77777777" w:rsidR="00025543" w:rsidRDefault="007E3A2F">
            <w:pPr>
              <w:pStyle w:val="P68B1DB1-Normal11"/>
              <w:spacing w:line="240" w:lineRule="auto"/>
              <w:jc w:val="center"/>
              <w:rPr>
                <w:noProof/>
              </w:rPr>
            </w:pPr>
            <w:r>
              <w:rPr>
                <w:noProof/>
              </w:rPr>
              <w:t>TRIMESTRE 3</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1FF786B" w14:textId="77777777" w:rsidR="00025543" w:rsidRDefault="007E3A2F">
            <w:pPr>
              <w:pStyle w:val="P68B1DB1-Normal11"/>
              <w:spacing w:line="240" w:lineRule="auto"/>
              <w:jc w:val="center"/>
              <w:rPr>
                <w:noProof/>
              </w:rPr>
            </w:pPr>
            <w:r>
              <w:rPr>
                <w:noProof/>
              </w:rPr>
              <w:t>2025</w:t>
            </w:r>
          </w:p>
        </w:tc>
        <w:tc>
          <w:tcPr>
            <w:tcW w:w="4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0BB5181" w14:textId="77777777" w:rsidR="00025543" w:rsidRDefault="007E3A2F">
            <w:pPr>
              <w:pStyle w:val="P68B1DB1-Normal28"/>
              <w:spacing w:line="240" w:lineRule="auto"/>
              <w:rPr>
                <w:rFonts w:eastAsia="Times New Roman"/>
                <w:noProof/>
              </w:rPr>
            </w:pPr>
            <w:r>
              <w:rPr>
                <w:noProof/>
              </w:rPr>
              <w:t>Un rapport de suivi est complété et publié par le ministère de l’environnement, évaluant le développement de l’économie circulaire en Tchéquie et les progrès accomplis dans la mise en œuvre des éléments de la stratégie circulaire Tchéquie 2040.</w:t>
            </w:r>
          </w:p>
        </w:tc>
      </w:tr>
      <w:tr w:rsidR="00025543" w14:paraId="0F4B8B7E" w14:textId="77777777">
        <w:trPr>
          <w:trHeight w:val="945"/>
          <w:jc w:val="center"/>
        </w:trPr>
        <w:tc>
          <w:tcPr>
            <w:tcW w:w="6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322C3E9" w14:textId="77777777" w:rsidR="00025543" w:rsidRDefault="007E3A2F">
            <w:pPr>
              <w:pStyle w:val="P68B1DB1-Normal28"/>
              <w:spacing w:line="240" w:lineRule="auto"/>
              <w:jc w:val="center"/>
              <w:rPr>
                <w:rFonts w:eastAsia="Times New Roman"/>
                <w:noProof/>
              </w:rPr>
            </w:pPr>
            <w:r>
              <w:rPr>
                <w:noProof/>
              </w:rPr>
              <w:t>148</w:t>
            </w:r>
          </w:p>
        </w:tc>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7C281B6" w14:textId="77777777" w:rsidR="00025543" w:rsidRDefault="007E3A2F">
            <w:pPr>
              <w:pStyle w:val="P68B1DB1-Normal28"/>
              <w:spacing w:line="240" w:lineRule="auto"/>
              <w:rPr>
                <w:rFonts w:eastAsia="Times New Roman"/>
                <w:noProof/>
              </w:rPr>
            </w:pPr>
            <w:r>
              <w:rPr>
                <w:noProof/>
              </w:rPr>
              <w:t>Investissement 1: Construction d’infrastructures de recyclage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BF6E235" w14:textId="77777777" w:rsidR="00025543" w:rsidRDefault="007E3A2F">
            <w:pPr>
              <w:pStyle w:val="P68B1DB1-Normal28"/>
              <w:spacing w:line="240" w:lineRule="auto"/>
              <w:rPr>
                <w:rFonts w:eastAsia="Times New Roman"/>
                <w:noProof/>
              </w:rPr>
            </w:pPr>
            <w:r>
              <w:rPr>
                <w:noProof/>
              </w:rPr>
              <w:t>Étapes</w:t>
            </w:r>
          </w:p>
        </w:tc>
        <w:tc>
          <w:tcPr>
            <w:tcW w:w="14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950E2D9" w14:textId="4FB6AD08" w:rsidR="00025543" w:rsidRDefault="007E3A2F">
            <w:pPr>
              <w:pStyle w:val="P68B1DB1-Normal28"/>
              <w:spacing w:line="240" w:lineRule="auto"/>
              <w:rPr>
                <w:rFonts w:eastAsia="Times New Roman"/>
                <w:noProof/>
              </w:rPr>
            </w:pPr>
            <w:r>
              <w:rPr>
                <w:noProof/>
              </w:rPr>
              <w:t xml:space="preserve">Attribution des marchés pour des projets d’investissement dans des infrastructures de recyclage par le ministère de l’environnement </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F1B5F44" w14:textId="2E18ECCA" w:rsidR="00025543" w:rsidRDefault="007E3A2F">
            <w:pPr>
              <w:pStyle w:val="P68B1DB1-Normal28"/>
              <w:spacing w:line="240" w:lineRule="auto"/>
              <w:rPr>
                <w:rFonts w:eastAsia="Times New Roman"/>
                <w:noProof/>
              </w:rPr>
            </w:pPr>
            <w:r>
              <w:rPr>
                <w:noProof/>
              </w:rPr>
              <w:t xml:space="preserve">Notification de l’attribution des marchés pour les projets d’investissement dans les infrastructures de recyclage par le ministère de l’environnement </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822BBFF" w14:textId="77777777" w:rsidR="00025543" w:rsidRDefault="00025543">
            <w:pPr>
              <w:spacing w:line="240" w:lineRule="auto"/>
              <w:rPr>
                <w:rFonts w:eastAsia="Times New Roman"/>
                <w:noProof/>
                <w:color w:val="006100"/>
                <w:sz w:val="18"/>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7930F10" w14:textId="77777777" w:rsidR="00025543" w:rsidRDefault="00025543">
            <w:pPr>
              <w:spacing w:line="240" w:lineRule="auto"/>
              <w:jc w:val="center"/>
              <w:rPr>
                <w:rFonts w:eastAsia="Times New Roman"/>
                <w:noProof/>
                <w:color w:val="006100"/>
                <w:sz w:val="18"/>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FB5A217" w14:textId="77777777" w:rsidR="00025543" w:rsidRDefault="00025543">
            <w:pPr>
              <w:spacing w:line="240" w:lineRule="auto"/>
              <w:jc w:val="center"/>
              <w:rPr>
                <w:rFonts w:eastAsia="Times New Roman"/>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6183EEC" w14:textId="77777777" w:rsidR="00025543" w:rsidRDefault="007E3A2F">
            <w:pPr>
              <w:pStyle w:val="P68B1DB1-Normal11"/>
              <w:spacing w:line="240" w:lineRule="auto"/>
              <w:jc w:val="center"/>
              <w:rPr>
                <w:noProof/>
              </w:rPr>
            </w:pPr>
            <w:r>
              <w:rPr>
                <w:noProof/>
              </w:rPr>
              <w:t>TRIMESTRE 3</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B32B33D" w14:textId="0D40D5E8" w:rsidR="00025543" w:rsidRDefault="007E3A2F">
            <w:pPr>
              <w:pStyle w:val="P68B1DB1-Normal11"/>
              <w:spacing w:line="240" w:lineRule="auto"/>
              <w:jc w:val="center"/>
              <w:rPr>
                <w:noProof/>
              </w:rPr>
            </w:pPr>
            <w:r>
              <w:rPr>
                <w:noProof/>
              </w:rPr>
              <w:t>2024</w:t>
            </w:r>
          </w:p>
        </w:tc>
        <w:tc>
          <w:tcPr>
            <w:tcW w:w="4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5AC0E26" w14:textId="5208F9AC" w:rsidR="00025543" w:rsidRDefault="007E3A2F">
            <w:pPr>
              <w:pStyle w:val="P68B1DB1-Normal28"/>
              <w:autoSpaceDE w:val="0"/>
              <w:autoSpaceDN w:val="0"/>
              <w:spacing w:after="0" w:line="240" w:lineRule="auto"/>
              <w:rPr>
                <w:noProof/>
              </w:rPr>
            </w:pPr>
            <w:r>
              <w:rPr>
                <w:noProof/>
              </w:rPr>
              <w:t xml:space="preserve">Notification de l’attribution des marchés pour des projets d’investissement dans des infrastructures de recyclage par le ministère de l’environnement. </w:t>
            </w:r>
          </w:p>
          <w:p w14:paraId="511F42B3" w14:textId="3E3081C1" w:rsidR="00025543" w:rsidRDefault="007E3A2F">
            <w:pPr>
              <w:pStyle w:val="P68B1DB1-Normal28"/>
              <w:autoSpaceDE w:val="0"/>
              <w:autoSpaceDN w:val="0"/>
              <w:spacing w:after="0" w:line="240" w:lineRule="auto"/>
              <w:rPr>
                <w:noProof/>
              </w:rPr>
            </w:pPr>
            <w:r>
              <w:rPr>
                <w:noProof/>
              </w:rPr>
              <w:t xml:space="preserve">Les projets consistent en la construction et la modernisation d’installations de compostage et de compostage communautaire. </w:t>
            </w:r>
          </w:p>
          <w:p w14:paraId="59CCBEC6" w14:textId="64423382" w:rsidR="00025543" w:rsidRDefault="007E3A2F">
            <w:pPr>
              <w:pStyle w:val="P68B1DB1-Normal28"/>
              <w:autoSpaceDE w:val="0"/>
              <w:autoSpaceDN w:val="0"/>
              <w:spacing w:after="0" w:line="240" w:lineRule="auto"/>
              <w:rPr>
                <w:noProof/>
              </w:rPr>
            </w:pPr>
            <w:r>
              <w:rPr>
                <w:noProof/>
              </w:rPr>
              <w:br/>
              <w:t>Les installations bénéficiant d’un soutien au titre de cet investissement garantissent qu’au moins 50 %, en poids, des déchets non dangereux traités collectés séparément sont convertis en matières premières secondaires.</w:t>
            </w:r>
            <w:r>
              <w:rPr>
                <w:noProof/>
              </w:rPr>
              <w:br/>
              <w:t xml:space="preserve"> </w:t>
            </w:r>
          </w:p>
          <w:p w14:paraId="4B763697" w14:textId="6B4EB8D5" w:rsidR="00025543" w:rsidRDefault="007E3A2F">
            <w:pPr>
              <w:pStyle w:val="P68B1DB1-Normal28"/>
              <w:spacing w:line="240" w:lineRule="auto"/>
              <w:rPr>
                <w:noProof/>
              </w:rPr>
            </w:pPr>
            <w:r>
              <w:rPr>
                <w:noProof/>
              </w:rPr>
              <w:t xml:space="preserve">L’investissement comprend également une aide à l’acquisition d’équipements pour l’application d’un total d’au moins 200.000 tonnes de compost par an (digestat ou Fugate) au Fonds pour les terres agricoles (FAL) pour les entités agricoles, les exploitants d’usines de compostage et les stations de biogaz. </w:t>
            </w:r>
          </w:p>
          <w:p w14:paraId="327850E8" w14:textId="33D1D085" w:rsidR="00025543" w:rsidRDefault="007E3A2F">
            <w:pPr>
              <w:pStyle w:val="P68B1DB1-Normal28"/>
              <w:autoSpaceDE w:val="0"/>
              <w:autoSpaceDN w:val="0"/>
              <w:spacing w:after="0" w:line="240" w:lineRule="auto"/>
              <w:rPr>
                <w:rFonts w:eastAsia="Times New Roman"/>
                <w:noProof/>
              </w:rPr>
            </w:pPr>
            <w:r>
              <w:rPr>
                <w:noProof/>
              </w:rPr>
              <w:t>Les bénéficiaires de l’aide à l’acquisition d’équipements sont tenus d’intégrer un minimum de 40 tonnes de compost par hectare sur une période de 5 ans.</w:t>
            </w:r>
          </w:p>
          <w:p w14:paraId="7458D761" w14:textId="67E33AF5" w:rsidR="00025543" w:rsidRDefault="00025543">
            <w:pPr>
              <w:spacing w:line="240" w:lineRule="auto"/>
              <w:rPr>
                <w:rFonts w:eastAsia="Times New Roman"/>
                <w:noProof/>
                <w:color w:val="006100"/>
                <w:sz w:val="18"/>
              </w:rPr>
            </w:pPr>
          </w:p>
        </w:tc>
      </w:tr>
      <w:tr w:rsidR="00025543" w14:paraId="698F9059" w14:textId="77777777">
        <w:trPr>
          <w:trHeight w:val="945"/>
          <w:jc w:val="center"/>
        </w:trPr>
        <w:tc>
          <w:tcPr>
            <w:tcW w:w="6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0331FF0" w14:textId="77777777" w:rsidR="00025543" w:rsidRDefault="007E3A2F">
            <w:pPr>
              <w:pStyle w:val="P68B1DB1-Normal28"/>
              <w:spacing w:line="240" w:lineRule="auto"/>
              <w:jc w:val="center"/>
              <w:rPr>
                <w:rFonts w:eastAsia="Times New Roman"/>
                <w:noProof/>
              </w:rPr>
            </w:pPr>
            <w:r>
              <w:rPr>
                <w:noProof/>
              </w:rPr>
              <w:t>149</w:t>
            </w:r>
          </w:p>
        </w:tc>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45D18C0" w14:textId="77777777" w:rsidR="00025543" w:rsidRDefault="007E3A2F">
            <w:pPr>
              <w:pStyle w:val="P68B1DB1-Normal28"/>
              <w:spacing w:line="240" w:lineRule="auto"/>
              <w:rPr>
                <w:rFonts w:eastAsia="Times New Roman"/>
                <w:noProof/>
              </w:rPr>
            </w:pPr>
            <w:r>
              <w:rPr>
                <w:noProof/>
              </w:rPr>
              <w:t>Investissement 1: Construction d’infrastructures de recyclage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28B3A12" w14:textId="1359B4D4" w:rsidR="00025543" w:rsidRDefault="007E3A2F">
            <w:pPr>
              <w:pStyle w:val="P68B1DB1-Normal28"/>
              <w:spacing w:line="240" w:lineRule="auto"/>
              <w:rPr>
                <w:rFonts w:eastAsia="Times New Roman"/>
                <w:noProof/>
              </w:rPr>
            </w:pPr>
            <w:r>
              <w:rPr>
                <w:noProof/>
              </w:rPr>
              <w:t>Étapes</w:t>
            </w:r>
          </w:p>
        </w:tc>
        <w:tc>
          <w:tcPr>
            <w:tcW w:w="14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23F807B" w14:textId="77777777" w:rsidR="00025543" w:rsidRDefault="007E3A2F">
            <w:pPr>
              <w:pStyle w:val="P68B1DB1-Normal28"/>
              <w:spacing w:line="240" w:lineRule="auto"/>
              <w:rPr>
                <w:rFonts w:eastAsia="Times New Roman"/>
                <w:noProof/>
              </w:rPr>
            </w:pPr>
            <w:r>
              <w:rPr>
                <w:noProof/>
              </w:rPr>
              <w:t>Achèvement des projets d’investissement dans les infrastructures de recyclage</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930D482" w14:textId="66DCD8AD" w:rsidR="00025543" w:rsidRDefault="007E3A2F">
            <w:pPr>
              <w:pStyle w:val="P68B1DB1-Normal11"/>
              <w:spacing w:line="240" w:lineRule="auto"/>
              <w:rPr>
                <w:noProof/>
              </w:rPr>
            </w:pPr>
            <w:r>
              <w:rPr>
                <w:noProof/>
              </w:rPr>
              <w:t>Rapport d’achèvement</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15579AA" w14:textId="737AEB19" w:rsidR="00025543" w:rsidRDefault="00025543">
            <w:pPr>
              <w:spacing w:line="240" w:lineRule="auto"/>
              <w:rPr>
                <w:rFonts w:eastAsia="Times New Roman"/>
                <w:noProof/>
                <w:color w:val="006100"/>
                <w:sz w:val="18"/>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7291A98" w14:textId="4D9A263A" w:rsidR="00025543" w:rsidRDefault="00025543">
            <w:pPr>
              <w:spacing w:line="240" w:lineRule="auto"/>
              <w:jc w:val="center"/>
              <w:rPr>
                <w:rFonts w:eastAsia="Times New Roman"/>
                <w:noProof/>
                <w:color w:val="006100"/>
                <w:sz w:val="18"/>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EEDF6AA" w14:textId="2DB95A8F" w:rsidR="00025543" w:rsidRDefault="00025543">
            <w:pPr>
              <w:spacing w:line="240" w:lineRule="auto"/>
              <w:jc w:val="center"/>
              <w:rPr>
                <w:rFonts w:eastAsia="Times New Roman"/>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A1C8923" w14:textId="77777777" w:rsidR="00025543" w:rsidRDefault="007E3A2F">
            <w:pPr>
              <w:pStyle w:val="P68B1DB1-Normal11"/>
              <w:spacing w:line="240" w:lineRule="auto"/>
              <w:jc w:val="center"/>
              <w:rPr>
                <w:noProof/>
              </w:rPr>
            </w:pPr>
            <w:r>
              <w:rPr>
                <w:noProof/>
              </w:rPr>
              <w:t>TRIMESTRE 4</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3C5D218" w14:textId="77777777" w:rsidR="00025543" w:rsidRDefault="007E3A2F">
            <w:pPr>
              <w:pStyle w:val="P68B1DB1-Normal11"/>
              <w:spacing w:line="240" w:lineRule="auto"/>
              <w:jc w:val="center"/>
              <w:rPr>
                <w:noProof/>
              </w:rPr>
            </w:pPr>
            <w:r>
              <w:rPr>
                <w:noProof/>
              </w:rPr>
              <w:t>2025</w:t>
            </w:r>
          </w:p>
        </w:tc>
        <w:tc>
          <w:tcPr>
            <w:tcW w:w="4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BB776F3" w14:textId="6FE37A68" w:rsidR="00025543" w:rsidRDefault="007E3A2F">
            <w:pPr>
              <w:pStyle w:val="P68B1DB1-Normal28"/>
              <w:autoSpaceDE w:val="0"/>
              <w:autoSpaceDN w:val="0"/>
              <w:spacing w:after="0" w:line="240" w:lineRule="auto"/>
              <w:rPr>
                <w:noProof/>
              </w:rPr>
            </w:pPr>
            <w:r>
              <w:rPr>
                <w:noProof/>
              </w:rPr>
              <w:t xml:space="preserve">Achèvement des projets d’investissement dans les infrastructures de recyclage. . </w:t>
            </w:r>
          </w:p>
          <w:p w14:paraId="3257832E" w14:textId="1F6BE066" w:rsidR="00025543" w:rsidRDefault="007E3A2F">
            <w:pPr>
              <w:pStyle w:val="P68B1DB1-Normal28"/>
              <w:autoSpaceDE w:val="0"/>
              <w:autoSpaceDN w:val="0"/>
              <w:spacing w:after="0" w:line="240" w:lineRule="auto"/>
              <w:rPr>
                <w:noProof/>
              </w:rPr>
            </w:pPr>
            <w:r>
              <w:rPr>
                <w:noProof/>
              </w:rPr>
              <w:t xml:space="preserve">À la suite de l’investissement, la modernisation ou la construction d’installations de compostage garantit une augmentation d’au moins 70 000 tonnes/an des déchets municipaux biodégradables traités. </w:t>
            </w:r>
          </w:p>
          <w:p w14:paraId="2B9E0E19" w14:textId="015F5A52" w:rsidR="00025543" w:rsidRDefault="007E3A2F">
            <w:pPr>
              <w:spacing w:line="240" w:lineRule="auto"/>
              <w:rPr>
                <w:rFonts w:eastAsia="Times New Roman"/>
                <w:noProof/>
                <w:color w:val="006100"/>
                <w:sz w:val="18"/>
              </w:rPr>
            </w:pPr>
            <w:r>
              <w:rPr>
                <w:noProof/>
              </w:rPr>
              <w:br/>
            </w:r>
          </w:p>
        </w:tc>
      </w:tr>
      <w:tr w:rsidR="00025543" w14:paraId="54D20C11" w14:textId="77777777">
        <w:trPr>
          <w:trHeight w:val="945"/>
          <w:jc w:val="center"/>
        </w:trPr>
        <w:tc>
          <w:tcPr>
            <w:tcW w:w="6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3A19A2C" w14:textId="77777777" w:rsidR="00025543" w:rsidRDefault="007E3A2F">
            <w:pPr>
              <w:pStyle w:val="P68B1DB1-Normal28"/>
              <w:spacing w:line="240" w:lineRule="auto"/>
              <w:jc w:val="center"/>
              <w:rPr>
                <w:rFonts w:eastAsia="Times New Roman"/>
                <w:noProof/>
              </w:rPr>
            </w:pPr>
            <w:r>
              <w:rPr>
                <w:noProof/>
              </w:rPr>
              <w:t>150</w:t>
            </w:r>
          </w:p>
        </w:tc>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9A45CC8" w14:textId="77777777" w:rsidR="00025543" w:rsidRDefault="007E3A2F">
            <w:pPr>
              <w:pStyle w:val="P68B1DB1-Normal28"/>
              <w:spacing w:line="240" w:lineRule="auto"/>
              <w:rPr>
                <w:rFonts w:eastAsia="Times New Roman"/>
                <w:noProof/>
              </w:rPr>
            </w:pPr>
            <w:r>
              <w:rPr>
                <w:noProof/>
              </w:rPr>
              <w:t>Investissement 2: Solutions circulaires dans les entreprises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188337C" w14:textId="77777777" w:rsidR="00025543" w:rsidRDefault="007E3A2F">
            <w:pPr>
              <w:pStyle w:val="P68B1DB1-Normal28"/>
              <w:spacing w:line="240" w:lineRule="auto"/>
              <w:rPr>
                <w:rFonts w:eastAsia="Times New Roman"/>
                <w:noProof/>
              </w:rPr>
            </w:pPr>
            <w:r>
              <w:rPr>
                <w:noProof/>
              </w:rPr>
              <w:t>Étapes</w:t>
            </w:r>
          </w:p>
        </w:tc>
        <w:tc>
          <w:tcPr>
            <w:tcW w:w="14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12BD2D3" w14:textId="77777777" w:rsidR="00025543" w:rsidRDefault="007E3A2F">
            <w:pPr>
              <w:pStyle w:val="P68B1DB1-Normal28"/>
              <w:spacing w:line="240" w:lineRule="auto"/>
              <w:rPr>
                <w:rFonts w:eastAsia="Times New Roman"/>
                <w:noProof/>
              </w:rPr>
            </w:pPr>
            <w:r>
              <w:rPr>
                <w:noProof/>
              </w:rPr>
              <w:t>Attribution de tous les marchés publics pour des projets investissant dans des solutions circulaires dans les entreprises par le ministère de l’industrie et du commerce</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94393AA" w14:textId="77777777" w:rsidR="00025543" w:rsidRDefault="007E3A2F">
            <w:pPr>
              <w:pStyle w:val="P68B1DB1-Normal28"/>
              <w:spacing w:line="240" w:lineRule="auto"/>
              <w:rPr>
                <w:rFonts w:eastAsia="Times New Roman"/>
                <w:noProof/>
              </w:rPr>
            </w:pPr>
            <w:r>
              <w:rPr>
                <w:noProof/>
              </w:rPr>
              <w:t xml:space="preserve">Notification de l’attribution de tous les marchés publics pour des projets investissant dans des solutions circulaires dans les entreprises par le ministère de l’industrie et du commerce </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0849E48" w14:textId="77777777" w:rsidR="00025543" w:rsidRDefault="00025543">
            <w:pPr>
              <w:spacing w:line="240" w:lineRule="auto"/>
              <w:rPr>
                <w:rFonts w:eastAsia="Times New Roman"/>
                <w:noProof/>
                <w:color w:val="006100"/>
                <w:sz w:val="18"/>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AB8CDA3" w14:textId="77777777" w:rsidR="00025543" w:rsidRDefault="00025543">
            <w:pPr>
              <w:spacing w:line="240" w:lineRule="auto"/>
              <w:jc w:val="center"/>
              <w:rPr>
                <w:rFonts w:eastAsia="Times New Roman"/>
                <w:noProof/>
                <w:color w:val="006100"/>
                <w:sz w:val="18"/>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EB5E57C" w14:textId="77777777" w:rsidR="00025543" w:rsidRDefault="00025543">
            <w:pPr>
              <w:spacing w:line="240" w:lineRule="auto"/>
              <w:jc w:val="center"/>
              <w:rPr>
                <w:rFonts w:eastAsia="Times New Roman"/>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33185A9" w14:textId="77777777" w:rsidR="00025543" w:rsidRDefault="007E3A2F">
            <w:pPr>
              <w:pStyle w:val="P68B1DB1-Normal11"/>
              <w:spacing w:line="240" w:lineRule="auto"/>
              <w:jc w:val="center"/>
              <w:rPr>
                <w:noProof/>
              </w:rPr>
            </w:pPr>
            <w:r>
              <w:rPr>
                <w:noProof/>
              </w:rPr>
              <w:t>TRIMESTRE 4</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DE18666" w14:textId="77777777" w:rsidR="00025543" w:rsidRDefault="007E3A2F">
            <w:pPr>
              <w:pStyle w:val="P68B1DB1-Normal11"/>
              <w:spacing w:line="240" w:lineRule="auto"/>
              <w:jc w:val="center"/>
              <w:rPr>
                <w:noProof/>
              </w:rPr>
            </w:pPr>
            <w:r>
              <w:rPr>
                <w:noProof/>
              </w:rPr>
              <w:t>2022</w:t>
            </w:r>
          </w:p>
        </w:tc>
        <w:tc>
          <w:tcPr>
            <w:tcW w:w="4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FEDE760" w14:textId="77777777" w:rsidR="00025543" w:rsidRDefault="007E3A2F">
            <w:pPr>
              <w:pStyle w:val="P68B1DB1-Normal28"/>
              <w:spacing w:line="240" w:lineRule="auto"/>
              <w:rPr>
                <w:rFonts w:eastAsia="Times New Roman"/>
                <w:noProof/>
              </w:rPr>
            </w:pPr>
            <w:r>
              <w:rPr>
                <w:noProof/>
              </w:rPr>
              <w:t>Notification de l’attribution de tous les marchés publics pour des projets investissant dans des solutions circulaires dans les entreprises par le ministère de l’industrie et du commerce. Les projets qui favorisent la transformation industrielle vers une société à faible intensité de carbone, circulaire et numérique sont sélectionnés, en réduisant l’intensité matérielle de la production et la consommation de ressources primaires.</w:t>
            </w:r>
          </w:p>
        </w:tc>
      </w:tr>
      <w:tr w:rsidR="00025543" w14:paraId="3EAFF2FC" w14:textId="77777777">
        <w:trPr>
          <w:trHeight w:val="945"/>
          <w:jc w:val="center"/>
        </w:trPr>
        <w:tc>
          <w:tcPr>
            <w:tcW w:w="6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925B8E0" w14:textId="77777777" w:rsidR="00025543" w:rsidRDefault="007E3A2F">
            <w:pPr>
              <w:pStyle w:val="P68B1DB1-Normal28"/>
              <w:spacing w:line="240" w:lineRule="auto"/>
              <w:jc w:val="center"/>
              <w:rPr>
                <w:noProof/>
              </w:rPr>
            </w:pPr>
            <w:r>
              <w:rPr>
                <w:noProof/>
              </w:rPr>
              <w:t>151</w:t>
            </w:r>
          </w:p>
        </w:tc>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73234E7" w14:textId="77777777" w:rsidR="00025543" w:rsidRDefault="007E3A2F">
            <w:pPr>
              <w:pStyle w:val="P68B1DB1-Normal28"/>
              <w:spacing w:line="240" w:lineRule="auto"/>
              <w:rPr>
                <w:rFonts w:eastAsia="Times New Roman"/>
                <w:noProof/>
              </w:rPr>
            </w:pPr>
            <w:r>
              <w:rPr>
                <w:noProof/>
              </w:rPr>
              <w:t>Investissement 2: Solutions circulaires dans les entreprises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C245F5B" w14:textId="77777777" w:rsidR="00025543" w:rsidRDefault="007E3A2F">
            <w:pPr>
              <w:pStyle w:val="P68B1DB1-Normal28"/>
              <w:spacing w:line="240" w:lineRule="auto"/>
              <w:rPr>
                <w:rFonts w:eastAsia="Times New Roman"/>
                <w:noProof/>
              </w:rPr>
            </w:pPr>
            <w:r>
              <w:rPr>
                <w:noProof/>
              </w:rPr>
              <w:t>Cible</w:t>
            </w:r>
          </w:p>
        </w:tc>
        <w:tc>
          <w:tcPr>
            <w:tcW w:w="14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A6AECF1" w14:textId="77777777" w:rsidR="00025543" w:rsidRDefault="007E3A2F">
            <w:pPr>
              <w:pStyle w:val="P68B1DB1-Normal28"/>
              <w:spacing w:line="240" w:lineRule="auto"/>
              <w:rPr>
                <w:rFonts w:eastAsia="Times New Roman"/>
                <w:noProof/>
              </w:rPr>
            </w:pPr>
            <w:r>
              <w:rPr>
                <w:noProof/>
              </w:rPr>
              <w:t>Achèvement des projets investissant dans des solutions circulaires dans les entreprises</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310ACF2" w14:textId="77777777" w:rsidR="00025543" w:rsidRDefault="00025543">
            <w:pPr>
              <w:spacing w:line="240" w:lineRule="auto"/>
              <w:rPr>
                <w:rFonts w:eastAsia="Times New Roman"/>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1C7A01F" w14:textId="77777777" w:rsidR="00025543" w:rsidRDefault="007E3A2F">
            <w:pPr>
              <w:pStyle w:val="P68B1DB1-Normal11"/>
              <w:spacing w:line="240" w:lineRule="auto"/>
              <w:rPr>
                <w:noProof/>
              </w:rPr>
            </w:pPr>
            <w:r>
              <w:rPr>
                <w:noProof/>
              </w:rPr>
              <w:t>Nombre de projets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256A7CB" w14:textId="77777777" w:rsidR="00025543" w:rsidRDefault="007E3A2F">
            <w:pPr>
              <w:pStyle w:val="P68B1DB1-Normal11"/>
              <w:spacing w:line="240" w:lineRule="auto"/>
              <w:jc w:val="center"/>
              <w:rPr>
                <w:noProof/>
              </w:rPr>
            </w:pPr>
            <w:r>
              <w:rPr>
                <w:noProof/>
              </w:rPr>
              <w:t>0</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16FEB1D" w14:textId="77777777" w:rsidR="00025543" w:rsidRDefault="007E3A2F">
            <w:pPr>
              <w:pStyle w:val="P68B1DB1-Normal11"/>
              <w:spacing w:line="240" w:lineRule="auto"/>
              <w:jc w:val="center"/>
              <w:rPr>
                <w:noProof/>
              </w:rPr>
            </w:pPr>
            <w:r>
              <w:rPr>
                <w:noProof/>
              </w:rPr>
              <w:t>60</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D9BA59A" w14:textId="77777777" w:rsidR="00025543" w:rsidRDefault="007E3A2F">
            <w:pPr>
              <w:pStyle w:val="P68B1DB1-Normal11"/>
              <w:spacing w:line="240" w:lineRule="auto"/>
              <w:jc w:val="center"/>
              <w:rPr>
                <w:noProof/>
              </w:rPr>
            </w:pPr>
            <w:r>
              <w:rPr>
                <w:noProof/>
              </w:rPr>
              <w:t>TRIMESTRE 4</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72CFEB5" w14:textId="77777777" w:rsidR="00025543" w:rsidRDefault="007E3A2F">
            <w:pPr>
              <w:pStyle w:val="P68B1DB1-Normal11"/>
              <w:spacing w:line="240" w:lineRule="auto"/>
              <w:jc w:val="center"/>
              <w:rPr>
                <w:noProof/>
              </w:rPr>
            </w:pPr>
            <w:r>
              <w:rPr>
                <w:noProof/>
              </w:rPr>
              <w:t>2025</w:t>
            </w:r>
          </w:p>
        </w:tc>
        <w:tc>
          <w:tcPr>
            <w:tcW w:w="4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4341FAC" w14:textId="77777777" w:rsidR="00025543" w:rsidRDefault="007E3A2F">
            <w:pPr>
              <w:pStyle w:val="P68B1DB1-Normal28"/>
              <w:spacing w:line="240" w:lineRule="auto"/>
              <w:rPr>
                <w:rFonts w:eastAsia="Times New Roman"/>
                <w:noProof/>
              </w:rPr>
            </w:pPr>
            <w:r>
              <w:rPr>
                <w:noProof/>
              </w:rPr>
              <w:t>Des projets visant à soutenir le développement de solutions circulaires dans les entreprises industrielles, à accroître l’utilisation de matières premières secondaires en remplacement des ressources primaires, à réduire l’intensité matérielle de la production, à optimiser l’écoconception des matériaux afin de faciliter le recyclage et la réutilisation, à mettre en œuvre une symbiose industrielle et à encourager la transition vers une économie circulaire. Le budget total exécuté à cette fin pendant la durée de la mesure s’élève à au moins 39 000 000 EUR.</w:t>
            </w:r>
          </w:p>
        </w:tc>
      </w:tr>
      <w:tr w:rsidR="00025543" w14:paraId="0642FF7F" w14:textId="77777777">
        <w:trPr>
          <w:trHeight w:val="945"/>
          <w:jc w:val="center"/>
        </w:trPr>
        <w:tc>
          <w:tcPr>
            <w:tcW w:w="6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F097DCB" w14:textId="77777777" w:rsidR="00025543" w:rsidRDefault="007E3A2F">
            <w:pPr>
              <w:pStyle w:val="P68B1DB1-Normal28"/>
              <w:spacing w:line="240" w:lineRule="auto"/>
              <w:jc w:val="center"/>
              <w:rPr>
                <w:rFonts w:eastAsia="Times New Roman"/>
                <w:noProof/>
              </w:rPr>
            </w:pPr>
            <w:r>
              <w:rPr>
                <w:noProof/>
              </w:rPr>
              <w:t>152</w:t>
            </w:r>
          </w:p>
        </w:tc>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A2BC331" w14:textId="77777777" w:rsidR="00025543" w:rsidRDefault="007E3A2F">
            <w:pPr>
              <w:pStyle w:val="P68B1DB1-Normal28"/>
              <w:spacing w:line="240" w:lineRule="auto"/>
              <w:rPr>
                <w:rFonts w:eastAsia="Times New Roman"/>
                <w:noProof/>
              </w:rPr>
            </w:pPr>
            <w:r>
              <w:rPr>
                <w:noProof/>
              </w:rPr>
              <w:t>Investissement 3: Économies d’eau dans l’industrie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BEBFEBF" w14:textId="77777777" w:rsidR="00025543" w:rsidRDefault="007E3A2F">
            <w:pPr>
              <w:pStyle w:val="P68B1DB1-Normal28"/>
              <w:spacing w:line="240" w:lineRule="auto"/>
              <w:rPr>
                <w:rFonts w:eastAsia="Times New Roman"/>
                <w:noProof/>
              </w:rPr>
            </w:pPr>
            <w:r>
              <w:rPr>
                <w:noProof/>
              </w:rPr>
              <w:t>Étapes</w:t>
            </w:r>
          </w:p>
        </w:tc>
        <w:tc>
          <w:tcPr>
            <w:tcW w:w="14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798DE52" w14:textId="77777777" w:rsidR="00025543" w:rsidRDefault="007E3A2F">
            <w:pPr>
              <w:pStyle w:val="P68B1DB1-Normal28"/>
              <w:spacing w:line="240" w:lineRule="auto"/>
              <w:rPr>
                <w:rFonts w:eastAsia="Times New Roman"/>
                <w:noProof/>
              </w:rPr>
            </w:pPr>
            <w:r>
              <w:rPr>
                <w:noProof/>
              </w:rPr>
              <w:t>Attribution de tous les marchés publics pour des projets d’économie et d’optimisation de l’eau dans l’industrie par le ministère de l’industrie et du commerce</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E95D039" w14:textId="77777777" w:rsidR="00025543" w:rsidRDefault="007E3A2F">
            <w:pPr>
              <w:pStyle w:val="P68B1DB1-Normal28"/>
              <w:spacing w:line="240" w:lineRule="auto"/>
              <w:rPr>
                <w:rFonts w:eastAsia="Times New Roman"/>
                <w:noProof/>
              </w:rPr>
            </w:pPr>
            <w:r>
              <w:rPr>
                <w:noProof/>
              </w:rPr>
              <w:t>Notification de l’attribution de tous les marchés publics pour des projets d’économie et d’optimisation de l’eau dans l’industrie par le ministère de l’industrie et du commerce</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461EBC7" w14:textId="77777777" w:rsidR="00025543" w:rsidRDefault="00025543">
            <w:pPr>
              <w:spacing w:line="240" w:lineRule="auto"/>
              <w:rPr>
                <w:rFonts w:eastAsia="Times New Roman"/>
                <w:noProof/>
                <w:color w:val="006100"/>
                <w:sz w:val="18"/>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B9F1FA9" w14:textId="77777777" w:rsidR="00025543" w:rsidRDefault="00025543">
            <w:pPr>
              <w:spacing w:line="240" w:lineRule="auto"/>
              <w:jc w:val="center"/>
              <w:rPr>
                <w:rFonts w:eastAsia="Times New Roman"/>
                <w:noProof/>
                <w:color w:val="006100"/>
                <w:sz w:val="18"/>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28E85AA" w14:textId="77777777" w:rsidR="00025543" w:rsidRDefault="00025543">
            <w:pPr>
              <w:spacing w:line="240" w:lineRule="auto"/>
              <w:jc w:val="center"/>
              <w:rPr>
                <w:rFonts w:eastAsia="Times New Roman"/>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0AA9A8F" w14:textId="77777777" w:rsidR="00025543" w:rsidRDefault="007E3A2F">
            <w:pPr>
              <w:pStyle w:val="P68B1DB1-Normal11"/>
              <w:spacing w:line="240" w:lineRule="auto"/>
              <w:jc w:val="center"/>
              <w:rPr>
                <w:noProof/>
              </w:rPr>
            </w:pPr>
            <w:r>
              <w:rPr>
                <w:noProof/>
              </w:rPr>
              <w:t>TRIMESTRE 4</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BF82495" w14:textId="77777777" w:rsidR="00025543" w:rsidRDefault="007E3A2F">
            <w:pPr>
              <w:pStyle w:val="P68B1DB1-Normal11"/>
              <w:spacing w:line="240" w:lineRule="auto"/>
              <w:jc w:val="center"/>
              <w:rPr>
                <w:noProof/>
              </w:rPr>
            </w:pPr>
            <w:r>
              <w:rPr>
                <w:noProof/>
              </w:rPr>
              <w:t>2022</w:t>
            </w:r>
          </w:p>
        </w:tc>
        <w:tc>
          <w:tcPr>
            <w:tcW w:w="4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9A050A8" w14:textId="77777777" w:rsidR="00025543" w:rsidRDefault="007E3A2F">
            <w:pPr>
              <w:pStyle w:val="P68B1DB1-Normal28"/>
              <w:spacing w:line="240" w:lineRule="auto"/>
              <w:rPr>
                <w:rFonts w:eastAsia="Times New Roman"/>
                <w:noProof/>
              </w:rPr>
            </w:pPr>
            <w:r>
              <w:rPr>
                <w:noProof/>
              </w:rPr>
              <w:t>Notification de l’attribution de tous les marchés publics pour des projets d’économie et d’optimisation de l’eau dans l’industrie par le ministère de l’industrie et du commerce. Sont sélectionnés les projets qui optimisent la consommation d’eau dans le processus de production en installant de nouvelles technologies et de nouveaux équipements pour économiser l’eau, recycler directement l’eau dans les industries à forte intensité d’eau, réutiliser l’eau polluée/utilisée dans d’autres procédés, optimiser l’utilisation de l’eau dans les centrales publiques, réduire les pertes d’eau dans les circuits fermés ou optimiser l’utilisation de la vapeur ou son potentiel de distribution.</w:t>
            </w:r>
          </w:p>
        </w:tc>
      </w:tr>
      <w:tr w:rsidR="00025543" w14:paraId="396ED4C3" w14:textId="77777777">
        <w:trPr>
          <w:trHeight w:val="945"/>
          <w:jc w:val="center"/>
        </w:trPr>
        <w:tc>
          <w:tcPr>
            <w:tcW w:w="6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3506308" w14:textId="77777777" w:rsidR="00025543" w:rsidRDefault="007E3A2F">
            <w:pPr>
              <w:pStyle w:val="P68B1DB1-Normal28"/>
              <w:spacing w:line="240" w:lineRule="auto"/>
              <w:jc w:val="center"/>
              <w:rPr>
                <w:noProof/>
              </w:rPr>
            </w:pPr>
            <w:r>
              <w:rPr>
                <w:noProof/>
              </w:rPr>
              <w:t>153</w:t>
            </w:r>
          </w:p>
        </w:tc>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DF41714" w14:textId="77777777" w:rsidR="00025543" w:rsidRDefault="007E3A2F">
            <w:pPr>
              <w:pStyle w:val="P68B1DB1-Normal28"/>
              <w:spacing w:line="240" w:lineRule="auto"/>
              <w:rPr>
                <w:rFonts w:eastAsia="Times New Roman"/>
                <w:noProof/>
              </w:rPr>
            </w:pPr>
            <w:r>
              <w:rPr>
                <w:noProof/>
              </w:rPr>
              <w:t>Investissement 3: Économies d’eau dans l’industrie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82626B2" w14:textId="77777777" w:rsidR="00025543" w:rsidRDefault="007E3A2F">
            <w:pPr>
              <w:pStyle w:val="P68B1DB1-Normal28"/>
              <w:spacing w:line="240" w:lineRule="auto"/>
              <w:rPr>
                <w:rFonts w:eastAsia="Times New Roman"/>
                <w:noProof/>
              </w:rPr>
            </w:pPr>
            <w:r>
              <w:rPr>
                <w:noProof/>
              </w:rPr>
              <w:t>Cible</w:t>
            </w:r>
          </w:p>
        </w:tc>
        <w:tc>
          <w:tcPr>
            <w:tcW w:w="14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AA738A1" w14:textId="77777777" w:rsidR="00025543" w:rsidRDefault="007E3A2F">
            <w:pPr>
              <w:pStyle w:val="P68B1DB1-Normal28"/>
              <w:spacing w:line="240" w:lineRule="auto"/>
              <w:rPr>
                <w:rFonts w:eastAsia="Times New Roman"/>
                <w:noProof/>
              </w:rPr>
            </w:pPr>
            <w:r>
              <w:rPr>
                <w:noProof/>
              </w:rPr>
              <w:t>Achèvement des projets visant à économiser et à optimiser l’eau dans l’industrie</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C345AA5" w14:textId="77777777" w:rsidR="00025543" w:rsidRDefault="00025543">
            <w:pPr>
              <w:spacing w:line="240" w:lineRule="auto"/>
              <w:rPr>
                <w:rFonts w:eastAsia="Times New Roman"/>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F8643D5" w14:textId="77777777" w:rsidR="00025543" w:rsidRDefault="007E3A2F">
            <w:pPr>
              <w:pStyle w:val="P68B1DB1-Normal11"/>
              <w:spacing w:line="240" w:lineRule="auto"/>
              <w:rPr>
                <w:noProof/>
              </w:rPr>
            </w:pPr>
            <w:r>
              <w:rPr>
                <w:noProof/>
              </w:rPr>
              <w:t>Nombre de projets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CE51EB1" w14:textId="77777777" w:rsidR="00025543" w:rsidRDefault="007E3A2F">
            <w:pPr>
              <w:pStyle w:val="P68B1DB1-Normal11"/>
              <w:spacing w:line="240" w:lineRule="auto"/>
              <w:jc w:val="center"/>
              <w:rPr>
                <w:noProof/>
              </w:rPr>
            </w:pPr>
            <w:r>
              <w:rPr>
                <w:noProof/>
              </w:rPr>
              <w:t>0</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CD73DC0" w14:textId="77777777" w:rsidR="00025543" w:rsidRDefault="007E3A2F">
            <w:pPr>
              <w:pStyle w:val="P68B1DB1-Normal11"/>
              <w:spacing w:line="240" w:lineRule="auto"/>
              <w:jc w:val="center"/>
              <w:rPr>
                <w:noProof/>
              </w:rPr>
            </w:pPr>
            <w:r>
              <w:rPr>
                <w:noProof/>
              </w:rPr>
              <w:t>40</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868B33C" w14:textId="77777777" w:rsidR="00025543" w:rsidRDefault="007E3A2F">
            <w:pPr>
              <w:pStyle w:val="P68B1DB1-Normal11"/>
              <w:spacing w:line="240" w:lineRule="auto"/>
              <w:jc w:val="center"/>
              <w:rPr>
                <w:noProof/>
              </w:rPr>
            </w:pPr>
            <w:r>
              <w:rPr>
                <w:noProof/>
              </w:rPr>
              <w:t>TRIMESTRE 4</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3B0DF62" w14:textId="77777777" w:rsidR="00025543" w:rsidRDefault="007E3A2F">
            <w:pPr>
              <w:pStyle w:val="P68B1DB1-Normal11"/>
              <w:spacing w:line="240" w:lineRule="auto"/>
              <w:jc w:val="center"/>
              <w:rPr>
                <w:noProof/>
              </w:rPr>
            </w:pPr>
            <w:r>
              <w:rPr>
                <w:noProof/>
              </w:rPr>
              <w:t>2025</w:t>
            </w:r>
          </w:p>
        </w:tc>
        <w:tc>
          <w:tcPr>
            <w:tcW w:w="46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376A398" w14:textId="4218A992" w:rsidR="00025543" w:rsidRDefault="007E3A2F">
            <w:pPr>
              <w:pStyle w:val="P68B1DB1-Normal28"/>
              <w:spacing w:line="240" w:lineRule="auto"/>
              <w:rPr>
                <w:rFonts w:eastAsia="Times New Roman"/>
                <w:noProof/>
              </w:rPr>
            </w:pPr>
            <w:r>
              <w:rPr>
                <w:noProof/>
              </w:rPr>
              <w:t xml:space="preserve">Des projets visant à optimiser la consommation d’eau dans le processus de production en installant de nouvelles technologies et de nouveaux équipements pour économiser l’eau, recycler directement l’eau dans les industries à forte intensité d’eau, réutiliser l’eau polluée/utilisée dans d’autres procédés, optimiser l’utilisation de l’eau dans les centrales d’utilité publique, réduire les pertes d’eau dans les circuits fermés ou optimiser l’utilisation de la vapeur ou son potentiel de distribution. </w:t>
            </w:r>
          </w:p>
        </w:tc>
      </w:tr>
    </w:tbl>
    <w:p w14:paraId="6BE50ECF" w14:textId="77777777" w:rsidR="00025543" w:rsidRDefault="00025543">
      <w:pPr>
        <w:spacing w:line="240" w:lineRule="auto"/>
        <w:ind w:left="850"/>
        <w:jc w:val="both"/>
        <w:rPr>
          <w:b/>
          <w:noProof/>
          <w:highlight w:val="red"/>
          <w:u w:val="single"/>
        </w:rPr>
      </w:pPr>
    </w:p>
    <w:p w14:paraId="4D761076" w14:textId="77777777" w:rsidR="00025543" w:rsidRDefault="00025543">
      <w:pPr>
        <w:spacing w:line="240" w:lineRule="auto"/>
        <w:rPr>
          <w:b/>
          <w:smallCaps/>
          <w:noProof/>
        </w:rPr>
        <w:sectPr w:rsidR="00025543" w:rsidSect="00786C7E">
          <w:headerReference w:type="even" r:id="rId228"/>
          <w:headerReference w:type="default" r:id="rId229"/>
          <w:footerReference w:type="even" r:id="rId230"/>
          <w:footerReference w:type="default" r:id="rId231"/>
          <w:headerReference w:type="first" r:id="rId232"/>
          <w:footerReference w:type="first" r:id="rId233"/>
          <w:pgSz w:w="16839" w:h="11907" w:orient="landscape"/>
          <w:pgMar w:top="1134" w:right="1134" w:bottom="1134" w:left="1134" w:header="567" w:footer="567" w:gutter="0"/>
          <w:cols w:space="720"/>
          <w:docGrid w:linePitch="326"/>
        </w:sectPr>
      </w:pPr>
    </w:p>
    <w:p w14:paraId="4562630C" w14:textId="223FA374" w:rsidR="00025543" w:rsidRDefault="007E3A2F">
      <w:pPr>
        <w:pStyle w:val="P68B1DB1-Normal2"/>
        <w:keepNext/>
        <w:tabs>
          <w:tab w:val="left" w:pos="850"/>
        </w:tabs>
        <w:spacing w:line="240" w:lineRule="auto"/>
        <w:jc w:val="both"/>
        <w:outlineLvl w:val="0"/>
        <w:rPr>
          <w:noProof/>
        </w:rPr>
      </w:pPr>
      <w:r>
        <w:rPr>
          <w:noProof/>
        </w:rPr>
        <w:t>O. COMPOSANTE 2.8: Revitalisation des friches industrielles</w:t>
      </w:r>
    </w:p>
    <w:p w14:paraId="6A7E9794" w14:textId="77777777" w:rsidR="00025543" w:rsidRDefault="007E3A2F">
      <w:pPr>
        <w:spacing w:line="240" w:lineRule="auto"/>
        <w:jc w:val="both"/>
        <w:rPr>
          <w:noProof/>
        </w:rPr>
      </w:pPr>
      <w:r>
        <w:rPr>
          <w:noProof/>
        </w:rPr>
        <w:t xml:space="preserve">Ce volet </w:t>
      </w:r>
      <w:r>
        <w:rPr>
          <w:rFonts w:eastAsia="Times New Roman"/>
          <w:noProof/>
        </w:rPr>
        <w:t>du plan pour la reprise et la résilience de la République tchèque contribue à</w:t>
      </w:r>
      <w:r>
        <w:rPr>
          <w:noProof/>
        </w:rPr>
        <w:t xml:space="preserve"> relever le défi consistant à soutenir la revitalisation d’anciens sites industriels ou inutilisés dans les zones urbaines (ci-après les «friches industrielles») dans le but ultime de:</w:t>
      </w:r>
    </w:p>
    <w:p w14:paraId="1589E8E7" w14:textId="77777777" w:rsidR="00025543" w:rsidRDefault="007E3A2F">
      <w:pPr>
        <w:numPr>
          <w:ilvl w:val="0"/>
          <w:numId w:val="166"/>
        </w:numPr>
        <w:spacing w:line="240" w:lineRule="auto"/>
        <w:contextualSpacing/>
        <w:jc w:val="both"/>
        <w:rPr>
          <w:noProof/>
        </w:rPr>
      </w:pPr>
      <w:r>
        <w:rPr>
          <w:noProof/>
        </w:rPr>
        <w:t>améliorer l’efficacité énergétique des bâtiments rénovés ou reconstruits;</w:t>
      </w:r>
    </w:p>
    <w:p w14:paraId="66B89B1D" w14:textId="77777777" w:rsidR="00025543" w:rsidRDefault="007E3A2F">
      <w:pPr>
        <w:numPr>
          <w:ilvl w:val="0"/>
          <w:numId w:val="166"/>
        </w:numPr>
        <w:spacing w:line="240" w:lineRule="auto"/>
        <w:contextualSpacing/>
        <w:jc w:val="both"/>
        <w:rPr>
          <w:noProof/>
        </w:rPr>
      </w:pPr>
      <w:r>
        <w:rPr>
          <w:noProof/>
        </w:rPr>
        <w:t>construire de nouveaux bâtiments économes en énergie, où la rénovation ne serait ni possible ni efficace;</w:t>
      </w:r>
    </w:p>
    <w:p w14:paraId="5323A663" w14:textId="77777777" w:rsidR="00025543" w:rsidRDefault="007E3A2F">
      <w:pPr>
        <w:numPr>
          <w:ilvl w:val="0"/>
          <w:numId w:val="166"/>
        </w:numPr>
        <w:spacing w:line="240" w:lineRule="auto"/>
        <w:contextualSpacing/>
        <w:jc w:val="both"/>
        <w:rPr>
          <w:noProof/>
        </w:rPr>
      </w:pPr>
      <w:r>
        <w:rPr>
          <w:noProof/>
        </w:rPr>
        <w:t>créer des puits de carbone naturels.</w:t>
      </w:r>
    </w:p>
    <w:p w14:paraId="19B311AA" w14:textId="77777777" w:rsidR="00025543" w:rsidRDefault="007E3A2F">
      <w:pPr>
        <w:spacing w:line="240" w:lineRule="auto"/>
        <w:jc w:val="both"/>
        <w:rPr>
          <w:noProof/>
        </w:rPr>
      </w:pPr>
      <w:r>
        <w:rPr>
          <w:noProof/>
        </w:rPr>
        <w:t xml:space="preserve">La composante doit amorcer des transformations globales des sites et renforcer la stabilité écologique du paysage en créant de nouveaux espaces verts sans affecter les terres agricoles. La revitalisation du territoire devrait contribuer à une utilisation plus efficace des infrastructures techniques et de transport, à une réduction de la consommation d’énergie et à une efficacité énergétique accrue.  </w:t>
      </w:r>
    </w:p>
    <w:p w14:paraId="05B9573E" w14:textId="77777777" w:rsidR="00025543" w:rsidRDefault="007E3A2F">
      <w:pPr>
        <w:spacing w:line="240" w:lineRule="auto"/>
        <w:jc w:val="both"/>
        <w:rPr>
          <w:noProof/>
          <w:color w:val="000000"/>
        </w:rPr>
      </w:pPr>
      <w:r>
        <w:rPr>
          <w:noProof/>
        </w:rPr>
        <w:t>Le volet soutient la mise en œuvre de la recommandation par pays, selon laquelle la Tchéquie met l’</w:t>
      </w:r>
      <w:r>
        <w:rPr>
          <w:noProof/>
          <w:highlight w:val="white"/>
        </w:rPr>
        <w:t xml:space="preserve"> </w:t>
      </w:r>
      <w:r>
        <w:rPr>
          <w:noProof/>
          <w:color w:val="000000"/>
          <w:highlight w:val="white"/>
        </w:rPr>
        <w:t xml:space="preserve">accent sur la transition énergétique à faible intensité de carbone et sur la transition énergétique, y compris l’efficacité énergétique (recommandation spécifique par pays no 3 2019), </w:t>
      </w:r>
      <w:r>
        <w:rPr>
          <w:noProof/>
        </w:rPr>
        <w:t>et la recommandation par pays, selon laquelle la Tchéquie soutient la production et l’utilisation propres et efficaces de l’énergie (recommandation spécifique par pays no 3 2020).</w:t>
      </w:r>
      <w:r>
        <w:rPr>
          <w:noProof/>
          <w:color w:val="000000"/>
        </w:rPr>
        <w:t xml:space="preserve"> </w:t>
      </w:r>
      <w:r>
        <w:rPr>
          <w:noProof/>
          <w:color w:val="000000"/>
          <w:highlight w:val="white"/>
        </w:rPr>
        <w:t xml:space="preserve"> </w:t>
      </w:r>
    </w:p>
    <w:p w14:paraId="325486A5" w14:textId="4F6FF90A" w:rsidR="00025543" w:rsidRDefault="007E3A2F">
      <w:pPr>
        <w:pStyle w:val="P68B1DB1-Normal4"/>
        <w:spacing w:after="160" w:line="259" w:lineRule="auto"/>
        <w:contextualSpacing/>
        <w:jc w:val="both"/>
        <w:rPr>
          <w:noProof/>
        </w:rPr>
      </w:pPr>
      <w:r>
        <w:rPr>
          <w:noProof/>
        </w:rPr>
        <w:t>Aucune mesure relevant de ce volet ne devrait causer de préjudice important aux objectifs environnementaux au sens de l’article 17 du règlement (UE) 2020/852, compte tenu de la description des mesures et des mesures d’atténuation prévues dans le plan conformément aux orientations techniques DNSH (2021/C58/01). </w:t>
      </w:r>
    </w:p>
    <w:p w14:paraId="6FBE265B" w14:textId="77777777" w:rsidR="00025543" w:rsidRDefault="00025543">
      <w:pPr>
        <w:spacing w:line="240" w:lineRule="auto"/>
        <w:jc w:val="both"/>
        <w:rPr>
          <w:noProof/>
          <w:sz w:val="22"/>
        </w:rPr>
      </w:pPr>
    </w:p>
    <w:p w14:paraId="6CD256A9" w14:textId="52D4EF9E" w:rsidR="00025543" w:rsidRDefault="007E3A2F">
      <w:pPr>
        <w:pStyle w:val="P68B1DB1-Normal5"/>
        <w:spacing w:line="240" w:lineRule="auto"/>
        <w:jc w:val="both"/>
        <w:rPr>
          <w:noProof/>
        </w:rPr>
      </w:pPr>
      <w:r>
        <w:rPr>
          <w:noProof/>
        </w:rPr>
        <w:t>O.1. Description des réformes et des investissements en vue du soutien financier non remboursable</w:t>
      </w:r>
    </w:p>
    <w:p w14:paraId="5C5376EC" w14:textId="77777777" w:rsidR="00025543" w:rsidRDefault="007E3A2F">
      <w:pPr>
        <w:pStyle w:val="P68B1DB1-Normal7"/>
        <w:spacing w:line="240" w:lineRule="auto"/>
        <w:jc w:val="both"/>
        <w:rPr>
          <w:noProof/>
        </w:rPr>
      </w:pPr>
      <w:r>
        <w:rPr>
          <w:noProof/>
        </w:rPr>
        <w:t xml:space="preserve">Investissement 1: Aides à l’investissement en faveur de la réhabilitation de friches spécifiques </w:t>
      </w:r>
    </w:p>
    <w:p w14:paraId="09061A5F" w14:textId="15B1C4BC" w:rsidR="00025543" w:rsidRDefault="007E3A2F">
      <w:pPr>
        <w:spacing w:line="240" w:lineRule="auto"/>
        <w:jc w:val="both"/>
        <w:rPr>
          <w:noProof/>
        </w:rPr>
      </w:pPr>
      <w:r>
        <w:rPr>
          <w:noProof/>
        </w:rPr>
        <w:t>L’investissement soutient des projets de réhabilitation de friches visant à préparer des zones à une utilisation multifonctionnelle ultérieure (y compris la rénovation et la construction d’infrastructures ou la démolition de bâtiments). Des friches industrielles spécifiques ont été recensées par le ministère du développement régional en coopération avec Czech Invest</w:t>
      </w:r>
      <w:r>
        <w:rPr>
          <w:rFonts w:eastAsia="Times New Roman"/>
          <w:noProof/>
        </w:rPr>
        <w:t xml:space="preserve">, l’agence tchèque pour l’investissement et le développement des entreprises, placée sous le contrôle du ministère de l’industrie et du commerce, </w:t>
      </w:r>
      <w:r>
        <w:rPr>
          <w:noProof/>
        </w:rPr>
        <w:t xml:space="preserve">sur la base de la taille du site, de la taille attendue de l’investissement et de l’alignement du projet sur les ambitions de l’Europe en matière de transition écologique. </w:t>
      </w:r>
      <w:r>
        <w:rPr>
          <w:rFonts w:eastAsia="Times New Roman"/>
          <w:noProof/>
        </w:rPr>
        <w:t xml:space="preserve">La mesure consiste en la mise en place d’un programme de subventions destiné à soutenir </w:t>
      </w:r>
      <w:r>
        <w:rPr>
          <w:noProof/>
        </w:rPr>
        <w:t>la préparation des terrains aux investissements futurs et aux projets d’investissement eux-mêmes. L’investissement soutient au moins 10 projets de régénération de friches industrielles.</w:t>
      </w:r>
    </w:p>
    <w:p w14:paraId="4A2E71CC" w14:textId="77777777" w:rsidR="00025543" w:rsidRDefault="007E3A2F">
      <w:pPr>
        <w:spacing w:line="240" w:lineRule="auto"/>
        <w:jc w:val="both"/>
        <w:rPr>
          <w:noProof/>
        </w:rPr>
      </w:pPr>
      <w:r>
        <w:rPr>
          <w:noProof/>
        </w:rPr>
        <w:t xml:space="preserve">L’investissement est achevé au plus tard le 31 décembre 2025. </w:t>
      </w:r>
    </w:p>
    <w:p w14:paraId="72D07D4B" w14:textId="77777777" w:rsidR="00025543" w:rsidRDefault="007E3A2F">
      <w:pPr>
        <w:pStyle w:val="P68B1DB1-Normal7"/>
        <w:spacing w:line="240" w:lineRule="auto"/>
        <w:rPr>
          <w:noProof/>
        </w:rPr>
      </w:pPr>
      <w:r>
        <w:rPr>
          <w:noProof/>
        </w:rPr>
        <w:t>Investissement 2: Aides à l’investissement en faveur de la réhabilitation de friches industrielles détenues par des municipalités et des régions à des fins non professionnelles</w:t>
      </w:r>
    </w:p>
    <w:p w14:paraId="43638C73" w14:textId="5FD51A71" w:rsidR="00025543" w:rsidRDefault="007E3A2F">
      <w:pPr>
        <w:spacing w:line="240" w:lineRule="auto"/>
        <w:jc w:val="both"/>
        <w:rPr>
          <w:noProof/>
        </w:rPr>
      </w:pPr>
      <w:r>
        <w:rPr>
          <w:noProof/>
        </w:rPr>
        <w:t>L’investissement soutient la réhabilitation de friches appartenant à des collectivités locales et régionales qui sont transformées en une installation ou une institution publique, telle qu’une école, un centre culturel, un terrain sportif, une autorité municipale ou un parc accessible au public. Le soutien est exclusivement accordé aux projets qui s’engagent soit en faveur de la rénovation économe en énergie, soit de la création de puits de carbone naturels, y compris la création de prairies permanentes ou la plantation d’arbres. L’investissement soutient au moins 30 projets de régénération de friches non commerciales.</w:t>
      </w:r>
    </w:p>
    <w:p w14:paraId="5D0FE853" w14:textId="77777777" w:rsidR="00025543" w:rsidRDefault="007E3A2F">
      <w:pPr>
        <w:spacing w:line="240" w:lineRule="auto"/>
        <w:jc w:val="both"/>
        <w:rPr>
          <w:noProof/>
        </w:rPr>
      </w:pPr>
      <w:r>
        <w:rPr>
          <w:noProof/>
        </w:rPr>
        <w:t xml:space="preserve">L’investissement est achevé au plus tard le 31 décembre 2025. </w:t>
      </w:r>
    </w:p>
    <w:p w14:paraId="46509C1B" w14:textId="77777777" w:rsidR="00025543" w:rsidRDefault="007E3A2F">
      <w:pPr>
        <w:pStyle w:val="P68B1DB1-Normal7"/>
        <w:spacing w:line="240" w:lineRule="auto"/>
        <w:rPr>
          <w:noProof/>
        </w:rPr>
      </w:pPr>
      <w:r>
        <w:rPr>
          <w:noProof/>
        </w:rPr>
        <w:t xml:space="preserve">Investissement 3: Aides à l’investissement en faveur de la réhabilitation de friches industrielles détenues par des municipalités et des régions à des fins professionnelles </w:t>
      </w:r>
    </w:p>
    <w:p w14:paraId="1D819D7D" w14:textId="0D643918" w:rsidR="00025543" w:rsidRDefault="007E3A2F">
      <w:pPr>
        <w:spacing w:line="240" w:lineRule="auto"/>
        <w:jc w:val="both"/>
        <w:rPr>
          <w:noProof/>
        </w:rPr>
      </w:pPr>
      <w:r>
        <w:rPr>
          <w:noProof/>
        </w:rPr>
        <w:t>L’investissement contribue à revitaliser les friches dégradées, y compris l’élimination des petits obstacles à la surface, appartenant aux municipalités, en particulier à des fins professionnelles et, dans une mesure limitée, à des fins non professionnelles. Ces obstacles concernent des parties de constructions qualifiées de déchets dangereux, telles que les matériaux contenant de l’amiante, ou les petites fuites d’huile. Un accent particulier est mis sur le strict respect des principes d’infrastructure verte bleue et d’efficacité énergétique, ce qui signifie que la préférence doit être accordée aux projets mettant en œuvre la gestion des eaux de pluie conformément à la loi 254/2001 («loi sur l’eau») et, dans le cas de nouveaux bâtiments, à des mesures d’économie d’énergie allant au-delà des exigences législatives de la loi no 406/2000 («loi sur la gestion de l’énergie»). Les sites régénérés sont utilisés de préférence par les petites et moyennes entreprises et les entreprises locales. L’investissement soutient des projets visant à revitaliser des friches industrielles à des fins professionnelles correspondant à l’objectif d’au moins 76 000 m³ d’espace bâti.</w:t>
      </w:r>
    </w:p>
    <w:p w14:paraId="10838A8C" w14:textId="77777777" w:rsidR="00025543" w:rsidRDefault="007E3A2F">
      <w:pPr>
        <w:spacing w:line="240" w:lineRule="auto"/>
        <w:jc w:val="both"/>
        <w:rPr>
          <w:noProof/>
        </w:rPr>
      </w:pPr>
      <w:r>
        <w:rPr>
          <w:noProof/>
        </w:rPr>
        <w:t xml:space="preserve">L’investissement est achevé au plus tard le 31 décembre 2025. </w:t>
      </w:r>
    </w:p>
    <w:p w14:paraId="2166D0F0" w14:textId="77777777" w:rsidR="00025543" w:rsidRDefault="00025543">
      <w:pPr>
        <w:spacing w:line="240" w:lineRule="auto"/>
        <w:jc w:val="both"/>
        <w:rPr>
          <w:rFonts w:eastAsia="Times New Roman"/>
          <w:noProof/>
          <w:color w:val="000000"/>
        </w:rPr>
        <w:sectPr w:rsidR="00025543" w:rsidSect="00786C7E">
          <w:headerReference w:type="even" r:id="rId234"/>
          <w:headerReference w:type="default" r:id="rId235"/>
          <w:footerReference w:type="even" r:id="rId236"/>
          <w:footerReference w:type="default" r:id="rId237"/>
          <w:headerReference w:type="first" r:id="rId238"/>
          <w:footerReference w:type="first" r:id="rId239"/>
          <w:pgSz w:w="11907" w:h="16839"/>
          <w:pgMar w:top="1134" w:right="1134" w:bottom="1134" w:left="1134" w:header="567" w:footer="567" w:gutter="0"/>
          <w:cols w:space="720"/>
          <w:docGrid w:linePitch="326"/>
        </w:sectPr>
      </w:pPr>
    </w:p>
    <w:p w14:paraId="07BAED87" w14:textId="5D387FD7" w:rsidR="00025543" w:rsidRDefault="007E3A2F">
      <w:pPr>
        <w:pStyle w:val="P68B1DB1-Normal8"/>
        <w:pBdr>
          <w:top w:val="nil"/>
          <w:left w:val="nil"/>
          <w:bottom w:val="nil"/>
          <w:right w:val="nil"/>
          <w:between w:val="nil"/>
        </w:pBdr>
        <w:tabs>
          <w:tab w:val="left" w:pos="993"/>
        </w:tabs>
        <w:spacing w:line="240" w:lineRule="auto"/>
        <w:rPr>
          <w:noProof/>
        </w:rPr>
      </w:pPr>
      <w:r>
        <w:rPr>
          <w:noProof/>
        </w:rPr>
        <w:t xml:space="preserve">O.2. Jalons, cibles, indicateurs et calendrier de suivi et de mise en œuvre en vue du soutien financier non remboursable </w:t>
      </w:r>
    </w:p>
    <w:tbl>
      <w:tblPr>
        <w:tblW w:w="147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3"/>
        <w:gridCol w:w="1143"/>
        <w:gridCol w:w="1089"/>
        <w:gridCol w:w="1267"/>
        <w:gridCol w:w="1121"/>
        <w:gridCol w:w="1013"/>
        <w:gridCol w:w="951"/>
        <w:gridCol w:w="759"/>
        <w:gridCol w:w="987"/>
        <w:gridCol w:w="1035"/>
        <w:gridCol w:w="4708"/>
      </w:tblGrid>
      <w:tr w:rsidR="00025543" w14:paraId="3975394D" w14:textId="77777777">
        <w:trPr>
          <w:trHeight w:val="75"/>
          <w:tblHeader/>
          <w:jc w:val="center"/>
        </w:trPr>
        <w:tc>
          <w:tcPr>
            <w:tcW w:w="665" w:type="dxa"/>
            <w:vMerge w:val="restart"/>
            <w:tcBorders>
              <w:top w:val="single" w:sz="8" w:space="0" w:color="000000" w:themeColor="text1"/>
              <w:left w:val="single" w:sz="8" w:space="0" w:color="000000" w:themeColor="text1"/>
              <w:right w:val="single" w:sz="8" w:space="0" w:color="000000" w:themeColor="text1"/>
            </w:tcBorders>
            <w:shd w:val="clear" w:color="auto" w:fill="BDD7EE"/>
            <w:vAlign w:val="center"/>
          </w:tcPr>
          <w:p w14:paraId="2936FEE8" w14:textId="77777777" w:rsidR="00025543" w:rsidRDefault="007E3A2F">
            <w:pPr>
              <w:pStyle w:val="P68B1DB1-Normal9"/>
              <w:spacing w:line="240" w:lineRule="auto"/>
              <w:jc w:val="center"/>
              <w:rPr>
                <w:noProof/>
              </w:rPr>
            </w:pPr>
            <w:r>
              <w:rPr>
                <w:noProof/>
              </w:rPr>
              <w:t>Séquence NUM.</w:t>
            </w:r>
          </w:p>
        </w:tc>
        <w:tc>
          <w:tcPr>
            <w:tcW w:w="1191" w:type="dxa"/>
            <w:vMerge w:val="restart"/>
            <w:tcBorders>
              <w:top w:val="single" w:sz="8" w:space="0" w:color="000000" w:themeColor="text1"/>
              <w:left w:val="single" w:sz="8" w:space="0" w:color="000000" w:themeColor="text1"/>
              <w:right w:val="single" w:sz="8" w:space="0" w:color="000000" w:themeColor="text1"/>
            </w:tcBorders>
            <w:shd w:val="clear" w:color="auto" w:fill="BDD7EE"/>
            <w:vAlign w:val="center"/>
          </w:tcPr>
          <w:p w14:paraId="3DDDC55D" w14:textId="77777777" w:rsidR="00025543" w:rsidRDefault="007E3A2F">
            <w:pPr>
              <w:pStyle w:val="P68B1DB1-Normal9"/>
              <w:spacing w:line="240" w:lineRule="auto"/>
              <w:jc w:val="center"/>
              <w:rPr>
                <w:noProof/>
              </w:rPr>
            </w:pPr>
            <w:r>
              <w:rPr>
                <w:noProof/>
              </w:rPr>
              <w:t>Mesure connexe (réforme ou investissement)</w:t>
            </w:r>
          </w:p>
        </w:tc>
        <w:tc>
          <w:tcPr>
            <w:tcW w:w="1134" w:type="dxa"/>
            <w:vMerge w:val="restart"/>
            <w:tcBorders>
              <w:top w:val="single" w:sz="8" w:space="0" w:color="000000" w:themeColor="text1"/>
              <w:left w:val="single" w:sz="8" w:space="0" w:color="000000" w:themeColor="text1"/>
              <w:right w:val="single" w:sz="8" w:space="0" w:color="000000" w:themeColor="text1"/>
            </w:tcBorders>
            <w:shd w:val="clear" w:color="auto" w:fill="BDD7EE"/>
            <w:vAlign w:val="center"/>
          </w:tcPr>
          <w:p w14:paraId="7FE95005" w14:textId="77777777" w:rsidR="00025543" w:rsidRDefault="007E3A2F">
            <w:pPr>
              <w:pStyle w:val="P68B1DB1-Normal9"/>
              <w:spacing w:line="240" w:lineRule="auto"/>
              <w:jc w:val="center"/>
              <w:rPr>
                <w:noProof/>
              </w:rPr>
            </w:pPr>
            <w:r>
              <w:rPr>
                <w:noProof/>
              </w:rPr>
              <w:t>Jalon/cible</w:t>
            </w:r>
          </w:p>
        </w:tc>
        <w:tc>
          <w:tcPr>
            <w:tcW w:w="1321" w:type="dxa"/>
            <w:vMerge w:val="restart"/>
            <w:tcBorders>
              <w:top w:val="single" w:sz="8" w:space="0" w:color="000000" w:themeColor="text1"/>
              <w:left w:val="single" w:sz="8" w:space="0" w:color="000000" w:themeColor="text1"/>
              <w:right w:val="single" w:sz="8" w:space="0" w:color="000000" w:themeColor="text1"/>
            </w:tcBorders>
            <w:shd w:val="clear" w:color="auto" w:fill="BDD7EE"/>
            <w:vAlign w:val="center"/>
          </w:tcPr>
          <w:p w14:paraId="34AFC00F" w14:textId="77777777" w:rsidR="00025543" w:rsidRDefault="007E3A2F">
            <w:pPr>
              <w:pStyle w:val="P68B1DB1-Normal9"/>
              <w:spacing w:line="240" w:lineRule="auto"/>
              <w:jc w:val="center"/>
              <w:rPr>
                <w:noProof/>
              </w:rPr>
            </w:pPr>
            <w:r>
              <w:rPr>
                <w:noProof/>
              </w:rPr>
              <w:t>Nom</w:t>
            </w:r>
          </w:p>
        </w:tc>
        <w:tc>
          <w:tcPr>
            <w:tcW w:w="1167" w:type="dxa"/>
            <w:vMerge w:val="restart"/>
            <w:tcBorders>
              <w:top w:val="single" w:sz="8" w:space="0" w:color="000000" w:themeColor="text1"/>
              <w:left w:val="single" w:sz="8" w:space="0" w:color="000000" w:themeColor="text1"/>
              <w:right w:val="single" w:sz="8" w:space="0" w:color="000000" w:themeColor="text1"/>
            </w:tcBorders>
            <w:shd w:val="clear" w:color="auto" w:fill="BDD7EE"/>
            <w:vAlign w:val="center"/>
          </w:tcPr>
          <w:p w14:paraId="5567DD2F" w14:textId="77777777" w:rsidR="00025543" w:rsidRDefault="007E3A2F">
            <w:pPr>
              <w:pStyle w:val="P68B1DB1-Normal10"/>
              <w:spacing w:line="240" w:lineRule="auto"/>
              <w:jc w:val="center"/>
              <w:rPr>
                <w:noProof/>
              </w:rPr>
            </w:pPr>
            <w:r>
              <w:rPr>
                <w:b/>
                <w:noProof/>
              </w:rPr>
              <w:t>Qualitatifs</w:t>
            </w:r>
            <w:r>
              <w:rPr>
                <w:noProof/>
              </w:rPr>
              <w:br/>
            </w:r>
            <w:r>
              <w:rPr>
                <w:b/>
                <w:noProof/>
              </w:rPr>
              <w:t xml:space="preserve"> (pour les jalons) </w:t>
            </w:r>
          </w:p>
        </w:tc>
        <w:tc>
          <w:tcPr>
            <w:tcW w:w="282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vAlign w:val="center"/>
          </w:tcPr>
          <w:p w14:paraId="0C9D36D5" w14:textId="77777777" w:rsidR="00025543" w:rsidRDefault="007E3A2F">
            <w:pPr>
              <w:pStyle w:val="P68B1DB1-Normal10"/>
              <w:spacing w:line="240" w:lineRule="auto"/>
              <w:jc w:val="center"/>
              <w:rPr>
                <w:noProof/>
              </w:rPr>
            </w:pPr>
            <w:r>
              <w:rPr>
                <w:b/>
                <w:noProof/>
              </w:rPr>
              <w:t>Indicateurs quantitatifs</w:t>
            </w:r>
            <w:r>
              <w:rPr>
                <w:noProof/>
              </w:rPr>
              <w:br/>
            </w:r>
            <w:r>
              <w:rPr>
                <w:b/>
                <w:noProof/>
              </w:rPr>
              <w:t xml:space="preserve"> (pour les objectifs)</w:t>
            </w:r>
          </w:p>
        </w:tc>
        <w:tc>
          <w:tcPr>
            <w:tcW w:w="1585" w:type="dxa"/>
            <w:gridSpan w:val="2"/>
            <w:tcBorders>
              <w:top w:val="single" w:sz="8" w:space="0" w:color="000000" w:themeColor="text1"/>
              <w:left w:val="nil"/>
              <w:bottom w:val="single" w:sz="8" w:space="0" w:color="000000" w:themeColor="text1"/>
              <w:right w:val="single" w:sz="8" w:space="0" w:color="000000" w:themeColor="text1"/>
            </w:tcBorders>
            <w:shd w:val="clear" w:color="auto" w:fill="BDD7EE"/>
            <w:vAlign w:val="center"/>
          </w:tcPr>
          <w:p w14:paraId="064D4C4B" w14:textId="77777777" w:rsidR="00025543" w:rsidRDefault="007E3A2F">
            <w:pPr>
              <w:pStyle w:val="P68B1DB1-Normal9"/>
              <w:spacing w:line="240" w:lineRule="auto"/>
              <w:jc w:val="center"/>
              <w:rPr>
                <w:noProof/>
              </w:rPr>
            </w:pPr>
            <w:r>
              <w:rPr>
                <w:noProof/>
              </w:rPr>
              <w:t xml:space="preserve">Calendrier indicatif de réalisation </w:t>
            </w:r>
          </w:p>
        </w:tc>
        <w:tc>
          <w:tcPr>
            <w:tcW w:w="4943" w:type="dxa"/>
            <w:vMerge w:val="restart"/>
            <w:tcBorders>
              <w:top w:val="single" w:sz="8" w:space="0" w:color="000000" w:themeColor="text1"/>
              <w:left w:val="nil"/>
              <w:right w:val="single" w:sz="8" w:space="0" w:color="000000" w:themeColor="text1"/>
            </w:tcBorders>
            <w:shd w:val="clear" w:color="auto" w:fill="BDD7EE"/>
            <w:vAlign w:val="center"/>
          </w:tcPr>
          <w:p w14:paraId="5E749496" w14:textId="77777777" w:rsidR="00025543" w:rsidRDefault="007E3A2F">
            <w:pPr>
              <w:pStyle w:val="P68B1DB1-Normal9"/>
              <w:spacing w:line="240" w:lineRule="auto"/>
              <w:jc w:val="center"/>
              <w:rPr>
                <w:noProof/>
              </w:rPr>
            </w:pPr>
            <w:r>
              <w:rPr>
                <w:noProof/>
              </w:rPr>
              <w:t>Description et définition claire de chaque jalon et cible</w:t>
            </w:r>
          </w:p>
        </w:tc>
      </w:tr>
      <w:tr w:rsidR="00025543" w14:paraId="7B39FF3B" w14:textId="77777777">
        <w:trPr>
          <w:trHeight w:val="600"/>
          <w:tblHeader/>
          <w:jc w:val="center"/>
        </w:trPr>
        <w:tc>
          <w:tcPr>
            <w:tcW w:w="665" w:type="dxa"/>
            <w:vMerge/>
            <w:vAlign w:val="center"/>
          </w:tcPr>
          <w:p w14:paraId="61240DA5"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c>
          <w:tcPr>
            <w:tcW w:w="1191" w:type="dxa"/>
            <w:vMerge/>
            <w:vAlign w:val="center"/>
          </w:tcPr>
          <w:p w14:paraId="3F2C6881"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c>
          <w:tcPr>
            <w:tcW w:w="1134" w:type="dxa"/>
            <w:vMerge/>
            <w:vAlign w:val="center"/>
          </w:tcPr>
          <w:p w14:paraId="25B1F67B"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c>
          <w:tcPr>
            <w:tcW w:w="1321" w:type="dxa"/>
            <w:vMerge/>
            <w:vAlign w:val="center"/>
          </w:tcPr>
          <w:p w14:paraId="37498974"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c>
          <w:tcPr>
            <w:tcW w:w="1167" w:type="dxa"/>
            <w:vMerge/>
            <w:vAlign w:val="center"/>
          </w:tcPr>
          <w:p w14:paraId="1B2AE688"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c>
          <w:tcPr>
            <w:tcW w:w="10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vAlign w:val="center"/>
          </w:tcPr>
          <w:p w14:paraId="57DABC82" w14:textId="50179FE0" w:rsidR="00025543" w:rsidRDefault="007E3A2F">
            <w:pPr>
              <w:pStyle w:val="P68B1DB1-Normal9"/>
              <w:spacing w:line="240" w:lineRule="auto"/>
              <w:jc w:val="center"/>
              <w:rPr>
                <w:noProof/>
              </w:rPr>
            </w:pPr>
            <w:r>
              <w:rPr>
                <w:noProof/>
              </w:rPr>
              <w:t>Unité de mesure</w:t>
            </w:r>
          </w:p>
        </w:tc>
        <w:tc>
          <w:tcPr>
            <w:tcW w:w="989"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tcPr>
          <w:p w14:paraId="7D7E9D8A" w14:textId="77777777" w:rsidR="00025543" w:rsidRDefault="007E3A2F">
            <w:pPr>
              <w:pStyle w:val="P68B1DB1-Normal9"/>
              <w:spacing w:line="240" w:lineRule="auto"/>
              <w:jc w:val="center"/>
              <w:rPr>
                <w:noProof/>
              </w:rPr>
            </w:pPr>
            <w:r>
              <w:rPr>
                <w:noProof/>
              </w:rPr>
              <w:t>Scénario de référence</w:t>
            </w:r>
          </w:p>
        </w:tc>
        <w:tc>
          <w:tcPr>
            <w:tcW w:w="786"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tcPr>
          <w:p w14:paraId="7D6EC0EC" w14:textId="77777777" w:rsidR="00025543" w:rsidRDefault="007E3A2F">
            <w:pPr>
              <w:pStyle w:val="P68B1DB1-Normal9"/>
              <w:spacing w:line="240" w:lineRule="auto"/>
              <w:jc w:val="center"/>
              <w:rPr>
                <w:noProof/>
              </w:rPr>
            </w:pPr>
            <w:r>
              <w:rPr>
                <w:noProof/>
              </w:rPr>
              <w:t>Objectif</w:t>
            </w:r>
          </w:p>
        </w:tc>
        <w:tc>
          <w:tcPr>
            <w:tcW w:w="10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vAlign w:val="center"/>
          </w:tcPr>
          <w:p w14:paraId="1CEC1F70" w14:textId="77777777" w:rsidR="00025543" w:rsidRDefault="007E3A2F">
            <w:pPr>
              <w:pStyle w:val="P68B1DB1-Normal9"/>
              <w:spacing w:line="240" w:lineRule="auto"/>
              <w:jc w:val="center"/>
              <w:rPr>
                <w:noProof/>
              </w:rPr>
            </w:pPr>
            <w:r>
              <w:rPr>
                <w:noProof/>
              </w:rPr>
              <w:t>Trimestre</w:t>
            </w:r>
          </w:p>
        </w:tc>
        <w:tc>
          <w:tcPr>
            <w:tcW w:w="1077"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tcPr>
          <w:p w14:paraId="297ECF59" w14:textId="77777777" w:rsidR="00025543" w:rsidRDefault="007E3A2F">
            <w:pPr>
              <w:pStyle w:val="P68B1DB1-Normal9"/>
              <w:spacing w:line="240" w:lineRule="auto"/>
              <w:jc w:val="center"/>
              <w:rPr>
                <w:noProof/>
              </w:rPr>
            </w:pPr>
            <w:r>
              <w:rPr>
                <w:noProof/>
              </w:rPr>
              <w:t>Année</w:t>
            </w:r>
          </w:p>
        </w:tc>
        <w:tc>
          <w:tcPr>
            <w:tcW w:w="4943" w:type="dxa"/>
            <w:vMerge/>
            <w:vAlign w:val="center"/>
          </w:tcPr>
          <w:p w14:paraId="00E56400"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r>
      <w:tr w:rsidR="00025543" w14:paraId="25976D2F" w14:textId="77777777">
        <w:trPr>
          <w:trHeight w:val="945"/>
          <w:jc w:val="center"/>
        </w:trPr>
        <w:tc>
          <w:tcPr>
            <w:tcW w:w="6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B017337" w14:textId="77777777" w:rsidR="00025543" w:rsidRDefault="007E3A2F">
            <w:pPr>
              <w:pStyle w:val="P68B1DB1-Normal15"/>
              <w:spacing w:line="240" w:lineRule="auto"/>
              <w:jc w:val="center"/>
              <w:rPr>
                <w:noProof/>
              </w:rPr>
            </w:pPr>
            <w:r>
              <w:rPr>
                <w:noProof/>
              </w:rPr>
              <w:t xml:space="preserve"> 154</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1AE093C" w14:textId="77777777" w:rsidR="00025543" w:rsidRDefault="007E3A2F">
            <w:pPr>
              <w:pStyle w:val="P68B1DB1-Normal15"/>
              <w:spacing w:line="240" w:lineRule="auto"/>
              <w:rPr>
                <w:noProof/>
              </w:rPr>
            </w:pPr>
            <w:r>
              <w:rPr>
                <w:noProof/>
              </w:rPr>
              <w:t>Investissement 1: Soutien à la revitalisation de zones spécifiques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CA4E6D7" w14:textId="58EF119A" w:rsidR="00025543" w:rsidRDefault="007E3A2F">
            <w:pPr>
              <w:pStyle w:val="P68B1DB1-Normal15"/>
              <w:spacing w:line="240" w:lineRule="auto"/>
              <w:rPr>
                <w:noProof/>
              </w:rPr>
            </w:pPr>
            <w:r>
              <w:rPr>
                <w:noProof/>
              </w:rPr>
              <w:t>Cible</w:t>
            </w:r>
          </w:p>
        </w:tc>
        <w:tc>
          <w:tcPr>
            <w:tcW w:w="13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D3887BF" w14:textId="51E8FD30" w:rsidR="00025543" w:rsidRDefault="007E3A2F">
            <w:pPr>
              <w:pStyle w:val="P68B1DB1-Normal15"/>
              <w:spacing w:line="240" w:lineRule="auto"/>
              <w:rPr>
                <w:noProof/>
              </w:rPr>
            </w:pPr>
            <w:r>
              <w:rPr>
                <w:noProof/>
              </w:rPr>
              <w:t>Entrée en vigueur de tous les contrats de subvention entre le Fonds d’investissement de l’État et certains porteurs de projets de friches</w:t>
            </w:r>
          </w:p>
        </w:tc>
        <w:tc>
          <w:tcPr>
            <w:tcW w:w="11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CBC7959" w14:textId="7FC7A453" w:rsidR="00025543" w:rsidRDefault="00025543">
            <w:pPr>
              <w:spacing w:line="240" w:lineRule="auto"/>
              <w:rPr>
                <w:noProof/>
                <w:color w:val="004300"/>
                <w:sz w:val="18"/>
              </w:rPr>
            </w:pPr>
          </w:p>
        </w:tc>
        <w:tc>
          <w:tcPr>
            <w:tcW w:w="10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5884D86" w14:textId="76F3EEC1" w:rsidR="00025543" w:rsidRDefault="007E3A2F">
            <w:pPr>
              <w:pStyle w:val="P68B1DB1-Normal15"/>
              <w:spacing w:line="240" w:lineRule="auto"/>
              <w:rPr>
                <w:noProof/>
              </w:rPr>
            </w:pPr>
            <w:r>
              <w:rPr>
                <w:noProof/>
              </w:rPr>
              <w:t>Nombre de projets</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912C50E" w14:textId="77777777" w:rsidR="00025543" w:rsidRDefault="00025543">
            <w:pPr>
              <w:spacing w:line="240" w:lineRule="auto"/>
              <w:jc w:val="center"/>
              <w:rPr>
                <w:rFonts w:eastAsia="Times New Roman"/>
                <w:noProof/>
                <w:color w:val="004300"/>
                <w:sz w:val="18"/>
              </w:rPr>
            </w:pPr>
          </w:p>
        </w:tc>
        <w:tc>
          <w:tcPr>
            <w:tcW w:w="7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01E667A" w14:textId="58A47C3C" w:rsidR="00025543" w:rsidRDefault="007E3A2F">
            <w:pPr>
              <w:pStyle w:val="P68B1DB1-Normal15"/>
              <w:spacing w:line="240" w:lineRule="auto"/>
              <w:jc w:val="center"/>
              <w:rPr>
                <w:noProof/>
              </w:rPr>
            </w:pPr>
            <w:r>
              <w:rPr>
                <w:noProof/>
              </w:rPr>
              <w:t>10</w:t>
            </w:r>
          </w:p>
        </w:tc>
        <w:tc>
          <w:tcPr>
            <w:tcW w:w="10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94E3F98" w14:textId="77777777" w:rsidR="00025543" w:rsidRDefault="007E3A2F">
            <w:pPr>
              <w:pStyle w:val="P68B1DB1-Normal15"/>
              <w:spacing w:line="240" w:lineRule="auto"/>
              <w:jc w:val="center"/>
              <w:rPr>
                <w:noProof/>
              </w:rPr>
            </w:pPr>
            <w:r>
              <w:rPr>
                <w:noProof/>
              </w:rPr>
              <w:t>TRIMESTRE 4</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9EA8BEE" w14:textId="77777777" w:rsidR="00025543" w:rsidRDefault="007E3A2F">
            <w:pPr>
              <w:pStyle w:val="P68B1DB1-Normal15"/>
              <w:spacing w:line="240" w:lineRule="auto"/>
              <w:jc w:val="center"/>
              <w:rPr>
                <w:noProof/>
              </w:rPr>
            </w:pPr>
            <w:r>
              <w:rPr>
                <w:noProof/>
              </w:rPr>
              <w:t>2023</w:t>
            </w:r>
          </w:p>
        </w:tc>
        <w:tc>
          <w:tcPr>
            <w:tcW w:w="49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788A7C7" w14:textId="53B2C569" w:rsidR="00025543" w:rsidRDefault="007E3A2F">
            <w:pPr>
              <w:pStyle w:val="P68B1DB1-Normal15"/>
              <w:spacing w:line="240" w:lineRule="auto"/>
              <w:rPr>
                <w:noProof/>
              </w:rPr>
            </w:pPr>
            <w:r>
              <w:rPr>
                <w:noProof/>
              </w:rPr>
              <w:t>Entrée en vigueur de tous les contrats de subvention entre le Fonds d’investissement de l’État et certains porteurs de projets pour la réhabilitation spécifique de friches industrielles (préparation de projets, préparation de terrains, projets d’investissement) à la suite de l’élaboration d’un programme de subventions. Les projets soutenus par le programme de subventions visent à réaliser des travaux de démolition et de construction ou de rénovation économes en énergie. Au total, au moins 10 projets font l’objet de contrats et au moins 60 % des investissements prévus au titre de la présente mesure sont consacrés à des projets de rénovation économes en énergie.</w:t>
            </w:r>
          </w:p>
          <w:p w14:paraId="2BE6DD9C" w14:textId="3A06CE47" w:rsidR="00025543" w:rsidRDefault="007E3A2F">
            <w:pPr>
              <w:pStyle w:val="P68B1DB1-Normal15"/>
              <w:spacing w:after="200" w:line="276" w:lineRule="auto"/>
              <w:rPr>
                <w:noProof/>
              </w:rPr>
            </w:pPr>
            <w:r>
              <w:rPr>
                <w:noProof/>
              </w:rPr>
              <w:t>En ce qui concerne le financement de la démolition et de la construction économe en énergie, il convient de veiller à ce que les projets sélectionnés soient tels que i) les nouveaux bâtiments aient une demande d’énergie primaire inférieure d’au moins 20 % à l’exigence des bâtiments dont la consommation d’énergie est quasi nulle; II) la rénovation en profondeur n’est pas possible pour des raisons techniques, de santé/sécurité ou adaptées à l’usage prévu; III) la superficie totale bâtie des nouveaux bâtiments ne peut pas dépasser la superficie bâtie totale de tous les anciens bâtiments démolis d’une friches, avec au moins 80 % des nouveaux bâtiments construits directement sur la zone bâtie des anciens bâtiments démolis. La conversion d’espaces verts de valeur (de grande valeur en termes de biodiversité) est exclue.</w:t>
            </w:r>
          </w:p>
          <w:p w14:paraId="3EAABEF5" w14:textId="5BCCC2CD" w:rsidR="00025543" w:rsidRDefault="007E3A2F">
            <w:pPr>
              <w:pStyle w:val="P68B1DB1-Normal15"/>
              <w:spacing w:after="200" w:line="276" w:lineRule="auto"/>
              <w:rPr>
                <w:noProof/>
              </w:rPr>
            </w:pPr>
            <w:r>
              <w:rPr>
                <w:noProof/>
              </w:rPr>
              <w:t>En ce qui concerne le soutien aux activités de rénovation, l’appel précise qu’au moins 90 % des coûts soutiennent les rénovations visant à améliorer l’efficacité énergétique.</w:t>
            </w:r>
          </w:p>
          <w:p w14:paraId="0CE8586E" w14:textId="0D925A24" w:rsidR="00025543" w:rsidRDefault="007E3A2F">
            <w:pPr>
              <w:pStyle w:val="P68B1DB1-Normal15"/>
              <w:spacing w:line="259" w:lineRule="auto"/>
              <w:rPr>
                <w:noProof/>
              </w:rPr>
            </w:pPr>
            <w:r>
              <w:rPr>
                <w:noProof/>
              </w:rPr>
              <w:t>Les exigences des appels à projets garantissent qu’au moins 70 % des déchets de construction et de démolition produits sont préparés en vue du réemploi et du recyclage.</w:t>
            </w:r>
          </w:p>
          <w:p w14:paraId="4F87BE2C" w14:textId="18B8CF79" w:rsidR="00025543" w:rsidRDefault="007E3A2F">
            <w:pPr>
              <w:pStyle w:val="P68B1DB1-Normal15"/>
              <w:spacing w:line="240" w:lineRule="auto"/>
              <w:rPr>
                <w:noProof/>
              </w:rPr>
            </w:pPr>
            <w:r>
              <w:rPr>
                <w:noProof/>
              </w:rPr>
              <w:t>La gestion de l’appel, l’évaluation des demandes de projets, la sélection et la signature d’un contrat avec les porteurs de projet ainsi que les paiements effectués au cours de la réalisation du projet (construction) et du contrôle final sont confiés au Fonds d’investissement de l’État.</w:t>
            </w:r>
          </w:p>
        </w:tc>
      </w:tr>
      <w:tr w:rsidR="00025543" w14:paraId="5477F68B" w14:textId="77777777">
        <w:trPr>
          <w:trHeight w:val="945"/>
          <w:jc w:val="center"/>
        </w:trPr>
        <w:tc>
          <w:tcPr>
            <w:tcW w:w="6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D447DB0" w14:textId="77777777" w:rsidR="00025543" w:rsidRDefault="007E3A2F">
            <w:pPr>
              <w:pStyle w:val="P68B1DB1-Normal15"/>
              <w:spacing w:line="240" w:lineRule="auto"/>
              <w:jc w:val="center"/>
              <w:rPr>
                <w:noProof/>
              </w:rPr>
            </w:pPr>
            <w:r>
              <w:rPr>
                <w:noProof/>
              </w:rPr>
              <w:t xml:space="preserve"> 155</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796AC12" w14:textId="77777777" w:rsidR="00025543" w:rsidRDefault="007E3A2F">
            <w:pPr>
              <w:pStyle w:val="P68B1DB1-Normal15"/>
              <w:spacing w:line="240" w:lineRule="auto"/>
              <w:rPr>
                <w:noProof/>
              </w:rPr>
            </w:pPr>
            <w:r>
              <w:rPr>
                <w:noProof/>
              </w:rPr>
              <w:t>Investissement 1: Soutien à la revitalisation de zones spécifiques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A53EDEE" w14:textId="77777777" w:rsidR="00025543" w:rsidRDefault="007E3A2F">
            <w:pPr>
              <w:pStyle w:val="P68B1DB1-Normal15"/>
              <w:spacing w:line="240" w:lineRule="auto"/>
              <w:rPr>
                <w:noProof/>
              </w:rPr>
            </w:pPr>
            <w:r>
              <w:rPr>
                <w:noProof/>
              </w:rPr>
              <w:t>Cible</w:t>
            </w:r>
          </w:p>
        </w:tc>
        <w:tc>
          <w:tcPr>
            <w:tcW w:w="13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0DB9090" w14:textId="56020396" w:rsidR="00025543" w:rsidRDefault="007E3A2F">
            <w:pPr>
              <w:pStyle w:val="P68B1DB1-Normal15"/>
              <w:spacing w:line="240" w:lineRule="auto"/>
              <w:rPr>
                <w:noProof/>
              </w:rPr>
            </w:pPr>
            <w:r>
              <w:rPr>
                <w:noProof/>
              </w:rPr>
              <w:t>Achèvement de projets de revitalisation à haut rendement énergétique de friches spécifiques</w:t>
            </w:r>
          </w:p>
        </w:tc>
        <w:tc>
          <w:tcPr>
            <w:tcW w:w="11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245BAA1" w14:textId="77777777" w:rsidR="00025543" w:rsidRDefault="00025543">
            <w:pPr>
              <w:spacing w:line="240" w:lineRule="auto"/>
              <w:rPr>
                <w:rFonts w:eastAsia="Times New Roman"/>
                <w:noProof/>
                <w:color w:val="004300"/>
                <w:sz w:val="18"/>
              </w:rPr>
            </w:pPr>
          </w:p>
        </w:tc>
        <w:tc>
          <w:tcPr>
            <w:tcW w:w="10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81595EC" w14:textId="77777777" w:rsidR="00025543" w:rsidRDefault="007E3A2F">
            <w:pPr>
              <w:pStyle w:val="P68B1DB1-Normal15"/>
              <w:spacing w:line="240" w:lineRule="auto"/>
              <w:rPr>
                <w:noProof/>
              </w:rPr>
            </w:pPr>
            <w:r>
              <w:rPr>
                <w:noProof/>
              </w:rPr>
              <w:t>Nombre de projets</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F2533A2" w14:textId="77777777" w:rsidR="00025543" w:rsidRDefault="007E3A2F">
            <w:pPr>
              <w:pStyle w:val="P68B1DB1-Normal15"/>
              <w:spacing w:line="240" w:lineRule="auto"/>
              <w:jc w:val="center"/>
              <w:rPr>
                <w:noProof/>
              </w:rPr>
            </w:pPr>
            <w:r>
              <w:rPr>
                <w:noProof/>
              </w:rPr>
              <w:t>0</w:t>
            </w:r>
          </w:p>
        </w:tc>
        <w:tc>
          <w:tcPr>
            <w:tcW w:w="7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13AB0D6" w14:textId="04FC0DD5" w:rsidR="00025543" w:rsidRDefault="007E3A2F">
            <w:pPr>
              <w:pStyle w:val="P68B1DB1-Normal15"/>
              <w:spacing w:line="240" w:lineRule="auto"/>
              <w:jc w:val="center"/>
              <w:rPr>
                <w:noProof/>
              </w:rPr>
            </w:pPr>
            <w:r>
              <w:rPr>
                <w:noProof/>
              </w:rPr>
              <w:t>10</w:t>
            </w:r>
          </w:p>
        </w:tc>
        <w:tc>
          <w:tcPr>
            <w:tcW w:w="10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39EB333" w14:textId="77777777" w:rsidR="00025543" w:rsidRDefault="007E3A2F">
            <w:pPr>
              <w:pStyle w:val="P68B1DB1-Normal15"/>
              <w:spacing w:line="240" w:lineRule="auto"/>
              <w:jc w:val="center"/>
              <w:rPr>
                <w:noProof/>
              </w:rPr>
            </w:pPr>
            <w:r>
              <w:rPr>
                <w:noProof/>
              </w:rPr>
              <w:t>TRIMESTRE 4</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A4D5A82" w14:textId="77777777" w:rsidR="00025543" w:rsidRDefault="007E3A2F">
            <w:pPr>
              <w:pStyle w:val="P68B1DB1-Normal15"/>
              <w:spacing w:line="240" w:lineRule="auto"/>
              <w:jc w:val="center"/>
              <w:rPr>
                <w:noProof/>
              </w:rPr>
            </w:pPr>
            <w:r>
              <w:rPr>
                <w:noProof/>
              </w:rPr>
              <w:t>2025</w:t>
            </w:r>
          </w:p>
        </w:tc>
        <w:tc>
          <w:tcPr>
            <w:tcW w:w="49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5A5CB60" w14:textId="4F5FBB9D" w:rsidR="00025543" w:rsidRDefault="007E3A2F">
            <w:pPr>
              <w:pStyle w:val="P68B1DB1-Normal15"/>
              <w:spacing w:line="240" w:lineRule="auto"/>
              <w:rPr>
                <w:noProof/>
              </w:rPr>
            </w:pPr>
            <w:r>
              <w:rPr>
                <w:noProof/>
              </w:rPr>
              <w:t>Au moins 10 projets de revitalisation en matière d’efficacité énergétique de friches spécifiques doivent être achevés. Au moins 60 % de l’investissement est consacré à des projets de rénovation économes en énergie.</w:t>
            </w:r>
          </w:p>
        </w:tc>
      </w:tr>
      <w:tr w:rsidR="00025543" w14:paraId="41F0F6DA" w14:textId="77777777">
        <w:trPr>
          <w:trHeight w:val="945"/>
          <w:jc w:val="center"/>
        </w:trPr>
        <w:tc>
          <w:tcPr>
            <w:tcW w:w="6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93A1614" w14:textId="77777777" w:rsidR="00025543" w:rsidRDefault="007E3A2F">
            <w:pPr>
              <w:pStyle w:val="P68B1DB1-Normal15"/>
              <w:spacing w:line="240" w:lineRule="auto"/>
              <w:jc w:val="center"/>
              <w:rPr>
                <w:noProof/>
              </w:rPr>
            </w:pPr>
            <w:r>
              <w:rPr>
                <w:noProof/>
              </w:rPr>
              <w:t>156</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46DC01A" w14:textId="77777777" w:rsidR="00025543" w:rsidRDefault="007E3A2F">
            <w:pPr>
              <w:pStyle w:val="P68B1DB1-Normal15"/>
              <w:spacing w:line="240" w:lineRule="auto"/>
              <w:rPr>
                <w:noProof/>
              </w:rPr>
            </w:pPr>
            <w:r>
              <w:rPr>
                <w:noProof/>
              </w:rPr>
              <w:t>Investissement 2: Soutien à la revitalisation des zones appartenant au secteur public à des fins non professionnelles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16F802F" w14:textId="26AD4469" w:rsidR="00025543" w:rsidRDefault="007E3A2F">
            <w:pPr>
              <w:pStyle w:val="P68B1DB1-Normal15"/>
              <w:spacing w:line="240" w:lineRule="auto"/>
              <w:rPr>
                <w:noProof/>
              </w:rPr>
            </w:pPr>
            <w:r>
              <w:rPr>
                <w:noProof/>
              </w:rPr>
              <w:t>Cible</w:t>
            </w:r>
          </w:p>
        </w:tc>
        <w:tc>
          <w:tcPr>
            <w:tcW w:w="13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D9563A5" w14:textId="37EB5A7A" w:rsidR="00025543" w:rsidRDefault="007E3A2F">
            <w:pPr>
              <w:pStyle w:val="P68B1DB1-Normal15"/>
              <w:spacing w:line="240" w:lineRule="auto"/>
              <w:rPr>
                <w:noProof/>
              </w:rPr>
            </w:pPr>
            <w:r>
              <w:rPr>
                <w:noProof/>
              </w:rPr>
              <w:t>Entrée en vigueur de tous les contrats entre le Fonds d’investissement de l’État et certains porteurs de projets de friches</w:t>
            </w:r>
          </w:p>
        </w:tc>
        <w:tc>
          <w:tcPr>
            <w:tcW w:w="11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71C58E1" w14:textId="57996AB1" w:rsidR="00025543" w:rsidRDefault="00025543">
            <w:pPr>
              <w:spacing w:line="240" w:lineRule="auto"/>
              <w:rPr>
                <w:rFonts w:eastAsia="Times New Roman"/>
                <w:noProof/>
                <w:color w:val="004300"/>
                <w:sz w:val="18"/>
              </w:rPr>
            </w:pPr>
          </w:p>
        </w:tc>
        <w:tc>
          <w:tcPr>
            <w:tcW w:w="10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58A8275" w14:textId="704AC184" w:rsidR="00025543" w:rsidRDefault="007E3A2F">
            <w:pPr>
              <w:pStyle w:val="P68B1DB1-Normal15"/>
              <w:spacing w:line="240" w:lineRule="auto"/>
              <w:rPr>
                <w:noProof/>
              </w:rPr>
            </w:pPr>
            <w:r>
              <w:rPr>
                <w:noProof/>
              </w:rPr>
              <w:t>Nombre de projets</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DBBB0B9" w14:textId="77777777" w:rsidR="00025543" w:rsidRDefault="00025543">
            <w:pPr>
              <w:spacing w:line="240" w:lineRule="auto"/>
              <w:jc w:val="center"/>
              <w:rPr>
                <w:rFonts w:eastAsia="Times New Roman"/>
                <w:noProof/>
                <w:color w:val="004300"/>
                <w:sz w:val="18"/>
              </w:rPr>
            </w:pPr>
          </w:p>
        </w:tc>
        <w:tc>
          <w:tcPr>
            <w:tcW w:w="7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4778A76" w14:textId="03826A61" w:rsidR="00025543" w:rsidRDefault="007E3A2F">
            <w:pPr>
              <w:pStyle w:val="P68B1DB1-Normal15"/>
              <w:spacing w:line="240" w:lineRule="auto"/>
              <w:jc w:val="center"/>
              <w:rPr>
                <w:noProof/>
              </w:rPr>
            </w:pPr>
            <w:r>
              <w:rPr>
                <w:noProof/>
              </w:rPr>
              <w:t>30</w:t>
            </w:r>
          </w:p>
        </w:tc>
        <w:tc>
          <w:tcPr>
            <w:tcW w:w="10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907C83A" w14:textId="77777777" w:rsidR="00025543" w:rsidRDefault="007E3A2F">
            <w:pPr>
              <w:pStyle w:val="P68B1DB1-Normal15"/>
              <w:spacing w:line="240" w:lineRule="auto"/>
              <w:jc w:val="center"/>
              <w:rPr>
                <w:noProof/>
              </w:rPr>
            </w:pPr>
            <w:r>
              <w:rPr>
                <w:noProof/>
              </w:rPr>
              <w:t>TRIMESTRE 4</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A994079" w14:textId="77777777" w:rsidR="00025543" w:rsidRDefault="007E3A2F">
            <w:pPr>
              <w:pStyle w:val="P68B1DB1-Normal15"/>
              <w:spacing w:line="240" w:lineRule="auto"/>
              <w:jc w:val="center"/>
              <w:rPr>
                <w:noProof/>
              </w:rPr>
            </w:pPr>
            <w:r>
              <w:rPr>
                <w:noProof/>
              </w:rPr>
              <w:t>2023</w:t>
            </w:r>
          </w:p>
        </w:tc>
        <w:tc>
          <w:tcPr>
            <w:tcW w:w="49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44B2EEA" w14:textId="077CCABD" w:rsidR="00025543" w:rsidRDefault="007E3A2F">
            <w:pPr>
              <w:pStyle w:val="P68B1DB1-Normal15"/>
              <w:spacing w:line="240" w:lineRule="auto"/>
              <w:rPr>
                <w:noProof/>
              </w:rPr>
            </w:pPr>
            <w:r>
              <w:rPr>
                <w:noProof/>
              </w:rPr>
              <w:t>Entrée en vigueur de tous les contrats de réhabilitation de friches publiques à usage non professionnel à la suite de la préparation d’un programme de subventions. Les projets soutenus par le programme de subvention visent à réaliser des rénovations économes en énergie ou à transformer des friches industrielles en puits de carbone naturels.</w:t>
            </w:r>
          </w:p>
          <w:p w14:paraId="64B20FB6" w14:textId="518473B7" w:rsidR="00025543" w:rsidRDefault="007E3A2F">
            <w:pPr>
              <w:pStyle w:val="P68B1DB1-Normal15"/>
              <w:spacing w:line="259" w:lineRule="auto"/>
              <w:rPr>
                <w:noProof/>
              </w:rPr>
            </w:pPr>
            <w:r>
              <w:rPr>
                <w:noProof/>
              </w:rPr>
              <w:t>En ce qui concerne le soutien aux activités de rénovation, l’appel précise qu’au moins 90 % des coûts soutiennent les rénovations visant à améliorer l’efficacité énergétique.</w:t>
            </w:r>
          </w:p>
          <w:p w14:paraId="19204DDD" w14:textId="17C4CD40" w:rsidR="00025543" w:rsidRDefault="007E3A2F">
            <w:pPr>
              <w:pStyle w:val="P68B1DB1-Normal15"/>
              <w:spacing w:line="259" w:lineRule="auto"/>
              <w:rPr>
                <w:noProof/>
              </w:rPr>
            </w:pPr>
            <w:r>
              <w:rPr>
                <w:noProof/>
              </w:rPr>
              <w:t>Les exigences des appels à projets garantissent qu’au moins 70 % des déchets de construction et de démolition produits sont préparés en vue du réemploi et du recyclage.</w:t>
            </w:r>
          </w:p>
          <w:p w14:paraId="53536906" w14:textId="2EF4745E" w:rsidR="00025543" w:rsidRDefault="007E3A2F">
            <w:pPr>
              <w:pStyle w:val="P68B1DB1-Normal15"/>
              <w:spacing w:line="240" w:lineRule="auto"/>
              <w:rPr>
                <w:noProof/>
              </w:rPr>
            </w:pPr>
            <w:r>
              <w:rPr>
                <w:noProof/>
              </w:rPr>
              <w:t>Au total, au moins 30 projets feront l’objet de contrats et au moins 20 % des investissements seront consacrés à des projets visant à transformer des friches industrielles en puits de carbone naturels.</w:t>
            </w:r>
          </w:p>
        </w:tc>
      </w:tr>
      <w:tr w:rsidR="00025543" w14:paraId="3A2D16CD" w14:textId="77777777">
        <w:trPr>
          <w:trHeight w:val="945"/>
          <w:jc w:val="center"/>
        </w:trPr>
        <w:tc>
          <w:tcPr>
            <w:tcW w:w="6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43AE3B5" w14:textId="77777777" w:rsidR="00025543" w:rsidRDefault="007E3A2F">
            <w:pPr>
              <w:pStyle w:val="P68B1DB1-Normal15"/>
              <w:spacing w:line="240" w:lineRule="auto"/>
              <w:jc w:val="center"/>
              <w:rPr>
                <w:noProof/>
              </w:rPr>
            </w:pPr>
            <w:r>
              <w:rPr>
                <w:noProof/>
              </w:rPr>
              <w:t xml:space="preserve"> 157</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23E80C6" w14:textId="77777777" w:rsidR="00025543" w:rsidRDefault="007E3A2F">
            <w:pPr>
              <w:pStyle w:val="P68B1DB1-Normal15"/>
              <w:spacing w:line="240" w:lineRule="auto"/>
              <w:rPr>
                <w:noProof/>
              </w:rPr>
            </w:pPr>
            <w:r>
              <w:rPr>
                <w:noProof/>
              </w:rPr>
              <w:t>Investissement 2: Soutien à la revitalisation des zones appartenant au secteur public à des fins non professionnelles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2DF2CF4" w14:textId="77777777" w:rsidR="00025543" w:rsidRDefault="007E3A2F">
            <w:pPr>
              <w:pStyle w:val="P68B1DB1-Normal15"/>
              <w:spacing w:line="240" w:lineRule="auto"/>
              <w:rPr>
                <w:noProof/>
              </w:rPr>
            </w:pPr>
            <w:r>
              <w:rPr>
                <w:noProof/>
              </w:rPr>
              <w:t>Cible</w:t>
            </w:r>
          </w:p>
        </w:tc>
        <w:tc>
          <w:tcPr>
            <w:tcW w:w="13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6CC84C1" w14:textId="77777777" w:rsidR="00025543" w:rsidRDefault="007E3A2F">
            <w:pPr>
              <w:pStyle w:val="P68B1DB1-Normal15"/>
              <w:spacing w:line="240" w:lineRule="auto"/>
              <w:rPr>
                <w:noProof/>
              </w:rPr>
            </w:pPr>
            <w:r>
              <w:rPr>
                <w:noProof/>
              </w:rPr>
              <w:t>Achèvement des projets de revitalisation des friches industrielles détenues par des municipalités et des régions à des fins non professionnelles</w:t>
            </w:r>
          </w:p>
        </w:tc>
        <w:tc>
          <w:tcPr>
            <w:tcW w:w="11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F0D9A1C" w14:textId="77777777" w:rsidR="00025543" w:rsidRDefault="00025543">
            <w:pPr>
              <w:spacing w:line="240" w:lineRule="auto"/>
              <w:rPr>
                <w:rFonts w:eastAsia="Times New Roman"/>
                <w:noProof/>
                <w:color w:val="004300"/>
                <w:sz w:val="18"/>
              </w:rPr>
            </w:pPr>
          </w:p>
        </w:tc>
        <w:tc>
          <w:tcPr>
            <w:tcW w:w="10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7DDEE47" w14:textId="008EE41E" w:rsidR="00025543" w:rsidRDefault="007E3A2F">
            <w:pPr>
              <w:pStyle w:val="P68B1DB1-Normal15"/>
              <w:spacing w:line="240" w:lineRule="auto"/>
              <w:rPr>
                <w:noProof/>
              </w:rPr>
            </w:pPr>
            <w:r>
              <w:rPr>
                <w:noProof/>
              </w:rPr>
              <w:t>Nombre de m² de zone bâtie revitalisée</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80AE5EC" w14:textId="77777777" w:rsidR="00025543" w:rsidRDefault="007E3A2F">
            <w:pPr>
              <w:pStyle w:val="P68B1DB1-Normal15"/>
              <w:spacing w:line="240" w:lineRule="auto"/>
              <w:jc w:val="center"/>
              <w:rPr>
                <w:noProof/>
              </w:rPr>
            </w:pPr>
            <w:r>
              <w:rPr>
                <w:noProof/>
              </w:rPr>
              <w:t>0</w:t>
            </w:r>
          </w:p>
        </w:tc>
        <w:tc>
          <w:tcPr>
            <w:tcW w:w="7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5235731" w14:textId="06DB731B" w:rsidR="00025543" w:rsidRDefault="007E3A2F">
            <w:pPr>
              <w:pStyle w:val="P68B1DB1-Normal15"/>
              <w:spacing w:line="240" w:lineRule="auto"/>
              <w:jc w:val="center"/>
              <w:rPr>
                <w:noProof/>
              </w:rPr>
            </w:pPr>
            <w:r>
              <w:rPr>
                <w:noProof/>
              </w:rPr>
              <w:t>  41 000</w:t>
            </w:r>
          </w:p>
        </w:tc>
        <w:tc>
          <w:tcPr>
            <w:tcW w:w="10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7D4BF15" w14:textId="77777777" w:rsidR="00025543" w:rsidRDefault="007E3A2F">
            <w:pPr>
              <w:pStyle w:val="P68B1DB1-Normal15"/>
              <w:spacing w:line="240" w:lineRule="auto"/>
              <w:jc w:val="center"/>
              <w:rPr>
                <w:noProof/>
              </w:rPr>
            </w:pPr>
            <w:r>
              <w:rPr>
                <w:noProof/>
              </w:rPr>
              <w:t>TRIMESTRE 4</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7B338A9" w14:textId="77777777" w:rsidR="00025543" w:rsidRDefault="007E3A2F">
            <w:pPr>
              <w:pStyle w:val="P68B1DB1-Normal15"/>
              <w:spacing w:line="240" w:lineRule="auto"/>
              <w:jc w:val="center"/>
              <w:rPr>
                <w:noProof/>
              </w:rPr>
            </w:pPr>
            <w:r>
              <w:rPr>
                <w:noProof/>
              </w:rPr>
              <w:t>2025</w:t>
            </w:r>
          </w:p>
        </w:tc>
        <w:tc>
          <w:tcPr>
            <w:tcW w:w="49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36CA61A" w14:textId="61E10B3E" w:rsidR="00025543" w:rsidRDefault="007E3A2F">
            <w:pPr>
              <w:pStyle w:val="P68B1DB1-Normal15"/>
              <w:spacing w:line="259" w:lineRule="auto"/>
              <w:rPr>
                <w:noProof/>
              </w:rPr>
            </w:pPr>
            <w:r>
              <w:rPr>
                <w:noProof/>
              </w:rPr>
              <w:t>Au moins 20 % de l’investissement est consacré à des projets visant à transformer des friches industrielles en puits de carbone naturels. Au total, au moins 30 projets seront achevés et 41 000 m² de zones bâties revitalisées.</w:t>
            </w:r>
          </w:p>
        </w:tc>
      </w:tr>
      <w:tr w:rsidR="00025543" w14:paraId="0EB16378" w14:textId="77777777">
        <w:trPr>
          <w:trHeight w:val="369"/>
          <w:jc w:val="center"/>
        </w:trPr>
        <w:tc>
          <w:tcPr>
            <w:tcW w:w="6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ED0963A" w14:textId="77777777" w:rsidR="00025543" w:rsidRDefault="007E3A2F">
            <w:pPr>
              <w:pStyle w:val="P68B1DB1-Normal15"/>
              <w:spacing w:line="240" w:lineRule="auto"/>
              <w:jc w:val="center"/>
              <w:rPr>
                <w:noProof/>
              </w:rPr>
            </w:pPr>
            <w:r>
              <w:rPr>
                <w:noProof/>
              </w:rPr>
              <w:t>158</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3203484" w14:textId="77777777" w:rsidR="00025543" w:rsidRDefault="007E3A2F">
            <w:pPr>
              <w:pStyle w:val="P68B1DB1-Normal15"/>
              <w:spacing w:line="240" w:lineRule="auto"/>
              <w:rPr>
                <w:noProof/>
              </w:rPr>
            </w:pPr>
            <w:r>
              <w:rPr>
                <w:noProof/>
              </w:rPr>
              <w:t>Investissement 3: Soutien à la revitalisation des zones détenues par le secteur public à des fins professionnelles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58B9920" w14:textId="117924CA" w:rsidR="00025543" w:rsidRDefault="007E3A2F">
            <w:pPr>
              <w:pStyle w:val="P68B1DB1-Normal15"/>
              <w:spacing w:line="240" w:lineRule="auto"/>
              <w:rPr>
                <w:noProof/>
              </w:rPr>
            </w:pPr>
            <w:r>
              <w:rPr>
                <w:noProof/>
              </w:rPr>
              <w:t>Cible</w:t>
            </w:r>
          </w:p>
        </w:tc>
        <w:tc>
          <w:tcPr>
            <w:tcW w:w="13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77E2D0E" w14:textId="6F8515FF" w:rsidR="00025543" w:rsidRDefault="007E3A2F">
            <w:pPr>
              <w:pStyle w:val="P68B1DB1-Normal15"/>
              <w:spacing w:line="240" w:lineRule="auto"/>
              <w:rPr>
                <w:noProof/>
              </w:rPr>
            </w:pPr>
            <w:r>
              <w:rPr>
                <w:noProof/>
              </w:rPr>
              <w:t>Entrée en vigueur de tous les marchés publics pour la régénération de friches industrielles publiques à des fins professionnelles</w:t>
            </w:r>
          </w:p>
        </w:tc>
        <w:tc>
          <w:tcPr>
            <w:tcW w:w="11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E93300E" w14:textId="117C8846" w:rsidR="00025543" w:rsidRDefault="00025543">
            <w:pPr>
              <w:spacing w:line="240" w:lineRule="auto"/>
              <w:rPr>
                <w:rFonts w:eastAsia="Times New Roman"/>
                <w:noProof/>
                <w:color w:val="004300"/>
                <w:sz w:val="18"/>
              </w:rPr>
            </w:pPr>
          </w:p>
        </w:tc>
        <w:tc>
          <w:tcPr>
            <w:tcW w:w="10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FA744E1" w14:textId="77D9F9CA" w:rsidR="00025543" w:rsidRDefault="007E3A2F">
            <w:pPr>
              <w:pStyle w:val="P68B1DB1-Normal15"/>
              <w:spacing w:line="240" w:lineRule="auto"/>
              <w:rPr>
                <w:noProof/>
              </w:rPr>
            </w:pPr>
            <w:r>
              <w:rPr>
                <w:noProof/>
              </w:rPr>
              <w:t>Nombre de projets</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F0A43A1" w14:textId="77777777" w:rsidR="00025543" w:rsidRDefault="00025543">
            <w:pPr>
              <w:spacing w:line="240" w:lineRule="auto"/>
              <w:jc w:val="center"/>
              <w:rPr>
                <w:rFonts w:eastAsia="Times New Roman"/>
                <w:noProof/>
                <w:color w:val="004300"/>
                <w:sz w:val="18"/>
              </w:rPr>
            </w:pPr>
          </w:p>
        </w:tc>
        <w:tc>
          <w:tcPr>
            <w:tcW w:w="7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7D153CD" w14:textId="6C3AB7C3" w:rsidR="00025543" w:rsidRDefault="007E3A2F">
            <w:pPr>
              <w:pStyle w:val="P68B1DB1-Normal15"/>
              <w:spacing w:line="240" w:lineRule="auto"/>
              <w:jc w:val="center"/>
              <w:rPr>
                <w:noProof/>
              </w:rPr>
            </w:pPr>
            <w:r>
              <w:rPr>
                <w:noProof/>
              </w:rPr>
              <w:t>20</w:t>
            </w:r>
          </w:p>
        </w:tc>
        <w:tc>
          <w:tcPr>
            <w:tcW w:w="10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488B0EB" w14:textId="77777777" w:rsidR="00025543" w:rsidRDefault="007E3A2F">
            <w:pPr>
              <w:pStyle w:val="P68B1DB1-Normal15"/>
              <w:spacing w:line="240" w:lineRule="auto"/>
              <w:jc w:val="center"/>
              <w:rPr>
                <w:noProof/>
              </w:rPr>
            </w:pPr>
            <w:r>
              <w:rPr>
                <w:noProof/>
              </w:rPr>
              <w:t>TRIMESTRE 4</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AF81238" w14:textId="77777777" w:rsidR="00025543" w:rsidRDefault="007E3A2F">
            <w:pPr>
              <w:pStyle w:val="P68B1DB1-Normal15"/>
              <w:spacing w:line="240" w:lineRule="auto"/>
              <w:jc w:val="center"/>
              <w:rPr>
                <w:noProof/>
              </w:rPr>
            </w:pPr>
            <w:r>
              <w:rPr>
                <w:noProof/>
              </w:rPr>
              <w:t>2023</w:t>
            </w:r>
          </w:p>
        </w:tc>
        <w:tc>
          <w:tcPr>
            <w:tcW w:w="49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F8D0D7F" w14:textId="46282D56" w:rsidR="00025543" w:rsidRDefault="007E3A2F">
            <w:pPr>
              <w:pStyle w:val="P68B1DB1-Normal16"/>
              <w:spacing w:line="257" w:lineRule="auto"/>
              <w:rPr>
                <w:noProof/>
              </w:rPr>
            </w:pPr>
            <w:r>
              <w:rPr>
                <w:noProof/>
              </w:rPr>
              <w:t xml:space="preserve">Entrée en vigueur de tous les contrats de réhabilitation des friches industrielles publiques à des fins professionnelles à la suite de la préparation d’un programme de subventions. Les projets sélectionnés visent à soutenir la démolition et la construction ou la rénovation économes en énergie.  </w:t>
            </w:r>
          </w:p>
          <w:p w14:paraId="0E8FDB6D" w14:textId="1EB5A493" w:rsidR="00025543" w:rsidRDefault="007E3A2F">
            <w:pPr>
              <w:pStyle w:val="P68B1DB1-Normal16"/>
              <w:spacing w:line="257" w:lineRule="auto"/>
              <w:rPr>
                <w:noProof/>
              </w:rPr>
            </w:pPr>
            <w:r>
              <w:rPr>
                <w:noProof/>
              </w:rPr>
              <w:t>En ce qui concerne le financement de la démolition et de la construction économe en énergie, il convient de veiller à ce que les projets sélectionnés soient tels que i) les nouveaux bâtiments aient une demande d’énergie primaire inférieure d’au moins 20 % à l’exigence des bâtiments dont la consommation d’énergie est quasi nulle; II) la rénovation en profondeur n’est pas possible pour des raisons techniques, de santé/sécurité ou adaptées à l’usage prévu; III) un terrain neuf maximal de 5 % est utilisé à l’endroit où se trouvait l’ancien bâtiment. Cela exclut la possibilité de démolir des bâtiments à un endroit et de construire un autre bâtiment sur un autre site.</w:t>
            </w:r>
          </w:p>
          <w:p w14:paraId="5ABD958C" w14:textId="5B663E61" w:rsidR="00025543" w:rsidRDefault="007E3A2F">
            <w:pPr>
              <w:pStyle w:val="P68B1DB1-Normal16"/>
              <w:spacing w:line="240" w:lineRule="auto"/>
              <w:rPr>
                <w:noProof/>
              </w:rPr>
            </w:pPr>
            <w:r>
              <w:rPr>
                <w:noProof/>
              </w:rPr>
              <w:t>En ce qui concerne le soutien aux activités de rénovation, il convient de veiller à ce qu’au moins 90 % des coûts soutiennent les rénovations visant à améliorer l’efficacité énergétique.</w:t>
            </w:r>
          </w:p>
          <w:p w14:paraId="59DFC915" w14:textId="066E1202" w:rsidR="00025543" w:rsidRDefault="007E3A2F">
            <w:pPr>
              <w:pStyle w:val="P68B1DB1-Normal16"/>
              <w:spacing w:line="259" w:lineRule="auto"/>
              <w:rPr>
                <w:noProof/>
              </w:rPr>
            </w:pPr>
            <w:r>
              <w:rPr>
                <w:noProof/>
              </w:rPr>
              <w:t>Les exigences des appels à projets garantissent qu’au moins 70 % des déchets de construction et de démolition produits sont préparés en vue du réemploi et du recyclage.</w:t>
            </w:r>
          </w:p>
          <w:p w14:paraId="79320331" w14:textId="52353ACA" w:rsidR="00025543" w:rsidRDefault="007E3A2F">
            <w:pPr>
              <w:pStyle w:val="P68B1DB1-Normal16"/>
              <w:spacing w:line="240" w:lineRule="auto"/>
              <w:rPr>
                <w:noProof/>
              </w:rPr>
            </w:pPr>
            <w:r>
              <w:rPr>
                <w:noProof/>
              </w:rPr>
              <w:t>Au total, au moins 20 projets feront l’objet de contrats.</w:t>
            </w:r>
          </w:p>
        </w:tc>
      </w:tr>
      <w:tr w:rsidR="00025543" w14:paraId="69707173" w14:textId="77777777">
        <w:trPr>
          <w:trHeight w:val="945"/>
          <w:jc w:val="center"/>
        </w:trPr>
        <w:tc>
          <w:tcPr>
            <w:tcW w:w="6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6419F07" w14:textId="77777777" w:rsidR="00025543" w:rsidRDefault="007E3A2F">
            <w:pPr>
              <w:pStyle w:val="P68B1DB1-Normal15"/>
              <w:spacing w:line="240" w:lineRule="auto"/>
              <w:jc w:val="center"/>
              <w:rPr>
                <w:noProof/>
              </w:rPr>
            </w:pPr>
            <w:r>
              <w:rPr>
                <w:noProof/>
              </w:rPr>
              <w:t xml:space="preserve"> 159</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E7E9E5E" w14:textId="77777777" w:rsidR="00025543" w:rsidRDefault="007E3A2F">
            <w:pPr>
              <w:pStyle w:val="P68B1DB1-Normal15"/>
              <w:spacing w:line="240" w:lineRule="auto"/>
              <w:rPr>
                <w:noProof/>
              </w:rPr>
            </w:pPr>
            <w:r>
              <w:rPr>
                <w:noProof/>
              </w:rPr>
              <w:t>Investissement 3: Soutien à la revitalisation des zones détenues par le secteur public à des fins professionnelles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A8E5949" w14:textId="77777777" w:rsidR="00025543" w:rsidRDefault="007E3A2F">
            <w:pPr>
              <w:pStyle w:val="P68B1DB1-Normal15"/>
              <w:spacing w:line="240" w:lineRule="auto"/>
              <w:rPr>
                <w:noProof/>
              </w:rPr>
            </w:pPr>
            <w:r>
              <w:rPr>
                <w:noProof/>
              </w:rPr>
              <w:t>Cible</w:t>
            </w:r>
          </w:p>
        </w:tc>
        <w:tc>
          <w:tcPr>
            <w:tcW w:w="13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20416E5" w14:textId="77777777" w:rsidR="00025543" w:rsidRDefault="007E3A2F">
            <w:pPr>
              <w:pStyle w:val="P68B1DB1-Normal15"/>
              <w:spacing w:line="240" w:lineRule="auto"/>
              <w:rPr>
                <w:noProof/>
              </w:rPr>
            </w:pPr>
            <w:r>
              <w:rPr>
                <w:noProof/>
              </w:rPr>
              <w:t>Achèvement des projets de revitalisation des friches industrielles détenues par des municipalités et des régions à des fins commerciales</w:t>
            </w:r>
          </w:p>
        </w:tc>
        <w:tc>
          <w:tcPr>
            <w:tcW w:w="11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1EF0CB4" w14:textId="77777777" w:rsidR="00025543" w:rsidRDefault="00025543">
            <w:pPr>
              <w:spacing w:line="240" w:lineRule="auto"/>
              <w:rPr>
                <w:rFonts w:eastAsia="Times New Roman"/>
                <w:noProof/>
                <w:color w:val="004300"/>
                <w:sz w:val="18"/>
              </w:rPr>
            </w:pPr>
          </w:p>
        </w:tc>
        <w:tc>
          <w:tcPr>
            <w:tcW w:w="10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AC75A76" w14:textId="77777777" w:rsidR="00025543" w:rsidRDefault="007E3A2F">
            <w:pPr>
              <w:pStyle w:val="P68B1DB1-Normal15"/>
              <w:spacing w:line="240" w:lineRule="auto"/>
              <w:rPr>
                <w:noProof/>
              </w:rPr>
            </w:pPr>
            <w:r>
              <w:rPr>
                <w:noProof/>
              </w:rPr>
              <w:t>Nombre de m³ d’espace bâti</w:t>
            </w:r>
          </w:p>
        </w:tc>
        <w:tc>
          <w:tcPr>
            <w:tcW w:w="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CE66890" w14:textId="77777777" w:rsidR="00025543" w:rsidRDefault="007E3A2F">
            <w:pPr>
              <w:pStyle w:val="P68B1DB1-Normal15"/>
              <w:spacing w:line="240" w:lineRule="auto"/>
              <w:jc w:val="center"/>
              <w:rPr>
                <w:noProof/>
              </w:rPr>
            </w:pPr>
            <w:r>
              <w:rPr>
                <w:noProof/>
              </w:rPr>
              <w:t>0</w:t>
            </w:r>
          </w:p>
        </w:tc>
        <w:tc>
          <w:tcPr>
            <w:tcW w:w="7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E46345B" w14:textId="77777777" w:rsidR="00025543" w:rsidRDefault="007E3A2F">
            <w:pPr>
              <w:pStyle w:val="P68B1DB1-Normal15"/>
              <w:spacing w:line="240" w:lineRule="auto"/>
              <w:jc w:val="center"/>
              <w:rPr>
                <w:noProof/>
              </w:rPr>
            </w:pPr>
            <w:r>
              <w:rPr>
                <w:noProof/>
              </w:rPr>
              <w:t>76 000</w:t>
            </w:r>
          </w:p>
        </w:tc>
        <w:tc>
          <w:tcPr>
            <w:tcW w:w="10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6534AF2" w14:textId="77777777" w:rsidR="00025543" w:rsidRDefault="007E3A2F">
            <w:pPr>
              <w:pStyle w:val="P68B1DB1-Normal15"/>
              <w:spacing w:line="240" w:lineRule="auto"/>
              <w:jc w:val="center"/>
              <w:rPr>
                <w:noProof/>
              </w:rPr>
            </w:pPr>
            <w:r>
              <w:rPr>
                <w:noProof/>
              </w:rPr>
              <w:t>TRIMESTRE 4</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46EEF1E" w14:textId="77777777" w:rsidR="00025543" w:rsidRDefault="007E3A2F">
            <w:pPr>
              <w:pStyle w:val="P68B1DB1-Normal15"/>
              <w:spacing w:line="240" w:lineRule="auto"/>
              <w:jc w:val="center"/>
              <w:rPr>
                <w:noProof/>
              </w:rPr>
            </w:pPr>
            <w:r>
              <w:rPr>
                <w:noProof/>
              </w:rPr>
              <w:t>2025</w:t>
            </w:r>
          </w:p>
        </w:tc>
        <w:tc>
          <w:tcPr>
            <w:tcW w:w="49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ED83D80" w14:textId="197ADB70" w:rsidR="00025543" w:rsidRDefault="007E3A2F">
            <w:pPr>
              <w:pStyle w:val="P68B1DB1-Normal16"/>
              <w:spacing w:line="240" w:lineRule="auto"/>
              <w:rPr>
                <w:noProof/>
              </w:rPr>
            </w:pPr>
            <w:r>
              <w:rPr>
                <w:noProof/>
              </w:rPr>
              <w:t>Au moins 60 % de l’investissement est consacré à des projets de rénovation économes en énergie de bâtiments situés sur des friches industrielles. Au total, au moins 76 000 m³ d’espace bâti revitalisé.</w:t>
            </w:r>
          </w:p>
          <w:p w14:paraId="78FEFE58" w14:textId="2216E77F" w:rsidR="00025543" w:rsidRDefault="00025543">
            <w:pPr>
              <w:spacing w:line="240" w:lineRule="auto"/>
              <w:rPr>
                <w:noProof/>
                <w:color w:val="004300"/>
                <w:sz w:val="18"/>
              </w:rPr>
            </w:pPr>
          </w:p>
        </w:tc>
      </w:tr>
    </w:tbl>
    <w:p w14:paraId="19BD3D98" w14:textId="77777777" w:rsidR="00025543" w:rsidRDefault="00025543">
      <w:pPr>
        <w:pBdr>
          <w:top w:val="nil"/>
          <w:left w:val="nil"/>
          <w:bottom w:val="nil"/>
          <w:right w:val="nil"/>
          <w:between w:val="nil"/>
        </w:pBdr>
        <w:tabs>
          <w:tab w:val="left" w:pos="993"/>
        </w:tabs>
        <w:spacing w:line="240" w:lineRule="auto"/>
        <w:rPr>
          <w:b/>
          <w:noProof/>
          <w:color w:val="000000"/>
          <w:u w:val="single"/>
        </w:rPr>
      </w:pPr>
    </w:p>
    <w:p w14:paraId="0BF0AA84" w14:textId="19411E7F" w:rsidR="00025543" w:rsidRDefault="00025543">
      <w:pPr>
        <w:pBdr>
          <w:top w:val="nil"/>
          <w:left w:val="nil"/>
          <w:bottom w:val="nil"/>
          <w:right w:val="nil"/>
          <w:between w:val="nil"/>
        </w:pBdr>
        <w:spacing w:line="240" w:lineRule="auto"/>
        <w:rPr>
          <w:rFonts w:ascii="Calibri" w:hAnsi="Calibri"/>
          <w:noProof/>
          <w:color w:val="000000"/>
          <w:sz w:val="22"/>
        </w:rPr>
        <w:sectPr w:rsidR="00025543" w:rsidSect="00786C7E">
          <w:headerReference w:type="even" r:id="rId240"/>
          <w:headerReference w:type="default" r:id="rId241"/>
          <w:footerReference w:type="even" r:id="rId242"/>
          <w:footerReference w:type="default" r:id="rId243"/>
          <w:headerReference w:type="first" r:id="rId244"/>
          <w:footerReference w:type="first" r:id="rId245"/>
          <w:pgSz w:w="16839" w:h="11907" w:orient="landscape"/>
          <w:pgMar w:top="1134" w:right="1134" w:bottom="1134" w:left="1134" w:header="567" w:footer="567" w:gutter="0"/>
          <w:cols w:space="720"/>
          <w:docGrid w:linePitch="326"/>
        </w:sectPr>
      </w:pPr>
    </w:p>
    <w:p w14:paraId="2ACA4992" w14:textId="19C37A3D" w:rsidR="00025543" w:rsidRDefault="007E3A2F">
      <w:pPr>
        <w:pStyle w:val="P68B1DB1-Normal2"/>
        <w:keepNext/>
        <w:tabs>
          <w:tab w:val="left" w:pos="850"/>
        </w:tabs>
        <w:spacing w:line="240" w:lineRule="auto"/>
        <w:jc w:val="both"/>
        <w:outlineLvl w:val="0"/>
        <w:rPr>
          <w:noProof/>
        </w:rPr>
      </w:pPr>
      <w:r>
        <w:rPr>
          <w:noProof/>
        </w:rPr>
        <w:t>P. VOLET 2.9: Promotion de la biodiversité et lutte contre la sécheresse</w:t>
      </w:r>
    </w:p>
    <w:p w14:paraId="2D7521AF" w14:textId="77777777" w:rsidR="00025543" w:rsidRDefault="007E3A2F">
      <w:pPr>
        <w:pStyle w:val="P68B1DB1-Normal4"/>
        <w:pBdr>
          <w:top w:val="nil"/>
          <w:left w:val="nil"/>
          <w:bottom w:val="nil"/>
          <w:right w:val="nil"/>
          <w:between w:val="nil"/>
        </w:pBdr>
        <w:spacing w:line="240" w:lineRule="auto"/>
        <w:jc w:val="both"/>
        <w:rPr>
          <w:noProof/>
        </w:rPr>
      </w:pPr>
      <w:r>
        <w:rPr>
          <w:noProof/>
        </w:rPr>
        <w:t xml:space="preserve">Ce volet du plan pour la reprise et la résilience de la République tchèque contribue à relever les défis découlant de la faible rétention d’eau et de l’incidence du changement climatique en Tchéquie. Ce volet vise à améliorer la protection contre les sécheresses et les inondations en augmentant la rétention d’eau dans le paysage et dans les zones urbaines. Des investissements dans la protection des sites du réseau Natura 2000 et des zones spécifiquement protégées (ZPS) sont également prévus. </w:t>
      </w:r>
    </w:p>
    <w:p w14:paraId="019A0088" w14:textId="77777777" w:rsidR="00025543" w:rsidRDefault="007E3A2F">
      <w:pPr>
        <w:pStyle w:val="P68B1DB1-Normal3"/>
        <w:pBdr>
          <w:top w:val="nil"/>
          <w:left w:val="nil"/>
          <w:bottom w:val="nil"/>
          <w:right w:val="nil"/>
          <w:between w:val="nil"/>
        </w:pBdr>
        <w:spacing w:line="240" w:lineRule="auto"/>
        <w:jc w:val="both"/>
        <w:rPr>
          <w:noProof/>
        </w:rPr>
      </w:pPr>
      <w:r>
        <w:rPr>
          <w:noProof/>
        </w:rPr>
        <w:t xml:space="preserve">Aucune mesure relevant de ce volet ne devrait nuire gravement aux objectifs environnementaux au sens de l’article 17 du règlement (UE) 2020/852, compte tenu de la description des mesures et des mesures d’atténuation prévues dans le plan pour la reprise et la résilience conformément aux orientations techniques de la DNSH (2021/C58/01). </w:t>
      </w:r>
    </w:p>
    <w:p w14:paraId="54B00148" w14:textId="77777777" w:rsidR="00025543" w:rsidRDefault="00025543">
      <w:pPr>
        <w:pBdr>
          <w:top w:val="nil"/>
          <w:left w:val="nil"/>
          <w:bottom w:val="nil"/>
          <w:right w:val="nil"/>
          <w:between w:val="nil"/>
        </w:pBdr>
        <w:spacing w:line="240" w:lineRule="auto"/>
        <w:jc w:val="both"/>
        <w:rPr>
          <w:rFonts w:eastAsia="Times New Roman"/>
          <w:noProof/>
          <w:color w:val="000000"/>
        </w:rPr>
      </w:pPr>
    </w:p>
    <w:p w14:paraId="7F2DFE2F" w14:textId="784884C7" w:rsidR="00025543" w:rsidRDefault="007E3A2F">
      <w:pPr>
        <w:pStyle w:val="P68B1DB1-Normal33"/>
        <w:pBdr>
          <w:top w:val="nil"/>
          <w:left w:val="nil"/>
          <w:bottom w:val="nil"/>
          <w:right w:val="nil"/>
          <w:between w:val="nil"/>
        </w:pBdr>
        <w:spacing w:line="240" w:lineRule="auto"/>
        <w:jc w:val="both"/>
        <w:rPr>
          <w:i/>
          <w:noProof/>
        </w:rPr>
      </w:pPr>
      <w:r>
        <w:rPr>
          <w:noProof/>
        </w:rPr>
        <w:t>P.1. Description des réformes et des investissements en vue du soutien financier non remboursable</w:t>
      </w:r>
    </w:p>
    <w:p w14:paraId="227D3D1F" w14:textId="77777777" w:rsidR="00025543" w:rsidRDefault="007E3A2F">
      <w:pPr>
        <w:pStyle w:val="P68B1DB1-Normal18"/>
        <w:pBdr>
          <w:top w:val="nil"/>
          <w:left w:val="nil"/>
          <w:bottom w:val="nil"/>
          <w:right w:val="nil"/>
          <w:between w:val="nil"/>
        </w:pBdr>
        <w:spacing w:line="240" w:lineRule="auto"/>
        <w:jc w:val="both"/>
        <w:rPr>
          <w:i/>
          <w:noProof/>
        </w:rPr>
      </w:pPr>
      <w:r>
        <w:rPr>
          <w:noProof/>
        </w:rPr>
        <w:t>Réforme 1: Modification de la loi sur la gestion de l’eau</w:t>
      </w:r>
    </w:p>
    <w:p w14:paraId="399EA567" w14:textId="77777777" w:rsidR="00025543" w:rsidRDefault="007E3A2F">
      <w:pPr>
        <w:pStyle w:val="P68B1DB1-Normal3"/>
        <w:pBdr>
          <w:top w:val="nil"/>
          <w:left w:val="nil"/>
          <w:bottom w:val="nil"/>
          <w:right w:val="nil"/>
          <w:between w:val="nil"/>
        </w:pBdr>
        <w:spacing w:line="240" w:lineRule="auto"/>
        <w:jc w:val="both"/>
        <w:rPr>
          <w:noProof/>
          <w:color w:val="000000"/>
        </w:rPr>
      </w:pPr>
      <w:r>
        <w:rPr>
          <w:noProof/>
          <w:color w:val="000000"/>
        </w:rPr>
        <w:t>L’objectif de la réforme est de modifier la loi sur la gestion de l’eau afin de lutter plus systématiquement contre les sécheresses et la rareté de la ressource en eau. La modification définit le cadre de prévention et de suivi des sécheresses, les responsabilités des autorités compétentes et les mécanismes de contrôle</w:t>
      </w:r>
      <w:r>
        <w:rPr>
          <w:noProof/>
        </w:rPr>
        <w:t xml:space="preserve">. </w:t>
      </w:r>
      <w:r>
        <w:rPr>
          <w:noProof/>
          <w:color w:val="000000"/>
        </w:rPr>
        <w:t>Il vise à établir des commissions régionales ayant pour mandat de publier une déclaration sur l’ «état de rareté de la ressource en eau» et d’appliquer les limitations correspondantes à l’utilisation de l’eau dans la région, conformément aux plans de gestion des sécheresses.</w:t>
      </w:r>
    </w:p>
    <w:p w14:paraId="163C43C7" w14:textId="77777777" w:rsidR="00025543" w:rsidRDefault="007E3A2F">
      <w:pPr>
        <w:pBdr>
          <w:top w:val="nil"/>
          <w:left w:val="nil"/>
          <w:bottom w:val="nil"/>
          <w:right w:val="nil"/>
          <w:between w:val="nil"/>
        </w:pBdr>
        <w:spacing w:line="240" w:lineRule="auto"/>
        <w:jc w:val="both"/>
        <w:rPr>
          <w:rFonts w:eastAsia="Times New Roman"/>
          <w:noProof/>
          <w:color w:val="000000"/>
        </w:rPr>
      </w:pPr>
      <w:r>
        <w:rPr>
          <w:rFonts w:eastAsia="Times New Roman"/>
          <w:noProof/>
          <w:color w:val="000000"/>
        </w:rPr>
        <w:t>La mise en œuvre de la</w:t>
      </w:r>
      <w:r>
        <w:rPr>
          <w:rFonts w:ascii="Calibri" w:hAnsi="Calibri"/>
          <w:noProof/>
          <w:sz w:val="22"/>
        </w:rPr>
        <w:t xml:space="preserve"> </w:t>
      </w:r>
      <w:r>
        <w:rPr>
          <w:rFonts w:eastAsia="Times New Roman"/>
          <w:noProof/>
          <w:color w:val="000000"/>
        </w:rPr>
        <w:t xml:space="preserve">réforme est achevée au plus tard le 31 décembre 2024. </w:t>
      </w:r>
    </w:p>
    <w:p w14:paraId="2100D73A" w14:textId="77777777" w:rsidR="00025543" w:rsidRDefault="007E3A2F">
      <w:pPr>
        <w:pStyle w:val="P68B1DB1-Normal18"/>
        <w:pBdr>
          <w:top w:val="nil"/>
          <w:left w:val="nil"/>
          <w:bottom w:val="nil"/>
          <w:right w:val="nil"/>
          <w:between w:val="nil"/>
        </w:pBdr>
        <w:spacing w:line="240" w:lineRule="auto"/>
        <w:jc w:val="both"/>
        <w:rPr>
          <w:noProof/>
          <w:color w:val="000000"/>
        </w:rPr>
      </w:pPr>
      <w:r>
        <w:rPr>
          <w:noProof/>
        </w:rPr>
        <w:t>Investissement 1: Protection contre les sécheresses et les inondations de la ville de Brno</w:t>
      </w:r>
    </w:p>
    <w:p w14:paraId="384D8CCF" w14:textId="7D81F037" w:rsidR="00025543" w:rsidRDefault="007E3A2F">
      <w:pPr>
        <w:pStyle w:val="P68B1DB1-Normal3"/>
        <w:pBdr>
          <w:top w:val="nil"/>
          <w:left w:val="nil"/>
          <w:bottom w:val="nil"/>
          <w:right w:val="nil"/>
          <w:between w:val="nil"/>
        </w:pBdr>
        <w:spacing w:line="240" w:lineRule="auto"/>
        <w:jc w:val="both"/>
        <w:rPr>
          <w:rFonts w:ascii="Calibri" w:hAnsi="Calibri" w:cs="Calibri"/>
          <w:noProof/>
          <w:sz w:val="22"/>
        </w:rPr>
      </w:pPr>
      <w:r>
        <w:rPr>
          <w:noProof/>
          <w:color w:val="000000" w:themeColor="text1"/>
        </w:rPr>
        <w:t xml:space="preserve">Cet investissement vise à renforcer les protections contre les inondations de la ville de Brno et à revitaliser la Svratka. La réalisation du projet comprend:  solutions fondées sur la nature telles que le déversement naturel de l’augmentation du niveau d’eau des bassins dans les prairies, l’établissement de bassins naturels, de prairies, de plaines inondables et la création de zones humides. </w:t>
      </w:r>
      <w:r>
        <w:rPr>
          <w:noProof/>
        </w:rPr>
        <w:t>Les solutions sont mises en œuvre sur la Svratka.</w:t>
      </w:r>
    </w:p>
    <w:p w14:paraId="121FB8A5" w14:textId="77777777" w:rsidR="00025543" w:rsidRDefault="007E3A2F">
      <w:pPr>
        <w:pStyle w:val="P68B1DB1-Normal4"/>
        <w:pBdr>
          <w:top w:val="nil"/>
          <w:left w:val="nil"/>
          <w:bottom w:val="nil"/>
          <w:right w:val="nil"/>
          <w:between w:val="nil"/>
        </w:pBdr>
        <w:spacing w:line="240" w:lineRule="auto"/>
        <w:jc w:val="both"/>
        <w:rPr>
          <w:noProof/>
        </w:rPr>
      </w:pPr>
      <w:r>
        <w:rPr>
          <w:noProof/>
        </w:rPr>
        <w:t xml:space="preserve">La réalisation de l’investissement est achevée au plus tard le 31 décembre 2025. </w:t>
      </w:r>
    </w:p>
    <w:p w14:paraId="65FB4471" w14:textId="77777777" w:rsidR="00025543" w:rsidRDefault="007E3A2F">
      <w:pPr>
        <w:pStyle w:val="P68B1DB1-Normal18"/>
        <w:pBdr>
          <w:top w:val="nil"/>
          <w:left w:val="nil"/>
          <w:bottom w:val="nil"/>
          <w:right w:val="nil"/>
          <w:between w:val="nil"/>
        </w:pBdr>
        <w:spacing w:line="240" w:lineRule="auto"/>
        <w:jc w:val="both"/>
        <w:rPr>
          <w:noProof/>
          <w:color w:val="000000"/>
        </w:rPr>
      </w:pPr>
      <w:r>
        <w:rPr>
          <w:noProof/>
        </w:rPr>
        <w:t xml:space="preserve">Investissement 2: Gestion des eaux de pluie dans les agglomérations urbaines </w:t>
      </w:r>
    </w:p>
    <w:p w14:paraId="737D8D39" w14:textId="77777777" w:rsidR="00025543" w:rsidRDefault="007E3A2F">
      <w:pPr>
        <w:pStyle w:val="P68B1DB1-Normal3"/>
        <w:pBdr>
          <w:top w:val="nil"/>
          <w:left w:val="nil"/>
          <w:bottom w:val="nil"/>
          <w:right w:val="nil"/>
          <w:between w:val="nil"/>
        </w:pBdr>
        <w:spacing w:line="240" w:lineRule="auto"/>
        <w:jc w:val="both"/>
        <w:rPr>
          <w:noProof/>
          <w:color w:val="000000"/>
        </w:rPr>
      </w:pPr>
      <w:r>
        <w:rPr>
          <w:noProof/>
          <w:color w:val="000000"/>
        </w:rPr>
        <w:t>Cet investissement vise à ralentir les écoulements ainsi qu’à retenir et à accumuler l’eau dans les agglomérations urbaines au moyen</w:t>
      </w:r>
      <w:r>
        <w:rPr>
          <w:noProof/>
        </w:rPr>
        <w:t xml:space="preserve"> de </w:t>
      </w:r>
      <w:r>
        <w:rPr>
          <w:noProof/>
          <w:color w:val="000000"/>
        </w:rPr>
        <w:t xml:space="preserve">torsion superficielle, de bandes d’absorption et de réservoirs, de jardins de pluie, de pièges souterrains, de drainage, de stockage souterrain et de toitures vertes. </w:t>
      </w:r>
    </w:p>
    <w:p w14:paraId="329FAC4F" w14:textId="52B32B6A" w:rsidR="00025543" w:rsidRDefault="007E3A2F">
      <w:pPr>
        <w:pStyle w:val="P68B1DB1-Normal4"/>
        <w:pBdr>
          <w:top w:val="nil"/>
          <w:left w:val="nil"/>
          <w:bottom w:val="nil"/>
          <w:right w:val="nil"/>
          <w:between w:val="nil"/>
        </w:pBdr>
        <w:tabs>
          <w:tab w:val="right" w:pos="9639"/>
        </w:tabs>
        <w:spacing w:line="240" w:lineRule="auto"/>
        <w:jc w:val="both"/>
        <w:rPr>
          <w:noProof/>
        </w:rPr>
      </w:pPr>
      <w:r>
        <w:rPr>
          <w:noProof/>
        </w:rPr>
        <w:t xml:space="preserve">La réalisation de l’investissement est achevée au plus tard le 31 décembre 2025. </w:t>
      </w:r>
    </w:p>
    <w:p w14:paraId="32A21C0E" w14:textId="77777777" w:rsidR="00025543" w:rsidRDefault="007E3A2F">
      <w:pPr>
        <w:pStyle w:val="P68B1DB1-Normal18"/>
        <w:pBdr>
          <w:top w:val="nil"/>
          <w:left w:val="nil"/>
          <w:bottom w:val="nil"/>
          <w:right w:val="nil"/>
          <w:between w:val="nil"/>
        </w:pBdr>
        <w:spacing w:line="240" w:lineRule="auto"/>
        <w:jc w:val="both"/>
        <w:rPr>
          <w:noProof/>
          <w:color w:val="000000"/>
        </w:rPr>
      </w:pPr>
      <w:r>
        <w:rPr>
          <w:noProof/>
        </w:rPr>
        <w:t xml:space="preserve">Investissement 3: Gestion des sites Natura 2000 et des espèces végétales et animales protégées </w:t>
      </w:r>
    </w:p>
    <w:p w14:paraId="101B1842" w14:textId="0E525E13" w:rsidR="00025543" w:rsidRDefault="007E3A2F">
      <w:pPr>
        <w:pStyle w:val="P68B1DB1-Normal4"/>
        <w:pBdr>
          <w:top w:val="nil"/>
          <w:left w:val="nil"/>
          <w:bottom w:val="nil"/>
          <w:right w:val="nil"/>
          <w:between w:val="nil"/>
        </w:pBdr>
        <w:spacing w:line="240" w:lineRule="auto"/>
        <w:jc w:val="both"/>
        <w:rPr>
          <w:noProof/>
        </w:rPr>
      </w:pPr>
      <w:r>
        <w:rPr>
          <w:noProof/>
        </w:rPr>
        <w:t xml:space="preserve">L’objectif général de l’investissement est de renforcer la stabilité écologique du paysage et de la biodiversité en Tchéquie. Il consiste en la mise en œuvre de mesures définies dans les plans de gestion pour la restauration et la revitalisation des sites Natura 2000 (zones de protection spéciale et </w:t>
      </w:r>
      <w:r>
        <w:rPr>
          <w:noProof/>
          <w:highlight w:val="white"/>
        </w:rPr>
        <w:t>sites d’importance communautaire)</w:t>
      </w:r>
      <w:r>
        <w:rPr>
          <w:noProof/>
        </w:rPr>
        <w:t xml:space="preserve"> ainsi que des sites protégés au niveau national. L’investissement atteint un état de conservation favorable en mettant en œuvre les mesures de conservation prévues dans les plans de gestion de la nature. </w:t>
      </w:r>
    </w:p>
    <w:p w14:paraId="7A7E6747" w14:textId="77777777" w:rsidR="00025543" w:rsidRDefault="007E3A2F">
      <w:pPr>
        <w:pStyle w:val="P68B1DB1-Normal4"/>
        <w:pBdr>
          <w:top w:val="nil"/>
          <w:left w:val="nil"/>
          <w:bottom w:val="nil"/>
          <w:right w:val="nil"/>
          <w:between w:val="nil"/>
        </w:pBdr>
        <w:spacing w:line="240" w:lineRule="auto"/>
        <w:jc w:val="both"/>
        <w:rPr>
          <w:noProof/>
        </w:rPr>
      </w:pPr>
      <w:r>
        <w:rPr>
          <w:noProof/>
        </w:rPr>
        <w:t xml:space="preserve">La réalisation de l’investissement est achevée au plus tard le 31 décembre 2025. </w:t>
      </w:r>
    </w:p>
    <w:p w14:paraId="5E4CFDAF" w14:textId="77777777" w:rsidR="00025543" w:rsidRDefault="007E3A2F">
      <w:pPr>
        <w:pStyle w:val="P68B1DB1-Normal18"/>
        <w:pBdr>
          <w:top w:val="nil"/>
          <w:left w:val="nil"/>
          <w:bottom w:val="nil"/>
          <w:right w:val="nil"/>
          <w:between w:val="nil"/>
        </w:pBdr>
        <w:spacing w:line="240" w:lineRule="auto"/>
        <w:jc w:val="both"/>
        <w:rPr>
          <w:noProof/>
          <w:color w:val="000000"/>
        </w:rPr>
      </w:pPr>
      <w:r>
        <w:rPr>
          <w:noProof/>
        </w:rPr>
        <w:t>Investissement 4: Adaptation des écosystèmes aquatiques, non forestiers et forestiers au changement climatique</w:t>
      </w:r>
    </w:p>
    <w:p w14:paraId="4AAD1C2F" w14:textId="02E5478E" w:rsidR="00025543" w:rsidRDefault="007E3A2F">
      <w:pPr>
        <w:pStyle w:val="P68B1DB1-Normal4"/>
        <w:pBdr>
          <w:top w:val="nil"/>
          <w:left w:val="nil"/>
          <w:bottom w:val="nil"/>
          <w:right w:val="nil"/>
          <w:between w:val="nil"/>
        </w:pBdr>
        <w:spacing w:line="240" w:lineRule="auto"/>
        <w:jc w:val="both"/>
        <w:rPr>
          <w:noProof/>
        </w:rPr>
      </w:pPr>
      <w:r>
        <w:rPr>
          <w:noProof/>
        </w:rPr>
        <w:t xml:space="preserve">Cet investissement vise à permettre une rétention systémique de l’eau dans le paysage (sur la base d’une évaluation potentielle de la rétention d’eau). Il consiste en la mise en œuvre d’actions telles que l’amélioration des espèces et de la composition spatiale des forêts; la protection des habitats non forestiers; lors de la création ou de la restauration de zones humides et d’étangs; lors de la revitalisation des cours d’eau, la restauration d’éléments paysagers (en plus d’autres pour diviser de grandes parcelles de terres agricoles), la plantation d’arbres en dehors des zones forestières et d’autres actions connexes. </w:t>
      </w:r>
    </w:p>
    <w:p w14:paraId="1594D4B4" w14:textId="0A3BDDCC" w:rsidR="00025543" w:rsidRDefault="007E3A2F">
      <w:pPr>
        <w:pStyle w:val="P68B1DB1-Normal4"/>
        <w:pBdr>
          <w:top w:val="nil"/>
          <w:left w:val="nil"/>
          <w:bottom w:val="nil"/>
          <w:right w:val="nil"/>
          <w:between w:val="nil"/>
        </w:pBdr>
        <w:spacing w:line="240" w:lineRule="auto"/>
        <w:jc w:val="both"/>
        <w:rPr>
          <w:noProof/>
        </w:rPr>
      </w:pPr>
      <w:r>
        <w:rPr>
          <w:noProof/>
        </w:rPr>
        <w:t xml:space="preserve">La réalisation de l’investissement est achevée au plus tard le 31 décembre 2025. </w:t>
      </w:r>
    </w:p>
    <w:p w14:paraId="26B6D8AD" w14:textId="08EFAFAF" w:rsidR="00025543" w:rsidRDefault="007E3A2F">
      <w:pPr>
        <w:pStyle w:val="P68B1DB1-Normal7"/>
        <w:spacing w:line="240" w:lineRule="auto"/>
        <w:rPr>
          <w:noProof/>
        </w:rPr>
      </w:pPr>
      <w:r>
        <w:rPr>
          <w:rFonts w:eastAsia="Times New Roman"/>
          <w:noProof/>
          <w:color w:val="000000"/>
        </w:rPr>
        <w:t xml:space="preserve">Réforme 2: </w:t>
      </w:r>
      <w:r>
        <w:rPr>
          <w:noProof/>
        </w:rPr>
        <w:t xml:space="preserve">Mise en place d’une politique paysagère et planification </w:t>
      </w:r>
    </w:p>
    <w:p w14:paraId="08CB03A6" w14:textId="179A0184" w:rsidR="00025543" w:rsidRDefault="007E3A2F">
      <w:pPr>
        <w:spacing w:line="240" w:lineRule="auto"/>
        <w:jc w:val="both"/>
        <w:rPr>
          <w:noProof/>
        </w:rPr>
      </w:pPr>
      <w:r>
        <w:rPr>
          <w:noProof/>
        </w:rPr>
        <w:t xml:space="preserve">La réforme vise à mettre en place une gestion et une planification intégrées du paysage, garantissant une coordination intersectorielle et la participation de plusieurs parties prenantes. Son objectif ultime est de promouvoir la conservation et l’utilisation durable des ressources naturelles, telles que les forêts, les masses d’eau et la biodiversité, afin de garantir des avantages écologiques et socio-économiques à long terme.  </w:t>
      </w:r>
    </w:p>
    <w:p w14:paraId="72D3DC63" w14:textId="26BBDCE7" w:rsidR="00025543" w:rsidRDefault="007E3A2F">
      <w:pPr>
        <w:spacing w:line="240" w:lineRule="auto"/>
        <w:jc w:val="both"/>
        <w:rPr>
          <w:noProof/>
        </w:rPr>
      </w:pPr>
      <w:r>
        <w:rPr>
          <w:noProof/>
        </w:rPr>
        <w:t>Le gouvernement adopte un document de politique intégrée du paysage. Le document d’orientation crée un environnement propice à une gestion durable des terres par le secteur public et le secteur privé.  Sur la base de ce document d’orientation, une méthodologie décrivant l’approche de la conservation et de la gestion des paysages aux niveaux national, régional et local est publiée sur une plateforme web accessible au public et aux fonctionnaires.  Des outils de suivi de l’application des connaissances dans la pratique seront créés et 3 projets pilotes seront achevés.</w:t>
      </w:r>
    </w:p>
    <w:p w14:paraId="30525A77" w14:textId="1213B6C9" w:rsidR="00025543" w:rsidRDefault="007E3A2F">
      <w:pPr>
        <w:spacing w:line="240" w:lineRule="auto"/>
        <w:jc w:val="both"/>
        <w:rPr>
          <w:rFonts w:eastAsia="Times New Roman"/>
          <w:noProof/>
          <w:color w:val="000000"/>
        </w:rPr>
      </w:pPr>
      <w:r>
        <w:rPr>
          <w:noProof/>
        </w:rPr>
        <w:t>La mesure est achevée au plus tard le 31 mars 2026.</w:t>
      </w:r>
    </w:p>
    <w:p w14:paraId="37B65FBE" w14:textId="77777777" w:rsidR="00025543" w:rsidRDefault="007E3A2F">
      <w:pPr>
        <w:pStyle w:val="P68B1DB1-Normal3"/>
        <w:pBdr>
          <w:top w:val="nil"/>
          <w:left w:val="nil"/>
          <w:bottom w:val="nil"/>
          <w:right w:val="nil"/>
          <w:between w:val="nil"/>
        </w:pBdr>
        <w:spacing w:line="240" w:lineRule="auto"/>
        <w:jc w:val="both"/>
        <w:rPr>
          <w:noProof/>
          <w:color w:val="000000"/>
        </w:rPr>
      </w:pPr>
      <w:r>
        <w:rPr>
          <w:noProof/>
        </w:rPr>
        <w:t xml:space="preserve"> </w:t>
      </w:r>
    </w:p>
    <w:p w14:paraId="6A83CFB7" w14:textId="77777777" w:rsidR="00025543" w:rsidRDefault="00025543">
      <w:pPr>
        <w:pBdr>
          <w:top w:val="nil"/>
          <w:left w:val="nil"/>
          <w:bottom w:val="nil"/>
          <w:right w:val="nil"/>
          <w:between w:val="nil"/>
        </w:pBdr>
        <w:spacing w:line="240" w:lineRule="auto"/>
        <w:jc w:val="both"/>
        <w:rPr>
          <w:rFonts w:eastAsia="Times New Roman"/>
          <w:b/>
          <w:noProof/>
          <w:color w:val="000000"/>
          <w:u w:val="single"/>
        </w:rPr>
        <w:sectPr w:rsidR="00025543" w:rsidSect="00786C7E">
          <w:headerReference w:type="even" r:id="rId246"/>
          <w:headerReference w:type="default" r:id="rId247"/>
          <w:footerReference w:type="even" r:id="rId248"/>
          <w:footerReference w:type="default" r:id="rId249"/>
          <w:headerReference w:type="first" r:id="rId250"/>
          <w:footerReference w:type="first" r:id="rId251"/>
          <w:pgSz w:w="11907" w:h="16839"/>
          <w:pgMar w:top="1134" w:right="1134" w:bottom="1134" w:left="1134" w:header="567" w:footer="567" w:gutter="0"/>
          <w:cols w:space="708"/>
          <w:docGrid w:linePitch="326"/>
        </w:sectPr>
      </w:pPr>
    </w:p>
    <w:p w14:paraId="5A90B55C" w14:textId="033E7444" w:rsidR="00025543" w:rsidRDefault="007E3A2F">
      <w:pPr>
        <w:pStyle w:val="P68B1DB1-Normal33"/>
        <w:pBdr>
          <w:top w:val="nil"/>
          <w:left w:val="nil"/>
          <w:bottom w:val="nil"/>
          <w:right w:val="nil"/>
          <w:between w:val="nil"/>
        </w:pBdr>
        <w:spacing w:line="240" w:lineRule="auto"/>
        <w:jc w:val="both"/>
        <w:rPr>
          <w:noProof/>
          <w:color w:val="000000"/>
        </w:rPr>
      </w:pPr>
      <w:r>
        <w:rPr>
          <w:noProof/>
        </w:rPr>
        <w:t>P.2. Jalons, cibles, indicateurs et calendrier de suivi et de mise en œuvre en vue du soutien financier non remboursable</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63"/>
        <w:gridCol w:w="1313"/>
        <w:gridCol w:w="1110"/>
        <w:gridCol w:w="1313"/>
        <w:gridCol w:w="1183"/>
        <w:gridCol w:w="926"/>
        <w:gridCol w:w="1003"/>
        <w:gridCol w:w="800"/>
        <w:gridCol w:w="1055"/>
        <w:gridCol w:w="661"/>
        <w:gridCol w:w="4290"/>
      </w:tblGrid>
      <w:tr w:rsidR="00025543" w14:paraId="5F662165" w14:textId="77777777">
        <w:trPr>
          <w:trHeight w:val="513"/>
          <w:tblHeader/>
        </w:trPr>
        <w:tc>
          <w:tcPr>
            <w:tcW w:w="674" w:type="dxa"/>
            <w:vMerge w:val="restart"/>
            <w:shd w:val="clear" w:color="auto" w:fill="BDD7EE"/>
            <w:vAlign w:val="center"/>
          </w:tcPr>
          <w:p w14:paraId="7C8A6049" w14:textId="77777777" w:rsidR="00025543" w:rsidRDefault="007E3A2F">
            <w:pPr>
              <w:pStyle w:val="P68B1DB1-Normal9"/>
              <w:spacing w:after="0" w:line="240" w:lineRule="auto"/>
              <w:jc w:val="center"/>
              <w:rPr>
                <w:noProof/>
              </w:rPr>
            </w:pPr>
            <w:r>
              <w:rPr>
                <w:noProof/>
              </w:rPr>
              <w:t>Séquence NUM.</w:t>
            </w:r>
          </w:p>
        </w:tc>
        <w:tc>
          <w:tcPr>
            <w:tcW w:w="1343" w:type="dxa"/>
            <w:vMerge w:val="restart"/>
            <w:shd w:val="clear" w:color="auto" w:fill="BDD7EE"/>
            <w:vAlign w:val="center"/>
          </w:tcPr>
          <w:p w14:paraId="639CD6DD" w14:textId="77777777" w:rsidR="00025543" w:rsidRDefault="007E3A2F">
            <w:pPr>
              <w:pStyle w:val="P68B1DB1-Normal9"/>
              <w:spacing w:after="0" w:line="240" w:lineRule="auto"/>
              <w:jc w:val="center"/>
              <w:rPr>
                <w:noProof/>
              </w:rPr>
            </w:pPr>
            <w:r>
              <w:rPr>
                <w:noProof/>
              </w:rPr>
              <w:t>Mesure connexe (réforme ou investissement)</w:t>
            </w:r>
          </w:p>
        </w:tc>
        <w:tc>
          <w:tcPr>
            <w:tcW w:w="1134" w:type="dxa"/>
            <w:vMerge w:val="restart"/>
            <w:shd w:val="clear" w:color="auto" w:fill="BDD7EE"/>
            <w:vAlign w:val="center"/>
          </w:tcPr>
          <w:p w14:paraId="12EBD05A" w14:textId="77777777" w:rsidR="00025543" w:rsidRDefault="007E3A2F">
            <w:pPr>
              <w:pStyle w:val="P68B1DB1-Normal9"/>
              <w:spacing w:after="0" w:line="240" w:lineRule="auto"/>
              <w:jc w:val="center"/>
              <w:rPr>
                <w:noProof/>
              </w:rPr>
            </w:pPr>
            <w:r>
              <w:rPr>
                <w:noProof/>
              </w:rPr>
              <w:t>Jalon/cible</w:t>
            </w:r>
          </w:p>
        </w:tc>
        <w:tc>
          <w:tcPr>
            <w:tcW w:w="1343" w:type="dxa"/>
            <w:vMerge w:val="restart"/>
            <w:shd w:val="clear" w:color="auto" w:fill="BDD7EE"/>
            <w:vAlign w:val="center"/>
          </w:tcPr>
          <w:p w14:paraId="7BA4CE08" w14:textId="77777777" w:rsidR="00025543" w:rsidRDefault="007E3A2F">
            <w:pPr>
              <w:pStyle w:val="P68B1DB1-Normal9"/>
              <w:spacing w:after="0" w:line="240" w:lineRule="auto"/>
              <w:jc w:val="center"/>
              <w:rPr>
                <w:noProof/>
              </w:rPr>
            </w:pPr>
            <w:r>
              <w:rPr>
                <w:noProof/>
              </w:rPr>
              <w:t>Nom</w:t>
            </w:r>
          </w:p>
        </w:tc>
        <w:tc>
          <w:tcPr>
            <w:tcW w:w="1209" w:type="dxa"/>
            <w:vMerge w:val="restart"/>
            <w:shd w:val="clear" w:color="auto" w:fill="BDD7EE"/>
            <w:vAlign w:val="center"/>
          </w:tcPr>
          <w:p w14:paraId="7C80F1BA" w14:textId="77777777" w:rsidR="00025543" w:rsidRDefault="007E3A2F">
            <w:pPr>
              <w:pStyle w:val="P68B1DB1-Normal9"/>
              <w:spacing w:after="0" w:line="240" w:lineRule="auto"/>
              <w:jc w:val="center"/>
              <w:rPr>
                <w:noProof/>
              </w:rPr>
            </w:pPr>
            <w:r>
              <w:rPr>
                <w:noProof/>
              </w:rPr>
              <w:t xml:space="preserve">Qualitatifs </w:t>
            </w:r>
            <w:r>
              <w:rPr>
                <w:noProof/>
              </w:rPr>
              <w:br/>
              <w:t>(pour les jalons)</w:t>
            </w:r>
          </w:p>
        </w:tc>
        <w:tc>
          <w:tcPr>
            <w:tcW w:w="2785" w:type="dxa"/>
            <w:gridSpan w:val="3"/>
            <w:shd w:val="clear" w:color="auto" w:fill="BDD7EE"/>
            <w:vAlign w:val="center"/>
          </w:tcPr>
          <w:p w14:paraId="79C67144" w14:textId="77777777" w:rsidR="00025543" w:rsidRDefault="007E3A2F">
            <w:pPr>
              <w:pStyle w:val="P68B1DB1-Normal9"/>
              <w:spacing w:after="0" w:line="240" w:lineRule="auto"/>
              <w:jc w:val="center"/>
              <w:rPr>
                <w:noProof/>
              </w:rPr>
            </w:pPr>
            <w:r>
              <w:rPr>
                <w:noProof/>
              </w:rPr>
              <w:t xml:space="preserve">Indicateurs quantitatifs </w:t>
            </w:r>
            <w:r>
              <w:rPr>
                <w:noProof/>
              </w:rPr>
              <w:br/>
              <w:t>(pour les objectifs)</w:t>
            </w:r>
          </w:p>
        </w:tc>
        <w:tc>
          <w:tcPr>
            <w:tcW w:w="1485" w:type="dxa"/>
            <w:gridSpan w:val="2"/>
            <w:shd w:val="clear" w:color="auto" w:fill="BDD7EE"/>
            <w:vAlign w:val="center"/>
          </w:tcPr>
          <w:p w14:paraId="4CF431EB" w14:textId="77777777" w:rsidR="00025543" w:rsidRDefault="007E3A2F">
            <w:pPr>
              <w:pStyle w:val="P68B1DB1-Normal9"/>
              <w:spacing w:after="0" w:line="240" w:lineRule="auto"/>
              <w:jc w:val="center"/>
              <w:rPr>
                <w:noProof/>
              </w:rPr>
            </w:pPr>
            <w:r>
              <w:rPr>
                <w:noProof/>
              </w:rPr>
              <w:t xml:space="preserve">Calendrier indicatif de réalisation </w:t>
            </w:r>
          </w:p>
        </w:tc>
        <w:tc>
          <w:tcPr>
            <w:tcW w:w="4401" w:type="dxa"/>
            <w:vMerge w:val="restart"/>
            <w:shd w:val="clear" w:color="auto" w:fill="BDD7EE"/>
            <w:vAlign w:val="center"/>
          </w:tcPr>
          <w:p w14:paraId="4F2BD3B8" w14:textId="77777777" w:rsidR="00025543" w:rsidRDefault="007E3A2F">
            <w:pPr>
              <w:pStyle w:val="P68B1DB1-Normal9"/>
              <w:spacing w:after="0" w:line="240" w:lineRule="auto"/>
              <w:jc w:val="center"/>
              <w:rPr>
                <w:noProof/>
              </w:rPr>
            </w:pPr>
            <w:r>
              <w:rPr>
                <w:noProof/>
              </w:rPr>
              <w:t>Description de chaque jalon et cible</w:t>
            </w:r>
          </w:p>
        </w:tc>
      </w:tr>
      <w:tr w:rsidR="00025543" w14:paraId="39D9AA99" w14:textId="77777777">
        <w:trPr>
          <w:trHeight w:val="564"/>
          <w:tblHeader/>
        </w:trPr>
        <w:tc>
          <w:tcPr>
            <w:tcW w:w="674" w:type="dxa"/>
            <w:vMerge/>
            <w:vAlign w:val="center"/>
          </w:tcPr>
          <w:p w14:paraId="6C1BFA94" w14:textId="77777777" w:rsidR="00025543" w:rsidRDefault="00025543">
            <w:pPr>
              <w:widowControl w:val="0"/>
              <w:pBdr>
                <w:top w:val="nil"/>
                <w:left w:val="nil"/>
                <w:bottom w:val="nil"/>
                <w:right w:val="nil"/>
                <w:between w:val="nil"/>
              </w:pBdr>
              <w:spacing w:before="0" w:after="0" w:line="276" w:lineRule="auto"/>
              <w:rPr>
                <w:rFonts w:eastAsia="Times New Roman"/>
                <w:b/>
                <w:noProof/>
                <w:sz w:val="18"/>
              </w:rPr>
            </w:pPr>
          </w:p>
        </w:tc>
        <w:tc>
          <w:tcPr>
            <w:tcW w:w="1343" w:type="dxa"/>
            <w:vMerge/>
            <w:vAlign w:val="center"/>
          </w:tcPr>
          <w:p w14:paraId="0868E645" w14:textId="77777777" w:rsidR="00025543" w:rsidRDefault="00025543">
            <w:pPr>
              <w:widowControl w:val="0"/>
              <w:pBdr>
                <w:top w:val="nil"/>
                <w:left w:val="nil"/>
                <w:bottom w:val="nil"/>
                <w:right w:val="nil"/>
                <w:between w:val="nil"/>
              </w:pBdr>
              <w:spacing w:before="0" w:after="0" w:line="276" w:lineRule="auto"/>
              <w:rPr>
                <w:rFonts w:eastAsia="Times New Roman"/>
                <w:b/>
                <w:noProof/>
                <w:sz w:val="18"/>
              </w:rPr>
            </w:pPr>
          </w:p>
        </w:tc>
        <w:tc>
          <w:tcPr>
            <w:tcW w:w="1134" w:type="dxa"/>
            <w:vMerge/>
            <w:vAlign w:val="center"/>
          </w:tcPr>
          <w:p w14:paraId="3B56AB20" w14:textId="77777777" w:rsidR="00025543" w:rsidRDefault="00025543">
            <w:pPr>
              <w:widowControl w:val="0"/>
              <w:pBdr>
                <w:top w:val="nil"/>
                <w:left w:val="nil"/>
                <w:bottom w:val="nil"/>
                <w:right w:val="nil"/>
                <w:between w:val="nil"/>
              </w:pBdr>
              <w:spacing w:before="0" w:after="0" w:line="276" w:lineRule="auto"/>
              <w:rPr>
                <w:rFonts w:eastAsia="Times New Roman"/>
                <w:b/>
                <w:noProof/>
                <w:sz w:val="18"/>
              </w:rPr>
            </w:pPr>
          </w:p>
        </w:tc>
        <w:tc>
          <w:tcPr>
            <w:tcW w:w="1343" w:type="dxa"/>
            <w:vMerge/>
            <w:vAlign w:val="center"/>
          </w:tcPr>
          <w:p w14:paraId="06EFBE19" w14:textId="77777777" w:rsidR="00025543" w:rsidRDefault="00025543">
            <w:pPr>
              <w:widowControl w:val="0"/>
              <w:pBdr>
                <w:top w:val="nil"/>
                <w:left w:val="nil"/>
                <w:bottom w:val="nil"/>
                <w:right w:val="nil"/>
                <w:between w:val="nil"/>
              </w:pBdr>
              <w:spacing w:before="0" w:after="0" w:line="276" w:lineRule="auto"/>
              <w:rPr>
                <w:rFonts w:eastAsia="Times New Roman"/>
                <w:b/>
                <w:noProof/>
                <w:sz w:val="18"/>
              </w:rPr>
            </w:pPr>
          </w:p>
        </w:tc>
        <w:tc>
          <w:tcPr>
            <w:tcW w:w="1209" w:type="dxa"/>
            <w:vMerge/>
            <w:vAlign w:val="center"/>
          </w:tcPr>
          <w:p w14:paraId="365C85E5" w14:textId="77777777" w:rsidR="00025543" w:rsidRDefault="00025543">
            <w:pPr>
              <w:widowControl w:val="0"/>
              <w:pBdr>
                <w:top w:val="nil"/>
                <w:left w:val="nil"/>
                <w:bottom w:val="nil"/>
                <w:right w:val="nil"/>
                <w:between w:val="nil"/>
              </w:pBdr>
              <w:spacing w:before="0" w:after="0" w:line="276" w:lineRule="auto"/>
              <w:rPr>
                <w:rFonts w:eastAsia="Times New Roman"/>
                <w:b/>
                <w:noProof/>
                <w:sz w:val="18"/>
              </w:rPr>
            </w:pPr>
          </w:p>
        </w:tc>
        <w:tc>
          <w:tcPr>
            <w:tcW w:w="945" w:type="dxa"/>
            <w:shd w:val="clear" w:color="auto" w:fill="BDD7EE"/>
            <w:vAlign w:val="center"/>
          </w:tcPr>
          <w:p w14:paraId="1689809B" w14:textId="77777777" w:rsidR="00025543" w:rsidRDefault="007E3A2F">
            <w:pPr>
              <w:pStyle w:val="P68B1DB1-Normal9"/>
              <w:spacing w:after="0" w:line="240" w:lineRule="auto"/>
              <w:jc w:val="center"/>
              <w:rPr>
                <w:noProof/>
              </w:rPr>
            </w:pPr>
            <w:r>
              <w:rPr>
                <w:noProof/>
              </w:rPr>
              <w:t>Unité de mesure</w:t>
            </w:r>
          </w:p>
        </w:tc>
        <w:tc>
          <w:tcPr>
            <w:tcW w:w="1024" w:type="dxa"/>
            <w:shd w:val="clear" w:color="auto" w:fill="BDD7EE"/>
            <w:vAlign w:val="center"/>
          </w:tcPr>
          <w:p w14:paraId="341768B1" w14:textId="77777777" w:rsidR="00025543" w:rsidRDefault="007E3A2F">
            <w:pPr>
              <w:pStyle w:val="P68B1DB1-Normal9"/>
              <w:spacing w:after="0" w:line="240" w:lineRule="auto"/>
              <w:jc w:val="center"/>
              <w:rPr>
                <w:noProof/>
              </w:rPr>
            </w:pPr>
            <w:r>
              <w:rPr>
                <w:noProof/>
              </w:rPr>
              <w:t xml:space="preserve">Scénario de référence </w:t>
            </w:r>
          </w:p>
        </w:tc>
        <w:tc>
          <w:tcPr>
            <w:tcW w:w="816" w:type="dxa"/>
            <w:shd w:val="clear" w:color="auto" w:fill="BDD7EE"/>
            <w:vAlign w:val="center"/>
          </w:tcPr>
          <w:p w14:paraId="0118127D" w14:textId="77777777" w:rsidR="00025543" w:rsidRDefault="007E3A2F">
            <w:pPr>
              <w:pStyle w:val="P68B1DB1-Normal9"/>
              <w:spacing w:after="0" w:line="240" w:lineRule="auto"/>
              <w:jc w:val="center"/>
              <w:rPr>
                <w:noProof/>
              </w:rPr>
            </w:pPr>
            <w:r>
              <w:rPr>
                <w:noProof/>
              </w:rPr>
              <w:t xml:space="preserve">Objectif </w:t>
            </w:r>
          </w:p>
        </w:tc>
        <w:tc>
          <w:tcPr>
            <w:tcW w:w="1077" w:type="dxa"/>
            <w:shd w:val="clear" w:color="auto" w:fill="BDD7EE"/>
            <w:vAlign w:val="center"/>
          </w:tcPr>
          <w:p w14:paraId="138A0421" w14:textId="77777777" w:rsidR="00025543" w:rsidRDefault="007E3A2F">
            <w:pPr>
              <w:pStyle w:val="P68B1DB1-Normal9"/>
              <w:spacing w:after="0" w:line="240" w:lineRule="auto"/>
              <w:jc w:val="center"/>
              <w:rPr>
                <w:noProof/>
              </w:rPr>
            </w:pPr>
            <w:r>
              <w:rPr>
                <w:noProof/>
              </w:rPr>
              <w:t>Trimestre</w:t>
            </w:r>
          </w:p>
        </w:tc>
        <w:tc>
          <w:tcPr>
            <w:tcW w:w="673" w:type="dxa"/>
            <w:shd w:val="clear" w:color="auto" w:fill="BDD7EE"/>
            <w:vAlign w:val="center"/>
          </w:tcPr>
          <w:p w14:paraId="30CD1ABD" w14:textId="77777777" w:rsidR="00025543" w:rsidRDefault="007E3A2F">
            <w:pPr>
              <w:pStyle w:val="P68B1DB1-Normal9"/>
              <w:spacing w:after="0" w:line="240" w:lineRule="auto"/>
              <w:jc w:val="center"/>
              <w:rPr>
                <w:noProof/>
              </w:rPr>
            </w:pPr>
            <w:r>
              <w:rPr>
                <w:noProof/>
              </w:rPr>
              <w:t>Année</w:t>
            </w:r>
          </w:p>
        </w:tc>
        <w:tc>
          <w:tcPr>
            <w:tcW w:w="4401" w:type="dxa"/>
            <w:vMerge/>
            <w:vAlign w:val="center"/>
          </w:tcPr>
          <w:p w14:paraId="4787A535" w14:textId="77777777" w:rsidR="00025543" w:rsidRDefault="00025543">
            <w:pPr>
              <w:widowControl w:val="0"/>
              <w:pBdr>
                <w:top w:val="nil"/>
                <w:left w:val="nil"/>
                <w:bottom w:val="nil"/>
                <w:right w:val="nil"/>
                <w:between w:val="nil"/>
              </w:pBdr>
              <w:spacing w:before="0" w:after="0" w:line="276" w:lineRule="auto"/>
              <w:rPr>
                <w:rFonts w:eastAsia="Times New Roman"/>
                <w:b/>
                <w:noProof/>
                <w:sz w:val="18"/>
              </w:rPr>
            </w:pPr>
          </w:p>
        </w:tc>
      </w:tr>
      <w:tr w:rsidR="00025543" w14:paraId="6D6B9AF7" w14:textId="77777777">
        <w:trPr>
          <w:trHeight w:val="320"/>
        </w:trPr>
        <w:tc>
          <w:tcPr>
            <w:tcW w:w="674" w:type="dxa"/>
            <w:shd w:val="clear" w:color="auto" w:fill="C6EFCE"/>
            <w:vAlign w:val="center"/>
          </w:tcPr>
          <w:p w14:paraId="6E72848C" w14:textId="77777777" w:rsidR="00025543" w:rsidRDefault="007E3A2F">
            <w:pPr>
              <w:pStyle w:val="P68B1DB1-Normal15"/>
              <w:spacing w:after="0" w:line="240" w:lineRule="auto"/>
              <w:jc w:val="center"/>
              <w:rPr>
                <w:noProof/>
              </w:rPr>
            </w:pPr>
            <w:r>
              <w:rPr>
                <w:noProof/>
              </w:rPr>
              <w:t>160</w:t>
            </w:r>
          </w:p>
        </w:tc>
        <w:tc>
          <w:tcPr>
            <w:tcW w:w="1343" w:type="dxa"/>
            <w:shd w:val="clear" w:color="auto" w:fill="C6EFCE"/>
            <w:vAlign w:val="center"/>
          </w:tcPr>
          <w:p w14:paraId="3A53EE50" w14:textId="77777777" w:rsidR="00025543" w:rsidRDefault="007E3A2F">
            <w:pPr>
              <w:pStyle w:val="P68B1DB1-Normal15"/>
              <w:spacing w:after="0" w:line="240" w:lineRule="auto"/>
              <w:rPr>
                <w:noProof/>
              </w:rPr>
            </w:pPr>
            <w:r>
              <w:rPr>
                <w:noProof/>
              </w:rPr>
              <w:t>Réforme 1: Modification de la loi sur la gestion de l’eau</w:t>
            </w:r>
          </w:p>
        </w:tc>
        <w:tc>
          <w:tcPr>
            <w:tcW w:w="1134" w:type="dxa"/>
            <w:shd w:val="clear" w:color="auto" w:fill="C6EFCE"/>
            <w:vAlign w:val="center"/>
          </w:tcPr>
          <w:p w14:paraId="40EA4BDA" w14:textId="77777777" w:rsidR="00025543" w:rsidRDefault="007E3A2F">
            <w:pPr>
              <w:pStyle w:val="P68B1DB1-Normal15"/>
              <w:spacing w:after="0" w:line="240" w:lineRule="auto"/>
              <w:rPr>
                <w:noProof/>
              </w:rPr>
            </w:pPr>
            <w:r>
              <w:rPr>
                <w:noProof/>
              </w:rPr>
              <w:t>Étapes</w:t>
            </w:r>
          </w:p>
        </w:tc>
        <w:tc>
          <w:tcPr>
            <w:tcW w:w="1343" w:type="dxa"/>
            <w:shd w:val="clear" w:color="auto" w:fill="C6EFCE"/>
            <w:vAlign w:val="center"/>
          </w:tcPr>
          <w:p w14:paraId="776CCD66" w14:textId="77777777" w:rsidR="00025543" w:rsidRDefault="007E3A2F">
            <w:pPr>
              <w:pStyle w:val="P68B1DB1-Normal15"/>
              <w:spacing w:after="0" w:line="240" w:lineRule="auto"/>
              <w:rPr>
                <w:noProof/>
              </w:rPr>
            </w:pPr>
            <w:r>
              <w:rPr>
                <w:noProof/>
              </w:rPr>
              <w:t xml:space="preserve">Modification de la loi sur la gestion de l’eau (loi no 254/2001 Rec.) visant à adopter une approche systémique de la gestion de la sécheresse et de la rareté de l’eau. </w:t>
            </w:r>
          </w:p>
        </w:tc>
        <w:tc>
          <w:tcPr>
            <w:tcW w:w="1209" w:type="dxa"/>
            <w:shd w:val="clear" w:color="auto" w:fill="C6EFCE"/>
            <w:vAlign w:val="center"/>
          </w:tcPr>
          <w:p w14:paraId="2410AEC7" w14:textId="77777777" w:rsidR="00025543" w:rsidRDefault="007E3A2F">
            <w:pPr>
              <w:pStyle w:val="P68B1DB1-Normal15"/>
              <w:spacing w:after="0" w:line="240" w:lineRule="auto"/>
              <w:rPr>
                <w:noProof/>
              </w:rPr>
            </w:pPr>
            <w:r>
              <w:rPr>
                <w:noProof/>
              </w:rPr>
              <w:t xml:space="preserve">Entrée en vigueur de la modification de la loi sur la gestion de l’eau (loi no 254/2001 Rec.) </w:t>
            </w:r>
          </w:p>
        </w:tc>
        <w:tc>
          <w:tcPr>
            <w:tcW w:w="945" w:type="dxa"/>
            <w:shd w:val="clear" w:color="auto" w:fill="C6EFCE"/>
            <w:vAlign w:val="center"/>
          </w:tcPr>
          <w:p w14:paraId="2F0DD159" w14:textId="77777777" w:rsidR="00025543" w:rsidRDefault="00025543">
            <w:pPr>
              <w:spacing w:after="0" w:line="240" w:lineRule="auto"/>
              <w:rPr>
                <w:rFonts w:eastAsia="Times New Roman"/>
                <w:noProof/>
                <w:color w:val="004300"/>
                <w:sz w:val="18"/>
              </w:rPr>
            </w:pPr>
          </w:p>
        </w:tc>
        <w:tc>
          <w:tcPr>
            <w:tcW w:w="1024" w:type="dxa"/>
            <w:shd w:val="clear" w:color="auto" w:fill="C6EFCE"/>
            <w:vAlign w:val="center"/>
          </w:tcPr>
          <w:p w14:paraId="402520FE" w14:textId="77777777" w:rsidR="00025543" w:rsidRDefault="00025543">
            <w:pPr>
              <w:spacing w:after="0" w:line="240" w:lineRule="auto"/>
              <w:jc w:val="center"/>
              <w:rPr>
                <w:rFonts w:eastAsia="Times New Roman"/>
                <w:noProof/>
                <w:color w:val="004300"/>
                <w:sz w:val="18"/>
              </w:rPr>
            </w:pPr>
          </w:p>
        </w:tc>
        <w:tc>
          <w:tcPr>
            <w:tcW w:w="816" w:type="dxa"/>
            <w:shd w:val="clear" w:color="auto" w:fill="C6EFCE"/>
            <w:vAlign w:val="center"/>
          </w:tcPr>
          <w:p w14:paraId="6B6F8C0F" w14:textId="77777777" w:rsidR="00025543" w:rsidRDefault="00025543">
            <w:pPr>
              <w:spacing w:after="0" w:line="240" w:lineRule="auto"/>
              <w:jc w:val="center"/>
              <w:rPr>
                <w:rFonts w:eastAsia="Times New Roman"/>
                <w:noProof/>
                <w:color w:val="004300"/>
                <w:sz w:val="18"/>
              </w:rPr>
            </w:pPr>
          </w:p>
        </w:tc>
        <w:tc>
          <w:tcPr>
            <w:tcW w:w="1077" w:type="dxa"/>
            <w:shd w:val="clear" w:color="auto" w:fill="C6EFCE"/>
            <w:vAlign w:val="center"/>
          </w:tcPr>
          <w:p w14:paraId="315D08D9" w14:textId="77777777" w:rsidR="00025543" w:rsidRDefault="007E3A2F">
            <w:pPr>
              <w:pStyle w:val="P68B1DB1-Normal15"/>
              <w:spacing w:after="0" w:line="240" w:lineRule="auto"/>
              <w:jc w:val="center"/>
              <w:rPr>
                <w:noProof/>
              </w:rPr>
            </w:pPr>
            <w:r>
              <w:rPr>
                <w:noProof/>
              </w:rPr>
              <w:t>TRIMESTRE 4</w:t>
            </w:r>
          </w:p>
        </w:tc>
        <w:tc>
          <w:tcPr>
            <w:tcW w:w="673" w:type="dxa"/>
            <w:shd w:val="clear" w:color="auto" w:fill="C6EFCE"/>
            <w:vAlign w:val="center"/>
          </w:tcPr>
          <w:p w14:paraId="592927CD" w14:textId="77777777" w:rsidR="00025543" w:rsidRDefault="007E3A2F">
            <w:pPr>
              <w:pStyle w:val="P68B1DB1-Normal15"/>
              <w:spacing w:after="0" w:line="240" w:lineRule="auto"/>
              <w:jc w:val="center"/>
              <w:rPr>
                <w:noProof/>
              </w:rPr>
            </w:pPr>
            <w:r>
              <w:rPr>
                <w:noProof/>
              </w:rPr>
              <w:t>2024</w:t>
            </w:r>
          </w:p>
        </w:tc>
        <w:tc>
          <w:tcPr>
            <w:tcW w:w="4401" w:type="dxa"/>
            <w:shd w:val="clear" w:color="auto" w:fill="C6EFCE"/>
            <w:vAlign w:val="center"/>
          </w:tcPr>
          <w:p w14:paraId="1AE8BB71" w14:textId="77777777" w:rsidR="00025543" w:rsidRDefault="007E3A2F">
            <w:pPr>
              <w:pStyle w:val="P68B1DB1-Normal15"/>
              <w:spacing w:after="0" w:line="240" w:lineRule="auto"/>
              <w:jc w:val="both"/>
              <w:rPr>
                <w:noProof/>
              </w:rPr>
            </w:pPr>
            <w:r>
              <w:rPr>
                <w:noProof/>
              </w:rPr>
              <w:t xml:space="preserve">La modification de la loi sur l’eau définissant le cadre pour la prévention des sécheresses et de la rareté de la ressource en eau par la surveillance des sécheresses, la mise en place de mécanismes de contrôle et la définition des responsabilités des autorités compétentes est adoptée. Une commission régionale et centrale pour la prévention, le suivi et la gestion de la sécheresse et de la pénurie d’eau est mise en place. Des plans régionaux et nationaux de sécheresse sont élaborés et approuvés. La modification de la loi doit être conforme à l’acquis de l’UE applicable, à savoir la directive 2000/60/CE. </w:t>
            </w:r>
          </w:p>
        </w:tc>
      </w:tr>
      <w:tr w:rsidR="00025543" w14:paraId="74050CB4" w14:textId="77777777">
        <w:trPr>
          <w:trHeight w:val="320"/>
        </w:trPr>
        <w:tc>
          <w:tcPr>
            <w:tcW w:w="674" w:type="dxa"/>
            <w:shd w:val="clear" w:color="auto" w:fill="C6EFCE"/>
            <w:vAlign w:val="center"/>
          </w:tcPr>
          <w:p w14:paraId="5424E96B" w14:textId="77777777" w:rsidR="00025543" w:rsidRDefault="007E3A2F">
            <w:pPr>
              <w:pStyle w:val="P68B1DB1-Normal15"/>
              <w:spacing w:after="0" w:line="240" w:lineRule="auto"/>
              <w:jc w:val="center"/>
              <w:rPr>
                <w:noProof/>
              </w:rPr>
            </w:pPr>
            <w:r>
              <w:rPr>
                <w:noProof/>
              </w:rPr>
              <w:t>161</w:t>
            </w:r>
          </w:p>
        </w:tc>
        <w:tc>
          <w:tcPr>
            <w:tcW w:w="1343" w:type="dxa"/>
            <w:shd w:val="clear" w:color="auto" w:fill="C6EFCE"/>
            <w:vAlign w:val="center"/>
          </w:tcPr>
          <w:p w14:paraId="271B9918" w14:textId="77777777" w:rsidR="00025543" w:rsidRDefault="007E3A2F">
            <w:pPr>
              <w:pStyle w:val="P68B1DB1-Normal15"/>
              <w:spacing w:after="0" w:line="240" w:lineRule="auto"/>
              <w:rPr>
                <w:noProof/>
              </w:rPr>
            </w:pPr>
            <w:r>
              <w:rPr>
                <w:noProof/>
              </w:rPr>
              <w:t>Investissement 1: Protection contre les sécheresses et les inondations de la ville de Brno</w:t>
            </w:r>
          </w:p>
        </w:tc>
        <w:tc>
          <w:tcPr>
            <w:tcW w:w="1134" w:type="dxa"/>
            <w:shd w:val="clear" w:color="auto" w:fill="C6EFCE"/>
            <w:vAlign w:val="center"/>
          </w:tcPr>
          <w:p w14:paraId="68CD04C9" w14:textId="77777777" w:rsidR="00025543" w:rsidRDefault="007E3A2F">
            <w:pPr>
              <w:pStyle w:val="P68B1DB1-Normal15"/>
              <w:spacing w:after="0" w:line="240" w:lineRule="auto"/>
              <w:rPr>
                <w:noProof/>
              </w:rPr>
            </w:pPr>
            <w:r>
              <w:rPr>
                <w:noProof/>
              </w:rPr>
              <w:t>Étapes</w:t>
            </w:r>
          </w:p>
        </w:tc>
        <w:tc>
          <w:tcPr>
            <w:tcW w:w="1343" w:type="dxa"/>
            <w:shd w:val="clear" w:color="auto" w:fill="C6EFCE"/>
            <w:vAlign w:val="center"/>
          </w:tcPr>
          <w:p w14:paraId="1C3D6F69" w14:textId="77777777" w:rsidR="00025543" w:rsidRDefault="007E3A2F">
            <w:pPr>
              <w:pStyle w:val="P68B1DB1-Normal15"/>
              <w:spacing w:after="0" w:line="240" w:lineRule="auto"/>
              <w:rPr>
                <w:noProof/>
              </w:rPr>
            </w:pPr>
            <w:r>
              <w:rPr>
                <w:noProof/>
              </w:rPr>
              <w:t xml:space="preserve">Notification de l’attribution de marchés pour des projets visant à protéger la ville de Brno contre les sécheresses et les inondations. </w:t>
            </w:r>
          </w:p>
        </w:tc>
        <w:tc>
          <w:tcPr>
            <w:tcW w:w="1209" w:type="dxa"/>
            <w:shd w:val="clear" w:color="auto" w:fill="C6EFCE"/>
            <w:vAlign w:val="center"/>
          </w:tcPr>
          <w:p w14:paraId="7BE7C131" w14:textId="77777777" w:rsidR="00025543" w:rsidRDefault="007E3A2F">
            <w:pPr>
              <w:pStyle w:val="P68B1DB1-Normal15"/>
              <w:spacing w:after="0" w:line="240" w:lineRule="auto"/>
              <w:rPr>
                <w:noProof/>
              </w:rPr>
            </w:pPr>
            <w:r>
              <w:rPr>
                <w:noProof/>
              </w:rPr>
              <w:t>Notification de l’attribution de tous les marchés.</w:t>
            </w:r>
          </w:p>
        </w:tc>
        <w:tc>
          <w:tcPr>
            <w:tcW w:w="945" w:type="dxa"/>
            <w:shd w:val="clear" w:color="auto" w:fill="C6EFCE"/>
            <w:vAlign w:val="center"/>
          </w:tcPr>
          <w:p w14:paraId="04EB81E5" w14:textId="77777777" w:rsidR="00025543" w:rsidRDefault="00025543">
            <w:pPr>
              <w:spacing w:after="0" w:line="240" w:lineRule="auto"/>
              <w:rPr>
                <w:rFonts w:eastAsia="Times New Roman"/>
                <w:noProof/>
                <w:color w:val="004300"/>
                <w:sz w:val="18"/>
              </w:rPr>
            </w:pPr>
          </w:p>
        </w:tc>
        <w:tc>
          <w:tcPr>
            <w:tcW w:w="1024" w:type="dxa"/>
            <w:shd w:val="clear" w:color="auto" w:fill="C6EFCE"/>
            <w:vAlign w:val="center"/>
          </w:tcPr>
          <w:p w14:paraId="59E2E2DD" w14:textId="77777777" w:rsidR="00025543" w:rsidRDefault="00025543">
            <w:pPr>
              <w:spacing w:after="0" w:line="240" w:lineRule="auto"/>
              <w:jc w:val="center"/>
              <w:rPr>
                <w:rFonts w:eastAsia="Times New Roman"/>
                <w:noProof/>
                <w:color w:val="004300"/>
                <w:sz w:val="18"/>
              </w:rPr>
            </w:pPr>
          </w:p>
        </w:tc>
        <w:tc>
          <w:tcPr>
            <w:tcW w:w="816" w:type="dxa"/>
            <w:shd w:val="clear" w:color="auto" w:fill="C6EFCE"/>
            <w:vAlign w:val="center"/>
          </w:tcPr>
          <w:p w14:paraId="70262CB9" w14:textId="77777777" w:rsidR="00025543" w:rsidRDefault="00025543">
            <w:pPr>
              <w:spacing w:after="0" w:line="240" w:lineRule="auto"/>
              <w:jc w:val="center"/>
              <w:rPr>
                <w:rFonts w:eastAsia="Times New Roman"/>
                <w:noProof/>
                <w:color w:val="004300"/>
                <w:sz w:val="18"/>
              </w:rPr>
            </w:pPr>
          </w:p>
        </w:tc>
        <w:tc>
          <w:tcPr>
            <w:tcW w:w="1077" w:type="dxa"/>
            <w:shd w:val="clear" w:color="auto" w:fill="C6EFCE"/>
            <w:vAlign w:val="center"/>
          </w:tcPr>
          <w:p w14:paraId="038E9964" w14:textId="77777777" w:rsidR="00025543" w:rsidRDefault="007E3A2F">
            <w:pPr>
              <w:pStyle w:val="P68B1DB1-Normal15"/>
              <w:spacing w:after="0" w:line="240" w:lineRule="auto"/>
              <w:jc w:val="center"/>
              <w:rPr>
                <w:noProof/>
              </w:rPr>
            </w:pPr>
            <w:r>
              <w:rPr>
                <w:noProof/>
              </w:rPr>
              <w:t>TRIMESTRE 4</w:t>
            </w:r>
          </w:p>
        </w:tc>
        <w:tc>
          <w:tcPr>
            <w:tcW w:w="673" w:type="dxa"/>
            <w:shd w:val="clear" w:color="auto" w:fill="C6EFCE"/>
            <w:vAlign w:val="center"/>
          </w:tcPr>
          <w:p w14:paraId="109F3F43" w14:textId="77777777" w:rsidR="00025543" w:rsidRDefault="007E3A2F">
            <w:pPr>
              <w:pStyle w:val="P68B1DB1-Normal15"/>
              <w:spacing w:after="0" w:line="240" w:lineRule="auto"/>
              <w:jc w:val="center"/>
              <w:rPr>
                <w:noProof/>
              </w:rPr>
            </w:pPr>
            <w:r>
              <w:rPr>
                <w:noProof/>
              </w:rPr>
              <w:t>2022</w:t>
            </w:r>
          </w:p>
        </w:tc>
        <w:tc>
          <w:tcPr>
            <w:tcW w:w="4401" w:type="dxa"/>
            <w:shd w:val="clear" w:color="auto" w:fill="C6EFCE"/>
            <w:vAlign w:val="center"/>
          </w:tcPr>
          <w:p w14:paraId="484AAE14" w14:textId="77777777" w:rsidR="00025543" w:rsidRDefault="007E3A2F">
            <w:pPr>
              <w:pStyle w:val="P68B1DB1-Normal15"/>
              <w:spacing w:after="0" w:line="240" w:lineRule="auto"/>
              <w:rPr>
                <w:noProof/>
              </w:rPr>
            </w:pPr>
            <w:r>
              <w:rPr>
                <w:noProof/>
              </w:rPr>
              <w:t xml:space="preserve">Notification de tous les marchés attribués pour des projets visant à protéger la ville de Brno contre les sécheresses et les inondations. </w:t>
            </w:r>
          </w:p>
        </w:tc>
      </w:tr>
      <w:tr w:rsidR="00025543" w14:paraId="015F9496" w14:textId="77777777">
        <w:trPr>
          <w:trHeight w:val="320"/>
        </w:trPr>
        <w:tc>
          <w:tcPr>
            <w:tcW w:w="674" w:type="dxa"/>
            <w:shd w:val="clear" w:color="auto" w:fill="C6EFCE"/>
            <w:vAlign w:val="center"/>
          </w:tcPr>
          <w:p w14:paraId="00C554A0" w14:textId="77777777" w:rsidR="00025543" w:rsidRDefault="007E3A2F">
            <w:pPr>
              <w:pStyle w:val="P68B1DB1-Normal15"/>
              <w:spacing w:after="0" w:line="240" w:lineRule="auto"/>
              <w:jc w:val="center"/>
              <w:rPr>
                <w:noProof/>
              </w:rPr>
            </w:pPr>
            <w:r>
              <w:rPr>
                <w:noProof/>
              </w:rPr>
              <w:t>162</w:t>
            </w:r>
          </w:p>
        </w:tc>
        <w:tc>
          <w:tcPr>
            <w:tcW w:w="1343" w:type="dxa"/>
            <w:shd w:val="clear" w:color="auto" w:fill="C6EFCE"/>
            <w:vAlign w:val="center"/>
          </w:tcPr>
          <w:p w14:paraId="2D4C1BB9" w14:textId="77777777" w:rsidR="00025543" w:rsidRDefault="007E3A2F">
            <w:pPr>
              <w:pStyle w:val="P68B1DB1-Normal15"/>
              <w:spacing w:after="0" w:line="240" w:lineRule="auto"/>
              <w:rPr>
                <w:noProof/>
                <w:highlight w:val="yellow"/>
              </w:rPr>
            </w:pPr>
            <w:r>
              <w:rPr>
                <w:noProof/>
              </w:rPr>
              <w:t>Investissement 1: Protection contre les sécheresses et les inondations de la ville de Brno</w:t>
            </w:r>
          </w:p>
        </w:tc>
        <w:tc>
          <w:tcPr>
            <w:tcW w:w="1134" w:type="dxa"/>
            <w:shd w:val="clear" w:color="auto" w:fill="C6EFCE"/>
            <w:vAlign w:val="center"/>
          </w:tcPr>
          <w:p w14:paraId="5BD05861" w14:textId="1957ED80" w:rsidR="00025543" w:rsidRDefault="007E3A2F">
            <w:pPr>
              <w:pStyle w:val="P68B1DB1-Normal15"/>
              <w:spacing w:after="0" w:line="240" w:lineRule="auto"/>
              <w:rPr>
                <w:noProof/>
              </w:rPr>
            </w:pPr>
            <w:r>
              <w:rPr>
                <w:noProof/>
              </w:rPr>
              <w:t>Étapes</w:t>
            </w:r>
          </w:p>
        </w:tc>
        <w:tc>
          <w:tcPr>
            <w:tcW w:w="1343" w:type="dxa"/>
            <w:shd w:val="clear" w:color="auto" w:fill="C6EFCE"/>
            <w:vAlign w:val="center"/>
          </w:tcPr>
          <w:p w14:paraId="62DB7437" w14:textId="77777777" w:rsidR="00025543" w:rsidRDefault="007E3A2F">
            <w:pPr>
              <w:pStyle w:val="P68B1DB1-Normal15"/>
              <w:spacing w:after="0" w:line="240" w:lineRule="auto"/>
              <w:rPr>
                <w:noProof/>
              </w:rPr>
            </w:pPr>
            <w:r>
              <w:rPr>
                <w:noProof/>
              </w:rPr>
              <w:t>Achèvement des mesures de protection contre les inondations fondées sur la nature pour protéger la ville de Brno</w:t>
            </w:r>
          </w:p>
        </w:tc>
        <w:tc>
          <w:tcPr>
            <w:tcW w:w="1209" w:type="dxa"/>
            <w:shd w:val="clear" w:color="auto" w:fill="C6EFCE"/>
            <w:vAlign w:val="center"/>
          </w:tcPr>
          <w:p w14:paraId="18064497" w14:textId="721C479E" w:rsidR="00025543" w:rsidRDefault="007E3A2F">
            <w:pPr>
              <w:pStyle w:val="P68B1DB1-Normal15"/>
              <w:spacing w:after="0" w:line="240" w:lineRule="auto"/>
              <w:rPr>
                <w:noProof/>
              </w:rPr>
            </w:pPr>
            <w:r>
              <w:rPr>
                <w:noProof/>
              </w:rPr>
              <w:t>Achèvement du projet</w:t>
            </w:r>
          </w:p>
        </w:tc>
        <w:tc>
          <w:tcPr>
            <w:tcW w:w="945" w:type="dxa"/>
            <w:shd w:val="clear" w:color="auto" w:fill="C6EFCE"/>
            <w:vAlign w:val="center"/>
          </w:tcPr>
          <w:p w14:paraId="438209D4" w14:textId="5D3F0EFB" w:rsidR="00025543" w:rsidRDefault="00025543">
            <w:pPr>
              <w:spacing w:after="0" w:line="240" w:lineRule="auto"/>
              <w:rPr>
                <w:rFonts w:eastAsia="Times New Roman"/>
                <w:noProof/>
                <w:color w:val="004300"/>
                <w:sz w:val="18"/>
              </w:rPr>
            </w:pPr>
          </w:p>
        </w:tc>
        <w:tc>
          <w:tcPr>
            <w:tcW w:w="1024" w:type="dxa"/>
            <w:shd w:val="clear" w:color="auto" w:fill="C6EFCE"/>
            <w:vAlign w:val="center"/>
          </w:tcPr>
          <w:p w14:paraId="6EBFF3F6" w14:textId="572E97F6" w:rsidR="00025543" w:rsidRDefault="00025543">
            <w:pPr>
              <w:spacing w:after="0" w:line="240" w:lineRule="auto"/>
              <w:jc w:val="center"/>
              <w:rPr>
                <w:rFonts w:eastAsia="Times New Roman"/>
                <w:noProof/>
                <w:color w:val="004300"/>
                <w:sz w:val="18"/>
              </w:rPr>
            </w:pPr>
          </w:p>
        </w:tc>
        <w:tc>
          <w:tcPr>
            <w:tcW w:w="816" w:type="dxa"/>
            <w:shd w:val="clear" w:color="auto" w:fill="C6EFCE"/>
            <w:vAlign w:val="center"/>
          </w:tcPr>
          <w:p w14:paraId="54FF1E6D" w14:textId="6121189F" w:rsidR="00025543" w:rsidRDefault="00025543">
            <w:pPr>
              <w:spacing w:after="0" w:line="240" w:lineRule="auto"/>
              <w:jc w:val="center"/>
              <w:rPr>
                <w:rFonts w:eastAsia="Times New Roman"/>
                <w:noProof/>
                <w:color w:val="004300"/>
                <w:sz w:val="18"/>
              </w:rPr>
            </w:pPr>
          </w:p>
        </w:tc>
        <w:tc>
          <w:tcPr>
            <w:tcW w:w="1077" w:type="dxa"/>
            <w:shd w:val="clear" w:color="auto" w:fill="C6EFCE"/>
            <w:vAlign w:val="center"/>
          </w:tcPr>
          <w:p w14:paraId="5A3F1164" w14:textId="77777777" w:rsidR="00025543" w:rsidRDefault="007E3A2F">
            <w:pPr>
              <w:pStyle w:val="P68B1DB1-Normal15"/>
              <w:spacing w:after="0" w:line="240" w:lineRule="auto"/>
              <w:jc w:val="center"/>
              <w:rPr>
                <w:noProof/>
              </w:rPr>
            </w:pPr>
            <w:r>
              <w:rPr>
                <w:noProof/>
              </w:rPr>
              <w:t>TRIMESTRE 4</w:t>
            </w:r>
          </w:p>
        </w:tc>
        <w:tc>
          <w:tcPr>
            <w:tcW w:w="673" w:type="dxa"/>
            <w:shd w:val="clear" w:color="auto" w:fill="C6EFCE"/>
            <w:vAlign w:val="center"/>
          </w:tcPr>
          <w:p w14:paraId="408B0258" w14:textId="77777777" w:rsidR="00025543" w:rsidRDefault="007E3A2F">
            <w:pPr>
              <w:pStyle w:val="P68B1DB1-Normal15"/>
              <w:spacing w:after="0" w:line="240" w:lineRule="auto"/>
              <w:jc w:val="center"/>
              <w:rPr>
                <w:noProof/>
              </w:rPr>
            </w:pPr>
            <w:r>
              <w:rPr>
                <w:noProof/>
              </w:rPr>
              <w:t>2025</w:t>
            </w:r>
          </w:p>
        </w:tc>
        <w:tc>
          <w:tcPr>
            <w:tcW w:w="4401" w:type="dxa"/>
            <w:shd w:val="clear" w:color="auto" w:fill="C6EFCE"/>
            <w:vAlign w:val="center"/>
          </w:tcPr>
          <w:p w14:paraId="2FE5BBB8" w14:textId="77777777" w:rsidR="00025543" w:rsidRDefault="007E3A2F">
            <w:pPr>
              <w:pStyle w:val="P68B1DB1-Normal15"/>
              <w:spacing w:after="0" w:line="240" w:lineRule="auto"/>
              <w:rPr>
                <w:noProof/>
                <w:highlight w:val="yellow"/>
              </w:rPr>
            </w:pPr>
            <w:r>
              <w:rPr>
                <w:noProof/>
              </w:rPr>
              <w:t xml:space="preserve">La mise en œuvre du projet conduira à la création d’un ensemble de mesures de protection contre les inondations proches de la nature sur le tronçon de la Svratka. </w:t>
            </w:r>
          </w:p>
          <w:p w14:paraId="1B5F3BD7" w14:textId="270D6548" w:rsidR="00025543" w:rsidRDefault="007E3A2F">
            <w:pPr>
              <w:pStyle w:val="P68B1DB1-Normal15"/>
              <w:spacing w:after="0" w:line="240" w:lineRule="auto"/>
              <w:rPr>
                <w:noProof/>
              </w:rPr>
            </w:pPr>
            <w:r>
              <w:rPr>
                <w:noProof/>
              </w:rPr>
              <w:t>Les mesures de protection contre les inondations comprennent:</w:t>
            </w:r>
          </w:p>
          <w:p w14:paraId="2F877136" w14:textId="77777777" w:rsidR="00025543" w:rsidRDefault="007E3A2F">
            <w:pPr>
              <w:pStyle w:val="P68B1DB1-Normal15"/>
              <w:numPr>
                <w:ilvl w:val="0"/>
                <w:numId w:val="177"/>
              </w:numPr>
              <w:pBdr>
                <w:top w:val="nil"/>
                <w:left w:val="nil"/>
                <w:bottom w:val="nil"/>
                <w:right w:val="nil"/>
                <w:between w:val="nil"/>
              </w:pBdr>
              <w:spacing w:after="0" w:line="259" w:lineRule="auto"/>
              <w:jc w:val="both"/>
              <w:rPr>
                <w:noProof/>
              </w:rPr>
            </w:pPr>
            <w:r>
              <w:rPr>
                <w:noProof/>
              </w:rPr>
              <w:t>Amélioration de la morphologie du lit de cours d’eau</w:t>
            </w:r>
          </w:p>
          <w:p w14:paraId="7A0EF0BE" w14:textId="77777777" w:rsidR="00025543" w:rsidRDefault="007E3A2F">
            <w:pPr>
              <w:pStyle w:val="P68B1DB1-Normal15"/>
              <w:numPr>
                <w:ilvl w:val="0"/>
                <w:numId w:val="177"/>
              </w:numPr>
              <w:pBdr>
                <w:top w:val="nil"/>
                <w:left w:val="nil"/>
                <w:bottom w:val="nil"/>
                <w:right w:val="nil"/>
                <w:between w:val="nil"/>
              </w:pBdr>
              <w:spacing w:after="0" w:line="259" w:lineRule="auto"/>
              <w:jc w:val="both"/>
              <w:rPr>
                <w:noProof/>
              </w:rPr>
            </w:pPr>
            <w:r>
              <w:rPr>
                <w:noProof/>
              </w:rPr>
              <w:t xml:space="preserve">Adaptation des berges de terres à des pentes plus légères et plus variables et à leur stabilisation éventuelle. </w:t>
            </w:r>
          </w:p>
          <w:p w14:paraId="2A3697D8" w14:textId="77777777" w:rsidR="00025543" w:rsidRDefault="007E3A2F">
            <w:pPr>
              <w:pStyle w:val="P68B1DB1-Normal15"/>
              <w:numPr>
                <w:ilvl w:val="0"/>
                <w:numId w:val="177"/>
              </w:numPr>
              <w:pBdr>
                <w:top w:val="nil"/>
                <w:left w:val="nil"/>
                <w:bottom w:val="nil"/>
                <w:right w:val="nil"/>
                <w:between w:val="nil"/>
              </w:pBdr>
              <w:spacing w:after="0" w:line="259" w:lineRule="auto"/>
              <w:jc w:val="both"/>
              <w:rPr>
                <w:noProof/>
              </w:rPr>
            </w:pPr>
            <w:r>
              <w:rPr>
                <w:noProof/>
              </w:rPr>
              <w:t>Plantation d’arbres d’accompagnement avec enherbage des rives et des environs du cours d’eau.</w:t>
            </w:r>
          </w:p>
          <w:p w14:paraId="0B6C05D3" w14:textId="4E4A4C74" w:rsidR="00025543" w:rsidRDefault="007E3A2F">
            <w:pPr>
              <w:pStyle w:val="P68B1DB1-Normal16"/>
              <w:numPr>
                <w:ilvl w:val="0"/>
                <w:numId w:val="177"/>
              </w:numPr>
              <w:pBdr>
                <w:top w:val="nil"/>
                <w:left w:val="nil"/>
                <w:bottom w:val="nil"/>
                <w:right w:val="nil"/>
                <w:between w:val="nil"/>
              </w:pBdr>
              <w:spacing w:after="0" w:line="259" w:lineRule="auto"/>
              <w:jc w:val="both"/>
              <w:rPr>
                <w:rFonts w:eastAsia="Times New Roman"/>
                <w:noProof/>
              </w:rPr>
            </w:pPr>
            <w:r>
              <w:rPr>
                <w:rFonts w:eastAsia="Times New Roman"/>
                <w:noProof/>
              </w:rPr>
              <w:t>Ouverture des plaines inondables aux inondations et à leurs modifications (par exemple, construction d’une zone humide). La mesure de protection contre les inondations comprend des solutions fondées sur la nature</w:t>
            </w:r>
            <w:r>
              <w:rPr>
                <w:noProof/>
              </w:rPr>
              <w:t xml:space="preserve"> </w:t>
            </w:r>
            <w:r>
              <w:rPr>
                <w:rFonts w:eastAsia="Times New Roman"/>
                <w:noProof/>
              </w:rPr>
              <w:t>et est conforme au plan d’action national pour l’adaptation au changement climatique et à la politique nationale de l’environnement en République tchèque 2030 en vue de 2050.</w:t>
            </w:r>
          </w:p>
          <w:p w14:paraId="4A2826A6" w14:textId="77777777" w:rsidR="00025543" w:rsidRDefault="007E3A2F">
            <w:pPr>
              <w:pStyle w:val="P68B1DB1-Normal15"/>
              <w:numPr>
                <w:ilvl w:val="0"/>
                <w:numId w:val="177"/>
              </w:numPr>
              <w:pBdr>
                <w:top w:val="nil"/>
                <w:left w:val="nil"/>
                <w:bottom w:val="nil"/>
                <w:right w:val="nil"/>
                <w:between w:val="nil"/>
              </w:pBdr>
              <w:spacing w:after="0" w:line="259" w:lineRule="auto"/>
              <w:jc w:val="both"/>
              <w:rPr>
                <w:noProof/>
              </w:rPr>
            </w:pPr>
            <w:r>
              <w:rPr>
                <w:noProof/>
              </w:rPr>
              <w:t>Les mesures d’accompagnement qui ne peuvent être évitées par aucun moyen et qui sont strictement nécessaires à la mise en œuvre des mesures susmentionnées.</w:t>
            </w:r>
          </w:p>
        </w:tc>
      </w:tr>
      <w:tr w:rsidR="00025543" w14:paraId="108C2778" w14:textId="77777777">
        <w:trPr>
          <w:trHeight w:val="320"/>
        </w:trPr>
        <w:tc>
          <w:tcPr>
            <w:tcW w:w="674" w:type="dxa"/>
            <w:shd w:val="clear" w:color="auto" w:fill="C6EFCE"/>
            <w:vAlign w:val="center"/>
          </w:tcPr>
          <w:p w14:paraId="4AD3EFA5" w14:textId="77777777" w:rsidR="00025543" w:rsidRDefault="007E3A2F">
            <w:pPr>
              <w:pStyle w:val="P68B1DB1-Normal15"/>
              <w:spacing w:after="0" w:line="240" w:lineRule="auto"/>
              <w:jc w:val="center"/>
              <w:rPr>
                <w:noProof/>
              </w:rPr>
            </w:pPr>
            <w:r>
              <w:rPr>
                <w:noProof/>
              </w:rPr>
              <w:t>163</w:t>
            </w:r>
          </w:p>
        </w:tc>
        <w:tc>
          <w:tcPr>
            <w:tcW w:w="1343" w:type="dxa"/>
            <w:shd w:val="clear" w:color="auto" w:fill="C6EFCE"/>
            <w:vAlign w:val="center"/>
          </w:tcPr>
          <w:p w14:paraId="3F9D6CC7" w14:textId="77777777" w:rsidR="00025543" w:rsidRDefault="007E3A2F">
            <w:pPr>
              <w:pStyle w:val="P68B1DB1-Normal15"/>
              <w:spacing w:after="0" w:line="240" w:lineRule="auto"/>
              <w:rPr>
                <w:noProof/>
              </w:rPr>
            </w:pPr>
            <w:r>
              <w:rPr>
                <w:noProof/>
              </w:rPr>
              <w:t>Investissement 2: Gestion des eaux de pluie dans les agglomérations urbaines</w:t>
            </w:r>
          </w:p>
        </w:tc>
        <w:tc>
          <w:tcPr>
            <w:tcW w:w="1134" w:type="dxa"/>
            <w:shd w:val="clear" w:color="auto" w:fill="C6EFCE"/>
            <w:vAlign w:val="center"/>
          </w:tcPr>
          <w:p w14:paraId="1562D973" w14:textId="77777777" w:rsidR="00025543" w:rsidRDefault="007E3A2F">
            <w:pPr>
              <w:pStyle w:val="P68B1DB1-Normal15"/>
              <w:spacing w:after="0" w:line="240" w:lineRule="auto"/>
              <w:rPr>
                <w:noProof/>
              </w:rPr>
            </w:pPr>
            <w:r>
              <w:rPr>
                <w:noProof/>
              </w:rPr>
              <w:t> Cible</w:t>
            </w:r>
          </w:p>
        </w:tc>
        <w:tc>
          <w:tcPr>
            <w:tcW w:w="1343" w:type="dxa"/>
            <w:shd w:val="clear" w:color="auto" w:fill="C6EFCE"/>
            <w:vAlign w:val="center"/>
          </w:tcPr>
          <w:p w14:paraId="0C3CCB60" w14:textId="77777777" w:rsidR="00025543" w:rsidRDefault="007E3A2F">
            <w:pPr>
              <w:pStyle w:val="P68B1DB1-Normal15"/>
              <w:spacing w:after="0" w:line="240" w:lineRule="auto"/>
              <w:rPr>
                <w:noProof/>
              </w:rPr>
            </w:pPr>
            <w:r>
              <w:rPr>
                <w:noProof/>
              </w:rPr>
              <w:t xml:space="preserve">Augmentation du volume des eaux de pluie retenues par les mesures de gestion des eaux de pluie dans les zones urbaines </w:t>
            </w:r>
          </w:p>
        </w:tc>
        <w:tc>
          <w:tcPr>
            <w:tcW w:w="1209" w:type="dxa"/>
            <w:shd w:val="clear" w:color="auto" w:fill="C6EFCE"/>
            <w:vAlign w:val="center"/>
          </w:tcPr>
          <w:p w14:paraId="1352D701" w14:textId="77777777" w:rsidR="00025543" w:rsidRDefault="007E3A2F">
            <w:pPr>
              <w:pStyle w:val="P68B1DB1-Normal15"/>
              <w:spacing w:after="0" w:line="240" w:lineRule="auto"/>
              <w:rPr>
                <w:noProof/>
              </w:rPr>
            </w:pPr>
            <w:r>
              <w:rPr>
                <w:noProof/>
              </w:rPr>
              <w:t> </w:t>
            </w:r>
          </w:p>
        </w:tc>
        <w:tc>
          <w:tcPr>
            <w:tcW w:w="945" w:type="dxa"/>
            <w:shd w:val="clear" w:color="auto" w:fill="C6EFCE"/>
            <w:vAlign w:val="center"/>
          </w:tcPr>
          <w:p w14:paraId="6C0EEC85" w14:textId="77777777" w:rsidR="00025543" w:rsidRDefault="007E3A2F">
            <w:pPr>
              <w:pStyle w:val="P68B1DB1-Normal15"/>
              <w:spacing w:after="0" w:line="240" w:lineRule="auto"/>
              <w:rPr>
                <w:noProof/>
              </w:rPr>
            </w:pPr>
            <w:r>
              <w:rPr>
                <w:noProof/>
              </w:rPr>
              <w:t>Volume de m</w:t>
            </w:r>
            <w:r>
              <w:rPr>
                <w:noProof/>
                <w:vertAlign w:val="superscript"/>
              </w:rPr>
              <w:t>3</w:t>
            </w:r>
            <w:r>
              <w:rPr>
                <w:noProof/>
              </w:rPr>
              <w:t xml:space="preserve"> d’eaux pluviales retenues</w:t>
            </w:r>
          </w:p>
        </w:tc>
        <w:tc>
          <w:tcPr>
            <w:tcW w:w="1024" w:type="dxa"/>
            <w:shd w:val="clear" w:color="auto" w:fill="C6EFCE"/>
            <w:vAlign w:val="center"/>
          </w:tcPr>
          <w:p w14:paraId="13949C23" w14:textId="77777777" w:rsidR="00025543" w:rsidRDefault="007E3A2F">
            <w:pPr>
              <w:pStyle w:val="P68B1DB1-Normal15"/>
              <w:spacing w:after="0" w:line="240" w:lineRule="auto"/>
              <w:jc w:val="center"/>
              <w:rPr>
                <w:noProof/>
              </w:rPr>
            </w:pPr>
            <w:r>
              <w:rPr>
                <w:noProof/>
              </w:rPr>
              <w:t>0</w:t>
            </w:r>
          </w:p>
        </w:tc>
        <w:tc>
          <w:tcPr>
            <w:tcW w:w="816" w:type="dxa"/>
            <w:shd w:val="clear" w:color="auto" w:fill="C6EFCE"/>
            <w:vAlign w:val="center"/>
          </w:tcPr>
          <w:p w14:paraId="47369AE5" w14:textId="4510F5BA" w:rsidR="00025543" w:rsidRDefault="007E3A2F">
            <w:pPr>
              <w:pStyle w:val="P68B1DB1-Normal15"/>
              <w:spacing w:after="0" w:line="240" w:lineRule="auto"/>
              <w:jc w:val="center"/>
              <w:rPr>
                <w:noProof/>
              </w:rPr>
            </w:pPr>
            <w:r>
              <w:rPr>
                <w:noProof/>
              </w:rPr>
              <w:t xml:space="preserve"> 20.000</w:t>
            </w:r>
          </w:p>
        </w:tc>
        <w:tc>
          <w:tcPr>
            <w:tcW w:w="1077" w:type="dxa"/>
            <w:shd w:val="clear" w:color="auto" w:fill="C6EFCE"/>
            <w:vAlign w:val="center"/>
          </w:tcPr>
          <w:p w14:paraId="14E1152A" w14:textId="77777777" w:rsidR="00025543" w:rsidRDefault="007E3A2F">
            <w:pPr>
              <w:pStyle w:val="P68B1DB1-Normal15"/>
              <w:spacing w:after="0" w:line="240" w:lineRule="auto"/>
              <w:jc w:val="center"/>
              <w:rPr>
                <w:noProof/>
              </w:rPr>
            </w:pPr>
            <w:r>
              <w:rPr>
                <w:noProof/>
              </w:rPr>
              <w:t>TRIMESTRE 4</w:t>
            </w:r>
          </w:p>
        </w:tc>
        <w:tc>
          <w:tcPr>
            <w:tcW w:w="673" w:type="dxa"/>
            <w:shd w:val="clear" w:color="auto" w:fill="C6EFCE"/>
            <w:vAlign w:val="center"/>
          </w:tcPr>
          <w:p w14:paraId="19F5BB29" w14:textId="77777777" w:rsidR="00025543" w:rsidRDefault="007E3A2F">
            <w:pPr>
              <w:pStyle w:val="P68B1DB1-Normal15"/>
              <w:spacing w:after="0" w:line="240" w:lineRule="auto"/>
              <w:jc w:val="center"/>
              <w:rPr>
                <w:noProof/>
              </w:rPr>
            </w:pPr>
            <w:r>
              <w:rPr>
                <w:noProof/>
              </w:rPr>
              <w:t>2025</w:t>
            </w:r>
          </w:p>
        </w:tc>
        <w:tc>
          <w:tcPr>
            <w:tcW w:w="4401" w:type="dxa"/>
            <w:shd w:val="clear" w:color="auto" w:fill="C6EFCE"/>
            <w:vAlign w:val="center"/>
          </w:tcPr>
          <w:p w14:paraId="0319D1A4" w14:textId="77777777" w:rsidR="00025543" w:rsidRDefault="007E3A2F">
            <w:pPr>
              <w:pStyle w:val="P68B1DB1-Normal15"/>
              <w:spacing w:after="0" w:line="240" w:lineRule="auto"/>
              <w:jc w:val="both"/>
              <w:rPr>
                <w:noProof/>
              </w:rPr>
            </w:pPr>
            <w:r>
              <w:rPr>
                <w:noProof/>
              </w:rPr>
              <w:t xml:space="preserve">Rapport d’achèvement soumis par un organisme indépendant. Cette mesure comprend des mesures d’absorption et de rétention de surface en vert, des jardins de pluie, des dispositifs souterrains de rétention des eaux de pluie, des installations de rétention superficielles et souterraines. </w:t>
            </w:r>
          </w:p>
        </w:tc>
      </w:tr>
      <w:tr w:rsidR="00025543" w14:paraId="48E831F0" w14:textId="77777777">
        <w:trPr>
          <w:trHeight w:val="320"/>
        </w:trPr>
        <w:tc>
          <w:tcPr>
            <w:tcW w:w="674" w:type="dxa"/>
            <w:shd w:val="clear" w:color="auto" w:fill="C6EFCE"/>
            <w:vAlign w:val="center"/>
          </w:tcPr>
          <w:p w14:paraId="6BD2E47C" w14:textId="77777777" w:rsidR="00025543" w:rsidRDefault="007E3A2F">
            <w:pPr>
              <w:pStyle w:val="P68B1DB1-Normal15"/>
              <w:spacing w:after="0" w:line="240" w:lineRule="auto"/>
              <w:jc w:val="center"/>
              <w:rPr>
                <w:noProof/>
              </w:rPr>
            </w:pPr>
            <w:r>
              <w:rPr>
                <w:noProof/>
              </w:rPr>
              <w:t>164</w:t>
            </w:r>
          </w:p>
        </w:tc>
        <w:tc>
          <w:tcPr>
            <w:tcW w:w="1343" w:type="dxa"/>
            <w:shd w:val="clear" w:color="auto" w:fill="C6EFCE"/>
            <w:vAlign w:val="center"/>
          </w:tcPr>
          <w:p w14:paraId="14945B3E" w14:textId="77777777" w:rsidR="00025543" w:rsidRDefault="007E3A2F">
            <w:pPr>
              <w:pStyle w:val="P68B1DB1-Normal15"/>
              <w:spacing w:after="0" w:line="240" w:lineRule="auto"/>
              <w:rPr>
                <w:noProof/>
              </w:rPr>
            </w:pPr>
            <w:r>
              <w:rPr>
                <w:noProof/>
              </w:rPr>
              <w:t xml:space="preserve">Investissement 3: Zones protégées, y compris les sites Natura 2000 et les espèces végétales et animales protégées </w:t>
            </w:r>
          </w:p>
        </w:tc>
        <w:tc>
          <w:tcPr>
            <w:tcW w:w="1134" w:type="dxa"/>
            <w:shd w:val="clear" w:color="auto" w:fill="C6EFCE"/>
            <w:vAlign w:val="center"/>
          </w:tcPr>
          <w:p w14:paraId="1A7D061C" w14:textId="77777777" w:rsidR="00025543" w:rsidRDefault="007E3A2F">
            <w:pPr>
              <w:pStyle w:val="P68B1DB1-Normal15"/>
              <w:spacing w:after="0" w:line="240" w:lineRule="auto"/>
              <w:rPr>
                <w:noProof/>
              </w:rPr>
            </w:pPr>
            <w:r>
              <w:rPr>
                <w:noProof/>
              </w:rPr>
              <w:t xml:space="preserve"> Cible </w:t>
            </w:r>
          </w:p>
        </w:tc>
        <w:tc>
          <w:tcPr>
            <w:tcW w:w="1343" w:type="dxa"/>
            <w:shd w:val="clear" w:color="auto" w:fill="C6EFCE"/>
            <w:vAlign w:val="center"/>
          </w:tcPr>
          <w:p w14:paraId="49601692" w14:textId="77777777" w:rsidR="00025543" w:rsidRDefault="007E3A2F">
            <w:pPr>
              <w:pStyle w:val="P68B1DB1-Normal15"/>
              <w:spacing w:after="0" w:line="240" w:lineRule="auto"/>
              <w:rPr>
                <w:noProof/>
                <w:highlight w:val="yellow"/>
              </w:rPr>
            </w:pPr>
            <w:r>
              <w:rPr>
                <w:noProof/>
              </w:rPr>
              <w:t xml:space="preserve">Achèvement des projets visant à la conservation de zones protégées, y compris des sites Natura 2000, et d’espèces végétales et animales protégées. </w:t>
            </w:r>
          </w:p>
        </w:tc>
        <w:tc>
          <w:tcPr>
            <w:tcW w:w="1209" w:type="dxa"/>
            <w:shd w:val="clear" w:color="auto" w:fill="C6EFCE"/>
            <w:vAlign w:val="center"/>
          </w:tcPr>
          <w:p w14:paraId="064EB3F0" w14:textId="77777777" w:rsidR="00025543" w:rsidRDefault="007E3A2F">
            <w:pPr>
              <w:pStyle w:val="P68B1DB1-Normal15"/>
              <w:spacing w:after="0" w:line="240" w:lineRule="auto"/>
              <w:rPr>
                <w:noProof/>
              </w:rPr>
            </w:pPr>
            <w:r>
              <w:rPr>
                <w:noProof/>
              </w:rPr>
              <w:t> </w:t>
            </w:r>
          </w:p>
        </w:tc>
        <w:tc>
          <w:tcPr>
            <w:tcW w:w="945" w:type="dxa"/>
            <w:shd w:val="clear" w:color="auto" w:fill="C6EFCE"/>
            <w:vAlign w:val="center"/>
          </w:tcPr>
          <w:p w14:paraId="1459A9F3" w14:textId="77777777" w:rsidR="00025543" w:rsidRDefault="007E3A2F">
            <w:pPr>
              <w:pStyle w:val="P68B1DB1-Normal15"/>
              <w:spacing w:after="0" w:line="240" w:lineRule="auto"/>
              <w:rPr>
                <w:noProof/>
              </w:rPr>
            </w:pPr>
            <w:r>
              <w:rPr>
                <w:noProof/>
              </w:rPr>
              <w:t>Hectares</w:t>
            </w:r>
          </w:p>
        </w:tc>
        <w:tc>
          <w:tcPr>
            <w:tcW w:w="1024" w:type="dxa"/>
            <w:shd w:val="clear" w:color="auto" w:fill="C6EFCE"/>
            <w:vAlign w:val="center"/>
          </w:tcPr>
          <w:p w14:paraId="4ED985C0" w14:textId="77777777" w:rsidR="00025543" w:rsidRDefault="007E3A2F">
            <w:pPr>
              <w:pStyle w:val="P68B1DB1-Normal15"/>
              <w:spacing w:after="0" w:line="240" w:lineRule="auto"/>
              <w:jc w:val="center"/>
              <w:rPr>
                <w:noProof/>
              </w:rPr>
            </w:pPr>
            <w:r>
              <w:rPr>
                <w:noProof/>
              </w:rPr>
              <w:t>0</w:t>
            </w:r>
          </w:p>
        </w:tc>
        <w:tc>
          <w:tcPr>
            <w:tcW w:w="816" w:type="dxa"/>
            <w:shd w:val="clear" w:color="auto" w:fill="C6EFCE"/>
            <w:vAlign w:val="center"/>
          </w:tcPr>
          <w:p w14:paraId="09ECF29E" w14:textId="77777777" w:rsidR="00025543" w:rsidRDefault="007E3A2F">
            <w:pPr>
              <w:pStyle w:val="P68B1DB1-Normal15"/>
              <w:spacing w:after="0" w:line="240" w:lineRule="auto"/>
              <w:jc w:val="center"/>
              <w:rPr>
                <w:noProof/>
              </w:rPr>
            </w:pPr>
            <w:r>
              <w:rPr>
                <w:noProof/>
              </w:rPr>
              <w:t>2 625</w:t>
            </w:r>
          </w:p>
        </w:tc>
        <w:tc>
          <w:tcPr>
            <w:tcW w:w="1077" w:type="dxa"/>
            <w:shd w:val="clear" w:color="auto" w:fill="C6EFCE"/>
            <w:vAlign w:val="center"/>
          </w:tcPr>
          <w:p w14:paraId="62243F09" w14:textId="77777777" w:rsidR="00025543" w:rsidRDefault="007E3A2F">
            <w:pPr>
              <w:pStyle w:val="P68B1DB1-Normal15"/>
              <w:spacing w:after="0" w:line="240" w:lineRule="auto"/>
              <w:jc w:val="center"/>
              <w:rPr>
                <w:noProof/>
              </w:rPr>
            </w:pPr>
            <w:r>
              <w:rPr>
                <w:noProof/>
              </w:rPr>
              <w:t>TRIMESTRE 4</w:t>
            </w:r>
          </w:p>
        </w:tc>
        <w:tc>
          <w:tcPr>
            <w:tcW w:w="673" w:type="dxa"/>
            <w:shd w:val="clear" w:color="auto" w:fill="C6EFCE"/>
            <w:vAlign w:val="center"/>
          </w:tcPr>
          <w:p w14:paraId="2393197B" w14:textId="77777777" w:rsidR="00025543" w:rsidRDefault="007E3A2F">
            <w:pPr>
              <w:pStyle w:val="P68B1DB1-Normal15"/>
              <w:spacing w:after="0" w:line="240" w:lineRule="auto"/>
              <w:jc w:val="center"/>
              <w:rPr>
                <w:noProof/>
              </w:rPr>
            </w:pPr>
            <w:r>
              <w:rPr>
                <w:noProof/>
              </w:rPr>
              <w:t>2025</w:t>
            </w:r>
          </w:p>
        </w:tc>
        <w:tc>
          <w:tcPr>
            <w:tcW w:w="4401" w:type="dxa"/>
            <w:shd w:val="clear" w:color="auto" w:fill="C6EFCE"/>
            <w:vAlign w:val="center"/>
          </w:tcPr>
          <w:p w14:paraId="5D455C06" w14:textId="2D8BFD3C" w:rsidR="00025543" w:rsidRDefault="007E3A2F">
            <w:pPr>
              <w:spacing w:before="0" w:after="0" w:line="240" w:lineRule="auto"/>
              <w:rPr>
                <w:noProof/>
              </w:rPr>
            </w:pPr>
            <w:r>
              <w:rPr>
                <w:rFonts w:eastAsia="Times New Roman"/>
                <w:noProof/>
                <w:color w:val="004300"/>
                <w:sz w:val="18"/>
              </w:rPr>
              <w:t xml:space="preserve">Rapport d’achèvement présenté par le ministère de l’environnement. L’investissement atteint un état de conservation favorable en mettant en œuvre les mesures de conservation prévues dans les documents de gestion de la nature. Il consiste en la mise en œuvre de mesures définies dans les plans de gestion pertinents afin d’améliorer l’état de la nature et du paysage. Les documents de gestion pour la restauration ou la déclaration des sites Natura 2000 ainsi que des sites protégés au niveau national devraient être complétés. L’investissement doit être réalisé tant dans les sites Natura 2000, en particulier dans les zones protégées qu’en dehors des zones susmentionnées, et couvre au moins 2 625 ha.  </w:t>
            </w:r>
            <w:r>
              <w:rPr>
                <w:noProof/>
              </w:rPr>
              <w:t xml:space="preserve"> </w:t>
            </w:r>
          </w:p>
        </w:tc>
      </w:tr>
      <w:tr w:rsidR="00025543" w14:paraId="409E7163" w14:textId="77777777">
        <w:trPr>
          <w:trHeight w:val="320"/>
        </w:trPr>
        <w:tc>
          <w:tcPr>
            <w:tcW w:w="674" w:type="dxa"/>
            <w:shd w:val="clear" w:color="auto" w:fill="C6EFCE"/>
            <w:vAlign w:val="center"/>
          </w:tcPr>
          <w:p w14:paraId="0ED0A346" w14:textId="77777777" w:rsidR="00025543" w:rsidRDefault="007E3A2F">
            <w:pPr>
              <w:pStyle w:val="P68B1DB1-Normal15"/>
              <w:spacing w:after="0" w:line="240" w:lineRule="auto"/>
              <w:jc w:val="center"/>
              <w:rPr>
                <w:noProof/>
              </w:rPr>
            </w:pPr>
            <w:r>
              <w:rPr>
                <w:noProof/>
              </w:rPr>
              <w:t>165</w:t>
            </w:r>
          </w:p>
        </w:tc>
        <w:tc>
          <w:tcPr>
            <w:tcW w:w="1343" w:type="dxa"/>
            <w:shd w:val="clear" w:color="auto" w:fill="C6EFCE"/>
            <w:vAlign w:val="center"/>
          </w:tcPr>
          <w:p w14:paraId="75147B29" w14:textId="77777777" w:rsidR="00025543" w:rsidRDefault="007E3A2F">
            <w:pPr>
              <w:pStyle w:val="P68B1DB1-Normal15"/>
              <w:spacing w:after="0" w:line="240" w:lineRule="auto"/>
              <w:rPr>
                <w:noProof/>
              </w:rPr>
            </w:pPr>
            <w:r>
              <w:rPr>
                <w:noProof/>
              </w:rPr>
              <w:t xml:space="preserve">Investissement 4: Adaptation des écosystèmes aquatiques, non forestiers et forestiers au changement climatique </w:t>
            </w:r>
          </w:p>
        </w:tc>
        <w:tc>
          <w:tcPr>
            <w:tcW w:w="1134" w:type="dxa"/>
            <w:shd w:val="clear" w:color="auto" w:fill="C6EFCE"/>
            <w:vAlign w:val="center"/>
          </w:tcPr>
          <w:p w14:paraId="2DC5BFB8" w14:textId="77777777" w:rsidR="00025543" w:rsidRDefault="007E3A2F">
            <w:pPr>
              <w:pStyle w:val="P68B1DB1-Normal15"/>
              <w:spacing w:after="0" w:line="240" w:lineRule="auto"/>
              <w:rPr>
                <w:noProof/>
              </w:rPr>
            </w:pPr>
            <w:r>
              <w:rPr>
                <w:noProof/>
              </w:rPr>
              <w:t>Étapes</w:t>
            </w:r>
          </w:p>
        </w:tc>
        <w:tc>
          <w:tcPr>
            <w:tcW w:w="1343" w:type="dxa"/>
            <w:shd w:val="clear" w:color="auto" w:fill="C6EFCE"/>
            <w:vAlign w:val="center"/>
          </w:tcPr>
          <w:p w14:paraId="1658B802" w14:textId="77777777" w:rsidR="00025543" w:rsidRDefault="007E3A2F">
            <w:pPr>
              <w:pStyle w:val="P68B1DB1-Normal15"/>
              <w:spacing w:after="0" w:line="240" w:lineRule="auto"/>
              <w:rPr>
                <w:noProof/>
              </w:rPr>
            </w:pPr>
            <w:r>
              <w:rPr>
                <w:noProof/>
              </w:rPr>
              <w:t xml:space="preserve">Achèvement des projets visant à adapter les écosystèmes aquatiques, non forestiers et forestiers au changement climatique </w:t>
            </w:r>
          </w:p>
        </w:tc>
        <w:tc>
          <w:tcPr>
            <w:tcW w:w="1209" w:type="dxa"/>
            <w:shd w:val="clear" w:color="auto" w:fill="C6EFCE"/>
            <w:vAlign w:val="center"/>
          </w:tcPr>
          <w:p w14:paraId="6497E71C" w14:textId="77777777" w:rsidR="00025543" w:rsidRDefault="007E3A2F">
            <w:pPr>
              <w:pStyle w:val="P68B1DB1-Normal15"/>
              <w:spacing w:after="0" w:line="240" w:lineRule="auto"/>
              <w:rPr>
                <w:noProof/>
              </w:rPr>
            </w:pPr>
            <w:r>
              <w:rPr>
                <w:noProof/>
              </w:rPr>
              <w:t>Rapport d’achèvement par un ingénieur indépendant certifié par le ministère de l’environnement</w:t>
            </w:r>
          </w:p>
        </w:tc>
        <w:tc>
          <w:tcPr>
            <w:tcW w:w="945" w:type="dxa"/>
            <w:shd w:val="clear" w:color="auto" w:fill="C6EFCE"/>
            <w:vAlign w:val="center"/>
          </w:tcPr>
          <w:p w14:paraId="328A1AD4" w14:textId="77777777" w:rsidR="00025543" w:rsidRDefault="00025543">
            <w:pPr>
              <w:spacing w:after="0" w:line="240" w:lineRule="auto"/>
              <w:rPr>
                <w:rFonts w:eastAsia="Times New Roman"/>
                <w:noProof/>
                <w:color w:val="004300"/>
                <w:sz w:val="18"/>
              </w:rPr>
            </w:pPr>
          </w:p>
        </w:tc>
        <w:tc>
          <w:tcPr>
            <w:tcW w:w="1024" w:type="dxa"/>
            <w:shd w:val="clear" w:color="auto" w:fill="C6EFCE"/>
            <w:vAlign w:val="center"/>
          </w:tcPr>
          <w:p w14:paraId="773401F1" w14:textId="77777777" w:rsidR="00025543" w:rsidRDefault="00025543">
            <w:pPr>
              <w:spacing w:after="0" w:line="240" w:lineRule="auto"/>
              <w:jc w:val="center"/>
              <w:rPr>
                <w:rFonts w:eastAsia="Times New Roman"/>
                <w:noProof/>
                <w:color w:val="004300"/>
                <w:sz w:val="18"/>
              </w:rPr>
            </w:pPr>
          </w:p>
        </w:tc>
        <w:tc>
          <w:tcPr>
            <w:tcW w:w="816" w:type="dxa"/>
            <w:shd w:val="clear" w:color="auto" w:fill="C6EFCE"/>
            <w:vAlign w:val="center"/>
          </w:tcPr>
          <w:p w14:paraId="213B6CF8" w14:textId="77777777" w:rsidR="00025543" w:rsidRDefault="00025543">
            <w:pPr>
              <w:spacing w:after="0" w:line="240" w:lineRule="auto"/>
              <w:rPr>
                <w:rFonts w:eastAsia="Times New Roman"/>
                <w:noProof/>
                <w:color w:val="004300"/>
                <w:sz w:val="18"/>
              </w:rPr>
            </w:pPr>
          </w:p>
        </w:tc>
        <w:tc>
          <w:tcPr>
            <w:tcW w:w="1077" w:type="dxa"/>
            <w:shd w:val="clear" w:color="auto" w:fill="C6EFCE"/>
            <w:vAlign w:val="center"/>
          </w:tcPr>
          <w:p w14:paraId="7FD027A7" w14:textId="77777777" w:rsidR="00025543" w:rsidRDefault="007E3A2F">
            <w:pPr>
              <w:pStyle w:val="P68B1DB1-Normal15"/>
              <w:spacing w:after="0" w:line="240" w:lineRule="auto"/>
              <w:jc w:val="center"/>
              <w:rPr>
                <w:noProof/>
              </w:rPr>
            </w:pPr>
            <w:r>
              <w:rPr>
                <w:noProof/>
              </w:rPr>
              <w:t>TRIMESTRE 4</w:t>
            </w:r>
          </w:p>
        </w:tc>
        <w:tc>
          <w:tcPr>
            <w:tcW w:w="673" w:type="dxa"/>
            <w:shd w:val="clear" w:color="auto" w:fill="C6EFCE"/>
            <w:vAlign w:val="center"/>
          </w:tcPr>
          <w:p w14:paraId="6F8E2F65" w14:textId="77777777" w:rsidR="00025543" w:rsidRDefault="007E3A2F">
            <w:pPr>
              <w:pStyle w:val="P68B1DB1-Normal15"/>
              <w:spacing w:after="0" w:line="240" w:lineRule="auto"/>
              <w:jc w:val="center"/>
              <w:rPr>
                <w:noProof/>
              </w:rPr>
            </w:pPr>
            <w:r>
              <w:rPr>
                <w:noProof/>
              </w:rPr>
              <w:t>2025</w:t>
            </w:r>
          </w:p>
        </w:tc>
        <w:tc>
          <w:tcPr>
            <w:tcW w:w="4401" w:type="dxa"/>
            <w:shd w:val="clear" w:color="auto" w:fill="C6EFCE"/>
            <w:vAlign w:val="center"/>
          </w:tcPr>
          <w:p w14:paraId="3CBD2E1A" w14:textId="666B4789" w:rsidR="00025543" w:rsidRDefault="007E3A2F">
            <w:pPr>
              <w:pStyle w:val="P68B1DB1-Normal15"/>
              <w:spacing w:after="0" w:line="240" w:lineRule="auto"/>
              <w:jc w:val="both"/>
              <w:rPr>
                <w:noProof/>
              </w:rPr>
            </w:pPr>
            <w:r>
              <w:rPr>
                <w:noProof/>
              </w:rPr>
              <w:t>Remise du rapport d’achèvement par un ingénieur indépendant certifié par le ministère de l’environnement. Les projets contribuent à améliorer les espèces et la composition spatiale de la forêt sur une superficie de 200 ha; fournissent des soins aux habitats terrestres non forestiers de valeur sur une superficie totale de 1 250 ha; créent et restaurent des zones humides, des étangs et des petits réservoirs sur une superficie totale de 48 ha; revitaliser les cours d’eau sur une superficie totale de 68 ha et procéder à la plantation de 32 pièces de plantes ligneuses à l’extérieur de la forêt.</w:t>
            </w:r>
          </w:p>
        </w:tc>
      </w:tr>
      <w:tr w:rsidR="00025543" w14:paraId="469945D6" w14:textId="77777777">
        <w:trPr>
          <w:trHeight w:val="320"/>
        </w:trPr>
        <w:tc>
          <w:tcPr>
            <w:tcW w:w="674" w:type="dxa"/>
            <w:shd w:val="clear" w:color="auto" w:fill="C6EFCE"/>
            <w:vAlign w:val="center"/>
          </w:tcPr>
          <w:p w14:paraId="1970C9EB" w14:textId="77777777" w:rsidR="00025543" w:rsidRDefault="007E3A2F">
            <w:pPr>
              <w:pStyle w:val="P68B1DB1-Normal15"/>
              <w:spacing w:after="0" w:line="240" w:lineRule="auto"/>
              <w:jc w:val="center"/>
              <w:rPr>
                <w:noProof/>
              </w:rPr>
            </w:pPr>
            <w:r>
              <w:rPr>
                <w:noProof/>
              </w:rPr>
              <w:t>166</w:t>
            </w:r>
          </w:p>
        </w:tc>
        <w:tc>
          <w:tcPr>
            <w:tcW w:w="1343" w:type="dxa"/>
            <w:shd w:val="clear" w:color="auto" w:fill="C6EFCE"/>
            <w:vAlign w:val="center"/>
          </w:tcPr>
          <w:p w14:paraId="16FF05E1" w14:textId="77777777" w:rsidR="00025543" w:rsidRDefault="007E3A2F">
            <w:pPr>
              <w:pStyle w:val="P68B1DB1-Normal15"/>
              <w:spacing w:after="0" w:line="240" w:lineRule="auto"/>
              <w:rPr>
                <w:noProof/>
              </w:rPr>
            </w:pPr>
            <w:r>
              <w:rPr>
                <w:noProof/>
              </w:rPr>
              <w:t>Investissement 4: Adaptation des écosystèmes aquatiques, non forestiers et forestiers au changement climatique</w:t>
            </w:r>
          </w:p>
        </w:tc>
        <w:tc>
          <w:tcPr>
            <w:tcW w:w="1134" w:type="dxa"/>
            <w:shd w:val="clear" w:color="auto" w:fill="C6EFCE"/>
            <w:vAlign w:val="center"/>
          </w:tcPr>
          <w:p w14:paraId="5091437B" w14:textId="77777777" w:rsidR="00025543" w:rsidRDefault="007E3A2F">
            <w:pPr>
              <w:pStyle w:val="P68B1DB1-Normal15"/>
              <w:spacing w:after="0" w:line="240" w:lineRule="auto"/>
              <w:rPr>
                <w:noProof/>
              </w:rPr>
            </w:pPr>
            <w:r>
              <w:rPr>
                <w:noProof/>
              </w:rPr>
              <w:t>Cible</w:t>
            </w:r>
          </w:p>
        </w:tc>
        <w:tc>
          <w:tcPr>
            <w:tcW w:w="1343" w:type="dxa"/>
            <w:shd w:val="clear" w:color="auto" w:fill="C6EFCE"/>
            <w:vAlign w:val="center"/>
          </w:tcPr>
          <w:p w14:paraId="6FD6AF1B" w14:textId="77777777" w:rsidR="00025543" w:rsidRDefault="007E3A2F">
            <w:pPr>
              <w:pStyle w:val="P68B1DB1-Normal15"/>
              <w:spacing w:after="0" w:line="240" w:lineRule="auto"/>
              <w:rPr>
                <w:noProof/>
              </w:rPr>
            </w:pPr>
            <w:r>
              <w:rPr>
                <w:noProof/>
              </w:rPr>
              <w:t>Évaluation du potentiel de rétention d’eau et proposition de mesures concrètes</w:t>
            </w:r>
          </w:p>
        </w:tc>
        <w:tc>
          <w:tcPr>
            <w:tcW w:w="1209" w:type="dxa"/>
            <w:shd w:val="clear" w:color="auto" w:fill="C6EFCE"/>
            <w:vAlign w:val="center"/>
          </w:tcPr>
          <w:p w14:paraId="1A088E74" w14:textId="77777777" w:rsidR="00025543" w:rsidRDefault="00025543">
            <w:pPr>
              <w:spacing w:after="0" w:line="240" w:lineRule="auto"/>
              <w:rPr>
                <w:rFonts w:eastAsia="Times New Roman"/>
                <w:noProof/>
                <w:color w:val="004300"/>
                <w:sz w:val="18"/>
              </w:rPr>
            </w:pPr>
          </w:p>
        </w:tc>
        <w:tc>
          <w:tcPr>
            <w:tcW w:w="945" w:type="dxa"/>
            <w:shd w:val="clear" w:color="auto" w:fill="C6EFCE"/>
            <w:vAlign w:val="center"/>
          </w:tcPr>
          <w:p w14:paraId="554DC47E" w14:textId="77777777" w:rsidR="00025543" w:rsidRDefault="007E3A2F">
            <w:pPr>
              <w:pStyle w:val="P68B1DB1-Normal15"/>
              <w:spacing w:after="0" w:line="240" w:lineRule="auto"/>
              <w:rPr>
                <w:noProof/>
              </w:rPr>
            </w:pPr>
            <w:r>
              <w:rPr>
                <w:noProof/>
              </w:rPr>
              <w:t>Km</w:t>
            </w:r>
            <w:r>
              <w:rPr>
                <w:noProof/>
                <w:vertAlign w:val="superscript"/>
              </w:rPr>
              <w:t>2</w:t>
            </w:r>
          </w:p>
        </w:tc>
        <w:tc>
          <w:tcPr>
            <w:tcW w:w="1024" w:type="dxa"/>
            <w:shd w:val="clear" w:color="auto" w:fill="C6EFCE"/>
            <w:vAlign w:val="center"/>
          </w:tcPr>
          <w:p w14:paraId="2377F323" w14:textId="77777777" w:rsidR="00025543" w:rsidRDefault="007E3A2F">
            <w:pPr>
              <w:pStyle w:val="P68B1DB1-Normal15"/>
              <w:spacing w:after="0" w:line="240" w:lineRule="auto"/>
              <w:jc w:val="center"/>
              <w:rPr>
                <w:noProof/>
              </w:rPr>
            </w:pPr>
            <w:r>
              <w:rPr>
                <w:noProof/>
              </w:rPr>
              <w:t>0</w:t>
            </w:r>
          </w:p>
        </w:tc>
        <w:tc>
          <w:tcPr>
            <w:tcW w:w="816" w:type="dxa"/>
            <w:shd w:val="clear" w:color="auto" w:fill="C6EFCE"/>
            <w:vAlign w:val="center"/>
          </w:tcPr>
          <w:p w14:paraId="4BB745A1" w14:textId="0D45933B" w:rsidR="00025543" w:rsidRDefault="007E3A2F">
            <w:pPr>
              <w:pStyle w:val="P68B1DB1-Normal15"/>
              <w:spacing w:after="0" w:line="240" w:lineRule="auto"/>
              <w:rPr>
                <w:noProof/>
              </w:rPr>
            </w:pPr>
            <w:r>
              <w:rPr>
                <w:noProof/>
              </w:rPr>
              <w:t>5 000</w:t>
            </w:r>
          </w:p>
        </w:tc>
        <w:tc>
          <w:tcPr>
            <w:tcW w:w="1077" w:type="dxa"/>
            <w:shd w:val="clear" w:color="auto" w:fill="C6EFCE"/>
            <w:vAlign w:val="center"/>
          </w:tcPr>
          <w:p w14:paraId="50F70901" w14:textId="77777777" w:rsidR="00025543" w:rsidRDefault="007E3A2F">
            <w:pPr>
              <w:pStyle w:val="P68B1DB1-Normal15"/>
              <w:spacing w:after="0" w:line="240" w:lineRule="auto"/>
              <w:jc w:val="center"/>
              <w:rPr>
                <w:noProof/>
              </w:rPr>
            </w:pPr>
            <w:r>
              <w:rPr>
                <w:noProof/>
              </w:rPr>
              <w:t>TRIMESTRE 4</w:t>
            </w:r>
          </w:p>
        </w:tc>
        <w:tc>
          <w:tcPr>
            <w:tcW w:w="673" w:type="dxa"/>
            <w:shd w:val="clear" w:color="auto" w:fill="C6EFCE"/>
            <w:vAlign w:val="center"/>
          </w:tcPr>
          <w:p w14:paraId="30214B33" w14:textId="77777777" w:rsidR="00025543" w:rsidRDefault="007E3A2F">
            <w:pPr>
              <w:pStyle w:val="P68B1DB1-Normal15"/>
              <w:spacing w:after="0" w:line="240" w:lineRule="auto"/>
              <w:jc w:val="center"/>
              <w:rPr>
                <w:noProof/>
              </w:rPr>
            </w:pPr>
            <w:r>
              <w:rPr>
                <w:noProof/>
              </w:rPr>
              <w:t>2025</w:t>
            </w:r>
          </w:p>
        </w:tc>
        <w:tc>
          <w:tcPr>
            <w:tcW w:w="4401" w:type="dxa"/>
            <w:shd w:val="clear" w:color="auto" w:fill="C6EFCE"/>
            <w:vAlign w:val="center"/>
          </w:tcPr>
          <w:p w14:paraId="084EA338" w14:textId="77777777" w:rsidR="00025543" w:rsidRDefault="007E3A2F">
            <w:pPr>
              <w:pStyle w:val="P68B1DB1-Normal15"/>
              <w:spacing w:line="240" w:lineRule="auto"/>
              <w:rPr>
                <w:noProof/>
              </w:rPr>
            </w:pPr>
            <w:r>
              <w:rPr>
                <w:noProof/>
              </w:rPr>
              <w:t xml:space="preserve">Les territoires des petits bassins hydrographiques sont évalués en fonction de leur potentiel de rétention d’eau, des études de préfaisabilité sont réalisées, discutées avec les parties prenantes et convenues avec les propriétaires fonciers. </w:t>
            </w:r>
          </w:p>
          <w:p w14:paraId="4BD85DF4" w14:textId="77777777" w:rsidR="00025543" w:rsidRDefault="007E3A2F">
            <w:pPr>
              <w:pStyle w:val="P68B1DB1-Normal15"/>
              <w:spacing w:after="0" w:line="240" w:lineRule="auto"/>
              <w:jc w:val="both"/>
              <w:rPr>
                <w:noProof/>
              </w:rPr>
            </w:pPr>
            <w:r>
              <w:rPr>
                <w:noProof/>
              </w:rPr>
              <w:t>La documentation détaillée du projet n’est élaborée que pour certaines mesures de rétention d’eau, sur la base d’une déclaration d’intérêt contraignante des propriétaires fonciers.</w:t>
            </w:r>
          </w:p>
        </w:tc>
      </w:tr>
      <w:tr w:rsidR="00025543" w14:paraId="6A87F4F8" w14:textId="77777777">
        <w:trPr>
          <w:trHeight w:val="320"/>
        </w:trPr>
        <w:tc>
          <w:tcPr>
            <w:tcW w:w="674" w:type="dxa"/>
            <w:shd w:val="clear" w:color="auto" w:fill="C6EFCE"/>
            <w:vAlign w:val="center"/>
          </w:tcPr>
          <w:p w14:paraId="011907AD" w14:textId="77777777" w:rsidR="00025543" w:rsidRDefault="007E3A2F">
            <w:pPr>
              <w:pStyle w:val="P68B1DB1-Normal15"/>
              <w:spacing w:after="0" w:line="240" w:lineRule="auto"/>
              <w:jc w:val="center"/>
              <w:rPr>
                <w:noProof/>
              </w:rPr>
            </w:pPr>
            <w:r>
              <w:rPr>
                <w:noProof/>
              </w:rPr>
              <w:t>167</w:t>
            </w:r>
          </w:p>
        </w:tc>
        <w:tc>
          <w:tcPr>
            <w:tcW w:w="1343" w:type="dxa"/>
            <w:shd w:val="clear" w:color="auto" w:fill="C6EFCE"/>
            <w:vAlign w:val="center"/>
          </w:tcPr>
          <w:p w14:paraId="38481EA9" w14:textId="77777777" w:rsidR="00025543" w:rsidRDefault="007E3A2F">
            <w:pPr>
              <w:pStyle w:val="P68B1DB1-Normal15"/>
              <w:spacing w:after="0" w:line="240" w:lineRule="auto"/>
              <w:rPr>
                <w:noProof/>
              </w:rPr>
            </w:pPr>
            <w:r>
              <w:rPr>
                <w:noProof/>
              </w:rPr>
              <w:t>Investissement 4: Adaptation des écosystèmes aquatiques, non forestiers et forestiers au changement climatique</w:t>
            </w:r>
          </w:p>
        </w:tc>
        <w:tc>
          <w:tcPr>
            <w:tcW w:w="1134" w:type="dxa"/>
            <w:shd w:val="clear" w:color="auto" w:fill="C6EFCE"/>
            <w:vAlign w:val="center"/>
          </w:tcPr>
          <w:p w14:paraId="41CD16AE" w14:textId="77777777" w:rsidR="00025543" w:rsidRDefault="007E3A2F">
            <w:pPr>
              <w:pStyle w:val="P68B1DB1-Normal15"/>
              <w:spacing w:after="0" w:line="240" w:lineRule="auto"/>
              <w:rPr>
                <w:noProof/>
              </w:rPr>
            </w:pPr>
            <w:r>
              <w:rPr>
                <w:noProof/>
              </w:rPr>
              <w:t>Cible</w:t>
            </w:r>
          </w:p>
        </w:tc>
        <w:tc>
          <w:tcPr>
            <w:tcW w:w="1343" w:type="dxa"/>
            <w:shd w:val="clear" w:color="auto" w:fill="C6EFCE"/>
            <w:vAlign w:val="center"/>
          </w:tcPr>
          <w:p w14:paraId="73EBFBFB" w14:textId="77777777" w:rsidR="00025543" w:rsidRDefault="007E3A2F">
            <w:pPr>
              <w:pStyle w:val="P68B1DB1-Normal15"/>
              <w:spacing w:after="0" w:line="240" w:lineRule="auto"/>
              <w:rPr>
                <w:noProof/>
              </w:rPr>
            </w:pPr>
            <w:r>
              <w:rPr>
                <w:noProof/>
              </w:rPr>
              <w:t>Mise en œuvre des mesures de rétention d’eau proposées</w:t>
            </w:r>
          </w:p>
        </w:tc>
        <w:tc>
          <w:tcPr>
            <w:tcW w:w="1209" w:type="dxa"/>
            <w:shd w:val="clear" w:color="auto" w:fill="C6EFCE"/>
            <w:vAlign w:val="center"/>
          </w:tcPr>
          <w:p w14:paraId="3F2EC62B" w14:textId="77777777" w:rsidR="00025543" w:rsidRDefault="00025543">
            <w:pPr>
              <w:spacing w:after="0" w:line="240" w:lineRule="auto"/>
              <w:rPr>
                <w:rFonts w:eastAsia="Times New Roman"/>
                <w:noProof/>
                <w:color w:val="004300"/>
                <w:sz w:val="18"/>
              </w:rPr>
            </w:pPr>
          </w:p>
        </w:tc>
        <w:tc>
          <w:tcPr>
            <w:tcW w:w="945" w:type="dxa"/>
            <w:shd w:val="clear" w:color="auto" w:fill="C6EFCE"/>
            <w:vAlign w:val="center"/>
          </w:tcPr>
          <w:p w14:paraId="00752E60" w14:textId="77777777" w:rsidR="00025543" w:rsidRDefault="007E3A2F">
            <w:pPr>
              <w:pStyle w:val="P68B1DB1-Normal15"/>
              <w:spacing w:after="0" w:line="240" w:lineRule="auto"/>
              <w:rPr>
                <w:noProof/>
              </w:rPr>
            </w:pPr>
            <w:r>
              <w:rPr>
                <w:noProof/>
              </w:rPr>
              <w:t>% du territoire sélectionné utilisé pour des mesures de rétention d’eau</w:t>
            </w:r>
          </w:p>
        </w:tc>
        <w:tc>
          <w:tcPr>
            <w:tcW w:w="1024" w:type="dxa"/>
            <w:shd w:val="clear" w:color="auto" w:fill="C6EFCE"/>
            <w:vAlign w:val="center"/>
          </w:tcPr>
          <w:p w14:paraId="2A80C8AE" w14:textId="77777777" w:rsidR="00025543" w:rsidRDefault="007E3A2F">
            <w:pPr>
              <w:pStyle w:val="P68B1DB1-Normal15"/>
              <w:spacing w:after="0" w:line="240" w:lineRule="auto"/>
              <w:jc w:val="center"/>
              <w:rPr>
                <w:noProof/>
              </w:rPr>
            </w:pPr>
            <w:r>
              <w:rPr>
                <w:noProof/>
              </w:rPr>
              <w:t>0</w:t>
            </w:r>
          </w:p>
        </w:tc>
        <w:tc>
          <w:tcPr>
            <w:tcW w:w="816" w:type="dxa"/>
            <w:shd w:val="clear" w:color="auto" w:fill="C6EFCE"/>
            <w:vAlign w:val="center"/>
          </w:tcPr>
          <w:p w14:paraId="299F90B5" w14:textId="77777777" w:rsidR="00025543" w:rsidRDefault="007E3A2F">
            <w:pPr>
              <w:pStyle w:val="P68B1DB1-Normal15"/>
              <w:spacing w:after="0" w:line="240" w:lineRule="auto"/>
              <w:rPr>
                <w:noProof/>
              </w:rPr>
            </w:pPr>
            <w:r>
              <w:rPr>
                <w:noProof/>
              </w:rPr>
              <w:t>10</w:t>
            </w:r>
          </w:p>
        </w:tc>
        <w:tc>
          <w:tcPr>
            <w:tcW w:w="1077" w:type="dxa"/>
            <w:shd w:val="clear" w:color="auto" w:fill="C6EFCE"/>
            <w:vAlign w:val="center"/>
          </w:tcPr>
          <w:p w14:paraId="697F3865" w14:textId="77777777" w:rsidR="00025543" w:rsidRDefault="007E3A2F">
            <w:pPr>
              <w:pStyle w:val="P68B1DB1-Normal15"/>
              <w:spacing w:after="0" w:line="240" w:lineRule="auto"/>
              <w:jc w:val="center"/>
              <w:rPr>
                <w:noProof/>
              </w:rPr>
            </w:pPr>
            <w:r>
              <w:rPr>
                <w:noProof/>
              </w:rPr>
              <w:t>TRIMESTRE 4</w:t>
            </w:r>
          </w:p>
        </w:tc>
        <w:tc>
          <w:tcPr>
            <w:tcW w:w="673" w:type="dxa"/>
            <w:shd w:val="clear" w:color="auto" w:fill="C6EFCE"/>
            <w:vAlign w:val="center"/>
          </w:tcPr>
          <w:p w14:paraId="50A36B92" w14:textId="77777777" w:rsidR="00025543" w:rsidRDefault="007E3A2F">
            <w:pPr>
              <w:pStyle w:val="P68B1DB1-Normal15"/>
              <w:spacing w:after="0" w:line="240" w:lineRule="auto"/>
              <w:jc w:val="center"/>
              <w:rPr>
                <w:noProof/>
              </w:rPr>
            </w:pPr>
            <w:r>
              <w:rPr>
                <w:noProof/>
              </w:rPr>
              <w:t>2025</w:t>
            </w:r>
          </w:p>
        </w:tc>
        <w:tc>
          <w:tcPr>
            <w:tcW w:w="4401" w:type="dxa"/>
            <w:shd w:val="clear" w:color="auto" w:fill="C6EFCE"/>
            <w:vAlign w:val="center"/>
          </w:tcPr>
          <w:p w14:paraId="28629F5A" w14:textId="77777777" w:rsidR="00025543" w:rsidRDefault="007E3A2F">
            <w:pPr>
              <w:pStyle w:val="P68B1DB1-Normal15"/>
              <w:spacing w:line="240" w:lineRule="auto"/>
              <w:rPr>
                <w:noProof/>
              </w:rPr>
            </w:pPr>
            <w:r>
              <w:rPr>
                <w:noProof/>
              </w:rPr>
              <w:t>Les mesures proposées sélectionnées sont mises en œuvre sur la base de l’évaluation du potentiel de rétention d’eau, des études de préfaisabilité et des projets détaillés.</w:t>
            </w:r>
          </w:p>
        </w:tc>
      </w:tr>
      <w:tr w:rsidR="00025543" w14:paraId="2F3C8646" w14:textId="77777777">
        <w:trPr>
          <w:trHeight w:val="320"/>
        </w:trPr>
        <w:tc>
          <w:tcPr>
            <w:tcW w:w="674" w:type="dxa"/>
            <w:shd w:val="clear" w:color="auto" w:fill="C6EFCE"/>
            <w:vAlign w:val="center"/>
          </w:tcPr>
          <w:p w14:paraId="3374BC07" w14:textId="49199156" w:rsidR="00025543" w:rsidRDefault="007E3A2F">
            <w:pPr>
              <w:pStyle w:val="P68B1DB1-Normal15"/>
              <w:spacing w:after="0" w:line="240" w:lineRule="auto"/>
              <w:jc w:val="center"/>
              <w:rPr>
                <w:noProof/>
              </w:rPr>
            </w:pPr>
            <w:r>
              <w:rPr>
                <w:noProof/>
              </w:rPr>
              <w:t>262</w:t>
            </w:r>
          </w:p>
        </w:tc>
        <w:tc>
          <w:tcPr>
            <w:tcW w:w="1343" w:type="dxa"/>
            <w:shd w:val="clear" w:color="auto" w:fill="C6EFCE"/>
            <w:vAlign w:val="center"/>
          </w:tcPr>
          <w:p w14:paraId="4505868D" w14:textId="3CA4531F" w:rsidR="00025543" w:rsidRDefault="007E3A2F">
            <w:pPr>
              <w:pStyle w:val="P68B1DB1-Normal15"/>
              <w:spacing w:line="240" w:lineRule="auto"/>
              <w:rPr>
                <w:noProof/>
              </w:rPr>
            </w:pPr>
            <w:r>
              <w:rPr>
                <w:noProof/>
              </w:rPr>
              <w:t xml:space="preserve">Réforme 2: Mise en place d’une politique paysagère et planification </w:t>
            </w:r>
          </w:p>
          <w:p w14:paraId="205E1FBA" w14:textId="0007B1C2" w:rsidR="00025543" w:rsidRDefault="00025543">
            <w:pPr>
              <w:spacing w:after="0" w:line="240" w:lineRule="auto"/>
              <w:rPr>
                <w:rFonts w:eastAsia="Times New Roman"/>
                <w:noProof/>
                <w:color w:val="004300"/>
                <w:sz w:val="18"/>
              </w:rPr>
            </w:pPr>
          </w:p>
        </w:tc>
        <w:tc>
          <w:tcPr>
            <w:tcW w:w="1134" w:type="dxa"/>
            <w:shd w:val="clear" w:color="auto" w:fill="C6EFCE"/>
            <w:vAlign w:val="center"/>
          </w:tcPr>
          <w:p w14:paraId="55F3EB79" w14:textId="30152831" w:rsidR="00025543" w:rsidRDefault="007E3A2F">
            <w:pPr>
              <w:pStyle w:val="P68B1DB1-Normal15"/>
              <w:spacing w:after="0" w:line="240" w:lineRule="auto"/>
              <w:rPr>
                <w:noProof/>
              </w:rPr>
            </w:pPr>
            <w:r>
              <w:rPr>
                <w:noProof/>
              </w:rPr>
              <w:t>Étapes</w:t>
            </w:r>
          </w:p>
        </w:tc>
        <w:tc>
          <w:tcPr>
            <w:tcW w:w="1343" w:type="dxa"/>
            <w:shd w:val="clear" w:color="auto" w:fill="C6EFCE"/>
            <w:vAlign w:val="center"/>
          </w:tcPr>
          <w:p w14:paraId="099D770C" w14:textId="351FA277" w:rsidR="00025543" w:rsidRDefault="007E3A2F">
            <w:pPr>
              <w:pStyle w:val="P68B1DB1-Normal11"/>
              <w:spacing w:after="0" w:line="240" w:lineRule="auto"/>
              <w:rPr>
                <w:noProof/>
                <w:color w:val="004300"/>
              </w:rPr>
            </w:pPr>
            <w:r>
              <w:rPr>
                <w:noProof/>
              </w:rPr>
              <w:t>Adoption d’une politique et d’une planification intégrées du paysage</w:t>
            </w:r>
          </w:p>
        </w:tc>
        <w:tc>
          <w:tcPr>
            <w:tcW w:w="1209" w:type="dxa"/>
            <w:shd w:val="clear" w:color="auto" w:fill="C6EFCE"/>
            <w:vAlign w:val="center"/>
          </w:tcPr>
          <w:p w14:paraId="72F39FE9" w14:textId="7AEBE8EE" w:rsidR="00025543" w:rsidRDefault="007E3A2F">
            <w:pPr>
              <w:pStyle w:val="P68B1DB1-Normal11"/>
              <w:spacing w:after="0" w:line="240" w:lineRule="auto"/>
              <w:rPr>
                <w:noProof/>
              </w:rPr>
            </w:pPr>
            <w:r>
              <w:rPr>
                <w:noProof/>
              </w:rPr>
              <w:t xml:space="preserve">Adoption de la politique paysagère et publication des orientations paysagères </w:t>
            </w:r>
          </w:p>
          <w:p w14:paraId="78ECC506" w14:textId="7AEBE8EE" w:rsidR="00025543" w:rsidRDefault="00025543">
            <w:pPr>
              <w:spacing w:after="0" w:line="240" w:lineRule="auto"/>
              <w:rPr>
                <w:rFonts w:eastAsia="Times New Roman"/>
                <w:noProof/>
                <w:color w:val="004300"/>
                <w:sz w:val="18"/>
              </w:rPr>
            </w:pPr>
          </w:p>
        </w:tc>
        <w:tc>
          <w:tcPr>
            <w:tcW w:w="945" w:type="dxa"/>
            <w:shd w:val="clear" w:color="auto" w:fill="C6EFCE"/>
            <w:vAlign w:val="center"/>
          </w:tcPr>
          <w:p w14:paraId="2E4F63D4" w14:textId="77777777" w:rsidR="00025543" w:rsidRDefault="00025543">
            <w:pPr>
              <w:spacing w:after="0" w:line="240" w:lineRule="auto"/>
              <w:rPr>
                <w:rFonts w:eastAsia="Times New Roman"/>
                <w:noProof/>
                <w:color w:val="004300"/>
                <w:sz w:val="18"/>
              </w:rPr>
            </w:pPr>
          </w:p>
        </w:tc>
        <w:tc>
          <w:tcPr>
            <w:tcW w:w="1024" w:type="dxa"/>
            <w:shd w:val="clear" w:color="auto" w:fill="C6EFCE"/>
            <w:vAlign w:val="center"/>
          </w:tcPr>
          <w:p w14:paraId="36B57E2E" w14:textId="77777777" w:rsidR="00025543" w:rsidRDefault="00025543">
            <w:pPr>
              <w:spacing w:after="0" w:line="240" w:lineRule="auto"/>
              <w:jc w:val="center"/>
              <w:rPr>
                <w:rFonts w:eastAsia="Times New Roman"/>
                <w:noProof/>
                <w:color w:val="004300"/>
                <w:sz w:val="18"/>
              </w:rPr>
            </w:pPr>
          </w:p>
        </w:tc>
        <w:tc>
          <w:tcPr>
            <w:tcW w:w="816" w:type="dxa"/>
            <w:shd w:val="clear" w:color="auto" w:fill="C6EFCE"/>
            <w:vAlign w:val="center"/>
          </w:tcPr>
          <w:p w14:paraId="6BB66D18" w14:textId="77777777" w:rsidR="00025543" w:rsidRDefault="00025543">
            <w:pPr>
              <w:spacing w:after="0" w:line="240" w:lineRule="auto"/>
              <w:rPr>
                <w:rFonts w:eastAsia="Times New Roman"/>
                <w:noProof/>
                <w:color w:val="004300"/>
                <w:sz w:val="18"/>
              </w:rPr>
            </w:pPr>
          </w:p>
        </w:tc>
        <w:tc>
          <w:tcPr>
            <w:tcW w:w="1077" w:type="dxa"/>
            <w:shd w:val="clear" w:color="auto" w:fill="C6EFCE"/>
            <w:vAlign w:val="center"/>
          </w:tcPr>
          <w:p w14:paraId="50842F5F" w14:textId="2A746967" w:rsidR="00025543" w:rsidRDefault="007E3A2F">
            <w:pPr>
              <w:pStyle w:val="P68B1DB1-Normal15"/>
              <w:spacing w:after="0" w:line="240" w:lineRule="auto"/>
              <w:jc w:val="center"/>
              <w:rPr>
                <w:noProof/>
              </w:rPr>
            </w:pPr>
            <w:r>
              <w:rPr>
                <w:noProof/>
              </w:rPr>
              <w:t>TRIMESTRE 1</w:t>
            </w:r>
          </w:p>
        </w:tc>
        <w:tc>
          <w:tcPr>
            <w:tcW w:w="673" w:type="dxa"/>
            <w:shd w:val="clear" w:color="auto" w:fill="C6EFCE"/>
            <w:vAlign w:val="center"/>
          </w:tcPr>
          <w:p w14:paraId="7A1A40E0" w14:textId="577A3F67" w:rsidR="00025543" w:rsidRDefault="007E3A2F">
            <w:pPr>
              <w:pStyle w:val="P68B1DB1-Normal15"/>
              <w:spacing w:after="0" w:line="240" w:lineRule="auto"/>
              <w:jc w:val="center"/>
              <w:rPr>
                <w:noProof/>
              </w:rPr>
            </w:pPr>
            <w:r>
              <w:rPr>
                <w:noProof/>
              </w:rPr>
              <w:t>2026</w:t>
            </w:r>
          </w:p>
        </w:tc>
        <w:tc>
          <w:tcPr>
            <w:tcW w:w="4401" w:type="dxa"/>
            <w:shd w:val="clear" w:color="auto" w:fill="C6EFCE"/>
            <w:vAlign w:val="center"/>
          </w:tcPr>
          <w:p w14:paraId="4B728A62" w14:textId="7C0902DE" w:rsidR="00025543" w:rsidRDefault="007E3A2F">
            <w:pPr>
              <w:pStyle w:val="P68B1DB1-Normal15"/>
              <w:spacing w:line="240" w:lineRule="auto"/>
              <w:jc w:val="both"/>
              <w:rPr>
                <w:noProof/>
              </w:rPr>
            </w:pPr>
            <w:r>
              <w:rPr>
                <w:noProof/>
              </w:rPr>
              <w:t xml:space="preserve">Adoption par le gouvernement d’un document de politique intégrée du paysage. La participation des parties prenantes fait partie de la conception de la politique. Cette politique crée un environnement propice à une gestion durable des terres par le secteur public et le secteur privé, notamment en surmontant les obstacles administratifs et sectoriels au moyen de mécanismes de gouvernance collaborative. Il couvre au moins les thèmes suivants: biodiversité, gestion de l’eau, sylviculture et patrimoine culturel. </w:t>
            </w:r>
          </w:p>
          <w:p w14:paraId="4E759203" w14:textId="00BFE9BA" w:rsidR="00025543" w:rsidRDefault="007E3A2F">
            <w:pPr>
              <w:pStyle w:val="P68B1DB1-Normal15"/>
              <w:spacing w:after="0" w:line="240" w:lineRule="auto"/>
              <w:rPr>
                <w:noProof/>
              </w:rPr>
            </w:pPr>
            <w:r>
              <w:rPr>
                <w:noProof/>
              </w:rPr>
              <w:t xml:space="preserve">Sur la base de cette politique, une méthodologie décrivant l’approche de la conservation et de la gestion des paysages aux niveaux national, régional et local est publiée sur une plateforme web accessible au public et aux fonctionnaires.   </w:t>
            </w:r>
          </w:p>
          <w:p w14:paraId="5C37CAC2" w14:textId="5D762769" w:rsidR="00025543" w:rsidRDefault="007E3A2F">
            <w:pPr>
              <w:pStyle w:val="P68B1DB1-Normal15"/>
              <w:spacing w:line="240" w:lineRule="auto"/>
              <w:rPr>
                <w:noProof/>
              </w:rPr>
            </w:pPr>
            <w:r>
              <w:rPr>
                <w:noProof/>
              </w:rPr>
              <w:t>Des outils de suivi de l’application des connaissances dans la pratique seront créés et 3 projets pilotes seront achevés.</w:t>
            </w:r>
          </w:p>
        </w:tc>
      </w:tr>
    </w:tbl>
    <w:p w14:paraId="698B8F64" w14:textId="77777777" w:rsidR="00025543" w:rsidRDefault="00025543">
      <w:pPr>
        <w:spacing w:before="0" w:after="0" w:line="240" w:lineRule="auto"/>
        <w:rPr>
          <w:noProof/>
        </w:rPr>
        <w:sectPr w:rsidR="00025543" w:rsidSect="00786C7E">
          <w:headerReference w:type="even" r:id="rId252"/>
          <w:headerReference w:type="default" r:id="rId253"/>
          <w:footerReference w:type="even" r:id="rId254"/>
          <w:footerReference w:type="default" r:id="rId255"/>
          <w:headerReference w:type="first" r:id="rId256"/>
          <w:footerReference w:type="first" r:id="rId257"/>
          <w:pgSz w:w="16839" w:h="11907" w:orient="landscape"/>
          <w:pgMar w:top="1134" w:right="1134" w:bottom="1134" w:left="1134" w:header="567" w:footer="567" w:gutter="0"/>
          <w:cols w:space="708"/>
          <w:docGrid w:linePitch="326"/>
        </w:sectPr>
      </w:pPr>
    </w:p>
    <w:p w14:paraId="2B98D849" w14:textId="0CA28BCF" w:rsidR="00025543" w:rsidRDefault="007E3A2F">
      <w:pPr>
        <w:pStyle w:val="P68B1DB1-Normal7"/>
        <w:keepNext/>
        <w:tabs>
          <w:tab w:val="left" w:pos="850"/>
        </w:tabs>
        <w:spacing w:line="240" w:lineRule="auto"/>
        <w:jc w:val="both"/>
        <w:outlineLvl w:val="0"/>
        <w:rPr>
          <w:smallCaps/>
          <w:noProof/>
        </w:rPr>
      </w:pPr>
      <w:r>
        <w:rPr>
          <w:caps/>
          <w:noProof/>
        </w:rPr>
        <w:t>Q. Composante 2.10</w:t>
      </w:r>
      <w:r>
        <w:rPr>
          <w:smallCaps/>
          <w:noProof/>
        </w:rPr>
        <w:t xml:space="preserve"> Logement abordable</w:t>
      </w:r>
    </w:p>
    <w:p w14:paraId="21AE3579" w14:textId="2A8591F9" w:rsidR="00025543" w:rsidRDefault="007E3A2F">
      <w:pPr>
        <w:keepNext/>
        <w:tabs>
          <w:tab w:val="left" w:pos="850"/>
        </w:tabs>
        <w:spacing w:line="240" w:lineRule="auto"/>
        <w:jc w:val="both"/>
        <w:rPr>
          <w:rFonts w:eastAsia="Times New Roman"/>
          <w:noProof/>
          <w:color w:val="000000" w:themeColor="text1"/>
        </w:rPr>
      </w:pPr>
      <w:r>
        <w:rPr>
          <w:noProof/>
        </w:rPr>
        <w:t xml:space="preserve">Ce volet du plan pour la reprise et la résilience de la République tchèque contribue à faire face à la crise </w:t>
      </w:r>
      <w:r>
        <w:rPr>
          <w:rFonts w:eastAsia="Times New Roman"/>
          <w:noProof/>
          <w:color w:val="000000" w:themeColor="text1"/>
        </w:rPr>
        <w:t xml:space="preserve">actuelle et croissante de l’accessibilité financière des logements. Elle vise à accroître l’offre de logements abordables en accordant des prêts concessionnels et subordonnés aux investisseurs et en créant un fonds de co-investissement public-privé pour la rénovation et la construction de logements abordables. </w:t>
      </w:r>
    </w:p>
    <w:p w14:paraId="6BB31760" w14:textId="5F0E39E8" w:rsidR="00025543" w:rsidRDefault="007E3A2F">
      <w:pPr>
        <w:pStyle w:val="P68B1DB1-Normal4"/>
        <w:spacing w:line="240" w:lineRule="auto"/>
        <w:rPr>
          <w:noProof/>
          <w:color w:val="000000" w:themeColor="text1"/>
        </w:rPr>
      </w:pPr>
      <w:r>
        <w:rPr>
          <w:noProof/>
        </w:rPr>
        <w:t>Ce volet se compose d’une réforme du logement, d’une plateforme de conseil en matière de logement et d’un réseau de centres régionaux de conseil en matière de logement, ainsi que de trois instruments financiers axés sur l’optimisation de l’accès au financement et la mobilisation de capitaux privés:</w:t>
      </w:r>
    </w:p>
    <w:p w14:paraId="75B6F81C" w14:textId="527DDAD3" w:rsidR="00025543" w:rsidRDefault="007E3A2F">
      <w:pPr>
        <w:pStyle w:val="P68B1DB1-ListParagraph39"/>
        <w:numPr>
          <w:ilvl w:val="0"/>
          <w:numId w:val="357"/>
        </w:numPr>
        <w:spacing w:line="240" w:lineRule="auto"/>
        <w:rPr>
          <w:noProof/>
        </w:rPr>
      </w:pPr>
      <w:r>
        <w:rPr>
          <w:noProof/>
        </w:rPr>
        <w:t>Une facilité de prêts concessionnels</w:t>
      </w:r>
    </w:p>
    <w:p w14:paraId="09E5B4FD" w14:textId="4140C252" w:rsidR="00025543" w:rsidRDefault="007E3A2F">
      <w:pPr>
        <w:pStyle w:val="P68B1DB1-ListParagraph39"/>
        <w:numPr>
          <w:ilvl w:val="0"/>
          <w:numId w:val="357"/>
        </w:numPr>
        <w:spacing w:line="240" w:lineRule="auto"/>
        <w:rPr>
          <w:noProof/>
        </w:rPr>
      </w:pPr>
      <w:r>
        <w:rPr>
          <w:noProof/>
        </w:rPr>
        <w:t>Une facilité de prêt subordonné</w:t>
      </w:r>
    </w:p>
    <w:p w14:paraId="74F2F908" w14:textId="3D248C91" w:rsidR="00025543" w:rsidRDefault="007E3A2F">
      <w:pPr>
        <w:pStyle w:val="P68B1DB1-ListParagraph39"/>
        <w:numPr>
          <w:ilvl w:val="0"/>
          <w:numId w:val="357"/>
        </w:numPr>
        <w:spacing w:line="240" w:lineRule="auto"/>
        <w:rPr>
          <w:noProof/>
        </w:rPr>
      </w:pPr>
      <w:r>
        <w:rPr>
          <w:noProof/>
        </w:rPr>
        <w:t>Un fonds de co-investissement public-privé</w:t>
      </w:r>
    </w:p>
    <w:p w14:paraId="2110F20C" w14:textId="25B5C851" w:rsidR="00025543" w:rsidRDefault="007E3A2F">
      <w:pPr>
        <w:pStyle w:val="P68B1DB1-Normal4"/>
        <w:spacing w:line="240" w:lineRule="auto"/>
        <w:jc w:val="both"/>
        <w:rPr>
          <w:noProof/>
          <w:color w:val="000000" w:themeColor="text1"/>
        </w:rPr>
      </w:pPr>
      <w:r>
        <w:rPr>
          <w:noProof/>
        </w:rPr>
        <w:t>Le volet soutient la mise en œuvre des recommandations par pays sur le renforcement de l’offre de logements sociaux et abordables, notamment par l’adoption d’un cadre législatif spécifique pour le logement social et une meilleure coordination entre les différents organismes (recommandation no 3 2022).</w:t>
      </w:r>
    </w:p>
    <w:p w14:paraId="01A59DBC" w14:textId="028D11CB" w:rsidR="00025543" w:rsidRDefault="007E3A2F">
      <w:pPr>
        <w:spacing w:line="276" w:lineRule="auto"/>
        <w:jc w:val="both"/>
        <w:rPr>
          <w:noProof/>
          <w:sz w:val="22"/>
        </w:rPr>
      </w:pPr>
      <w:r>
        <w:rPr>
          <w:noProof/>
        </w:rPr>
        <w:t>Aucune mesure relevant de ce volet ne devrait nuire gravement aux objectifs environnementaux au sens de l’article 17 du règlement (UE) 2020/852, compte tenu de la description des mesures et des mesures d’atténuation prévues dans le plan pour la reprise et la résilience conformément aux orientations techniques de la DNSH (2021/C58/01).</w:t>
      </w:r>
    </w:p>
    <w:p w14:paraId="7C3ABE8C" w14:textId="028D11CB" w:rsidR="00025543" w:rsidRDefault="00025543">
      <w:pPr>
        <w:widowControl w:val="0"/>
        <w:tabs>
          <w:tab w:val="left" w:pos="965"/>
          <w:tab w:val="left" w:pos="966"/>
        </w:tabs>
        <w:spacing w:before="0" w:after="0" w:line="276" w:lineRule="auto"/>
        <w:ind w:right="117"/>
        <w:contextualSpacing/>
        <w:jc w:val="both"/>
        <w:rPr>
          <w:rFonts w:eastAsia="Times New Roman"/>
          <w:b/>
          <w:noProof/>
          <w:color w:val="000000" w:themeColor="text1"/>
          <w:u w:val="single"/>
        </w:rPr>
      </w:pPr>
    </w:p>
    <w:p w14:paraId="2E3F7695" w14:textId="028D11CB" w:rsidR="00025543" w:rsidRDefault="007E3A2F">
      <w:pPr>
        <w:pStyle w:val="P68B1DB1-Normal33"/>
        <w:widowControl w:val="0"/>
        <w:tabs>
          <w:tab w:val="left" w:pos="965"/>
          <w:tab w:val="left" w:pos="966"/>
        </w:tabs>
        <w:spacing w:before="0" w:after="0" w:line="276" w:lineRule="auto"/>
        <w:ind w:right="117"/>
        <w:contextualSpacing/>
        <w:jc w:val="both"/>
        <w:rPr>
          <w:noProof/>
        </w:rPr>
      </w:pPr>
      <w:r>
        <w:rPr>
          <w:noProof/>
        </w:rPr>
        <w:t>Q.1. Description des réformes et des investissements en vue du soutien financier non remboursable</w:t>
      </w:r>
    </w:p>
    <w:p w14:paraId="272E4205" w14:textId="2AFA9D37" w:rsidR="00025543" w:rsidRDefault="007E3A2F">
      <w:pPr>
        <w:pStyle w:val="P68B1DB1-Normal18"/>
        <w:spacing w:line="240" w:lineRule="auto"/>
        <w:jc w:val="both"/>
        <w:rPr>
          <w:noProof/>
        </w:rPr>
      </w:pPr>
      <w:r>
        <w:rPr>
          <w:noProof/>
        </w:rPr>
        <w:t xml:space="preserve">Réforme 1: </w:t>
      </w:r>
    </w:p>
    <w:p w14:paraId="47919A39" w14:textId="1F9702C4" w:rsidR="00025543" w:rsidRDefault="007E3A2F">
      <w:pPr>
        <w:pStyle w:val="P68B1DB1-Normal3"/>
        <w:spacing w:line="240" w:lineRule="auto"/>
        <w:jc w:val="both"/>
        <w:rPr>
          <w:noProof/>
          <w:color w:val="000000" w:themeColor="text1"/>
        </w:rPr>
        <w:sectPr w:rsidR="00025543" w:rsidSect="00786C7E">
          <w:headerReference w:type="even" r:id="rId258"/>
          <w:headerReference w:type="default" r:id="rId259"/>
          <w:footerReference w:type="even" r:id="rId260"/>
          <w:footerReference w:type="default" r:id="rId261"/>
          <w:headerReference w:type="first" r:id="rId262"/>
          <w:footerReference w:type="first" r:id="rId263"/>
          <w:pgSz w:w="11907" w:h="16839"/>
          <w:pgMar w:top="1134" w:right="1134" w:bottom="1134" w:left="1134" w:header="567" w:footer="567" w:gutter="0"/>
          <w:cols w:space="708"/>
          <w:docGrid w:linePitch="326"/>
        </w:sectPr>
      </w:pPr>
      <w:r>
        <w:rPr>
          <w:noProof/>
        </w:rPr>
        <w:t>La</w:t>
      </w:r>
      <w:r>
        <w:rPr>
          <w:noProof/>
          <w:color w:val="000000" w:themeColor="text1"/>
        </w:rPr>
        <w:t>réforme vise à rendre le logement plus abordable en adoptant et en mettant en œuvre un cadre législatif moderne et équilibré</w:t>
      </w:r>
      <w:r>
        <w:rPr>
          <w:noProof/>
        </w:rPr>
        <w:t xml:space="preserve">. </w:t>
      </w:r>
      <w:r>
        <w:rPr>
          <w:noProof/>
          <w:color w:val="000000" w:themeColor="text1"/>
        </w:rPr>
        <w:t>Dans le cadre de la réforme, la loi sur le logement abordable entrera en vigueur.</w:t>
      </w:r>
    </w:p>
    <w:p w14:paraId="41781DD1" w14:textId="12797B13" w:rsidR="00025543" w:rsidRDefault="007E3A2F">
      <w:pPr>
        <w:pStyle w:val="P68B1DB1-Normal5"/>
        <w:rPr>
          <w:noProof/>
        </w:rPr>
      </w:pPr>
      <w:r>
        <w:rPr>
          <w:noProof/>
        </w:rPr>
        <w:t>Q.2. Jalons, cibles, indicateurs et calendrier de suivi et de mise en œuvre en vue du soutien financier non remboursable</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40"/>
        <w:gridCol w:w="1508"/>
        <w:gridCol w:w="1065"/>
        <w:gridCol w:w="1509"/>
        <w:gridCol w:w="1677"/>
        <w:gridCol w:w="967"/>
        <w:gridCol w:w="967"/>
        <w:gridCol w:w="1013"/>
        <w:gridCol w:w="1013"/>
        <w:gridCol w:w="646"/>
        <w:gridCol w:w="4016"/>
      </w:tblGrid>
      <w:tr w:rsidR="00025543" w14:paraId="58B5A94E" w14:textId="77777777">
        <w:trPr>
          <w:trHeight w:val="672"/>
          <w:tblHeader/>
          <w:jc w:val="center"/>
        </w:trPr>
        <w:tc>
          <w:tcPr>
            <w:tcW w:w="675" w:type="dxa"/>
            <w:vMerge w:val="restart"/>
            <w:shd w:val="clear" w:color="auto" w:fill="BDD7EE"/>
            <w:vAlign w:val="center"/>
            <w:hideMark/>
          </w:tcPr>
          <w:p w14:paraId="4CEBDAC7" w14:textId="77777777" w:rsidR="00025543" w:rsidRDefault="007E3A2F">
            <w:pPr>
              <w:pStyle w:val="P68B1DB1-Normal9"/>
              <w:spacing w:before="0" w:after="0" w:line="240" w:lineRule="auto"/>
              <w:jc w:val="center"/>
              <w:rPr>
                <w:noProof/>
              </w:rPr>
            </w:pPr>
            <w:r>
              <w:rPr>
                <w:noProof/>
              </w:rPr>
              <w:t>Séquence NUM.</w:t>
            </w:r>
          </w:p>
        </w:tc>
        <w:tc>
          <w:tcPr>
            <w:tcW w:w="1614" w:type="dxa"/>
            <w:vMerge w:val="restart"/>
            <w:shd w:val="clear" w:color="auto" w:fill="BDD7EE"/>
            <w:vAlign w:val="center"/>
            <w:hideMark/>
          </w:tcPr>
          <w:p w14:paraId="0F34E088" w14:textId="77777777" w:rsidR="00025543" w:rsidRDefault="007E3A2F">
            <w:pPr>
              <w:pStyle w:val="P68B1DB1-Normal9"/>
              <w:spacing w:before="0" w:after="0" w:line="240" w:lineRule="auto"/>
              <w:jc w:val="center"/>
              <w:rPr>
                <w:noProof/>
              </w:rPr>
            </w:pPr>
            <w:r>
              <w:rPr>
                <w:noProof/>
              </w:rPr>
              <w:t>Mesure connexe (réforme ou investissement)</w:t>
            </w:r>
          </w:p>
        </w:tc>
        <w:tc>
          <w:tcPr>
            <w:tcW w:w="1134" w:type="dxa"/>
            <w:vMerge w:val="restart"/>
            <w:shd w:val="clear" w:color="auto" w:fill="BDD7EE"/>
            <w:vAlign w:val="center"/>
            <w:hideMark/>
          </w:tcPr>
          <w:p w14:paraId="7A968BE2" w14:textId="77777777" w:rsidR="00025543" w:rsidRDefault="007E3A2F">
            <w:pPr>
              <w:pStyle w:val="P68B1DB1-Normal9"/>
              <w:spacing w:before="0" w:after="0" w:line="240" w:lineRule="auto"/>
              <w:jc w:val="center"/>
              <w:rPr>
                <w:noProof/>
              </w:rPr>
            </w:pPr>
            <w:r>
              <w:rPr>
                <w:noProof/>
              </w:rPr>
              <w:t>Jalon/cible</w:t>
            </w:r>
          </w:p>
        </w:tc>
        <w:tc>
          <w:tcPr>
            <w:tcW w:w="1614" w:type="dxa"/>
            <w:vMerge w:val="restart"/>
            <w:shd w:val="clear" w:color="auto" w:fill="BDD7EE"/>
            <w:vAlign w:val="center"/>
            <w:hideMark/>
          </w:tcPr>
          <w:p w14:paraId="7C814C11" w14:textId="77777777" w:rsidR="00025543" w:rsidRDefault="007E3A2F">
            <w:pPr>
              <w:pStyle w:val="P68B1DB1-Normal9"/>
              <w:spacing w:before="0" w:after="0" w:line="240" w:lineRule="auto"/>
              <w:jc w:val="center"/>
              <w:rPr>
                <w:noProof/>
              </w:rPr>
            </w:pPr>
            <w:r>
              <w:rPr>
                <w:noProof/>
              </w:rPr>
              <w:t>Nom</w:t>
            </w:r>
          </w:p>
        </w:tc>
        <w:tc>
          <w:tcPr>
            <w:tcW w:w="1796" w:type="dxa"/>
            <w:vMerge w:val="restart"/>
            <w:shd w:val="clear" w:color="auto" w:fill="BDD7EE"/>
            <w:vAlign w:val="center"/>
            <w:hideMark/>
          </w:tcPr>
          <w:p w14:paraId="075028D5" w14:textId="77777777" w:rsidR="00025543" w:rsidRDefault="007E3A2F">
            <w:pPr>
              <w:pStyle w:val="P68B1DB1-Normal9"/>
              <w:spacing w:before="0" w:after="0" w:line="240" w:lineRule="auto"/>
              <w:jc w:val="center"/>
              <w:rPr>
                <w:noProof/>
              </w:rPr>
            </w:pPr>
            <w:r>
              <w:rPr>
                <w:noProof/>
              </w:rPr>
              <w:t xml:space="preserve">Qualitatifs </w:t>
            </w:r>
            <w:r>
              <w:rPr>
                <w:noProof/>
              </w:rPr>
              <w:br/>
              <w:t>(pour les jalons)</w:t>
            </w:r>
          </w:p>
        </w:tc>
        <w:tc>
          <w:tcPr>
            <w:tcW w:w="2601" w:type="dxa"/>
            <w:gridSpan w:val="3"/>
            <w:shd w:val="clear" w:color="auto" w:fill="BDD7EE"/>
            <w:vAlign w:val="center"/>
            <w:hideMark/>
          </w:tcPr>
          <w:p w14:paraId="293B2236" w14:textId="77777777" w:rsidR="00025543" w:rsidRDefault="007E3A2F">
            <w:pPr>
              <w:pStyle w:val="P68B1DB1-Normal9"/>
              <w:spacing w:before="0" w:after="0" w:line="240" w:lineRule="auto"/>
              <w:jc w:val="center"/>
              <w:rPr>
                <w:noProof/>
              </w:rPr>
            </w:pPr>
            <w:r>
              <w:rPr>
                <w:noProof/>
              </w:rPr>
              <w:t xml:space="preserve">Indicateurs quantitatifs </w:t>
            </w:r>
            <w:r>
              <w:rPr>
                <w:noProof/>
              </w:rPr>
              <w:br/>
              <w:t>(pour les objectifs)</w:t>
            </w:r>
          </w:p>
        </w:tc>
        <w:tc>
          <w:tcPr>
            <w:tcW w:w="1361" w:type="dxa"/>
            <w:gridSpan w:val="2"/>
            <w:shd w:val="clear" w:color="auto" w:fill="BDD7EE"/>
            <w:vAlign w:val="center"/>
            <w:hideMark/>
          </w:tcPr>
          <w:p w14:paraId="5C9C393F" w14:textId="77777777" w:rsidR="00025543" w:rsidRDefault="007E3A2F">
            <w:pPr>
              <w:pStyle w:val="P68B1DB1-Normal9"/>
              <w:spacing w:before="0" w:after="0" w:line="240" w:lineRule="auto"/>
              <w:jc w:val="center"/>
              <w:rPr>
                <w:noProof/>
              </w:rPr>
            </w:pPr>
            <w:r>
              <w:rPr>
                <w:noProof/>
              </w:rPr>
              <w:t xml:space="preserve">Calendrier indicatif de réalisation </w:t>
            </w:r>
          </w:p>
        </w:tc>
        <w:tc>
          <w:tcPr>
            <w:tcW w:w="4329" w:type="dxa"/>
            <w:vMerge w:val="restart"/>
            <w:shd w:val="clear" w:color="auto" w:fill="BDD7EE"/>
            <w:vAlign w:val="center"/>
            <w:hideMark/>
          </w:tcPr>
          <w:p w14:paraId="704D1899" w14:textId="77777777" w:rsidR="00025543" w:rsidRDefault="007E3A2F">
            <w:pPr>
              <w:pStyle w:val="P68B1DB1-Normal9"/>
              <w:spacing w:before="0" w:after="0" w:line="240" w:lineRule="auto"/>
              <w:jc w:val="center"/>
              <w:rPr>
                <w:noProof/>
              </w:rPr>
            </w:pPr>
            <w:r>
              <w:rPr>
                <w:noProof/>
              </w:rPr>
              <w:t>Description de chaque jalon et cible</w:t>
            </w:r>
          </w:p>
        </w:tc>
      </w:tr>
      <w:tr w:rsidR="00025543" w14:paraId="163B71DD" w14:textId="77777777">
        <w:trPr>
          <w:trHeight w:val="458"/>
          <w:tblHeader/>
          <w:jc w:val="center"/>
        </w:trPr>
        <w:tc>
          <w:tcPr>
            <w:tcW w:w="675" w:type="dxa"/>
            <w:vMerge/>
            <w:vAlign w:val="center"/>
            <w:hideMark/>
          </w:tcPr>
          <w:p w14:paraId="4C2CFBC3" w14:textId="77777777" w:rsidR="00025543" w:rsidRDefault="00025543">
            <w:pPr>
              <w:spacing w:before="0" w:after="0" w:line="240" w:lineRule="auto"/>
              <w:rPr>
                <w:rFonts w:eastAsia="Times New Roman"/>
                <w:b/>
                <w:noProof/>
                <w:sz w:val="18"/>
              </w:rPr>
            </w:pPr>
          </w:p>
        </w:tc>
        <w:tc>
          <w:tcPr>
            <w:tcW w:w="1614" w:type="dxa"/>
            <w:vMerge/>
            <w:vAlign w:val="center"/>
            <w:hideMark/>
          </w:tcPr>
          <w:p w14:paraId="74C34D4A" w14:textId="77777777" w:rsidR="00025543" w:rsidRDefault="00025543">
            <w:pPr>
              <w:spacing w:before="0" w:after="0" w:line="240" w:lineRule="auto"/>
              <w:rPr>
                <w:rFonts w:eastAsia="Times New Roman"/>
                <w:b/>
                <w:noProof/>
                <w:sz w:val="18"/>
              </w:rPr>
            </w:pPr>
          </w:p>
        </w:tc>
        <w:tc>
          <w:tcPr>
            <w:tcW w:w="1134" w:type="dxa"/>
            <w:vMerge/>
            <w:vAlign w:val="center"/>
            <w:hideMark/>
          </w:tcPr>
          <w:p w14:paraId="03790DD7" w14:textId="77777777" w:rsidR="00025543" w:rsidRDefault="00025543">
            <w:pPr>
              <w:spacing w:before="0" w:after="0" w:line="240" w:lineRule="auto"/>
              <w:rPr>
                <w:rFonts w:eastAsia="Times New Roman"/>
                <w:b/>
                <w:noProof/>
                <w:sz w:val="18"/>
              </w:rPr>
            </w:pPr>
          </w:p>
        </w:tc>
        <w:tc>
          <w:tcPr>
            <w:tcW w:w="1614" w:type="dxa"/>
            <w:vMerge/>
            <w:vAlign w:val="center"/>
            <w:hideMark/>
          </w:tcPr>
          <w:p w14:paraId="5614B19E" w14:textId="77777777" w:rsidR="00025543" w:rsidRDefault="00025543">
            <w:pPr>
              <w:spacing w:before="0" w:after="0" w:line="240" w:lineRule="auto"/>
              <w:rPr>
                <w:rFonts w:eastAsia="Times New Roman"/>
                <w:b/>
                <w:noProof/>
                <w:sz w:val="18"/>
              </w:rPr>
            </w:pPr>
          </w:p>
        </w:tc>
        <w:tc>
          <w:tcPr>
            <w:tcW w:w="1796" w:type="dxa"/>
            <w:vMerge/>
            <w:vAlign w:val="center"/>
            <w:hideMark/>
          </w:tcPr>
          <w:p w14:paraId="72EEE34C" w14:textId="77777777" w:rsidR="00025543" w:rsidRDefault="00025543">
            <w:pPr>
              <w:spacing w:before="0" w:after="0" w:line="240" w:lineRule="auto"/>
              <w:rPr>
                <w:rFonts w:eastAsia="Times New Roman"/>
                <w:b/>
                <w:noProof/>
                <w:sz w:val="18"/>
              </w:rPr>
            </w:pPr>
          </w:p>
        </w:tc>
        <w:tc>
          <w:tcPr>
            <w:tcW w:w="1027" w:type="dxa"/>
            <w:shd w:val="clear" w:color="auto" w:fill="BDD7EE"/>
            <w:vAlign w:val="center"/>
            <w:hideMark/>
          </w:tcPr>
          <w:p w14:paraId="5192BFD6" w14:textId="77777777" w:rsidR="00025543" w:rsidRDefault="007E3A2F">
            <w:pPr>
              <w:pStyle w:val="P68B1DB1-Normal9"/>
              <w:spacing w:before="0" w:after="0" w:line="240" w:lineRule="auto"/>
              <w:jc w:val="center"/>
              <w:rPr>
                <w:noProof/>
              </w:rPr>
            </w:pPr>
            <w:r>
              <w:rPr>
                <w:noProof/>
              </w:rPr>
              <w:t>Unité de mesure</w:t>
            </w:r>
          </w:p>
        </w:tc>
        <w:tc>
          <w:tcPr>
            <w:tcW w:w="1027" w:type="dxa"/>
            <w:shd w:val="clear" w:color="auto" w:fill="BDD7EE"/>
            <w:vAlign w:val="center"/>
            <w:hideMark/>
          </w:tcPr>
          <w:p w14:paraId="05D65DDF" w14:textId="77777777" w:rsidR="00025543" w:rsidRDefault="007E3A2F">
            <w:pPr>
              <w:pStyle w:val="P68B1DB1-Normal9"/>
              <w:spacing w:before="0" w:after="0" w:line="240" w:lineRule="auto"/>
              <w:jc w:val="center"/>
              <w:rPr>
                <w:noProof/>
              </w:rPr>
            </w:pPr>
            <w:r>
              <w:rPr>
                <w:noProof/>
              </w:rPr>
              <w:t xml:space="preserve">Scénario de référence </w:t>
            </w:r>
          </w:p>
        </w:tc>
        <w:tc>
          <w:tcPr>
            <w:tcW w:w="1077" w:type="dxa"/>
            <w:shd w:val="clear" w:color="auto" w:fill="BDD7EE"/>
            <w:vAlign w:val="center"/>
            <w:hideMark/>
          </w:tcPr>
          <w:p w14:paraId="0BDBE16C" w14:textId="77777777" w:rsidR="00025543" w:rsidRDefault="007E3A2F">
            <w:pPr>
              <w:pStyle w:val="P68B1DB1-Normal9"/>
              <w:spacing w:before="0" w:after="0" w:line="240" w:lineRule="auto"/>
              <w:jc w:val="center"/>
              <w:rPr>
                <w:noProof/>
              </w:rPr>
            </w:pPr>
            <w:r>
              <w:rPr>
                <w:noProof/>
              </w:rPr>
              <w:t xml:space="preserve">Objectif </w:t>
            </w:r>
          </w:p>
        </w:tc>
        <w:tc>
          <w:tcPr>
            <w:tcW w:w="1077" w:type="dxa"/>
            <w:shd w:val="clear" w:color="auto" w:fill="BDD7EE"/>
            <w:vAlign w:val="center"/>
            <w:hideMark/>
          </w:tcPr>
          <w:p w14:paraId="0D63A290" w14:textId="77777777" w:rsidR="00025543" w:rsidRDefault="007E3A2F">
            <w:pPr>
              <w:pStyle w:val="P68B1DB1-Normal9"/>
              <w:spacing w:before="0" w:after="0" w:line="240" w:lineRule="auto"/>
              <w:jc w:val="center"/>
              <w:rPr>
                <w:noProof/>
              </w:rPr>
            </w:pPr>
            <w:r>
              <w:rPr>
                <w:noProof/>
              </w:rPr>
              <w:t>Trimestre</w:t>
            </w:r>
          </w:p>
        </w:tc>
        <w:tc>
          <w:tcPr>
            <w:tcW w:w="680" w:type="dxa"/>
            <w:shd w:val="clear" w:color="auto" w:fill="BDD7EE"/>
            <w:vAlign w:val="center"/>
            <w:hideMark/>
          </w:tcPr>
          <w:p w14:paraId="426015E0" w14:textId="77777777" w:rsidR="00025543" w:rsidRDefault="007E3A2F">
            <w:pPr>
              <w:pStyle w:val="P68B1DB1-Normal9"/>
              <w:spacing w:before="0" w:after="0" w:line="240" w:lineRule="auto"/>
              <w:jc w:val="center"/>
              <w:rPr>
                <w:noProof/>
              </w:rPr>
            </w:pPr>
            <w:r>
              <w:rPr>
                <w:noProof/>
              </w:rPr>
              <w:t>Année</w:t>
            </w:r>
          </w:p>
        </w:tc>
        <w:tc>
          <w:tcPr>
            <w:tcW w:w="4329" w:type="dxa"/>
            <w:vMerge/>
            <w:vAlign w:val="center"/>
            <w:hideMark/>
          </w:tcPr>
          <w:p w14:paraId="7B34089D" w14:textId="77777777" w:rsidR="00025543" w:rsidRDefault="00025543">
            <w:pPr>
              <w:spacing w:before="0" w:after="0" w:line="240" w:lineRule="auto"/>
              <w:rPr>
                <w:rFonts w:eastAsia="Times New Roman"/>
                <w:b/>
                <w:noProof/>
                <w:sz w:val="18"/>
              </w:rPr>
            </w:pPr>
          </w:p>
        </w:tc>
      </w:tr>
      <w:tr w:rsidR="00025543" w14:paraId="43EA954F" w14:textId="77777777">
        <w:trPr>
          <w:trHeight w:val="309"/>
          <w:jc w:val="center"/>
        </w:trPr>
        <w:tc>
          <w:tcPr>
            <w:tcW w:w="675" w:type="dxa"/>
            <w:shd w:val="clear" w:color="auto" w:fill="C6EFCE"/>
            <w:vAlign w:val="center"/>
            <w:hideMark/>
          </w:tcPr>
          <w:p w14:paraId="6B7257D8" w14:textId="44DE4A25" w:rsidR="00025543" w:rsidRDefault="007E3A2F">
            <w:pPr>
              <w:pStyle w:val="P68B1DB1-Normal11"/>
              <w:spacing w:after="0" w:line="240" w:lineRule="auto"/>
              <w:jc w:val="center"/>
              <w:rPr>
                <w:noProof/>
              </w:rPr>
            </w:pPr>
            <w:r>
              <w:rPr>
                <w:noProof/>
              </w:rPr>
              <w:t>263</w:t>
            </w:r>
          </w:p>
        </w:tc>
        <w:tc>
          <w:tcPr>
            <w:tcW w:w="1614" w:type="dxa"/>
            <w:shd w:val="clear" w:color="auto" w:fill="C6EFCE"/>
            <w:vAlign w:val="center"/>
            <w:hideMark/>
          </w:tcPr>
          <w:p w14:paraId="47DBFFB4" w14:textId="1EDDF60D" w:rsidR="00025543" w:rsidRDefault="007E3A2F">
            <w:pPr>
              <w:pStyle w:val="P68B1DB1-Normal11"/>
              <w:spacing w:after="0" w:line="240" w:lineRule="auto"/>
              <w:rPr>
                <w:noProof/>
              </w:rPr>
            </w:pPr>
            <w:r>
              <w:rPr>
                <w:noProof/>
              </w:rPr>
              <w:t>Réforme 1: Entrée en vigueur de la loi sur le logement abordable</w:t>
            </w:r>
          </w:p>
        </w:tc>
        <w:tc>
          <w:tcPr>
            <w:tcW w:w="1134" w:type="dxa"/>
            <w:shd w:val="clear" w:color="auto" w:fill="C6EFCE"/>
            <w:vAlign w:val="center"/>
            <w:hideMark/>
          </w:tcPr>
          <w:p w14:paraId="7AB6767B" w14:textId="0A40DA3F" w:rsidR="00025543" w:rsidRDefault="007E3A2F">
            <w:pPr>
              <w:pStyle w:val="P68B1DB1-Normal11"/>
              <w:spacing w:after="0" w:line="240" w:lineRule="auto"/>
              <w:rPr>
                <w:noProof/>
              </w:rPr>
            </w:pPr>
            <w:r>
              <w:rPr>
                <w:noProof/>
              </w:rPr>
              <w:t>Étapes</w:t>
            </w:r>
          </w:p>
        </w:tc>
        <w:tc>
          <w:tcPr>
            <w:tcW w:w="1614" w:type="dxa"/>
            <w:shd w:val="clear" w:color="auto" w:fill="C6EFCE"/>
            <w:vAlign w:val="center"/>
            <w:hideMark/>
          </w:tcPr>
          <w:p w14:paraId="7E434C6F" w14:textId="625975DA" w:rsidR="00025543" w:rsidRDefault="007E3A2F">
            <w:pPr>
              <w:pStyle w:val="P68B1DB1-Normal11"/>
              <w:spacing w:after="0" w:line="240" w:lineRule="auto"/>
              <w:rPr>
                <w:noProof/>
              </w:rPr>
            </w:pPr>
            <w:r>
              <w:rPr>
                <w:noProof/>
              </w:rPr>
              <w:t>Loi sur le logement abordable en vigueur</w:t>
            </w:r>
          </w:p>
        </w:tc>
        <w:tc>
          <w:tcPr>
            <w:tcW w:w="1796" w:type="dxa"/>
            <w:shd w:val="clear" w:color="auto" w:fill="C6EFCE"/>
            <w:vAlign w:val="center"/>
            <w:hideMark/>
          </w:tcPr>
          <w:p w14:paraId="66151D79" w14:textId="11DCA1DA" w:rsidR="00025543" w:rsidRDefault="007E3A2F">
            <w:pPr>
              <w:pStyle w:val="P68B1DB1-Normal11"/>
              <w:spacing w:after="0" w:line="240" w:lineRule="auto"/>
              <w:jc w:val="center"/>
              <w:rPr>
                <w:noProof/>
              </w:rPr>
            </w:pPr>
            <w:r>
              <w:rPr>
                <w:noProof/>
              </w:rPr>
              <w:t>Loi</w:t>
            </w:r>
          </w:p>
        </w:tc>
        <w:tc>
          <w:tcPr>
            <w:tcW w:w="1027" w:type="dxa"/>
            <w:shd w:val="clear" w:color="auto" w:fill="C6EFCE"/>
            <w:vAlign w:val="center"/>
          </w:tcPr>
          <w:p w14:paraId="6364F763" w14:textId="30AFC6F1" w:rsidR="00025543" w:rsidRDefault="007E3A2F">
            <w:pPr>
              <w:pStyle w:val="P68B1DB1-Normal11"/>
              <w:spacing w:after="0" w:line="240" w:lineRule="auto"/>
              <w:rPr>
                <w:noProof/>
              </w:rPr>
            </w:pPr>
            <w:r>
              <w:rPr>
                <w:noProof/>
              </w:rPr>
              <w:t> </w:t>
            </w:r>
          </w:p>
        </w:tc>
        <w:tc>
          <w:tcPr>
            <w:tcW w:w="1027" w:type="dxa"/>
            <w:shd w:val="clear" w:color="auto" w:fill="C6EFCE"/>
            <w:vAlign w:val="center"/>
          </w:tcPr>
          <w:p w14:paraId="4AE67689" w14:textId="745A12FA" w:rsidR="00025543" w:rsidRDefault="007E3A2F">
            <w:pPr>
              <w:pStyle w:val="P68B1DB1-Normal11"/>
              <w:spacing w:after="0" w:line="240" w:lineRule="auto"/>
              <w:jc w:val="center"/>
              <w:rPr>
                <w:noProof/>
              </w:rPr>
            </w:pPr>
            <w:r>
              <w:rPr>
                <w:noProof/>
              </w:rPr>
              <w:t> </w:t>
            </w:r>
          </w:p>
        </w:tc>
        <w:tc>
          <w:tcPr>
            <w:tcW w:w="1077" w:type="dxa"/>
            <w:shd w:val="clear" w:color="auto" w:fill="C6EFCE"/>
            <w:vAlign w:val="center"/>
          </w:tcPr>
          <w:p w14:paraId="6EE878FD" w14:textId="3E710536" w:rsidR="00025543" w:rsidRDefault="007E3A2F">
            <w:pPr>
              <w:pStyle w:val="P68B1DB1-Normal11"/>
              <w:spacing w:after="0" w:line="240" w:lineRule="auto"/>
              <w:jc w:val="center"/>
              <w:rPr>
                <w:noProof/>
              </w:rPr>
            </w:pPr>
            <w:r>
              <w:rPr>
                <w:noProof/>
              </w:rPr>
              <w:t> </w:t>
            </w:r>
          </w:p>
        </w:tc>
        <w:tc>
          <w:tcPr>
            <w:tcW w:w="1077" w:type="dxa"/>
            <w:shd w:val="clear" w:color="auto" w:fill="C6EFCE"/>
            <w:vAlign w:val="center"/>
            <w:hideMark/>
          </w:tcPr>
          <w:p w14:paraId="06766057" w14:textId="5D1FF1BD" w:rsidR="00025543" w:rsidRDefault="007E3A2F">
            <w:pPr>
              <w:pStyle w:val="P68B1DB1-Normal11"/>
              <w:spacing w:after="0" w:line="240" w:lineRule="auto"/>
              <w:rPr>
                <w:noProof/>
              </w:rPr>
            </w:pPr>
            <w:r>
              <w:rPr>
                <w:noProof/>
              </w:rPr>
              <w:t>TRIMESTRE 3</w:t>
            </w:r>
          </w:p>
        </w:tc>
        <w:tc>
          <w:tcPr>
            <w:tcW w:w="680" w:type="dxa"/>
            <w:shd w:val="clear" w:color="auto" w:fill="C6EFCE"/>
            <w:vAlign w:val="center"/>
            <w:hideMark/>
          </w:tcPr>
          <w:p w14:paraId="722F6D15" w14:textId="3A308C52" w:rsidR="00025543" w:rsidRDefault="007E3A2F">
            <w:pPr>
              <w:pStyle w:val="P68B1DB1-Normal11"/>
              <w:spacing w:after="0" w:line="240" w:lineRule="auto"/>
              <w:rPr>
                <w:noProof/>
              </w:rPr>
            </w:pPr>
            <w:r>
              <w:rPr>
                <w:noProof/>
              </w:rPr>
              <w:t>2025</w:t>
            </w:r>
          </w:p>
        </w:tc>
        <w:tc>
          <w:tcPr>
            <w:tcW w:w="4329" w:type="dxa"/>
            <w:shd w:val="clear" w:color="auto" w:fill="C6EFCE"/>
            <w:vAlign w:val="center"/>
            <w:hideMark/>
          </w:tcPr>
          <w:p w14:paraId="1469D24B" w14:textId="016D8552" w:rsidR="00025543" w:rsidRDefault="007E3A2F">
            <w:pPr>
              <w:spacing w:after="0" w:line="240" w:lineRule="auto"/>
              <w:rPr>
                <w:rFonts w:eastAsia="Times New Roman"/>
                <w:noProof/>
                <w:color w:val="006100"/>
                <w:sz w:val="18"/>
              </w:rPr>
            </w:pPr>
            <w:r>
              <w:rPr>
                <w:rFonts w:eastAsia="Times New Roman"/>
                <w:noProof/>
                <w:color w:val="006100"/>
                <w:sz w:val="18"/>
              </w:rPr>
              <w:t xml:space="preserve">La loi sur le logement abordable entre en vigueur. </w:t>
            </w:r>
            <w:r>
              <w:rPr>
                <w:noProof/>
              </w:rPr>
              <w:br/>
            </w:r>
            <w:r>
              <w:rPr>
                <w:noProof/>
              </w:rPr>
              <w:br/>
            </w:r>
            <w:r>
              <w:rPr>
                <w:rFonts w:eastAsia="Times New Roman"/>
                <w:noProof/>
                <w:color w:val="006100"/>
                <w:sz w:val="18"/>
              </w:rPr>
              <w:t>L’acte:</w:t>
            </w:r>
          </w:p>
          <w:p w14:paraId="540ADC6B" w14:textId="0107B9B9" w:rsidR="00025543" w:rsidRDefault="007E3A2F">
            <w:pPr>
              <w:pStyle w:val="P68B1DB1-ListParagraph31"/>
              <w:numPr>
                <w:ilvl w:val="0"/>
                <w:numId w:val="5"/>
              </w:numPr>
              <w:spacing w:after="0" w:line="240" w:lineRule="auto"/>
              <w:rPr>
                <w:noProof/>
              </w:rPr>
            </w:pPr>
            <w:r>
              <w:rPr>
                <w:noProof/>
              </w:rPr>
              <w:t>Mettre en place un mécanisme pour aider les demandeurs à trouver un logement.</w:t>
            </w:r>
          </w:p>
          <w:p w14:paraId="368C7ED1" w14:textId="00632299" w:rsidR="00025543" w:rsidRDefault="007E3A2F">
            <w:pPr>
              <w:pStyle w:val="P68B1DB1-ListParagraph31"/>
              <w:numPr>
                <w:ilvl w:val="0"/>
                <w:numId w:val="5"/>
              </w:numPr>
              <w:spacing w:after="0" w:line="240" w:lineRule="auto"/>
              <w:rPr>
                <w:noProof/>
              </w:rPr>
            </w:pPr>
            <w:r>
              <w:rPr>
                <w:noProof/>
              </w:rPr>
              <w:t>Mettre en place un mécanisme encourageant l’utilisation de logements vides.</w:t>
            </w:r>
          </w:p>
          <w:p w14:paraId="749B2C31" w14:textId="002196A1" w:rsidR="00025543" w:rsidRDefault="007E3A2F">
            <w:pPr>
              <w:pStyle w:val="P68B1DB1-ListParagraph31"/>
              <w:numPr>
                <w:ilvl w:val="0"/>
                <w:numId w:val="5"/>
              </w:numPr>
              <w:spacing w:after="0" w:line="240" w:lineRule="auto"/>
              <w:rPr>
                <w:noProof/>
              </w:rPr>
            </w:pPr>
            <w:r>
              <w:rPr>
                <w:noProof/>
              </w:rPr>
              <w:t>Mettre en place un mécanisme pour aider les locataires à remplir leurs obligations envers les propriétaires.</w:t>
            </w:r>
          </w:p>
        </w:tc>
      </w:tr>
    </w:tbl>
    <w:p w14:paraId="7401F7DF" w14:textId="5D00031C" w:rsidR="00025543" w:rsidRDefault="00025543">
      <w:pPr>
        <w:rPr>
          <w:noProof/>
        </w:rPr>
      </w:pPr>
    </w:p>
    <w:p w14:paraId="52A2A93D" w14:textId="77DDE5F4" w:rsidR="00025543" w:rsidRDefault="00025543">
      <w:pPr>
        <w:rPr>
          <w:noProof/>
        </w:rPr>
      </w:pPr>
    </w:p>
    <w:p w14:paraId="59A23B5B" w14:textId="6227FAEE" w:rsidR="00025543" w:rsidRDefault="00025543">
      <w:pPr>
        <w:rPr>
          <w:noProof/>
        </w:rPr>
      </w:pPr>
    </w:p>
    <w:p w14:paraId="57952D99" w14:textId="77777777" w:rsidR="00025543" w:rsidRDefault="00025543">
      <w:pPr>
        <w:pBdr>
          <w:top w:val="nil"/>
          <w:left w:val="nil"/>
          <w:bottom w:val="nil"/>
          <w:right w:val="nil"/>
          <w:between w:val="nil"/>
        </w:pBdr>
        <w:spacing w:line="240" w:lineRule="auto"/>
        <w:jc w:val="both"/>
        <w:rPr>
          <w:rFonts w:eastAsia="Times New Roman"/>
          <w:b/>
          <w:noProof/>
          <w:color w:val="000000" w:themeColor="text1"/>
          <w:u w:val="single"/>
        </w:rPr>
        <w:sectPr w:rsidR="00025543" w:rsidSect="00786C7E">
          <w:headerReference w:type="even" r:id="rId264"/>
          <w:headerReference w:type="default" r:id="rId265"/>
          <w:footerReference w:type="even" r:id="rId266"/>
          <w:footerReference w:type="default" r:id="rId267"/>
          <w:headerReference w:type="first" r:id="rId268"/>
          <w:footerReference w:type="first" r:id="rId269"/>
          <w:pgSz w:w="16839" w:h="11907" w:orient="landscape"/>
          <w:pgMar w:top="1134" w:right="1134" w:bottom="1134" w:left="1134" w:header="567" w:footer="567" w:gutter="0"/>
          <w:cols w:space="708"/>
          <w:docGrid w:linePitch="326"/>
        </w:sectPr>
      </w:pPr>
    </w:p>
    <w:p w14:paraId="7F7E0B42" w14:textId="05B9735D" w:rsidR="00025543" w:rsidRDefault="007E3A2F">
      <w:pPr>
        <w:spacing w:line="240" w:lineRule="auto"/>
        <w:jc w:val="both"/>
        <w:rPr>
          <w:rFonts w:eastAsia="Times New Roman"/>
          <w:noProof/>
          <w:color w:val="000000" w:themeColor="text1"/>
        </w:rPr>
      </w:pPr>
      <w:r>
        <w:rPr>
          <w:rFonts w:eastAsia="Times New Roman"/>
          <w:b/>
          <w:noProof/>
          <w:color w:val="000000" w:themeColor="text1"/>
          <w:u w:val="single"/>
        </w:rPr>
        <w:t xml:space="preserve">Q.3. </w:t>
      </w:r>
      <w:r>
        <w:rPr>
          <w:noProof/>
        </w:rPr>
        <w:tab/>
      </w:r>
      <w:r>
        <w:rPr>
          <w:rFonts w:eastAsia="Times New Roman"/>
          <w:b/>
          <w:noProof/>
          <w:color w:val="000000" w:themeColor="text1"/>
          <w:u w:val="single"/>
        </w:rPr>
        <w:t>Description des réformes et des investissements en vue du prêt</w:t>
      </w:r>
    </w:p>
    <w:p w14:paraId="7CDCD4B9" w14:textId="77777777" w:rsidR="00025543" w:rsidRDefault="007E3A2F">
      <w:pPr>
        <w:pStyle w:val="P68B1DB1-Normal18"/>
        <w:spacing w:line="240" w:lineRule="auto"/>
        <w:jc w:val="both"/>
        <w:rPr>
          <w:noProof/>
        </w:rPr>
      </w:pPr>
      <w:r>
        <w:rPr>
          <w:noProof/>
        </w:rPr>
        <w:t>Investissement 1: Facilité de prêt à des conditions préférentielles</w:t>
      </w:r>
    </w:p>
    <w:p w14:paraId="25F16CC0" w14:textId="4B40A177" w:rsidR="00025543" w:rsidRDefault="007E3A2F">
      <w:pPr>
        <w:spacing w:line="240" w:lineRule="auto"/>
        <w:jc w:val="both"/>
        <w:rPr>
          <w:rFonts w:eastAsia="Times New Roman"/>
          <w:noProof/>
          <w:color w:val="000000" w:themeColor="text1"/>
        </w:rPr>
      </w:pPr>
      <w:r>
        <w:rPr>
          <w:noProof/>
        </w:rPr>
        <w:t xml:space="preserve">Cette mesure consiste en un </w:t>
      </w:r>
      <w:r>
        <w:rPr>
          <w:rFonts w:eastAsia="@MS Mincho"/>
          <w:noProof/>
        </w:rPr>
        <w:t>investissement public</w:t>
      </w:r>
      <w:r>
        <w:rPr>
          <w:noProof/>
        </w:rPr>
        <w:t xml:space="preserve"> dans une facilité pour l’octroi de prêts concessionnels </w:t>
      </w:r>
      <w:r>
        <w:rPr>
          <w:rFonts w:eastAsia="@MS Mincho"/>
          <w:noProof/>
        </w:rPr>
        <w:t xml:space="preserve">afin d’encourager l’investissement privé et d’améliorer l’accès au financement dans le secteur du </w:t>
      </w:r>
      <w:r>
        <w:rPr>
          <w:noProof/>
        </w:rPr>
        <w:t>logement abordable en Tchéquie. La facilité fonctionne en accordant des prêts concessionnels directement au secteur privé ainsi qu’à des entités du secteur public exerçant des activités similaires. Sur la base des investissements au titre de la FRR, la facilité vise dans un premier temps à fournir au moins 170 460 000 EUR de financement.</w:t>
      </w:r>
    </w:p>
    <w:p w14:paraId="0F2AA4CB" w14:textId="671E9A0D" w:rsidR="00025543" w:rsidRDefault="007E3A2F">
      <w:pPr>
        <w:spacing w:line="240" w:lineRule="auto"/>
        <w:jc w:val="both"/>
        <w:rPr>
          <w:rFonts w:eastAsia="Times New Roman"/>
          <w:noProof/>
          <w:color w:val="000000" w:themeColor="text1"/>
        </w:rPr>
      </w:pPr>
      <w:r>
        <w:rPr>
          <w:noProof/>
        </w:rPr>
        <w:t xml:space="preserve">La facilité est gérée par le Fonds public de soutien à l’investissement en tant que partenaire chargé de la mise en œuvre. La facilité comprend la ligne de produits suivante: prêts assortis de conditions préférentielles. </w:t>
      </w:r>
      <w:r>
        <w:rPr>
          <w:rFonts w:eastAsia="Times New Roman"/>
          <w:noProof/>
          <w:color w:val="000000" w:themeColor="text1"/>
        </w:rPr>
        <w:t>Ce produit vise à accorder des prêts concessionnels à des projets qui contribuent à accroître la disponibilité de logements locatifs. Les activités soutenues visent à la rénovation d’unités de logement résidentielles existantes, à la rénovation de bâtiments en unités d’habitation résidentielles, à l’acquisition d’unités de logement et à la construction de nouvelles unités de logement.</w:t>
      </w:r>
    </w:p>
    <w:p w14:paraId="54359CC5" w14:textId="09FB5921" w:rsidR="00025543" w:rsidRDefault="007E3A2F">
      <w:pPr>
        <w:spacing w:line="240" w:lineRule="auto"/>
        <w:jc w:val="both"/>
        <w:rPr>
          <w:noProof/>
        </w:rPr>
      </w:pPr>
      <w:r>
        <w:rPr>
          <w:noProof/>
        </w:rPr>
        <w:t>Afin de mettre en œuvre l’investissement dans la facilité, la Tchéquie et le Fonds public de soutien à l’investissement signent un accord de mise en œuvre qui comporte le contenu suivant:</w:t>
      </w:r>
    </w:p>
    <w:p w14:paraId="06873128" w14:textId="1C060EA1" w:rsidR="00025543" w:rsidRDefault="007E3A2F">
      <w:pPr>
        <w:pStyle w:val="P68B1DB1-ListParagraph23"/>
        <w:numPr>
          <w:ilvl w:val="0"/>
          <w:numId w:val="260"/>
        </w:numPr>
        <w:jc w:val="both"/>
        <w:rPr>
          <w:rFonts w:eastAsia="Times New Roman"/>
          <w:noProof/>
          <w:color w:val="000000" w:themeColor="text1"/>
        </w:rPr>
      </w:pPr>
      <w:r>
        <w:rPr>
          <w:noProof/>
        </w:rPr>
        <w:t>Description du processus décisionnel de la facilité: La décision finale d’investissement de la facilité est prise par un comité d’investissement ou un autre organe de direction équivalent pertinent et approuvée à la majorité des voix de membres indépendants du gouvernement.</w:t>
      </w:r>
    </w:p>
    <w:p w14:paraId="1619C7F8" w14:textId="7FE139ED" w:rsidR="00025543" w:rsidRDefault="007E3A2F">
      <w:pPr>
        <w:pStyle w:val="P68B1DB1-ListParagraph39"/>
        <w:numPr>
          <w:ilvl w:val="0"/>
          <w:numId w:val="260"/>
        </w:numPr>
        <w:jc w:val="both"/>
        <w:rPr>
          <w:noProof/>
        </w:rPr>
      </w:pPr>
      <w:r>
        <w:rPr>
          <w:noProof/>
        </w:rPr>
        <w:t>Les principales exigences de la politique d’investissement associée, qui comprennent:</w:t>
      </w:r>
    </w:p>
    <w:p w14:paraId="7E782DC2" w14:textId="17D8A54F" w:rsidR="00025543" w:rsidRDefault="007E3A2F">
      <w:pPr>
        <w:pStyle w:val="P68B1DB1-ListParagraph39"/>
        <w:numPr>
          <w:ilvl w:val="1"/>
          <w:numId w:val="260"/>
        </w:numPr>
        <w:jc w:val="both"/>
        <w:rPr>
          <w:noProof/>
        </w:rPr>
      </w:pPr>
      <w:r>
        <w:rPr>
          <w:noProof/>
        </w:rPr>
        <w:t>La description du ou des produits financiers et des bénéficiaires finaux éligibles.</w:t>
      </w:r>
    </w:p>
    <w:p w14:paraId="6D4A7DCC" w14:textId="5A4BF0C7" w:rsidR="00025543" w:rsidRDefault="007E3A2F">
      <w:pPr>
        <w:pStyle w:val="P68B1DB1-ListParagraph39"/>
        <w:numPr>
          <w:ilvl w:val="1"/>
          <w:numId w:val="260"/>
        </w:numPr>
        <w:jc w:val="both"/>
        <w:rPr>
          <w:noProof/>
        </w:rPr>
      </w:pPr>
      <w:r>
        <w:rPr>
          <w:noProof/>
        </w:rPr>
        <w:t>L’exigence selon laquelle tous les investissements soutenus sont économiquement viables.</w:t>
      </w:r>
    </w:p>
    <w:p w14:paraId="2E60D70A" w14:textId="5ECFB89F" w:rsidR="00025543" w:rsidRDefault="007E3A2F">
      <w:pPr>
        <w:pStyle w:val="P68B1DB1-ListParagraph23"/>
        <w:numPr>
          <w:ilvl w:val="1"/>
          <w:numId w:val="260"/>
        </w:numPr>
        <w:jc w:val="both"/>
        <w:rPr>
          <w:rFonts w:eastAsia="Times New Roman"/>
          <w:noProof/>
          <w:color w:val="000000" w:themeColor="text1"/>
        </w:rPr>
      </w:pPr>
      <w:r>
        <w:rPr>
          <w:noProof/>
        </w:rPr>
        <w:t>L’obligation de respecter le principe consistant à «ne pas causer de préjudice important» (DNSH) énoncé dans les orientations techniques DNSH (2021/C58/01). En particulier, la politique d’investissement exclut de l’éligibilité la liste suivante d’activités et d’actifs: I) les activités et actifs liés aux combustibles fossiles, y compris leur utilisation en aval</w:t>
      </w:r>
      <w:r w:rsidRPr="007E3A2F">
        <w:rPr>
          <w:noProof/>
          <w:vertAlign w:val="superscript"/>
        </w:rPr>
        <w:footnoteReference w:id="16"/>
      </w:r>
      <w:r>
        <w:rPr>
          <w:noProof/>
        </w:rPr>
        <w:t>, ii) les activités et actifs relevant du système d’échange de quotas d’émission de l’UE (SEQE) permettant d’atteindre les émissions de gaz à effet de serre prévues qui ne sont pas inférieures aux valeurs de référence pertinentes</w:t>
      </w:r>
      <w:r w:rsidRPr="007E3A2F">
        <w:rPr>
          <w:noProof/>
          <w:vertAlign w:val="superscript"/>
        </w:rPr>
        <w:footnoteReference w:id="17"/>
      </w:r>
      <w:r>
        <w:rPr>
          <w:noProof/>
        </w:rPr>
        <w:t>, iii) les activités et actifs liés aux décharges de déchets, aux incinérateurs et aux installations de traitement biologique mécanique. En outre, la politique d’investissement exige le respect de la législation environnementale de l’Union et nationale applicable des bénéficiaires finaux de la facilité.</w:t>
      </w:r>
    </w:p>
    <w:p w14:paraId="61EAA3F2" w14:textId="7511A2FC" w:rsidR="00025543" w:rsidRDefault="007E3A2F">
      <w:pPr>
        <w:pStyle w:val="P68B1DB1-ListParagraph39"/>
        <w:numPr>
          <w:ilvl w:val="1"/>
          <w:numId w:val="260"/>
        </w:numPr>
        <w:jc w:val="both"/>
        <w:rPr>
          <w:noProof/>
        </w:rPr>
      </w:pPr>
      <w:r>
        <w:rPr>
          <w:noProof/>
        </w:rPr>
        <w:t>L’exigence selon laquelle les bénéficiaires finaux de la facilité ne reçoivent pas le soutien d’autres instruments de l’Union pour couvrir le même coût.</w:t>
      </w:r>
    </w:p>
    <w:p w14:paraId="40A682B3" w14:textId="3494F4B4" w:rsidR="00025543" w:rsidRDefault="007E3A2F">
      <w:pPr>
        <w:pStyle w:val="P68B1DB1-ListParagraph39"/>
        <w:numPr>
          <w:ilvl w:val="1"/>
          <w:numId w:val="260"/>
        </w:numPr>
        <w:jc w:val="both"/>
        <w:rPr>
          <w:noProof/>
        </w:rPr>
      </w:pPr>
      <w:r>
        <w:rPr>
          <w:noProof/>
        </w:rPr>
        <w:t>L’exigence selon laquelle toutes les rénovations bénéficiant d’un soutien incluent des rénovations visant à améliorer l’efficacité énergétique.</w:t>
      </w:r>
    </w:p>
    <w:p w14:paraId="46A23DC4" w14:textId="70971302" w:rsidR="00025543" w:rsidRDefault="007E3A2F">
      <w:pPr>
        <w:pStyle w:val="P68B1DB1-ListParagraph39"/>
        <w:rPr>
          <w:noProof/>
        </w:rPr>
      </w:pPr>
      <w:r>
        <w:rPr>
          <w:noProof/>
        </w:rPr>
        <w:t>Les exigences selon lesquelles les futurs locataires du logement bénéficiant d’une aide ne possèdent pas de logement et relèvent d’au moins l’une des catégories suivantes: les ménages dont le revenu équivalent des ménages se situe dans la fourchette allant du premier au huitième décile de revenu en Tchéquie; les ménages dont tous les membres sont âgés de moins de 35 ans; ménages dont au moins un membre travaille dans l’un des services suivants: éducation, soins de santé, police, pompiers, services sociaux, administration publique. En outre, le loyer du logement bénéficiant de l’aide doit être inférieur au loyer estimé sur le marché pour des logements de qualité comparable. Ces exigences sont en place pendant au moins 20 ans à compter de la réception du soutien financier.</w:t>
      </w:r>
    </w:p>
    <w:p w14:paraId="2592F6F2" w14:textId="09151272" w:rsidR="00025543" w:rsidRDefault="007E3A2F">
      <w:pPr>
        <w:pStyle w:val="P68B1DB1-ListParagraph23"/>
        <w:numPr>
          <w:ilvl w:val="0"/>
          <w:numId w:val="260"/>
        </w:numPr>
        <w:jc w:val="both"/>
        <w:rPr>
          <w:rFonts w:eastAsia="Times New Roman"/>
          <w:b/>
          <w:noProof/>
          <w:color w:val="000000" w:themeColor="text1"/>
        </w:rPr>
      </w:pPr>
      <w:r>
        <w:rPr>
          <w:noProof/>
        </w:rPr>
        <w:t>Le montant couvert par l’accord de mise en œuvre, la structure des redevances pour le partenaire chargé de la mise en œuvre et l’obligation de réinvestir tout remboursement conformément à la politique d’investissement de la facilité.</w:t>
      </w:r>
    </w:p>
    <w:p w14:paraId="11B93343" w14:textId="4F1D2F72" w:rsidR="00025543" w:rsidRDefault="007E3A2F">
      <w:pPr>
        <w:pStyle w:val="P68B1DB1-ListParagraph29"/>
        <w:numPr>
          <w:ilvl w:val="0"/>
          <w:numId w:val="260"/>
        </w:numPr>
        <w:jc w:val="both"/>
        <w:rPr>
          <w:noProof/>
        </w:rPr>
      </w:pPr>
      <w:r>
        <w:rPr>
          <w:noProof/>
        </w:rPr>
        <w:t>Exigences en matière de suivi, d’audit et de contrôle, y compris:</w:t>
      </w:r>
    </w:p>
    <w:p w14:paraId="2DB21091" w14:textId="19DB0A36" w:rsidR="00025543" w:rsidRDefault="007E3A2F">
      <w:pPr>
        <w:pStyle w:val="P68B1DB1-ListParagraph29"/>
        <w:numPr>
          <w:ilvl w:val="1"/>
          <w:numId w:val="260"/>
        </w:numPr>
        <w:jc w:val="both"/>
        <w:rPr>
          <w:noProof/>
        </w:rPr>
      </w:pPr>
      <w:r>
        <w:rPr>
          <w:noProof/>
        </w:rPr>
        <w:t>La description du système de suivi du partenaire chargé de la mise en œuvre pour rendre compte de l’investissement mobilisé.</w:t>
      </w:r>
    </w:p>
    <w:p w14:paraId="03237B1C" w14:textId="2CD7AF9F" w:rsidR="00025543" w:rsidRDefault="007E3A2F">
      <w:pPr>
        <w:pStyle w:val="P68B1DB1-ListParagraph23"/>
        <w:numPr>
          <w:ilvl w:val="1"/>
          <w:numId w:val="260"/>
        </w:numPr>
        <w:jc w:val="both"/>
        <w:rPr>
          <w:rFonts w:eastAsia="Times New Roman"/>
          <w:noProof/>
        </w:rPr>
      </w:pPr>
      <w:r>
        <w:rPr>
          <w:noProof/>
        </w:rPr>
        <w:t>La description des procédures du partenaire chargé de la mise en œuvre qui assureront la prévention, la détection et la correction de la fraude, de la corruption et des conflits d’intérêts.</w:t>
      </w:r>
    </w:p>
    <w:p w14:paraId="69792001" w14:textId="2AE40FE7" w:rsidR="00025543" w:rsidRDefault="007E3A2F">
      <w:pPr>
        <w:pStyle w:val="P68B1DB1-ListParagraph23"/>
        <w:numPr>
          <w:ilvl w:val="1"/>
          <w:numId w:val="260"/>
        </w:numPr>
        <w:jc w:val="both"/>
        <w:rPr>
          <w:rFonts w:eastAsia="Times New Roman"/>
          <w:noProof/>
        </w:rPr>
      </w:pPr>
      <w:r>
        <w:rPr>
          <w:noProof/>
        </w:rPr>
        <w:t>L’obligation de vérifier l’éligibilité de chaque opération conformément aux exigences énoncées dans l’accord de mise en œuvre avant de s’engager à financer une opération.</w:t>
      </w:r>
    </w:p>
    <w:p w14:paraId="0A42D3D5" w14:textId="76B8B5D3" w:rsidR="00025543" w:rsidRDefault="007E3A2F">
      <w:pPr>
        <w:pStyle w:val="P68B1DB1-ListParagraph23"/>
        <w:numPr>
          <w:ilvl w:val="1"/>
          <w:numId w:val="260"/>
        </w:numPr>
        <w:jc w:val="both"/>
        <w:rPr>
          <w:rFonts w:eastAsia="Times New Roman"/>
          <w:noProof/>
        </w:rPr>
      </w:pPr>
      <w:r>
        <w:rPr>
          <w:noProof/>
        </w:rPr>
        <w:t>L’obligation de réaliser des audits ex post fondés sur les risques conformément à un plan d’audit du Fonds d’aide à l’investissement de l’État. Ces audits vérifient i) l’efficacité des systèmes de contrôle, y compris la détection de la fraude, de la corruption et des conflits d’intérêts; le respect du principe consistant à «ne pas causer de préjudice important» et des règles en matière d’aides d’État; et iii) que l’exigence selon laquelle les bénéficiaires finaux de la facilité n’ont pas reçu le soutien d’autres instruments de l’Union pour couvrir les mêmes coûts est respectée. Les audits vérifient également la légalité des transactions et le respect des conditions de l’accord de mise en œuvre applicable.</w:t>
      </w:r>
    </w:p>
    <w:p w14:paraId="74136F2C" w14:textId="77777777" w:rsidR="00025543" w:rsidRDefault="007E3A2F">
      <w:pPr>
        <w:pStyle w:val="P68B1DB1-Normal4"/>
        <w:spacing w:before="0" w:after="160" w:line="240" w:lineRule="auto"/>
        <w:jc w:val="both"/>
        <w:rPr>
          <w:noProof/>
          <w:color w:val="000000" w:themeColor="text1"/>
        </w:rPr>
      </w:pPr>
      <w:r>
        <w:rPr>
          <w:noProof/>
        </w:rPr>
        <w:t>La mise en œuvre de la mesure est achevée au plus tard le 31 août 2026.</w:t>
      </w:r>
    </w:p>
    <w:p w14:paraId="289CD875" w14:textId="4C5CF1BA" w:rsidR="00025543" w:rsidRDefault="007E3A2F">
      <w:pPr>
        <w:pStyle w:val="P68B1DB1-Normal18"/>
        <w:spacing w:after="160" w:line="259" w:lineRule="auto"/>
        <w:rPr>
          <w:noProof/>
        </w:rPr>
      </w:pPr>
      <w:r>
        <w:rPr>
          <w:noProof/>
        </w:rPr>
        <w:t>Investissement 2: Facilité de prêts subordonnés</w:t>
      </w:r>
    </w:p>
    <w:p w14:paraId="632B988C" w14:textId="0865E4E4" w:rsidR="00025543" w:rsidRDefault="007E3A2F">
      <w:pPr>
        <w:spacing w:line="240" w:lineRule="auto"/>
        <w:jc w:val="both"/>
        <w:rPr>
          <w:noProof/>
        </w:rPr>
      </w:pPr>
      <w:r>
        <w:rPr>
          <w:noProof/>
        </w:rPr>
        <w:t xml:space="preserve">Cette mesure consiste en un </w:t>
      </w:r>
      <w:r>
        <w:rPr>
          <w:rFonts w:eastAsia="@MS Mincho"/>
          <w:noProof/>
        </w:rPr>
        <w:t>investissement public</w:t>
      </w:r>
      <w:r>
        <w:rPr>
          <w:noProof/>
        </w:rPr>
        <w:t xml:space="preserve"> dans une facilité pour la fourniture de prêts subordonnés </w:t>
      </w:r>
      <w:r>
        <w:rPr>
          <w:rFonts w:eastAsia="@MS Mincho"/>
          <w:noProof/>
        </w:rPr>
        <w:t xml:space="preserve">afin d’encourager l’investissement privé et d’améliorer l’accès au financement dans le secteur du </w:t>
      </w:r>
      <w:r>
        <w:rPr>
          <w:noProof/>
        </w:rPr>
        <w:t>logement abordable en Tchéquie. La facilité fonctionne en accordant des prêts subordonnés directement au secteur privé ainsi qu’à des entités du secteur public exerçant des activités similaires. Sur la base des investissements au titre de la FRR, la facilité vise dans un premier temps à fournir au moins 94 770 000 EUR de financement.</w:t>
      </w:r>
    </w:p>
    <w:p w14:paraId="03CAEB18" w14:textId="73F5C180" w:rsidR="00025543" w:rsidRDefault="007E3A2F">
      <w:pPr>
        <w:spacing w:line="240" w:lineRule="auto"/>
        <w:jc w:val="both"/>
        <w:rPr>
          <w:rFonts w:eastAsia="Times New Roman"/>
          <w:noProof/>
          <w:color w:val="000000" w:themeColor="text1"/>
        </w:rPr>
      </w:pPr>
      <w:r>
        <w:rPr>
          <w:noProof/>
        </w:rPr>
        <w:t xml:space="preserve">La facilité est gérée par la Banque nationale de développement en tant que partenaire chargé de la mise en œuvre. La facilité comprend la ligne de produits suivante: prêts subordonnés. </w:t>
      </w:r>
      <w:r>
        <w:rPr>
          <w:rFonts w:eastAsia="Times New Roman"/>
          <w:noProof/>
          <w:color w:val="000000" w:themeColor="text1"/>
        </w:rPr>
        <w:t>Ce produit vise à fournir des prêts subordonnés à des projets qui contribuent à accroître la disponibilité de logements locatifs. Les activités soutenues visent à la rénovation d’unités de logement résidentielles existantes, à la rénovation de bâtiments en unités d’habitation résidentielles et à la construction de nouvelles unités de logement.</w:t>
      </w:r>
    </w:p>
    <w:p w14:paraId="62AB833E" w14:textId="4955F313" w:rsidR="00025543" w:rsidRDefault="007E3A2F">
      <w:pPr>
        <w:spacing w:line="240" w:lineRule="auto"/>
        <w:jc w:val="both"/>
        <w:rPr>
          <w:noProof/>
        </w:rPr>
      </w:pPr>
      <w:r>
        <w:rPr>
          <w:noProof/>
        </w:rPr>
        <w:t>Afin de mettre en œuvre l’investissement dans la facilité, la Tchéquie et la Banque nationale de développement signent un accord de mise en œuvre qui comporte les éléments suivants:</w:t>
      </w:r>
    </w:p>
    <w:p w14:paraId="68D6CB52" w14:textId="5ABAE773" w:rsidR="00025543" w:rsidRDefault="007E3A2F">
      <w:pPr>
        <w:pStyle w:val="P68B1DB1-ListParagraph23"/>
        <w:numPr>
          <w:ilvl w:val="0"/>
          <w:numId w:val="373"/>
        </w:numPr>
        <w:jc w:val="both"/>
        <w:rPr>
          <w:rFonts w:eastAsia="Times New Roman"/>
          <w:noProof/>
          <w:color w:val="000000" w:themeColor="text1"/>
        </w:rPr>
      </w:pPr>
      <w:r>
        <w:rPr>
          <w:noProof/>
        </w:rPr>
        <w:t>Description du processus décisionnel de la facilité: La décision finale d’investissement de la facilité est prise par un comité d’investissement ou un autre organe de direction équivalent pertinent et approuvée à la majorité des voix de membres indépendants du gouvernement.</w:t>
      </w:r>
    </w:p>
    <w:p w14:paraId="06C4CDB6" w14:textId="77777777" w:rsidR="00025543" w:rsidRDefault="007E3A2F">
      <w:pPr>
        <w:pStyle w:val="P68B1DB1-ListParagraph39"/>
        <w:numPr>
          <w:ilvl w:val="0"/>
          <w:numId w:val="373"/>
        </w:numPr>
        <w:jc w:val="both"/>
        <w:rPr>
          <w:noProof/>
        </w:rPr>
      </w:pPr>
      <w:r>
        <w:rPr>
          <w:noProof/>
        </w:rPr>
        <w:t>Les principales exigences de la politique d’investissement associée, qui comprennent:</w:t>
      </w:r>
    </w:p>
    <w:p w14:paraId="47146508" w14:textId="77777777" w:rsidR="00025543" w:rsidRDefault="007E3A2F">
      <w:pPr>
        <w:pStyle w:val="P68B1DB1-ListParagraph39"/>
        <w:numPr>
          <w:ilvl w:val="1"/>
          <w:numId w:val="373"/>
        </w:numPr>
        <w:jc w:val="both"/>
        <w:rPr>
          <w:noProof/>
        </w:rPr>
      </w:pPr>
      <w:r>
        <w:rPr>
          <w:noProof/>
        </w:rPr>
        <w:t>La description du ou des produits financiers et des bénéficiaires finaux éligibles.</w:t>
      </w:r>
    </w:p>
    <w:p w14:paraId="7474BA4C" w14:textId="77777777" w:rsidR="00025543" w:rsidRDefault="007E3A2F">
      <w:pPr>
        <w:pStyle w:val="P68B1DB1-ListParagraph39"/>
        <w:numPr>
          <w:ilvl w:val="1"/>
          <w:numId w:val="373"/>
        </w:numPr>
        <w:jc w:val="both"/>
        <w:rPr>
          <w:noProof/>
        </w:rPr>
      </w:pPr>
      <w:r>
        <w:rPr>
          <w:noProof/>
        </w:rPr>
        <w:t>L’exigence selon laquelle tous les investissements soutenus sont économiquement viables.</w:t>
      </w:r>
    </w:p>
    <w:p w14:paraId="3D1BE002" w14:textId="77777777" w:rsidR="00025543" w:rsidRDefault="007E3A2F">
      <w:pPr>
        <w:pStyle w:val="P68B1DB1-ListParagraph23"/>
        <w:numPr>
          <w:ilvl w:val="1"/>
          <w:numId w:val="373"/>
        </w:numPr>
        <w:jc w:val="both"/>
        <w:rPr>
          <w:rFonts w:eastAsia="Times New Roman"/>
          <w:noProof/>
          <w:color w:val="000000" w:themeColor="text1"/>
        </w:rPr>
      </w:pPr>
      <w:r>
        <w:rPr>
          <w:noProof/>
        </w:rPr>
        <w:t>L’obligation de respecter le principe consistant à «ne pas causer de préjudice important» (DNSH) énoncé dans les orientations techniques DNSH (2021/C58/01). En particulier, la politique d’investissement exclut de l’éligibilité la liste suivante d’activités et d’actifs: I) les activités et actifs liés aux combustibles fossiles, y compris leur utilisation en aval</w:t>
      </w:r>
      <w:r w:rsidRPr="007E3A2F">
        <w:rPr>
          <w:noProof/>
          <w:vertAlign w:val="superscript"/>
        </w:rPr>
        <w:footnoteReference w:id="18"/>
      </w:r>
      <w:r>
        <w:rPr>
          <w:noProof/>
        </w:rPr>
        <w:t>, ii) les activités et actifs relevant du système d’échange de quotas d’émission de l’UE (SEQE) permettant d’atteindre les émissions de gaz à effet de serre prévues qui ne sont pas inférieures aux valeurs de référence pertinentes</w:t>
      </w:r>
      <w:r w:rsidRPr="007E3A2F">
        <w:rPr>
          <w:noProof/>
          <w:vertAlign w:val="superscript"/>
        </w:rPr>
        <w:footnoteReference w:id="19"/>
      </w:r>
      <w:r>
        <w:rPr>
          <w:noProof/>
        </w:rPr>
        <w:t>, iii) les activités et actifs liés aux décharges de déchets, aux incinérateurs et aux installations de traitement biologique mécanique. En outre, la politique d’investissement exige le respect de la législation environnementale de l’Union et nationale applicable des bénéficiaires finaux de la facilité.</w:t>
      </w:r>
    </w:p>
    <w:p w14:paraId="716D83DE" w14:textId="77777777" w:rsidR="00025543" w:rsidRDefault="007E3A2F">
      <w:pPr>
        <w:pStyle w:val="P68B1DB1-ListParagraph39"/>
        <w:numPr>
          <w:ilvl w:val="1"/>
          <w:numId w:val="373"/>
        </w:numPr>
        <w:jc w:val="both"/>
        <w:rPr>
          <w:noProof/>
        </w:rPr>
      </w:pPr>
      <w:r>
        <w:rPr>
          <w:noProof/>
        </w:rPr>
        <w:t>L’exigence selon laquelle les bénéficiaires finaux de la facilité ne reçoivent pas le soutien d’autres instruments de l’Union pour couvrir le même coût.</w:t>
      </w:r>
    </w:p>
    <w:p w14:paraId="1168BF02" w14:textId="77777777" w:rsidR="00025543" w:rsidRDefault="007E3A2F">
      <w:pPr>
        <w:pStyle w:val="P68B1DB1-ListParagraph39"/>
        <w:numPr>
          <w:ilvl w:val="1"/>
          <w:numId w:val="373"/>
        </w:numPr>
        <w:jc w:val="both"/>
        <w:rPr>
          <w:noProof/>
        </w:rPr>
      </w:pPr>
      <w:r>
        <w:rPr>
          <w:noProof/>
        </w:rPr>
        <w:t>L’exigence selon laquelle toutes les rénovations bénéficiant d’un soutien incluent des rénovations visant à améliorer l’efficacité énergétique.</w:t>
      </w:r>
    </w:p>
    <w:p w14:paraId="7A745DCE" w14:textId="654B8461" w:rsidR="00025543" w:rsidRDefault="007E3A2F">
      <w:pPr>
        <w:pStyle w:val="P68B1DB1-ListParagraph39"/>
        <w:numPr>
          <w:ilvl w:val="1"/>
          <w:numId w:val="373"/>
        </w:numPr>
        <w:jc w:val="both"/>
        <w:rPr>
          <w:noProof/>
        </w:rPr>
      </w:pPr>
      <w:r>
        <w:rPr>
          <w:noProof/>
        </w:rPr>
        <w:t>Les exigences selon lesquelles les futurs locataires du logement bénéficiant d’une aide ne possèdent pas de logement et relèvent d’au moins l’une des catégories suivantes: les ménages dont le revenu équivalent des ménages se situe dans la fourchette allant du premier au huitième décile de revenu en Tchéquie; les ménages dont tous les membres sont âgés de moins de 35 ans; ménages dont au moins un membre travaille dans l’un des services suivants: éducation, soins de santé, police, pompiers, services sociaux, administration publique. En outre, le loyer du logement bénéficiant de l’aide doit être inférieur au loyer estimé sur le marché pour des logements de qualité comparable. Ces exigences sont en place pendant au moins 20 ans à compter de la réception du soutien financier.</w:t>
      </w:r>
    </w:p>
    <w:p w14:paraId="64F79D0D" w14:textId="77777777" w:rsidR="00025543" w:rsidRDefault="007E3A2F">
      <w:pPr>
        <w:pStyle w:val="P68B1DB1-ListParagraph23"/>
        <w:numPr>
          <w:ilvl w:val="0"/>
          <w:numId w:val="373"/>
        </w:numPr>
        <w:jc w:val="both"/>
        <w:rPr>
          <w:rFonts w:eastAsia="Times New Roman"/>
          <w:b/>
          <w:noProof/>
          <w:color w:val="000000" w:themeColor="text1"/>
        </w:rPr>
      </w:pPr>
      <w:r>
        <w:rPr>
          <w:noProof/>
        </w:rPr>
        <w:t>Le montant couvert par l’accord de mise en œuvre, la structure des redevances pour le partenaire chargé de la mise en œuvre et l’obligation de réinvestir tout remboursement conformément à la politique d’investissement de la facilité.</w:t>
      </w:r>
    </w:p>
    <w:p w14:paraId="0A50F316" w14:textId="77777777" w:rsidR="00025543" w:rsidRDefault="007E3A2F">
      <w:pPr>
        <w:pStyle w:val="P68B1DB1-ListParagraph29"/>
        <w:numPr>
          <w:ilvl w:val="0"/>
          <w:numId w:val="373"/>
        </w:numPr>
        <w:jc w:val="both"/>
        <w:rPr>
          <w:noProof/>
        </w:rPr>
      </w:pPr>
      <w:r>
        <w:rPr>
          <w:noProof/>
        </w:rPr>
        <w:t>Exigences en matière de suivi, d’audit et de contrôle, y compris:</w:t>
      </w:r>
    </w:p>
    <w:p w14:paraId="5E8A5407" w14:textId="77777777" w:rsidR="00025543" w:rsidRDefault="007E3A2F">
      <w:pPr>
        <w:pStyle w:val="P68B1DB1-ListParagraph29"/>
        <w:numPr>
          <w:ilvl w:val="1"/>
          <w:numId w:val="373"/>
        </w:numPr>
        <w:jc w:val="both"/>
        <w:rPr>
          <w:noProof/>
        </w:rPr>
      </w:pPr>
      <w:r>
        <w:rPr>
          <w:noProof/>
        </w:rPr>
        <w:t>La description du système de suivi du partenaire chargé de la mise en œuvre pour rendre compte de l’investissement mobilisé.</w:t>
      </w:r>
    </w:p>
    <w:p w14:paraId="7BC683DB" w14:textId="77777777" w:rsidR="00025543" w:rsidRDefault="007E3A2F">
      <w:pPr>
        <w:pStyle w:val="P68B1DB1-ListParagraph23"/>
        <w:numPr>
          <w:ilvl w:val="1"/>
          <w:numId w:val="373"/>
        </w:numPr>
        <w:jc w:val="both"/>
        <w:rPr>
          <w:rFonts w:eastAsia="Times New Roman"/>
          <w:noProof/>
        </w:rPr>
      </w:pPr>
      <w:r>
        <w:rPr>
          <w:noProof/>
        </w:rPr>
        <w:t>La description des procédures du partenaire chargé de la mise en œuvre qui assureront la prévention, la détection et la correction de la fraude, de la corruption et des conflits d’intérêts.</w:t>
      </w:r>
    </w:p>
    <w:p w14:paraId="16DEA487" w14:textId="77777777" w:rsidR="00025543" w:rsidRDefault="007E3A2F">
      <w:pPr>
        <w:pStyle w:val="P68B1DB1-ListParagraph23"/>
        <w:numPr>
          <w:ilvl w:val="1"/>
          <w:numId w:val="373"/>
        </w:numPr>
        <w:jc w:val="both"/>
        <w:rPr>
          <w:rFonts w:eastAsia="Times New Roman"/>
          <w:noProof/>
        </w:rPr>
      </w:pPr>
      <w:r>
        <w:rPr>
          <w:noProof/>
        </w:rPr>
        <w:t>L’obligation de vérifier l’éligibilité de chaque opération conformément aux exigences énoncées dans l’accord de mise en œuvre avant de s’engager à financer une opération.</w:t>
      </w:r>
    </w:p>
    <w:p w14:paraId="5780AA0E" w14:textId="397D17A4" w:rsidR="00025543" w:rsidRDefault="007E3A2F">
      <w:pPr>
        <w:pStyle w:val="P68B1DB1-ListParagraph23"/>
        <w:numPr>
          <w:ilvl w:val="1"/>
          <w:numId w:val="373"/>
        </w:numPr>
        <w:jc w:val="both"/>
        <w:rPr>
          <w:noProof/>
        </w:rPr>
      </w:pPr>
      <w:r>
        <w:rPr>
          <w:noProof/>
        </w:rPr>
        <w:t>L’obligation de réaliser des audits ex post fondés sur les risques conformément à un plan d’audit de la Banque nationale de développement. Ces audits vérifient i) l’efficacité des systèmes de contrôle, y compris la détection de la fraude, de la corruption et des conflits d’intérêts; le respect du principe consistant à «ne pas causer de préjudice important» et des règles en matière d’aides d’État; et iii) que l’exigence selon laquelle les bénéficiaires finaux de la facilité n’ont pas reçu le soutien d’autres instruments de l’Union pour couvrir les mêmes coûts est respectée. Les audits vérifient également la légalité des transactions et le respect des conditions de l’accord de mise en œuvre applicable.</w:t>
      </w:r>
    </w:p>
    <w:p w14:paraId="40A5E90E" w14:textId="77777777" w:rsidR="00025543" w:rsidRDefault="007E3A2F">
      <w:pPr>
        <w:pStyle w:val="P68B1DB1-Normal4"/>
        <w:spacing w:after="160" w:line="259" w:lineRule="auto"/>
        <w:rPr>
          <w:noProof/>
          <w:color w:val="000000" w:themeColor="text1"/>
        </w:rPr>
      </w:pPr>
      <w:r>
        <w:rPr>
          <w:noProof/>
        </w:rPr>
        <w:t>La mise en œuvre de la mesure est achevée au plus tard le 31 août 2026.</w:t>
      </w:r>
    </w:p>
    <w:p w14:paraId="37EA8C63" w14:textId="07456E06" w:rsidR="00025543" w:rsidRDefault="007E3A2F">
      <w:pPr>
        <w:pStyle w:val="P68B1DB1-Normal18"/>
        <w:spacing w:after="160" w:line="259" w:lineRule="auto"/>
        <w:rPr>
          <w:noProof/>
        </w:rPr>
      </w:pPr>
      <w:r>
        <w:rPr>
          <w:noProof/>
        </w:rPr>
        <w:t xml:space="preserve">Investissement 3: Facilité de co-investissement </w:t>
      </w:r>
    </w:p>
    <w:p w14:paraId="2B182039" w14:textId="1C5A7BF5" w:rsidR="00025543" w:rsidRDefault="007E3A2F">
      <w:pPr>
        <w:spacing w:after="160" w:line="259" w:lineRule="auto"/>
        <w:jc w:val="both"/>
        <w:rPr>
          <w:rFonts w:eastAsia="Times New Roman"/>
          <w:noProof/>
          <w:color w:val="000000" w:themeColor="text1"/>
        </w:rPr>
      </w:pPr>
      <w:r>
        <w:rPr>
          <w:rFonts w:eastAsia="Times New Roman"/>
          <w:noProof/>
          <w:color w:val="000000" w:themeColor="text1"/>
        </w:rPr>
        <w:t>Cette mesure consiste en un investissement public dans une facilité de co-investissement public-privé visant à améliorer l’accès à un logement abordable en Tchéquie. La facilité</w:t>
      </w:r>
      <w:r>
        <w:rPr>
          <w:noProof/>
        </w:rPr>
        <w:t xml:space="preserve">fonctionne en investissant directement dans des biens immobiliers. Sur la base de l’investissement au titre de la FRR, la facilité vise à investir dans un premier temps au moins 39 574 000 EUR. </w:t>
      </w:r>
    </w:p>
    <w:p w14:paraId="15D32188" w14:textId="59851650" w:rsidR="00025543" w:rsidRDefault="007E3A2F">
      <w:pPr>
        <w:spacing w:line="240" w:lineRule="auto"/>
        <w:jc w:val="both"/>
        <w:rPr>
          <w:rFonts w:eastAsia="Times New Roman"/>
          <w:noProof/>
          <w:color w:val="000000" w:themeColor="text1"/>
        </w:rPr>
      </w:pPr>
      <w:r>
        <w:rPr>
          <w:noProof/>
        </w:rPr>
        <w:t xml:space="preserve">La facilité est gérée </w:t>
      </w:r>
      <w:r>
        <w:rPr>
          <w:rFonts w:eastAsia="Times New Roman"/>
          <w:noProof/>
          <w:color w:val="000000" w:themeColor="text1"/>
        </w:rPr>
        <w:t>par le Fonds national de développement en tant que partenaire chargé de la mise en œuvre.</w:t>
      </w:r>
    </w:p>
    <w:p w14:paraId="5FBA145A" w14:textId="5B9D3B23" w:rsidR="00025543" w:rsidRDefault="007E3A2F">
      <w:pPr>
        <w:spacing w:line="240" w:lineRule="auto"/>
        <w:jc w:val="both"/>
        <w:rPr>
          <w:noProof/>
        </w:rPr>
      </w:pPr>
      <w:r>
        <w:rPr>
          <w:rFonts w:eastAsia="Times New Roman"/>
          <w:noProof/>
          <w:color w:val="000000" w:themeColor="text1"/>
        </w:rPr>
        <w:t>Afin de mettre en œuvre l’investissement dans la facilité, la Tchéquie et la Banque nationale de développement signent un accord de mise en œuvre qui comporte les éléments suivants</w:t>
      </w:r>
      <w:r>
        <w:rPr>
          <w:noProof/>
        </w:rPr>
        <w:t>:</w:t>
      </w:r>
    </w:p>
    <w:p w14:paraId="00ABB883" w14:textId="77777777" w:rsidR="00025543" w:rsidRDefault="007E3A2F">
      <w:pPr>
        <w:pStyle w:val="P68B1DB1-ListParagraph23"/>
        <w:numPr>
          <w:ilvl w:val="0"/>
          <w:numId w:val="374"/>
        </w:numPr>
        <w:jc w:val="both"/>
        <w:rPr>
          <w:rFonts w:eastAsia="Times New Roman"/>
          <w:noProof/>
          <w:color w:val="000000" w:themeColor="text1"/>
        </w:rPr>
      </w:pPr>
      <w:r>
        <w:rPr>
          <w:noProof/>
        </w:rPr>
        <w:t>Description du processus décisionnel de la facilité: La décision finale d’investissement de la facilité est prise par un comité d’investissement ou un autre organe de direction équivalent pertinent et approuvée à la majorité des voix de membres indépendants du gouvernement.</w:t>
      </w:r>
    </w:p>
    <w:p w14:paraId="56D217B6" w14:textId="77777777" w:rsidR="00025543" w:rsidRDefault="007E3A2F">
      <w:pPr>
        <w:pStyle w:val="P68B1DB1-ListParagraph39"/>
        <w:numPr>
          <w:ilvl w:val="0"/>
          <w:numId w:val="374"/>
        </w:numPr>
        <w:jc w:val="both"/>
        <w:rPr>
          <w:noProof/>
        </w:rPr>
      </w:pPr>
      <w:r>
        <w:rPr>
          <w:noProof/>
        </w:rPr>
        <w:t>Les principales exigences de la politique d’investissement associée, qui comprennent:</w:t>
      </w:r>
    </w:p>
    <w:p w14:paraId="5C6AA4D8" w14:textId="77777777" w:rsidR="00025543" w:rsidRDefault="007E3A2F">
      <w:pPr>
        <w:pStyle w:val="P68B1DB1-ListParagraph39"/>
        <w:numPr>
          <w:ilvl w:val="1"/>
          <w:numId w:val="374"/>
        </w:numPr>
        <w:jc w:val="both"/>
        <w:rPr>
          <w:noProof/>
        </w:rPr>
      </w:pPr>
      <w:r>
        <w:rPr>
          <w:noProof/>
        </w:rPr>
        <w:t>L’exigence selon laquelle tous les investissements soutenus sont économiquement viables.</w:t>
      </w:r>
    </w:p>
    <w:p w14:paraId="0242E75C" w14:textId="77777777" w:rsidR="00025543" w:rsidRDefault="007E3A2F">
      <w:pPr>
        <w:pStyle w:val="P68B1DB1-ListParagraph23"/>
        <w:numPr>
          <w:ilvl w:val="1"/>
          <w:numId w:val="374"/>
        </w:numPr>
        <w:jc w:val="both"/>
        <w:rPr>
          <w:rFonts w:eastAsia="Times New Roman"/>
          <w:noProof/>
          <w:color w:val="000000" w:themeColor="text1"/>
        </w:rPr>
      </w:pPr>
      <w:r>
        <w:rPr>
          <w:noProof/>
        </w:rPr>
        <w:t>L’obligation de respecter le principe consistant à «ne pas causer de préjudice important» (DNSH) énoncé dans les orientations techniques DNSH (2021/C58/01). En particulier, la politique d’investissement exclut de l’éligibilité la liste suivante d’activités et d’actifs: I) les activités et actifs liés aux combustibles fossiles, y compris leur utilisation en aval</w:t>
      </w:r>
      <w:r w:rsidRPr="007E3A2F">
        <w:rPr>
          <w:noProof/>
          <w:vertAlign w:val="superscript"/>
        </w:rPr>
        <w:footnoteReference w:id="20"/>
      </w:r>
      <w:r>
        <w:rPr>
          <w:noProof/>
        </w:rPr>
        <w:t>, ii) les activités et actifs relevant du système d’échange de quotas d’émission de l’UE (SEQE) permettant d’atteindre les émissions de gaz à effet de serre prévues qui ne sont pas inférieures aux valeurs de référence pertinentes</w:t>
      </w:r>
      <w:r w:rsidRPr="007E3A2F">
        <w:rPr>
          <w:noProof/>
          <w:vertAlign w:val="superscript"/>
        </w:rPr>
        <w:footnoteReference w:id="21"/>
      </w:r>
      <w:r>
        <w:rPr>
          <w:noProof/>
        </w:rPr>
        <w:t>, iii) les activités et actifs liés aux décharges de déchets, aux incinérateurs et aux installations de traitement biologique mécanique. En outre, la politique d’investissement exige le respect de la législation environnementale de l’Union et nationale applicable des bénéficiaires finaux de la facilité.</w:t>
      </w:r>
    </w:p>
    <w:p w14:paraId="5BB275AF" w14:textId="77777777" w:rsidR="00025543" w:rsidRDefault="007E3A2F">
      <w:pPr>
        <w:pStyle w:val="P68B1DB1-ListParagraph39"/>
        <w:numPr>
          <w:ilvl w:val="1"/>
          <w:numId w:val="374"/>
        </w:numPr>
        <w:jc w:val="both"/>
        <w:rPr>
          <w:noProof/>
        </w:rPr>
      </w:pPr>
      <w:r>
        <w:rPr>
          <w:noProof/>
        </w:rPr>
        <w:t>L’exigence selon laquelle les bénéficiaires finaux de la facilité ne reçoivent pas le soutien d’autres instruments de l’Union pour couvrir le même coût.</w:t>
      </w:r>
    </w:p>
    <w:p w14:paraId="68599C6E" w14:textId="77777777" w:rsidR="00025543" w:rsidRDefault="007E3A2F">
      <w:pPr>
        <w:pStyle w:val="P68B1DB1-ListParagraph39"/>
        <w:numPr>
          <w:ilvl w:val="1"/>
          <w:numId w:val="374"/>
        </w:numPr>
        <w:jc w:val="both"/>
        <w:rPr>
          <w:noProof/>
        </w:rPr>
      </w:pPr>
      <w:r>
        <w:rPr>
          <w:noProof/>
        </w:rPr>
        <w:t>L’exigence selon laquelle toutes les rénovations bénéficiant d’un soutien incluent des rénovations visant à améliorer l’efficacité énergétique.</w:t>
      </w:r>
    </w:p>
    <w:p w14:paraId="50D32158" w14:textId="1595EFF9" w:rsidR="00025543" w:rsidRDefault="007E3A2F">
      <w:pPr>
        <w:pStyle w:val="P68B1DB1-ListParagraph39"/>
        <w:numPr>
          <w:ilvl w:val="1"/>
          <w:numId w:val="374"/>
        </w:numPr>
        <w:jc w:val="both"/>
        <w:rPr>
          <w:noProof/>
        </w:rPr>
      </w:pPr>
      <w:r>
        <w:rPr>
          <w:noProof/>
        </w:rPr>
        <w:t>Les exigences selon lesquelles les futurs locataires du logement bénéficiant d’une aide ne possèdent pas de logement et relèvent d’au moins l’une des catégories suivantes: les ménages dont le revenu équivalent des ménages se situe dans la fourchette allant du premier au huitième décile de revenu en Tchéquie; les ménages dont tous les membres sont âgés de moins de 35 ans; ménages dont au moins un membre travaille dans l’un des services suivants: éducation, soins de santé, police, pompiers, services sociaux, administration publique. En outre, le loyer du logement bénéficiant de l’aide doit être inférieur au loyer estimé sur le marché pour des logements de qualité comparable. Ces exigences sont en place pendant au moins 20 ans à compter de la réception du soutien financier.</w:t>
      </w:r>
    </w:p>
    <w:p w14:paraId="4EB310B3" w14:textId="77777777" w:rsidR="00025543" w:rsidRDefault="007E3A2F">
      <w:pPr>
        <w:pStyle w:val="P68B1DB1-ListParagraph23"/>
        <w:numPr>
          <w:ilvl w:val="0"/>
          <w:numId w:val="374"/>
        </w:numPr>
        <w:jc w:val="both"/>
        <w:rPr>
          <w:rFonts w:eastAsia="Times New Roman"/>
          <w:b/>
          <w:noProof/>
          <w:color w:val="000000" w:themeColor="text1"/>
        </w:rPr>
      </w:pPr>
      <w:r>
        <w:rPr>
          <w:noProof/>
        </w:rPr>
        <w:t>Le montant couvert par l’accord de mise en œuvre, la structure des redevances pour le partenaire chargé de la mise en œuvre et l’obligation de réinvestir tout remboursement conformément à la politique d’investissement de la facilité.</w:t>
      </w:r>
    </w:p>
    <w:p w14:paraId="469473CD" w14:textId="77777777" w:rsidR="00025543" w:rsidRDefault="007E3A2F">
      <w:pPr>
        <w:pStyle w:val="P68B1DB1-ListParagraph29"/>
        <w:numPr>
          <w:ilvl w:val="0"/>
          <w:numId w:val="374"/>
        </w:numPr>
        <w:jc w:val="both"/>
        <w:rPr>
          <w:noProof/>
        </w:rPr>
      </w:pPr>
      <w:r>
        <w:rPr>
          <w:noProof/>
        </w:rPr>
        <w:t>Exigences en matière de suivi, d’audit et de contrôle, y compris:</w:t>
      </w:r>
    </w:p>
    <w:p w14:paraId="482B51F8" w14:textId="77777777" w:rsidR="00025543" w:rsidRDefault="007E3A2F">
      <w:pPr>
        <w:pStyle w:val="P68B1DB1-ListParagraph29"/>
        <w:numPr>
          <w:ilvl w:val="1"/>
          <w:numId w:val="374"/>
        </w:numPr>
        <w:jc w:val="both"/>
        <w:rPr>
          <w:noProof/>
        </w:rPr>
      </w:pPr>
      <w:r>
        <w:rPr>
          <w:noProof/>
        </w:rPr>
        <w:t>La description du système de suivi du partenaire chargé de la mise en œuvre pour rendre compte de l’investissement mobilisé.</w:t>
      </w:r>
    </w:p>
    <w:p w14:paraId="40F47069" w14:textId="77777777" w:rsidR="00025543" w:rsidRDefault="007E3A2F">
      <w:pPr>
        <w:pStyle w:val="P68B1DB1-ListParagraph23"/>
        <w:numPr>
          <w:ilvl w:val="1"/>
          <w:numId w:val="374"/>
        </w:numPr>
        <w:jc w:val="both"/>
        <w:rPr>
          <w:rFonts w:eastAsia="Times New Roman"/>
          <w:noProof/>
        </w:rPr>
      </w:pPr>
      <w:r>
        <w:rPr>
          <w:noProof/>
        </w:rPr>
        <w:t>La description des procédures du partenaire chargé de la mise en œuvre qui assureront la prévention, la détection et la correction de la fraude, de la corruption et des conflits d’intérêts.</w:t>
      </w:r>
    </w:p>
    <w:p w14:paraId="7C893366" w14:textId="77777777" w:rsidR="00025543" w:rsidRDefault="007E3A2F">
      <w:pPr>
        <w:pStyle w:val="P68B1DB1-ListParagraph23"/>
        <w:numPr>
          <w:ilvl w:val="1"/>
          <w:numId w:val="374"/>
        </w:numPr>
        <w:jc w:val="both"/>
        <w:rPr>
          <w:rFonts w:eastAsia="Times New Roman"/>
          <w:noProof/>
        </w:rPr>
      </w:pPr>
      <w:r>
        <w:rPr>
          <w:noProof/>
        </w:rPr>
        <w:t>L’obligation de vérifier l’éligibilité de chaque opération conformément aux exigences énoncées dans l’accord de mise en œuvre avant de s’engager à financer une opération.</w:t>
      </w:r>
    </w:p>
    <w:p w14:paraId="57595756" w14:textId="6FD910EB" w:rsidR="00025543" w:rsidRDefault="007E3A2F">
      <w:pPr>
        <w:pStyle w:val="P68B1DB1-ListParagraph23"/>
        <w:numPr>
          <w:ilvl w:val="1"/>
          <w:numId w:val="374"/>
        </w:numPr>
        <w:jc w:val="both"/>
        <w:rPr>
          <w:rFonts w:eastAsia="Times New Roman"/>
          <w:noProof/>
        </w:rPr>
      </w:pPr>
      <w:r>
        <w:rPr>
          <w:noProof/>
        </w:rPr>
        <w:t>L’obligation de réaliser des audits ex post fondés sur les risques conformément à un plan d’audit de la Banque nationale de développement. Ces audits vérifient i) l’efficacité des systèmes de contrôle, y compris la détection de la fraude, de la corruption et des conflits d’intérêts; le respect du principe consistant à «ne pas causer de préjudice important» et des règles en matière d’aides d’État; et iii) que l’exigence selon laquelle les bénéficiaires finaux de la facilité n’ont pas reçu le soutien d’autres instruments de l’Union pour couvrir les mêmes coûts est respectée. Les audits vérifient également la légalité des transactions et le respect des conditions de l’accord de mise en œuvre applicable.</w:t>
      </w:r>
    </w:p>
    <w:p w14:paraId="36331F18" w14:textId="40EBEAEF" w:rsidR="00025543" w:rsidRDefault="007E3A2F">
      <w:pPr>
        <w:pStyle w:val="P68B1DB1-Normal4"/>
        <w:rPr>
          <w:noProof/>
          <w:color w:val="000000" w:themeColor="text1"/>
        </w:rPr>
        <w:sectPr w:rsidR="00025543" w:rsidSect="00786C7E">
          <w:headerReference w:type="even" r:id="rId270"/>
          <w:headerReference w:type="default" r:id="rId271"/>
          <w:footerReference w:type="even" r:id="rId272"/>
          <w:footerReference w:type="default" r:id="rId273"/>
          <w:headerReference w:type="first" r:id="rId274"/>
          <w:footerReference w:type="first" r:id="rId275"/>
          <w:pgSz w:w="11907" w:h="16839"/>
          <w:pgMar w:top="1134" w:right="1134" w:bottom="1134" w:left="1134" w:header="567" w:footer="567" w:gutter="0"/>
          <w:cols w:space="708"/>
          <w:docGrid w:linePitch="326"/>
        </w:sectPr>
      </w:pPr>
      <w:r>
        <w:rPr>
          <w:noProof/>
        </w:rPr>
        <w:t>La mise en œuvre de la mesure est achevée au plus tard le 31 août 2026.</w:t>
      </w:r>
    </w:p>
    <w:p w14:paraId="6D75B8E4" w14:textId="45FEF389" w:rsidR="00025543" w:rsidRDefault="007E3A2F">
      <w:pPr>
        <w:pStyle w:val="P68B1DB1-Normal33"/>
        <w:tabs>
          <w:tab w:val="left" w:pos="993"/>
        </w:tabs>
        <w:spacing w:line="259" w:lineRule="auto"/>
        <w:jc w:val="both"/>
        <w:rPr>
          <w:noProof/>
        </w:rPr>
      </w:pPr>
      <w:r>
        <w:rPr>
          <w:noProof/>
        </w:rPr>
        <w:t>Q.4. Jalons, cibles, indicateurs et calendrier de suivi et de mise en œuvre en vue du prêt</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43"/>
        <w:gridCol w:w="1583"/>
        <w:gridCol w:w="1068"/>
        <w:gridCol w:w="1506"/>
        <w:gridCol w:w="1752"/>
        <w:gridCol w:w="917"/>
        <w:gridCol w:w="917"/>
        <w:gridCol w:w="1015"/>
        <w:gridCol w:w="963"/>
        <w:gridCol w:w="646"/>
        <w:gridCol w:w="4011"/>
      </w:tblGrid>
      <w:tr w:rsidR="00025543" w14:paraId="79B37CC6" w14:textId="77777777">
        <w:trPr>
          <w:trHeight w:val="672"/>
          <w:tblHeader/>
          <w:jc w:val="center"/>
        </w:trPr>
        <w:tc>
          <w:tcPr>
            <w:tcW w:w="674" w:type="dxa"/>
            <w:vMerge w:val="restart"/>
            <w:shd w:val="clear" w:color="auto" w:fill="BDD7EE"/>
            <w:vAlign w:val="center"/>
            <w:hideMark/>
          </w:tcPr>
          <w:p w14:paraId="5842FF0F" w14:textId="77777777" w:rsidR="00025543" w:rsidRDefault="007E3A2F">
            <w:pPr>
              <w:pStyle w:val="P68B1DB1-Normal9"/>
              <w:spacing w:before="0" w:after="0" w:line="240" w:lineRule="auto"/>
              <w:jc w:val="center"/>
              <w:rPr>
                <w:noProof/>
              </w:rPr>
            </w:pPr>
            <w:r>
              <w:rPr>
                <w:noProof/>
              </w:rPr>
              <w:t>Séquence NUM.</w:t>
            </w:r>
          </w:p>
        </w:tc>
        <w:tc>
          <w:tcPr>
            <w:tcW w:w="1690" w:type="dxa"/>
            <w:vMerge w:val="restart"/>
            <w:shd w:val="clear" w:color="auto" w:fill="BDD7EE"/>
            <w:vAlign w:val="center"/>
            <w:hideMark/>
          </w:tcPr>
          <w:p w14:paraId="1D3FC296" w14:textId="77777777" w:rsidR="00025543" w:rsidRDefault="007E3A2F">
            <w:pPr>
              <w:pStyle w:val="P68B1DB1-Normal9"/>
              <w:spacing w:before="0" w:after="0" w:line="240" w:lineRule="auto"/>
              <w:jc w:val="center"/>
              <w:rPr>
                <w:noProof/>
              </w:rPr>
            </w:pPr>
            <w:r>
              <w:rPr>
                <w:noProof/>
              </w:rPr>
              <w:t>Mesure connexe (réforme ou investissement)</w:t>
            </w:r>
          </w:p>
        </w:tc>
        <w:tc>
          <w:tcPr>
            <w:tcW w:w="1134" w:type="dxa"/>
            <w:vMerge w:val="restart"/>
            <w:shd w:val="clear" w:color="auto" w:fill="BDD7EE"/>
            <w:vAlign w:val="center"/>
            <w:hideMark/>
          </w:tcPr>
          <w:p w14:paraId="3218A9B1" w14:textId="77777777" w:rsidR="00025543" w:rsidRDefault="007E3A2F">
            <w:pPr>
              <w:pStyle w:val="P68B1DB1-Normal9"/>
              <w:spacing w:before="0" w:after="0" w:line="240" w:lineRule="auto"/>
              <w:jc w:val="center"/>
              <w:rPr>
                <w:noProof/>
              </w:rPr>
            </w:pPr>
            <w:r>
              <w:rPr>
                <w:noProof/>
              </w:rPr>
              <w:t>Jalon/cible</w:t>
            </w:r>
          </w:p>
        </w:tc>
        <w:tc>
          <w:tcPr>
            <w:tcW w:w="1607" w:type="dxa"/>
            <w:vMerge w:val="restart"/>
            <w:shd w:val="clear" w:color="auto" w:fill="BDD7EE"/>
            <w:vAlign w:val="center"/>
            <w:hideMark/>
          </w:tcPr>
          <w:p w14:paraId="7732C3CA" w14:textId="77777777" w:rsidR="00025543" w:rsidRDefault="007E3A2F">
            <w:pPr>
              <w:pStyle w:val="P68B1DB1-Normal9"/>
              <w:spacing w:before="0" w:after="0" w:line="240" w:lineRule="auto"/>
              <w:jc w:val="center"/>
              <w:rPr>
                <w:noProof/>
              </w:rPr>
            </w:pPr>
            <w:r>
              <w:rPr>
                <w:noProof/>
              </w:rPr>
              <w:t>Nom</w:t>
            </w:r>
          </w:p>
        </w:tc>
        <w:tc>
          <w:tcPr>
            <w:tcW w:w="1872" w:type="dxa"/>
            <w:vMerge w:val="restart"/>
            <w:shd w:val="clear" w:color="auto" w:fill="BDD7EE"/>
            <w:vAlign w:val="center"/>
            <w:hideMark/>
          </w:tcPr>
          <w:p w14:paraId="718E0A13" w14:textId="77777777" w:rsidR="00025543" w:rsidRDefault="007E3A2F">
            <w:pPr>
              <w:pStyle w:val="P68B1DB1-Normal9"/>
              <w:spacing w:before="0" w:after="0" w:line="240" w:lineRule="auto"/>
              <w:jc w:val="center"/>
              <w:rPr>
                <w:noProof/>
              </w:rPr>
            </w:pPr>
            <w:r>
              <w:rPr>
                <w:noProof/>
              </w:rPr>
              <w:t xml:space="preserve">Qualitatifs </w:t>
            </w:r>
            <w:r>
              <w:rPr>
                <w:noProof/>
              </w:rPr>
              <w:br/>
              <w:t>(pour les jalons)</w:t>
            </w:r>
          </w:p>
        </w:tc>
        <w:tc>
          <w:tcPr>
            <w:tcW w:w="2488" w:type="dxa"/>
            <w:gridSpan w:val="3"/>
            <w:shd w:val="clear" w:color="auto" w:fill="BDD7EE"/>
            <w:vAlign w:val="center"/>
            <w:hideMark/>
          </w:tcPr>
          <w:p w14:paraId="7125781B" w14:textId="77777777" w:rsidR="00025543" w:rsidRDefault="007E3A2F">
            <w:pPr>
              <w:pStyle w:val="P68B1DB1-Normal9"/>
              <w:spacing w:before="0" w:after="0" w:line="240" w:lineRule="auto"/>
              <w:jc w:val="center"/>
              <w:rPr>
                <w:noProof/>
              </w:rPr>
            </w:pPr>
            <w:r>
              <w:rPr>
                <w:noProof/>
              </w:rPr>
              <w:t xml:space="preserve">Indicateurs quantitatifs </w:t>
            </w:r>
            <w:r>
              <w:rPr>
                <w:noProof/>
              </w:rPr>
              <w:br/>
              <w:t>(pour les objectifs)</w:t>
            </w:r>
          </w:p>
        </w:tc>
        <w:tc>
          <w:tcPr>
            <w:tcW w:w="1357" w:type="dxa"/>
            <w:gridSpan w:val="2"/>
            <w:shd w:val="clear" w:color="auto" w:fill="BDD7EE"/>
            <w:vAlign w:val="center"/>
            <w:hideMark/>
          </w:tcPr>
          <w:p w14:paraId="457D91BA" w14:textId="77777777" w:rsidR="00025543" w:rsidRDefault="007E3A2F">
            <w:pPr>
              <w:pStyle w:val="P68B1DB1-Normal9"/>
              <w:spacing w:before="0" w:after="0" w:line="240" w:lineRule="auto"/>
              <w:jc w:val="center"/>
              <w:rPr>
                <w:noProof/>
              </w:rPr>
            </w:pPr>
            <w:r>
              <w:rPr>
                <w:noProof/>
              </w:rPr>
              <w:t xml:space="preserve">Calendrier indicatif de réalisation </w:t>
            </w:r>
          </w:p>
        </w:tc>
        <w:tc>
          <w:tcPr>
            <w:tcW w:w="4310" w:type="dxa"/>
            <w:vMerge w:val="restart"/>
            <w:shd w:val="clear" w:color="auto" w:fill="BDD7EE"/>
            <w:vAlign w:val="center"/>
            <w:hideMark/>
          </w:tcPr>
          <w:p w14:paraId="7D4C7864" w14:textId="77777777" w:rsidR="00025543" w:rsidRDefault="007E3A2F">
            <w:pPr>
              <w:pStyle w:val="P68B1DB1-Normal9"/>
              <w:spacing w:before="0" w:after="0" w:line="240" w:lineRule="auto"/>
              <w:jc w:val="center"/>
              <w:rPr>
                <w:noProof/>
              </w:rPr>
            </w:pPr>
            <w:r>
              <w:rPr>
                <w:noProof/>
              </w:rPr>
              <w:t>Description de chaque jalon et cible</w:t>
            </w:r>
          </w:p>
        </w:tc>
      </w:tr>
      <w:tr w:rsidR="00025543" w14:paraId="65884A02" w14:textId="77777777">
        <w:trPr>
          <w:trHeight w:val="458"/>
          <w:tblHeader/>
          <w:jc w:val="center"/>
        </w:trPr>
        <w:tc>
          <w:tcPr>
            <w:tcW w:w="674" w:type="dxa"/>
            <w:vMerge/>
            <w:vAlign w:val="center"/>
            <w:hideMark/>
          </w:tcPr>
          <w:p w14:paraId="75C6C039" w14:textId="77777777" w:rsidR="00025543" w:rsidRDefault="00025543">
            <w:pPr>
              <w:spacing w:before="0" w:after="0" w:line="240" w:lineRule="auto"/>
              <w:rPr>
                <w:rFonts w:eastAsia="Times New Roman"/>
                <w:b/>
                <w:noProof/>
                <w:sz w:val="18"/>
              </w:rPr>
            </w:pPr>
          </w:p>
        </w:tc>
        <w:tc>
          <w:tcPr>
            <w:tcW w:w="1690" w:type="dxa"/>
            <w:vMerge/>
            <w:vAlign w:val="center"/>
            <w:hideMark/>
          </w:tcPr>
          <w:p w14:paraId="64C93421" w14:textId="77777777" w:rsidR="00025543" w:rsidRDefault="00025543">
            <w:pPr>
              <w:spacing w:before="0" w:after="0" w:line="240" w:lineRule="auto"/>
              <w:rPr>
                <w:rFonts w:eastAsia="Times New Roman"/>
                <w:b/>
                <w:noProof/>
                <w:sz w:val="18"/>
              </w:rPr>
            </w:pPr>
          </w:p>
        </w:tc>
        <w:tc>
          <w:tcPr>
            <w:tcW w:w="1134" w:type="dxa"/>
            <w:vMerge/>
            <w:vAlign w:val="center"/>
            <w:hideMark/>
          </w:tcPr>
          <w:p w14:paraId="15E1C5B6" w14:textId="77777777" w:rsidR="00025543" w:rsidRDefault="00025543">
            <w:pPr>
              <w:spacing w:before="0" w:after="0" w:line="240" w:lineRule="auto"/>
              <w:rPr>
                <w:rFonts w:eastAsia="Times New Roman"/>
                <w:b/>
                <w:noProof/>
                <w:sz w:val="18"/>
              </w:rPr>
            </w:pPr>
          </w:p>
        </w:tc>
        <w:tc>
          <w:tcPr>
            <w:tcW w:w="1607" w:type="dxa"/>
            <w:vMerge/>
            <w:vAlign w:val="center"/>
            <w:hideMark/>
          </w:tcPr>
          <w:p w14:paraId="116A83ED" w14:textId="77777777" w:rsidR="00025543" w:rsidRDefault="00025543">
            <w:pPr>
              <w:spacing w:before="0" w:after="0" w:line="240" w:lineRule="auto"/>
              <w:rPr>
                <w:rFonts w:eastAsia="Times New Roman"/>
                <w:b/>
                <w:noProof/>
                <w:sz w:val="18"/>
              </w:rPr>
            </w:pPr>
          </w:p>
        </w:tc>
        <w:tc>
          <w:tcPr>
            <w:tcW w:w="1872" w:type="dxa"/>
            <w:vMerge/>
            <w:vAlign w:val="center"/>
            <w:hideMark/>
          </w:tcPr>
          <w:p w14:paraId="3E53E667" w14:textId="77777777" w:rsidR="00025543" w:rsidRDefault="00025543">
            <w:pPr>
              <w:spacing w:before="0" w:after="0" w:line="240" w:lineRule="auto"/>
              <w:rPr>
                <w:rFonts w:eastAsia="Times New Roman"/>
                <w:b/>
                <w:noProof/>
                <w:sz w:val="18"/>
              </w:rPr>
            </w:pPr>
          </w:p>
        </w:tc>
        <w:tc>
          <w:tcPr>
            <w:tcW w:w="971" w:type="dxa"/>
            <w:shd w:val="clear" w:color="auto" w:fill="BDD7EE"/>
            <w:vAlign w:val="center"/>
            <w:hideMark/>
          </w:tcPr>
          <w:p w14:paraId="33BAC5F3" w14:textId="77777777" w:rsidR="00025543" w:rsidRDefault="007E3A2F">
            <w:pPr>
              <w:pStyle w:val="P68B1DB1-Normal9"/>
              <w:spacing w:before="0" w:after="0" w:line="240" w:lineRule="auto"/>
              <w:jc w:val="center"/>
              <w:rPr>
                <w:noProof/>
              </w:rPr>
            </w:pPr>
            <w:r>
              <w:rPr>
                <w:noProof/>
              </w:rPr>
              <w:t>Unité de mesure</w:t>
            </w:r>
          </w:p>
        </w:tc>
        <w:tc>
          <w:tcPr>
            <w:tcW w:w="971" w:type="dxa"/>
            <w:shd w:val="clear" w:color="auto" w:fill="BDD7EE"/>
            <w:vAlign w:val="center"/>
            <w:hideMark/>
          </w:tcPr>
          <w:p w14:paraId="1F48CE86" w14:textId="77777777" w:rsidR="00025543" w:rsidRDefault="007E3A2F">
            <w:pPr>
              <w:pStyle w:val="P68B1DB1-Normal9"/>
              <w:spacing w:before="0" w:after="0" w:line="240" w:lineRule="auto"/>
              <w:jc w:val="center"/>
              <w:rPr>
                <w:noProof/>
              </w:rPr>
            </w:pPr>
            <w:r>
              <w:rPr>
                <w:noProof/>
              </w:rPr>
              <w:t xml:space="preserve">Scénario de référence </w:t>
            </w:r>
          </w:p>
        </w:tc>
        <w:tc>
          <w:tcPr>
            <w:tcW w:w="1077" w:type="dxa"/>
            <w:shd w:val="clear" w:color="auto" w:fill="BDD7EE"/>
            <w:vAlign w:val="center"/>
            <w:hideMark/>
          </w:tcPr>
          <w:p w14:paraId="4727BCF3" w14:textId="77777777" w:rsidR="00025543" w:rsidRDefault="007E3A2F">
            <w:pPr>
              <w:pStyle w:val="P68B1DB1-Normal9"/>
              <w:spacing w:before="0" w:after="0" w:line="240" w:lineRule="auto"/>
              <w:jc w:val="center"/>
              <w:rPr>
                <w:noProof/>
              </w:rPr>
            </w:pPr>
            <w:r>
              <w:rPr>
                <w:noProof/>
              </w:rPr>
              <w:t xml:space="preserve">Objectif </w:t>
            </w:r>
          </w:p>
        </w:tc>
        <w:tc>
          <w:tcPr>
            <w:tcW w:w="1021" w:type="dxa"/>
            <w:shd w:val="clear" w:color="auto" w:fill="BDD7EE"/>
            <w:vAlign w:val="center"/>
            <w:hideMark/>
          </w:tcPr>
          <w:p w14:paraId="5A88A10D" w14:textId="77777777" w:rsidR="00025543" w:rsidRDefault="007E3A2F">
            <w:pPr>
              <w:pStyle w:val="P68B1DB1-Normal9"/>
              <w:spacing w:before="0" w:after="0" w:line="240" w:lineRule="auto"/>
              <w:jc w:val="center"/>
              <w:rPr>
                <w:noProof/>
              </w:rPr>
            </w:pPr>
            <w:r>
              <w:rPr>
                <w:noProof/>
              </w:rPr>
              <w:t>Trimestre</w:t>
            </w:r>
          </w:p>
        </w:tc>
        <w:tc>
          <w:tcPr>
            <w:tcW w:w="678" w:type="dxa"/>
            <w:shd w:val="clear" w:color="auto" w:fill="BDD7EE"/>
            <w:vAlign w:val="center"/>
            <w:hideMark/>
          </w:tcPr>
          <w:p w14:paraId="46974358" w14:textId="77777777" w:rsidR="00025543" w:rsidRDefault="007E3A2F">
            <w:pPr>
              <w:pStyle w:val="P68B1DB1-Normal9"/>
              <w:spacing w:before="0" w:after="0" w:line="240" w:lineRule="auto"/>
              <w:jc w:val="center"/>
              <w:rPr>
                <w:noProof/>
              </w:rPr>
            </w:pPr>
            <w:r>
              <w:rPr>
                <w:noProof/>
              </w:rPr>
              <w:t>Année</w:t>
            </w:r>
          </w:p>
        </w:tc>
        <w:tc>
          <w:tcPr>
            <w:tcW w:w="4310" w:type="dxa"/>
            <w:vMerge/>
            <w:vAlign w:val="center"/>
            <w:hideMark/>
          </w:tcPr>
          <w:p w14:paraId="33FF55B8" w14:textId="77777777" w:rsidR="00025543" w:rsidRDefault="00025543">
            <w:pPr>
              <w:spacing w:before="0" w:after="0" w:line="240" w:lineRule="auto"/>
              <w:rPr>
                <w:rFonts w:eastAsia="Times New Roman"/>
                <w:b/>
                <w:noProof/>
                <w:sz w:val="18"/>
              </w:rPr>
            </w:pPr>
          </w:p>
        </w:tc>
      </w:tr>
      <w:tr w:rsidR="00025543" w14:paraId="6BE0F578" w14:textId="77777777">
        <w:trPr>
          <w:trHeight w:val="309"/>
          <w:jc w:val="center"/>
        </w:trPr>
        <w:tc>
          <w:tcPr>
            <w:tcW w:w="674" w:type="dxa"/>
            <w:shd w:val="clear" w:color="auto" w:fill="C6EFCE"/>
            <w:vAlign w:val="center"/>
            <w:hideMark/>
          </w:tcPr>
          <w:p w14:paraId="388C2A95" w14:textId="0D1A9C98" w:rsidR="00025543" w:rsidRDefault="007E3A2F">
            <w:pPr>
              <w:pStyle w:val="P68B1DB1-Normal15"/>
              <w:spacing w:before="0" w:after="0" w:line="240" w:lineRule="auto"/>
              <w:jc w:val="center"/>
              <w:rPr>
                <w:noProof/>
              </w:rPr>
            </w:pPr>
            <w:r>
              <w:rPr>
                <w:noProof/>
              </w:rPr>
              <w:t>264</w:t>
            </w:r>
          </w:p>
        </w:tc>
        <w:tc>
          <w:tcPr>
            <w:tcW w:w="1690" w:type="dxa"/>
            <w:shd w:val="clear" w:color="auto" w:fill="C6EFCE"/>
            <w:vAlign w:val="center"/>
            <w:hideMark/>
          </w:tcPr>
          <w:p w14:paraId="744A79A1" w14:textId="77777777" w:rsidR="00025543" w:rsidRDefault="007E3A2F">
            <w:pPr>
              <w:pStyle w:val="P68B1DB1-Normal15"/>
              <w:spacing w:after="0" w:line="240" w:lineRule="auto"/>
              <w:rPr>
                <w:noProof/>
              </w:rPr>
            </w:pPr>
            <w:r>
              <w:rPr>
                <w:noProof/>
              </w:rPr>
              <w:t>Investissement 1:</w:t>
            </w:r>
          </w:p>
          <w:p w14:paraId="0C73EA91" w14:textId="196E89BA" w:rsidR="00025543" w:rsidRDefault="007E3A2F">
            <w:pPr>
              <w:pStyle w:val="P68B1DB1-Normal15"/>
              <w:spacing w:before="0" w:after="0" w:line="240" w:lineRule="auto"/>
              <w:rPr>
                <w:noProof/>
              </w:rPr>
            </w:pPr>
            <w:r>
              <w:rPr>
                <w:noProof/>
              </w:rPr>
              <w:t>Facilité de prêt à des conditions préférentielles</w:t>
            </w:r>
          </w:p>
        </w:tc>
        <w:tc>
          <w:tcPr>
            <w:tcW w:w="1134" w:type="dxa"/>
            <w:shd w:val="clear" w:color="auto" w:fill="C6EFCE"/>
            <w:vAlign w:val="center"/>
            <w:hideMark/>
          </w:tcPr>
          <w:p w14:paraId="55FA7578" w14:textId="77777777" w:rsidR="00025543" w:rsidRDefault="007E3A2F">
            <w:pPr>
              <w:pStyle w:val="P68B1DB1-Normal15"/>
              <w:spacing w:before="0" w:after="0" w:line="240" w:lineRule="auto"/>
              <w:jc w:val="center"/>
              <w:rPr>
                <w:noProof/>
              </w:rPr>
            </w:pPr>
            <w:r>
              <w:rPr>
                <w:noProof/>
              </w:rPr>
              <w:t>Étapes</w:t>
            </w:r>
          </w:p>
        </w:tc>
        <w:tc>
          <w:tcPr>
            <w:tcW w:w="1607" w:type="dxa"/>
            <w:shd w:val="clear" w:color="auto" w:fill="C6EFCE"/>
            <w:vAlign w:val="center"/>
            <w:hideMark/>
          </w:tcPr>
          <w:p w14:paraId="047970A9" w14:textId="025B44B6" w:rsidR="00025543" w:rsidRDefault="007E3A2F">
            <w:pPr>
              <w:pStyle w:val="P68B1DB1-Normal15"/>
              <w:spacing w:before="0" w:after="0" w:line="240" w:lineRule="auto"/>
              <w:rPr>
                <w:noProof/>
              </w:rPr>
            </w:pPr>
            <w:r>
              <w:rPr>
                <w:noProof/>
              </w:rPr>
              <w:t>Accord de mise en œuvre</w:t>
            </w:r>
          </w:p>
        </w:tc>
        <w:tc>
          <w:tcPr>
            <w:tcW w:w="1872" w:type="dxa"/>
            <w:shd w:val="clear" w:color="auto" w:fill="C6EFCE"/>
            <w:hideMark/>
          </w:tcPr>
          <w:p w14:paraId="41E3C4BB" w14:textId="5D2FE9F0" w:rsidR="00025543" w:rsidRDefault="007E3A2F">
            <w:pPr>
              <w:pStyle w:val="P68B1DB1-Normal15"/>
              <w:spacing w:before="0" w:after="0" w:line="240" w:lineRule="auto"/>
              <w:rPr>
                <w:noProof/>
              </w:rPr>
            </w:pPr>
            <w:r>
              <w:rPr>
                <w:noProof/>
              </w:rPr>
              <w:t>Entrée en vigueur de l’accord de mise en œuvre</w:t>
            </w:r>
          </w:p>
        </w:tc>
        <w:tc>
          <w:tcPr>
            <w:tcW w:w="971" w:type="dxa"/>
            <w:shd w:val="clear" w:color="auto" w:fill="C6EFCE"/>
            <w:vAlign w:val="center"/>
          </w:tcPr>
          <w:p w14:paraId="59FF22C2" w14:textId="17BFA386" w:rsidR="00025543" w:rsidRDefault="00025543">
            <w:pPr>
              <w:spacing w:before="0" w:after="0" w:line="240" w:lineRule="auto"/>
              <w:jc w:val="center"/>
              <w:rPr>
                <w:rFonts w:eastAsia="Times New Roman"/>
                <w:noProof/>
                <w:color w:val="004300"/>
                <w:sz w:val="18"/>
              </w:rPr>
            </w:pPr>
          </w:p>
        </w:tc>
        <w:tc>
          <w:tcPr>
            <w:tcW w:w="971" w:type="dxa"/>
            <w:shd w:val="clear" w:color="auto" w:fill="C6EFCE"/>
            <w:vAlign w:val="center"/>
          </w:tcPr>
          <w:p w14:paraId="2BE54ABD" w14:textId="2DF118B5" w:rsidR="00025543" w:rsidRDefault="00025543">
            <w:pPr>
              <w:spacing w:before="0" w:after="0" w:line="240" w:lineRule="auto"/>
              <w:jc w:val="center"/>
              <w:rPr>
                <w:rFonts w:eastAsia="Times New Roman"/>
                <w:noProof/>
                <w:color w:val="004300"/>
                <w:sz w:val="18"/>
              </w:rPr>
            </w:pPr>
          </w:p>
        </w:tc>
        <w:tc>
          <w:tcPr>
            <w:tcW w:w="1077" w:type="dxa"/>
            <w:shd w:val="clear" w:color="auto" w:fill="C6EFCE"/>
            <w:vAlign w:val="center"/>
          </w:tcPr>
          <w:p w14:paraId="1670FB78" w14:textId="154DA71B" w:rsidR="00025543" w:rsidRDefault="00025543">
            <w:pPr>
              <w:spacing w:before="0" w:after="0" w:line="240" w:lineRule="auto"/>
              <w:jc w:val="center"/>
              <w:rPr>
                <w:rFonts w:eastAsia="Times New Roman"/>
                <w:noProof/>
                <w:color w:val="004300"/>
                <w:sz w:val="18"/>
              </w:rPr>
            </w:pPr>
          </w:p>
        </w:tc>
        <w:tc>
          <w:tcPr>
            <w:tcW w:w="1021" w:type="dxa"/>
            <w:shd w:val="clear" w:color="auto" w:fill="C6EFCE"/>
            <w:vAlign w:val="center"/>
            <w:hideMark/>
          </w:tcPr>
          <w:p w14:paraId="076BF706" w14:textId="1C263D51" w:rsidR="00025543" w:rsidRDefault="007E3A2F">
            <w:pPr>
              <w:pStyle w:val="P68B1DB1-Normal15"/>
              <w:spacing w:before="0" w:after="0" w:line="240" w:lineRule="auto"/>
              <w:jc w:val="center"/>
              <w:rPr>
                <w:noProof/>
              </w:rPr>
            </w:pPr>
            <w:r>
              <w:rPr>
                <w:noProof/>
              </w:rPr>
              <w:t>TRIMESTRE 3</w:t>
            </w:r>
          </w:p>
        </w:tc>
        <w:tc>
          <w:tcPr>
            <w:tcW w:w="678" w:type="dxa"/>
            <w:shd w:val="clear" w:color="auto" w:fill="C6EFCE"/>
            <w:vAlign w:val="center"/>
            <w:hideMark/>
          </w:tcPr>
          <w:p w14:paraId="53F05F25" w14:textId="77777777" w:rsidR="00025543" w:rsidRDefault="007E3A2F">
            <w:pPr>
              <w:pStyle w:val="P68B1DB1-Normal15"/>
              <w:spacing w:before="0" w:after="0" w:line="240" w:lineRule="auto"/>
              <w:jc w:val="center"/>
              <w:rPr>
                <w:noProof/>
              </w:rPr>
            </w:pPr>
            <w:r>
              <w:rPr>
                <w:noProof/>
              </w:rPr>
              <w:t>2024</w:t>
            </w:r>
          </w:p>
        </w:tc>
        <w:tc>
          <w:tcPr>
            <w:tcW w:w="4310" w:type="dxa"/>
            <w:shd w:val="clear" w:color="auto" w:fill="C6EFCE"/>
            <w:vAlign w:val="center"/>
            <w:hideMark/>
          </w:tcPr>
          <w:p w14:paraId="477EF099" w14:textId="3B6A6758" w:rsidR="00025543" w:rsidRDefault="007E3A2F">
            <w:pPr>
              <w:pStyle w:val="P68B1DB1-Normal15"/>
              <w:spacing w:before="0" w:after="0" w:line="240" w:lineRule="auto"/>
              <w:rPr>
                <w:noProof/>
              </w:rPr>
            </w:pPr>
            <w:r>
              <w:rPr>
                <w:noProof/>
              </w:rPr>
              <w:t>Entrée en vigueur de l’accord de mise en œuvre.</w:t>
            </w:r>
          </w:p>
        </w:tc>
      </w:tr>
      <w:tr w:rsidR="00025543" w14:paraId="247D8AB6" w14:textId="77777777">
        <w:trPr>
          <w:trHeight w:val="309"/>
          <w:jc w:val="center"/>
        </w:trPr>
        <w:tc>
          <w:tcPr>
            <w:tcW w:w="674" w:type="dxa"/>
            <w:shd w:val="clear" w:color="auto" w:fill="C6EFCE"/>
            <w:vAlign w:val="center"/>
          </w:tcPr>
          <w:p w14:paraId="51F2B08D" w14:textId="23314F13" w:rsidR="00025543" w:rsidRDefault="007E3A2F">
            <w:pPr>
              <w:pStyle w:val="P68B1DB1-Normal15"/>
              <w:spacing w:before="0" w:after="0" w:line="240" w:lineRule="auto"/>
              <w:jc w:val="center"/>
              <w:rPr>
                <w:noProof/>
              </w:rPr>
            </w:pPr>
            <w:r>
              <w:rPr>
                <w:noProof/>
              </w:rPr>
              <w:t>265</w:t>
            </w:r>
          </w:p>
        </w:tc>
        <w:tc>
          <w:tcPr>
            <w:tcW w:w="1690" w:type="dxa"/>
            <w:shd w:val="clear" w:color="auto" w:fill="C6EFCE"/>
            <w:vAlign w:val="center"/>
          </w:tcPr>
          <w:p w14:paraId="666BEA4F" w14:textId="77777777" w:rsidR="00025543" w:rsidRDefault="007E3A2F">
            <w:pPr>
              <w:pStyle w:val="P68B1DB1-Normal15"/>
              <w:spacing w:after="0" w:line="240" w:lineRule="auto"/>
              <w:rPr>
                <w:noProof/>
              </w:rPr>
            </w:pPr>
            <w:r>
              <w:rPr>
                <w:noProof/>
              </w:rPr>
              <w:t>Investissement 1:</w:t>
            </w:r>
          </w:p>
          <w:p w14:paraId="5508D7C7" w14:textId="6F8A05C5" w:rsidR="00025543" w:rsidRDefault="007E3A2F">
            <w:pPr>
              <w:pStyle w:val="P68B1DB1-Normal15"/>
              <w:spacing w:before="0" w:after="0" w:line="240" w:lineRule="auto"/>
              <w:rPr>
                <w:noProof/>
              </w:rPr>
            </w:pPr>
            <w:r>
              <w:rPr>
                <w:noProof/>
              </w:rPr>
              <w:t>Facilité de prêt à des conditions préférentielles</w:t>
            </w:r>
          </w:p>
        </w:tc>
        <w:tc>
          <w:tcPr>
            <w:tcW w:w="1134" w:type="dxa"/>
            <w:shd w:val="clear" w:color="auto" w:fill="C6EFCE"/>
            <w:vAlign w:val="center"/>
          </w:tcPr>
          <w:p w14:paraId="4F4AC987" w14:textId="77777777" w:rsidR="00025543" w:rsidRDefault="007E3A2F">
            <w:pPr>
              <w:pStyle w:val="P68B1DB1-Normal15"/>
              <w:spacing w:before="0" w:after="0" w:line="240" w:lineRule="auto"/>
              <w:rPr>
                <w:noProof/>
              </w:rPr>
            </w:pPr>
            <w:r>
              <w:rPr>
                <w:noProof/>
              </w:rPr>
              <w:t>Cible</w:t>
            </w:r>
          </w:p>
        </w:tc>
        <w:tc>
          <w:tcPr>
            <w:tcW w:w="1607" w:type="dxa"/>
            <w:shd w:val="clear" w:color="auto" w:fill="C6EFCE"/>
            <w:vAlign w:val="center"/>
          </w:tcPr>
          <w:p w14:paraId="032230E4" w14:textId="15BFF2A6" w:rsidR="00025543" w:rsidRDefault="007E3A2F">
            <w:pPr>
              <w:pStyle w:val="P68B1DB1-Normal15"/>
              <w:spacing w:before="0" w:after="0" w:line="240" w:lineRule="auto"/>
              <w:rPr>
                <w:noProof/>
              </w:rPr>
            </w:pPr>
            <w:r>
              <w:rPr>
                <w:noProof/>
              </w:rPr>
              <w:t>Accords juridiques signés avec les bénéficiaires finaux</w:t>
            </w:r>
          </w:p>
        </w:tc>
        <w:tc>
          <w:tcPr>
            <w:tcW w:w="1872" w:type="dxa"/>
            <w:shd w:val="clear" w:color="auto" w:fill="C6EFCE"/>
            <w:vAlign w:val="center"/>
          </w:tcPr>
          <w:p w14:paraId="51BA3D12" w14:textId="75FAC86F" w:rsidR="00025543" w:rsidRDefault="00025543">
            <w:pPr>
              <w:spacing w:before="0" w:after="0" w:line="240" w:lineRule="auto"/>
              <w:rPr>
                <w:rFonts w:eastAsia="Times New Roman"/>
                <w:noProof/>
                <w:color w:val="004300"/>
                <w:sz w:val="18"/>
              </w:rPr>
            </w:pPr>
          </w:p>
        </w:tc>
        <w:tc>
          <w:tcPr>
            <w:tcW w:w="971" w:type="dxa"/>
            <w:shd w:val="clear" w:color="auto" w:fill="C6EFCE"/>
            <w:vAlign w:val="center"/>
          </w:tcPr>
          <w:p w14:paraId="70C5B5C1" w14:textId="77777777" w:rsidR="00025543" w:rsidRDefault="007E3A2F">
            <w:pPr>
              <w:pStyle w:val="P68B1DB1-Normal15"/>
              <w:spacing w:before="0" w:after="0" w:line="240" w:lineRule="auto"/>
              <w:rPr>
                <w:noProof/>
              </w:rPr>
            </w:pPr>
            <w:r>
              <w:rPr>
                <w:noProof/>
              </w:rPr>
              <w:t>% (pourcentage)</w:t>
            </w:r>
          </w:p>
        </w:tc>
        <w:tc>
          <w:tcPr>
            <w:tcW w:w="971" w:type="dxa"/>
            <w:shd w:val="clear" w:color="auto" w:fill="C6EFCE"/>
            <w:vAlign w:val="center"/>
          </w:tcPr>
          <w:p w14:paraId="6BDA9244" w14:textId="50617CB3" w:rsidR="00025543" w:rsidRDefault="007E3A2F">
            <w:pPr>
              <w:pStyle w:val="P68B1DB1-Normal15"/>
              <w:spacing w:before="0" w:after="0" w:line="240" w:lineRule="auto"/>
              <w:jc w:val="center"/>
              <w:rPr>
                <w:noProof/>
              </w:rPr>
            </w:pPr>
            <w:r>
              <w:rPr>
                <w:noProof/>
              </w:rPr>
              <w:t>0</w:t>
            </w:r>
          </w:p>
        </w:tc>
        <w:tc>
          <w:tcPr>
            <w:tcW w:w="1077" w:type="dxa"/>
            <w:shd w:val="clear" w:color="auto" w:fill="C6EFCE"/>
            <w:vAlign w:val="center"/>
          </w:tcPr>
          <w:p w14:paraId="3B2A1CEF" w14:textId="77777777" w:rsidR="00025543" w:rsidRDefault="007E3A2F">
            <w:pPr>
              <w:pStyle w:val="P68B1DB1-Normal15"/>
              <w:spacing w:before="0" w:after="0" w:line="240" w:lineRule="auto"/>
              <w:jc w:val="center"/>
              <w:rPr>
                <w:noProof/>
              </w:rPr>
            </w:pPr>
            <w:r>
              <w:rPr>
                <w:noProof/>
              </w:rPr>
              <w:t>100</w:t>
            </w:r>
          </w:p>
        </w:tc>
        <w:tc>
          <w:tcPr>
            <w:tcW w:w="1021" w:type="dxa"/>
            <w:shd w:val="clear" w:color="auto" w:fill="C6EFCE"/>
            <w:vAlign w:val="center"/>
          </w:tcPr>
          <w:p w14:paraId="59A4DBC2" w14:textId="77777777" w:rsidR="00025543" w:rsidRDefault="007E3A2F">
            <w:pPr>
              <w:pStyle w:val="P68B1DB1-Normal15"/>
              <w:spacing w:before="0" w:after="0" w:line="240" w:lineRule="auto"/>
              <w:jc w:val="center"/>
              <w:rPr>
                <w:noProof/>
              </w:rPr>
            </w:pPr>
            <w:r>
              <w:rPr>
                <w:noProof/>
              </w:rPr>
              <w:t>TRIMESTRE 2</w:t>
            </w:r>
          </w:p>
        </w:tc>
        <w:tc>
          <w:tcPr>
            <w:tcW w:w="678" w:type="dxa"/>
            <w:shd w:val="clear" w:color="auto" w:fill="C6EFCE"/>
            <w:vAlign w:val="center"/>
          </w:tcPr>
          <w:p w14:paraId="248F80A3" w14:textId="77777777" w:rsidR="00025543" w:rsidRDefault="007E3A2F">
            <w:pPr>
              <w:pStyle w:val="P68B1DB1-Normal15"/>
              <w:spacing w:before="0" w:after="0" w:line="240" w:lineRule="auto"/>
              <w:jc w:val="center"/>
              <w:rPr>
                <w:noProof/>
              </w:rPr>
            </w:pPr>
            <w:r>
              <w:rPr>
                <w:noProof/>
              </w:rPr>
              <w:t>2026</w:t>
            </w:r>
          </w:p>
        </w:tc>
        <w:tc>
          <w:tcPr>
            <w:tcW w:w="4310" w:type="dxa"/>
            <w:shd w:val="clear" w:color="auto" w:fill="C6EFCE"/>
            <w:vAlign w:val="center"/>
          </w:tcPr>
          <w:p w14:paraId="3046BAEB" w14:textId="4447587C" w:rsidR="00025543" w:rsidRDefault="007E3A2F">
            <w:pPr>
              <w:pStyle w:val="P68B1DB1-Normal15"/>
              <w:spacing w:before="0" w:after="0" w:line="240" w:lineRule="auto"/>
              <w:rPr>
                <w:noProof/>
              </w:rPr>
            </w:pPr>
            <w:r>
              <w:rPr>
                <w:noProof/>
              </w:rPr>
              <w:t>Le Fonds public de soutien à l’investissement a conclu des conventions de financement juridiques avec les bénéficiaires finaux pour un montant nécessaire pour utiliser 100 % des investissements au titre de la FRR dans la facilité (en tenant compte des frais de gestion).</w:t>
            </w:r>
          </w:p>
        </w:tc>
      </w:tr>
      <w:tr w:rsidR="00025543" w14:paraId="46D0CC12" w14:textId="77777777">
        <w:trPr>
          <w:trHeight w:val="309"/>
          <w:jc w:val="center"/>
        </w:trPr>
        <w:tc>
          <w:tcPr>
            <w:tcW w:w="674" w:type="dxa"/>
            <w:shd w:val="clear" w:color="auto" w:fill="C6EFCE"/>
            <w:vAlign w:val="center"/>
          </w:tcPr>
          <w:p w14:paraId="7F3F2A93" w14:textId="23314F13" w:rsidR="00025543" w:rsidRDefault="007E3A2F">
            <w:pPr>
              <w:pStyle w:val="P68B1DB1-Normal15"/>
              <w:spacing w:before="0" w:after="0" w:line="240" w:lineRule="auto"/>
              <w:jc w:val="center"/>
              <w:rPr>
                <w:noProof/>
              </w:rPr>
            </w:pPr>
            <w:r>
              <w:rPr>
                <w:noProof/>
              </w:rPr>
              <w:t>266</w:t>
            </w:r>
          </w:p>
        </w:tc>
        <w:tc>
          <w:tcPr>
            <w:tcW w:w="1690" w:type="dxa"/>
            <w:shd w:val="clear" w:color="auto" w:fill="C6EFCE"/>
            <w:vAlign w:val="center"/>
          </w:tcPr>
          <w:p w14:paraId="35514E07" w14:textId="77777777" w:rsidR="00025543" w:rsidRDefault="007E3A2F">
            <w:pPr>
              <w:pStyle w:val="P68B1DB1-Normal15"/>
              <w:spacing w:after="0" w:line="240" w:lineRule="auto"/>
              <w:rPr>
                <w:noProof/>
              </w:rPr>
            </w:pPr>
            <w:r>
              <w:rPr>
                <w:noProof/>
              </w:rPr>
              <w:t>Investissement 1:</w:t>
            </w:r>
          </w:p>
          <w:p w14:paraId="11E3EDDE" w14:textId="57517A55" w:rsidR="00025543" w:rsidRDefault="007E3A2F">
            <w:pPr>
              <w:pStyle w:val="P68B1DB1-Normal15"/>
              <w:spacing w:before="0" w:after="0" w:line="240" w:lineRule="auto"/>
              <w:rPr>
                <w:noProof/>
              </w:rPr>
            </w:pPr>
            <w:r>
              <w:rPr>
                <w:noProof/>
              </w:rPr>
              <w:t>Facilité de prêt à des conditions préférentielles</w:t>
            </w:r>
          </w:p>
        </w:tc>
        <w:tc>
          <w:tcPr>
            <w:tcW w:w="1134" w:type="dxa"/>
            <w:shd w:val="clear" w:color="auto" w:fill="C6EFCE"/>
            <w:vAlign w:val="center"/>
          </w:tcPr>
          <w:p w14:paraId="7029135F" w14:textId="7A16E8F0" w:rsidR="00025543" w:rsidRDefault="007E3A2F">
            <w:pPr>
              <w:pStyle w:val="P68B1DB1-Normal15"/>
              <w:spacing w:before="0" w:after="0" w:line="240" w:lineRule="auto"/>
              <w:rPr>
                <w:noProof/>
              </w:rPr>
            </w:pPr>
            <w:r>
              <w:rPr>
                <w:noProof/>
              </w:rPr>
              <w:t>Étapes</w:t>
            </w:r>
          </w:p>
        </w:tc>
        <w:tc>
          <w:tcPr>
            <w:tcW w:w="1607" w:type="dxa"/>
            <w:shd w:val="clear" w:color="auto" w:fill="C6EFCE"/>
            <w:vAlign w:val="center"/>
          </w:tcPr>
          <w:p w14:paraId="72D9066A" w14:textId="3B48A11B" w:rsidR="00025543" w:rsidRDefault="007E3A2F">
            <w:pPr>
              <w:pStyle w:val="P68B1DB1-Normal15"/>
              <w:spacing w:before="0" w:after="0" w:line="240" w:lineRule="auto"/>
              <w:rPr>
                <w:noProof/>
              </w:rPr>
            </w:pPr>
            <w:r>
              <w:rPr>
                <w:noProof/>
              </w:rPr>
              <w:t>Le ministère a achevé l’investissement</w:t>
            </w:r>
          </w:p>
        </w:tc>
        <w:tc>
          <w:tcPr>
            <w:tcW w:w="1872" w:type="dxa"/>
            <w:shd w:val="clear" w:color="auto" w:fill="C6EFCE"/>
            <w:vAlign w:val="center"/>
          </w:tcPr>
          <w:p w14:paraId="0AD807B9" w14:textId="5422E62C" w:rsidR="00025543" w:rsidRDefault="007E3A2F">
            <w:pPr>
              <w:pStyle w:val="P68B1DB1-Normal15"/>
              <w:spacing w:before="0" w:after="0" w:line="240" w:lineRule="auto"/>
              <w:rPr>
                <w:noProof/>
              </w:rPr>
            </w:pPr>
            <w:r>
              <w:rPr>
                <w:noProof/>
              </w:rPr>
              <w:t>Attestation de versement</w:t>
            </w:r>
          </w:p>
        </w:tc>
        <w:tc>
          <w:tcPr>
            <w:tcW w:w="971" w:type="dxa"/>
            <w:shd w:val="clear" w:color="auto" w:fill="C6EFCE"/>
            <w:vAlign w:val="center"/>
          </w:tcPr>
          <w:p w14:paraId="1CACF763" w14:textId="211FF971" w:rsidR="00025543" w:rsidRDefault="00025543">
            <w:pPr>
              <w:spacing w:before="0" w:after="0" w:line="240" w:lineRule="auto"/>
              <w:rPr>
                <w:rFonts w:eastAsia="Times New Roman"/>
                <w:noProof/>
                <w:color w:val="004300"/>
                <w:sz w:val="18"/>
              </w:rPr>
            </w:pPr>
          </w:p>
        </w:tc>
        <w:tc>
          <w:tcPr>
            <w:tcW w:w="971" w:type="dxa"/>
            <w:shd w:val="clear" w:color="auto" w:fill="C6EFCE"/>
            <w:vAlign w:val="center"/>
          </w:tcPr>
          <w:p w14:paraId="329B46C4" w14:textId="7291AB44" w:rsidR="00025543" w:rsidRDefault="00025543">
            <w:pPr>
              <w:spacing w:before="0" w:after="0" w:line="240" w:lineRule="auto"/>
              <w:jc w:val="center"/>
              <w:rPr>
                <w:rFonts w:eastAsia="Times New Roman"/>
                <w:noProof/>
                <w:color w:val="004300"/>
                <w:sz w:val="18"/>
              </w:rPr>
            </w:pPr>
          </w:p>
        </w:tc>
        <w:tc>
          <w:tcPr>
            <w:tcW w:w="1077" w:type="dxa"/>
            <w:shd w:val="clear" w:color="auto" w:fill="C6EFCE"/>
            <w:vAlign w:val="center"/>
          </w:tcPr>
          <w:p w14:paraId="09F690B8" w14:textId="7AEA6F55" w:rsidR="00025543" w:rsidRDefault="00025543">
            <w:pPr>
              <w:spacing w:before="0" w:after="0" w:line="240" w:lineRule="auto"/>
              <w:jc w:val="center"/>
              <w:rPr>
                <w:rFonts w:eastAsia="Times New Roman"/>
                <w:noProof/>
                <w:color w:val="004300"/>
                <w:sz w:val="18"/>
              </w:rPr>
            </w:pPr>
          </w:p>
        </w:tc>
        <w:tc>
          <w:tcPr>
            <w:tcW w:w="1021" w:type="dxa"/>
            <w:shd w:val="clear" w:color="auto" w:fill="C6EFCE"/>
            <w:vAlign w:val="center"/>
          </w:tcPr>
          <w:p w14:paraId="531A8935" w14:textId="77777777" w:rsidR="00025543" w:rsidRDefault="007E3A2F">
            <w:pPr>
              <w:pStyle w:val="P68B1DB1-Normal15"/>
              <w:spacing w:before="0" w:after="0" w:line="240" w:lineRule="auto"/>
              <w:jc w:val="center"/>
              <w:rPr>
                <w:noProof/>
              </w:rPr>
            </w:pPr>
            <w:r>
              <w:rPr>
                <w:noProof/>
              </w:rPr>
              <w:t>TRIMESTRE 2</w:t>
            </w:r>
          </w:p>
        </w:tc>
        <w:tc>
          <w:tcPr>
            <w:tcW w:w="678" w:type="dxa"/>
            <w:shd w:val="clear" w:color="auto" w:fill="C6EFCE"/>
            <w:vAlign w:val="center"/>
          </w:tcPr>
          <w:p w14:paraId="3C0E9018" w14:textId="77777777" w:rsidR="00025543" w:rsidRDefault="007E3A2F">
            <w:pPr>
              <w:pStyle w:val="P68B1DB1-Normal15"/>
              <w:spacing w:before="0" w:after="0" w:line="240" w:lineRule="auto"/>
              <w:jc w:val="center"/>
              <w:rPr>
                <w:noProof/>
              </w:rPr>
            </w:pPr>
            <w:r>
              <w:rPr>
                <w:noProof/>
              </w:rPr>
              <w:t>2026</w:t>
            </w:r>
          </w:p>
        </w:tc>
        <w:tc>
          <w:tcPr>
            <w:tcW w:w="4310" w:type="dxa"/>
            <w:shd w:val="clear" w:color="auto" w:fill="C6EFCE"/>
            <w:vAlign w:val="center"/>
          </w:tcPr>
          <w:p w14:paraId="378D67B8" w14:textId="64A53A30" w:rsidR="00025543" w:rsidRDefault="007E3A2F">
            <w:pPr>
              <w:pStyle w:val="P68B1DB1-Normal15"/>
              <w:spacing w:before="0" w:after="0" w:line="240" w:lineRule="auto"/>
              <w:rPr>
                <w:noProof/>
              </w:rPr>
            </w:pPr>
            <w:r>
              <w:rPr>
                <w:noProof/>
              </w:rPr>
              <w:t>La Tchéquie transfère 170 460 000 EUR au Fonds d’État de soutien à l’investissement en faveur de la facilité.</w:t>
            </w:r>
          </w:p>
        </w:tc>
      </w:tr>
      <w:tr w:rsidR="00025543" w14:paraId="6DEBE224" w14:textId="77777777">
        <w:trPr>
          <w:trHeight w:val="309"/>
          <w:jc w:val="center"/>
        </w:trPr>
        <w:tc>
          <w:tcPr>
            <w:tcW w:w="674" w:type="dxa"/>
            <w:shd w:val="clear" w:color="auto" w:fill="C6EFCE"/>
            <w:vAlign w:val="center"/>
          </w:tcPr>
          <w:p w14:paraId="53319A4A" w14:textId="7E920FAC" w:rsidR="00025543" w:rsidRDefault="007E3A2F">
            <w:pPr>
              <w:pStyle w:val="P68B1DB1-Normal15"/>
              <w:spacing w:before="0" w:after="0" w:line="240" w:lineRule="auto"/>
              <w:jc w:val="center"/>
              <w:rPr>
                <w:noProof/>
              </w:rPr>
            </w:pPr>
            <w:r>
              <w:rPr>
                <w:noProof/>
              </w:rPr>
              <w:t>267</w:t>
            </w:r>
          </w:p>
        </w:tc>
        <w:tc>
          <w:tcPr>
            <w:tcW w:w="1690" w:type="dxa"/>
            <w:shd w:val="clear" w:color="auto" w:fill="C6EFCE"/>
            <w:vAlign w:val="center"/>
          </w:tcPr>
          <w:p w14:paraId="30F8FB3A" w14:textId="77777777" w:rsidR="00025543" w:rsidRDefault="007E3A2F">
            <w:pPr>
              <w:pStyle w:val="P68B1DB1-Normal15"/>
              <w:spacing w:after="0" w:line="240" w:lineRule="auto"/>
              <w:rPr>
                <w:noProof/>
              </w:rPr>
            </w:pPr>
            <w:r>
              <w:rPr>
                <w:noProof/>
              </w:rPr>
              <w:t xml:space="preserve">Investissement 2: </w:t>
            </w:r>
          </w:p>
          <w:p w14:paraId="5ACA9A97" w14:textId="440F82E4" w:rsidR="00025543" w:rsidRDefault="007E3A2F">
            <w:pPr>
              <w:pStyle w:val="P68B1DB1-Normal15"/>
              <w:spacing w:before="0" w:after="0" w:line="240" w:lineRule="auto"/>
              <w:rPr>
                <w:noProof/>
              </w:rPr>
            </w:pPr>
            <w:r>
              <w:rPr>
                <w:noProof/>
              </w:rPr>
              <w:t>Facilité de prêt subordonné</w:t>
            </w:r>
          </w:p>
        </w:tc>
        <w:tc>
          <w:tcPr>
            <w:tcW w:w="1134" w:type="dxa"/>
            <w:shd w:val="clear" w:color="auto" w:fill="C6EFCE"/>
            <w:vAlign w:val="center"/>
          </w:tcPr>
          <w:p w14:paraId="29996760" w14:textId="77777777" w:rsidR="00025543" w:rsidRDefault="007E3A2F">
            <w:pPr>
              <w:pStyle w:val="P68B1DB1-Normal15"/>
              <w:spacing w:before="0" w:after="0" w:line="240" w:lineRule="auto"/>
              <w:rPr>
                <w:noProof/>
              </w:rPr>
            </w:pPr>
            <w:r>
              <w:rPr>
                <w:noProof/>
              </w:rPr>
              <w:t>Étapes</w:t>
            </w:r>
          </w:p>
        </w:tc>
        <w:tc>
          <w:tcPr>
            <w:tcW w:w="1607" w:type="dxa"/>
            <w:shd w:val="clear" w:color="auto" w:fill="C6EFCE"/>
            <w:vAlign w:val="center"/>
          </w:tcPr>
          <w:p w14:paraId="7D1FA384" w14:textId="76406CDF" w:rsidR="00025543" w:rsidRDefault="007E3A2F">
            <w:pPr>
              <w:pStyle w:val="P68B1DB1-Normal15"/>
              <w:spacing w:before="0" w:after="0" w:line="240" w:lineRule="auto"/>
              <w:rPr>
                <w:noProof/>
              </w:rPr>
            </w:pPr>
            <w:r>
              <w:rPr>
                <w:noProof/>
              </w:rPr>
              <w:t>Accord de mise en œuvre</w:t>
            </w:r>
          </w:p>
        </w:tc>
        <w:tc>
          <w:tcPr>
            <w:tcW w:w="1872" w:type="dxa"/>
            <w:shd w:val="clear" w:color="auto" w:fill="C6EFCE"/>
            <w:vAlign w:val="center"/>
          </w:tcPr>
          <w:p w14:paraId="41D0F065" w14:textId="071A593F" w:rsidR="00025543" w:rsidRDefault="007E3A2F">
            <w:pPr>
              <w:pStyle w:val="P68B1DB1-Normal15"/>
              <w:spacing w:before="0" w:after="0" w:line="240" w:lineRule="auto"/>
              <w:rPr>
                <w:noProof/>
              </w:rPr>
            </w:pPr>
            <w:r>
              <w:rPr>
                <w:noProof/>
              </w:rPr>
              <w:t>Entrée en vigueur de l’accord de mise en œuvre</w:t>
            </w:r>
          </w:p>
        </w:tc>
        <w:tc>
          <w:tcPr>
            <w:tcW w:w="971" w:type="dxa"/>
            <w:shd w:val="clear" w:color="auto" w:fill="C6EFCE"/>
            <w:vAlign w:val="center"/>
          </w:tcPr>
          <w:p w14:paraId="07A32CD5" w14:textId="77777777" w:rsidR="00025543" w:rsidRDefault="00025543">
            <w:pPr>
              <w:spacing w:before="0" w:after="0" w:line="240" w:lineRule="auto"/>
              <w:rPr>
                <w:rFonts w:eastAsia="Times New Roman"/>
                <w:noProof/>
                <w:color w:val="004300"/>
                <w:sz w:val="18"/>
              </w:rPr>
            </w:pPr>
          </w:p>
        </w:tc>
        <w:tc>
          <w:tcPr>
            <w:tcW w:w="971" w:type="dxa"/>
            <w:shd w:val="clear" w:color="auto" w:fill="C6EFCE"/>
            <w:vAlign w:val="center"/>
          </w:tcPr>
          <w:p w14:paraId="19FBAE90" w14:textId="77777777" w:rsidR="00025543" w:rsidRDefault="00025543">
            <w:pPr>
              <w:spacing w:before="0" w:after="0" w:line="240" w:lineRule="auto"/>
              <w:jc w:val="center"/>
              <w:rPr>
                <w:rFonts w:eastAsia="Times New Roman"/>
                <w:noProof/>
                <w:color w:val="004300"/>
                <w:sz w:val="18"/>
              </w:rPr>
            </w:pPr>
          </w:p>
        </w:tc>
        <w:tc>
          <w:tcPr>
            <w:tcW w:w="1077" w:type="dxa"/>
            <w:shd w:val="clear" w:color="auto" w:fill="C6EFCE"/>
            <w:vAlign w:val="center"/>
          </w:tcPr>
          <w:p w14:paraId="67649337" w14:textId="77777777" w:rsidR="00025543" w:rsidRDefault="00025543">
            <w:pPr>
              <w:spacing w:before="0" w:after="0" w:line="240" w:lineRule="auto"/>
              <w:jc w:val="center"/>
              <w:rPr>
                <w:rFonts w:eastAsia="Times New Roman"/>
                <w:noProof/>
                <w:color w:val="004300"/>
                <w:sz w:val="18"/>
              </w:rPr>
            </w:pPr>
          </w:p>
        </w:tc>
        <w:tc>
          <w:tcPr>
            <w:tcW w:w="1021" w:type="dxa"/>
            <w:shd w:val="clear" w:color="auto" w:fill="C6EFCE"/>
            <w:vAlign w:val="center"/>
          </w:tcPr>
          <w:p w14:paraId="18709B12" w14:textId="27CE01E4" w:rsidR="00025543" w:rsidRDefault="007E3A2F">
            <w:pPr>
              <w:pStyle w:val="P68B1DB1-Normal15"/>
              <w:spacing w:before="0" w:after="0" w:line="240" w:lineRule="auto"/>
              <w:jc w:val="center"/>
              <w:rPr>
                <w:noProof/>
              </w:rPr>
            </w:pPr>
            <w:r>
              <w:rPr>
                <w:noProof/>
              </w:rPr>
              <w:t>TRIMESTRE 3</w:t>
            </w:r>
          </w:p>
        </w:tc>
        <w:tc>
          <w:tcPr>
            <w:tcW w:w="678" w:type="dxa"/>
            <w:shd w:val="clear" w:color="auto" w:fill="C6EFCE"/>
            <w:vAlign w:val="center"/>
          </w:tcPr>
          <w:p w14:paraId="32F9BF35" w14:textId="1BF532F2" w:rsidR="00025543" w:rsidRDefault="007E3A2F">
            <w:pPr>
              <w:pStyle w:val="P68B1DB1-Normal15"/>
              <w:spacing w:before="0" w:after="0" w:line="240" w:lineRule="auto"/>
              <w:jc w:val="center"/>
              <w:rPr>
                <w:noProof/>
              </w:rPr>
            </w:pPr>
            <w:r>
              <w:rPr>
                <w:noProof/>
              </w:rPr>
              <w:t>2024</w:t>
            </w:r>
          </w:p>
        </w:tc>
        <w:tc>
          <w:tcPr>
            <w:tcW w:w="4310" w:type="dxa"/>
            <w:shd w:val="clear" w:color="auto" w:fill="C6EFCE"/>
            <w:vAlign w:val="center"/>
          </w:tcPr>
          <w:p w14:paraId="32291A8A" w14:textId="79FB80D5" w:rsidR="00025543" w:rsidRDefault="007E3A2F">
            <w:pPr>
              <w:pStyle w:val="P68B1DB1-Normal15"/>
              <w:spacing w:line="240" w:lineRule="auto"/>
              <w:rPr>
                <w:noProof/>
              </w:rPr>
            </w:pPr>
            <w:r>
              <w:rPr>
                <w:noProof/>
              </w:rPr>
              <w:t>Entrée en vigueur de l’accord de mise en œuvre.</w:t>
            </w:r>
          </w:p>
        </w:tc>
      </w:tr>
      <w:tr w:rsidR="00025543" w14:paraId="2C4568A5" w14:textId="77777777">
        <w:trPr>
          <w:trHeight w:val="309"/>
          <w:jc w:val="center"/>
        </w:trPr>
        <w:tc>
          <w:tcPr>
            <w:tcW w:w="674" w:type="dxa"/>
            <w:shd w:val="clear" w:color="auto" w:fill="C6EFCE"/>
            <w:vAlign w:val="center"/>
          </w:tcPr>
          <w:p w14:paraId="2C90C4C3" w14:textId="221DCAE9" w:rsidR="00025543" w:rsidRDefault="007E3A2F">
            <w:pPr>
              <w:pStyle w:val="P68B1DB1-Normal15"/>
              <w:spacing w:before="0" w:after="0" w:line="240" w:lineRule="auto"/>
              <w:jc w:val="center"/>
              <w:rPr>
                <w:noProof/>
              </w:rPr>
            </w:pPr>
            <w:r>
              <w:rPr>
                <w:noProof/>
              </w:rPr>
              <w:t>268</w:t>
            </w:r>
          </w:p>
        </w:tc>
        <w:tc>
          <w:tcPr>
            <w:tcW w:w="1690" w:type="dxa"/>
            <w:shd w:val="clear" w:color="auto" w:fill="C6EFCE"/>
            <w:vAlign w:val="center"/>
          </w:tcPr>
          <w:p w14:paraId="48D92C74" w14:textId="77777777" w:rsidR="00025543" w:rsidRDefault="007E3A2F">
            <w:pPr>
              <w:pStyle w:val="P68B1DB1-Normal15"/>
              <w:spacing w:after="0" w:line="240" w:lineRule="auto"/>
              <w:rPr>
                <w:noProof/>
              </w:rPr>
            </w:pPr>
            <w:r>
              <w:rPr>
                <w:noProof/>
              </w:rPr>
              <w:t xml:space="preserve">Investissement 2: </w:t>
            </w:r>
          </w:p>
          <w:p w14:paraId="4E8B4025" w14:textId="5A1982C5" w:rsidR="00025543" w:rsidRDefault="007E3A2F">
            <w:pPr>
              <w:pStyle w:val="P68B1DB1-Normal15"/>
              <w:spacing w:before="0" w:after="0" w:line="240" w:lineRule="auto"/>
              <w:rPr>
                <w:noProof/>
              </w:rPr>
            </w:pPr>
            <w:r>
              <w:rPr>
                <w:noProof/>
              </w:rPr>
              <w:t>Facilité de prêt subordonné</w:t>
            </w:r>
          </w:p>
        </w:tc>
        <w:tc>
          <w:tcPr>
            <w:tcW w:w="1134" w:type="dxa"/>
            <w:shd w:val="clear" w:color="auto" w:fill="C6EFCE"/>
            <w:vAlign w:val="center"/>
          </w:tcPr>
          <w:p w14:paraId="4F28BBC2" w14:textId="618AAEFA" w:rsidR="00025543" w:rsidRDefault="007E3A2F">
            <w:pPr>
              <w:pStyle w:val="P68B1DB1-Normal15"/>
              <w:spacing w:before="0" w:after="0" w:line="240" w:lineRule="auto"/>
              <w:rPr>
                <w:noProof/>
              </w:rPr>
            </w:pPr>
            <w:r>
              <w:rPr>
                <w:noProof/>
              </w:rPr>
              <w:t>Cible</w:t>
            </w:r>
          </w:p>
        </w:tc>
        <w:tc>
          <w:tcPr>
            <w:tcW w:w="1607" w:type="dxa"/>
            <w:shd w:val="clear" w:color="auto" w:fill="C6EFCE"/>
            <w:vAlign w:val="center"/>
          </w:tcPr>
          <w:p w14:paraId="68B7E607" w14:textId="4E5B9849" w:rsidR="00025543" w:rsidRDefault="007E3A2F">
            <w:pPr>
              <w:pStyle w:val="P68B1DB1-Normal15"/>
              <w:spacing w:before="0" w:after="0" w:line="240" w:lineRule="auto"/>
              <w:rPr>
                <w:noProof/>
              </w:rPr>
            </w:pPr>
            <w:r>
              <w:rPr>
                <w:noProof/>
              </w:rPr>
              <w:t>Accords juridiques signés avec les bénéficiaires finaux</w:t>
            </w:r>
          </w:p>
        </w:tc>
        <w:tc>
          <w:tcPr>
            <w:tcW w:w="1872" w:type="dxa"/>
            <w:shd w:val="clear" w:color="auto" w:fill="C6EFCE"/>
            <w:vAlign w:val="center"/>
          </w:tcPr>
          <w:p w14:paraId="7200919A" w14:textId="77777777" w:rsidR="00025543" w:rsidRDefault="00025543">
            <w:pPr>
              <w:spacing w:before="0" w:after="0" w:line="240" w:lineRule="auto"/>
              <w:rPr>
                <w:rFonts w:eastAsia="Times New Roman"/>
                <w:noProof/>
                <w:color w:val="004300"/>
                <w:sz w:val="18"/>
              </w:rPr>
            </w:pPr>
          </w:p>
        </w:tc>
        <w:tc>
          <w:tcPr>
            <w:tcW w:w="971" w:type="dxa"/>
            <w:shd w:val="clear" w:color="auto" w:fill="C6EFCE"/>
            <w:vAlign w:val="center"/>
          </w:tcPr>
          <w:p w14:paraId="1ADEB2D7" w14:textId="77777777" w:rsidR="00025543" w:rsidRDefault="007E3A2F">
            <w:pPr>
              <w:pStyle w:val="P68B1DB1-Normal15"/>
              <w:spacing w:before="0" w:after="0" w:line="240" w:lineRule="auto"/>
              <w:rPr>
                <w:noProof/>
              </w:rPr>
            </w:pPr>
            <w:r>
              <w:rPr>
                <w:noProof/>
              </w:rPr>
              <w:t>% (pourcentage)</w:t>
            </w:r>
          </w:p>
        </w:tc>
        <w:tc>
          <w:tcPr>
            <w:tcW w:w="971" w:type="dxa"/>
            <w:shd w:val="clear" w:color="auto" w:fill="C6EFCE"/>
            <w:vAlign w:val="center"/>
          </w:tcPr>
          <w:p w14:paraId="6C7F992D" w14:textId="6E7050C1" w:rsidR="00025543" w:rsidRDefault="007E3A2F">
            <w:pPr>
              <w:pStyle w:val="P68B1DB1-Normal15"/>
              <w:spacing w:before="0" w:after="0" w:line="240" w:lineRule="auto"/>
              <w:jc w:val="center"/>
              <w:rPr>
                <w:noProof/>
              </w:rPr>
            </w:pPr>
            <w:r>
              <w:rPr>
                <w:noProof/>
              </w:rPr>
              <w:t>0</w:t>
            </w:r>
          </w:p>
        </w:tc>
        <w:tc>
          <w:tcPr>
            <w:tcW w:w="1077" w:type="dxa"/>
            <w:shd w:val="clear" w:color="auto" w:fill="C6EFCE"/>
            <w:vAlign w:val="center"/>
          </w:tcPr>
          <w:p w14:paraId="76244097" w14:textId="77777777" w:rsidR="00025543" w:rsidRDefault="007E3A2F">
            <w:pPr>
              <w:pStyle w:val="P68B1DB1-Normal15"/>
              <w:spacing w:before="0" w:after="0" w:line="240" w:lineRule="auto"/>
              <w:jc w:val="center"/>
              <w:rPr>
                <w:noProof/>
              </w:rPr>
            </w:pPr>
            <w:r>
              <w:rPr>
                <w:noProof/>
              </w:rPr>
              <w:t>100</w:t>
            </w:r>
          </w:p>
        </w:tc>
        <w:tc>
          <w:tcPr>
            <w:tcW w:w="1021" w:type="dxa"/>
            <w:shd w:val="clear" w:color="auto" w:fill="C6EFCE"/>
            <w:vAlign w:val="center"/>
          </w:tcPr>
          <w:p w14:paraId="67CEDAC3" w14:textId="77777777" w:rsidR="00025543" w:rsidRDefault="007E3A2F">
            <w:pPr>
              <w:pStyle w:val="P68B1DB1-Normal15"/>
              <w:spacing w:before="0" w:after="0" w:line="240" w:lineRule="auto"/>
              <w:jc w:val="center"/>
              <w:rPr>
                <w:noProof/>
              </w:rPr>
            </w:pPr>
            <w:r>
              <w:rPr>
                <w:noProof/>
              </w:rPr>
              <w:t>TRIMESTRE 2</w:t>
            </w:r>
          </w:p>
        </w:tc>
        <w:tc>
          <w:tcPr>
            <w:tcW w:w="678" w:type="dxa"/>
            <w:shd w:val="clear" w:color="auto" w:fill="C6EFCE"/>
            <w:vAlign w:val="center"/>
          </w:tcPr>
          <w:p w14:paraId="09A471C1" w14:textId="7967D502" w:rsidR="00025543" w:rsidRDefault="007E3A2F">
            <w:pPr>
              <w:pStyle w:val="P68B1DB1-Normal15"/>
              <w:spacing w:after="0" w:line="240" w:lineRule="auto"/>
              <w:jc w:val="center"/>
              <w:rPr>
                <w:noProof/>
              </w:rPr>
            </w:pPr>
            <w:r>
              <w:rPr>
                <w:noProof/>
              </w:rPr>
              <w:t>2026</w:t>
            </w:r>
          </w:p>
        </w:tc>
        <w:tc>
          <w:tcPr>
            <w:tcW w:w="4310" w:type="dxa"/>
            <w:shd w:val="clear" w:color="auto" w:fill="C6EFCE"/>
            <w:vAlign w:val="center"/>
          </w:tcPr>
          <w:p w14:paraId="716E371E" w14:textId="1982176E" w:rsidR="00025543" w:rsidRDefault="007E3A2F">
            <w:pPr>
              <w:pStyle w:val="P68B1DB1-Normal15"/>
              <w:spacing w:before="0" w:after="0" w:line="240" w:lineRule="auto"/>
              <w:rPr>
                <w:noProof/>
              </w:rPr>
            </w:pPr>
            <w:r>
              <w:rPr>
                <w:noProof/>
              </w:rPr>
              <w:t>La Banque nationale de développement a conclu des conventions juridiques de financement avec les bénéficiaires finaux pour un montant nécessaire pour utiliser 100 % des investissements au titre de la FRR dans la facilité (en tenant compte des frais de gestion).</w:t>
            </w:r>
          </w:p>
        </w:tc>
      </w:tr>
      <w:tr w:rsidR="00025543" w14:paraId="48656236" w14:textId="77777777">
        <w:trPr>
          <w:trHeight w:val="309"/>
          <w:jc w:val="center"/>
        </w:trPr>
        <w:tc>
          <w:tcPr>
            <w:tcW w:w="674" w:type="dxa"/>
            <w:shd w:val="clear" w:color="auto" w:fill="C6EFCE"/>
            <w:vAlign w:val="center"/>
          </w:tcPr>
          <w:p w14:paraId="7DCC4766" w14:textId="1A37C084" w:rsidR="00025543" w:rsidRDefault="007E3A2F">
            <w:pPr>
              <w:pStyle w:val="P68B1DB1-Normal15"/>
              <w:spacing w:before="0" w:after="0" w:line="240" w:lineRule="auto"/>
              <w:jc w:val="center"/>
              <w:rPr>
                <w:noProof/>
              </w:rPr>
            </w:pPr>
            <w:r>
              <w:rPr>
                <w:noProof/>
              </w:rPr>
              <w:t>269</w:t>
            </w:r>
          </w:p>
        </w:tc>
        <w:tc>
          <w:tcPr>
            <w:tcW w:w="1690" w:type="dxa"/>
            <w:shd w:val="clear" w:color="auto" w:fill="C6EFCE"/>
            <w:vAlign w:val="center"/>
          </w:tcPr>
          <w:p w14:paraId="20DBFC82" w14:textId="77777777" w:rsidR="00025543" w:rsidRDefault="007E3A2F">
            <w:pPr>
              <w:pStyle w:val="P68B1DB1-Normal15"/>
              <w:spacing w:after="0" w:line="240" w:lineRule="auto"/>
              <w:rPr>
                <w:noProof/>
              </w:rPr>
            </w:pPr>
            <w:r>
              <w:rPr>
                <w:noProof/>
              </w:rPr>
              <w:t xml:space="preserve">Investissement 2: </w:t>
            </w:r>
          </w:p>
          <w:p w14:paraId="3272C2CC" w14:textId="1E6D7B39" w:rsidR="00025543" w:rsidRDefault="007E3A2F">
            <w:pPr>
              <w:pStyle w:val="P68B1DB1-Normal15"/>
              <w:spacing w:before="0" w:after="0" w:line="240" w:lineRule="auto"/>
              <w:rPr>
                <w:noProof/>
              </w:rPr>
            </w:pPr>
            <w:r>
              <w:rPr>
                <w:noProof/>
              </w:rPr>
              <w:t>Facilité de prêt subordonné</w:t>
            </w:r>
          </w:p>
        </w:tc>
        <w:tc>
          <w:tcPr>
            <w:tcW w:w="1134" w:type="dxa"/>
            <w:shd w:val="clear" w:color="auto" w:fill="C6EFCE"/>
            <w:vAlign w:val="center"/>
          </w:tcPr>
          <w:p w14:paraId="77A7CF18" w14:textId="21732EB9" w:rsidR="00025543" w:rsidRDefault="007E3A2F">
            <w:pPr>
              <w:pStyle w:val="P68B1DB1-Normal15"/>
              <w:spacing w:before="0" w:after="0" w:line="240" w:lineRule="auto"/>
              <w:rPr>
                <w:noProof/>
              </w:rPr>
            </w:pPr>
            <w:r>
              <w:rPr>
                <w:noProof/>
              </w:rPr>
              <w:t>Étapes</w:t>
            </w:r>
          </w:p>
        </w:tc>
        <w:tc>
          <w:tcPr>
            <w:tcW w:w="1607" w:type="dxa"/>
            <w:shd w:val="clear" w:color="auto" w:fill="C6EFCE"/>
            <w:vAlign w:val="center"/>
          </w:tcPr>
          <w:p w14:paraId="7BC0B464" w14:textId="1A83101C" w:rsidR="00025543" w:rsidRDefault="007E3A2F">
            <w:pPr>
              <w:pStyle w:val="P68B1DB1-Normal15"/>
              <w:spacing w:before="0" w:after="0" w:line="240" w:lineRule="auto"/>
              <w:rPr>
                <w:noProof/>
              </w:rPr>
            </w:pPr>
            <w:r>
              <w:rPr>
                <w:noProof/>
              </w:rPr>
              <w:t>Le ministère a achevé l’investissement</w:t>
            </w:r>
          </w:p>
        </w:tc>
        <w:tc>
          <w:tcPr>
            <w:tcW w:w="1872" w:type="dxa"/>
            <w:shd w:val="clear" w:color="auto" w:fill="C6EFCE"/>
            <w:vAlign w:val="center"/>
          </w:tcPr>
          <w:p w14:paraId="2AD55717" w14:textId="7F8EAFB9" w:rsidR="00025543" w:rsidRDefault="007E3A2F">
            <w:pPr>
              <w:pStyle w:val="P68B1DB1-Normal15"/>
              <w:spacing w:before="0" w:after="0" w:line="240" w:lineRule="auto"/>
              <w:rPr>
                <w:noProof/>
              </w:rPr>
            </w:pPr>
            <w:r>
              <w:rPr>
                <w:noProof/>
              </w:rPr>
              <w:t>Attestation de versement</w:t>
            </w:r>
          </w:p>
        </w:tc>
        <w:tc>
          <w:tcPr>
            <w:tcW w:w="971" w:type="dxa"/>
            <w:shd w:val="clear" w:color="auto" w:fill="C6EFCE"/>
            <w:vAlign w:val="center"/>
          </w:tcPr>
          <w:p w14:paraId="557AE372" w14:textId="7B483122" w:rsidR="00025543" w:rsidRDefault="00025543">
            <w:pPr>
              <w:spacing w:before="0" w:after="0" w:line="240" w:lineRule="auto"/>
              <w:rPr>
                <w:rFonts w:eastAsia="Times New Roman"/>
                <w:noProof/>
                <w:color w:val="004300"/>
                <w:sz w:val="18"/>
              </w:rPr>
            </w:pPr>
          </w:p>
        </w:tc>
        <w:tc>
          <w:tcPr>
            <w:tcW w:w="971" w:type="dxa"/>
            <w:shd w:val="clear" w:color="auto" w:fill="C6EFCE"/>
            <w:vAlign w:val="center"/>
          </w:tcPr>
          <w:p w14:paraId="6674814D" w14:textId="0D03E36A" w:rsidR="00025543" w:rsidRDefault="00025543">
            <w:pPr>
              <w:spacing w:before="0" w:after="0" w:line="240" w:lineRule="auto"/>
              <w:jc w:val="center"/>
              <w:rPr>
                <w:rFonts w:eastAsia="Times New Roman"/>
                <w:noProof/>
                <w:color w:val="004300"/>
                <w:sz w:val="18"/>
              </w:rPr>
            </w:pPr>
          </w:p>
        </w:tc>
        <w:tc>
          <w:tcPr>
            <w:tcW w:w="1077" w:type="dxa"/>
            <w:shd w:val="clear" w:color="auto" w:fill="C6EFCE"/>
            <w:vAlign w:val="center"/>
          </w:tcPr>
          <w:p w14:paraId="1E914E9A" w14:textId="02F57654" w:rsidR="00025543" w:rsidRDefault="00025543">
            <w:pPr>
              <w:spacing w:before="0" w:after="0" w:line="240" w:lineRule="auto"/>
              <w:jc w:val="center"/>
              <w:rPr>
                <w:rFonts w:eastAsia="Times New Roman"/>
                <w:noProof/>
                <w:color w:val="004300"/>
                <w:sz w:val="18"/>
              </w:rPr>
            </w:pPr>
          </w:p>
        </w:tc>
        <w:tc>
          <w:tcPr>
            <w:tcW w:w="1021" w:type="dxa"/>
            <w:shd w:val="clear" w:color="auto" w:fill="C6EFCE"/>
            <w:vAlign w:val="center"/>
          </w:tcPr>
          <w:p w14:paraId="47812570" w14:textId="77777777" w:rsidR="00025543" w:rsidRDefault="007E3A2F">
            <w:pPr>
              <w:pStyle w:val="P68B1DB1-Normal15"/>
              <w:spacing w:before="0" w:after="0" w:line="240" w:lineRule="auto"/>
              <w:jc w:val="center"/>
              <w:rPr>
                <w:noProof/>
              </w:rPr>
            </w:pPr>
            <w:r>
              <w:rPr>
                <w:noProof/>
              </w:rPr>
              <w:t>TRIMESTRE 2</w:t>
            </w:r>
          </w:p>
        </w:tc>
        <w:tc>
          <w:tcPr>
            <w:tcW w:w="678" w:type="dxa"/>
            <w:shd w:val="clear" w:color="auto" w:fill="C6EFCE"/>
            <w:vAlign w:val="center"/>
          </w:tcPr>
          <w:p w14:paraId="4B98B468" w14:textId="7A1E7A9B" w:rsidR="00025543" w:rsidRDefault="007E3A2F">
            <w:pPr>
              <w:pStyle w:val="P68B1DB1-Normal15"/>
              <w:spacing w:after="0" w:line="240" w:lineRule="auto"/>
              <w:jc w:val="center"/>
              <w:rPr>
                <w:noProof/>
              </w:rPr>
            </w:pPr>
            <w:r>
              <w:rPr>
                <w:noProof/>
              </w:rPr>
              <w:t>2026</w:t>
            </w:r>
          </w:p>
        </w:tc>
        <w:tc>
          <w:tcPr>
            <w:tcW w:w="4310" w:type="dxa"/>
            <w:shd w:val="clear" w:color="auto" w:fill="C6EFCE"/>
            <w:vAlign w:val="center"/>
          </w:tcPr>
          <w:p w14:paraId="0FA858DA" w14:textId="45918816" w:rsidR="00025543" w:rsidRDefault="007E3A2F">
            <w:pPr>
              <w:pStyle w:val="P68B1DB1-Normal15"/>
              <w:spacing w:after="0" w:line="240" w:lineRule="auto"/>
              <w:rPr>
                <w:noProof/>
              </w:rPr>
            </w:pPr>
            <w:r>
              <w:rPr>
                <w:noProof/>
              </w:rPr>
              <w:t>La Tchéquie transfère 94 770 000 EUR à la Banque nationale de développement pour la facilité.</w:t>
            </w:r>
          </w:p>
        </w:tc>
      </w:tr>
      <w:tr w:rsidR="00025543" w14:paraId="3B5CE449" w14:textId="77777777">
        <w:trPr>
          <w:trHeight w:val="309"/>
          <w:jc w:val="center"/>
        </w:trPr>
        <w:tc>
          <w:tcPr>
            <w:tcW w:w="674" w:type="dxa"/>
            <w:shd w:val="clear" w:color="auto" w:fill="C6EFCE"/>
            <w:vAlign w:val="center"/>
          </w:tcPr>
          <w:p w14:paraId="7AED0861" w14:textId="21064A15" w:rsidR="00025543" w:rsidRDefault="007E3A2F">
            <w:pPr>
              <w:pStyle w:val="P68B1DB1-Normal15"/>
              <w:spacing w:before="0" w:after="0" w:line="240" w:lineRule="auto"/>
              <w:jc w:val="center"/>
              <w:rPr>
                <w:noProof/>
              </w:rPr>
            </w:pPr>
            <w:r>
              <w:rPr>
                <w:noProof/>
              </w:rPr>
              <w:t>270</w:t>
            </w:r>
          </w:p>
        </w:tc>
        <w:tc>
          <w:tcPr>
            <w:tcW w:w="1690" w:type="dxa"/>
            <w:shd w:val="clear" w:color="auto" w:fill="C6EFCE"/>
            <w:vAlign w:val="center"/>
          </w:tcPr>
          <w:p w14:paraId="032CCCCE" w14:textId="77777777" w:rsidR="00025543" w:rsidRDefault="007E3A2F">
            <w:pPr>
              <w:pStyle w:val="P68B1DB1-Normal15"/>
              <w:spacing w:before="0" w:after="0" w:line="240" w:lineRule="auto"/>
              <w:rPr>
                <w:noProof/>
              </w:rPr>
            </w:pPr>
            <w:r>
              <w:rPr>
                <w:noProof/>
              </w:rPr>
              <w:t xml:space="preserve">Investissement 3: </w:t>
            </w:r>
          </w:p>
          <w:p w14:paraId="72677D20" w14:textId="68B9AB16" w:rsidR="00025543" w:rsidRDefault="007E3A2F">
            <w:pPr>
              <w:pStyle w:val="P68B1DB1-Normal15"/>
              <w:spacing w:before="0" w:after="0" w:line="240" w:lineRule="auto"/>
              <w:rPr>
                <w:noProof/>
              </w:rPr>
            </w:pPr>
            <w:r>
              <w:rPr>
                <w:noProof/>
              </w:rPr>
              <w:t>Facilité de co-investissement</w:t>
            </w:r>
          </w:p>
        </w:tc>
        <w:tc>
          <w:tcPr>
            <w:tcW w:w="1134" w:type="dxa"/>
            <w:shd w:val="clear" w:color="auto" w:fill="C6EFCE"/>
            <w:vAlign w:val="center"/>
          </w:tcPr>
          <w:p w14:paraId="073839A0" w14:textId="503FFA8C" w:rsidR="00025543" w:rsidRDefault="007E3A2F">
            <w:pPr>
              <w:pStyle w:val="P68B1DB1-Normal15"/>
              <w:spacing w:before="0" w:after="0" w:line="240" w:lineRule="auto"/>
              <w:rPr>
                <w:noProof/>
              </w:rPr>
            </w:pPr>
            <w:r>
              <w:rPr>
                <w:noProof/>
              </w:rPr>
              <w:t>Étapes</w:t>
            </w:r>
          </w:p>
        </w:tc>
        <w:tc>
          <w:tcPr>
            <w:tcW w:w="1607" w:type="dxa"/>
            <w:shd w:val="clear" w:color="auto" w:fill="C6EFCE"/>
            <w:vAlign w:val="center"/>
          </w:tcPr>
          <w:p w14:paraId="1307727D" w14:textId="75DE7DBD" w:rsidR="00025543" w:rsidRDefault="007E3A2F">
            <w:pPr>
              <w:pStyle w:val="P68B1DB1-Normal15"/>
              <w:spacing w:before="0" w:after="0" w:line="240" w:lineRule="auto"/>
              <w:rPr>
                <w:noProof/>
              </w:rPr>
            </w:pPr>
            <w:r>
              <w:rPr>
                <w:noProof/>
              </w:rPr>
              <w:t>Accord de mise en œuvre</w:t>
            </w:r>
          </w:p>
        </w:tc>
        <w:tc>
          <w:tcPr>
            <w:tcW w:w="1872" w:type="dxa"/>
            <w:shd w:val="clear" w:color="auto" w:fill="C6EFCE"/>
            <w:vAlign w:val="center"/>
          </w:tcPr>
          <w:p w14:paraId="1FBFE434" w14:textId="0F657C1D" w:rsidR="00025543" w:rsidRDefault="007E3A2F">
            <w:pPr>
              <w:pStyle w:val="P68B1DB1-Normal15"/>
              <w:spacing w:before="0" w:after="0" w:line="240" w:lineRule="auto"/>
              <w:rPr>
                <w:noProof/>
              </w:rPr>
            </w:pPr>
            <w:r>
              <w:rPr>
                <w:noProof/>
              </w:rPr>
              <w:t>Entrée en vigueur de l’accord de mise en œuvre</w:t>
            </w:r>
          </w:p>
        </w:tc>
        <w:tc>
          <w:tcPr>
            <w:tcW w:w="971" w:type="dxa"/>
            <w:shd w:val="clear" w:color="auto" w:fill="C6EFCE"/>
            <w:vAlign w:val="center"/>
          </w:tcPr>
          <w:p w14:paraId="1FA25A9C" w14:textId="77777777" w:rsidR="00025543" w:rsidRDefault="00025543">
            <w:pPr>
              <w:spacing w:before="0" w:after="0" w:line="240" w:lineRule="auto"/>
              <w:rPr>
                <w:rFonts w:eastAsia="Times New Roman"/>
                <w:noProof/>
                <w:color w:val="004300"/>
                <w:sz w:val="18"/>
              </w:rPr>
            </w:pPr>
          </w:p>
        </w:tc>
        <w:tc>
          <w:tcPr>
            <w:tcW w:w="971" w:type="dxa"/>
            <w:shd w:val="clear" w:color="auto" w:fill="C6EFCE"/>
            <w:vAlign w:val="center"/>
          </w:tcPr>
          <w:p w14:paraId="327AE398" w14:textId="77777777" w:rsidR="00025543" w:rsidRDefault="00025543">
            <w:pPr>
              <w:spacing w:before="0" w:after="0" w:line="240" w:lineRule="auto"/>
              <w:jc w:val="center"/>
              <w:rPr>
                <w:rFonts w:eastAsia="Times New Roman"/>
                <w:noProof/>
                <w:color w:val="004300"/>
                <w:sz w:val="18"/>
              </w:rPr>
            </w:pPr>
          </w:p>
        </w:tc>
        <w:tc>
          <w:tcPr>
            <w:tcW w:w="1077" w:type="dxa"/>
            <w:shd w:val="clear" w:color="auto" w:fill="C6EFCE"/>
            <w:vAlign w:val="center"/>
          </w:tcPr>
          <w:p w14:paraId="2F7A1EA7" w14:textId="77777777" w:rsidR="00025543" w:rsidRDefault="00025543">
            <w:pPr>
              <w:spacing w:before="0" w:after="0" w:line="240" w:lineRule="auto"/>
              <w:jc w:val="center"/>
              <w:rPr>
                <w:rFonts w:eastAsia="Times New Roman"/>
                <w:noProof/>
                <w:color w:val="004300"/>
                <w:sz w:val="18"/>
              </w:rPr>
            </w:pPr>
          </w:p>
        </w:tc>
        <w:tc>
          <w:tcPr>
            <w:tcW w:w="1021" w:type="dxa"/>
            <w:shd w:val="clear" w:color="auto" w:fill="C6EFCE"/>
            <w:vAlign w:val="center"/>
          </w:tcPr>
          <w:p w14:paraId="7AF6BDBD" w14:textId="074C9617" w:rsidR="00025543" w:rsidRDefault="007E3A2F">
            <w:pPr>
              <w:pStyle w:val="P68B1DB1-Normal15"/>
              <w:spacing w:before="0" w:after="0" w:line="240" w:lineRule="auto"/>
              <w:jc w:val="center"/>
              <w:rPr>
                <w:noProof/>
              </w:rPr>
            </w:pPr>
            <w:r>
              <w:rPr>
                <w:noProof/>
              </w:rPr>
              <w:t>TRIMESTRE 3</w:t>
            </w:r>
          </w:p>
        </w:tc>
        <w:tc>
          <w:tcPr>
            <w:tcW w:w="678" w:type="dxa"/>
            <w:shd w:val="clear" w:color="auto" w:fill="C6EFCE"/>
            <w:vAlign w:val="center"/>
          </w:tcPr>
          <w:p w14:paraId="66D9EA07" w14:textId="03844235" w:rsidR="00025543" w:rsidRDefault="007E3A2F">
            <w:pPr>
              <w:pStyle w:val="P68B1DB1-Normal15"/>
              <w:spacing w:after="0" w:line="240" w:lineRule="auto"/>
              <w:jc w:val="center"/>
              <w:rPr>
                <w:noProof/>
              </w:rPr>
            </w:pPr>
            <w:r>
              <w:rPr>
                <w:noProof/>
              </w:rPr>
              <w:t>2024</w:t>
            </w:r>
          </w:p>
        </w:tc>
        <w:tc>
          <w:tcPr>
            <w:tcW w:w="4310" w:type="dxa"/>
            <w:shd w:val="clear" w:color="auto" w:fill="C6EFCE"/>
            <w:vAlign w:val="center"/>
          </w:tcPr>
          <w:p w14:paraId="50F3FDD0" w14:textId="6EBE9926" w:rsidR="00025543" w:rsidRDefault="007E3A2F">
            <w:pPr>
              <w:pStyle w:val="P68B1DB1-Normal15"/>
              <w:spacing w:after="0" w:line="240" w:lineRule="auto"/>
              <w:rPr>
                <w:noProof/>
              </w:rPr>
            </w:pPr>
            <w:r>
              <w:rPr>
                <w:noProof/>
              </w:rPr>
              <w:t>Entrée en vigueur de l’accord de mise en œuvre.</w:t>
            </w:r>
          </w:p>
        </w:tc>
      </w:tr>
      <w:tr w:rsidR="00025543" w14:paraId="18547449" w14:textId="77777777">
        <w:trPr>
          <w:trHeight w:val="309"/>
          <w:jc w:val="center"/>
        </w:trPr>
        <w:tc>
          <w:tcPr>
            <w:tcW w:w="674" w:type="dxa"/>
            <w:shd w:val="clear" w:color="auto" w:fill="C6EFCE"/>
            <w:vAlign w:val="center"/>
          </w:tcPr>
          <w:p w14:paraId="3AAFB56E" w14:textId="567DE6B9" w:rsidR="00025543" w:rsidRDefault="007E3A2F">
            <w:pPr>
              <w:pStyle w:val="P68B1DB1-Normal15"/>
              <w:spacing w:before="0" w:after="0" w:line="240" w:lineRule="auto"/>
              <w:jc w:val="center"/>
              <w:rPr>
                <w:noProof/>
              </w:rPr>
            </w:pPr>
            <w:r>
              <w:rPr>
                <w:noProof/>
              </w:rPr>
              <w:t>271</w:t>
            </w:r>
          </w:p>
        </w:tc>
        <w:tc>
          <w:tcPr>
            <w:tcW w:w="1690" w:type="dxa"/>
            <w:shd w:val="clear" w:color="auto" w:fill="C6EFCE"/>
            <w:vAlign w:val="center"/>
          </w:tcPr>
          <w:p w14:paraId="01D0106F" w14:textId="77777777" w:rsidR="00025543" w:rsidRDefault="007E3A2F">
            <w:pPr>
              <w:pStyle w:val="P68B1DB1-Normal15"/>
              <w:spacing w:after="0" w:line="240" w:lineRule="auto"/>
              <w:rPr>
                <w:noProof/>
              </w:rPr>
            </w:pPr>
            <w:r>
              <w:rPr>
                <w:noProof/>
              </w:rPr>
              <w:t xml:space="preserve">Investissement 3: </w:t>
            </w:r>
          </w:p>
          <w:p w14:paraId="499DA420" w14:textId="757212B1" w:rsidR="00025543" w:rsidRDefault="007E3A2F">
            <w:pPr>
              <w:pStyle w:val="P68B1DB1-Normal15"/>
              <w:spacing w:before="0" w:after="0" w:line="240" w:lineRule="auto"/>
              <w:rPr>
                <w:noProof/>
              </w:rPr>
            </w:pPr>
            <w:r>
              <w:rPr>
                <w:noProof/>
              </w:rPr>
              <w:t>Facilité de co-investissement</w:t>
            </w:r>
          </w:p>
        </w:tc>
        <w:tc>
          <w:tcPr>
            <w:tcW w:w="1134" w:type="dxa"/>
            <w:shd w:val="clear" w:color="auto" w:fill="C6EFCE"/>
            <w:vAlign w:val="center"/>
          </w:tcPr>
          <w:p w14:paraId="1C8E5CFF" w14:textId="53AD7CC8" w:rsidR="00025543" w:rsidRDefault="007E3A2F">
            <w:pPr>
              <w:pStyle w:val="P68B1DB1-Normal15"/>
              <w:spacing w:line="240" w:lineRule="auto"/>
              <w:rPr>
                <w:noProof/>
              </w:rPr>
            </w:pPr>
            <w:r>
              <w:rPr>
                <w:noProof/>
              </w:rPr>
              <w:t>Cible</w:t>
            </w:r>
          </w:p>
        </w:tc>
        <w:tc>
          <w:tcPr>
            <w:tcW w:w="1607" w:type="dxa"/>
            <w:shd w:val="clear" w:color="auto" w:fill="C6EFCE"/>
            <w:vAlign w:val="center"/>
          </w:tcPr>
          <w:p w14:paraId="1C92622E" w14:textId="00A0C6EA" w:rsidR="00025543" w:rsidRDefault="007E3A2F">
            <w:pPr>
              <w:pStyle w:val="P68B1DB1-Normal15"/>
              <w:spacing w:after="0" w:line="240" w:lineRule="auto"/>
              <w:rPr>
                <w:noProof/>
              </w:rPr>
            </w:pPr>
            <w:r>
              <w:rPr>
                <w:noProof/>
              </w:rPr>
              <w:t>Accords juridiques signés avec les bénéficiaires finaux</w:t>
            </w:r>
          </w:p>
        </w:tc>
        <w:tc>
          <w:tcPr>
            <w:tcW w:w="1872" w:type="dxa"/>
            <w:shd w:val="clear" w:color="auto" w:fill="C6EFCE"/>
            <w:vAlign w:val="center"/>
          </w:tcPr>
          <w:p w14:paraId="79392B09" w14:textId="53FAEEBA" w:rsidR="00025543" w:rsidRDefault="00025543">
            <w:pPr>
              <w:spacing w:line="240" w:lineRule="auto"/>
              <w:jc w:val="center"/>
              <w:rPr>
                <w:rFonts w:eastAsia="Times New Roman"/>
                <w:noProof/>
                <w:color w:val="004300"/>
                <w:sz w:val="18"/>
              </w:rPr>
            </w:pPr>
          </w:p>
        </w:tc>
        <w:tc>
          <w:tcPr>
            <w:tcW w:w="971" w:type="dxa"/>
            <w:shd w:val="clear" w:color="auto" w:fill="C6EFCE"/>
            <w:vAlign w:val="center"/>
          </w:tcPr>
          <w:p w14:paraId="213502D0" w14:textId="59BA5D78" w:rsidR="00025543" w:rsidRDefault="007E3A2F">
            <w:pPr>
              <w:pStyle w:val="P68B1DB1-Normal15"/>
              <w:spacing w:before="0" w:after="0" w:line="240" w:lineRule="auto"/>
              <w:rPr>
                <w:noProof/>
              </w:rPr>
            </w:pPr>
            <w:r>
              <w:rPr>
                <w:noProof/>
              </w:rPr>
              <w:t>% (pourcentage)</w:t>
            </w:r>
          </w:p>
        </w:tc>
        <w:tc>
          <w:tcPr>
            <w:tcW w:w="971" w:type="dxa"/>
            <w:shd w:val="clear" w:color="auto" w:fill="C6EFCE"/>
            <w:vAlign w:val="center"/>
          </w:tcPr>
          <w:p w14:paraId="09B9B9DC" w14:textId="7F637473" w:rsidR="00025543" w:rsidRDefault="007E3A2F">
            <w:pPr>
              <w:pStyle w:val="P68B1DB1-Normal15"/>
              <w:spacing w:before="0" w:after="0" w:line="240" w:lineRule="auto"/>
              <w:jc w:val="center"/>
              <w:rPr>
                <w:noProof/>
              </w:rPr>
            </w:pPr>
            <w:r>
              <w:rPr>
                <w:noProof/>
              </w:rPr>
              <w:t>0</w:t>
            </w:r>
          </w:p>
        </w:tc>
        <w:tc>
          <w:tcPr>
            <w:tcW w:w="1077" w:type="dxa"/>
            <w:shd w:val="clear" w:color="auto" w:fill="C6EFCE"/>
            <w:vAlign w:val="center"/>
          </w:tcPr>
          <w:p w14:paraId="351BEDA9" w14:textId="3D039BA7" w:rsidR="00025543" w:rsidRDefault="007E3A2F">
            <w:pPr>
              <w:pStyle w:val="P68B1DB1-Normal15"/>
              <w:spacing w:before="0" w:after="0" w:line="240" w:lineRule="auto"/>
              <w:jc w:val="center"/>
              <w:rPr>
                <w:noProof/>
              </w:rPr>
            </w:pPr>
            <w:r>
              <w:rPr>
                <w:noProof/>
              </w:rPr>
              <w:t>100</w:t>
            </w:r>
          </w:p>
        </w:tc>
        <w:tc>
          <w:tcPr>
            <w:tcW w:w="1021" w:type="dxa"/>
            <w:shd w:val="clear" w:color="auto" w:fill="C6EFCE"/>
            <w:vAlign w:val="center"/>
          </w:tcPr>
          <w:p w14:paraId="0B7943D7" w14:textId="228CD15B" w:rsidR="00025543" w:rsidRDefault="007E3A2F">
            <w:pPr>
              <w:pStyle w:val="P68B1DB1-Normal15"/>
              <w:spacing w:before="0" w:after="0" w:line="240" w:lineRule="auto"/>
              <w:jc w:val="center"/>
              <w:rPr>
                <w:noProof/>
              </w:rPr>
            </w:pPr>
            <w:r>
              <w:rPr>
                <w:noProof/>
              </w:rPr>
              <w:t>TRIMESTRE 2</w:t>
            </w:r>
          </w:p>
        </w:tc>
        <w:tc>
          <w:tcPr>
            <w:tcW w:w="678" w:type="dxa"/>
            <w:shd w:val="clear" w:color="auto" w:fill="C6EFCE"/>
            <w:vAlign w:val="center"/>
          </w:tcPr>
          <w:p w14:paraId="462C419B" w14:textId="0082D7DB" w:rsidR="00025543" w:rsidRDefault="007E3A2F">
            <w:pPr>
              <w:pStyle w:val="P68B1DB1-Normal15"/>
              <w:spacing w:after="0" w:line="240" w:lineRule="auto"/>
              <w:jc w:val="center"/>
              <w:rPr>
                <w:noProof/>
              </w:rPr>
            </w:pPr>
            <w:r>
              <w:rPr>
                <w:noProof/>
              </w:rPr>
              <w:t>2026</w:t>
            </w:r>
          </w:p>
        </w:tc>
        <w:tc>
          <w:tcPr>
            <w:tcW w:w="4310" w:type="dxa"/>
            <w:shd w:val="clear" w:color="auto" w:fill="C6EFCE"/>
            <w:vAlign w:val="center"/>
          </w:tcPr>
          <w:p w14:paraId="2ADDC17C" w14:textId="16BA02D4" w:rsidR="00025543" w:rsidRDefault="007E3A2F">
            <w:pPr>
              <w:pStyle w:val="P68B1DB1-NormalWeb40"/>
              <w:rPr>
                <w:noProof/>
              </w:rPr>
            </w:pPr>
            <w:r>
              <w:rPr>
                <w:noProof/>
              </w:rPr>
              <w:t>La Banque nationale de développement a conclu une convention de financement juridique avec la facilité de co-investissement pour un montant nécessaire pour utiliser 100 % des investissements au titre de la FRR dans la facilité (en tenant compte des frais de gestion).</w:t>
            </w:r>
          </w:p>
        </w:tc>
      </w:tr>
      <w:tr w:rsidR="00025543" w14:paraId="6F3A2B34" w14:textId="77777777">
        <w:trPr>
          <w:trHeight w:val="309"/>
          <w:jc w:val="center"/>
        </w:trPr>
        <w:tc>
          <w:tcPr>
            <w:tcW w:w="674" w:type="dxa"/>
            <w:shd w:val="clear" w:color="auto" w:fill="C6EFCE"/>
            <w:vAlign w:val="center"/>
          </w:tcPr>
          <w:p w14:paraId="6C705F1F" w14:textId="567DE6B9" w:rsidR="00025543" w:rsidRDefault="007E3A2F">
            <w:pPr>
              <w:pStyle w:val="P68B1DB1-Normal15"/>
              <w:spacing w:before="0" w:after="0" w:line="240" w:lineRule="auto"/>
              <w:jc w:val="center"/>
              <w:rPr>
                <w:noProof/>
              </w:rPr>
            </w:pPr>
            <w:r>
              <w:rPr>
                <w:noProof/>
              </w:rPr>
              <w:t>272</w:t>
            </w:r>
          </w:p>
        </w:tc>
        <w:tc>
          <w:tcPr>
            <w:tcW w:w="1690" w:type="dxa"/>
            <w:shd w:val="clear" w:color="auto" w:fill="C6EFCE"/>
            <w:vAlign w:val="center"/>
          </w:tcPr>
          <w:p w14:paraId="144A5AA1" w14:textId="77777777" w:rsidR="00025543" w:rsidRDefault="007E3A2F">
            <w:pPr>
              <w:pStyle w:val="P68B1DB1-Normal15"/>
              <w:spacing w:after="0" w:line="240" w:lineRule="auto"/>
              <w:rPr>
                <w:noProof/>
              </w:rPr>
            </w:pPr>
            <w:r>
              <w:rPr>
                <w:noProof/>
              </w:rPr>
              <w:t xml:space="preserve">Investissement 3: </w:t>
            </w:r>
          </w:p>
          <w:p w14:paraId="2DFE1116" w14:textId="04F5C025" w:rsidR="00025543" w:rsidRDefault="007E3A2F">
            <w:pPr>
              <w:pStyle w:val="P68B1DB1-Normal15"/>
              <w:spacing w:before="0" w:after="0" w:line="240" w:lineRule="auto"/>
              <w:rPr>
                <w:noProof/>
              </w:rPr>
            </w:pPr>
            <w:r>
              <w:rPr>
                <w:noProof/>
              </w:rPr>
              <w:t>Facilité de co-investissement</w:t>
            </w:r>
          </w:p>
        </w:tc>
        <w:tc>
          <w:tcPr>
            <w:tcW w:w="1134" w:type="dxa"/>
            <w:shd w:val="clear" w:color="auto" w:fill="C6EFCE"/>
            <w:vAlign w:val="center"/>
          </w:tcPr>
          <w:p w14:paraId="06E25755" w14:textId="10828093" w:rsidR="00025543" w:rsidRDefault="007E3A2F">
            <w:pPr>
              <w:pStyle w:val="P68B1DB1-Normal15"/>
              <w:spacing w:line="240" w:lineRule="auto"/>
              <w:rPr>
                <w:noProof/>
              </w:rPr>
            </w:pPr>
            <w:r>
              <w:rPr>
                <w:noProof/>
              </w:rPr>
              <w:t>Étapes</w:t>
            </w:r>
          </w:p>
        </w:tc>
        <w:tc>
          <w:tcPr>
            <w:tcW w:w="1607" w:type="dxa"/>
            <w:shd w:val="clear" w:color="auto" w:fill="C6EFCE"/>
            <w:vAlign w:val="center"/>
          </w:tcPr>
          <w:p w14:paraId="343CFF4B" w14:textId="23668440" w:rsidR="00025543" w:rsidRDefault="007E3A2F">
            <w:pPr>
              <w:pStyle w:val="P68B1DB1-Normal15"/>
              <w:spacing w:after="0" w:line="240" w:lineRule="auto"/>
              <w:rPr>
                <w:noProof/>
              </w:rPr>
            </w:pPr>
            <w:r>
              <w:rPr>
                <w:noProof/>
              </w:rPr>
              <w:t>Le ministère a achevé l’investissement</w:t>
            </w:r>
          </w:p>
        </w:tc>
        <w:tc>
          <w:tcPr>
            <w:tcW w:w="1872" w:type="dxa"/>
            <w:shd w:val="clear" w:color="auto" w:fill="C6EFCE"/>
            <w:vAlign w:val="center"/>
          </w:tcPr>
          <w:p w14:paraId="231AA88E" w14:textId="78C209DD" w:rsidR="00025543" w:rsidRDefault="007E3A2F">
            <w:pPr>
              <w:pStyle w:val="P68B1DB1-Normal15"/>
              <w:spacing w:line="240" w:lineRule="auto"/>
              <w:jc w:val="center"/>
              <w:rPr>
                <w:noProof/>
              </w:rPr>
            </w:pPr>
            <w:r>
              <w:rPr>
                <w:noProof/>
              </w:rPr>
              <w:t>Attestation de versement</w:t>
            </w:r>
          </w:p>
        </w:tc>
        <w:tc>
          <w:tcPr>
            <w:tcW w:w="971" w:type="dxa"/>
            <w:shd w:val="clear" w:color="auto" w:fill="C6EFCE"/>
            <w:vAlign w:val="center"/>
          </w:tcPr>
          <w:p w14:paraId="50C10DED" w14:textId="77777777" w:rsidR="00025543" w:rsidRDefault="00025543">
            <w:pPr>
              <w:spacing w:before="0" w:after="0" w:line="240" w:lineRule="auto"/>
              <w:rPr>
                <w:rFonts w:eastAsia="Times New Roman"/>
                <w:noProof/>
                <w:color w:val="004300"/>
                <w:sz w:val="18"/>
              </w:rPr>
            </w:pPr>
          </w:p>
        </w:tc>
        <w:tc>
          <w:tcPr>
            <w:tcW w:w="971" w:type="dxa"/>
            <w:shd w:val="clear" w:color="auto" w:fill="C6EFCE"/>
            <w:vAlign w:val="center"/>
          </w:tcPr>
          <w:p w14:paraId="19401BBC" w14:textId="77777777" w:rsidR="00025543" w:rsidRDefault="00025543">
            <w:pPr>
              <w:spacing w:before="0" w:after="0" w:line="240" w:lineRule="auto"/>
              <w:jc w:val="center"/>
              <w:rPr>
                <w:rFonts w:eastAsia="Times New Roman"/>
                <w:noProof/>
                <w:color w:val="004300"/>
                <w:sz w:val="18"/>
              </w:rPr>
            </w:pPr>
          </w:p>
        </w:tc>
        <w:tc>
          <w:tcPr>
            <w:tcW w:w="1077" w:type="dxa"/>
            <w:shd w:val="clear" w:color="auto" w:fill="C6EFCE"/>
            <w:vAlign w:val="center"/>
          </w:tcPr>
          <w:p w14:paraId="4B74BE95" w14:textId="77777777" w:rsidR="00025543" w:rsidRDefault="00025543">
            <w:pPr>
              <w:spacing w:before="0" w:after="0" w:line="240" w:lineRule="auto"/>
              <w:jc w:val="center"/>
              <w:rPr>
                <w:rFonts w:eastAsia="Times New Roman"/>
                <w:noProof/>
                <w:color w:val="004300"/>
                <w:sz w:val="18"/>
              </w:rPr>
            </w:pPr>
          </w:p>
        </w:tc>
        <w:tc>
          <w:tcPr>
            <w:tcW w:w="1021" w:type="dxa"/>
            <w:shd w:val="clear" w:color="auto" w:fill="C6EFCE"/>
            <w:vAlign w:val="center"/>
          </w:tcPr>
          <w:p w14:paraId="58C03850" w14:textId="1B6AF61D" w:rsidR="00025543" w:rsidRDefault="007E3A2F">
            <w:pPr>
              <w:pStyle w:val="P68B1DB1-Normal15"/>
              <w:spacing w:before="0" w:after="0" w:line="240" w:lineRule="auto"/>
              <w:jc w:val="center"/>
              <w:rPr>
                <w:noProof/>
              </w:rPr>
            </w:pPr>
            <w:r>
              <w:rPr>
                <w:noProof/>
              </w:rPr>
              <w:t>TRIMESTRE 2</w:t>
            </w:r>
          </w:p>
        </w:tc>
        <w:tc>
          <w:tcPr>
            <w:tcW w:w="678" w:type="dxa"/>
            <w:shd w:val="clear" w:color="auto" w:fill="C6EFCE"/>
            <w:vAlign w:val="center"/>
          </w:tcPr>
          <w:p w14:paraId="613D3B43" w14:textId="395D860A" w:rsidR="00025543" w:rsidRDefault="007E3A2F">
            <w:pPr>
              <w:pStyle w:val="P68B1DB1-Normal15"/>
              <w:spacing w:after="0" w:line="240" w:lineRule="auto"/>
              <w:jc w:val="center"/>
              <w:rPr>
                <w:noProof/>
              </w:rPr>
            </w:pPr>
            <w:r>
              <w:rPr>
                <w:noProof/>
              </w:rPr>
              <w:t>2026</w:t>
            </w:r>
          </w:p>
        </w:tc>
        <w:tc>
          <w:tcPr>
            <w:tcW w:w="4310" w:type="dxa"/>
            <w:shd w:val="clear" w:color="auto" w:fill="C6EFCE"/>
            <w:vAlign w:val="center"/>
          </w:tcPr>
          <w:p w14:paraId="05177041" w14:textId="76C3A609" w:rsidR="00025543" w:rsidRDefault="007E3A2F">
            <w:pPr>
              <w:pStyle w:val="P68B1DB1-Normal15"/>
              <w:spacing w:after="0" w:line="240" w:lineRule="auto"/>
              <w:rPr>
                <w:noProof/>
              </w:rPr>
            </w:pPr>
            <w:r>
              <w:rPr>
                <w:noProof/>
              </w:rPr>
              <w:t>La Tchéquie transfère 39 574 000 EUR à la Banque nationale de développement pour la facilité.</w:t>
            </w:r>
          </w:p>
        </w:tc>
      </w:tr>
    </w:tbl>
    <w:p w14:paraId="61BB6263" w14:textId="11CC3847" w:rsidR="00025543" w:rsidRDefault="00025543">
      <w:pPr>
        <w:keepNext/>
        <w:tabs>
          <w:tab w:val="left" w:pos="850"/>
        </w:tabs>
        <w:spacing w:before="360" w:line="240" w:lineRule="auto"/>
        <w:jc w:val="both"/>
        <w:outlineLvl w:val="0"/>
        <w:rPr>
          <w:b/>
          <w:smallCaps/>
          <w:noProof/>
        </w:rPr>
        <w:sectPr w:rsidR="00025543" w:rsidSect="003A6FF0">
          <w:headerReference w:type="even" r:id="rId276"/>
          <w:headerReference w:type="default" r:id="rId277"/>
          <w:footerReference w:type="even" r:id="rId278"/>
          <w:footerReference w:type="default" r:id="rId279"/>
          <w:headerReference w:type="first" r:id="rId280"/>
          <w:footerReference w:type="first" r:id="rId281"/>
          <w:pgSz w:w="16839" w:h="11907" w:orient="landscape"/>
          <w:pgMar w:top="1134" w:right="1134" w:bottom="1134" w:left="1134" w:header="567" w:footer="567" w:gutter="0"/>
          <w:cols w:space="708"/>
          <w:docGrid w:linePitch="326"/>
        </w:sectPr>
      </w:pPr>
    </w:p>
    <w:p w14:paraId="7987E3CB" w14:textId="55DB956E" w:rsidR="00025543" w:rsidRDefault="007E3A2F">
      <w:pPr>
        <w:pStyle w:val="P68B1DB1-Normal2"/>
        <w:keepNext/>
        <w:tabs>
          <w:tab w:val="left" w:pos="850"/>
        </w:tabs>
        <w:spacing w:line="240" w:lineRule="auto"/>
        <w:jc w:val="both"/>
        <w:outlineLvl w:val="0"/>
        <w:rPr>
          <w:noProof/>
        </w:rPr>
      </w:pPr>
      <w:r>
        <w:rPr>
          <w:noProof/>
        </w:rPr>
        <w:t>R. VOLET 3.1: L’innovation dans l’éducation dans le contexte de la numérisation</w:t>
      </w:r>
    </w:p>
    <w:p w14:paraId="6D3AE066" w14:textId="77777777" w:rsidR="00025543" w:rsidRDefault="007E3A2F">
      <w:pPr>
        <w:pStyle w:val="P68B1DB1-Normal3"/>
        <w:spacing w:line="240" w:lineRule="auto"/>
        <w:jc w:val="both"/>
        <w:rPr>
          <w:noProof/>
        </w:rPr>
      </w:pPr>
      <w:r>
        <w:rPr>
          <w:noProof/>
          <w:color w:val="000000"/>
        </w:rPr>
        <w:t>Ce volet du plan pour la reprise et la résilience de la République tchèque contribue à</w:t>
      </w:r>
      <w:r>
        <w:rPr>
          <w:noProof/>
        </w:rPr>
        <w:t xml:space="preserve"> relever les défis liés à la transition numérique du système éducatif, en particulier le renforcement de l’habileté numérique et de la pensée informatique des élèves et la promotion de l’utilisation des technologies numériques par les enseignants. Pour ce faire, il convient de réviser les programmes d’études pour l’enseignement primaire et secondaire afin de renforcer l’enseignement informatique, d’étendre son champ d’application aux technologies numériques avancées et de favoriser les compétences numériques dans tous les domaines éducatifs. Elle promeut également les compétences numériques des enseignants et améliore le niveau des équipements numériques dans les écoles. Ce volet vise également à remédier à la fracture numérique, exacerbée par le confinement prolongé des écoles, en mettant en place un fonds pour les appareils numériques mobiles à la disposition des élèves et étudiants défavorisés. L’objectif ultime de ce volet est d’adapter l’éducation à l’évolution des besoins du marché du travail, de remédier au manque de spécialistes des technologies de l’information et de compétences numériques avancées dans l’ensemble de la main-d’œuvre et de garantir l’employabilité à long terme.</w:t>
      </w:r>
    </w:p>
    <w:p w14:paraId="06BF9A6D" w14:textId="77777777" w:rsidR="00025543" w:rsidRDefault="007E3A2F">
      <w:pPr>
        <w:pStyle w:val="P68B1DB1-Normal3"/>
        <w:spacing w:line="240" w:lineRule="auto"/>
        <w:jc w:val="both"/>
        <w:rPr>
          <w:noProof/>
        </w:rPr>
      </w:pPr>
      <w:r>
        <w:rPr>
          <w:noProof/>
        </w:rPr>
        <w:t>Les réformes relevant du volet «appui» en réponse à la recommandation par pays no 2 et 2019, selon laquelle la Tchéquie améliore la qualité et le caractère inclusif des systèmes d’éducation et de formation, notamment en favorisant les compétences techniques et numériques et en promouvant la profession d’enseignant, et la recommandation par pays no 2, 2020, selon laquelle la Tchéquie soutient l’emploi par des politiques actives du marché du travail, l’offre de compétences, y compris numériques, et l’accès à l’apprentissage numérique.</w:t>
      </w:r>
    </w:p>
    <w:p w14:paraId="7F93F454" w14:textId="77777777" w:rsidR="00025543" w:rsidRDefault="007E3A2F">
      <w:pPr>
        <w:pStyle w:val="P68B1DB1-Normal3"/>
        <w:spacing w:line="240" w:lineRule="auto"/>
        <w:jc w:val="both"/>
        <w:rPr>
          <w:noProof/>
        </w:rPr>
      </w:pPr>
      <w:r>
        <w:rPr>
          <w:noProof/>
        </w:rPr>
        <w:t>Aucune mesure relevant de ce volet ne devrait causer de préjudice important aux objectifs environnementaux au sens de l’article 17 du règlement (UE) 2020/852, compte tenu de la description des mesures et des mesures d’atténuation prévues dans le plan conformément aux orientations techniques DNSH (2021/C58/01).</w:t>
      </w:r>
    </w:p>
    <w:p w14:paraId="6A112536" w14:textId="77777777" w:rsidR="00025543" w:rsidRDefault="00025543">
      <w:pPr>
        <w:spacing w:line="240" w:lineRule="auto"/>
        <w:jc w:val="both"/>
        <w:rPr>
          <w:rFonts w:eastAsia="Times New Roman"/>
          <w:i/>
          <w:noProof/>
        </w:rPr>
      </w:pPr>
    </w:p>
    <w:p w14:paraId="2ECD7BA2" w14:textId="58BBC6A9" w:rsidR="00025543" w:rsidRDefault="007E3A2F">
      <w:pPr>
        <w:pStyle w:val="P68B1DB1-Normal32"/>
        <w:spacing w:line="240" w:lineRule="auto"/>
        <w:jc w:val="both"/>
        <w:rPr>
          <w:noProof/>
        </w:rPr>
      </w:pPr>
      <w:r>
        <w:rPr>
          <w:noProof/>
        </w:rPr>
        <w:t>R.1. Description des réformes et des investissements en vue du soutien financier non remboursable</w:t>
      </w:r>
    </w:p>
    <w:p w14:paraId="1C0CC8BA" w14:textId="77777777" w:rsidR="00025543" w:rsidRDefault="007E3A2F">
      <w:pPr>
        <w:pStyle w:val="P68B1DB1-Normal26"/>
        <w:spacing w:line="240" w:lineRule="auto"/>
        <w:jc w:val="both"/>
        <w:rPr>
          <w:noProof/>
        </w:rPr>
      </w:pPr>
      <w:r>
        <w:rPr>
          <w:noProof/>
        </w:rPr>
        <w:t xml:space="preserve">Réforme 1: Réforme des programmes d’études et renforcement de l’enseignement informatique </w:t>
      </w:r>
    </w:p>
    <w:p w14:paraId="317D3700" w14:textId="20D3E460" w:rsidR="00025543" w:rsidRDefault="007E3A2F">
      <w:pPr>
        <w:pStyle w:val="P68B1DB1-Normal3"/>
        <w:spacing w:line="240" w:lineRule="auto"/>
        <w:jc w:val="both"/>
        <w:rPr>
          <w:noProof/>
        </w:rPr>
      </w:pPr>
      <w:r>
        <w:rPr>
          <w:noProof/>
        </w:rPr>
        <w:t>La réforme comprend une révision des programmes d’enseignement primaire, secondaire inférieur et secondaire supérieur (</w:t>
      </w:r>
      <w:r>
        <w:rPr>
          <w:i/>
          <w:noProof/>
        </w:rPr>
        <w:t>gymnázium</w:t>
      </w:r>
      <w:r>
        <w:rPr>
          <w:noProof/>
        </w:rPr>
        <w:t xml:space="preserve">) en vue de promouvoir l’habileté numérique et les compétences informatiques. L’enseignement de l’informatique est renforcé en termes d’heures enseignées. Il sera également étendu à de nouveaux domaines tels que le traitement et la modélisation des données, le codage et la programmation, la robotique et les technologies numériques avancées (réalité augmentée, réalité virtuelle, impression 3D). En outre, les nouveaux programmes prévoient que ces compétences numériques seront développées en tant que compétence clé dans tous les domaines éducatifs, y compris les matières non informatiques. La révision des programmes d’études des écoles primaires et secondaires et de la </w:t>
      </w:r>
      <w:r>
        <w:rPr>
          <w:i/>
          <w:noProof/>
        </w:rPr>
        <w:t xml:space="preserve">gymnázia </w:t>
      </w:r>
      <w:r>
        <w:rPr>
          <w:noProof/>
        </w:rPr>
        <w:t xml:space="preserve">est approuvée au plus tard le 30 septembre 2021. Les écoles visent à intégrer progressivement les nouveaux programmes d’études. La date limite pour le plein respect des nouveaux programmes est fixée au 1 septembre 2023 pour les écoles primaires, au 1 septembre 2024 pour les écoles secondaires inférieures et au 1 septembre 2025 pour la </w:t>
      </w:r>
      <w:r>
        <w:rPr>
          <w:i/>
          <w:noProof/>
        </w:rPr>
        <w:t>gymnázia</w:t>
      </w:r>
      <w:r>
        <w:rPr>
          <w:noProof/>
        </w:rPr>
        <w:t xml:space="preserve">. </w:t>
      </w:r>
    </w:p>
    <w:p w14:paraId="2BB3D404" w14:textId="77777777" w:rsidR="00025543" w:rsidRDefault="007E3A2F">
      <w:pPr>
        <w:pStyle w:val="P68B1DB1-Normal3"/>
        <w:spacing w:line="240" w:lineRule="auto"/>
        <w:jc w:val="both"/>
        <w:rPr>
          <w:noProof/>
        </w:rPr>
      </w:pPr>
      <w:r>
        <w:rPr>
          <w:noProof/>
        </w:rPr>
        <w:t xml:space="preserve">La réforme doit donc être achevée au plus tard le 1 septembre 2025. </w:t>
      </w:r>
    </w:p>
    <w:p w14:paraId="2CD96F34" w14:textId="77777777" w:rsidR="00025543" w:rsidRDefault="007E3A2F">
      <w:pPr>
        <w:pStyle w:val="P68B1DB1-Normal26"/>
        <w:spacing w:line="240" w:lineRule="auto"/>
        <w:jc w:val="both"/>
        <w:rPr>
          <w:noProof/>
        </w:rPr>
      </w:pPr>
      <w:r>
        <w:rPr>
          <w:noProof/>
        </w:rPr>
        <w:t>Investissement 1: Mise en œuvre du programme d’études révisé et compétences numériques des enseignants</w:t>
      </w:r>
    </w:p>
    <w:p w14:paraId="2C8BD7E3" w14:textId="77777777" w:rsidR="00025543" w:rsidRDefault="007E3A2F">
      <w:pPr>
        <w:pStyle w:val="P68B1DB1-Normal3"/>
        <w:spacing w:line="240" w:lineRule="auto"/>
        <w:jc w:val="both"/>
        <w:rPr>
          <w:noProof/>
        </w:rPr>
      </w:pPr>
      <w:r>
        <w:rPr>
          <w:noProof/>
        </w:rPr>
        <w:t xml:space="preserve">La mesure vise à soutenir la mise en œuvre des programmes d’études révisés et du cadre pour les compétences numériques des enseignants (DigCompEdu) dans les écoles. Le soutien doit être axé sur la demande et atteindre au moins 4000 écoles. Elles consistent en: </w:t>
      </w:r>
    </w:p>
    <w:p w14:paraId="0BE5E993" w14:textId="77777777" w:rsidR="00025543" w:rsidRDefault="007E3A2F">
      <w:pPr>
        <w:pStyle w:val="P68B1DB1-Normal3"/>
        <w:numPr>
          <w:ilvl w:val="0"/>
          <w:numId w:val="162"/>
        </w:numPr>
        <w:spacing w:line="259" w:lineRule="auto"/>
        <w:ind w:left="360"/>
        <w:contextualSpacing/>
        <w:jc w:val="both"/>
        <w:rPr>
          <w:noProof/>
        </w:rPr>
      </w:pPr>
      <w:r>
        <w:rPr>
          <w:noProof/>
        </w:rPr>
        <w:t xml:space="preserve">soutien financier à la formation des enseignants aux compétences numériques et à la maîtrise des technologies de l’information, conformément aux programmes d’études révisés; </w:t>
      </w:r>
    </w:p>
    <w:p w14:paraId="0E3E522B" w14:textId="77777777" w:rsidR="00025543" w:rsidRDefault="007E3A2F">
      <w:pPr>
        <w:pStyle w:val="P68B1DB1-Normal3"/>
        <w:numPr>
          <w:ilvl w:val="0"/>
          <w:numId w:val="162"/>
        </w:numPr>
        <w:spacing w:line="259" w:lineRule="auto"/>
        <w:ind w:left="360"/>
        <w:contextualSpacing/>
        <w:jc w:val="both"/>
        <w:rPr>
          <w:noProof/>
        </w:rPr>
      </w:pPr>
      <w:r>
        <w:rPr>
          <w:noProof/>
        </w:rPr>
        <w:t>des orientations (ateliers, webinaires, conseils individuels) à l’intention des directeurs d’établissement, des coordinateurs des TIC, des coordinateurs des programmes d’études et des enseignants informatiques en vue de contribuer à la mise en œuvre effective de la réforme des programmes;</w:t>
      </w:r>
    </w:p>
    <w:p w14:paraId="07E30415" w14:textId="77777777" w:rsidR="00025543" w:rsidRDefault="007E3A2F">
      <w:pPr>
        <w:pStyle w:val="P68B1DB1-Normal3"/>
        <w:numPr>
          <w:ilvl w:val="0"/>
          <w:numId w:val="162"/>
        </w:numPr>
        <w:spacing w:line="259" w:lineRule="auto"/>
        <w:ind w:left="360"/>
        <w:contextualSpacing/>
        <w:jc w:val="both"/>
        <w:rPr>
          <w:rFonts w:ascii="Calibri" w:hAnsi="Calibri"/>
          <w:noProof/>
          <w:sz w:val="22"/>
        </w:rPr>
      </w:pPr>
      <w:r>
        <w:rPr>
          <w:noProof/>
        </w:rPr>
        <w:t xml:space="preserve">création, d’ici au 31 décembre 2024, d’une plateforme numérique permettant aux enseignants d’accéder aux bases de données existantes contenant des contenus éducatifs (tels que du matériel pédagogique en ligne, des webinaires, des cours d’apprentissage en ligne). </w:t>
      </w:r>
    </w:p>
    <w:p w14:paraId="2B203F8B" w14:textId="77777777" w:rsidR="00025543" w:rsidRDefault="007E3A2F">
      <w:pPr>
        <w:pStyle w:val="P68B1DB1-Normal3"/>
        <w:spacing w:line="240" w:lineRule="auto"/>
        <w:jc w:val="both"/>
        <w:rPr>
          <w:noProof/>
        </w:rPr>
      </w:pPr>
      <w:r>
        <w:rPr>
          <w:noProof/>
        </w:rPr>
        <w:t>L’investissement est achevé au plus tard le 31 mars 2026.</w:t>
      </w:r>
    </w:p>
    <w:p w14:paraId="0F328DE4" w14:textId="77777777" w:rsidR="00025543" w:rsidRDefault="007E3A2F">
      <w:pPr>
        <w:pStyle w:val="P68B1DB1-Normal3"/>
        <w:spacing w:line="240" w:lineRule="auto"/>
        <w:jc w:val="both"/>
        <w:rPr>
          <w:noProof/>
        </w:rPr>
      </w:pPr>
      <w:r>
        <w:rPr>
          <w:b/>
          <w:noProof/>
        </w:rPr>
        <w:t>Investissement 2:</w:t>
      </w:r>
      <w:r>
        <w:rPr>
          <w:noProof/>
        </w:rPr>
        <w:t xml:space="preserve"> </w:t>
      </w:r>
      <w:r>
        <w:rPr>
          <w:b/>
          <w:noProof/>
        </w:rPr>
        <w:t>Équipement numérique pour les écoles</w:t>
      </w:r>
    </w:p>
    <w:p w14:paraId="217A27DD" w14:textId="77777777" w:rsidR="00025543" w:rsidRDefault="007E3A2F">
      <w:pPr>
        <w:pStyle w:val="P68B1DB1-Normal3"/>
        <w:spacing w:line="240" w:lineRule="auto"/>
        <w:jc w:val="both"/>
        <w:rPr>
          <w:noProof/>
        </w:rPr>
      </w:pPr>
      <w:r>
        <w:rPr>
          <w:noProof/>
        </w:rPr>
        <w:t>Le premier objectif de l’investissement est de prévenir l’exclusion numérique en veillant à ce que les équipements numériques soient accessibles à tous les élèves. L’investissement vise à remédier aux inégalités croissantes dans le domaine de l’éducation, qui ont encore été aggravées par le confinement scolaire prolongé. Dans un premier temps, le financement d’équipements TIC pour l’apprentissage à distance devait être fourni aux écoles au plus tard le 31 décembre 2020 afin de permettre l’apprentissage à distance pendant le confinement scolaire, y compris pour les élèves issus de milieux socio-économiques défavorisés. Dans un deuxième temps, un financement supplémentaire sera accordé aux écoles afin de mettre en place, d’ici au 31 décembre 2025, un fonds pour les appareils numériques mobiles destinés aux élèves défavorisés. Les fonds sont alloués aux écoles sur la base de critères indiquant si l’école est située dans une zone socialement exclue et le nombre estimé d’élèves qui ont besoin d’appareils mobiles numériques pour emprunter. Les écoles doivent acquérir 70 000 appareils pour venir en aide à 70 000 élèves dans le besoin.</w:t>
      </w:r>
    </w:p>
    <w:p w14:paraId="6658206D" w14:textId="77777777" w:rsidR="00025543" w:rsidRDefault="007E3A2F">
      <w:pPr>
        <w:pStyle w:val="P68B1DB1-Normal3"/>
        <w:spacing w:line="240" w:lineRule="auto"/>
        <w:jc w:val="both"/>
        <w:rPr>
          <w:noProof/>
        </w:rPr>
      </w:pPr>
      <w:r>
        <w:rPr>
          <w:noProof/>
        </w:rPr>
        <w:t>Le deuxième objectif de l’investissement est de veiller à ce que les écoles soient adéquatement équipées de technologies numériques de base et de technologies numériques avancées afin de soutenir l’habileté numérique et de mettre en œuvre les programmes d’études révisés dans le cadre de la réforme 1 de ce volet. Sur un total d’environ 10 000 jardins d’enfants, écoles primaires et secondaires, au moins 9 260 seront équipés, au 31 mars 2024, de technologies numériques de base et avancées (telles que la réalité augmentée, la réalité virtuelle, la robotique et l’impression 3D). L’octroi d’un financement s’accompagne d’une assistance technique aux écoles afin de garantir une utilisation efficace des fonds. Cette assistance technique est fournie aux écoles soit au moyen d’orientations centralisées (site web spécifique, webinaires, outils d’évaluation en ligne, exemples de bonnes pratiques), soit par l’intermédiaire d’un nouveau réseau de conseillers informatiques («IT gurus») au niveau régional, qui fournira un tutorat ciblé aux écoles sur l’achat d’équipements informatiques, la mise en place d’une administration informatique, la connectivité et les réseaux scolaires internes. Le réseau Guru informatique soutiendra au moins 1120 écoles au cours de la période comprise entre le 1 janvier 2022 et le 31 décembre 2025, soit environ un cinquième des écoles, en mettant particulièrement l’accent sur les petites écoles rurales, qui sont confrontées aux plus grands défis en matière de diffusion informatique.</w:t>
      </w:r>
    </w:p>
    <w:p w14:paraId="5DE0D8F3" w14:textId="77777777" w:rsidR="00025543" w:rsidRDefault="007E3A2F">
      <w:pPr>
        <w:pStyle w:val="P68B1DB1-Normal3"/>
        <w:spacing w:line="240" w:lineRule="auto"/>
        <w:jc w:val="both"/>
        <w:rPr>
          <w:noProof/>
        </w:rPr>
      </w:pPr>
      <w:r>
        <w:rPr>
          <w:noProof/>
        </w:rPr>
        <w:t>L’investissement est achevé au plus tard le 31 mars 2026.</w:t>
      </w:r>
    </w:p>
    <w:p w14:paraId="15EFDCF0" w14:textId="77777777" w:rsidR="00025543" w:rsidRDefault="00025543">
      <w:pPr>
        <w:spacing w:line="240" w:lineRule="auto"/>
        <w:jc w:val="both"/>
        <w:rPr>
          <w:rFonts w:eastAsia="Times New Roman"/>
          <w:noProof/>
        </w:rPr>
        <w:sectPr w:rsidR="00025543" w:rsidSect="003A6FF0">
          <w:headerReference w:type="even" r:id="rId282"/>
          <w:headerReference w:type="default" r:id="rId283"/>
          <w:footerReference w:type="even" r:id="rId284"/>
          <w:footerReference w:type="default" r:id="rId285"/>
          <w:headerReference w:type="first" r:id="rId286"/>
          <w:footerReference w:type="first" r:id="rId287"/>
          <w:pgSz w:w="11907" w:h="16839"/>
          <w:pgMar w:top="1134" w:right="1134" w:bottom="1134" w:left="1134" w:header="567" w:footer="567" w:gutter="0"/>
          <w:cols w:space="708"/>
          <w:docGrid w:linePitch="326"/>
        </w:sectPr>
      </w:pPr>
    </w:p>
    <w:p w14:paraId="29CC928A" w14:textId="1DADC9D1" w:rsidR="00025543" w:rsidRDefault="007E3A2F">
      <w:pPr>
        <w:pStyle w:val="P68B1DB1-Normal33"/>
        <w:pBdr>
          <w:top w:val="nil"/>
          <w:left w:val="nil"/>
          <w:bottom w:val="nil"/>
          <w:right w:val="nil"/>
          <w:between w:val="nil"/>
        </w:pBdr>
        <w:tabs>
          <w:tab w:val="left" w:pos="993"/>
        </w:tabs>
        <w:spacing w:line="240" w:lineRule="auto"/>
        <w:jc w:val="both"/>
        <w:rPr>
          <w:noProof/>
          <w:color w:val="000000"/>
        </w:rPr>
      </w:pPr>
      <w:r>
        <w:rPr>
          <w:noProof/>
        </w:rPr>
        <w:t xml:space="preserve">R.2. Jalons, cibles, indicateurs et calendrier de suivi et de mise en œuvre en vue du soutien financier non remboursable </w:t>
      </w:r>
    </w:p>
    <w:tbl>
      <w:tblPr>
        <w:tblW w:w="0" w:type="auto"/>
        <w:tblLayout w:type="fixed"/>
        <w:tblLook w:val="04A0" w:firstRow="1" w:lastRow="0" w:firstColumn="1" w:lastColumn="0" w:noHBand="0" w:noVBand="1"/>
      </w:tblPr>
      <w:tblGrid>
        <w:gridCol w:w="675"/>
        <w:gridCol w:w="1276"/>
        <w:gridCol w:w="1077"/>
        <w:gridCol w:w="1560"/>
        <w:gridCol w:w="1417"/>
        <w:gridCol w:w="1077"/>
        <w:gridCol w:w="1077"/>
        <w:gridCol w:w="708"/>
        <w:gridCol w:w="1134"/>
        <w:gridCol w:w="639"/>
        <w:gridCol w:w="4745"/>
      </w:tblGrid>
      <w:tr w:rsidR="00025543" w14:paraId="0C8E688B" w14:textId="77777777">
        <w:trPr>
          <w:trHeight w:val="107"/>
          <w:tblHeader/>
        </w:trPr>
        <w:tc>
          <w:tcPr>
            <w:tcW w:w="675"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281E9100" w14:textId="77777777" w:rsidR="00025543" w:rsidRDefault="007E3A2F">
            <w:pPr>
              <w:pStyle w:val="P68B1DB1-Normal27"/>
              <w:spacing w:line="240" w:lineRule="auto"/>
              <w:jc w:val="center"/>
              <w:rPr>
                <w:noProof/>
              </w:rPr>
            </w:pPr>
            <w:r>
              <w:rPr>
                <w:noProof/>
              </w:rPr>
              <w:t>Séquence NUM.</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37AD70D0" w14:textId="77777777" w:rsidR="00025543" w:rsidRDefault="007E3A2F">
            <w:pPr>
              <w:pStyle w:val="P68B1DB1-Normal9"/>
              <w:spacing w:line="240" w:lineRule="auto"/>
              <w:jc w:val="center"/>
              <w:rPr>
                <w:noProof/>
              </w:rPr>
            </w:pPr>
            <w:r>
              <w:rPr>
                <w:noProof/>
              </w:rPr>
              <w:t xml:space="preserve">Mesure connexe (réforme ou investissement) </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13CD9DCD" w14:textId="77777777" w:rsidR="00025543" w:rsidRDefault="007E3A2F">
            <w:pPr>
              <w:pStyle w:val="P68B1DB1-Normal9"/>
              <w:spacing w:line="240" w:lineRule="auto"/>
              <w:jc w:val="center"/>
              <w:rPr>
                <w:noProof/>
              </w:rPr>
            </w:pPr>
            <w:r>
              <w:rPr>
                <w:noProof/>
              </w:rPr>
              <w:t xml:space="preserve">Jalon/cible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522B8AD4" w14:textId="77777777" w:rsidR="00025543" w:rsidRDefault="007E3A2F">
            <w:pPr>
              <w:pStyle w:val="P68B1DB1-Normal9"/>
              <w:spacing w:line="240" w:lineRule="auto"/>
              <w:jc w:val="center"/>
              <w:rPr>
                <w:noProof/>
              </w:rPr>
            </w:pPr>
            <w:r>
              <w:rPr>
                <w:noProof/>
              </w:rPr>
              <w:t xml:space="preserve">Nom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6B79BA2F" w14:textId="77777777" w:rsidR="00025543" w:rsidRDefault="007E3A2F">
            <w:pPr>
              <w:pStyle w:val="P68B1DB1-Normal12"/>
              <w:spacing w:line="240" w:lineRule="auto"/>
              <w:jc w:val="center"/>
              <w:rPr>
                <w:noProof/>
              </w:rPr>
            </w:pPr>
            <w:r>
              <w:rPr>
                <w:rFonts w:eastAsia="Times New Roman"/>
                <w:b/>
                <w:noProof/>
              </w:rPr>
              <w:t>Qualitatifs</w:t>
            </w:r>
            <w:r>
              <w:rPr>
                <w:noProof/>
              </w:rPr>
              <w:br/>
            </w:r>
            <w:r>
              <w:rPr>
                <w:rFonts w:eastAsia="Times New Roman"/>
                <w:b/>
                <w:noProof/>
              </w:rPr>
              <w:t xml:space="preserve"> (pour les jalons) </w:t>
            </w:r>
          </w:p>
        </w:tc>
        <w:tc>
          <w:tcPr>
            <w:tcW w:w="2126" w:type="dxa"/>
            <w:gridSpan w:val="3"/>
            <w:tcBorders>
              <w:top w:val="single" w:sz="8" w:space="0" w:color="auto"/>
              <w:left w:val="single" w:sz="4" w:space="0" w:color="auto"/>
              <w:bottom w:val="single" w:sz="8" w:space="0" w:color="auto"/>
              <w:right w:val="single" w:sz="8" w:space="0" w:color="000000" w:themeColor="text1"/>
            </w:tcBorders>
            <w:shd w:val="clear" w:color="auto" w:fill="BDD7EE"/>
            <w:vAlign w:val="center"/>
          </w:tcPr>
          <w:p w14:paraId="37E88EBE" w14:textId="77777777" w:rsidR="00025543" w:rsidRDefault="007E3A2F">
            <w:pPr>
              <w:pStyle w:val="P68B1DB1-Normal12"/>
              <w:spacing w:line="240" w:lineRule="auto"/>
              <w:jc w:val="center"/>
              <w:rPr>
                <w:noProof/>
              </w:rPr>
            </w:pPr>
            <w:r>
              <w:rPr>
                <w:rFonts w:eastAsia="Times New Roman"/>
                <w:b/>
                <w:noProof/>
              </w:rPr>
              <w:t>Indicateurs quantitatifs</w:t>
            </w:r>
            <w:r>
              <w:rPr>
                <w:noProof/>
              </w:rPr>
              <w:br/>
            </w:r>
            <w:r>
              <w:rPr>
                <w:rFonts w:eastAsia="Times New Roman"/>
                <w:b/>
                <w:noProof/>
              </w:rPr>
              <w:t xml:space="preserve"> (pour les objectifs)</w:t>
            </w:r>
          </w:p>
        </w:tc>
        <w:tc>
          <w:tcPr>
            <w:tcW w:w="1773" w:type="dxa"/>
            <w:gridSpan w:val="2"/>
            <w:tcBorders>
              <w:top w:val="single" w:sz="8" w:space="0" w:color="auto"/>
              <w:left w:val="nil"/>
              <w:bottom w:val="single" w:sz="8" w:space="0" w:color="auto"/>
              <w:right w:val="single" w:sz="4" w:space="0" w:color="auto"/>
            </w:tcBorders>
            <w:shd w:val="clear" w:color="auto" w:fill="BDD7EE"/>
            <w:vAlign w:val="center"/>
          </w:tcPr>
          <w:p w14:paraId="6FB8D7A0" w14:textId="77777777" w:rsidR="00025543" w:rsidRDefault="007E3A2F">
            <w:pPr>
              <w:pStyle w:val="P68B1DB1-Normal9"/>
              <w:spacing w:line="240" w:lineRule="auto"/>
              <w:jc w:val="center"/>
              <w:rPr>
                <w:noProof/>
              </w:rPr>
            </w:pPr>
            <w:r>
              <w:rPr>
                <w:noProof/>
              </w:rPr>
              <w:t xml:space="preserve">Calendrier indicatif de réalisation </w:t>
            </w:r>
          </w:p>
        </w:tc>
        <w:tc>
          <w:tcPr>
            <w:tcW w:w="4745"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213515B4" w14:textId="77777777" w:rsidR="00025543" w:rsidRDefault="007E3A2F">
            <w:pPr>
              <w:pStyle w:val="P68B1DB1-Normal9"/>
              <w:spacing w:line="240" w:lineRule="auto"/>
              <w:jc w:val="center"/>
              <w:rPr>
                <w:noProof/>
              </w:rPr>
            </w:pPr>
            <w:r>
              <w:rPr>
                <w:noProof/>
              </w:rPr>
              <w:t>Description et définition claire de chaque jalon et cible</w:t>
            </w:r>
          </w:p>
        </w:tc>
      </w:tr>
      <w:tr w:rsidR="00025543" w14:paraId="3183A05D" w14:textId="77777777">
        <w:trPr>
          <w:trHeight w:val="173"/>
          <w:tblHeader/>
        </w:trPr>
        <w:tc>
          <w:tcPr>
            <w:tcW w:w="675" w:type="dxa"/>
            <w:vMerge/>
            <w:tcBorders>
              <w:top w:val="single" w:sz="4" w:space="0" w:color="auto"/>
              <w:left w:val="single" w:sz="4" w:space="0" w:color="auto"/>
              <w:bottom w:val="single" w:sz="4" w:space="0" w:color="auto"/>
              <w:right w:val="single" w:sz="4" w:space="0" w:color="auto"/>
            </w:tcBorders>
            <w:vAlign w:val="center"/>
          </w:tcPr>
          <w:p w14:paraId="4E4D6148" w14:textId="77777777" w:rsidR="00025543" w:rsidRDefault="00025543">
            <w:pPr>
              <w:spacing w:line="240" w:lineRule="auto"/>
              <w:jc w:val="center"/>
              <w:rPr>
                <w:noProof/>
                <w:sz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999D742" w14:textId="77777777" w:rsidR="00025543" w:rsidRDefault="00025543">
            <w:pPr>
              <w:spacing w:line="240" w:lineRule="auto"/>
              <w:jc w:val="center"/>
              <w:rPr>
                <w:noProof/>
                <w:sz w:val="18"/>
              </w:rPr>
            </w:pPr>
          </w:p>
        </w:tc>
        <w:tc>
          <w:tcPr>
            <w:tcW w:w="1077" w:type="dxa"/>
            <w:vMerge/>
            <w:tcBorders>
              <w:left w:val="single" w:sz="4" w:space="0" w:color="auto"/>
              <w:right w:val="single" w:sz="4" w:space="0" w:color="auto"/>
            </w:tcBorders>
            <w:vAlign w:val="center"/>
          </w:tcPr>
          <w:p w14:paraId="6DE3B91E" w14:textId="77777777" w:rsidR="00025543" w:rsidRDefault="00025543">
            <w:pPr>
              <w:spacing w:line="240" w:lineRule="auto"/>
              <w:jc w:val="center"/>
              <w:rPr>
                <w:noProof/>
                <w:sz w:val="18"/>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5441B24D" w14:textId="77777777" w:rsidR="00025543" w:rsidRDefault="00025543">
            <w:pPr>
              <w:spacing w:line="240" w:lineRule="auto"/>
              <w:jc w:val="center"/>
              <w:rPr>
                <w:noProof/>
                <w:sz w:val="18"/>
              </w:rPr>
            </w:pPr>
          </w:p>
        </w:tc>
        <w:tc>
          <w:tcPr>
            <w:tcW w:w="1417" w:type="dxa"/>
            <w:vMerge/>
            <w:tcBorders>
              <w:left w:val="single" w:sz="4" w:space="0" w:color="auto"/>
            </w:tcBorders>
            <w:vAlign w:val="center"/>
          </w:tcPr>
          <w:p w14:paraId="77621E4B" w14:textId="77777777" w:rsidR="00025543" w:rsidRDefault="00025543">
            <w:pPr>
              <w:spacing w:line="240" w:lineRule="auto"/>
              <w:jc w:val="center"/>
              <w:rPr>
                <w:noProof/>
                <w:sz w:val="18"/>
              </w:rPr>
            </w:pPr>
          </w:p>
        </w:tc>
        <w:tc>
          <w:tcPr>
            <w:tcW w:w="1077" w:type="dxa"/>
            <w:tcBorders>
              <w:top w:val="single" w:sz="8" w:space="0" w:color="auto"/>
              <w:left w:val="single" w:sz="4" w:space="0" w:color="auto"/>
              <w:bottom w:val="single" w:sz="8" w:space="0" w:color="auto"/>
              <w:right w:val="single" w:sz="8" w:space="0" w:color="000000" w:themeColor="text1"/>
            </w:tcBorders>
            <w:shd w:val="clear" w:color="auto" w:fill="BDD7EE"/>
            <w:vAlign w:val="center"/>
          </w:tcPr>
          <w:p w14:paraId="0A3119C9" w14:textId="77777777" w:rsidR="00025543" w:rsidRDefault="007E3A2F">
            <w:pPr>
              <w:pStyle w:val="P68B1DB1-Normal9"/>
              <w:spacing w:line="240" w:lineRule="auto"/>
              <w:jc w:val="center"/>
              <w:rPr>
                <w:noProof/>
              </w:rPr>
            </w:pPr>
            <w:r>
              <w:rPr>
                <w:noProof/>
              </w:rPr>
              <w:t>Unité de mesure</w:t>
            </w:r>
          </w:p>
        </w:tc>
        <w:tc>
          <w:tcPr>
            <w:tcW w:w="1077" w:type="dxa"/>
            <w:tcBorders>
              <w:top w:val="nil"/>
              <w:left w:val="single" w:sz="8" w:space="0" w:color="auto"/>
              <w:bottom w:val="single" w:sz="8" w:space="0" w:color="auto"/>
              <w:right w:val="single" w:sz="8" w:space="0" w:color="auto"/>
            </w:tcBorders>
            <w:shd w:val="clear" w:color="auto" w:fill="BDD7EE"/>
            <w:vAlign w:val="center"/>
          </w:tcPr>
          <w:p w14:paraId="18B6F549" w14:textId="77777777" w:rsidR="00025543" w:rsidRDefault="007E3A2F">
            <w:pPr>
              <w:pStyle w:val="P68B1DB1-Normal9"/>
              <w:spacing w:line="240" w:lineRule="auto"/>
              <w:jc w:val="center"/>
              <w:rPr>
                <w:noProof/>
              </w:rPr>
            </w:pPr>
            <w:r>
              <w:rPr>
                <w:noProof/>
              </w:rPr>
              <w:t>Scénario de référence</w:t>
            </w:r>
          </w:p>
        </w:tc>
        <w:tc>
          <w:tcPr>
            <w:tcW w:w="708" w:type="dxa"/>
            <w:tcBorders>
              <w:top w:val="nil"/>
              <w:left w:val="single" w:sz="8" w:space="0" w:color="auto"/>
              <w:bottom w:val="single" w:sz="8" w:space="0" w:color="auto"/>
              <w:right w:val="single" w:sz="8" w:space="0" w:color="000000" w:themeColor="text1"/>
            </w:tcBorders>
            <w:shd w:val="clear" w:color="auto" w:fill="BDD7EE"/>
            <w:vAlign w:val="center"/>
          </w:tcPr>
          <w:p w14:paraId="3DECAD03" w14:textId="77777777" w:rsidR="00025543" w:rsidRDefault="007E3A2F">
            <w:pPr>
              <w:pStyle w:val="P68B1DB1-Normal9"/>
              <w:spacing w:line="240" w:lineRule="auto"/>
              <w:jc w:val="center"/>
              <w:rPr>
                <w:noProof/>
              </w:rPr>
            </w:pPr>
            <w:r>
              <w:rPr>
                <w:noProof/>
              </w:rPr>
              <w:t>Objectif</w:t>
            </w:r>
          </w:p>
        </w:tc>
        <w:tc>
          <w:tcPr>
            <w:tcW w:w="1134" w:type="dxa"/>
            <w:tcBorders>
              <w:top w:val="single" w:sz="8" w:space="0" w:color="auto"/>
              <w:left w:val="single" w:sz="8" w:space="0" w:color="auto"/>
              <w:bottom w:val="single" w:sz="8" w:space="0" w:color="auto"/>
              <w:right w:val="single" w:sz="8" w:space="0" w:color="000000" w:themeColor="text1"/>
            </w:tcBorders>
            <w:shd w:val="clear" w:color="auto" w:fill="BDD7EE"/>
            <w:vAlign w:val="center"/>
          </w:tcPr>
          <w:p w14:paraId="3BB62E79" w14:textId="77777777" w:rsidR="00025543" w:rsidRDefault="007E3A2F">
            <w:pPr>
              <w:pStyle w:val="P68B1DB1-Normal9"/>
              <w:spacing w:line="240" w:lineRule="auto"/>
              <w:jc w:val="center"/>
              <w:rPr>
                <w:noProof/>
              </w:rPr>
            </w:pPr>
            <w:r>
              <w:rPr>
                <w:noProof/>
              </w:rPr>
              <w:t>Trimestre</w:t>
            </w:r>
          </w:p>
        </w:tc>
        <w:tc>
          <w:tcPr>
            <w:tcW w:w="639" w:type="dxa"/>
            <w:tcBorders>
              <w:top w:val="nil"/>
              <w:left w:val="single" w:sz="8" w:space="0" w:color="auto"/>
              <w:bottom w:val="single" w:sz="8" w:space="0" w:color="auto"/>
              <w:right w:val="single" w:sz="4" w:space="0" w:color="auto"/>
            </w:tcBorders>
            <w:shd w:val="clear" w:color="auto" w:fill="BDD7EE"/>
            <w:vAlign w:val="center"/>
          </w:tcPr>
          <w:p w14:paraId="57219E63" w14:textId="77777777" w:rsidR="00025543" w:rsidRDefault="007E3A2F">
            <w:pPr>
              <w:pStyle w:val="P68B1DB1-Normal9"/>
              <w:spacing w:line="240" w:lineRule="auto"/>
              <w:jc w:val="center"/>
              <w:rPr>
                <w:noProof/>
              </w:rPr>
            </w:pPr>
            <w:r>
              <w:rPr>
                <w:noProof/>
              </w:rPr>
              <w:t>Année</w:t>
            </w:r>
          </w:p>
        </w:tc>
        <w:tc>
          <w:tcPr>
            <w:tcW w:w="4745" w:type="dxa"/>
            <w:vMerge/>
            <w:tcBorders>
              <w:bottom w:val="single" w:sz="4" w:space="0" w:color="auto"/>
              <w:right w:val="single" w:sz="4" w:space="0" w:color="auto"/>
            </w:tcBorders>
            <w:vAlign w:val="center"/>
          </w:tcPr>
          <w:p w14:paraId="3FC63247" w14:textId="77777777" w:rsidR="00025543" w:rsidRDefault="00025543">
            <w:pPr>
              <w:spacing w:line="240" w:lineRule="auto"/>
              <w:jc w:val="center"/>
              <w:rPr>
                <w:noProof/>
                <w:sz w:val="18"/>
              </w:rPr>
            </w:pPr>
          </w:p>
        </w:tc>
      </w:tr>
      <w:tr w:rsidR="00025543" w14:paraId="302D735D" w14:textId="77777777">
        <w:trPr>
          <w:trHeight w:val="945"/>
        </w:trPr>
        <w:tc>
          <w:tcPr>
            <w:tcW w:w="675" w:type="dxa"/>
            <w:tcBorders>
              <w:top w:val="single" w:sz="4" w:space="0" w:color="auto"/>
              <w:left w:val="single" w:sz="8" w:space="0" w:color="auto"/>
              <w:bottom w:val="single" w:sz="8" w:space="0" w:color="auto"/>
              <w:right w:val="single" w:sz="8" w:space="0" w:color="auto"/>
            </w:tcBorders>
            <w:shd w:val="clear" w:color="auto" w:fill="C6EFCE"/>
            <w:vAlign w:val="center"/>
          </w:tcPr>
          <w:p w14:paraId="21ABF012" w14:textId="77777777" w:rsidR="00025543" w:rsidRDefault="007E3A2F">
            <w:pPr>
              <w:pStyle w:val="P68B1DB1-Normal16"/>
              <w:spacing w:line="240" w:lineRule="auto"/>
              <w:jc w:val="center"/>
              <w:rPr>
                <w:noProof/>
              </w:rPr>
            </w:pPr>
            <w:r>
              <w:rPr>
                <w:noProof/>
              </w:rPr>
              <w:t>168</w:t>
            </w:r>
          </w:p>
        </w:tc>
        <w:tc>
          <w:tcPr>
            <w:tcW w:w="1276" w:type="dxa"/>
            <w:tcBorders>
              <w:top w:val="single" w:sz="4" w:space="0" w:color="auto"/>
              <w:left w:val="single" w:sz="8" w:space="0" w:color="auto"/>
              <w:bottom w:val="single" w:sz="8" w:space="0" w:color="auto"/>
              <w:right w:val="single" w:sz="8" w:space="0" w:color="auto"/>
            </w:tcBorders>
            <w:shd w:val="clear" w:color="auto" w:fill="C6EFCE"/>
            <w:vAlign w:val="center"/>
          </w:tcPr>
          <w:p w14:paraId="5C25A5AC" w14:textId="77777777" w:rsidR="00025543" w:rsidRDefault="007E3A2F">
            <w:pPr>
              <w:pStyle w:val="P68B1DB1-Normal16"/>
              <w:spacing w:line="240" w:lineRule="auto"/>
              <w:rPr>
                <w:noProof/>
              </w:rPr>
            </w:pPr>
            <w:r>
              <w:rPr>
                <w:noProof/>
              </w:rPr>
              <w:t>Réforme 1: Réforme des programmes d’études et renforcement de l’enseignement informatique</w:t>
            </w:r>
          </w:p>
        </w:tc>
        <w:tc>
          <w:tcPr>
            <w:tcW w:w="1077" w:type="dxa"/>
            <w:tcBorders>
              <w:top w:val="single" w:sz="4" w:space="0" w:color="auto"/>
              <w:left w:val="single" w:sz="8" w:space="0" w:color="auto"/>
              <w:bottom w:val="single" w:sz="8" w:space="0" w:color="auto"/>
              <w:right w:val="single" w:sz="8" w:space="0" w:color="auto"/>
            </w:tcBorders>
            <w:shd w:val="clear" w:color="auto" w:fill="C6EFCE"/>
            <w:vAlign w:val="center"/>
          </w:tcPr>
          <w:p w14:paraId="2B51AE19" w14:textId="77777777" w:rsidR="00025543" w:rsidRDefault="007E3A2F">
            <w:pPr>
              <w:pStyle w:val="P68B1DB1-Normal16"/>
              <w:spacing w:line="240" w:lineRule="auto"/>
              <w:rPr>
                <w:noProof/>
              </w:rPr>
            </w:pPr>
            <w:r>
              <w:rPr>
                <w:noProof/>
              </w:rPr>
              <w:t>Étapes</w:t>
            </w:r>
          </w:p>
        </w:tc>
        <w:tc>
          <w:tcPr>
            <w:tcW w:w="1560" w:type="dxa"/>
            <w:tcBorders>
              <w:top w:val="single" w:sz="4" w:space="0" w:color="auto"/>
              <w:left w:val="single" w:sz="8" w:space="0" w:color="auto"/>
              <w:bottom w:val="single" w:sz="8" w:space="0" w:color="auto"/>
              <w:right w:val="single" w:sz="8" w:space="0" w:color="auto"/>
            </w:tcBorders>
            <w:shd w:val="clear" w:color="auto" w:fill="C6EFCE"/>
            <w:vAlign w:val="center"/>
          </w:tcPr>
          <w:p w14:paraId="7790BD29" w14:textId="77777777" w:rsidR="00025543" w:rsidRDefault="007E3A2F">
            <w:pPr>
              <w:pStyle w:val="P68B1DB1-Normal16"/>
              <w:spacing w:line="240" w:lineRule="auto"/>
              <w:rPr>
                <w:noProof/>
              </w:rPr>
            </w:pPr>
            <w:r>
              <w:rPr>
                <w:noProof/>
              </w:rPr>
              <w:t xml:space="preserve">Approbation de nouveaux programmes d’études renforçant l’habileté numérique et la pensée informatique </w:t>
            </w:r>
          </w:p>
        </w:tc>
        <w:tc>
          <w:tcPr>
            <w:tcW w:w="1417" w:type="dxa"/>
            <w:tcBorders>
              <w:top w:val="single" w:sz="4" w:space="0" w:color="auto"/>
              <w:left w:val="single" w:sz="8" w:space="0" w:color="auto"/>
              <w:bottom w:val="single" w:sz="8" w:space="0" w:color="auto"/>
              <w:right w:val="single" w:sz="8" w:space="0" w:color="auto"/>
            </w:tcBorders>
            <w:shd w:val="clear" w:color="auto" w:fill="C6EFCE"/>
            <w:vAlign w:val="center"/>
          </w:tcPr>
          <w:p w14:paraId="06B5C40F" w14:textId="77777777" w:rsidR="00025543" w:rsidRDefault="007E3A2F">
            <w:pPr>
              <w:pStyle w:val="P68B1DB1-Normal16"/>
              <w:spacing w:line="240" w:lineRule="auto"/>
              <w:rPr>
                <w:noProof/>
              </w:rPr>
            </w:pPr>
            <w:r>
              <w:rPr>
                <w:noProof/>
              </w:rPr>
              <w:t xml:space="preserve">Approbation de nouveaux programmes d’études pour les écoles primaires et secondaires et la </w:t>
            </w:r>
            <w:r>
              <w:rPr>
                <w:i/>
                <w:noProof/>
              </w:rPr>
              <w:t xml:space="preserve">gymnázia </w:t>
            </w:r>
            <w:r>
              <w:rPr>
                <w:noProof/>
              </w:rPr>
              <w:t xml:space="preserve">par le ministère de l’éducation, de la jeunesse et des sports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62F382A" w14:textId="77777777" w:rsidR="00025543" w:rsidRDefault="00025543">
            <w:pPr>
              <w:spacing w:line="240" w:lineRule="auto"/>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C8A4606" w14:textId="77777777" w:rsidR="00025543" w:rsidRDefault="00025543">
            <w:pPr>
              <w:spacing w:line="240" w:lineRule="auto"/>
              <w:jc w:val="center"/>
              <w:rPr>
                <w:noProof/>
                <w:color w:val="004300"/>
                <w:sz w:val="18"/>
              </w:rPr>
            </w:pPr>
          </w:p>
        </w:tc>
        <w:tc>
          <w:tcPr>
            <w:tcW w:w="708" w:type="dxa"/>
            <w:tcBorders>
              <w:top w:val="single" w:sz="8" w:space="0" w:color="auto"/>
              <w:left w:val="single" w:sz="8" w:space="0" w:color="auto"/>
              <w:bottom w:val="single" w:sz="8" w:space="0" w:color="auto"/>
              <w:right w:val="single" w:sz="8" w:space="0" w:color="auto"/>
            </w:tcBorders>
            <w:shd w:val="clear" w:color="auto" w:fill="C6EFCE"/>
            <w:vAlign w:val="center"/>
          </w:tcPr>
          <w:p w14:paraId="3FAD38CF" w14:textId="77777777" w:rsidR="00025543" w:rsidRDefault="00025543">
            <w:pPr>
              <w:spacing w:line="240" w:lineRule="auto"/>
              <w:jc w:val="center"/>
              <w:rPr>
                <w:noProof/>
                <w:color w:val="004300"/>
                <w:sz w:val="18"/>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736934DD" w14:textId="77777777" w:rsidR="00025543" w:rsidRDefault="007E3A2F">
            <w:pPr>
              <w:pStyle w:val="P68B1DB1-Normal16"/>
              <w:spacing w:line="240" w:lineRule="auto"/>
              <w:jc w:val="center"/>
              <w:rPr>
                <w:noProof/>
              </w:rPr>
            </w:pPr>
            <w:r>
              <w:rPr>
                <w:noProof/>
              </w:rPr>
              <w:t>TRIMESTRE 3</w:t>
            </w:r>
          </w:p>
        </w:tc>
        <w:tc>
          <w:tcPr>
            <w:tcW w:w="639" w:type="dxa"/>
            <w:tcBorders>
              <w:top w:val="single" w:sz="8" w:space="0" w:color="auto"/>
              <w:left w:val="single" w:sz="8" w:space="0" w:color="auto"/>
              <w:bottom w:val="single" w:sz="8" w:space="0" w:color="auto"/>
              <w:right w:val="single" w:sz="8" w:space="0" w:color="auto"/>
            </w:tcBorders>
            <w:shd w:val="clear" w:color="auto" w:fill="C6EFCE"/>
            <w:vAlign w:val="center"/>
          </w:tcPr>
          <w:p w14:paraId="261DF00F" w14:textId="77777777" w:rsidR="00025543" w:rsidRDefault="007E3A2F">
            <w:pPr>
              <w:pStyle w:val="P68B1DB1-Normal16"/>
              <w:spacing w:line="240" w:lineRule="auto"/>
              <w:jc w:val="center"/>
              <w:rPr>
                <w:noProof/>
              </w:rPr>
            </w:pPr>
            <w:r>
              <w:rPr>
                <w:noProof/>
              </w:rPr>
              <w:t>2021</w:t>
            </w:r>
          </w:p>
        </w:tc>
        <w:tc>
          <w:tcPr>
            <w:tcW w:w="4745" w:type="dxa"/>
            <w:tcBorders>
              <w:top w:val="single" w:sz="4" w:space="0" w:color="auto"/>
              <w:left w:val="single" w:sz="8" w:space="0" w:color="auto"/>
              <w:bottom w:val="single" w:sz="8" w:space="0" w:color="auto"/>
              <w:right w:val="single" w:sz="8" w:space="0" w:color="auto"/>
            </w:tcBorders>
            <w:shd w:val="clear" w:color="auto" w:fill="C6EFCE"/>
            <w:vAlign w:val="center"/>
          </w:tcPr>
          <w:p w14:paraId="658F26F8" w14:textId="77777777" w:rsidR="00025543" w:rsidRDefault="007E3A2F">
            <w:pPr>
              <w:pStyle w:val="P68B1DB1-Normal16"/>
              <w:spacing w:line="240" w:lineRule="auto"/>
              <w:rPr>
                <w:noProof/>
              </w:rPr>
            </w:pPr>
            <w:r>
              <w:rPr>
                <w:noProof/>
              </w:rPr>
              <w:t xml:space="preserve">Les nouveaux programmes doivent: </w:t>
            </w:r>
          </w:p>
          <w:p w14:paraId="3FD6E8C9" w14:textId="77777777" w:rsidR="00025543" w:rsidRDefault="007E3A2F">
            <w:pPr>
              <w:pStyle w:val="P68B1DB1-Normal16"/>
              <w:numPr>
                <w:ilvl w:val="0"/>
                <w:numId w:val="197"/>
              </w:numPr>
              <w:spacing w:after="0" w:line="259" w:lineRule="auto"/>
              <w:contextualSpacing/>
              <w:rPr>
                <w:noProof/>
              </w:rPr>
            </w:pPr>
            <w:r>
              <w:rPr>
                <w:noProof/>
              </w:rPr>
              <w:t>renforcer l’éducation à l’informatique en termes d’heures d’enseignement</w:t>
            </w:r>
          </w:p>
          <w:p w14:paraId="32AD480E" w14:textId="77777777" w:rsidR="00025543" w:rsidRDefault="007E3A2F">
            <w:pPr>
              <w:pStyle w:val="P68B1DB1-Normal16"/>
              <w:numPr>
                <w:ilvl w:val="0"/>
                <w:numId w:val="197"/>
              </w:numPr>
              <w:spacing w:after="0" w:line="259" w:lineRule="auto"/>
              <w:contextualSpacing/>
              <w:rPr>
                <w:noProof/>
              </w:rPr>
            </w:pPr>
            <w:r>
              <w:rPr>
                <w:noProof/>
              </w:rPr>
              <w:t>étendre la couverture de l’informatique à de nouveaux domaines, tels que le traitement et la modélisation des données, le codage et la programmation, la robotique, la réalité augmentée, la réalité virtuelle et la technologie numérique.</w:t>
            </w:r>
          </w:p>
          <w:p w14:paraId="3CB1FD2E" w14:textId="77777777" w:rsidR="00025543" w:rsidRDefault="007E3A2F">
            <w:pPr>
              <w:pStyle w:val="P68B1DB1-Normal16"/>
              <w:numPr>
                <w:ilvl w:val="0"/>
                <w:numId w:val="197"/>
              </w:numPr>
              <w:spacing w:after="0" w:line="259" w:lineRule="auto"/>
              <w:contextualSpacing/>
              <w:rPr>
                <w:rFonts w:eastAsia="Times New Roman"/>
                <w:noProof/>
              </w:rPr>
            </w:pPr>
            <w:r>
              <w:rPr>
                <w:noProof/>
              </w:rPr>
              <w:t>Introduire la compétence numérique comme l’une des compétences clés</w:t>
            </w:r>
          </w:p>
          <w:p w14:paraId="134A9B1D" w14:textId="77777777" w:rsidR="00025543" w:rsidRDefault="007E3A2F">
            <w:pPr>
              <w:pStyle w:val="P68B1DB1-Normal16"/>
              <w:numPr>
                <w:ilvl w:val="0"/>
                <w:numId w:val="197"/>
              </w:numPr>
              <w:spacing w:after="0" w:line="259" w:lineRule="auto"/>
              <w:contextualSpacing/>
              <w:rPr>
                <w:noProof/>
              </w:rPr>
            </w:pPr>
            <w:r>
              <w:rPr>
                <w:noProof/>
              </w:rPr>
              <w:t xml:space="preserve">promouvoir l’utilisation des technologies numériques dans les domaines éducatifs, y compris les matières non informatiques. </w:t>
            </w:r>
          </w:p>
        </w:tc>
      </w:tr>
      <w:tr w:rsidR="00025543" w14:paraId="0775AB0D" w14:textId="77777777">
        <w:trPr>
          <w:trHeight w:val="945"/>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5AAF89BB" w14:textId="77777777" w:rsidR="00025543" w:rsidRDefault="007E3A2F">
            <w:pPr>
              <w:pStyle w:val="P68B1DB1-Normal16"/>
              <w:spacing w:line="240" w:lineRule="auto"/>
              <w:jc w:val="center"/>
              <w:rPr>
                <w:noProof/>
              </w:rPr>
            </w:pPr>
            <w:r>
              <w:rPr>
                <w:noProof/>
              </w:rPr>
              <w:t>169</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1B43A7B3" w14:textId="77777777" w:rsidR="00025543" w:rsidRDefault="007E3A2F">
            <w:pPr>
              <w:pStyle w:val="P68B1DB1-Normal16"/>
              <w:spacing w:line="240" w:lineRule="auto"/>
              <w:rPr>
                <w:noProof/>
              </w:rPr>
            </w:pPr>
            <w:r>
              <w:rPr>
                <w:noProof/>
              </w:rPr>
              <w:t>Réforme 1: Réforme des programmes d’études et renforcement de l’enseignement informatique</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D852C90" w14:textId="77777777" w:rsidR="00025543" w:rsidRDefault="007E3A2F">
            <w:pPr>
              <w:pStyle w:val="P68B1DB1-Normal16"/>
              <w:spacing w:line="240" w:lineRule="auto"/>
              <w:rPr>
                <w:noProof/>
              </w:rPr>
            </w:pPr>
            <w:r>
              <w:rPr>
                <w:noProof/>
              </w:rPr>
              <w:t>Étapes</w:t>
            </w:r>
          </w:p>
        </w:tc>
        <w:tc>
          <w:tcPr>
            <w:tcW w:w="1560" w:type="dxa"/>
            <w:tcBorders>
              <w:top w:val="single" w:sz="8" w:space="0" w:color="auto"/>
              <w:left w:val="single" w:sz="8" w:space="0" w:color="auto"/>
              <w:bottom w:val="single" w:sz="8" w:space="0" w:color="auto"/>
              <w:right w:val="single" w:sz="8" w:space="0" w:color="auto"/>
            </w:tcBorders>
            <w:shd w:val="clear" w:color="auto" w:fill="C6EFCE"/>
            <w:vAlign w:val="center"/>
          </w:tcPr>
          <w:p w14:paraId="490B3C12" w14:textId="77777777" w:rsidR="00025543" w:rsidRDefault="007E3A2F">
            <w:pPr>
              <w:pStyle w:val="P68B1DB1-Normal16"/>
              <w:spacing w:line="240" w:lineRule="auto"/>
              <w:rPr>
                <w:noProof/>
              </w:rPr>
            </w:pPr>
            <w:r>
              <w:rPr>
                <w:noProof/>
              </w:rPr>
              <w:t>Mise en œuvre par les écoles de nouveaux programmes d’études renforçant l’habileté numérique et la pensée informatique</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14:paraId="4F0C5B60" w14:textId="77777777" w:rsidR="00025543" w:rsidRDefault="007E3A2F">
            <w:pPr>
              <w:pStyle w:val="P68B1DB1-Normal16"/>
              <w:spacing w:line="240" w:lineRule="auto"/>
              <w:rPr>
                <w:noProof/>
              </w:rPr>
            </w:pPr>
            <w:r>
              <w:rPr>
                <w:noProof/>
              </w:rPr>
              <w:t xml:space="preserve">Mise en œuvre des nouveaux programmes par les écoles primaires et secondaires et la </w:t>
            </w:r>
            <w:r>
              <w:rPr>
                <w:i/>
                <w:noProof/>
              </w:rPr>
              <w:t>gymnázia</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81A4DBD" w14:textId="77777777" w:rsidR="00025543" w:rsidRDefault="00025543">
            <w:pPr>
              <w:spacing w:line="240" w:lineRule="auto"/>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142519AA" w14:textId="77777777" w:rsidR="00025543" w:rsidRDefault="00025543">
            <w:pPr>
              <w:spacing w:line="240" w:lineRule="auto"/>
              <w:jc w:val="center"/>
              <w:rPr>
                <w:noProof/>
                <w:color w:val="004300"/>
                <w:sz w:val="18"/>
              </w:rPr>
            </w:pPr>
          </w:p>
        </w:tc>
        <w:tc>
          <w:tcPr>
            <w:tcW w:w="708" w:type="dxa"/>
            <w:tcBorders>
              <w:top w:val="single" w:sz="8" w:space="0" w:color="auto"/>
              <w:left w:val="single" w:sz="8" w:space="0" w:color="auto"/>
              <w:bottom w:val="single" w:sz="8" w:space="0" w:color="auto"/>
              <w:right w:val="single" w:sz="8" w:space="0" w:color="auto"/>
            </w:tcBorders>
            <w:shd w:val="clear" w:color="auto" w:fill="C6EFCE"/>
            <w:vAlign w:val="center"/>
          </w:tcPr>
          <w:p w14:paraId="6E56459A" w14:textId="77777777" w:rsidR="00025543" w:rsidRDefault="00025543">
            <w:pPr>
              <w:spacing w:line="240" w:lineRule="auto"/>
              <w:jc w:val="center"/>
              <w:rPr>
                <w:noProof/>
                <w:color w:val="004300"/>
                <w:sz w:val="18"/>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7EB923A5" w14:textId="77777777" w:rsidR="00025543" w:rsidRDefault="007E3A2F">
            <w:pPr>
              <w:pStyle w:val="P68B1DB1-Normal16"/>
              <w:spacing w:line="240" w:lineRule="auto"/>
              <w:jc w:val="center"/>
              <w:rPr>
                <w:noProof/>
              </w:rPr>
            </w:pPr>
            <w:r>
              <w:rPr>
                <w:noProof/>
              </w:rPr>
              <w:t>TRIMESTRE 3</w:t>
            </w:r>
          </w:p>
        </w:tc>
        <w:tc>
          <w:tcPr>
            <w:tcW w:w="639" w:type="dxa"/>
            <w:tcBorders>
              <w:top w:val="single" w:sz="8" w:space="0" w:color="auto"/>
              <w:left w:val="single" w:sz="8" w:space="0" w:color="auto"/>
              <w:bottom w:val="single" w:sz="8" w:space="0" w:color="auto"/>
              <w:right w:val="single" w:sz="8" w:space="0" w:color="auto"/>
            </w:tcBorders>
            <w:shd w:val="clear" w:color="auto" w:fill="C6EFCE"/>
            <w:vAlign w:val="center"/>
          </w:tcPr>
          <w:p w14:paraId="1F997724" w14:textId="77777777" w:rsidR="00025543" w:rsidRDefault="007E3A2F">
            <w:pPr>
              <w:pStyle w:val="P68B1DB1-Normal16"/>
              <w:spacing w:line="240" w:lineRule="auto"/>
              <w:jc w:val="center"/>
              <w:rPr>
                <w:noProof/>
              </w:rPr>
            </w:pPr>
            <w:r>
              <w:rPr>
                <w:noProof/>
              </w:rPr>
              <w:t>2025</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5D7C5FD7" w14:textId="4E1A8B82" w:rsidR="00025543" w:rsidRDefault="007E3A2F">
            <w:pPr>
              <w:pStyle w:val="P68B1DB1-Normal16"/>
              <w:spacing w:line="240" w:lineRule="auto"/>
              <w:rPr>
                <w:noProof/>
              </w:rPr>
            </w:pPr>
            <w:r>
              <w:rPr>
                <w:noProof/>
              </w:rPr>
              <w:t>La mise en œuvre des nouveaux programmes scolaires par les écoles vise à être progressive. Les écoles primaires, les écoles primaires, les établissements du premier cycle de l’enseignement secondaire et le 1 septembre 2024 pour la gymnázia sont pleinement conformes aux nouveaux programmes.</w:t>
            </w:r>
          </w:p>
        </w:tc>
      </w:tr>
      <w:tr w:rsidR="00025543" w14:paraId="78AE2C0C" w14:textId="77777777">
        <w:trPr>
          <w:trHeight w:val="945"/>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482FD36F" w14:textId="77777777" w:rsidR="00025543" w:rsidRDefault="007E3A2F">
            <w:pPr>
              <w:pStyle w:val="P68B1DB1-Normal16"/>
              <w:spacing w:line="240" w:lineRule="auto"/>
              <w:jc w:val="center"/>
              <w:rPr>
                <w:noProof/>
              </w:rPr>
            </w:pPr>
            <w:r>
              <w:rPr>
                <w:noProof/>
              </w:rPr>
              <w:t>170</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6DCF2EA0" w14:textId="77777777" w:rsidR="00025543" w:rsidRDefault="007E3A2F">
            <w:pPr>
              <w:pStyle w:val="P68B1DB1-Normal16"/>
              <w:spacing w:line="240" w:lineRule="auto"/>
              <w:rPr>
                <w:noProof/>
              </w:rPr>
            </w:pPr>
            <w:r>
              <w:rPr>
                <w:noProof/>
              </w:rPr>
              <w:t xml:space="preserve">Investissement 1: Mise en œuvre du programme d’études révisé et compétences numériques des enseignants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403CA025" w14:textId="77777777" w:rsidR="00025543" w:rsidRDefault="007E3A2F">
            <w:pPr>
              <w:pStyle w:val="P68B1DB1-Normal16"/>
              <w:spacing w:line="240" w:lineRule="auto"/>
              <w:rPr>
                <w:noProof/>
              </w:rPr>
            </w:pPr>
            <w:r>
              <w:rPr>
                <w:noProof/>
              </w:rPr>
              <w:t>Étapes</w:t>
            </w:r>
          </w:p>
        </w:tc>
        <w:tc>
          <w:tcPr>
            <w:tcW w:w="1560" w:type="dxa"/>
            <w:tcBorders>
              <w:top w:val="single" w:sz="8" w:space="0" w:color="auto"/>
              <w:left w:val="single" w:sz="8" w:space="0" w:color="auto"/>
              <w:bottom w:val="single" w:sz="8" w:space="0" w:color="auto"/>
              <w:right w:val="single" w:sz="8" w:space="0" w:color="auto"/>
            </w:tcBorders>
            <w:shd w:val="clear" w:color="auto" w:fill="C6EFCE"/>
            <w:vAlign w:val="center"/>
          </w:tcPr>
          <w:p w14:paraId="70D87432" w14:textId="77777777" w:rsidR="00025543" w:rsidRDefault="007E3A2F">
            <w:pPr>
              <w:pStyle w:val="P68B1DB1-Normal16"/>
              <w:spacing w:line="240" w:lineRule="auto"/>
              <w:rPr>
                <w:noProof/>
              </w:rPr>
            </w:pPr>
            <w:r>
              <w:rPr>
                <w:noProof/>
              </w:rPr>
              <w:t xml:space="preserve">Création d’une plateforme numérique pour un partage efficace des ressources éducatives </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14:paraId="3AEE8A51" w14:textId="77777777" w:rsidR="00025543" w:rsidRDefault="007E3A2F">
            <w:pPr>
              <w:pStyle w:val="P68B1DB1-Normal16"/>
              <w:spacing w:line="240" w:lineRule="auto"/>
              <w:rPr>
                <w:noProof/>
              </w:rPr>
            </w:pPr>
            <w:r>
              <w:rPr>
                <w:noProof/>
              </w:rPr>
              <w:t xml:space="preserve">Une plateforme numérique pleinement opérationnelle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C3D0B7B" w14:textId="77777777" w:rsidR="00025543" w:rsidRDefault="00025543">
            <w:pPr>
              <w:spacing w:line="240" w:lineRule="auto"/>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7CEE6783" w14:textId="77777777" w:rsidR="00025543" w:rsidRDefault="00025543">
            <w:pPr>
              <w:spacing w:line="240" w:lineRule="auto"/>
              <w:jc w:val="center"/>
              <w:rPr>
                <w:noProof/>
                <w:color w:val="004300"/>
                <w:sz w:val="18"/>
              </w:rPr>
            </w:pPr>
          </w:p>
        </w:tc>
        <w:tc>
          <w:tcPr>
            <w:tcW w:w="708" w:type="dxa"/>
            <w:tcBorders>
              <w:top w:val="single" w:sz="8" w:space="0" w:color="auto"/>
              <w:left w:val="single" w:sz="8" w:space="0" w:color="auto"/>
              <w:bottom w:val="single" w:sz="8" w:space="0" w:color="auto"/>
              <w:right w:val="single" w:sz="8" w:space="0" w:color="auto"/>
            </w:tcBorders>
            <w:shd w:val="clear" w:color="auto" w:fill="C6EFCE"/>
            <w:vAlign w:val="center"/>
          </w:tcPr>
          <w:p w14:paraId="61061A47" w14:textId="77777777" w:rsidR="00025543" w:rsidRDefault="00025543">
            <w:pPr>
              <w:spacing w:line="240" w:lineRule="auto"/>
              <w:jc w:val="center"/>
              <w:rPr>
                <w:noProof/>
                <w:color w:val="004300"/>
                <w:sz w:val="18"/>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422B0237" w14:textId="77777777" w:rsidR="00025543" w:rsidRDefault="007E3A2F">
            <w:pPr>
              <w:pStyle w:val="P68B1DB1-Normal16"/>
              <w:spacing w:line="240" w:lineRule="auto"/>
              <w:jc w:val="center"/>
              <w:rPr>
                <w:noProof/>
              </w:rPr>
            </w:pPr>
            <w:r>
              <w:rPr>
                <w:noProof/>
              </w:rPr>
              <w:t>TRIMESTRE 4</w:t>
            </w:r>
          </w:p>
        </w:tc>
        <w:tc>
          <w:tcPr>
            <w:tcW w:w="639" w:type="dxa"/>
            <w:tcBorders>
              <w:top w:val="single" w:sz="8" w:space="0" w:color="auto"/>
              <w:left w:val="single" w:sz="8" w:space="0" w:color="auto"/>
              <w:bottom w:val="single" w:sz="8" w:space="0" w:color="auto"/>
              <w:right w:val="single" w:sz="8" w:space="0" w:color="auto"/>
            </w:tcBorders>
            <w:shd w:val="clear" w:color="auto" w:fill="C6EFCE"/>
            <w:vAlign w:val="center"/>
          </w:tcPr>
          <w:p w14:paraId="0700CB74" w14:textId="77777777" w:rsidR="00025543" w:rsidRDefault="007E3A2F">
            <w:pPr>
              <w:pStyle w:val="P68B1DB1-Normal16"/>
              <w:spacing w:line="240" w:lineRule="auto"/>
              <w:jc w:val="center"/>
              <w:rPr>
                <w:noProof/>
              </w:rPr>
            </w:pPr>
            <w:r>
              <w:rPr>
                <w:noProof/>
              </w:rPr>
              <w:t>2024</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4489E1F4" w14:textId="77777777" w:rsidR="00025543" w:rsidRDefault="007E3A2F">
            <w:pPr>
              <w:pStyle w:val="P68B1DB1-Normal16"/>
              <w:spacing w:line="240" w:lineRule="auto"/>
              <w:rPr>
                <w:noProof/>
              </w:rPr>
            </w:pPr>
            <w:r>
              <w:rPr>
                <w:noProof/>
              </w:rPr>
              <w:t xml:space="preserve">La plateforme numérique placée sous la responsabilité du ministère de l’éducation, de la jeunesse et des sports permettra aux enseignants d’accéder aux contenus éducatifs existants (par exemple, ressources éducatives numériques, webinaires, cours d’apprentissage en ligne). Il établit des liens vers les bases de données existantes de matériel éducatif numérique.  </w:t>
            </w:r>
          </w:p>
        </w:tc>
      </w:tr>
      <w:tr w:rsidR="00025543" w14:paraId="697F2287" w14:textId="77777777">
        <w:trPr>
          <w:trHeight w:val="340"/>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4CDCC377" w14:textId="77777777" w:rsidR="00025543" w:rsidRDefault="007E3A2F">
            <w:pPr>
              <w:pStyle w:val="P68B1DB1-Normal16"/>
              <w:spacing w:line="240" w:lineRule="auto"/>
              <w:jc w:val="center"/>
              <w:rPr>
                <w:noProof/>
              </w:rPr>
            </w:pPr>
            <w:r>
              <w:rPr>
                <w:noProof/>
              </w:rPr>
              <w:t>171</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4C4396DA" w14:textId="77777777" w:rsidR="00025543" w:rsidRDefault="007E3A2F">
            <w:pPr>
              <w:pStyle w:val="P68B1DB1-Normal16"/>
              <w:spacing w:line="240" w:lineRule="auto"/>
              <w:rPr>
                <w:noProof/>
              </w:rPr>
            </w:pPr>
            <w:r>
              <w:rPr>
                <w:noProof/>
              </w:rPr>
              <w:t>Investissement 1: Mise en œuvre du programme d’études révisé et compétences numériques des enseignants</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7FF153E" w14:textId="77777777" w:rsidR="00025543" w:rsidRDefault="007E3A2F">
            <w:pPr>
              <w:pStyle w:val="P68B1DB1-Normal16"/>
              <w:spacing w:line="240" w:lineRule="auto"/>
              <w:rPr>
                <w:noProof/>
              </w:rPr>
            </w:pPr>
            <w:r>
              <w:rPr>
                <w:noProof/>
              </w:rPr>
              <w:t xml:space="preserve">Cible </w:t>
            </w:r>
          </w:p>
        </w:tc>
        <w:tc>
          <w:tcPr>
            <w:tcW w:w="1560" w:type="dxa"/>
            <w:tcBorders>
              <w:top w:val="single" w:sz="8" w:space="0" w:color="auto"/>
              <w:left w:val="single" w:sz="8" w:space="0" w:color="auto"/>
              <w:bottom w:val="single" w:sz="8" w:space="0" w:color="auto"/>
              <w:right w:val="single" w:sz="8" w:space="0" w:color="auto"/>
            </w:tcBorders>
            <w:shd w:val="clear" w:color="auto" w:fill="C6EFCE"/>
            <w:vAlign w:val="center"/>
          </w:tcPr>
          <w:p w14:paraId="6FDEC283" w14:textId="38A3DD34" w:rsidR="00025543" w:rsidRDefault="007E3A2F">
            <w:pPr>
              <w:pStyle w:val="P68B1DB1-Normal16"/>
              <w:spacing w:line="240" w:lineRule="auto"/>
              <w:rPr>
                <w:noProof/>
              </w:rPr>
            </w:pPr>
            <w:r>
              <w:rPr>
                <w:noProof/>
              </w:rPr>
              <w:t xml:space="preserve">Nombre d’écoles ayant bénéficié d’un soutien pour la mise en œuvre de nouveaux programmes informatiques (compétences numériques des enseignants et orientation) </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14:paraId="4FD9175F" w14:textId="77777777" w:rsidR="00025543" w:rsidRDefault="00025543">
            <w:pPr>
              <w:spacing w:line="240" w:lineRule="auto"/>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662740C" w14:textId="77777777" w:rsidR="00025543" w:rsidRDefault="007E3A2F">
            <w:pPr>
              <w:pStyle w:val="P68B1DB1-Normal16"/>
              <w:spacing w:line="240" w:lineRule="auto"/>
              <w:rPr>
                <w:noProof/>
              </w:rPr>
            </w:pPr>
            <w:r>
              <w:rPr>
                <w:noProof/>
              </w:rPr>
              <w:t xml:space="preserve">Numéro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1A0AD6B7" w14:textId="77777777" w:rsidR="00025543" w:rsidRDefault="007E3A2F">
            <w:pPr>
              <w:pStyle w:val="P68B1DB1-Normal16"/>
              <w:spacing w:line="240" w:lineRule="auto"/>
              <w:jc w:val="center"/>
              <w:rPr>
                <w:noProof/>
              </w:rPr>
            </w:pPr>
            <w:r>
              <w:rPr>
                <w:noProof/>
              </w:rPr>
              <w:t>0</w:t>
            </w:r>
          </w:p>
        </w:tc>
        <w:tc>
          <w:tcPr>
            <w:tcW w:w="708" w:type="dxa"/>
            <w:tcBorders>
              <w:top w:val="single" w:sz="8" w:space="0" w:color="auto"/>
              <w:left w:val="single" w:sz="8" w:space="0" w:color="auto"/>
              <w:bottom w:val="single" w:sz="8" w:space="0" w:color="auto"/>
              <w:right w:val="single" w:sz="8" w:space="0" w:color="auto"/>
            </w:tcBorders>
            <w:shd w:val="clear" w:color="auto" w:fill="C6EFCE"/>
            <w:vAlign w:val="center"/>
          </w:tcPr>
          <w:p w14:paraId="2CDBE29A" w14:textId="77777777" w:rsidR="00025543" w:rsidRDefault="007E3A2F">
            <w:pPr>
              <w:pStyle w:val="P68B1DB1-Normal16"/>
              <w:spacing w:line="240" w:lineRule="auto"/>
              <w:jc w:val="center"/>
              <w:rPr>
                <w:noProof/>
              </w:rPr>
            </w:pPr>
            <w:r>
              <w:rPr>
                <w:noProof/>
              </w:rPr>
              <w:t>4 000</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0A9109A9" w14:textId="77777777" w:rsidR="00025543" w:rsidRDefault="007E3A2F">
            <w:pPr>
              <w:pStyle w:val="P68B1DB1-Normal16"/>
              <w:spacing w:line="240" w:lineRule="auto"/>
              <w:jc w:val="center"/>
              <w:rPr>
                <w:noProof/>
              </w:rPr>
            </w:pPr>
            <w:r>
              <w:rPr>
                <w:noProof/>
              </w:rPr>
              <w:t>TRIMESTRE 1</w:t>
            </w:r>
          </w:p>
        </w:tc>
        <w:tc>
          <w:tcPr>
            <w:tcW w:w="639" w:type="dxa"/>
            <w:tcBorders>
              <w:top w:val="single" w:sz="8" w:space="0" w:color="auto"/>
              <w:left w:val="single" w:sz="8" w:space="0" w:color="auto"/>
              <w:bottom w:val="single" w:sz="8" w:space="0" w:color="auto"/>
              <w:right w:val="single" w:sz="8" w:space="0" w:color="auto"/>
            </w:tcBorders>
            <w:shd w:val="clear" w:color="auto" w:fill="C6EFCE"/>
            <w:vAlign w:val="center"/>
          </w:tcPr>
          <w:p w14:paraId="792C5874" w14:textId="77777777" w:rsidR="00025543" w:rsidRDefault="007E3A2F">
            <w:pPr>
              <w:pStyle w:val="P68B1DB1-Normal16"/>
              <w:spacing w:line="240" w:lineRule="auto"/>
              <w:jc w:val="center"/>
              <w:rPr>
                <w:noProof/>
              </w:rPr>
            </w:pPr>
            <w:r>
              <w:rPr>
                <w:noProof/>
              </w:rPr>
              <w:t>2026</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354A65F5" w14:textId="77777777" w:rsidR="00025543" w:rsidRDefault="007E3A2F">
            <w:pPr>
              <w:pStyle w:val="P68B1DB1-Normal16"/>
              <w:spacing w:line="240" w:lineRule="auto"/>
              <w:rPr>
                <w:noProof/>
              </w:rPr>
            </w:pPr>
            <w:r>
              <w:rPr>
                <w:noProof/>
              </w:rPr>
              <w:t xml:space="preserve">Le soutien à la mise en œuvre des nouveaux programmes s’adresse aux établissements d’enseignement primaire et secondaire inférieur. Il se compose de: </w:t>
            </w:r>
          </w:p>
          <w:p w14:paraId="02363FC0" w14:textId="77777777" w:rsidR="00025543" w:rsidRDefault="007E3A2F">
            <w:pPr>
              <w:pStyle w:val="P68B1DB1-Normal16"/>
              <w:numPr>
                <w:ilvl w:val="0"/>
                <w:numId w:val="178"/>
              </w:numPr>
              <w:spacing w:after="0" w:line="259" w:lineRule="auto"/>
              <w:contextualSpacing/>
              <w:rPr>
                <w:noProof/>
              </w:rPr>
            </w:pPr>
            <w:r>
              <w:rPr>
                <w:noProof/>
              </w:rPr>
              <w:t>formation des enseignants aux compétences numériques et à la maîtrise des technologies de l’information</w:t>
            </w:r>
          </w:p>
          <w:p w14:paraId="763850C2" w14:textId="77777777" w:rsidR="00025543" w:rsidRDefault="007E3A2F">
            <w:pPr>
              <w:pStyle w:val="P68B1DB1-Normal16"/>
              <w:numPr>
                <w:ilvl w:val="0"/>
                <w:numId w:val="178"/>
              </w:numPr>
              <w:spacing w:after="0" w:line="259" w:lineRule="auto"/>
              <w:contextualSpacing/>
              <w:rPr>
                <w:noProof/>
              </w:rPr>
            </w:pPr>
            <w:r>
              <w:rPr>
                <w:noProof/>
              </w:rPr>
              <w:t>orientation (ateliers, webinaires, conseils individuels) à l’intention des directeurs d’établissement, des coordinateurs TIC des écoles, des coordinateurs de programmes d’études et des enseignants informatiques</w:t>
            </w:r>
          </w:p>
        </w:tc>
      </w:tr>
      <w:tr w:rsidR="00025543" w14:paraId="19762857" w14:textId="77777777">
        <w:trPr>
          <w:trHeight w:val="309"/>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4D5C9625" w14:textId="77777777" w:rsidR="00025543" w:rsidRDefault="007E3A2F">
            <w:pPr>
              <w:pStyle w:val="P68B1DB1-Normal16"/>
              <w:spacing w:line="240" w:lineRule="auto"/>
              <w:jc w:val="center"/>
              <w:rPr>
                <w:noProof/>
              </w:rPr>
            </w:pPr>
            <w:r>
              <w:rPr>
                <w:noProof/>
              </w:rPr>
              <w:t>172</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73F8E201" w14:textId="77777777" w:rsidR="00025543" w:rsidRDefault="007E3A2F">
            <w:pPr>
              <w:pStyle w:val="P68B1DB1-Normal16"/>
              <w:spacing w:line="240" w:lineRule="auto"/>
              <w:rPr>
                <w:noProof/>
              </w:rPr>
            </w:pPr>
            <w:r>
              <w:rPr>
                <w:noProof/>
              </w:rPr>
              <w:t>Investissement 2: Équipement numérique pour les écoles</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E033507" w14:textId="77777777" w:rsidR="00025543" w:rsidRDefault="007E3A2F">
            <w:pPr>
              <w:pStyle w:val="P68B1DB1-Normal16"/>
              <w:spacing w:line="240" w:lineRule="auto"/>
              <w:rPr>
                <w:noProof/>
              </w:rPr>
            </w:pPr>
            <w:r>
              <w:rPr>
                <w:noProof/>
              </w:rPr>
              <w:t>Cible</w:t>
            </w:r>
          </w:p>
        </w:tc>
        <w:tc>
          <w:tcPr>
            <w:tcW w:w="1560" w:type="dxa"/>
            <w:tcBorders>
              <w:top w:val="single" w:sz="8" w:space="0" w:color="auto"/>
              <w:left w:val="single" w:sz="8" w:space="0" w:color="auto"/>
              <w:bottom w:val="single" w:sz="8" w:space="0" w:color="auto"/>
              <w:right w:val="single" w:sz="8" w:space="0" w:color="auto"/>
            </w:tcBorders>
            <w:shd w:val="clear" w:color="auto" w:fill="C6EFCE"/>
            <w:vAlign w:val="center"/>
          </w:tcPr>
          <w:p w14:paraId="4C162057" w14:textId="77777777" w:rsidR="00025543" w:rsidRDefault="007E3A2F">
            <w:pPr>
              <w:pStyle w:val="P68B1DB1-Normal16"/>
              <w:spacing w:line="240" w:lineRule="auto"/>
              <w:rPr>
                <w:noProof/>
              </w:rPr>
            </w:pPr>
            <w:r>
              <w:rPr>
                <w:noProof/>
              </w:rPr>
              <w:t xml:space="preserve">Nombre d’appareils numériques achetés par les écoles pour l’apprentissage à distance </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14:paraId="07E3786F" w14:textId="77777777" w:rsidR="00025543" w:rsidRDefault="00025543">
            <w:pPr>
              <w:spacing w:line="240" w:lineRule="auto"/>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C8FF119" w14:textId="77777777" w:rsidR="00025543" w:rsidRDefault="007E3A2F">
            <w:pPr>
              <w:pStyle w:val="P68B1DB1-Normal16"/>
              <w:spacing w:line="240" w:lineRule="auto"/>
              <w:rPr>
                <w:noProof/>
              </w:rPr>
            </w:pPr>
            <w:r>
              <w:rPr>
                <w:noProof/>
              </w:rPr>
              <w:t xml:space="preserve">Numéro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79211D73" w14:textId="77777777" w:rsidR="00025543" w:rsidRDefault="007E3A2F">
            <w:pPr>
              <w:pStyle w:val="P68B1DB1-Normal16"/>
              <w:spacing w:line="240" w:lineRule="auto"/>
              <w:jc w:val="center"/>
              <w:rPr>
                <w:noProof/>
              </w:rPr>
            </w:pPr>
            <w:r>
              <w:rPr>
                <w:noProof/>
              </w:rPr>
              <w:t>0</w:t>
            </w:r>
          </w:p>
        </w:tc>
        <w:tc>
          <w:tcPr>
            <w:tcW w:w="708" w:type="dxa"/>
            <w:tcBorders>
              <w:top w:val="single" w:sz="8" w:space="0" w:color="auto"/>
              <w:left w:val="single" w:sz="8" w:space="0" w:color="auto"/>
              <w:bottom w:val="single" w:sz="8" w:space="0" w:color="auto"/>
              <w:right w:val="single" w:sz="8" w:space="0" w:color="auto"/>
            </w:tcBorders>
            <w:shd w:val="clear" w:color="auto" w:fill="C6EFCE"/>
            <w:vAlign w:val="center"/>
          </w:tcPr>
          <w:p w14:paraId="0673CF06" w14:textId="77777777" w:rsidR="00025543" w:rsidRDefault="007E3A2F">
            <w:pPr>
              <w:pStyle w:val="P68B1DB1-Normal16"/>
              <w:spacing w:line="240" w:lineRule="auto"/>
              <w:jc w:val="center"/>
              <w:rPr>
                <w:noProof/>
              </w:rPr>
            </w:pPr>
            <w:r>
              <w:rPr>
                <w:noProof/>
              </w:rPr>
              <w:t>74000</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23D9D19A" w14:textId="77777777" w:rsidR="00025543" w:rsidRDefault="007E3A2F">
            <w:pPr>
              <w:pStyle w:val="P68B1DB1-Normal16"/>
              <w:spacing w:line="240" w:lineRule="auto"/>
              <w:jc w:val="center"/>
              <w:rPr>
                <w:noProof/>
              </w:rPr>
            </w:pPr>
            <w:r>
              <w:rPr>
                <w:noProof/>
              </w:rPr>
              <w:t>TRIMESTRE 4</w:t>
            </w:r>
          </w:p>
        </w:tc>
        <w:tc>
          <w:tcPr>
            <w:tcW w:w="639" w:type="dxa"/>
            <w:tcBorders>
              <w:top w:val="single" w:sz="8" w:space="0" w:color="auto"/>
              <w:left w:val="single" w:sz="8" w:space="0" w:color="auto"/>
              <w:bottom w:val="single" w:sz="8" w:space="0" w:color="auto"/>
              <w:right w:val="single" w:sz="8" w:space="0" w:color="auto"/>
            </w:tcBorders>
            <w:shd w:val="clear" w:color="auto" w:fill="C6EFCE"/>
            <w:vAlign w:val="center"/>
          </w:tcPr>
          <w:p w14:paraId="764AD22A" w14:textId="77777777" w:rsidR="00025543" w:rsidRDefault="007E3A2F">
            <w:pPr>
              <w:pStyle w:val="P68B1DB1-Normal16"/>
              <w:spacing w:line="240" w:lineRule="auto"/>
              <w:jc w:val="center"/>
              <w:rPr>
                <w:noProof/>
              </w:rPr>
            </w:pPr>
            <w:r>
              <w:rPr>
                <w:noProof/>
              </w:rPr>
              <w:t>2020</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2F6D9191" w14:textId="6B66E273" w:rsidR="00025543" w:rsidRDefault="007E3A2F">
            <w:pPr>
              <w:pStyle w:val="P68B1DB1-Normal16"/>
              <w:spacing w:line="240" w:lineRule="auto"/>
              <w:rPr>
                <w:noProof/>
              </w:rPr>
            </w:pPr>
            <w:r>
              <w:rPr>
                <w:noProof/>
              </w:rPr>
              <w:t>Au moins 74 000 appareils numériques (tablettes, ordinateurs portables, téléphones portables, etc.) sont achetés par les écoles pour l’apprentissage à distance. Au moins 4102 écoles primaires et secondaires ont bénéficié d’un financement pour le matériel informatique destiné à l’apprentissage à distance.</w:t>
            </w:r>
          </w:p>
        </w:tc>
      </w:tr>
      <w:tr w:rsidR="00025543" w14:paraId="4527F848" w14:textId="77777777">
        <w:trPr>
          <w:trHeight w:val="945"/>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64F66214" w14:textId="77777777" w:rsidR="00025543" w:rsidRDefault="007E3A2F">
            <w:pPr>
              <w:pStyle w:val="P68B1DB1-Normal16"/>
              <w:spacing w:line="240" w:lineRule="auto"/>
              <w:jc w:val="center"/>
              <w:rPr>
                <w:noProof/>
              </w:rPr>
            </w:pPr>
            <w:r>
              <w:rPr>
                <w:noProof/>
              </w:rPr>
              <w:t>173</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5B1D7640" w14:textId="77777777" w:rsidR="00025543" w:rsidRDefault="007E3A2F">
            <w:pPr>
              <w:pStyle w:val="P68B1DB1-Normal16"/>
              <w:spacing w:line="240" w:lineRule="auto"/>
              <w:rPr>
                <w:noProof/>
              </w:rPr>
            </w:pPr>
            <w:r>
              <w:rPr>
                <w:noProof/>
              </w:rPr>
              <w:t>Investissement 2: Équipement numérique pour les écoles</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144E5F0D" w14:textId="71C8EFF0" w:rsidR="00025543" w:rsidRDefault="007E3A2F">
            <w:pPr>
              <w:pStyle w:val="P68B1DB1-Normal35"/>
              <w:spacing w:line="240" w:lineRule="auto"/>
              <w:rPr>
                <w:noProof/>
                <w:color w:val="004300"/>
              </w:rPr>
            </w:pPr>
            <w:r>
              <w:rPr>
                <w:noProof/>
              </w:rPr>
              <w:t>Cible</w:t>
            </w:r>
          </w:p>
        </w:tc>
        <w:tc>
          <w:tcPr>
            <w:tcW w:w="1560" w:type="dxa"/>
            <w:tcBorders>
              <w:top w:val="single" w:sz="8" w:space="0" w:color="auto"/>
              <w:left w:val="single" w:sz="8" w:space="0" w:color="auto"/>
              <w:bottom w:val="single" w:sz="8" w:space="0" w:color="auto"/>
              <w:right w:val="single" w:sz="8" w:space="0" w:color="auto"/>
            </w:tcBorders>
            <w:shd w:val="clear" w:color="auto" w:fill="C6EFCE"/>
            <w:vAlign w:val="center"/>
          </w:tcPr>
          <w:p w14:paraId="1DA13B7C" w14:textId="77777777" w:rsidR="00025543" w:rsidRDefault="007E3A2F">
            <w:pPr>
              <w:pStyle w:val="P68B1DB1-Normal16"/>
              <w:spacing w:line="240" w:lineRule="auto"/>
              <w:rPr>
                <w:noProof/>
              </w:rPr>
            </w:pPr>
            <w:r>
              <w:rPr>
                <w:noProof/>
              </w:rPr>
              <w:t>Nombre d’appareils informatiques achetés pour le fonds scolaire d’appareils numériques mobiles destinés aux élèves défavorisés</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14:paraId="4D73BBA5" w14:textId="77777777" w:rsidR="00025543" w:rsidRDefault="00025543">
            <w:pPr>
              <w:spacing w:line="240" w:lineRule="auto"/>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BF27A3C" w14:textId="77777777" w:rsidR="00025543" w:rsidRDefault="007E3A2F">
            <w:pPr>
              <w:pStyle w:val="P68B1DB1-Normal16"/>
              <w:spacing w:line="240" w:lineRule="auto"/>
              <w:rPr>
                <w:noProof/>
              </w:rPr>
            </w:pPr>
            <w:r>
              <w:rPr>
                <w:noProof/>
              </w:rPr>
              <w:t xml:space="preserve">Numéro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0485312" w14:textId="77777777" w:rsidR="00025543" w:rsidRDefault="007E3A2F">
            <w:pPr>
              <w:pStyle w:val="P68B1DB1-Normal16"/>
              <w:spacing w:line="240" w:lineRule="auto"/>
              <w:jc w:val="center"/>
              <w:rPr>
                <w:noProof/>
              </w:rPr>
            </w:pPr>
            <w:r>
              <w:rPr>
                <w:noProof/>
              </w:rPr>
              <w:t>0</w:t>
            </w:r>
          </w:p>
        </w:tc>
        <w:tc>
          <w:tcPr>
            <w:tcW w:w="708" w:type="dxa"/>
            <w:tcBorders>
              <w:top w:val="single" w:sz="8" w:space="0" w:color="auto"/>
              <w:left w:val="single" w:sz="8" w:space="0" w:color="auto"/>
              <w:bottom w:val="single" w:sz="8" w:space="0" w:color="auto"/>
              <w:right w:val="single" w:sz="8" w:space="0" w:color="auto"/>
            </w:tcBorders>
            <w:shd w:val="clear" w:color="auto" w:fill="C6EFCE"/>
            <w:vAlign w:val="center"/>
          </w:tcPr>
          <w:p w14:paraId="01A7BC60" w14:textId="77777777" w:rsidR="00025543" w:rsidRDefault="007E3A2F">
            <w:pPr>
              <w:pStyle w:val="P68B1DB1-Normal16"/>
              <w:spacing w:line="240" w:lineRule="auto"/>
              <w:jc w:val="center"/>
              <w:rPr>
                <w:noProof/>
              </w:rPr>
            </w:pPr>
            <w:r>
              <w:rPr>
                <w:noProof/>
              </w:rPr>
              <w:t>70 000</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1AF25265" w14:textId="77777777" w:rsidR="00025543" w:rsidRDefault="007E3A2F">
            <w:pPr>
              <w:pStyle w:val="P68B1DB1-Normal16"/>
              <w:spacing w:line="240" w:lineRule="auto"/>
              <w:jc w:val="center"/>
              <w:rPr>
                <w:rFonts w:eastAsia="Times New Roman"/>
                <w:noProof/>
              </w:rPr>
            </w:pPr>
            <w:r>
              <w:rPr>
                <w:noProof/>
              </w:rPr>
              <w:t>TRIMESTRE 4</w:t>
            </w:r>
          </w:p>
        </w:tc>
        <w:tc>
          <w:tcPr>
            <w:tcW w:w="639" w:type="dxa"/>
            <w:tcBorders>
              <w:top w:val="single" w:sz="8" w:space="0" w:color="auto"/>
              <w:left w:val="single" w:sz="8" w:space="0" w:color="auto"/>
              <w:bottom w:val="single" w:sz="8" w:space="0" w:color="auto"/>
              <w:right w:val="single" w:sz="8" w:space="0" w:color="auto"/>
            </w:tcBorders>
            <w:shd w:val="clear" w:color="auto" w:fill="C6EFCE"/>
            <w:vAlign w:val="center"/>
          </w:tcPr>
          <w:p w14:paraId="5D4FA3EA" w14:textId="77777777" w:rsidR="00025543" w:rsidRDefault="007E3A2F">
            <w:pPr>
              <w:pStyle w:val="P68B1DB1-Normal16"/>
              <w:spacing w:line="240" w:lineRule="auto"/>
              <w:jc w:val="center"/>
              <w:rPr>
                <w:noProof/>
              </w:rPr>
            </w:pPr>
            <w:r>
              <w:rPr>
                <w:noProof/>
              </w:rPr>
              <w:t>2025</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53502854" w14:textId="7DBA0634" w:rsidR="00025543" w:rsidRDefault="007E3A2F">
            <w:pPr>
              <w:pStyle w:val="P68B1DB1-Normal16"/>
              <w:spacing w:line="240" w:lineRule="auto"/>
              <w:rPr>
                <w:noProof/>
              </w:rPr>
            </w:pPr>
            <w:r>
              <w:rPr>
                <w:noProof/>
              </w:rPr>
              <w:t xml:space="preserve">L’achat de 70 000 appareils aidera 70 000 élèves dans le besoin. Au moins 80 % des écoles ont mis en place un fonds pour les appareils numériques mobiles destinés aux élèves défavorisés. Cet équipement informatique s’ajoute à l’équipement visé à l’ </w:t>
            </w:r>
            <w:r>
              <w:rPr>
                <w:noProof/>
                <w:u w:val="single"/>
              </w:rPr>
              <w:t>objectif 172</w:t>
            </w:r>
            <w:r>
              <w:rPr>
                <w:noProof/>
              </w:rPr>
              <w:t xml:space="preserve">. </w:t>
            </w:r>
          </w:p>
        </w:tc>
      </w:tr>
      <w:tr w:rsidR="00025543" w14:paraId="5380297C" w14:textId="77777777">
        <w:trPr>
          <w:trHeight w:val="945"/>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296CACDD" w14:textId="77777777" w:rsidR="00025543" w:rsidRDefault="007E3A2F">
            <w:pPr>
              <w:pStyle w:val="P68B1DB1-Normal16"/>
              <w:spacing w:line="240" w:lineRule="auto"/>
              <w:jc w:val="center"/>
              <w:rPr>
                <w:noProof/>
              </w:rPr>
            </w:pPr>
            <w:r>
              <w:rPr>
                <w:noProof/>
              </w:rPr>
              <w:t>174</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4930516F" w14:textId="77777777" w:rsidR="00025543" w:rsidRDefault="007E3A2F">
            <w:pPr>
              <w:pStyle w:val="P68B1DB1-Normal16"/>
              <w:spacing w:line="240" w:lineRule="auto"/>
              <w:rPr>
                <w:noProof/>
              </w:rPr>
            </w:pPr>
            <w:r>
              <w:rPr>
                <w:noProof/>
              </w:rPr>
              <w:t>Investissement 2: Équipement numérique pour les écoles</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DB0DD2C" w14:textId="77777777" w:rsidR="00025543" w:rsidRDefault="007E3A2F">
            <w:pPr>
              <w:pStyle w:val="P68B1DB1-Normal16"/>
              <w:spacing w:line="240" w:lineRule="auto"/>
              <w:rPr>
                <w:noProof/>
              </w:rPr>
            </w:pPr>
            <w:r>
              <w:rPr>
                <w:noProof/>
              </w:rPr>
              <w:t>Cible</w:t>
            </w:r>
          </w:p>
        </w:tc>
        <w:tc>
          <w:tcPr>
            <w:tcW w:w="1560" w:type="dxa"/>
            <w:tcBorders>
              <w:top w:val="single" w:sz="8" w:space="0" w:color="auto"/>
              <w:left w:val="single" w:sz="8" w:space="0" w:color="auto"/>
              <w:bottom w:val="single" w:sz="8" w:space="0" w:color="auto"/>
              <w:right w:val="single" w:sz="8" w:space="0" w:color="auto"/>
            </w:tcBorders>
            <w:shd w:val="clear" w:color="auto" w:fill="C6EFCE"/>
            <w:vAlign w:val="center"/>
          </w:tcPr>
          <w:p w14:paraId="6521D69F" w14:textId="77777777" w:rsidR="00025543" w:rsidRDefault="007E3A2F">
            <w:pPr>
              <w:pStyle w:val="P68B1DB1-Normal16"/>
              <w:spacing w:line="240" w:lineRule="auto"/>
              <w:rPr>
                <w:noProof/>
              </w:rPr>
            </w:pPr>
            <w:r>
              <w:rPr>
                <w:noProof/>
              </w:rPr>
              <w:t xml:space="preserve">Nombre d’écoles bénéficiant d’un soutien au moyen de technologies et d’équipements numériques afin de promouvoir l’habileté numérique et de mettre en œuvre les nouveaux programmes informatiques </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14:paraId="5E337258" w14:textId="77777777" w:rsidR="00025543" w:rsidRDefault="00025543">
            <w:pPr>
              <w:spacing w:line="240" w:lineRule="auto"/>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76B678FA" w14:textId="77777777" w:rsidR="00025543" w:rsidRDefault="007E3A2F">
            <w:pPr>
              <w:pStyle w:val="P68B1DB1-Normal16"/>
              <w:spacing w:line="240" w:lineRule="auto"/>
              <w:rPr>
                <w:noProof/>
              </w:rPr>
            </w:pPr>
            <w:r>
              <w:rPr>
                <w:noProof/>
              </w:rPr>
              <w:t xml:space="preserve">Numéro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14BF4F2" w14:textId="77777777" w:rsidR="00025543" w:rsidRDefault="007E3A2F">
            <w:pPr>
              <w:pStyle w:val="P68B1DB1-Normal16"/>
              <w:spacing w:line="240" w:lineRule="auto"/>
              <w:jc w:val="center"/>
              <w:rPr>
                <w:noProof/>
              </w:rPr>
            </w:pPr>
            <w:r>
              <w:rPr>
                <w:noProof/>
              </w:rPr>
              <w:t>0</w:t>
            </w:r>
          </w:p>
        </w:tc>
        <w:tc>
          <w:tcPr>
            <w:tcW w:w="708" w:type="dxa"/>
            <w:tcBorders>
              <w:top w:val="single" w:sz="8" w:space="0" w:color="auto"/>
              <w:left w:val="single" w:sz="8" w:space="0" w:color="auto"/>
              <w:bottom w:val="single" w:sz="8" w:space="0" w:color="auto"/>
              <w:right w:val="single" w:sz="8" w:space="0" w:color="auto"/>
            </w:tcBorders>
            <w:shd w:val="clear" w:color="auto" w:fill="C6EFCE"/>
            <w:vAlign w:val="center"/>
          </w:tcPr>
          <w:p w14:paraId="6A00D7EE" w14:textId="77777777" w:rsidR="00025543" w:rsidRDefault="007E3A2F">
            <w:pPr>
              <w:pStyle w:val="P68B1DB1-Normal16"/>
              <w:spacing w:line="240" w:lineRule="auto"/>
              <w:jc w:val="center"/>
              <w:rPr>
                <w:noProof/>
              </w:rPr>
            </w:pPr>
            <w:r>
              <w:rPr>
                <w:noProof/>
              </w:rPr>
              <w:t>9 260</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3D68B481" w14:textId="77777777" w:rsidR="00025543" w:rsidRDefault="007E3A2F">
            <w:pPr>
              <w:pStyle w:val="P68B1DB1-Normal16"/>
              <w:spacing w:line="240" w:lineRule="auto"/>
              <w:jc w:val="center"/>
              <w:rPr>
                <w:rFonts w:eastAsia="Times New Roman"/>
                <w:noProof/>
              </w:rPr>
            </w:pPr>
            <w:r>
              <w:rPr>
                <w:noProof/>
              </w:rPr>
              <w:t>TRIMESTRE 1</w:t>
            </w:r>
          </w:p>
        </w:tc>
        <w:tc>
          <w:tcPr>
            <w:tcW w:w="639" w:type="dxa"/>
            <w:tcBorders>
              <w:top w:val="single" w:sz="8" w:space="0" w:color="auto"/>
              <w:left w:val="single" w:sz="8" w:space="0" w:color="auto"/>
              <w:bottom w:val="single" w:sz="8" w:space="0" w:color="auto"/>
              <w:right w:val="single" w:sz="8" w:space="0" w:color="auto"/>
            </w:tcBorders>
            <w:shd w:val="clear" w:color="auto" w:fill="C6EFCE"/>
            <w:vAlign w:val="center"/>
          </w:tcPr>
          <w:p w14:paraId="74E19A0B" w14:textId="77777777" w:rsidR="00025543" w:rsidRDefault="007E3A2F">
            <w:pPr>
              <w:pStyle w:val="P68B1DB1-Normal16"/>
              <w:spacing w:line="240" w:lineRule="auto"/>
              <w:jc w:val="center"/>
              <w:rPr>
                <w:noProof/>
              </w:rPr>
            </w:pPr>
            <w:r>
              <w:rPr>
                <w:noProof/>
              </w:rPr>
              <w:t>2024</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0DDF8864" w14:textId="77777777" w:rsidR="00025543" w:rsidRDefault="007E3A2F">
            <w:pPr>
              <w:pStyle w:val="P68B1DB1-Normal16"/>
              <w:spacing w:line="240" w:lineRule="auto"/>
              <w:rPr>
                <w:noProof/>
              </w:rPr>
            </w:pPr>
            <w:r>
              <w:rPr>
                <w:noProof/>
              </w:rPr>
              <w:t xml:space="preserve">Sur un total d’environ 10 000 écoles, au moins 9 260 écoles sont équipées des technologies numériques de base et avancées nécessaires à la promotion de l’habileté numérique et à l’enseignement de la nouvelle informatique conformément aux programmes d’études révisés. </w:t>
            </w:r>
          </w:p>
        </w:tc>
      </w:tr>
      <w:tr w:rsidR="00025543" w14:paraId="642C1E4C" w14:textId="77777777">
        <w:trPr>
          <w:trHeight w:val="437"/>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76C46CFC" w14:textId="77777777" w:rsidR="00025543" w:rsidRDefault="007E3A2F">
            <w:pPr>
              <w:pStyle w:val="P68B1DB1-Normal16"/>
              <w:spacing w:line="240" w:lineRule="auto"/>
              <w:jc w:val="center"/>
              <w:rPr>
                <w:noProof/>
              </w:rPr>
            </w:pPr>
            <w:r>
              <w:rPr>
                <w:noProof/>
              </w:rPr>
              <w:t>175</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6895F1CF" w14:textId="77777777" w:rsidR="00025543" w:rsidRDefault="007E3A2F">
            <w:pPr>
              <w:pStyle w:val="P68B1DB1-Normal16"/>
              <w:spacing w:line="240" w:lineRule="auto"/>
              <w:rPr>
                <w:noProof/>
              </w:rPr>
            </w:pPr>
            <w:r>
              <w:rPr>
                <w:noProof/>
              </w:rPr>
              <w:t>Investissement 2: Équipement numérique pour les écoles</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B6A928D" w14:textId="77777777" w:rsidR="00025543" w:rsidRDefault="007E3A2F">
            <w:pPr>
              <w:pStyle w:val="P68B1DB1-Normal16"/>
              <w:spacing w:line="240" w:lineRule="auto"/>
              <w:rPr>
                <w:noProof/>
              </w:rPr>
            </w:pPr>
            <w:r>
              <w:rPr>
                <w:noProof/>
              </w:rPr>
              <w:t>Cible</w:t>
            </w:r>
          </w:p>
        </w:tc>
        <w:tc>
          <w:tcPr>
            <w:tcW w:w="1560" w:type="dxa"/>
            <w:tcBorders>
              <w:top w:val="single" w:sz="8" w:space="0" w:color="auto"/>
              <w:left w:val="single" w:sz="8" w:space="0" w:color="auto"/>
              <w:bottom w:val="single" w:sz="8" w:space="0" w:color="auto"/>
              <w:right w:val="single" w:sz="8" w:space="0" w:color="auto"/>
            </w:tcBorders>
            <w:shd w:val="clear" w:color="auto" w:fill="C6EFCE"/>
            <w:vAlign w:val="center"/>
          </w:tcPr>
          <w:p w14:paraId="22850AD5" w14:textId="77777777" w:rsidR="00025543" w:rsidRDefault="007E3A2F">
            <w:pPr>
              <w:pStyle w:val="P68B1DB1-Normal16"/>
              <w:spacing w:line="240" w:lineRule="auto"/>
              <w:rPr>
                <w:noProof/>
              </w:rPr>
            </w:pPr>
            <w:r>
              <w:rPr>
                <w:noProof/>
              </w:rPr>
              <w:t xml:space="preserve">Nombre d’écoles bénéficiant d’un soutien en matière de conseil et de tutorat sur le matériel informatique et les systèmes informatiques internes </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14:paraId="64FD5E86" w14:textId="77777777" w:rsidR="00025543" w:rsidRDefault="00025543">
            <w:pPr>
              <w:spacing w:line="240" w:lineRule="auto"/>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7203004" w14:textId="77777777" w:rsidR="00025543" w:rsidRDefault="007E3A2F">
            <w:pPr>
              <w:pStyle w:val="P68B1DB1-Normal16"/>
              <w:spacing w:line="240" w:lineRule="auto"/>
              <w:rPr>
                <w:noProof/>
              </w:rPr>
            </w:pPr>
            <w:r>
              <w:rPr>
                <w:noProof/>
              </w:rPr>
              <w:t xml:space="preserve">Numéro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8DEF486" w14:textId="77777777" w:rsidR="00025543" w:rsidRDefault="007E3A2F">
            <w:pPr>
              <w:pStyle w:val="P68B1DB1-Normal16"/>
              <w:spacing w:line="240" w:lineRule="auto"/>
              <w:jc w:val="center"/>
              <w:rPr>
                <w:noProof/>
              </w:rPr>
            </w:pPr>
            <w:r>
              <w:rPr>
                <w:noProof/>
              </w:rPr>
              <w:t>0</w:t>
            </w:r>
          </w:p>
        </w:tc>
        <w:tc>
          <w:tcPr>
            <w:tcW w:w="708" w:type="dxa"/>
            <w:tcBorders>
              <w:top w:val="single" w:sz="8" w:space="0" w:color="auto"/>
              <w:left w:val="single" w:sz="8" w:space="0" w:color="auto"/>
              <w:bottom w:val="single" w:sz="8" w:space="0" w:color="auto"/>
              <w:right w:val="single" w:sz="8" w:space="0" w:color="auto"/>
            </w:tcBorders>
            <w:shd w:val="clear" w:color="auto" w:fill="C6EFCE"/>
            <w:vAlign w:val="center"/>
          </w:tcPr>
          <w:p w14:paraId="7C57A82B" w14:textId="77777777" w:rsidR="00025543" w:rsidRDefault="007E3A2F">
            <w:pPr>
              <w:pStyle w:val="P68B1DB1-Normal16"/>
              <w:spacing w:line="240" w:lineRule="auto"/>
              <w:jc w:val="center"/>
              <w:rPr>
                <w:noProof/>
              </w:rPr>
            </w:pPr>
            <w:r>
              <w:rPr>
                <w:noProof/>
              </w:rPr>
              <w:t>1 120</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49DB849D" w14:textId="77777777" w:rsidR="00025543" w:rsidRDefault="007E3A2F">
            <w:pPr>
              <w:pStyle w:val="P68B1DB1-Normal16"/>
              <w:spacing w:line="240" w:lineRule="auto"/>
              <w:jc w:val="center"/>
              <w:rPr>
                <w:rFonts w:eastAsia="Times New Roman"/>
                <w:noProof/>
              </w:rPr>
            </w:pPr>
            <w:r>
              <w:rPr>
                <w:noProof/>
              </w:rPr>
              <w:t xml:space="preserve">  TRIMESTRE 1</w:t>
            </w:r>
          </w:p>
        </w:tc>
        <w:tc>
          <w:tcPr>
            <w:tcW w:w="639" w:type="dxa"/>
            <w:tcBorders>
              <w:top w:val="single" w:sz="8" w:space="0" w:color="auto"/>
              <w:left w:val="single" w:sz="8" w:space="0" w:color="auto"/>
              <w:bottom w:val="single" w:sz="8" w:space="0" w:color="auto"/>
              <w:right w:val="single" w:sz="8" w:space="0" w:color="auto"/>
            </w:tcBorders>
            <w:shd w:val="clear" w:color="auto" w:fill="C6EFCE"/>
            <w:vAlign w:val="center"/>
          </w:tcPr>
          <w:p w14:paraId="057B52C8" w14:textId="77777777" w:rsidR="00025543" w:rsidRDefault="007E3A2F">
            <w:pPr>
              <w:pStyle w:val="P68B1DB1-Normal16"/>
              <w:spacing w:line="240" w:lineRule="auto"/>
              <w:jc w:val="center"/>
              <w:rPr>
                <w:noProof/>
              </w:rPr>
            </w:pPr>
            <w:r>
              <w:rPr>
                <w:noProof/>
              </w:rPr>
              <w:t>2026</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67236AAA" w14:textId="77777777" w:rsidR="00025543" w:rsidRDefault="007E3A2F">
            <w:pPr>
              <w:pStyle w:val="P68B1DB1-Normal16"/>
              <w:spacing w:line="240" w:lineRule="auto"/>
              <w:rPr>
                <w:noProof/>
              </w:rPr>
            </w:pPr>
            <w:r>
              <w:rPr>
                <w:noProof/>
              </w:rPr>
              <w:t xml:space="preserve">Au niveau régional, un réseau de conseillers informatiques régionaux fournit un tutorat et des conseils ciblés à au moins 1120 écoles sur l’achat d’équipements informatiques, la connectivité, la mise en place d’une administration informatique et des réseaux scolaires internes. </w:t>
            </w:r>
          </w:p>
          <w:p w14:paraId="54BFFBCF" w14:textId="77777777" w:rsidR="00025543" w:rsidRDefault="007E3A2F">
            <w:pPr>
              <w:pStyle w:val="P68B1DB1-Normal16"/>
              <w:spacing w:line="240" w:lineRule="auto"/>
              <w:rPr>
                <w:noProof/>
              </w:rPr>
            </w:pPr>
            <w:r>
              <w:rPr>
                <w:noProof/>
              </w:rPr>
              <w:t xml:space="preserve">Les conseils fournis par l’intermédiaire des conseillers informatiques régionaux sont complétés par des orientations méthodologiques centralisées, telles qu’un site web spécifique, des webinaires, le partage de bonnes pratiques et des outils d’évaluation en ligne. </w:t>
            </w:r>
          </w:p>
        </w:tc>
      </w:tr>
    </w:tbl>
    <w:p w14:paraId="0B932B3F" w14:textId="77777777" w:rsidR="00025543" w:rsidRDefault="00025543">
      <w:pPr>
        <w:keepNext/>
        <w:tabs>
          <w:tab w:val="left" w:pos="850"/>
        </w:tabs>
        <w:spacing w:before="360" w:line="240" w:lineRule="auto"/>
        <w:jc w:val="both"/>
        <w:outlineLvl w:val="0"/>
        <w:rPr>
          <w:b/>
          <w:smallCaps/>
          <w:noProof/>
        </w:rPr>
        <w:sectPr w:rsidR="00025543" w:rsidSect="003A6FF0">
          <w:headerReference w:type="even" r:id="rId288"/>
          <w:headerReference w:type="default" r:id="rId289"/>
          <w:footerReference w:type="even" r:id="rId290"/>
          <w:footerReference w:type="default" r:id="rId291"/>
          <w:headerReference w:type="first" r:id="rId292"/>
          <w:footerReference w:type="first" r:id="rId293"/>
          <w:pgSz w:w="16839" w:h="11907" w:orient="landscape"/>
          <w:pgMar w:top="1134" w:right="1134" w:bottom="1134" w:left="1134" w:header="567" w:footer="567" w:gutter="0"/>
          <w:cols w:space="720"/>
          <w:docGrid w:linePitch="326"/>
        </w:sectPr>
      </w:pPr>
    </w:p>
    <w:p w14:paraId="27EEB700" w14:textId="534C916A" w:rsidR="00025543" w:rsidRDefault="007E3A2F">
      <w:pPr>
        <w:pStyle w:val="P68B1DB1-Normal2"/>
        <w:keepNext/>
        <w:tabs>
          <w:tab w:val="left" w:pos="850"/>
        </w:tabs>
        <w:spacing w:line="240" w:lineRule="auto"/>
        <w:jc w:val="both"/>
        <w:outlineLvl w:val="0"/>
        <w:rPr>
          <w:noProof/>
        </w:rPr>
      </w:pPr>
      <w:r>
        <w:rPr>
          <w:noProof/>
        </w:rPr>
        <w:t>VOLET S 3.2: Adaptation des programmes scolaires</w:t>
      </w:r>
    </w:p>
    <w:p w14:paraId="0BEF4DCD" w14:textId="77777777" w:rsidR="00025543" w:rsidRDefault="007E3A2F">
      <w:pPr>
        <w:pStyle w:val="P68B1DB1-Normal3"/>
        <w:spacing w:line="240" w:lineRule="auto"/>
        <w:jc w:val="both"/>
        <w:rPr>
          <w:noProof/>
        </w:rPr>
      </w:pPr>
      <w:r>
        <w:rPr>
          <w:noProof/>
        </w:rPr>
        <w:t>Ce volet du plan pour la reprise et la résilience de la République tchèque contribue à relever les défis dans les domaines de l’enseignement supérieur, de l’enseignement primaire et du premier cycle de l’enseignement secondaire, respectivement. Au niveau de l’enseignement supérieur, ce volet vise à accroître les capacités des universités et à adapter les programmes d’études à de nouvelles formes d’apprentissage et à de nouveaux domaines, en particulier l’expertise numérique, en fonction de l’évolution des besoins du marché du travail. En outre, de nouvelles installations universitaires seront soutenues pour développer et moderniser l’enseignement supérieur dans le domaine des sciences médicales et pharmaceutiques. Au niveau de l’enseignement primaire et secondaire inférieur, ce volet vise à lutter contre les inégalités croissantes en matière d’éducation en fournissant un soutien à plusieurs niveaux aux écoles défavorisées, en dispensant des cours supplémentaires aux élèves exposés au risque d’échec et en renforçant les capacités des enseignants et des professionnels à enseigner des classes hétérogènes.</w:t>
      </w:r>
    </w:p>
    <w:p w14:paraId="768859EE" w14:textId="77777777" w:rsidR="00025543" w:rsidRDefault="007E3A2F">
      <w:pPr>
        <w:pStyle w:val="P68B1DB1-Normal3"/>
        <w:spacing w:line="240" w:lineRule="auto"/>
        <w:jc w:val="both"/>
        <w:rPr>
          <w:noProof/>
        </w:rPr>
      </w:pPr>
      <w:r>
        <w:rPr>
          <w:noProof/>
        </w:rPr>
        <w:t>Le volet soutient la mise en œuvre de la recommandation par pays no 2 et 2019, selon laquelle la Tchéquie améliore la qualité et le caractère inclusif des systèmes d’éducation et de formation, notamment en favorisant les compétences techniques et numériques et en promouvant la profession d’enseignant, et la recommandation par pays no 2, 2020, selon laquelle la Tchéquie soutient l’emploi par des politiques actives du marché du travail, l’offre de compétences, y compris numériques, et l’accès à l’apprentissage numérique.</w:t>
      </w:r>
    </w:p>
    <w:p w14:paraId="67EF02F5" w14:textId="77777777" w:rsidR="00025543" w:rsidRDefault="007E3A2F">
      <w:pPr>
        <w:pStyle w:val="P68B1DB1-Normal3"/>
        <w:spacing w:line="240" w:lineRule="auto"/>
        <w:jc w:val="both"/>
        <w:rPr>
          <w:noProof/>
        </w:rPr>
      </w:pPr>
      <w:r>
        <w:rPr>
          <w:noProof/>
        </w:rPr>
        <w:t>Aucune mesure relevant de ce volet ne devrait causer de préjudice important aux objectifs environnementaux au sens de l’article 17 du règlement (UE) 2020/852, compte tenu de la description des mesures et des mesures d’atténuation prévues dans le plan conformément aux orientations techniques DNSH (2021/C58/01).</w:t>
      </w:r>
    </w:p>
    <w:p w14:paraId="575168D0" w14:textId="77777777" w:rsidR="00025543" w:rsidRDefault="00025543">
      <w:pPr>
        <w:spacing w:line="240" w:lineRule="auto"/>
        <w:jc w:val="both"/>
        <w:rPr>
          <w:rFonts w:eastAsia="Times New Roman"/>
          <w:i/>
          <w:noProof/>
        </w:rPr>
      </w:pPr>
    </w:p>
    <w:p w14:paraId="692EDE68" w14:textId="29EECEBD" w:rsidR="00025543" w:rsidRDefault="007E3A2F">
      <w:pPr>
        <w:pStyle w:val="P68B1DB1-Normal32"/>
        <w:spacing w:line="240" w:lineRule="auto"/>
        <w:jc w:val="both"/>
        <w:rPr>
          <w:noProof/>
        </w:rPr>
      </w:pPr>
      <w:r>
        <w:rPr>
          <w:noProof/>
        </w:rPr>
        <w:t>S.1. Description des réformes et des investissements en vue du soutien financier non remboursable</w:t>
      </w:r>
    </w:p>
    <w:p w14:paraId="46173CBC" w14:textId="77777777" w:rsidR="00025543" w:rsidRDefault="007E3A2F">
      <w:pPr>
        <w:pStyle w:val="P68B1DB1-Normal26"/>
        <w:spacing w:line="240" w:lineRule="auto"/>
        <w:jc w:val="both"/>
        <w:rPr>
          <w:noProof/>
        </w:rPr>
      </w:pPr>
      <w:r>
        <w:rPr>
          <w:noProof/>
        </w:rPr>
        <w:t xml:space="preserve">Réforme 1: Transformation des universités pour s’adapter aux nouvelles formes d’apprentissage et à l’évolution des besoins du marché du travail </w:t>
      </w:r>
    </w:p>
    <w:p w14:paraId="0481C2EE" w14:textId="77777777" w:rsidR="00025543" w:rsidRDefault="007E3A2F">
      <w:pPr>
        <w:pStyle w:val="P68B1DB1-Normal3"/>
        <w:spacing w:line="240" w:lineRule="auto"/>
        <w:jc w:val="both"/>
        <w:rPr>
          <w:noProof/>
        </w:rPr>
      </w:pPr>
      <w:r>
        <w:rPr>
          <w:noProof/>
        </w:rPr>
        <w:t xml:space="preserve">L’objectif de la réforme est de lancer et d’accélérer la transformation des universités tant en ce qui concerne le contenu que les formes d’apprentissage. En ce qui concerne le contenu, l’éventail des programmes d’études doit être adapté aux nouvelles tendances et à l’évolution des besoins sur le marché du travail, en particulier à la transformation numérique. L’identification des secteurs prioritaires est effectuée au niveau national, en consultation avec les partenaires sociaux. L’orientation académique des programmes d’études existants est également adaptée de manière à inclure une part importante de la formation par le travail afin de mieux répondre aux besoins du marché du travail. La réforme facilitera également la transition vers de nouvelles formes d’apprentissage, principalement numériques, telles que l’apprentissage mixte et l’apprentissage à distance. Pour ce faire, il convient d’investir dans les équipements et technologies numériques et de former le personnel universitaire aux compétences numériques et aux méthodes d’enseignement modernes. La mesure est également axée sur le développement de ces capacités, ce qui permettrait aux universités de proposer des cours de reconversion et de perfectionnement professionnels, en particulier pour les travailleurs dans les domaines à forte intensité de connaissance. </w:t>
      </w:r>
    </w:p>
    <w:p w14:paraId="011FD4A5" w14:textId="3DA149BD" w:rsidR="00025543" w:rsidRDefault="007E3A2F">
      <w:pPr>
        <w:pStyle w:val="P68B1DB1-Normal3"/>
        <w:spacing w:line="240" w:lineRule="auto"/>
        <w:jc w:val="both"/>
        <w:rPr>
          <w:noProof/>
        </w:rPr>
      </w:pPr>
      <w:r>
        <w:rPr>
          <w:noProof/>
        </w:rPr>
        <w:t xml:space="preserve">L’aide est acheminée vers les universités au moyen d’un appel ouvert géré par le ministère de l’éducation, de la jeunesse et des sports. Au moins 20 universités devraient bénéficier d’un soutien. Au moins 35 nouveaux programmes d’études feront l’objet d’une accréditation, notamment: </w:t>
      </w:r>
    </w:p>
    <w:p w14:paraId="3D2D698D" w14:textId="77777777" w:rsidR="00025543" w:rsidRDefault="007E3A2F">
      <w:pPr>
        <w:pStyle w:val="P68B1DB1-Normal3"/>
        <w:numPr>
          <w:ilvl w:val="0"/>
          <w:numId w:val="202"/>
        </w:numPr>
        <w:spacing w:line="240" w:lineRule="auto"/>
        <w:jc w:val="both"/>
        <w:rPr>
          <w:noProof/>
        </w:rPr>
      </w:pPr>
      <w:r>
        <w:rPr>
          <w:noProof/>
        </w:rPr>
        <w:t xml:space="preserve">au moins 15 programmes d’étude dans les secteurs prioritaires à forte valeur ajoutée à forte croissance, qui souffrent d’un manque de spécialistes hautement qualifiés, tels que la cybersécurité, l’intelligence artificielle, l’industrie 4.0, les services d’administration en ligne.   </w:t>
      </w:r>
    </w:p>
    <w:p w14:paraId="12371520" w14:textId="77777777" w:rsidR="00025543" w:rsidRDefault="007E3A2F">
      <w:pPr>
        <w:pStyle w:val="P68B1DB1-Normal3"/>
        <w:numPr>
          <w:ilvl w:val="0"/>
          <w:numId w:val="202"/>
        </w:numPr>
        <w:spacing w:line="240" w:lineRule="auto"/>
        <w:jc w:val="both"/>
        <w:rPr>
          <w:noProof/>
        </w:rPr>
      </w:pPr>
      <w:r>
        <w:rPr>
          <w:noProof/>
        </w:rPr>
        <w:t xml:space="preserve">au moins 20 programmes d’études supplémentaires (licence ou master) présentant un profil professionnel. </w:t>
      </w:r>
    </w:p>
    <w:p w14:paraId="663235D4" w14:textId="5C6FB12A" w:rsidR="00025543" w:rsidRDefault="007E3A2F">
      <w:pPr>
        <w:pStyle w:val="P68B1DB1-Normal3"/>
        <w:spacing w:line="240" w:lineRule="auto"/>
        <w:jc w:val="both"/>
        <w:rPr>
          <w:noProof/>
        </w:rPr>
      </w:pPr>
      <w:r>
        <w:rPr>
          <w:noProof/>
        </w:rPr>
        <w:t>En outre, au moins 20 nouveaux cours d’apprentissage tout au long de la vie (y compris des microcertifications) seront proposés par les universités.</w:t>
      </w:r>
    </w:p>
    <w:p w14:paraId="2F47F19D" w14:textId="77777777" w:rsidR="00025543" w:rsidRDefault="007E3A2F">
      <w:pPr>
        <w:pStyle w:val="P68B1DB1-Normal3"/>
        <w:spacing w:line="240" w:lineRule="auto"/>
        <w:jc w:val="both"/>
        <w:rPr>
          <w:noProof/>
        </w:rPr>
      </w:pPr>
      <w:r>
        <w:rPr>
          <w:noProof/>
        </w:rPr>
        <w:t xml:space="preserve">La réforme et l’investissement qui l’accompagne sont achevés au plus tard le 31 mars 2026. </w:t>
      </w:r>
    </w:p>
    <w:p w14:paraId="760CE794" w14:textId="77777777" w:rsidR="00025543" w:rsidRDefault="007E3A2F">
      <w:pPr>
        <w:pStyle w:val="P68B1DB1-Normal26"/>
        <w:spacing w:line="240" w:lineRule="auto"/>
        <w:jc w:val="both"/>
        <w:rPr>
          <w:noProof/>
        </w:rPr>
      </w:pPr>
      <w:r>
        <w:rPr>
          <w:noProof/>
        </w:rPr>
        <w:t>Investissement 1: D</w:t>
      </w:r>
      <w:r>
        <w:rPr>
          <w:noProof/>
          <w:color w:val="000000"/>
        </w:rPr>
        <w:t>Enquête de sites universitaires clés sélectionnés</w:t>
      </w:r>
      <w:r>
        <w:rPr>
          <w:noProof/>
        </w:rPr>
        <w:t xml:space="preserve"> </w:t>
      </w:r>
    </w:p>
    <w:p w14:paraId="681D06E8" w14:textId="77777777" w:rsidR="00025543" w:rsidRDefault="007E3A2F">
      <w:pPr>
        <w:pStyle w:val="P68B1DB1-Normal3"/>
        <w:spacing w:line="240" w:lineRule="auto"/>
        <w:jc w:val="both"/>
        <w:rPr>
          <w:noProof/>
        </w:rPr>
      </w:pPr>
      <w:r>
        <w:rPr>
          <w:noProof/>
        </w:rPr>
        <w:t xml:space="preserve">L’investissement consiste à développer les installations des universités dans le domaine de la médecine, de la biomédecine et des sciences pharmaceutiques. Les nouvelles installations permettront d’innover dans les programmes universitaires, d’étendre l’enseignement pratique, de développer la recherche interdisciplinaire et d’accroître l’internationalisation. L’objectif ultime est d’augmenter la proportion d’étudiants en médecine et en pharmacie, remédiant ainsi au manque de professionnels de la santé en Tchéquie. L’investissement comprend la construction et l’équipement de nouvelles installations universitaires dans trois campus universitaires: </w:t>
      </w:r>
    </w:p>
    <w:p w14:paraId="3C9EF315" w14:textId="77777777" w:rsidR="00025543" w:rsidRDefault="007E3A2F">
      <w:pPr>
        <w:pStyle w:val="P68B1DB1-Normal3"/>
        <w:numPr>
          <w:ilvl w:val="0"/>
          <w:numId w:val="167"/>
        </w:numPr>
        <w:spacing w:line="259" w:lineRule="auto"/>
        <w:contextualSpacing/>
        <w:jc w:val="both"/>
        <w:rPr>
          <w:noProof/>
        </w:rPr>
      </w:pPr>
      <w:r>
        <w:rPr>
          <w:noProof/>
        </w:rPr>
        <w:t xml:space="preserve">MEPHARED 2 — fusion de sites universitaires fragmentés de la faculté de médecine et de la faculté de pharmacie de l’université Charles de Hradec Králové </w:t>
      </w:r>
    </w:p>
    <w:p w14:paraId="38E04FAF" w14:textId="77777777" w:rsidR="00025543" w:rsidRDefault="007E3A2F">
      <w:pPr>
        <w:pStyle w:val="P68B1DB1-Normal3"/>
        <w:numPr>
          <w:ilvl w:val="0"/>
          <w:numId w:val="167"/>
        </w:numPr>
        <w:spacing w:line="259" w:lineRule="auto"/>
        <w:contextualSpacing/>
        <w:jc w:val="both"/>
        <w:rPr>
          <w:noProof/>
        </w:rPr>
      </w:pPr>
      <w:r>
        <w:rPr>
          <w:noProof/>
        </w:rPr>
        <w:t>BIOCENTRUM — nouvelles installations d’études médicales, biomédicales et de sciences naturelles au campus Alberov de l’université Charles à Prague</w:t>
      </w:r>
    </w:p>
    <w:p w14:paraId="6674F7CE" w14:textId="6D3726BF" w:rsidR="00025543" w:rsidRDefault="007E3A2F">
      <w:pPr>
        <w:pStyle w:val="P68B1DB1-Normal3"/>
        <w:numPr>
          <w:ilvl w:val="0"/>
          <w:numId w:val="167"/>
        </w:numPr>
        <w:spacing w:line="259" w:lineRule="auto"/>
        <w:contextualSpacing/>
        <w:jc w:val="both"/>
        <w:rPr>
          <w:noProof/>
        </w:rPr>
      </w:pPr>
      <w:r>
        <w:rPr>
          <w:noProof/>
        </w:rPr>
        <w:t>Biopharma Hub — nouvelles installations d’études pharmaceutiques et biomédicales permettant de relier la faculté de pharmacie au seul site universitaire de l’université Masaryk de Brno.</w:t>
      </w:r>
    </w:p>
    <w:p w14:paraId="794F59A4" w14:textId="77777777" w:rsidR="00025543" w:rsidRDefault="007E3A2F">
      <w:pPr>
        <w:pStyle w:val="P68B1DB1-Normal3"/>
        <w:spacing w:line="240" w:lineRule="auto"/>
        <w:jc w:val="both"/>
        <w:rPr>
          <w:noProof/>
        </w:rPr>
      </w:pPr>
      <w:r>
        <w:rPr>
          <w:noProof/>
        </w:rPr>
        <w:t>L’investissement est achevé au plus tard le 30 juin 2026.</w:t>
      </w:r>
    </w:p>
    <w:p w14:paraId="742EE4E2" w14:textId="77777777" w:rsidR="00025543" w:rsidRDefault="007E3A2F">
      <w:pPr>
        <w:pStyle w:val="P68B1DB1-Normal26"/>
        <w:spacing w:line="240" w:lineRule="auto"/>
        <w:jc w:val="both"/>
        <w:rPr>
          <w:noProof/>
        </w:rPr>
      </w:pPr>
      <w:r>
        <w:rPr>
          <w:noProof/>
        </w:rPr>
        <w:t>Réforme 2: Soutien aux écoles défavorisées</w:t>
      </w:r>
    </w:p>
    <w:p w14:paraId="460F9921" w14:textId="77777777" w:rsidR="00025543" w:rsidRDefault="007E3A2F">
      <w:pPr>
        <w:pStyle w:val="P68B1DB1-Normal3"/>
        <w:spacing w:line="240" w:lineRule="auto"/>
        <w:jc w:val="both"/>
        <w:rPr>
          <w:noProof/>
        </w:rPr>
      </w:pPr>
      <w:r>
        <w:rPr>
          <w:noProof/>
        </w:rPr>
        <w:t xml:space="preserve">L’objectif de la réforme est de lutter contre les disparités croissantes entre les résultats scolaires des écoles et de garantir l’égalité d’accès à une éducation de qualité. Pour ce faire, un soutien global sera apporté aux écoles les plus vulnérables dont la proportion d’élèves issus de milieux socio-économiques défavorisés est supérieure à la moyenne. Un programme de soutien ciblé est élaboré et mis en œuvre pour les écoles situées dans les zones d’exclusion sociale et les écoles séparées, ainsi que pour les écoles comptant une proportion plus élevée d’élèves ayant une langue maternelle différente. Le soutien est axé sur la formation des enseignants à travailler avec des groupes hétérogènes et des élèves défavorisés, ainsi que sur une coopération efficace avec les psychologues scolaires, les assistants des enseignants et les travailleurs sociaux scolaires. </w:t>
      </w:r>
    </w:p>
    <w:p w14:paraId="5F725789" w14:textId="77777777" w:rsidR="00025543" w:rsidRDefault="007E3A2F">
      <w:pPr>
        <w:pStyle w:val="P68B1DB1-Normal3"/>
        <w:spacing w:line="240" w:lineRule="auto"/>
        <w:jc w:val="both"/>
        <w:rPr>
          <w:noProof/>
        </w:rPr>
      </w:pPr>
      <w:r>
        <w:rPr>
          <w:noProof/>
        </w:rPr>
        <w:t xml:space="preserve">Sur la base des résultats du programme d’aide, une réforme du financement des écoles est présentée en introduisant un financement indiciel afin de refléter le niveau de désavantage socio-économique. Cela permettra de renforcer le financement systématique des écoles les plus vulnérables, améliorant ainsi la qualité de leur éducation et réduisant les disparités entre les écoles. </w:t>
      </w:r>
    </w:p>
    <w:p w14:paraId="409506B9" w14:textId="77777777" w:rsidR="00025543" w:rsidRDefault="007E3A2F">
      <w:pPr>
        <w:pStyle w:val="P68B1DB1-Normal3"/>
        <w:spacing w:line="240" w:lineRule="auto"/>
        <w:jc w:val="both"/>
        <w:rPr>
          <w:noProof/>
        </w:rPr>
      </w:pPr>
      <w:r>
        <w:rPr>
          <w:noProof/>
        </w:rPr>
        <w:t xml:space="preserve">La réforme doit être achevée au plus tard le 31 décembre 2025. </w:t>
      </w:r>
    </w:p>
    <w:p w14:paraId="302FCCE3" w14:textId="77777777" w:rsidR="00025543" w:rsidRDefault="007E3A2F">
      <w:pPr>
        <w:pStyle w:val="P68B1DB1-Normal26"/>
        <w:spacing w:line="240" w:lineRule="auto"/>
        <w:jc w:val="both"/>
        <w:rPr>
          <w:noProof/>
        </w:rPr>
      </w:pPr>
      <w:r>
        <w:rPr>
          <w:noProof/>
        </w:rPr>
        <w:t xml:space="preserve">Investissement 2: Tutorat des élèves </w:t>
      </w:r>
    </w:p>
    <w:p w14:paraId="48129CB6" w14:textId="4163549C" w:rsidR="00025543" w:rsidRDefault="007E3A2F">
      <w:pPr>
        <w:pStyle w:val="P68B1DB1-Normal3"/>
        <w:spacing w:line="240" w:lineRule="auto"/>
        <w:jc w:val="both"/>
        <w:rPr>
          <w:noProof/>
        </w:rPr>
      </w:pPr>
      <w:r>
        <w:rPr>
          <w:noProof/>
        </w:rPr>
        <w:t>L’investissement vise à offrir des cours de rattrapage aux élèves issus de milieux socio-économiques défavorisés, dont les résultats scolaires se sont détériorés en raison du confinement scolaire prolongé. Sur la base des rapports de l’Inspection scolaire tchèque, on estime que 50 000 élèves accusent un retard et ont besoin d’un tutorat en raison d’une participation insuffisante à l’apprentissage en ligne pendant le confinement scolaire de dix mois. L’investissement vise à éviter que les inégalités entre les élèves et les écoles ne se creusent davantage en raison de désavantages sociaux ou autres. Le tutorat est assuré au moyen d’au moins 500 000 inscriptions individuelles pour des cours de tutorat par les élèves. Cela signifie que le même élève peut bénéficier de cours de tutorat dans plusieurs matières (par exemple, les mathématiques, l’anglais). L’objectif de la mesure est de guider les élèves exposés au risque d’échec scolaire. Les écoles et les enseignants peuvent déterminer de manière autonome quels élèves sont considérés comme exposés au risque d’échec scolaire.</w:t>
      </w:r>
    </w:p>
    <w:p w14:paraId="34D3E699" w14:textId="4E9DAC30" w:rsidR="00025543" w:rsidRDefault="007E3A2F">
      <w:pPr>
        <w:pStyle w:val="P68B1DB1-Normal3"/>
        <w:spacing w:line="240" w:lineRule="auto"/>
        <w:jc w:val="both"/>
        <w:rPr>
          <w:noProof/>
        </w:rPr>
      </w:pPr>
      <w:r>
        <w:rPr>
          <w:noProof/>
        </w:rPr>
        <w:t xml:space="preserve">Une évaluation des incidences de cette mesure est publiée (par exemple, la manière dont la mesure a contribué à rétablir les habitudes d’apprentissage et à acquérir les connaissances prescrites par les programmes d’études en mathématiques, en langue tchèque et en langue étrangère). </w:t>
      </w:r>
    </w:p>
    <w:p w14:paraId="38CD0643" w14:textId="218B7B67" w:rsidR="00025543" w:rsidRDefault="007E3A2F">
      <w:pPr>
        <w:pStyle w:val="P68B1DB1-Normal3"/>
        <w:spacing w:line="240" w:lineRule="auto"/>
        <w:jc w:val="both"/>
        <w:rPr>
          <w:noProof/>
        </w:rPr>
      </w:pPr>
      <w:r>
        <w:rPr>
          <w:noProof/>
        </w:rPr>
        <w:t xml:space="preserve">L’investissement est achevé au plus tard le 31 décembre 2023. </w:t>
      </w:r>
    </w:p>
    <w:p w14:paraId="4C56C158" w14:textId="42574FEE" w:rsidR="00025543" w:rsidRDefault="00025543">
      <w:pPr>
        <w:spacing w:line="240" w:lineRule="auto"/>
        <w:jc w:val="both"/>
        <w:rPr>
          <w:rFonts w:eastAsia="Times New Roman"/>
          <w:noProof/>
        </w:rPr>
      </w:pPr>
    </w:p>
    <w:p w14:paraId="6D6C2FA8" w14:textId="6215CEBC" w:rsidR="00025543" w:rsidRDefault="00025543">
      <w:pPr>
        <w:spacing w:line="240" w:lineRule="auto"/>
        <w:jc w:val="both"/>
        <w:rPr>
          <w:rFonts w:eastAsia="Times New Roman"/>
          <w:noProof/>
        </w:rPr>
      </w:pPr>
    </w:p>
    <w:p w14:paraId="4BEAE0DF" w14:textId="77777777" w:rsidR="00025543" w:rsidRDefault="00025543">
      <w:pPr>
        <w:spacing w:line="240" w:lineRule="auto"/>
        <w:jc w:val="both"/>
        <w:rPr>
          <w:rFonts w:eastAsia="Times New Roman"/>
          <w:noProof/>
        </w:rPr>
        <w:sectPr w:rsidR="00025543" w:rsidSect="003A6FF0">
          <w:headerReference w:type="even" r:id="rId294"/>
          <w:headerReference w:type="default" r:id="rId295"/>
          <w:footerReference w:type="even" r:id="rId296"/>
          <w:footerReference w:type="default" r:id="rId297"/>
          <w:headerReference w:type="first" r:id="rId298"/>
          <w:footerReference w:type="first" r:id="rId299"/>
          <w:pgSz w:w="11907" w:h="16839"/>
          <w:pgMar w:top="1134" w:right="1134" w:bottom="1134" w:left="1134" w:header="567" w:footer="567" w:gutter="0"/>
          <w:cols w:space="708"/>
          <w:docGrid w:linePitch="326"/>
        </w:sectPr>
      </w:pPr>
    </w:p>
    <w:p w14:paraId="7C9BC854" w14:textId="0ACE3BA5" w:rsidR="00025543" w:rsidRDefault="007E3A2F">
      <w:pPr>
        <w:pStyle w:val="P68B1DB1-Normal33"/>
        <w:pBdr>
          <w:top w:val="nil"/>
          <w:left w:val="nil"/>
          <w:bottom w:val="nil"/>
          <w:right w:val="nil"/>
          <w:between w:val="nil"/>
        </w:pBdr>
        <w:tabs>
          <w:tab w:val="left" w:pos="993"/>
        </w:tabs>
        <w:spacing w:line="240" w:lineRule="auto"/>
        <w:jc w:val="both"/>
        <w:rPr>
          <w:noProof/>
          <w:color w:val="000000"/>
        </w:rPr>
      </w:pPr>
      <w:r>
        <w:rPr>
          <w:noProof/>
        </w:rPr>
        <w:t xml:space="preserve">S.2. Jalons, cibles, indicateurs et calendrier de suivi et de mise en œuvre en vue du soutien financier non remboursable </w:t>
      </w:r>
    </w:p>
    <w:tbl>
      <w:tblPr>
        <w:tblW w:w="0" w:type="auto"/>
        <w:jc w:val="center"/>
        <w:tblLayout w:type="fixed"/>
        <w:tblLook w:val="04A0" w:firstRow="1" w:lastRow="0" w:firstColumn="1" w:lastColumn="0" w:noHBand="0" w:noVBand="1"/>
      </w:tblPr>
      <w:tblGrid>
        <w:gridCol w:w="675"/>
        <w:gridCol w:w="1418"/>
        <w:gridCol w:w="1077"/>
        <w:gridCol w:w="1418"/>
        <w:gridCol w:w="1134"/>
        <w:gridCol w:w="1077"/>
        <w:gridCol w:w="1077"/>
        <w:gridCol w:w="851"/>
        <w:gridCol w:w="992"/>
        <w:gridCol w:w="1064"/>
        <w:gridCol w:w="4745"/>
      </w:tblGrid>
      <w:tr w:rsidR="00025543" w14:paraId="005C35BD" w14:textId="77777777">
        <w:trPr>
          <w:trHeight w:val="107"/>
          <w:tblHeader/>
          <w:jc w:val="center"/>
        </w:trPr>
        <w:tc>
          <w:tcPr>
            <w:tcW w:w="675"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7F613AD1" w14:textId="77777777" w:rsidR="00025543" w:rsidRDefault="007E3A2F">
            <w:pPr>
              <w:pStyle w:val="P68B1DB1-Normal27"/>
              <w:spacing w:line="240" w:lineRule="auto"/>
              <w:jc w:val="center"/>
              <w:rPr>
                <w:noProof/>
              </w:rPr>
            </w:pPr>
            <w:r>
              <w:rPr>
                <w:noProof/>
              </w:rPr>
              <w:t>Séquence NUM.</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501A7151" w14:textId="77777777" w:rsidR="00025543" w:rsidRDefault="007E3A2F">
            <w:pPr>
              <w:pStyle w:val="P68B1DB1-Normal9"/>
              <w:spacing w:line="240" w:lineRule="auto"/>
              <w:jc w:val="center"/>
              <w:rPr>
                <w:noProof/>
              </w:rPr>
            </w:pPr>
            <w:r>
              <w:rPr>
                <w:noProof/>
              </w:rPr>
              <w:t xml:space="preserve">Mesure connexe (réforme ou investissement) </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217A00FA" w14:textId="77777777" w:rsidR="00025543" w:rsidRDefault="007E3A2F">
            <w:pPr>
              <w:pStyle w:val="P68B1DB1-Normal9"/>
              <w:spacing w:line="240" w:lineRule="auto"/>
              <w:jc w:val="center"/>
              <w:rPr>
                <w:noProof/>
              </w:rPr>
            </w:pPr>
            <w:r>
              <w:rPr>
                <w:noProof/>
              </w:rPr>
              <w:t xml:space="preserve">Jalon/cible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60843469" w14:textId="77777777" w:rsidR="00025543" w:rsidRDefault="007E3A2F">
            <w:pPr>
              <w:pStyle w:val="P68B1DB1-Normal9"/>
              <w:spacing w:line="240" w:lineRule="auto"/>
              <w:jc w:val="center"/>
              <w:rPr>
                <w:noProof/>
              </w:rPr>
            </w:pPr>
            <w:r>
              <w:rPr>
                <w:noProof/>
              </w:rPr>
              <w:t xml:space="preserve">Nom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4ADB85D2" w14:textId="77777777" w:rsidR="00025543" w:rsidRDefault="007E3A2F">
            <w:pPr>
              <w:pStyle w:val="P68B1DB1-Normal12"/>
              <w:spacing w:line="240" w:lineRule="auto"/>
              <w:jc w:val="center"/>
              <w:rPr>
                <w:noProof/>
              </w:rPr>
            </w:pPr>
            <w:r>
              <w:rPr>
                <w:rFonts w:eastAsia="Times New Roman"/>
                <w:b/>
                <w:noProof/>
              </w:rPr>
              <w:t>Qualitatifs</w:t>
            </w:r>
            <w:r>
              <w:rPr>
                <w:noProof/>
              </w:rPr>
              <w:br/>
            </w:r>
            <w:r>
              <w:rPr>
                <w:rFonts w:eastAsia="Times New Roman"/>
                <w:b/>
                <w:noProof/>
              </w:rPr>
              <w:t xml:space="preserve"> (pour les jalons) </w:t>
            </w:r>
          </w:p>
        </w:tc>
        <w:tc>
          <w:tcPr>
            <w:tcW w:w="2268" w:type="dxa"/>
            <w:gridSpan w:val="3"/>
            <w:tcBorders>
              <w:top w:val="single" w:sz="8" w:space="0" w:color="auto"/>
              <w:left w:val="single" w:sz="4" w:space="0" w:color="auto"/>
              <w:bottom w:val="single" w:sz="8" w:space="0" w:color="auto"/>
              <w:right w:val="single" w:sz="8" w:space="0" w:color="000000" w:themeColor="text1"/>
            </w:tcBorders>
            <w:shd w:val="clear" w:color="auto" w:fill="BDD7EE"/>
            <w:vAlign w:val="center"/>
          </w:tcPr>
          <w:p w14:paraId="62A9B5C9" w14:textId="77777777" w:rsidR="00025543" w:rsidRDefault="007E3A2F">
            <w:pPr>
              <w:pStyle w:val="P68B1DB1-Normal12"/>
              <w:spacing w:line="240" w:lineRule="auto"/>
              <w:jc w:val="center"/>
              <w:rPr>
                <w:noProof/>
              </w:rPr>
            </w:pPr>
            <w:r>
              <w:rPr>
                <w:rFonts w:eastAsia="Times New Roman"/>
                <w:b/>
                <w:noProof/>
              </w:rPr>
              <w:t>Indicateurs quantitatifs</w:t>
            </w:r>
            <w:r>
              <w:rPr>
                <w:noProof/>
              </w:rPr>
              <w:br/>
            </w:r>
            <w:r>
              <w:rPr>
                <w:rFonts w:eastAsia="Times New Roman"/>
                <w:b/>
                <w:noProof/>
              </w:rPr>
              <w:t xml:space="preserve"> (pour les objectifs)</w:t>
            </w:r>
          </w:p>
        </w:tc>
        <w:tc>
          <w:tcPr>
            <w:tcW w:w="2056" w:type="dxa"/>
            <w:gridSpan w:val="2"/>
            <w:tcBorders>
              <w:top w:val="single" w:sz="8" w:space="0" w:color="auto"/>
              <w:left w:val="nil"/>
              <w:bottom w:val="single" w:sz="8" w:space="0" w:color="auto"/>
              <w:right w:val="single" w:sz="4" w:space="0" w:color="auto"/>
            </w:tcBorders>
            <w:shd w:val="clear" w:color="auto" w:fill="BDD7EE"/>
            <w:vAlign w:val="center"/>
          </w:tcPr>
          <w:p w14:paraId="23AFBA76" w14:textId="77777777" w:rsidR="00025543" w:rsidRDefault="007E3A2F">
            <w:pPr>
              <w:pStyle w:val="P68B1DB1-Normal9"/>
              <w:spacing w:line="240" w:lineRule="auto"/>
              <w:jc w:val="center"/>
              <w:rPr>
                <w:noProof/>
              </w:rPr>
            </w:pPr>
            <w:r>
              <w:rPr>
                <w:noProof/>
              </w:rPr>
              <w:t xml:space="preserve">Calendrier indicatif de réalisation </w:t>
            </w:r>
          </w:p>
        </w:tc>
        <w:tc>
          <w:tcPr>
            <w:tcW w:w="4745"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2790FD90" w14:textId="77777777" w:rsidR="00025543" w:rsidRDefault="007E3A2F">
            <w:pPr>
              <w:pStyle w:val="P68B1DB1-Normal9"/>
              <w:spacing w:line="240" w:lineRule="auto"/>
              <w:jc w:val="center"/>
              <w:rPr>
                <w:noProof/>
              </w:rPr>
            </w:pPr>
            <w:r>
              <w:rPr>
                <w:noProof/>
              </w:rPr>
              <w:t>Description et définition claire de chaque jalon et cible</w:t>
            </w:r>
          </w:p>
        </w:tc>
      </w:tr>
      <w:tr w:rsidR="00025543" w14:paraId="16E49AAE" w14:textId="77777777">
        <w:trPr>
          <w:trHeight w:val="173"/>
          <w:tblHeader/>
          <w:jc w:val="center"/>
        </w:trPr>
        <w:tc>
          <w:tcPr>
            <w:tcW w:w="675" w:type="dxa"/>
            <w:vMerge/>
            <w:tcBorders>
              <w:top w:val="single" w:sz="4" w:space="0" w:color="auto"/>
              <w:left w:val="single" w:sz="4" w:space="0" w:color="auto"/>
              <w:bottom w:val="single" w:sz="4" w:space="0" w:color="auto"/>
              <w:right w:val="single" w:sz="4" w:space="0" w:color="auto"/>
            </w:tcBorders>
            <w:vAlign w:val="center"/>
          </w:tcPr>
          <w:p w14:paraId="6C863E84" w14:textId="77777777" w:rsidR="00025543" w:rsidRDefault="00025543">
            <w:pPr>
              <w:spacing w:line="240" w:lineRule="auto"/>
              <w:jc w:val="center"/>
              <w:rPr>
                <w:noProof/>
                <w:sz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75194A42" w14:textId="77777777" w:rsidR="00025543" w:rsidRDefault="00025543">
            <w:pPr>
              <w:spacing w:line="240" w:lineRule="auto"/>
              <w:jc w:val="center"/>
              <w:rPr>
                <w:noProof/>
                <w:sz w:val="18"/>
              </w:rPr>
            </w:pPr>
          </w:p>
        </w:tc>
        <w:tc>
          <w:tcPr>
            <w:tcW w:w="1077" w:type="dxa"/>
            <w:vMerge/>
            <w:tcBorders>
              <w:left w:val="single" w:sz="4" w:space="0" w:color="auto"/>
              <w:right w:val="single" w:sz="4" w:space="0" w:color="auto"/>
            </w:tcBorders>
            <w:vAlign w:val="center"/>
          </w:tcPr>
          <w:p w14:paraId="6642BB63" w14:textId="77777777" w:rsidR="00025543" w:rsidRDefault="00025543">
            <w:pPr>
              <w:spacing w:line="240" w:lineRule="auto"/>
              <w:jc w:val="center"/>
              <w:rPr>
                <w:noProof/>
                <w:sz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291BB715" w14:textId="77777777" w:rsidR="00025543" w:rsidRDefault="00025543">
            <w:pPr>
              <w:spacing w:line="240" w:lineRule="auto"/>
              <w:jc w:val="center"/>
              <w:rPr>
                <w:noProof/>
                <w:sz w:val="18"/>
              </w:rPr>
            </w:pPr>
          </w:p>
        </w:tc>
        <w:tc>
          <w:tcPr>
            <w:tcW w:w="1134" w:type="dxa"/>
            <w:vMerge/>
            <w:tcBorders>
              <w:left w:val="single" w:sz="4" w:space="0" w:color="auto"/>
            </w:tcBorders>
            <w:vAlign w:val="center"/>
          </w:tcPr>
          <w:p w14:paraId="274B6C9C" w14:textId="77777777" w:rsidR="00025543" w:rsidRDefault="00025543">
            <w:pPr>
              <w:spacing w:line="240" w:lineRule="auto"/>
              <w:jc w:val="center"/>
              <w:rPr>
                <w:noProof/>
                <w:sz w:val="18"/>
              </w:rPr>
            </w:pPr>
          </w:p>
        </w:tc>
        <w:tc>
          <w:tcPr>
            <w:tcW w:w="1077" w:type="dxa"/>
            <w:tcBorders>
              <w:top w:val="single" w:sz="8" w:space="0" w:color="auto"/>
              <w:left w:val="single" w:sz="4" w:space="0" w:color="auto"/>
              <w:bottom w:val="single" w:sz="8" w:space="0" w:color="auto"/>
              <w:right w:val="single" w:sz="8" w:space="0" w:color="000000" w:themeColor="text1"/>
            </w:tcBorders>
            <w:shd w:val="clear" w:color="auto" w:fill="BDD7EE"/>
            <w:vAlign w:val="center"/>
          </w:tcPr>
          <w:p w14:paraId="13925732" w14:textId="77777777" w:rsidR="00025543" w:rsidRDefault="007E3A2F">
            <w:pPr>
              <w:pStyle w:val="P68B1DB1-Normal9"/>
              <w:spacing w:line="240" w:lineRule="auto"/>
              <w:jc w:val="center"/>
              <w:rPr>
                <w:noProof/>
              </w:rPr>
            </w:pPr>
            <w:r>
              <w:rPr>
                <w:noProof/>
              </w:rPr>
              <w:t>Unité de mesure</w:t>
            </w:r>
          </w:p>
        </w:tc>
        <w:tc>
          <w:tcPr>
            <w:tcW w:w="1077" w:type="dxa"/>
            <w:tcBorders>
              <w:top w:val="nil"/>
              <w:left w:val="single" w:sz="8" w:space="0" w:color="auto"/>
              <w:bottom w:val="single" w:sz="8" w:space="0" w:color="auto"/>
              <w:right w:val="single" w:sz="8" w:space="0" w:color="auto"/>
            </w:tcBorders>
            <w:shd w:val="clear" w:color="auto" w:fill="BDD7EE"/>
            <w:vAlign w:val="center"/>
          </w:tcPr>
          <w:p w14:paraId="7027C751" w14:textId="77777777" w:rsidR="00025543" w:rsidRDefault="007E3A2F">
            <w:pPr>
              <w:pStyle w:val="P68B1DB1-Normal9"/>
              <w:spacing w:line="240" w:lineRule="auto"/>
              <w:jc w:val="center"/>
              <w:rPr>
                <w:noProof/>
              </w:rPr>
            </w:pPr>
            <w:r>
              <w:rPr>
                <w:noProof/>
              </w:rPr>
              <w:t>Scénario de référence</w:t>
            </w:r>
          </w:p>
        </w:tc>
        <w:tc>
          <w:tcPr>
            <w:tcW w:w="851" w:type="dxa"/>
            <w:tcBorders>
              <w:top w:val="nil"/>
              <w:left w:val="single" w:sz="8" w:space="0" w:color="auto"/>
              <w:bottom w:val="single" w:sz="8" w:space="0" w:color="auto"/>
              <w:right w:val="single" w:sz="8" w:space="0" w:color="000000" w:themeColor="text1"/>
            </w:tcBorders>
            <w:shd w:val="clear" w:color="auto" w:fill="BDD7EE"/>
            <w:vAlign w:val="center"/>
          </w:tcPr>
          <w:p w14:paraId="41166A6F" w14:textId="77777777" w:rsidR="00025543" w:rsidRDefault="007E3A2F">
            <w:pPr>
              <w:pStyle w:val="P68B1DB1-Normal9"/>
              <w:spacing w:line="240" w:lineRule="auto"/>
              <w:jc w:val="center"/>
              <w:rPr>
                <w:noProof/>
              </w:rPr>
            </w:pPr>
            <w:r>
              <w:rPr>
                <w:noProof/>
              </w:rPr>
              <w:t>Objectif</w:t>
            </w:r>
          </w:p>
        </w:tc>
        <w:tc>
          <w:tcPr>
            <w:tcW w:w="992" w:type="dxa"/>
            <w:tcBorders>
              <w:top w:val="single" w:sz="8" w:space="0" w:color="auto"/>
              <w:left w:val="single" w:sz="8" w:space="0" w:color="auto"/>
              <w:bottom w:val="single" w:sz="8" w:space="0" w:color="auto"/>
              <w:right w:val="single" w:sz="8" w:space="0" w:color="000000" w:themeColor="text1"/>
            </w:tcBorders>
            <w:shd w:val="clear" w:color="auto" w:fill="BDD7EE"/>
            <w:vAlign w:val="center"/>
          </w:tcPr>
          <w:p w14:paraId="13FDEF7B" w14:textId="77777777" w:rsidR="00025543" w:rsidRDefault="007E3A2F">
            <w:pPr>
              <w:pStyle w:val="P68B1DB1-Normal9"/>
              <w:spacing w:line="240" w:lineRule="auto"/>
              <w:jc w:val="center"/>
              <w:rPr>
                <w:noProof/>
              </w:rPr>
            </w:pPr>
            <w:r>
              <w:rPr>
                <w:noProof/>
              </w:rPr>
              <w:t>Trimestre</w:t>
            </w:r>
          </w:p>
        </w:tc>
        <w:tc>
          <w:tcPr>
            <w:tcW w:w="1064" w:type="dxa"/>
            <w:tcBorders>
              <w:top w:val="nil"/>
              <w:left w:val="single" w:sz="8" w:space="0" w:color="auto"/>
              <w:bottom w:val="single" w:sz="8" w:space="0" w:color="auto"/>
              <w:right w:val="single" w:sz="4" w:space="0" w:color="auto"/>
            </w:tcBorders>
            <w:shd w:val="clear" w:color="auto" w:fill="BDD7EE"/>
            <w:vAlign w:val="center"/>
          </w:tcPr>
          <w:p w14:paraId="0FD8FC48" w14:textId="77777777" w:rsidR="00025543" w:rsidRDefault="007E3A2F">
            <w:pPr>
              <w:pStyle w:val="P68B1DB1-Normal9"/>
              <w:spacing w:line="240" w:lineRule="auto"/>
              <w:jc w:val="center"/>
              <w:rPr>
                <w:noProof/>
              </w:rPr>
            </w:pPr>
            <w:r>
              <w:rPr>
                <w:noProof/>
              </w:rPr>
              <w:t>Année</w:t>
            </w:r>
          </w:p>
        </w:tc>
        <w:tc>
          <w:tcPr>
            <w:tcW w:w="4745" w:type="dxa"/>
            <w:vMerge/>
            <w:tcBorders>
              <w:bottom w:val="single" w:sz="4" w:space="0" w:color="auto"/>
              <w:right w:val="single" w:sz="4" w:space="0" w:color="auto"/>
            </w:tcBorders>
            <w:vAlign w:val="center"/>
          </w:tcPr>
          <w:p w14:paraId="12530B49" w14:textId="77777777" w:rsidR="00025543" w:rsidRDefault="00025543">
            <w:pPr>
              <w:spacing w:line="240" w:lineRule="auto"/>
              <w:jc w:val="center"/>
              <w:rPr>
                <w:noProof/>
                <w:sz w:val="18"/>
              </w:rPr>
            </w:pPr>
          </w:p>
        </w:tc>
      </w:tr>
      <w:tr w:rsidR="00025543" w14:paraId="741B3A50" w14:textId="77777777">
        <w:trPr>
          <w:trHeight w:val="945"/>
          <w:jc w:val="center"/>
        </w:trPr>
        <w:tc>
          <w:tcPr>
            <w:tcW w:w="675" w:type="dxa"/>
            <w:tcBorders>
              <w:top w:val="single" w:sz="4" w:space="0" w:color="auto"/>
              <w:left w:val="single" w:sz="8" w:space="0" w:color="auto"/>
              <w:bottom w:val="single" w:sz="8" w:space="0" w:color="auto"/>
              <w:right w:val="single" w:sz="8" w:space="0" w:color="auto"/>
            </w:tcBorders>
            <w:shd w:val="clear" w:color="auto" w:fill="C6EFCE"/>
            <w:vAlign w:val="center"/>
          </w:tcPr>
          <w:p w14:paraId="5B0ED0AA" w14:textId="77777777" w:rsidR="00025543" w:rsidRDefault="007E3A2F">
            <w:pPr>
              <w:pStyle w:val="P68B1DB1-Normal28"/>
              <w:spacing w:line="240" w:lineRule="auto"/>
              <w:jc w:val="center"/>
              <w:rPr>
                <w:noProof/>
              </w:rPr>
            </w:pPr>
            <w:r>
              <w:rPr>
                <w:noProof/>
              </w:rPr>
              <w:t>176</w:t>
            </w:r>
          </w:p>
        </w:tc>
        <w:tc>
          <w:tcPr>
            <w:tcW w:w="1418" w:type="dxa"/>
            <w:tcBorders>
              <w:top w:val="single" w:sz="4" w:space="0" w:color="auto"/>
              <w:left w:val="single" w:sz="8" w:space="0" w:color="auto"/>
              <w:bottom w:val="single" w:sz="8" w:space="0" w:color="auto"/>
              <w:right w:val="single" w:sz="8" w:space="0" w:color="auto"/>
            </w:tcBorders>
            <w:shd w:val="clear" w:color="auto" w:fill="C6EFCE"/>
            <w:vAlign w:val="center"/>
          </w:tcPr>
          <w:p w14:paraId="6267E039" w14:textId="77777777" w:rsidR="00025543" w:rsidRDefault="007E3A2F">
            <w:pPr>
              <w:pStyle w:val="P68B1DB1-Normal28"/>
              <w:spacing w:line="240" w:lineRule="auto"/>
              <w:rPr>
                <w:noProof/>
              </w:rPr>
            </w:pPr>
            <w:r>
              <w:rPr>
                <w:noProof/>
              </w:rPr>
              <w:t>Réforme 1: Transformation des universités pour s’adapter aux nouvelles formes d’apprentissage et à l’évolution des besoins du marché du travail</w:t>
            </w:r>
          </w:p>
        </w:tc>
        <w:tc>
          <w:tcPr>
            <w:tcW w:w="1077" w:type="dxa"/>
            <w:tcBorders>
              <w:top w:val="single" w:sz="4" w:space="0" w:color="auto"/>
              <w:left w:val="single" w:sz="8" w:space="0" w:color="auto"/>
              <w:bottom w:val="single" w:sz="8" w:space="0" w:color="auto"/>
              <w:right w:val="single" w:sz="8" w:space="0" w:color="auto"/>
            </w:tcBorders>
            <w:shd w:val="clear" w:color="auto" w:fill="C6EFCE"/>
            <w:vAlign w:val="center"/>
          </w:tcPr>
          <w:p w14:paraId="4611DC13" w14:textId="77777777" w:rsidR="00025543" w:rsidRDefault="007E3A2F">
            <w:pPr>
              <w:pStyle w:val="P68B1DB1-Normal28"/>
              <w:spacing w:line="240" w:lineRule="auto"/>
              <w:rPr>
                <w:noProof/>
              </w:rPr>
            </w:pPr>
            <w:r>
              <w:rPr>
                <w:noProof/>
              </w:rPr>
              <w:t>Étapes</w:t>
            </w:r>
          </w:p>
        </w:tc>
        <w:tc>
          <w:tcPr>
            <w:tcW w:w="1418" w:type="dxa"/>
            <w:tcBorders>
              <w:top w:val="single" w:sz="4" w:space="0" w:color="auto"/>
              <w:left w:val="single" w:sz="8" w:space="0" w:color="auto"/>
              <w:bottom w:val="single" w:sz="8" w:space="0" w:color="auto"/>
              <w:right w:val="single" w:sz="8" w:space="0" w:color="auto"/>
            </w:tcBorders>
            <w:shd w:val="clear" w:color="auto" w:fill="C6EFCE"/>
            <w:vAlign w:val="center"/>
          </w:tcPr>
          <w:p w14:paraId="363497EC" w14:textId="77777777" w:rsidR="00025543" w:rsidRDefault="007E3A2F">
            <w:pPr>
              <w:pStyle w:val="P68B1DB1-Normal28"/>
              <w:spacing w:line="240" w:lineRule="auto"/>
              <w:rPr>
                <w:noProof/>
              </w:rPr>
            </w:pPr>
            <w:r>
              <w:rPr>
                <w:noProof/>
              </w:rPr>
              <w:t xml:space="preserve">Lancement d’un programme de soutien à la transformation des universités </w:t>
            </w:r>
          </w:p>
        </w:tc>
        <w:tc>
          <w:tcPr>
            <w:tcW w:w="1134" w:type="dxa"/>
            <w:tcBorders>
              <w:top w:val="single" w:sz="4" w:space="0" w:color="auto"/>
              <w:left w:val="single" w:sz="8" w:space="0" w:color="auto"/>
              <w:bottom w:val="single" w:sz="8" w:space="0" w:color="auto"/>
              <w:right w:val="single" w:sz="8" w:space="0" w:color="auto"/>
            </w:tcBorders>
            <w:shd w:val="clear" w:color="auto" w:fill="C6EFCE"/>
            <w:vAlign w:val="center"/>
          </w:tcPr>
          <w:p w14:paraId="1AB51C77" w14:textId="77777777" w:rsidR="00025543" w:rsidRDefault="007E3A2F">
            <w:pPr>
              <w:pStyle w:val="P68B1DB1-Normal28"/>
              <w:spacing w:line="240" w:lineRule="auto"/>
              <w:rPr>
                <w:noProof/>
              </w:rPr>
            </w:pPr>
            <w:r>
              <w:rPr>
                <w:noProof/>
              </w:rPr>
              <w:t xml:space="preserve">Lancement du programme par le ministère de l’éducation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111D201" w14:textId="77777777" w:rsidR="00025543" w:rsidRDefault="00025543">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13B242DD" w14:textId="77777777" w:rsidR="00025543" w:rsidRDefault="00025543">
            <w:pPr>
              <w:spacing w:line="240" w:lineRule="auto"/>
              <w:jc w:val="center"/>
              <w:rPr>
                <w:noProof/>
                <w:color w:val="006100"/>
                <w:sz w:val="18"/>
              </w:rPr>
            </w:pP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14:paraId="38BBCB3D" w14:textId="77777777" w:rsidR="00025543" w:rsidRDefault="00025543">
            <w:pPr>
              <w:spacing w:line="240" w:lineRule="auto"/>
              <w:jc w:val="center"/>
              <w:rPr>
                <w:noProof/>
                <w:color w:val="006100"/>
                <w:sz w:val="18"/>
              </w:rPr>
            </w:pP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14:paraId="1770AA6B" w14:textId="77777777" w:rsidR="00025543" w:rsidRDefault="007E3A2F">
            <w:pPr>
              <w:pStyle w:val="P68B1DB1-Normal28"/>
              <w:spacing w:line="240" w:lineRule="auto"/>
              <w:jc w:val="center"/>
              <w:rPr>
                <w:noProof/>
              </w:rPr>
            </w:pPr>
            <w:r>
              <w:rPr>
                <w:noProof/>
              </w:rPr>
              <w:t>TRIMESTRE 2</w:t>
            </w:r>
          </w:p>
        </w:tc>
        <w:tc>
          <w:tcPr>
            <w:tcW w:w="1064" w:type="dxa"/>
            <w:tcBorders>
              <w:top w:val="single" w:sz="8" w:space="0" w:color="auto"/>
              <w:left w:val="single" w:sz="8" w:space="0" w:color="auto"/>
              <w:bottom w:val="single" w:sz="8" w:space="0" w:color="auto"/>
              <w:right w:val="single" w:sz="8" w:space="0" w:color="auto"/>
            </w:tcBorders>
            <w:shd w:val="clear" w:color="auto" w:fill="C6EFCE"/>
            <w:vAlign w:val="center"/>
          </w:tcPr>
          <w:p w14:paraId="58469ABE" w14:textId="77777777" w:rsidR="00025543" w:rsidRDefault="007E3A2F">
            <w:pPr>
              <w:pStyle w:val="P68B1DB1-Normal28"/>
              <w:spacing w:line="240" w:lineRule="auto"/>
              <w:jc w:val="center"/>
              <w:rPr>
                <w:noProof/>
              </w:rPr>
            </w:pPr>
            <w:r>
              <w:rPr>
                <w:noProof/>
              </w:rPr>
              <w:t>2022</w:t>
            </w:r>
          </w:p>
        </w:tc>
        <w:tc>
          <w:tcPr>
            <w:tcW w:w="4745" w:type="dxa"/>
            <w:tcBorders>
              <w:top w:val="single" w:sz="4" w:space="0" w:color="auto"/>
              <w:left w:val="single" w:sz="8" w:space="0" w:color="auto"/>
              <w:bottom w:val="single" w:sz="8" w:space="0" w:color="auto"/>
              <w:right w:val="single" w:sz="8" w:space="0" w:color="auto"/>
            </w:tcBorders>
            <w:shd w:val="clear" w:color="auto" w:fill="C6EFCE"/>
            <w:vAlign w:val="center"/>
          </w:tcPr>
          <w:p w14:paraId="27AB5CFE" w14:textId="11E37D17" w:rsidR="00025543" w:rsidRDefault="007E3A2F">
            <w:pPr>
              <w:pStyle w:val="P68B1DB1-Normal28"/>
              <w:spacing w:after="0" w:line="259" w:lineRule="auto"/>
              <w:contextualSpacing/>
              <w:rPr>
                <w:noProof/>
              </w:rPr>
            </w:pPr>
            <w:r>
              <w:rPr>
                <w:noProof/>
              </w:rPr>
              <w:t xml:space="preserve">Le programme soutient l’adaptation des universités aux nouvelles formes d’apprentissage et l’introduction de nouveaux programmes d’études. Les secteurs à soutenir au titre du programme sont identifiés sur la base d’une analyse des données économiques, en consultation avec les partenaires sociaux. L’accent sera mis sur les secteurs à forte croissance et à forte valeur ajoutée qui souffrent d’un manque de spécialistes hautement qualifiés, tels que la cybersécurité, l’intelligence artificielle, l’industrie 4.0 ou les services d’administration en ligne. L’objectif est de soutenir au moins 20 universités. </w:t>
            </w:r>
          </w:p>
        </w:tc>
      </w:tr>
      <w:tr w:rsidR="00025543" w14:paraId="71FDADC5"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5398F830" w14:textId="77777777" w:rsidR="00025543" w:rsidRDefault="007E3A2F">
            <w:pPr>
              <w:pStyle w:val="P68B1DB1-Normal28"/>
              <w:spacing w:line="240" w:lineRule="auto"/>
              <w:jc w:val="center"/>
              <w:rPr>
                <w:noProof/>
              </w:rPr>
            </w:pPr>
            <w:r>
              <w:rPr>
                <w:noProof/>
              </w:rPr>
              <w:t>177</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2E761D49" w14:textId="77777777" w:rsidR="00025543" w:rsidRDefault="007E3A2F">
            <w:pPr>
              <w:pStyle w:val="P68B1DB1-Normal28"/>
              <w:spacing w:line="240" w:lineRule="auto"/>
              <w:rPr>
                <w:noProof/>
              </w:rPr>
            </w:pPr>
            <w:r>
              <w:rPr>
                <w:noProof/>
              </w:rPr>
              <w:t>Réforme 1: Transformation des universités pour s’adapter aux nouvelles formes d’apprentissage et à l’évolution des besoins du marché du travail</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44E36D1" w14:textId="77777777" w:rsidR="00025543" w:rsidRDefault="007E3A2F">
            <w:pPr>
              <w:pStyle w:val="P68B1DB1-Normal28"/>
              <w:spacing w:line="240" w:lineRule="auto"/>
              <w:rPr>
                <w:noProof/>
              </w:rPr>
            </w:pPr>
            <w:r>
              <w:rPr>
                <w:noProof/>
              </w:rPr>
              <w:t>Cible</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4799935E" w14:textId="77777777" w:rsidR="00025543" w:rsidRDefault="007E3A2F">
            <w:pPr>
              <w:pStyle w:val="P68B1DB1-Normal28"/>
              <w:spacing w:line="240" w:lineRule="auto"/>
              <w:rPr>
                <w:noProof/>
              </w:rPr>
            </w:pPr>
            <w:r>
              <w:rPr>
                <w:noProof/>
              </w:rPr>
              <w:t>Nombre de nouveaux programmes d’études accrédités</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69B753C3" w14:textId="77777777" w:rsidR="00025543" w:rsidRDefault="00025543">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9155F25" w14:textId="77777777" w:rsidR="00025543" w:rsidRDefault="007E3A2F">
            <w:pPr>
              <w:pStyle w:val="P68B1DB1-Normal28"/>
              <w:spacing w:line="240" w:lineRule="auto"/>
              <w:rPr>
                <w:noProof/>
              </w:rPr>
            </w:pPr>
            <w:r>
              <w:rPr>
                <w:noProof/>
              </w:rPr>
              <w:t xml:space="preserve">Numéro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3EFD939" w14:textId="77777777" w:rsidR="00025543" w:rsidRDefault="007E3A2F">
            <w:pPr>
              <w:pStyle w:val="P68B1DB1-Normal28"/>
              <w:spacing w:line="240" w:lineRule="auto"/>
              <w:jc w:val="center"/>
              <w:rPr>
                <w:noProof/>
              </w:rPr>
            </w:pPr>
            <w:r>
              <w:rPr>
                <w:noProof/>
              </w:rPr>
              <w:t>0</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14:paraId="236D1DD3" w14:textId="77777777" w:rsidR="00025543" w:rsidRDefault="007E3A2F">
            <w:pPr>
              <w:pStyle w:val="P68B1DB1-Normal41"/>
              <w:spacing w:line="259" w:lineRule="auto"/>
              <w:jc w:val="center"/>
              <w:rPr>
                <w:rFonts w:eastAsia="Times New Roman"/>
                <w:noProof/>
              </w:rPr>
            </w:pPr>
            <w:r>
              <w:rPr>
                <w:noProof/>
              </w:rPr>
              <w:t>35</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14:paraId="2C1DF162" w14:textId="77777777" w:rsidR="00025543" w:rsidRDefault="007E3A2F">
            <w:pPr>
              <w:pStyle w:val="P68B1DB1-Normal28"/>
              <w:spacing w:line="240" w:lineRule="auto"/>
              <w:jc w:val="center"/>
              <w:rPr>
                <w:noProof/>
              </w:rPr>
            </w:pPr>
            <w:r>
              <w:rPr>
                <w:noProof/>
              </w:rPr>
              <w:t>TRIMESTRE 1</w:t>
            </w:r>
          </w:p>
        </w:tc>
        <w:tc>
          <w:tcPr>
            <w:tcW w:w="1064" w:type="dxa"/>
            <w:tcBorders>
              <w:top w:val="single" w:sz="8" w:space="0" w:color="auto"/>
              <w:left w:val="single" w:sz="8" w:space="0" w:color="auto"/>
              <w:bottom w:val="single" w:sz="8" w:space="0" w:color="auto"/>
              <w:right w:val="single" w:sz="8" w:space="0" w:color="auto"/>
            </w:tcBorders>
            <w:shd w:val="clear" w:color="auto" w:fill="C6EFCE"/>
            <w:vAlign w:val="center"/>
          </w:tcPr>
          <w:p w14:paraId="13C20C41" w14:textId="77777777" w:rsidR="00025543" w:rsidRDefault="007E3A2F">
            <w:pPr>
              <w:pStyle w:val="P68B1DB1-Normal28"/>
              <w:spacing w:line="240" w:lineRule="auto"/>
              <w:jc w:val="center"/>
              <w:rPr>
                <w:noProof/>
              </w:rPr>
            </w:pPr>
            <w:r>
              <w:rPr>
                <w:noProof/>
              </w:rPr>
              <w:t>2026</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165CD050" w14:textId="77777777" w:rsidR="00025543" w:rsidRDefault="007E3A2F">
            <w:pPr>
              <w:pStyle w:val="P68B1DB1-Normal28"/>
              <w:spacing w:line="240" w:lineRule="auto"/>
              <w:rPr>
                <w:noProof/>
              </w:rPr>
            </w:pPr>
            <w:r>
              <w:rPr>
                <w:noProof/>
              </w:rPr>
              <w:t xml:space="preserve">Au moins 35 nouveaux programmes d’études feront l’objet d’une accréditation, dont: </w:t>
            </w:r>
          </w:p>
          <w:p w14:paraId="01B05778" w14:textId="5F42920D" w:rsidR="00025543" w:rsidRDefault="007E3A2F">
            <w:pPr>
              <w:pStyle w:val="P68B1DB1-Normal28"/>
              <w:numPr>
                <w:ilvl w:val="0"/>
                <w:numId w:val="201"/>
              </w:numPr>
              <w:spacing w:before="0" w:after="0" w:line="240" w:lineRule="auto"/>
              <w:rPr>
                <w:noProof/>
              </w:rPr>
            </w:pPr>
            <w:r>
              <w:rPr>
                <w:noProof/>
              </w:rPr>
              <w:t>au moins 15 programmes d’études relèvent des secteurs identifiés comme étant des secteurs à forte croissance et à forte valeur ajoutée souffrant d’un manque de spécialistes hautement qualifiés;</w:t>
            </w:r>
          </w:p>
          <w:p w14:paraId="6518583B" w14:textId="77777777" w:rsidR="00025543" w:rsidRDefault="007E3A2F">
            <w:pPr>
              <w:pStyle w:val="P68B1DB1-Normal28"/>
              <w:numPr>
                <w:ilvl w:val="0"/>
                <w:numId w:val="201"/>
              </w:numPr>
              <w:spacing w:before="0" w:after="0" w:line="240" w:lineRule="auto"/>
              <w:rPr>
                <w:noProof/>
              </w:rPr>
            </w:pPr>
            <w:r>
              <w:rPr>
                <w:noProof/>
              </w:rPr>
              <w:t>au moins 20 nouveaux programmes d’études (licence ou master) doivent avoir un profil professionnel.  </w:t>
            </w:r>
          </w:p>
        </w:tc>
      </w:tr>
      <w:tr w:rsidR="00025543" w14:paraId="6A72AE9D"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2C004359" w14:textId="77777777" w:rsidR="00025543" w:rsidRDefault="007E3A2F">
            <w:pPr>
              <w:pStyle w:val="P68B1DB1-Normal28"/>
              <w:spacing w:line="240" w:lineRule="auto"/>
              <w:jc w:val="center"/>
              <w:rPr>
                <w:noProof/>
              </w:rPr>
            </w:pPr>
            <w:r>
              <w:rPr>
                <w:noProof/>
              </w:rPr>
              <w:t>178</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21246CA6" w14:textId="77777777" w:rsidR="00025543" w:rsidRDefault="007E3A2F">
            <w:pPr>
              <w:pStyle w:val="P68B1DB1-Normal28"/>
              <w:spacing w:line="240" w:lineRule="auto"/>
              <w:rPr>
                <w:noProof/>
              </w:rPr>
            </w:pPr>
            <w:r>
              <w:rPr>
                <w:noProof/>
              </w:rPr>
              <w:t>Réforme 1: Transformation des universités pour s’adapter aux nouvelles formes d’apprentissage et à l’évolution des besoins du marché du travail</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D68E271" w14:textId="77777777" w:rsidR="00025543" w:rsidRDefault="007E3A2F">
            <w:pPr>
              <w:pStyle w:val="P68B1DB1-Normal28"/>
              <w:spacing w:line="240" w:lineRule="auto"/>
              <w:rPr>
                <w:noProof/>
              </w:rPr>
            </w:pPr>
            <w:r>
              <w:rPr>
                <w:noProof/>
              </w:rPr>
              <w:t>Cible</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0BC3BD21" w14:textId="77777777" w:rsidR="00025543" w:rsidRDefault="007E3A2F">
            <w:pPr>
              <w:pStyle w:val="P68B1DB1-Normal28"/>
              <w:spacing w:line="240" w:lineRule="auto"/>
              <w:rPr>
                <w:rFonts w:eastAsia="Times New Roman"/>
                <w:noProof/>
              </w:rPr>
            </w:pPr>
            <w:r>
              <w:rPr>
                <w:noProof/>
              </w:rPr>
              <w:t>Nombre de nouveaux cours de reconversion et de perfectionnement professionnels</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6F3B57AD" w14:textId="77777777" w:rsidR="00025543" w:rsidRDefault="00025543">
            <w:pPr>
              <w:spacing w:line="240" w:lineRule="auto"/>
              <w:rPr>
                <w:rFonts w:eastAsia="Times New Roman"/>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29F8CFF" w14:textId="77777777" w:rsidR="00025543" w:rsidRDefault="007E3A2F">
            <w:pPr>
              <w:pStyle w:val="P68B1DB1-Normal28"/>
              <w:spacing w:line="240" w:lineRule="auto"/>
              <w:rPr>
                <w:noProof/>
              </w:rPr>
            </w:pPr>
            <w:r>
              <w:rPr>
                <w:noProof/>
              </w:rPr>
              <w:t xml:space="preserve">Numéro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4DF0E3EF" w14:textId="77777777" w:rsidR="00025543" w:rsidRDefault="007E3A2F">
            <w:pPr>
              <w:pStyle w:val="P68B1DB1-Normal28"/>
              <w:spacing w:line="240" w:lineRule="auto"/>
              <w:jc w:val="center"/>
              <w:rPr>
                <w:noProof/>
              </w:rPr>
            </w:pPr>
            <w:r>
              <w:rPr>
                <w:noProof/>
              </w:rPr>
              <w:t>0</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14:paraId="2D6524BD" w14:textId="77777777" w:rsidR="00025543" w:rsidRDefault="007E3A2F">
            <w:pPr>
              <w:pStyle w:val="P68B1DB1-Normal28"/>
              <w:spacing w:line="240" w:lineRule="auto"/>
              <w:jc w:val="center"/>
              <w:rPr>
                <w:noProof/>
              </w:rPr>
            </w:pPr>
            <w:r>
              <w:rPr>
                <w:noProof/>
              </w:rPr>
              <w:t>20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14:paraId="1C3F2321" w14:textId="77777777" w:rsidR="00025543" w:rsidRDefault="007E3A2F">
            <w:pPr>
              <w:pStyle w:val="P68B1DB1-Normal28"/>
              <w:spacing w:line="240" w:lineRule="auto"/>
              <w:jc w:val="center"/>
              <w:rPr>
                <w:noProof/>
              </w:rPr>
            </w:pPr>
            <w:r>
              <w:rPr>
                <w:noProof/>
              </w:rPr>
              <w:t>TRIMESTRE 1</w:t>
            </w:r>
          </w:p>
        </w:tc>
        <w:tc>
          <w:tcPr>
            <w:tcW w:w="1064" w:type="dxa"/>
            <w:tcBorders>
              <w:top w:val="single" w:sz="8" w:space="0" w:color="auto"/>
              <w:left w:val="single" w:sz="8" w:space="0" w:color="auto"/>
              <w:bottom w:val="single" w:sz="8" w:space="0" w:color="auto"/>
              <w:right w:val="single" w:sz="8" w:space="0" w:color="auto"/>
            </w:tcBorders>
            <w:shd w:val="clear" w:color="auto" w:fill="C6EFCE"/>
            <w:vAlign w:val="center"/>
          </w:tcPr>
          <w:p w14:paraId="3D3372DE" w14:textId="77777777" w:rsidR="00025543" w:rsidRDefault="007E3A2F">
            <w:pPr>
              <w:pStyle w:val="P68B1DB1-Normal28"/>
              <w:spacing w:line="240" w:lineRule="auto"/>
              <w:jc w:val="center"/>
              <w:rPr>
                <w:noProof/>
              </w:rPr>
            </w:pPr>
            <w:r>
              <w:rPr>
                <w:noProof/>
              </w:rPr>
              <w:t>2026</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79CA8C3B" w14:textId="0448BC6A" w:rsidR="00025543" w:rsidRDefault="007E3A2F">
            <w:pPr>
              <w:pStyle w:val="P68B1DB1-Normal28"/>
              <w:spacing w:line="240" w:lineRule="auto"/>
              <w:rPr>
                <w:rFonts w:eastAsia="Times New Roman"/>
                <w:noProof/>
              </w:rPr>
            </w:pPr>
            <w:r>
              <w:rPr>
                <w:noProof/>
              </w:rPr>
              <w:t>Au moins 20 nouveaux cours axés sur le perfectionnement ou la reconversion professionnelle (y compris les formulaires de microcertification) seront créés et proposés par les universités.</w:t>
            </w:r>
          </w:p>
        </w:tc>
      </w:tr>
      <w:tr w:rsidR="00025543" w14:paraId="387C6EB3" w14:textId="77777777">
        <w:trPr>
          <w:trHeight w:val="2846"/>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4CA1AE8D" w14:textId="77777777" w:rsidR="00025543" w:rsidRDefault="007E3A2F">
            <w:pPr>
              <w:pStyle w:val="P68B1DB1-Normal28"/>
              <w:spacing w:line="240" w:lineRule="auto"/>
              <w:jc w:val="center"/>
              <w:rPr>
                <w:noProof/>
              </w:rPr>
            </w:pPr>
            <w:r>
              <w:rPr>
                <w:noProof/>
              </w:rPr>
              <w:t>179</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71B2382D" w14:textId="77777777" w:rsidR="00025543" w:rsidRDefault="007E3A2F">
            <w:pPr>
              <w:pStyle w:val="P68B1DB1-Normal28"/>
              <w:spacing w:line="240" w:lineRule="auto"/>
              <w:rPr>
                <w:noProof/>
              </w:rPr>
            </w:pPr>
            <w:r>
              <w:rPr>
                <w:noProof/>
              </w:rPr>
              <w:t>Investissement 1: Développement de sites universitaires clés sélectionnés</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D221832" w14:textId="77777777" w:rsidR="00025543" w:rsidRDefault="007E3A2F">
            <w:pPr>
              <w:pStyle w:val="P68B1DB1-Normal28"/>
              <w:spacing w:line="240" w:lineRule="auto"/>
              <w:rPr>
                <w:noProof/>
              </w:rPr>
            </w:pPr>
            <w:r>
              <w:rPr>
                <w:noProof/>
              </w:rPr>
              <w:t xml:space="preserve">Étapes </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00072E21" w14:textId="77777777" w:rsidR="00025543" w:rsidRDefault="007E3A2F">
            <w:pPr>
              <w:pStyle w:val="P68B1DB1-Normal11"/>
              <w:spacing w:line="240" w:lineRule="auto"/>
              <w:rPr>
                <w:noProof/>
              </w:rPr>
            </w:pPr>
            <w:r>
              <w:rPr>
                <w:noProof/>
              </w:rPr>
              <w:t xml:space="preserve">Attribution de marchés pour la construction de nouvelles installations universitaires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2E81540C" w14:textId="77777777" w:rsidR="00025543" w:rsidRDefault="007E3A2F">
            <w:pPr>
              <w:pStyle w:val="P68B1DB1-Normal11"/>
              <w:spacing w:line="240" w:lineRule="auto"/>
              <w:rPr>
                <w:noProof/>
              </w:rPr>
            </w:pPr>
            <w:r>
              <w:rPr>
                <w:noProof/>
              </w:rPr>
              <w:t>Notification du prix pour la construction de nouvelles installations universitaires</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28222B5" w14:textId="77777777" w:rsidR="00025543" w:rsidRDefault="00025543">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457A52C5" w14:textId="77777777" w:rsidR="00025543" w:rsidRDefault="00025543">
            <w:pPr>
              <w:spacing w:line="240" w:lineRule="auto"/>
              <w:jc w:val="center"/>
              <w:rPr>
                <w:noProof/>
                <w:color w:val="006100"/>
                <w:sz w:val="18"/>
              </w:rPr>
            </w:pP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14:paraId="00C62151" w14:textId="77777777" w:rsidR="00025543" w:rsidRDefault="00025543">
            <w:pPr>
              <w:spacing w:line="240" w:lineRule="auto"/>
              <w:jc w:val="center"/>
              <w:rPr>
                <w:noProof/>
                <w:color w:val="006100"/>
                <w:sz w:val="18"/>
              </w:rPr>
            </w:pP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14:paraId="4BF8DA6B" w14:textId="77777777" w:rsidR="00025543" w:rsidRDefault="007E3A2F">
            <w:pPr>
              <w:pStyle w:val="P68B1DB1-Normal28"/>
              <w:spacing w:line="240" w:lineRule="auto"/>
              <w:jc w:val="center"/>
              <w:rPr>
                <w:noProof/>
              </w:rPr>
            </w:pPr>
            <w:r>
              <w:rPr>
                <w:noProof/>
              </w:rPr>
              <w:t>TRIMESTRE 2</w:t>
            </w:r>
          </w:p>
        </w:tc>
        <w:tc>
          <w:tcPr>
            <w:tcW w:w="1064" w:type="dxa"/>
            <w:tcBorders>
              <w:top w:val="single" w:sz="8" w:space="0" w:color="auto"/>
              <w:left w:val="single" w:sz="8" w:space="0" w:color="auto"/>
              <w:bottom w:val="single" w:sz="8" w:space="0" w:color="auto"/>
              <w:right w:val="single" w:sz="8" w:space="0" w:color="auto"/>
            </w:tcBorders>
            <w:shd w:val="clear" w:color="auto" w:fill="C6EFCE"/>
            <w:vAlign w:val="center"/>
          </w:tcPr>
          <w:p w14:paraId="24E02B57" w14:textId="77777777" w:rsidR="00025543" w:rsidRDefault="007E3A2F">
            <w:pPr>
              <w:pStyle w:val="P68B1DB1-Normal28"/>
              <w:spacing w:line="240" w:lineRule="auto"/>
              <w:jc w:val="center"/>
              <w:rPr>
                <w:noProof/>
              </w:rPr>
            </w:pPr>
            <w:r>
              <w:rPr>
                <w:noProof/>
              </w:rPr>
              <w:t>2024</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46EB8032" w14:textId="77777777" w:rsidR="00025543" w:rsidRDefault="007E3A2F">
            <w:pPr>
              <w:pStyle w:val="P68B1DB1-Normal11"/>
              <w:spacing w:after="240" w:line="240" w:lineRule="auto"/>
              <w:rPr>
                <w:noProof/>
              </w:rPr>
            </w:pPr>
            <w:r>
              <w:rPr>
                <w:noProof/>
              </w:rPr>
              <w:t>Notification de l’attribution des marchés publics pour la construction de nouvelles installations universitaires, avec l’objectif de 100 000 m² de nouvelle surface universitaire comprenant des équipements matériels, ventilés:</w:t>
            </w:r>
          </w:p>
          <w:p w14:paraId="53A1E4F7" w14:textId="77777777" w:rsidR="00025543" w:rsidRDefault="007E3A2F">
            <w:pPr>
              <w:pStyle w:val="P68B1DB1-Normal11"/>
              <w:numPr>
                <w:ilvl w:val="0"/>
                <w:numId w:val="168"/>
              </w:numPr>
              <w:spacing w:after="240" w:line="259" w:lineRule="auto"/>
              <w:ind w:left="382" w:hanging="283"/>
              <w:contextualSpacing/>
              <w:rPr>
                <w:noProof/>
              </w:rPr>
            </w:pPr>
            <w:r>
              <w:rPr>
                <w:noProof/>
              </w:rPr>
              <w:t xml:space="preserve">Mephared 2 (université Charles, Hradec Králové) — 58 092 m² </w:t>
            </w:r>
          </w:p>
          <w:p w14:paraId="04D9B9AA" w14:textId="77777777" w:rsidR="00025543" w:rsidRDefault="007E3A2F">
            <w:pPr>
              <w:pStyle w:val="P68B1DB1-Normal11"/>
              <w:numPr>
                <w:ilvl w:val="0"/>
                <w:numId w:val="168"/>
              </w:numPr>
              <w:spacing w:after="240" w:line="259" w:lineRule="auto"/>
              <w:ind w:left="382" w:hanging="283"/>
              <w:contextualSpacing/>
              <w:rPr>
                <w:noProof/>
              </w:rPr>
            </w:pPr>
            <w:r>
              <w:rPr>
                <w:noProof/>
              </w:rPr>
              <w:t>BIOCENTRUM (Université Charles, Prague-Albertov) — 33 934 m²</w:t>
            </w:r>
          </w:p>
          <w:p w14:paraId="2FB471BF" w14:textId="77777777" w:rsidR="00025543" w:rsidRDefault="007E3A2F">
            <w:pPr>
              <w:pStyle w:val="P68B1DB1-Normal11"/>
              <w:numPr>
                <w:ilvl w:val="0"/>
                <w:numId w:val="168"/>
              </w:numPr>
              <w:spacing w:after="240" w:line="259" w:lineRule="auto"/>
              <w:ind w:left="382" w:hanging="283"/>
              <w:contextualSpacing/>
              <w:rPr>
                <w:i/>
                <w:noProof/>
              </w:rPr>
            </w:pPr>
            <w:r>
              <w:rPr>
                <w:noProof/>
              </w:rPr>
              <w:t>BiopharmaHub (université Masaryk, Brno) — 19 035 m²</w:t>
            </w:r>
          </w:p>
        </w:tc>
      </w:tr>
      <w:tr w:rsidR="00025543" w14:paraId="4036E025"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18AF995A" w14:textId="77777777" w:rsidR="00025543" w:rsidRDefault="007E3A2F">
            <w:pPr>
              <w:pStyle w:val="P68B1DB1-Normal28"/>
              <w:spacing w:line="240" w:lineRule="auto"/>
              <w:jc w:val="center"/>
              <w:rPr>
                <w:noProof/>
              </w:rPr>
            </w:pPr>
            <w:r>
              <w:rPr>
                <w:noProof/>
              </w:rPr>
              <w:t>180</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239AE0BF" w14:textId="77777777" w:rsidR="00025543" w:rsidRDefault="007E3A2F">
            <w:pPr>
              <w:pStyle w:val="P68B1DB1-Normal28"/>
              <w:spacing w:line="240" w:lineRule="auto"/>
              <w:rPr>
                <w:noProof/>
              </w:rPr>
            </w:pPr>
            <w:r>
              <w:rPr>
                <w:noProof/>
              </w:rPr>
              <w:t>Investissement 1: Développement de sites universitaires clés sélectionnés</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7ACCB11" w14:textId="77777777" w:rsidR="00025543" w:rsidRDefault="007E3A2F">
            <w:pPr>
              <w:pStyle w:val="P68B1DB1-Normal28"/>
              <w:spacing w:line="240" w:lineRule="auto"/>
              <w:rPr>
                <w:noProof/>
              </w:rPr>
            </w:pPr>
            <w:r>
              <w:rPr>
                <w:noProof/>
              </w:rPr>
              <w:t>Cible</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0AF71030" w14:textId="77777777" w:rsidR="00025543" w:rsidRDefault="007E3A2F">
            <w:pPr>
              <w:pStyle w:val="P68B1DB1-Normal28"/>
              <w:spacing w:line="240" w:lineRule="auto"/>
              <w:rPr>
                <w:noProof/>
              </w:rPr>
            </w:pPr>
            <w:r>
              <w:rPr>
                <w:noProof/>
              </w:rPr>
              <w:t xml:space="preserve">Nombre de mètres carrés de la nouvelle zone universitaire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4334C014" w14:textId="77777777" w:rsidR="00025543" w:rsidRDefault="00025543">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9B99369" w14:textId="77777777" w:rsidR="00025543" w:rsidRDefault="007E3A2F">
            <w:pPr>
              <w:pStyle w:val="P68B1DB1-Normal28"/>
              <w:spacing w:line="240" w:lineRule="auto"/>
              <w:rPr>
                <w:noProof/>
              </w:rPr>
            </w:pPr>
            <w:r>
              <w:rPr>
                <w:noProof/>
              </w:rPr>
              <w:t xml:space="preserve">numéro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F58FC4F" w14:textId="77777777" w:rsidR="00025543" w:rsidRDefault="007E3A2F">
            <w:pPr>
              <w:pStyle w:val="P68B1DB1-Normal28"/>
              <w:spacing w:line="240" w:lineRule="auto"/>
              <w:jc w:val="center"/>
              <w:rPr>
                <w:noProof/>
              </w:rPr>
            </w:pPr>
            <w:r>
              <w:rPr>
                <w:noProof/>
              </w:rPr>
              <w:t>0</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14:paraId="53D44262" w14:textId="77777777" w:rsidR="00025543" w:rsidRDefault="007E3A2F">
            <w:pPr>
              <w:pStyle w:val="P68B1DB1-Normal28"/>
              <w:spacing w:line="240" w:lineRule="auto"/>
              <w:jc w:val="center"/>
              <w:rPr>
                <w:noProof/>
              </w:rPr>
            </w:pPr>
            <w:r>
              <w:rPr>
                <w:noProof/>
              </w:rPr>
              <w:t>100 000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14:paraId="110381B8" w14:textId="77777777" w:rsidR="00025543" w:rsidRDefault="007E3A2F">
            <w:pPr>
              <w:pStyle w:val="P68B1DB1-Normal12"/>
              <w:spacing w:line="240" w:lineRule="auto"/>
              <w:jc w:val="center"/>
              <w:rPr>
                <w:noProof/>
                <w:color w:val="006100"/>
              </w:rPr>
            </w:pPr>
            <w:r>
              <w:rPr>
                <w:noProof/>
              </w:rPr>
              <w:t xml:space="preserve">  </w:t>
            </w:r>
            <w:r>
              <w:rPr>
                <w:noProof/>
                <w:color w:val="006100"/>
              </w:rPr>
              <w:t>TRIMESTRE 2</w:t>
            </w:r>
          </w:p>
        </w:tc>
        <w:tc>
          <w:tcPr>
            <w:tcW w:w="1064" w:type="dxa"/>
            <w:tcBorders>
              <w:top w:val="single" w:sz="8" w:space="0" w:color="auto"/>
              <w:left w:val="single" w:sz="8" w:space="0" w:color="auto"/>
              <w:bottom w:val="single" w:sz="8" w:space="0" w:color="auto"/>
              <w:right w:val="single" w:sz="8" w:space="0" w:color="auto"/>
            </w:tcBorders>
            <w:shd w:val="clear" w:color="auto" w:fill="C6EFCE"/>
            <w:vAlign w:val="center"/>
          </w:tcPr>
          <w:p w14:paraId="4E943AB2" w14:textId="77777777" w:rsidR="00025543" w:rsidRDefault="007E3A2F">
            <w:pPr>
              <w:pStyle w:val="P68B1DB1-Normal28"/>
              <w:spacing w:line="240" w:lineRule="auto"/>
              <w:jc w:val="center"/>
              <w:rPr>
                <w:noProof/>
              </w:rPr>
            </w:pPr>
            <w:r>
              <w:rPr>
                <w:noProof/>
              </w:rPr>
              <w:t>2026</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279CAA1D" w14:textId="77777777" w:rsidR="00025543" w:rsidRDefault="007E3A2F">
            <w:pPr>
              <w:pStyle w:val="P68B1DB1-Normal11"/>
              <w:spacing w:after="240" w:line="240" w:lineRule="auto"/>
              <w:rPr>
                <w:noProof/>
              </w:rPr>
            </w:pPr>
            <w:r>
              <w:rPr>
                <w:noProof/>
              </w:rPr>
              <w:t>Sur l’objectif global de construction de 111 000 m², au moins 100 000 m² de nouvelles surfaces universitaires seront construits.</w:t>
            </w:r>
          </w:p>
        </w:tc>
      </w:tr>
      <w:tr w:rsidR="00025543" w14:paraId="540A7F1E"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1441BB78" w14:textId="77777777" w:rsidR="00025543" w:rsidRDefault="007E3A2F">
            <w:pPr>
              <w:pStyle w:val="P68B1DB1-Normal28"/>
              <w:spacing w:line="240" w:lineRule="auto"/>
              <w:jc w:val="center"/>
              <w:rPr>
                <w:noProof/>
              </w:rPr>
            </w:pPr>
            <w:r>
              <w:rPr>
                <w:noProof/>
              </w:rPr>
              <w:t>181</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38C19DC5" w14:textId="77777777" w:rsidR="00025543" w:rsidRDefault="007E3A2F">
            <w:pPr>
              <w:pStyle w:val="P68B1DB1-Normal28"/>
              <w:spacing w:line="240" w:lineRule="auto"/>
              <w:rPr>
                <w:noProof/>
              </w:rPr>
            </w:pPr>
            <w:r>
              <w:rPr>
                <w:noProof/>
              </w:rPr>
              <w:t>Réforme 2: Soutien aux écoles défavorisées</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76CE6ABA" w14:textId="77777777" w:rsidR="00025543" w:rsidRDefault="007E3A2F">
            <w:pPr>
              <w:pStyle w:val="P68B1DB1-Normal28"/>
              <w:spacing w:line="240" w:lineRule="auto"/>
              <w:rPr>
                <w:noProof/>
              </w:rPr>
            </w:pPr>
            <w:r>
              <w:rPr>
                <w:noProof/>
              </w:rPr>
              <w:t>Cible</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67E14B71" w14:textId="77777777" w:rsidR="00025543" w:rsidRDefault="007E3A2F">
            <w:pPr>
              <w:pStyle w:val="P68B1DB1-Normal28"/>
              <w:spacing w:line="240" w:lineRule="auto"/>
              <w:rPr>
                <w:noProof/>
              </w:rPr>
            </w:pPr>
            <w:r>
              <w:rPr>
                <w:noProof/>
              </w:rPr>
              <w:t xml:space="preserve">Nombre d’écoles défavorisées bénéficiant d’un soutien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49182137" w14:textId="77777777" w:rsidR="00025543" w:rsidRDefault="00025543">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DBF1BCA" w14:textId="77777777" w:rsidR="00025543" w:rsidRDefault="007E3A2F">
            <w:pPr>
              <w:pStyle w:val="P68B1DB1-Normal28"/>
              <w:spacing w:line="240" w:lineRule="auto"/>
              <w:rPr>
                <w:noProof/>
              </w:rPr>
            </w:pPr>
            <w:r>
              <w:rPr>
                <w:noProof/>
              </w:rPr>
              <w:t xml:space="preserve">Numéro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799E1EE" w14:textId="77777777" w:rsidR="00025543" w:rsidRDefault="007E3A2F">
            <w:pPr>
              <w:pStyle w:val="P68B1DB1-Normal28"/>
              <w:spacing w:line="240" w:lineRule="auto"/>
              <w:jc w:val="center"/>
              <w:rPr>
                <w:noProof/>
              </w:rPr>
            </w:pPr>
            <w:r>
              <w:rPr>
                <w:noProof/>
              </w:rPr>
              <w:t>0</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14:paraId="157D6797" w14:textId="77777777" w:rsidR="00025543" w:rsidRDefault="007E3A2F">
            <w:pPr>
              <w:pStyle w:val="P68B1DB1-Normal28"/>
              <w:spacing w:line="240" w:lineRule="auto"/>
              <w:jc w:val="center"/>
              <w:rPr>
                <w:noProof/>
              </w:rPr>
            </w:pPr>
            <w:r>
              <w:rPr>
                <w:noProof/>
              </w:rPr>
              <w:t>400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14:paraId="06FBD690" w14:textId="77777777" w:rsidR="00025543" w:rsidRDefault="007E3A2F">
            <w:pPr>
              <w:pStyle w:val="P68B1DB1-Normal28"/>
              <w:spacing w:line="240" w:lineRule="auto"/>
              <w:jc w:val="center"/>
              <w:rPr>
                <w:rFonts w:eastAsia="Times New Roman"/>
                <w:noProof/>
              </w:rPr>
            </w:pPr>
            <w:r>
              <w:rPr>
                <w:noProof/>
              </w:rPr>
              <w:t>TRIMESTRE 4</w:t>
            </w:r>
          </w:p>
        </w:tc>
        <w:tc>
          <w:tcPr>
            <w:tcW w:w="1064" w:type="dxa"/>
            <w:tcBorders>
              <w:top w:val="single" w:sz="8" w:space="0" w:color="auto"/>
              <w:left w:val="single" w:sz="8" w:space="0" w:color="auto"/>
              <w:bottom w:val="single" w:sz="8" w:space="0" w:color="auto"/>
              <w:right w:val="single" w:sz="8" w:space="0" w:color="auto"/>
            </w:tcBorders>
            <w:shd w:val="clear" w:color="auto" w:fill="C6EFCE"/>
            <w:vAlign w:val="center"/>
          </w:tcPr>
          <w:p w14:paraId="06630977" w14:textId="77777777" w:rsidR="00025543" w:rsidRDefault="007E3A2F">
            <w:pPr>
              <w:pStyle w:val="P68B1DB1-Normal28"/>
              <w:spacing w:line="240" w:lineRule="auto"/>
              <w:jc w:val="center"/>
              <w:rPr>
                <w:noProof/>
              </w:rPr>
            </w:pPr>
            <w:r>
              <w:rPr>
                <w:noProof/>
              </w:rPr>
              <w:t>2025</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206EC1B8" w14:textId="77777777" w:rsidR="00025543" w:rsidRDefault="007E3A2F">
            <w:pPr>
              <w:pStyle w:val="P68B1DB1-Normal28"/>
              <w:spacing w:line="240" w:lineRule="auto"/>
              <w:rPr>
                <w:noProof/>
              </w:rPr>
            </w:pPr>
            <w:r>
              <w:rPr>
                <w:noProof/>
              </w:rPr>
              <w:t xml:space="preserve">Le programme apportera un soutien à au moins 400 écoles comptant une proportion élevée d’élèves défavorisés. Le soutien est axé sur la formation des enseignants à travailler avec des groupes hétérogènes et des élèves défavorisés. La sélection des écoles est effectuée par l’Institut national de pédagogie en coopération avec l’inspection scolaire tchèque, sur la base d’un ensemble de critères, tels que la proportion d’élèves défavorisés, la proportion d’élèves ayant des langues maternelles différentes et les résultats scolaires de l’école. </w:t>
            </w:r>
          </w:p>
        </w:tc>
      </w:tr>
      <w:tr w:rsidR="00025543" w14:paraId="5EC692FE" w14:textId="77777777">
        <w:trPr>
          <w:trHeight w:val="436"/>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31BB827B" w14:textId="77777777" w:rsidR="00025543" w:rsidRDefault="007E3A2F">
            <w:pPr>
              <w:pStyle w:val="P68B1DB1-Normal28"/>
              <w:spacing w:line="240" w:lineRule="auto"/>
              <w:jc w:val="center"/>
              <w:rPr>
                <w:noProof/>
              </w:rPr>
            </w:pPr>
            <w:r>
              <w:rPr>
                <w:noProof/>
              </w:rPr>
              <w:t>182</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018987B2" w14:textId="77777777" w:rsidR="00025543" w:rsidRDefault="007E3A2F">
            <w:pPr>
              <w:pStyle w:val="P68B1DB1-Normal28"/>
              <w:spacing w:line="240" w:lineRule="auto"/>
              <w:rPr>
                <w:noProof/>
              </w:rPr>
            </w:pPr>
            <w:r>
              <w:rPr>
                <w:noProof/>
              </w:rPr>
              <w:t>Réforme 2: Soutien aux écoles défavorisées</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1427776E" w14:textId="77777777" w:rsidR="00025543" w:rsidRDefault="007E3A2F">
            <w:pPr>
              <w:pStyle w:val="P68B1DB1-Normal28"/>
              <w:spacing w:line="240" w:lineRule="auto"/>
              <w:rPr>
                <w:noProof/>
              </w:rPr>
            </w:pPr>
            <w:r>
              <w:rPr>
                <w:noProof/>
              </w:rPr>
              <w:t>Étapes</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491D808B" w14:textId="77777777" w:rsidR="00025543" w:rsidRDefault="007E3A2F">
            <w:pPr>
              <w:pStyle w:val="P68B1DB1-Normal28"/>
              <w:spacing w:line="240" w:lineRule="auto"/>
              <w:rPr>
                <w:noProof/>
              </w:rPr>
            </w:pPr>
            <w:r>
              <w:rPr>
                <w:noProof/>
              </w:rPr>
              <w:t>Proposition d’un nouveau système de financement des écoles en fonction des désavantages socio-économiques</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0BD921B7" w14:textId="77777777" w:rsidR="00025543" w:rsidRDefault="007E3A2F">
            <w:pPr>
              <w:pStyle w:val="P68B1DB1-Normal28"/>
              <w:spacing w:line="240" w:lineRule="auto"/>
              <w:rPr>
                <w:noProof/>
              </w:rPr>
            </w:pPr>
            <w:r>
              <w:rPr>
                <w:noProof/>
              </w:rPr>
              <w:t>Approbation par le ministère de l’éducation, de la jeunesse et des sports de la proposition de financement par index</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3EF10BF" w14:textId="77777777" w:rsidR="00025543" w:rsidRDefault="00025543">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56229C2" w14:textId="77777777" w:rsidR="00025543" w:rsidRDefault="00025543">
            <w:pPr>
              <w:spacing w:line="240" w:lineRule="auto"/>
              <w:jc w:val="center"/>
              <w:rPr>
                <w:noProof/>
                <w:color w:val="006100"/>
                <w:sz w:val="18"/>
              </w:rPr>
            </w:pP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14:paraId="41E8BE0F" w14:textId="77777777" w:rsidR="00025543" w:rsidRDefault="00025543">
            <w:pPr>
              <w:spacing w:line="240" w:lineRule="auto"/>
              <w:jc w:val="center"/>
              <w:rPr>
                <w:noProof/>
                <w:color w:val="006100"/>
                <w:sz w:val="18"/>
              </w:rPr>
            </w:pP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14:paraId="18D02356" w14:textId="77777777" w:rsidR="00025543" w:rsidRDefault="007E3A2F">
            <w:pPr>
              <w:pStyle w:val="P68B1DB1-Normal28"/>
              <w:spacing w:line="240" w:lineRule="auto"/>
              <w:jc w:val="center"/>
              <w:rPr>
                <w:rFonts w:eastAsia="Times New Roman"/>
                <w:noProof/>
              </w:rPr>
            </w:pPr>
            <w:r>
              <w:rPr>
                <w:noProof/>
              </w:rPr>
              <w:t>TRIMESTRE 4</w:t>
            </w:r>
          </w:p>
        </w:tc>
        <w:tc>
          <w:tcPr>
            <w:tcW w:w="1064" w:type="dxa"/>
            <w:tcBorders>
              <w:top w:val="single" w:sz="8" w:space="0" w:color="auto"/>
              <w:left w:val="single" w:sz="8" w:space="0" w:color="auto"/>
              <w:bottom w:val="single" w:sz="8" w:space="0" w:color="auto"/>
              <w:right w:val="single" w:sz="8" w:space="0" w:color="auto"/>
            </w:tcBorders>
            <w:shd w:val="clear" w:color="auto" w:fill="C6EFCE"/>
            <w:vAlign w:val="center"/>
          </w:tcPr>
          <w:p w14:paraId="03E86493" w14:textId="77777777" w:rsidR="00025543" w:rsidRDefault="007E3A2F">
            <w:pPr>
              <w:pStyle w:val="P68B1DB1-Normal28"/>
              <w:spacing w:line="240" w:lineRule="auto"/>
              <w:jc w:val="center"/>
              <w:rPr>
                <w:noProof/>
              </w:rPr>
            </w:pPr>
            <w:r>
              <w:rPr>
                <w:noProof/>
              </w:rPr>
              <w:t>2025</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05671613" w14:textId="77777777" w:rsidR="00025543" w:rsidRDefault="007E3A2F">
            <w:pPr>
              <w:pStyle w:val="P68B1DB1-Normal28"/>
              <w:spacing w:line="240" w:lineRule="auto"/>
              <w:rPr>
                <w:noProof/>
              </w:rPr>
            </w:pPr>
            <w:r>
              <w:rPr>
                <w:noProof/>
              </w:rPr>
              <w:t xml:space="preserve">La proposition de financement par index sera fondée sur les résultats du programme de soutien aux écoles défavorisées dans le cadre de la réforme 2 (Soutien aux écoles défavorisées). L’indice tient compte de plusieurs indicateurs de l’avantage socio-économique des écoles, tels que les résultats scolaires, la proportion d’élèves présentant un désavantage social ou autre et la proportion d’élèves de langue maternelle différente. </w:t>
            </w:r>
          </w:p>
        </w:tc>
      </w:tr>
      <w:tr w:rsidR="00025543" w14:paraId="10C51663"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03020E0B" w14:textId="77777777" w:rsidR="00025543" w:rsidRDefault="007E3A2F">
            <w:pPr>
              <w:pStyle w:val="P68B1DB1-Normal28"/>
              <w:spacing w:line="240" w:lineRule="auto"/>
              <w:jc w:val="center"/>
              <w:rPr>
                <w:noProof/>
              </w:rPr>
            </w:pPr>
            <w:r>
              <w:rPr>
                <w:noProof/>
              </w:rPr>
              <w:t>183</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00E16177" w14:textId="77777777" w:rsidR="00025543" w:rsidRDefault="007E3A2F">
            <w:pPr>
              <w:pStyle w:val="P68B1DB1-Normal28"/>
              <w:spacing w:line="240" w:lineRule="auto"/>
              <w:rPr>
                <w:noProof/>
              </w:rPr>
            </w:pPr>
            <w:r>
              <w:rPr>
                <w:noProof/>
              </w:rPr>
              <w:t xml:space="preserve">Investissement 2: Tutorat des élèves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164BED0" w14:textId="77777777" w:rsidR="00025543" w:rsidRDefault="007E3A2F">
            <w:pPr>
              <w:pStyle w:val="P68B1DB1-Normal28"/>
              <w:spacing w:line="240" w:lineRule="auto"/>
              <w:rPr>
                <w:noProof/>
              </w:rPr>
            </w:pPr>
            <w:r>
              <w:rPr>
                <w:noProof/>
              </w:rPr>
              <w:t>Cible</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70F92551" w14:textId="2A8B116E" w:rsidR="00025543" w:rsidRDefault="007E3A2F">
            <w:pPr>
              <w:pStyle w:val="P68B1DB1-Normal28"/>
              <w:spacing w:line="240" w:lineRule="auto"/>
              <w:rPr>
                <w:noProof/>
              </w:rPr>
            </w:pPr>
            <w:r>
              <w:rPr>
                <w:noProof/>
              </w:rPr>
              <w:t xml:space="preserve">Nombre d’inscriptions individuelles pour des cours de tutorat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211999E0" w14:textId="77777777" w:rsidR="00025543" w:rsidRDefault="00025543">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E30ED2E" w14:textId="77777777" w:rsidR="00025543" w:rsidRDefault="007E3A2F">
            <w:pPr>
              <w:pStyle w:val="P68B1DB1-Normal28"/>
              <w:spacing w:line="240" w:lineRule="auto"/>
              <w:rPr>
                <w:noProof/>
              </w:rPr>
            </w:pPr>
            <w:r>
              <w:rPr>
                <w:noProof/>
              </w:rPr>
              <w:t xml:space="preserve">Numéro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607F080" w14:textId="77777777" w:rsidR="00025543" w:rsidRDefault="007E3A2F">
            <w:pPr>
              <w:pStyle w:val="P68B1DB1-Normal28"/>
              <w:spacing w:line="240" w:lineRule="auto"/>
              <w:jc w:val="center"/>
              <w:rPr>
                <w:noProof/>
              </w:rPr>
            </w:pPr>
            <w:r>
              <w:rPr>
                <w:noProof/>
              </w:rPr>
              <w:t>0</w:t>
            </w: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14:paraId="59A242D4" w14:textId="77777777" w:rsidR="00025543" w:rsidRDefault="007E3A2F">
            <w:pPr>
              <w:pStyle w:val="P68B1DB1-Normal28"/>
              <w:spacing w:line="240" w:lineRule="auto"/>
              <w:jc w:val="center"/>
              <w:rPr>
                <w:noProof/>
              </w:rPr>
            </w:pPr>
            <w:r>
              <w:rPr>
                <w:noProof/>
              </w:rPr>
              <w:t>500 000</w:t>
            </w:r>
          </w:p>
        </w:tc>
        <w:tc>
          <w:tcPr>
            <w:tcW w:w="992" w:type="dxa"/>
            <w:tcBorders>
              <w:top w:val="single" w:sz="8" w:space="0" w:color="auto"/>
              <w:left w:val="single" w:sz="8" w:space="0" w:color="auto"/>
              <w:bottom w:val="single" w:sz="8" w:space="0" w:color="auto"/>
              <w:right w:val="single" w:sz="8" w:space="0" w:color="auto"/>
            </w:tcBorders>
            <w:shd w:val="clear" w:color="auto" w:fill="C6EFCE"/>
            <w:vAlign w:val="center"/>
          </w:tcPr>
          <w:p w14:paraId="40EAA12C" w14:textId="77777777" w:rsidR="00025543" w:rsidRDefault="007E3A2F">
            <w:pPr>
              <w:pStyle w:val="P68B1DB1-Normal12"/>
              <w:spacing w:line="240" w:lineRule="auto"/>
              <w:jc w:val="center"/>
              <w:rPr>
                <w:rFonts w:eastAsia="Times New Roman"/>
                <w:noProof/>
              </w:rPr>
            </w:pPr>
            <w:r>
              <w:rPr>
                <w:noProof/>
              </w:rPr>
              <w:t xml:space="preserve">  </w:t>
            </w:r>
            <w:r>
              <w:rPr>
                <w:noProof/>
                <w:color w:val="006100"/>
              </w:rPr>
              <w:t>TRIMESTRE 4</w:t>
            </w:r>
          </w:p>
        </w:tc>
        <w:tc>
          <w:tcPr>
            <w:tcW w:w="1064" w:type="dxa"/>
            <w:tcBorders>
              <w:top w:val="single" w:sz="8" w:space="0" w:color="auto"/>
              <w:left w:val="single" w:sz="8" w:space="0" w:color="auto"/>
              <w:bottom w:val="single" w:sz="8" w:space="0" w:color="auto"/>
              <w:right w:val="single" w:sz="8" w:space="0" w:color="auto"/>
            </w:tcBorders>
            <w:shd w:val="clear" w:color="auto" w:fill="C6EFCE"/>
            <w:vAlign w:val="center"/>
          </w:tcPr>
          <w:p w14:paraId="0435ECE1" w14:textId="77777777" w:rsidR="00025543" w:rsidRDefault="007E3A2F">
            <w:pPr>
              <w:pStyle w:val="P68B1DB1-Normal28"/>
              <w:spacing w:line="240" w:lineRule="auto"/>
              <w:jc w:val="center"/>
              <w:rPr>
                <w:noProof/>
              </w:rPr>
            </w:pPr>
            <w:r>
              <w:rPr>
                <w:noProof/>
              </w:rPr>
              <w:t>2023</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2530C774" w14:textId="58E752D5" w:rsidR="00025543" w:rsidRDefault="007E3A2F">
            <w:pPr>
              <w:pStyle w:val="P68B1DB1-Normal28"/>
              <w:spacing w:line="240" w:lineRule="auto"/>
              <w:rPr>
                <w:noProof/>
              </w:rPr>
            </w:pPr>
            <w:r>
              <w:rPr>
                <w:noProof/>
              </w:rPr>
              <w:t>Un tutorat doit être dispensé au moyen d’au moins 500 000 inscriptions individuelles pour des cours de tutorat dispensés par les élèves tutorat visant à aider les élèves exposés au risque d’échec scolaire à rétablir des habitudes d’apprentissage et à acquérir les connaissances prescrites par les programmes d’études en mathématiques, en langue tchèque et en langue étrangère.</w:t>
            </w:r>
          </w:p>
          <w:p w14:paraId="23CD29B0" w14:textId="2EC8D6D0" w:rsidR="00025543" w:rsidRDefault="007E3A2F">
            <w:pPr>
              <w:pStyle w:val="P68B1DB1-Normal28"/>
              <w:spacing w:line="240" w:lineRule="auto"/>
              <w:rPr>
                <w:noProof/>
              </w:rPr>
            </w:pPr>
            <w:r>
              <w:rPr>
                <w:noProof/>
              </w:rPr>
              <w:t>Une évaluation des incidences de cette mesure est publiée.</w:t>
            </w:r>
          </w:p>
        </w:tc>
      </w:tr>
    </w:tbl>
    <w:p w14:paraId="028B8AAC" w14:textId="77777777" w:rsidR="00025543" w:rsidRDefault="00025543">
      <w:pPr>
        <w:pBdr>
          <w:top w:val="nil"/>
          <w:left w:val="nil"/>
          <w:bottom w:val="nil"/>
          <w:right w:val="nil"/>
          <w:between w:val="nil"/>
        </w:pBdr>
        <w:spacing w:line="240" w:lineRule="auto"/>
        <w:jc w:val="both"/>
        <w:rPr>
          <w:rFonts w:eastAsia="Times New Roman"/>
          <w:noProof/>
          <w:color w:val="000000"/>
        </w:rPr>
        <w:sectPr w:rsidR="00025543" w:rsidSect="003A6FF0">
          <w:headerReference w:type="even" r:id="rId300"/>
          <w:headerReference w:type="default" r:id="rId301"/>
          <w:footerReference w:type="even" r:id="rId302"/>
          <w:footerReference w:type="default" r:id="rId303"/>
          <w:headerReference w:type="first" r:id="rId304"/>
          <w:footerReference w:type="first" r:id="rId305"/>
          <w:pgSz w:w="16839" w:h="11907" w:orient="landscape"/>
          <w:pgMar w:top="1134" w:right="1134" w:bottom="1134" w:left="1134" w:header="567" w:footer="567" w:gutter="0"/>
          <w:cols w:space="708"/>
          <w:docGrid w:linePitch="326"/>
        </w:sectPr>
      </w:pPr>
    </w:p>
    <w:p w14:paraId="22FD4E5E" w14:textId="29329C28" w:rsidR="00025543" w:rsidRDefault="007E3A2F">
      <w:pPr>
        <w:pStyle w:val="P68B1DB1-Normal2"/>
        <w:keepNext/>
        <w:tabs>
          <w:tab w:val="left" w:pos="850"/>
        </w:tabs>
        <w:spacing w:line="240" w:lineRule="auto"/>
        <w:jc w:val="both"/>
        <w:outlineLvl w:val="0"/>
        <w:rPr>
          <w:noProof/>
        </w:rPr>
      </w:pPr>
      <w:r>
        <w:rPr>
          <w:noProof/>
        </w:rPr>
        <w:t xml:space="preserve">T. ELÉMENT 3.3: Modernisation des services de l’emploi et développement du marché du travail </w:t>
      </w:r>
    </w:p>
    <w:p w14:paraId="6AB436DA" w14:textId="77777777" w:rsidR="00025543" w:rsidRDefault="007E3A2F">
      <w:pPr>
        <w:pStyle w:val="P68B1DB1-Normal3"/>
        <w:spacing w:line="240" w:lineRule="auto"/>
        <w:jc w:val="both"/>
        <w:rPr>
          <w:noProof/>
        </w:rPr>
      </w:pPr>
      <w:r>
        <w:rPr>
          <w:noProof/>
        </w:rPr>
        <w:t>Ce volet du plan pour la reprise et la résilience de la République tchèque contribue à relever plusieurs défis dans le domaine du marché du travail et de l’aide sociale. Premièrement, elle vise à accroître la capacité d’adaptation de la main-d’œuvre en développant ses compétences, en particulier dans le domaine numérique. Deuxièmement, elle vise à lutter contre les inégalités persistantes entre les hommes et les femmes sur le marché du travail, en particulier la faible participation des femmes ayant des enfants en bas âge au marché du travail. Troisièmement, le volet vise à moderniser et à étendre les services sociaux conformément aux principes de désinstitutionnalisation et de vie autonome, tels que décrits dans la convention des Nations unies relative aux droits des personnes handicapées.</w:t>
      </w:r>
    </w:p>
    <w:p w14:paraId="1EA926B5" w14:textId="77777777" w:rsidR="00025543" w:rsidRDefault="007E3A2F">
      <w:pPr>
        <w:pStyle w:val="P68B1DB1-Normal3"/>
        <w:spacing w:line="240" w:lineRule="auto"/>
        <w:jc w:val="both"/>
        <w:rPr>
          <w:noProof/>
        </w:rPr>
      </w:pPr>
      <w:r>
        <w:rPr>
          <w:noProof/>
        </w:rPr>
        <w:t>Le volet soutient la mise en œuvre de la recommandation par pays 2 et 2019, selon laquelle la Tchéquie favorise l’emploi des femmes avec des enfants en bas âge, y compris en améliorant l’accès à des structures d’accueil des enfants à des prix abordables, et de la recommandation par pays no 2 2020, selon laquelle la Tchéquie soutient l’emploi au moyen de politiques actives du marché du travail, de l’offre de compétences, y compris numériques, et de l’accès à l’apprentissage numérique.</w:t>
      </w:r>
    </w:p>
    <w:p w14:paraId="5A3EBB9A" w14:textId="77777777" w:rsidR="00025543" w:rsidRDefault="007E3A2F">
      <w:pPr>
        <w:pStyle w:val="P68B1DB1-Normal3"/>
        <w:spacing w:line="240" w:lineRule="auto"/>
        <w:jc w:val="both"/>
        <w:rPr>
          <w:noProof/>
        </w:rPr>
      </w:pPr>
      <w:r>
        <w:rPr>
          <w:noProof/>
        </w:rPr>
        <w:t>Aucune mesure relevant de ce volet ne devrait causer de préjudice important aux objectifs environnementaux au sens de l’article 17 du règlement (UE) 2020/852, compte tenu de la description des mesures et des mesures d’atténuation prévues dans le plan conformément aux orientations techniques DNSH (2021/C58/01).</w:t>
      </w:r>
    </w:p>
    <w:p w14:paraId="33AFF895" w14:textId="77777777" w:rsidR="00025543" w:rsidRDefault="00025543">
      <w:pPr>
        <w:spacing w:line="240" w:lineRule="auto"/>
        <w:jc w:val="both"/>
        <w:rPr>
          <w:rFonts w:eastAsia="Times New Roman"/>
          <w:i/>
          <w:noProof/>
        </w:rPr>
      </w:pPr>
    </w:p>
    <w:p w14:paraId="00E04CB7" w14:textId="0C0B7B91" w:rsidR="00025543" w:rsidRDefault="007E3A2F">
      <w:pPr>
        <w:pStyle w:val="P68B1DB1-Normal32"/>
        <w:spacing w:line="240" w:lineRule="auto"/>
        <w:jc w:val="both"/>
        <w:rPr>
          <w:noProof/>
        </w:rPr>
      </w:pPr>
      <w:r>
        <w:rPr>
          <w:noProof/>
        </w:rPr>
        <w:t>T.1. Description des réformes et des investissements en vue du soutien financier non remboursable</w:t>
      </w:r>
    </w:p>
    <w:p w14:paraId="37EBC121" w14:textId="77777777" w:rsidR="00025543" w:rsidRDefault="007E3A2F">
      <w:pPr>
        <w:pStyle w:val="P68B1DB1-Normal26"/>
        <w:spacing w:line="240" w:lineRule="auto"/>
        <w:jc w:val="both"/>
        <w:rPr>
          <w:noProof/>
        </w:rPr>
      </w:pPr>
      <w:r>
        <w:rPr>
          <w:noProof/>
        </w:rPr>
        <w:t xml:space="preserve">Réforme 1: Développement des politiques du marché du travail </w:t>
      </w:r>
    </w:p>
    <w:p w14:paraId="6A5CCEC0" w14:textId="77777777" w:rsidR="00025543" w:rsidRDefault="007E3A2F">
      <w:pPr>
        <w:pStyle w:val="P68B1DB1-Normal3"/>
        <w:spacing w:line="240" w:lineRule="auto"/>
        <w:jc w:val="both"/>
        <w:rPr>
          <w:noProof/>
        </w:rPr>
      </w:pPr>
      <w:r>
        <w:rPr>
          <w:noProof/>
        </w:rPr>
        <w:t xml:space="preserve">L’objectif de cette réforme est de promouvoir l’apprentissage tout au long de la vie en Tchéquie. La réforme consiste en un certain nombre de mesures systémiques: </w:t>
      </w:r>
    </w:p>
    <w:p w14:paraId="05749729" w14:textId="77777777" w:rsidR="00025543" w:rsidRDefault="007E3A2F">
      <w:pPr>
        <w:pStyle w:val="P68B1DB1-Normal4"/>
        <w:numPr>
          <w:ilvl w:val="0"/>
          <w:numId w:val="169"/>
        </w:numPr>
        <w:pBdr>
          <w:top w:val="nil"/>
          <w:left w:val="nil"/>
          <w:bottom w:val="nil"/>
          <w:right w:val="nil"/>
          <w:between w:val="nil"/>
        </w:pBdr>
        <w:spacing w:line="259" w:lineRule="auto"/>
        <w:ind w:left="360"/>
        <w:jc w:val="both"/>
        <w:rPr>
          <w:noProof/>
        </w:rPr>
      </w:pPr>
      <w:r>
        <w:rPr>
          <w:noProof/>
        </w:rPr>
        <w:t xml:space="preserve">mettre en place, d’ici au 31 mars 2022, un mécanisme tripartite associant le ministère du travail, le ministère de l’éducation, les employeurs et les représentants syndicaux, afin de coordonner le développement de programmes d’apprentissage tout au long de la vie en fonction de la demande réelle et prévue de compétences; </w:t>
      </w:r>
    </w:p>
    <w:p w14:paraId="64D7B996" w14:textId="77777777" w:rsidR="00025543" w:rsidRDefault="007E3A2F">
      <w:pPr>
        <w:pStyle w:val="P68B1DB1-Normal4"/>
        <w:numPr>
          <w:ilvl w:val="0"/>
          <w:numId w:val="169"/>
        </w:numPr>
        <w:pBdr>
          <w:top w:val="nil"/>
          <w:left w:val="nil"/>
          <w:bottom w:val="nil"/>
          <w:right w:val="nil"/>
          <w:between w:val="nil"/>
        </w:pBdr>
        <w:spacing w:line="259" w:lineRule="auto"/>
        <w:ind w:left="360"/>
        <w:jc w:val="both"/>
        <w:rPr>
          <w:noProof/>
        </w:rPr>
      </w:pPr>
      <w:r>
        <w:rPr>
          <w:noProof/>
        </w:rPr>
        <w:t xml:space="preserve">créer, d’ici au 31 décembre 2023, une base de données des cours de reconversion et de perfectionnement professionnels, qui augmentera l’offre de cours de recyclage et améliorera l’adéquation entre l’offre et la demande; la base de données comprend à la fois les programmes de reconversion certifiés conformément à la loi sur l’emploi, mais aussi les cours proposés par les écoles professionnelles et les établissements d’enseignement supérieur; </w:t>
      </w:r>
    </w:p>
    <w:p w14:paraId="42F7AA73" w14:textId="77777777" w:rsidR="00025543" w:rsidRDefault="007E3A2F">
      <w:pPr>
        <w:pStyle w:val="P68B1DB1-Normal4"/>
        <w:numPr>
          <w:ilvl w:val="0"/>
          <w:numId w:val="169"/>
        </w:numPr>
        <w:pBdr>
          <w:top w:val="nil"/>
          <w:left w:val="nil"/>
          <w:bottom w:val="nil"/>
          <w:right w:val="nil"/>
          <w:between w:val="nil"/>
        </w:pBdr>
        <w:spacing w:line="259" w:lineRule="auto"/>
        <w:ind w:left="360"/>
        <w:jc w:val="both"/>
        <w:rPr>
          <w:noProof/>
        </w:rPr>
      </w:pPr>
      <w:r>
        <w:rPr>
          <w:noProof/>
        </w:rPr>
        <w:t>élargir les groupes cibles susceptibles de participer à la reconversion organisée par l’Office de l’emploi aux travailleurs exposés au risque de reclassement externe et aux personnes ayant un emploi à la recherche d’un perfectionnement professionnel; cela devrait accroître la demande et le recours à la formation continue;</w:t>
      </w:r>
    </w:p>
    <w:p w14:paraId="3252DA64" w14:textId="77777777" w:rsidR="00025543" w:rsidRDefault="007E3A2F">
      <w:pPr>
        <w:pStyle w:val="P68B1DB1-Normal4"/>
        <w:numPr>
          <w:ilvl w:val="0"/>
          <w:numId w:val="169"/>
        </w:numPr>
        <w:pBdr>
          <w:top w:val="nil"/>
          <w:left w:val="nil"/>
          <w:bottom w:val="nil"/>
          <w:right w:val="nil"/>
          <w:between w:val="nil"/>
        </w:pBdr>
        <w:spacing w:line="259" w:lineRule="auto"/>
        <w:ind w:left="360"/>
        <w:jc w:val="both"/>
        <w:rPr>
          <w:noProof/>
        </w:rPr>
      </w:pPr>
      <w:r>
        <w:rPr>
          <w:noProof/>
        </w:rPr>
        <w:t xml:space="preserve">mise en place, au plus tard le 31 décembre 2025, d’au moins 14 centres de formation régionaux (sous la responsabilité de l’Office du travail) suffisamment équipés pour assurer l’apprentissage tout au long de la vie dans le domaine des technologies numériques et de l’industrie 4.0; cela permettra une coopération renforcée avec les écoles professionnelles régionales et une offre plus souple de cours de reconversion en fonction des besoins réels du marché du travail régional (sans qu’il soit nécessaire de lancer des appels d’offres pour des programmes de requalification); </w:t>
      </w:r>
    </w:p>
    <w:p w14:paraId="2F90F549" w14:textId="77777777" w:rsidR="00025543" w:rsidRDefault="007E3A2F">
      <w:pPr>
        <w:pStyle w:val="P68B1DB1-Normal4"/>
        <w:numPr>
          <w:ilvl w:val="0"/>
          <w:numId w:val="169"/>
        </w:numPr>
        <w:pBdr>
          <w:top w:val="nil"/>
          <w:left w:val="nil"/>
          <w:bottom w:val="nil"/>
          <w:right w:val="nil"/>
          <w:between w:val="nil"/>
        </w:pBdr>
        <w:spacing w:line="259" w:lineRule="auto"/>
        <w:ind w:left="360"/>
        <w:jc w:val="both"/>
        <w:rPr>
          <w:noProof/>
        </w:rPr>
      </w:pPr>
      <w:r>
        <w:rPr>
          <w:noProof/>
        </w:rPr>
        <w:t xml:space="preserve">une modification législative, d’ici au 31 décembre 2025, visant à accroître la flexibilité et l’efficacité des cours de recyclage organisés par l’Office de l’emploi et à mieux cibler le soutien aux groupes les plus vulnérables. </w:t>
      </w:r>
    </w:p>
    <w:p w14:paraId="671ECBE2" w14:textId="77777777" w:rsidR="00025543" w:rsidRDefault="007E3A2F">
      <w:pPr>
        <w:pStyle w:val="P68B1DB1-Normal3"/>
        <w:spacing w:line="240" w:lineRule="auto"/>
        <w:jc w:val="both"/>
        <w:rPr>
          <w:noProof/>
        </w:rPr>
      </w:pPr>
      <w:r>
        <w:rPr>
          <w:noProof/>
        </w:rPr>
        <w:t xml:space="preserve">Les mesures de réforme sont achevées au plus tard le 31 décembre 2025. </w:t>
      </w:r>
    </w:p>
    <w:p w14:paraId="23807931" w14:textId="77777777" w:rsidR="00025543" w:rsidRDefault="007E3A2F">
      <w:pPr>
        <w:pStyle w:val="P68B1DB1-Normal26"/>
        <w:spacing w:line="240" w:lineRule="auto"/>
        <w:jc w:val="both"/>
        <w:rPr>
          <w:noProof/>
        </w:rPr>
      </w:pPr>
      <w:r>
        <w:rPr>
          <w:noProof/>
        </w:rPr>
        <w:t>Réforme 2: Assurer un financement durable des structures d’accueil des enfants</w:t>
      </w:r>
    </w:p>
    <w:p w14:paraId="12B60959" w14:textId="77777777" w:rsidR="00025543" w:rsidRDefault="007E3A2F">
      <w:pPr>
        <w:pStyle w:val="P68B1DB1-Normal3"/>
        <w:spacing w:line="240" w:lineRule="auto"/>
        <w:jc w:val="both"/>
        <w:rPr>
          <w:noProof/>
        </w:rPr>
      </w:pPr>
      <w:r>
        <w:rPr>
          <w:noProof/>
        </w:rPr>
        <w:t>L’objectif de cette mesure est de favoriser la disponibilité de services d’accueil abordables pour les enfants de moins de trois ans afin de faciliter le retour des parents, en particulier des mères, au travail après un congé parental. La réforme consiste en une modification de la loi sur l’accueil préscolaire, qui assure un financement stable des facilités pour les enfants de moins de trois ans. La modification législative vise également à garantir l’accès à des services d’accueil abordables pour les enfants de moins de trois ans dans toutes les régions de Tchéquie.</w:t>
      </w:r>
    </w:p>
    <w:p w14:paraId="6C9145D0" w14:textId="77777777" w:rsidR="00025543" w:rsidRDefault="007E3A2F">
      <w:pPr>
        <w:pStyle w:val="P68B1DB1-Normal3"/>
        <w:spacing w:line="240" w:lineRule="auto"/>
        <w:jc w:val="both"/>
        <w:rPr>
          <w:noProof/>
        </w:rPr>
      </w:pPr>
      <w:r>
        <w:rPr>
          <w:noProof/>
        </w:rPr>
        <w:t>La réforme doit être achevée au plus tard le 31 décembre 2023.</w:t>
      </w:r>
    </w:p>
    <w:p w14:paraId="1C303C65" w14:textId="77777777" w:rsidR="00025543" w:rsidRDefault="007E3A2F">
      <w:pPr>
        <w:pStyle w:val="P68B1DB1-Normal26"/>
        <w:spacing w:line="240" w:lineRule="auto"/>
        <w:jc w:val="both"/>
        <w:rPr>
          <w:noProof/>
        </w:rPr>
      </w:pPr>
      <w:r>
        <w:rPr>
          <w:noProof/>
        </w:rPr>
        <w:t>Réforme 3: Réforme des soins de longue durée</w:t>
      </w:r>
    </w:p>
    <w:p w14:paraId="01899DAD" w14:textId="77777777" w:rsidR="00025543" w:rsidRDefault="007E3A2F">
      <w:pPr>
        <w:pStyle w:val="P68B1DB1-Normal3"/>
        <w:spacing w:line="240" w:lineRule="auto"/>
        <w:jc w:val="both"/>
        <w:rPr>
          <w:noProof/>
        </w:rPr>
      </w:pPr>
      <w:r>
        <w:rPr>
          <w:noProof/>
        </w:rPr>
        <w:t xml:space="preserve">La réforme vise à relever le défi de la fragmentation de la gouvernance et du financement des soins de longue durée et d’une faible proportion de services de proximité et à domicile en Tchéquie. La mesure consiste en une réforme législative visant à intégrer les soins de santé et les soins sociaux de longue durée, à garantir un système stable de financement adéquat de services de longue durée de qualité, à encourager les soins de proximité et à domicile, à permettre l’accès des prestataires privés et à améliorer le contrôle de l’aide sociale. D’ici au 31 décembre 2022, un système de cartographie des besoins sociaux et à long terme devrait être mis en place et un plan d’action pour la désinstitutionnalisation devrait être adopté. </w:t>
      </w:r>
    </w:p>
    <w:p w14:paraId="1772A50E" w14:textId="77777777" w:rsidR="00025543" w:rsidRDefault="007E3A2F">
      <w:pPr>
        <w:pStyle w:val="P68B1DB1-Normal3"/>
        <w:spacing w:line="240" w:lineRule="auto"/>
        <w:jc w:val="both"/>
        <w:rPr>
          <w:noProof/>
        </w:rPr>
      </w:pPr>
      <w:r>
        <w:rPr>
          <w:noProof/>
        </w:rPr>
        <w:t>La réforme doit être achevée au plus tard le 31 décembre 2023.</w:t>
      </w:r>
    </w:p>
    <w:p w14:paraId="6BF8AE9E" w14:textId="2FE4EA69" w:rsidR="00025543" w:rsidRDefault="007E3A2F">
      <w:pPr>
        <w:pStyle w:val="P68B1DB1-Normal26"/>
        <w:spacing w:line="240" w:lineRule="auto"/>
        <w:jc w:val="both"/>
        <w:rPr>
          <w:noProof/>
        </w:rPr>
      </w:pPr>
      <w:r>
        <w:rPr>
          <w:noProof/>
        </w:rPr>
        <w:t xml:space="preserve">Réforme 4: Réforme de la prise en charge des enfants à risque </w:t>
      </w:r>
    </w:p>
    <w:p w14:paraId="0B0C72AE" w14:textId="11FF2055" w:rsidR="00025543" w:rsidRDefault="007E3A2F">
      <w:pPr>
        <w:pStyle w:val="P68B1DB1-Normal3"/>
        <w:spacing w:line="240" w:lineRule="auto"/>
        <w:jc w:val="both"/>
        <w:rPr>
          <w:noProof/>
        </w:rPr>
      </w:pPr>
      <w:r>
        <w:rPr>
          <w:noProof/>
        </w:rPr>
        <w:t>La réforme vise à améliorer les services sociaux pour les enfants à risque, c’est-à-dire les enfants dont les besoins fondamentaux ne peuvent être satisfaits par les ressources de leur famille, par l’entrée en vigueur de la modification de la loi sur la protection sociale et juridique des enfants et par la limitation du placement des enfants de moins de quatre ans dans des établissements.</w:t>
      </w:r>
    </w:p>
    <w:p w14:paraId="0BC96AF2" w14:textId="04D52CB9" w:rsidR="00025543" w:rsidRDefault="007E3A2F">
      <w:pPr>
        <w:pStyle w:val="P68B1DB1-Normal3"/>
        <w:spacing w:line="240" w:lineRule="auto"/>
        <w:jc w:val="both"/>
        <w:rPr>
          <w:noProof/>
        </w:rPr>
      </w:pPr>
      <w:r>
        <w:rPr>
          <w:noProof/>
        </w:rPr>
        <w:t>La réforme doit être achevée au plus tard le 31 décembre 2024.</w:t>
      </w:r>
    </w:p>
    <w:p w14:paraId="2432CE33" w14:textId="25523664" w:rsidR="00025543" w:rsidRDefault="007E3A2F">
      <w:pPr>
        <w:pStyle w:val="P68B1DB1-Normal26"/>
        <w:spacing w:line="240" w:lineRule="auto"/>
        <w:jc w:val="both"/>
        <w:rPr>
          <w:noProof/>
        </w:rPr>
      </w:pPr>
      <w:r>
        <w:rPr>
          <w:noProof/>
        </w:rPr>
        <w:t xml:space="preserve">Investissement 1: Développement des politiques du marché du travail </w:t>
      </w:r>
    </w:p>
    <w:p w14:paraId="4C1D3DC6" w14:textId="77777777" w:rsidR="00025543" w:rsidRDefault="007E3A2F">
      <w:pPr>
        <w:pStyle w:val="P68B1DB1-Normal3"/>
        <w:spacing w:line="240" w:lineRule="auto"/>
        <w:jc w:val="both"/>
        <w:rPr>
          <w:noProof/>
        </w:rPr>
      </w:pPr>
      <w:r>
        <w:rPr>
          <w:noProof/>
        </w:rPr>
        <w:t xml:space="preserve">La mesure vise à accroître la capacité d’adaptation de la main-d’œuvre à l’évolution des besoins du marché du travail. La mesure comprend principalement des projets de reconversion et de perfectionnement professionnels, l’accent étant mis sur les personnes ayant une capacité réduite à s’adapter à l’évolution des conditions du marché du travail. </w:t>
      </w:r>
    </w:p>
    <w:p w14:paraId="18D7C2D1" w14:textId="7DF39032" w:rsidR="00025543" w:rsidRDefault="007E3A2F">
      <w:pPr>
        <w:pStyle w:val="P68B1DB1-Normal3"/>
        <w:spacing w:line="240" w:lineRule="auto"/>
        <w:jc w:val="both"/>
        <w:rPr>
          <w:noProof/>
        </w:rPr>
      </w:pPr>
      <w:r>
        <w:rPr>
          <w:noProof/>
        </w:rPr>
        <w:t>L’offre de compétences doit, d’une part, garantir l’offre de main-d’œuvre qualifiée, condition préalable à la compétitivité, et, d’autre part, prévenir le chômage et favoriser la cohésion sociale. Le perfectionnement ou la reconversion professionnels sont fournis au plus tard le 31 décembre 2025 à 130,000 personnes en ce qui concerne les compétences numériques ou d’autres compétences requises par la transition numérique et l’industrie 4.0. Sur ce nombre, 65,000 personnes devraient bénéficier d’une aide par l’intermédiaire de l’Office tchèque de l’emploi et 65,000 autres seront soutenues par une formation professionnelle dispensée directement par les employeurs (la préférence sera accordée aux PME et aux travailleurs indépendants) ou par des associations professionnelles, professionnelles ou municipales.</w:t>
      </w:r>
    </w:p>
    <w:p w14:paraId="28597AAF" w14:textId="77777777" w:rsidR="00025543" w:rsidRDefault="007E3A2F">
      <w:pPr>
        <w:pStyle w:val="P68B1DB1-Normal3"/>
        <w:spacing w:line="240" w:lineRule="auto"/>
        <w:jc w:val="both"/>
        <w:rPr>
          <w:noProof/>
          <w:sz w:val="22"/>
        </w:rPr>
      </w:pPr>
      <w:r>
        <w:rPr>
          <w:noProof/>
        </w:rPr>
        <w:t>L’investissement est achevé au plus tard le 31 décembre 2025.</w:t>
      </w:r>
    </w:p>
    <w:p w14:paraId="0BC44C3E" w14:textId="77777777" w:rsidR="00025543" w:rsidRDefault="007E3A2F">
      <w:pPr>
        <w:pStyle w:val="P68B1DB1-Normal26"/>
        <w:keepNext/>
        <w:spacing w:line="240" w:lineRule="auto"/>
        <w:jc w:val="both"/>
        <w:rPr>
          <w:noProof/>
        </w:rPr>
      </w:pPr>
      <w:r>
        <w:rPr>
          <w:noProof/>
        </w:rPr>
        <w:t>Investissement 2: Accroître la capacité des structures d’accueil des enfants</w:t>
      </w:r>
    </w:p>
    <w:p w14:paraId="04AD90A3" w14:textId="77777777" w:rsidR="00025543" w:rsidRDefault="007E3A2F">
      <w:pPr>
        <w:pStyle w:val="P68B1DB1-Normal3"/>
        <w:spacing w:line="240" w:lineRule="auto"/>
        <w:jc w:val="both"/>
        <w:rPr>
          <w:noProof/>
        </w:rPr>
      </w:pPr>
      <w:r>
        <w:rPr>
          <w:noProof/>
        </w:rPr>
        <w:t xml:space="preserve">L’investissement vise à accroître la disponibilité de services de garde d’enfants pour les enfants de moins de trois ans. Cela contribuera à remédier à la faible participation des femmes ayant des enfants en bas âge au marché du travail et à réduire les inégalités persistantes entre les hommes et les femmes sur le marché du travail, qui se traduisent par un écart élevé entre les hommes et les femmes en matière d’emploi, de rémunération et de retraite. L’investissement vise également à améliorer l’accès aux services de garde d’enfants pour les familles à faibles revenus qui ne peuvent se permettre les services de garde d’enfants existants, ce qui exacerbe encore davantage le risque d’exclusion sociale et de mauvais résultats scolaires de leurs enfants. L’investissement devrait augmenter de 40 % le nombre de groupes d’enfants et de crèches. L’investissement comprend: </w:t>
      </w:r>
    </w:p>
    <w:p w14:paraId="119273D7" w14:textId="77777777" w:rsidR="00025543" w:rsidRDefault="007E3A2F">
      <w:pPr>
        <w:pStyle w:val="P68B1DB1-Normal4"/>
        <w:numPr>
          <w:ilvl w:val="0"/>
          <w:numId w:val="169"/>
        </w:numPr>
        <w:pBdr>
          <w:top w:val="nil"/>
          <w:left w:val="nil"/>
          <w:bottom w:val="nil"/>
          <w:right w:val="nil"/>
          <w:between w:val="nil"/>
        </w:pBdr>
        <w:spacing w:line="259" w:lineRule="auto"/>
        <w:ind w:left="360"/>
        <w:jc w:val="both"/>
        <w:rPr>
          <w:noProof/>
        </w:rPr>
      </w:pPr>
      <w:r>
        <w:rPr>
          <w:noProof/>
        </w:rPr>
        <w:t xml:space="preserve">investissements dans de nouvelles pépinières. Parmi l’objectif global consistant à créer 435 nouvelles pépinières, au moins 391 doivent être créées; </w:t>
      </w:r>
    </w:p>
    <w:p w14:paraId="3A72C28B" w14:textId="77777777" w:rsidR="00025543" w:rsidRDefault="007E3A2F">
      <w:pPr>
        <w:pStyle w:val="P68B1DB1-Normal4"/>
        <w:numPr>
          <w:ilvl w:val="0"/>
          <w:numId w:val="169"/>
        </w:numPr>
        <w:pBdr>
          <w:top w:val="nil"/>
          <w:left w:val="nil"/>
          <w:bottom w:val="nil"/>
          <w:right w:val="nil"/>
          <w:between w:val="nil"/>
        </w:pBdr>
        <w:spacing w:line="259" w:lineRule="auto"/>
        <w:ind w:left="360"/>
        <w:jc w:val="both"/>
        <w:rPr>
          <w:noProof/>
        </w:rPr>
      </w:pPr>
      <w:r>
        <w:rPr>
          <w:noProof/>
        </w:rPr>
        <w:t>remise à niveau des installations existantes afin de se conformer aux nouvelles normes techniques (hygiène et sécurité incendie) fixées par la modification de la loi sur le groupe des enfants ou d’en accroître la capacité. Parmi l’objectif global de rénovation de 370 installations, au moins 333 doivent être rénovées.</w:t>
      </w:r>
    </w:p>
    <w:p w14:paraId="16C53EF1" w14:textId="0ECB228D" w:rsidR="00025543" w:rsidRDefault="007E3A2F">
      <w:pPr>
        <w:pStyle w:val="P68B1DB1-Normal3"/>
        <w:numPr>
          <w:ilvl w:val="0"/>
          <w:numId w:val="169"/>
        </w:numPr>
        <w:pBdr>
          <w:top w:val="nil"/>
          <w:left w:val="nil"/>
          <w:bottom w:val="nil"/>
          <w:right w:val="nil"/>
          <w:between w:val="nil"/>
        </w:pBdr>
        <w:spacing w:line="259" w:lineRule="auto"/>
        <w:ind w:left="360"/>
        <w:jc w:val="both"/>
        <w:rPr>
          <w:noProof/>
          <w:color w:val="000000"/>
        </w:rPr>
      </w:pPr>
      <w:r>
        <w:rPr>
          <w:noProof/>
        </w:rPr>
        <w:t xml:space="preserve">Les investissements dans de nouvelles capacités contribuent à la réalisation des objectifs climatiques en augmentant l’efficacité énergétique, comme décrit dans l’objectif 190. </w:t>
      </w:r>
    </w:p>
    <w:p w14:paraId="4E4632F5" w14:textId="70E00AEB" w:rsidR="00025543" w:rsidRDefault="007E3A2F">
      <w:pPr>
        <w:pStyle w:val="P68B1DB1-Normal3"/>
        <w:spacing w:line="240" w:lineRule="auto"/>
        <w:jc w:val="both"/>
        <w:rPr>
          <w:noProof/>
        </w:rPr>
      </w:pPr>
      <w:r>
        <w:rPr>
          <w:noProof/>
        </w:rPr>
        <w:t>L’investissement est achevé au plus tard le 31 août 2026.</w:t>
      </w:r>
    </w:p>
    <w:p w14:paraId="7DCC7532" w14:textId="77777777" w:rsidR="00025543" w:rsidRDefault="007E3A2F">
      <w:pPr>
        <w:pStyle w:val="P68B1DB1-Normal26"/>
        <w:spacing w:line="240" w:lineRule="auto"/>
        <w:jc w:val="both"/>
        <w:rPr>
          <w:noProof/>
        </w:rPr>
      </w:pPr>
      <w:r>
        <w:rPr>
          <w:noProof/>
        </w:rPr>
        <w:t>Investissement 3: Développement et modernisation des infrastructures d’aide sociale</w:t>
      </w:r>
    </w:p>
    <w:p w14:paraId="27B8EB66" w14:textId="77777777" w:rsidR="00025543" w:rsidRDefault="007E3A2F">
      <w:pPr>
        <w:pStyle w:val="P68B1DB1-Normal3"/>
        <w:spacing w:line="240" w:lineRule="auto"/>
        <w:jc w:val="both"/>
        <w:rPr>
          <w:noProof/>
        </w:rPr>
      </w:pPr>
      <w:r>
        <w:rPr>
          <w:noProof/>
        </w:rPr>
        <w:t xml:space="preserve">Cette mesure vise à remédier au manque d’infrastructures d’aide sociale et à la nécessité de soutenir la transition vers des soins sociaux et des soins de longue durée de proximité en République tchèque. </w:t>
      </w:r>
    </w:p>
    <w:p w14:paraId="2133B810" w14:textId="6F03F132" w:rsidR="00025543" w:rsidRDefault="007E3A2F">
      <w:pPr>
        <w:pStyle w:val="P68B1DB1-Normal3"/>
        <w:spacing w:line="240" w:lineRule="auto"/>
        <w:jc w:val="both"/>
        <w:rPr>
          <w:noProof/>
        </w:rPr>
      </w:pPr>
      <w:r>
        <w:rPr>
          <w:noProof/>
        </w:rPr>
        <w:t>Les investissements soutiennent la mise en place d’infrastructures d’assistance sociale supplémentaires, soit par la reconstruction de bâtiments existants, soit par de nouvelles constructions, ainsi que par le développement de l’infrastructure des services sociaux de prévention et de conseil. Ces projets d’investissement sont mis en œuvre sur la base de l’évaluation des besoins territoriaux; veiller à ce que les places résidentielles nouvelles et rénovées permettent de progresser vers la convention des Nations unies relative aux droits des personnes handicapées. Les investissements dans les structures de soins à domicile et de proximité sont favorisés et le principe de liberté de choix et de vie autonome est respecté pour tous les projets d’investissement. En outre, afin de progresser sur la voie de la convention, la loi sur les services sociaux doit être modifiée, en particulier dans les domaines liés aux inspections des services sociaux et à un mécanisme de plainte pour les clients des services sociaux.</w:t>
      </w:r>
    </w:p>
    <w:p w14:paraId="2B7687A0" w14:textId="590EF13D" w:rsidR="00025543" w:rsidRDefault="007E3A2F">
      <w:pPr>
        <w:pStyle w:val="P68B1DB1-Normal3"/>
        <w:spacing w:line="240" w:lineRule="auto"/>
        <w:jc w:val="both"/>
        <w:rPr>
          <w:rFonts w:ascii="Calibri" w:hAnsi="Calibri" w:cs="Calibri"/>
          <w:b/>
          <w:noProof/>
          <w:color w:val="000000"/>
          <w:sz w:val="22"/>
        </w:rPr>
      </w:pPr>
      <w:r>
        <w:rPr>
          <w:noProof/>
        </w:rPr>
        <w:t>Les investissements dans de nouvelles capacités contribuent à la réalisation des objectifs climatiques en augmentant l’efficacité énergétique, comme décrit dans les objectifs 194 et 195.</w:t>
      </w:r>
    </w:p>
    <w:p w14:paraId="7716D771" w14:textId="603FCBC8" w:rsidR="00025543" w:rsidRDefault="007E3A2F">
      <w:pPr>
        <w:pStyle w:val="P68B1DB1-Normal4"/>
        <w:pBdr>
          <w:top w:val="nil"/>
          <w:left w:val="nil"/>
          <w:bottom w:val="nil"/>
          <w:right w:val="nil"/>
          <w:between w:val="nil"/>
        </w:pBdr>
        <w:spacing w:line="259" w:lineRule="auto"/>
        <w:jc w:val="both"/>
        <w:rPr>
          <w:rFonts w:ascii="Calibri" w:hAnsi="Calibri" w:cs="Calibri"/>
          <w:b/>
          <w:noProof/>
          <w:sz w:val="22"/>
        </w:rPr>
      </w:pPr>
      <w:r>
        <w:rPr>
          <w:noProof/>
        </w:rPr>
        <w:t xml:space="preserve">En outre, au moins 100 véhicules électriques et au maximum 151 hybrides rechargeables seront achetés pour des services de prévention sociale, de conseil et de soins à domicile. </w:t>
      </w:r>
    </w:p>
    <w:p w14:paraId="425413C5" w14:textId="2EBF3AF8" w:rsidR="00025543" w:rsidRDefault="007E3A2F">
      <w:pPr>
        <w:pStyle w:val="P68B1DB1-Normal3"/>
        <w:spacing w:line="240" w:lineRule="auto"/>
        <w:jc w:val="both"/>
        <w:rPr>
          <w:noProof/>
        </w:rPr>
      </w:pPr>
      <w:r>
        <w:rPr>
          <w:noProof/>
        </w:rPr>
        <w:t xml:space="preserve">L’investissement est achevé au plus tard le 31 août 2026. </w:t>
      </w:r>
    </w:p>
    <w:p w14:paraId="458EC3C4" w14:textId="3523033A" w:rsidR="00025543" w:rsidRDefault="007E3A2F">
      <w:pPr>
        <w:pStyle w:val="P68B1DB1-Normal7"/>
        <w:pageBreakBefore/>
        <w:widowControl w:val="0"/>
        <w:spacing w:line="259" w:lineRule="auto"/>
        <w:jc w:val="both"/>
        <w:rPr>
          <w:rFonts w:eastAsia="Times New Roman"/>
          <w:noProof/>
          <w:color w:val="444444"/>
        </w:rPr>
      </w:pPr>
      <w:r>
        <w:rPr>
          <w:rFonts w:eastAsia="Times New Roman"/>
          <w:noProof/>
        </w:rPr>
        <w:t xml:space="preserve">Investissement 4: </w:t>
      </w:r>
      <w:r>
        <w:rPr>
          <w:noProof/>
        </w:rPr>
        <w:t>Développement et modernisation des infrastructures dans le domaine de l’accueil des enfants à risque</w:t>
      </w:r>
    </w:p>
    <w:p w14:paraId="6D4F59AE" w14:textId="62D9B217" w:rsidR="00025543" w:rsidRDefault="007E3A2F">
      <w:pPr>
        <w:widowControl w:val="0"/>
        <w:spacing w:line="259" w:lineRule="auto"/>
        <w:jc w:val="both"/>
        <w:rPr>
          <w:rFonts w:eastAsia="Times New Roman"/>
          <w:noProof/>
          <w:color w:val="000000" w:themeColor="text1"/>
        </w:rPr>
      </w:pPr>
      <w:r>
        <w:rPr>
          <w:noProof/>
        </w:rPr>
        <w:t>L’</w:t>
      </w:r>
      <w:r>
        <w:rPr>
          <w:rFonts w:eastAsia="Times New Roman"/>
          <w:noProof/>
          <w:color w:val="000000" w:themeColor="text1"/>
        </w:rPr>
        <w:t xml:space="preserve"> investissement vise à remédier à l’ </w:t>
      </w:r>
      <w:r>
        <w:rPr>
          <w:noProof/>
        </w:rPr>
        <w:t xml:space="preserve">insuffisance des infrastructures de protection </w:t>
      </w:r>
      <w:r>
        <w:rPr>
          <w:rFonts w:eastAsia="Times New Roman"/>
          <w:noProof/>
        </w:rPr>
        <w:t xml:space="preserve">sociale </w:t>
      </w:r>
      <w:r>
        <w:rPr>
          <w:noProof/>
        </w:rPr>
        <w:t>pour les enfants à risque et à soutenir le processus de transition vers des soins de proximité en République tchèque. L’investissement soutient la</w:t>
      </w:r>
      <w:r>
        <w:rPr>
          <w:rFonts w:eastAsia="Times New Roman"/>
          <w:noProof/>
          <w:color w:val="000000" w:themeColor="text1"/>
        </w:rPr>
        <w:t>mise</w:t>
      </w:r>
      <w:r>
        <w:rPr>
          <w:noProof/>
        </w:rPr>
        <w:t xml:space="preserve"> à disposition d’infrastructures de protection sociale pour les enfants à risque grâce à la </w:t>
      </w:r>
      <w:r>
        <w:rPr>
          <w:rFonts w:eastAsia="Times New Roman"/>
          <w:noProof/>
          <w:color w:val="000000" w:themeColor="text1"/>
        </w:rPr>
        <w:t>rénovation</w:t>
      </w:r>
      <w:r>
        <w:rPr>
          <w:noProof/>
        </w:rPr>
        <w:t xml:space="preserve"> de bâtiments existants</w:t>
      </w:r>
      <w:r>
        <w:rPr>
          <w:rFonts w:eastAsia="Times New Roman"/>
          <w:noProof/>
          <w:color w:val="000000" w:themeColor="text1"/>
        </w:rPr>
        <w:t>, à la construction de nouvelles installations et/ou à l’achat d’unités de logement.</w:t>
      </w:r>
    </w:p>
    <w:p w14:paraId="7EB27AB5" w14:textId="722CFDFE" w:rsidR="00025543" w:rsidRDefault="007E3A2F">
      <w:pPr>
        <w:pStyle w:val="P68B1DB1-Normal3"/>
        <w:widowControl w:val="0"/>
        <w:spacing w:line="259" w:lineRule="auto"/>
        <w:jc w:val="both"/>
        <w:rPr>
          <w:noProof/>
        </w:rPr>
        <w:sectPr w:rsidR="00025543" w:rsidSect="003A6FF0">
          <w:headerReference w:type="even" r:id="rId306"/>
          <w:headerReference w:type="default" r:id="rId307"/>
          <w:footerReference w:type="even" r:id="rId308"/>
          <w:footerReference w:type="default" r:id="rId309"/>
          <w:headerReference w:type="first" r:id="rId310"/>
          <w:footerReference w:type="first" r:id="rId311"/>
          <w:pgSz w:w="11907" w:h="16839"/>
          <w:pgMar w:top="1134" w:right="1134" w:bottom="1134" w:left="1134" w:header="567" w:footer="567" w:gutter="0"/>
          <w:cols w:space="720"/>
          <w:docGrid w:linePitch="326"/>
        </w:sectPr>
      </w:pPr>
      <w:r>
        <w:rPr>
          <w:noProof/>
          <w:color w:val="000000" w:themeColor="text1"/>
        </w:rPr>
        <w:t>L’investissement doit être achevé au plus tard le 31 août 202</w:t>
      </w:r>
      <w:r>
        <w:rPr>
          <w:noProof/>
          <w:color w:val="006100"/>
          <w:sz w:val="22"/>
        </w:rPr>
        <w:t>6.</w:t>
      </w:r>
    </w:p>
    <w:p w14:paraId="48CFD467" w14:textId="315F0A1E" w:rsidR="00025543" w:rsidRDefault="007E3A2F">
      <w:pPr>
        <w:pStyle w:val="P68B1DB1-Normal33"/>
        <w:pBdr>
          <w:top w:val="nil"/>
          <w:left w:val="nil"/>
          <w:bottom w:val="nil"/>
          <w:right w:val="nil"/>
          <w:between w:val="nil"/>
        </w:pBdr>
        <w:tabs>
          <w:tab w:val="left" w:pos="993"/>
        </w:tabs>
        <w:spacing w:line="240" w:lineRule="auto"/>
        <w:jc w:val="both"/>
        <w:rPr>
          <w:noProof/>
          <w:color w:val="000000"/>
        </w:rPr>
      </w:pPr>
      <w:r>
        <w:rPr>
          <w:noProof/>
        </w:rPr>
        <w:t xml:space="preserve">T.2. Jalons, cibles, indicateurs et calendrier de suivi et de mise en œuvre en vue du soutien financier non remboursable </w:t>
      </w:r>
    </w:p>
    <w:tbl>
      <w:tblPr>
        <w:tblW w:w="0" w:type="auto"/>
        <w:jc w:val="center"/>
        <w:tblLayout w:type="fixed"/>
        <w:tblLook w:val="04A0" w:firstRow="1" w:lastRow="0" w:firstColumn="1" w:lastColumn="0" w:noHBand="0" w:noVBand="1"/>
      </w:tblPr>
      <w:tblGrid>
        <w:gridCol w:w="675"/>
        <w:gridCol w:w="1307"/>
        <w:gridCol w:w="1077"/>
        <w:gridCol w:w="1701"/>
        <w:gridCol w:w="1276"/>
        <w:gridCol w:w="1077"/>
        <w:gridCol w:w="1077"/>
        <w:gridCol w:w="850"/>
        <w:gridCol w:w="1134"/>
        <w:gridCol w:w="608"/>
        <w:gridCol w:w="4745"/>
      </w:tblGrid>
      <w:tr w:rsidR="00025543" w14:paraId="2C3F7FC2" w14:textId="77777777">
        <w:trPr>
          <w:trHeight w:val="107"/>
          <w:tblHeader/>
          <w:jc w:val="center"/>
        </w:trPr>
        <w:tc>
          <w:tcPr>
            <w:tcW w:w="675"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68144D08" w14:textId="77777777" w:rsidR="00025543" w:rsidRDefault="007E3A2F">
            <w:pPr>
              <w:pStyle w:val="P68B1DB1-Normal27"/>
              <w:spacing w:line="240" w:lineRule="auto"/>
              <w:jc w:val="center"/>
              <w:rPr>
                <w:noProof/>
              </w:rPr>
            </w:pPr>
            <w:r>
              <w:rPr>
                <w:noProof/>
              </w:rPr>
              <w:t>Séquence NUM.</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6DDC0F09" w14:textId="77777777" w:rsidR="00025543" w:rsidRDefault="007E3A2F">
            <w:pPr>
              <w:pStyle w:val="P68B1DB1-Normal9"/>
              <w:spacing w:line="240" w:lineRule="auto"/>
              <w:jc w:val="center"/>
              <w:rPr>
                <w:noProof/>
              </w:rPr>
            </w:pPr>
            <w:r>
              <w:rPr>
                <w:noProof/>
              </w:rPr>
              <w:t>Mesure connexe (réforme ou investissement)</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2E39B206" w14:textId="77777777" w:rsidR="00025543" w:rsidRDefault="007E3A2F">
            <w:pPr>
              <w:pStyle w:val="P68B1DB1-Normal9"/>
              <w:spacing w:line="240" w:lineRule="auto"/>
              <w:jc w:val="center"/>
              <w:rPr>
                <w:noProof/>
              </w:rPr>
            </w:pPr>
            <w:r>
              <w:rPr>
                <w:noProof/>
              </w:rPr>
              <w:t xml:space="preserve">Jalon/cible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766F5D6E" w14:textId="77777777" w:rsidR="00025543" w:rsidRDefault="007E3A2F">
            <w:pPr>
              <w:pStyle w:val="P68B1DB1-Normal9"/>
              <w:spacing w:line="240" w:lineRule="auto"/>
              <w:jc w:val="center"/>
              <w:rPr>
                <w:noProof/>
              </w:rPr>
            </w:pPr>
            <w:r>
              <w:rPr>
                <w:noProof/>
              </w:rPr>
              <w:t xml:space="preserve">Nom </w:t>
            </w:r>
          </w:p>
        </w:tc>
        <w:tc>
          <w:tcPr>
            <w:tcW w:w="1276" w:type="dxa"/>
            <w:vMerge w:val="restart"/>
            <w:tcBorders>
              <w:top w:val="single" w:sz="8" w:space="0" w:color="auto"/>
              <w:left w:val="single" w:sz="4" w:space="0" w:color="auto"/>
              <w:right w:val="single" w:sz="4" w:space="0" w:color="auto"/>
            </w:tcBorders>
            <w:shd w:val="clear" w:color="auto" w:fill="BDD7EE"/>
            <w:vAlign w:val="center"/>
          </w:tcPr>
          <w:p w14:paraId="29602937" w14:textId="77777777" w:rsidR="00025543" w:rsidRDefault="007E3A2F">
            <w:pPr>
              <w:pStyle w:val="P68B1DB1-Normal12"/>
              <w:spacing w:line="240" w:lineRule="auto"/>
              <w:jc w:val="center"/>
              <w:rPr>
                <w:noProof/>
              </w:rPr>
            </w:pPr>
            <w:r>
              <w:rPr>
                <w:rFonts w:eastAsia="Times New Roman"/>
                <w:b/>
                <w:noProof/>
              </w:rPr>
              <w:t>Qualitatifs</w:t>
            </w:r>
            <w:r>
              <w:rPr>
                <w:noProof/>
              </w:rPr>
              <w:br/>
            </w:r>
            <w:r>
              <w:rPr>
                <w:rFonts w:eastAsia="Times New Roman"/>
                <w:b/>
                <w:noProof/>
              </w:rPr>
              <w:t xml:space="preserve"> (pour les jalons) </w:t>
            </w:r>
          </w:p>
        </w:tc>
        <w:tc>
          <w:tcPr>
            <w:tcW w:w="2126" w:type="dxa"/>
            <w:gridSpan w:val="3"/>
            <w:tcBorders>
              <w:top w:val="single" w:sz="8" w:space="0" w:color="auto"/>
              <w:left w:val="single" w:sz="4" w:space="0" w:color="auto"/>
              <w:bottom w:val="single" w:sz="8" w:space="0" w:color="auto"/>
              <w:right w:val="single" w:sz="8" w:space="0" w:color="000000" w:themeColor="text1"/>
            </w:tcBorders>
            <w:shd w:val="clear" w:color="auto" w:fill="BDD7EE"/>
            <w:vAlign w:val="center"/>
          </w:tcPr>
          <w:p w14:paraId="6919FE51" w14:textId="77777777" w:rsidR="00025543" w:rsidRDefault="007E3A2F">
            <w:pPr>
              <w:pStyle w:val="P68B1DB1-Normal12"/>
              <w:spacing w:line="240" w:lineRule="auto"/>
              <w:jc w:val="center"/>
              <w:rPr>
                <w:noProof/>
              </w:rPr>
            </w:pPr>
            <w:r>
              <w:rPr>
                <w:rFonts w:eastAsia="Times New Roman"/>
                <w:b/>
                <w:noProof/>
              </w:rPr>
              <w:t>Indicateurs quantitatifs</w:t>
            </w:r>
            <w:r>
              <w:rPr>
                <w:noProof/>
              </w:rPr>
              <w:br/>
            </w:r>
            <w:r>
              <w:rPr>
                <w:rFonts w:eastAsia="Times New Roman"/>
                <w:b/>
                <w:noProof/>
              </w:rPr>
              <w:t xml:space="preserve"> (pour les objectifs)</w:t>
            </w:r>
          </w:p>
        </w:tc>
        <w:tc>
          <w:tcPr>
            <w:tcW w:w="1742" w:type="dxa"/>
            <w:gridSpan w:val="2"/>
            <w:tcBorders>
              <w:top w:val="single" w:sz="8" w:space="0" w:color="auto"/>
              <w:left w:val="nil"/>
              <w:bottom w:val="single" w:sz="8" w:space="0" w:color="auto"/>
              <w:right w:val="single" w:sz="4" w:space="0" w:color="auto"/>
            </w:tcBorders>
            <w:shd w:val="clear" w:color="auto" w:fill="BDD7EE"/>
            <w:vAlign w:val="center"/>
          </w:tcPr>
          <w:p w14:paraId="253E5360" w14:textId="77777777" w:rsidR="00025543" w:rsidRDefault="007E3A2F">
            <w:pPr>
              <w:pStyle w:val="P68B1DB1-Normal9"/>
              <w:spacing w:line="240" w:lineRule="auto"/>
              <w:jc w:val="center"/>
              <w:rPr>
                <w:noProof/>
              </w:rPr>
            </w:pPr>
            <w:r>
              <w:rPr>
                <w:noProof/>
              </w:rPr>
              <w:t xml:space="preserve">Calendrier indicatif de réalisation </w:t>
            </w:r>
          </w:p>
        </w:tc>
        <w:tc>
          <w:tcPr>
            <w:tcW w:w="4745"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63115D91" w14:textId="77777777" w:rsidR="00025543" w:rsidRDefault="007E3A2F">
            <w:pPr>
              <w:pStyle w:val="P68B1DB1-Normal9"/>
              <w:spacing w:line="240" w:lineRule="auto"/>
              <w:jc w:val="center"/>
              <w:rPr>
                <w:noProof/>
              </w:rPr>
            </w:pPr>
            <w:r>
              <w:rPr>
                <w:noProof/>
              </w:rPr>
              <w:t>Description et définition claire de chaque jalon et cible</w:t>
            </w:r>
          </w:p>
        </w:tc>
      </w:tr>
      <w:tr w:rsidR="00025543" w14:paraId="64F01BB5" w14:textId="77777777">
        <w:trPr>
          <w:trHeight w:val="173"/>
          <w:tblHeader/>
          <w:jc w:val="center"/>
        </w:trPr>
        <w:tc>
          <w:tcPr>
            <w:tcW w:w="675" w:type="dxa"/>
            <w:vMerge/>
            <w:tcBorders>
              <w:top w:val="single" w:sz="4" w:space="0" w:color="auto"/>
              <w:left w:val="single" w:sz="4" w:space="0" w:color="auto"/>
              <w:right w:val="single" w:sz="4" w:space="0" w:color="auto"/>
            </w:tcBorders>
            <w:vAlign w:val="center"/>
          </w:tcPr>
          <w:p w14:paraId="1B150787" w14:textId="77777777" w:rsidR="00025543" w:rsidRDefault="00025543">
            <w:pPr>
              <w:spacing w:line="240" w:lineRule="auto"/>
              <w:jc w:val="center"/>
              <w:rPr>
                <w:noProof/>
                <w:sz w:val="18"/>
              </w:rPr>
            </w:pPr>
          </w:p>
        </w:tc>
        <w:tc>
          <w:tcPr>
            <w:tcW w:w="1307" w:type="dxa"/>
            <w:vMerge/>
            <w:tcBorders>
              <w:top w:val="single" w:sz="4" w:space="0" w:color="auto"/>
              <w:left w:val="single" w:sz="4" w:space="0" w:color="auto"/>
              <w:right w:val="single" w:sz="4" w:space="0" w:color="auto"/>
            </w:tcBorders>
            <w:vAlign w:val="center"/>
          </w:tcPr>
          <w:p w14:paraId="10CE758D" w14:textId="77777777" w:rsidR="00025543" w:rsidRDefault="00025543">
            <w:pPr>
              <w:spacing w:line="240" w:lineRule="auto"/>
              <w:jc w:val="center"/>
              <w:rPr>
                <w:noProof/>
                <w:sz w:val="18"/>
              </w:rPr>
            </w:pPr>
          </w:p>
        </w:tc>
        <w:tc>
          <w:tcPr>
            <w:tcW w:w="1077" w:type="dxa"/>
            <w:vMerge/>
            <w:tcBorders>
              <w:top w:val="single" w:sz="4" w:space="0" w:color="auto"/>
              <w:left w:val="single" w:sz="4" w:space="0" w:color="auto"/>
              <w:right w:val="single" w:sz="4" w:space="0" w:color="auto"/>
            </w:tcBorders>
            <w:vAlign w:val="center"/>
          </w:tcPr>
          <w:p w14:paraId="5B805BD7" w14:textId="77777777" w:rsidR="00025543" w:rsidRDefault="00025543">
            <w:pPr>
              <w:spacing w:line="240" w:lineRule="auto"/>
              <w:jc w:val="center"/>
              <w:rPr>
                <w:noProof/>
                <w:sz w:val="18"/>
              </w:rPr>
            </w:pPr>
          </w:p>
        </w:tc>
        <w:tc>
          <w:tcPr>
            <w:tcW w:w="1701" w:type="dxa"/>
            <w:vMerge/>
            <w:tcBorders>
              <w:top w:val="single" w:sz="4" w:space="0" w:color="auto"/>
              <w:left w:val="single" w:sz="4" w:space="0" w:color="auto"/>
              <w:right w:val="single" w:sz="4" w:space="0" w:color="auto"/>
            </w:tcBorders>
            <w:vAlign w:val="center"/>
          </w:tcPr>
          <w:p w14:paraId="66503B18" w14:textId="77777777" w:rsidR="00025543" w:rsidRDefault="00025543">
            <w:pPr>
              <w:spacing w:line="240" w:lineRule="auto"/>
              <w:jc w:val="center"/>
              <w:rPr>
                <w:noProof/>
                <w:sz w:val="18"/>
              </w:rPr>
            </w:pPr>
          </w:p>
        </w:tc>
        <w:tc>
          <w:tcPr>
            <w:tcW w:w="1276" w:type="dxa"/>
            <w:vMerge/>
            <w:tcBorders>
              <w:top w:val="single" w:sz="4" w:space="0" w:color="auto"/>
              <w:left w:val="single" w:sz="4" w:space="0" w:color="auto"/>
              <w:right w:val="single" w:sz="4" w:space="0" w:color="auto"/>
            </w:tcBorders>
            <w:vAlign w:val="center"/>
          </w:tcPr>
          <w:p w14:paraId="2EF7E874" w14:textId="77777777" w:rsidR="00025543" w:rsidRDefault="00025543">
            <w:pPr>
              <w:spacing w:line="240" w:lineRule="auto"/>
              <w:jc w:val="center"/>
              <w:rPr>
                <w:noProof/>
                <w:sz w:val="18"/>
              </w:rPr>
            </w:pPr>
          </w:p>
        </w:tc>
        <w:tc>
          <w:tcPr>
            <w:tcW w:w="1077" w:type="dxa"/>
            <w:tcBorders>
              <w:top w:val="single" w:sz="8" w:space="0" w:color="auto"/>
              <w:left w:val="single" w:sz="4" w:space="0" w:color="auto"/>
              <w:bottom w:val="single" w:sz="8" w:space="0" w:color="auto"/>
              <w:right w:val="single" w:sz="8" w:space="0" w:color="000000" w:themeColor="text1"/>
            </w:tcBorders>
            <w:shd w:val="clear" w:color="auto" w:fill="BDD7EE"/>
            <w:vAlign w:val="center"/>
          </w:tcPr>
          <w:p w14:paraId="779D70B8" w14:textId="77777777" w:rsidR="00025543" w:rsidRDefault="007E3A2F">
            <w:pPr>
              <w:pStyle w:val="P68B1DB1-Normal9"/>
              <w:spacing w:line="240" w:lineRule="auto"/>
              <w:jc w:val="center"/>
              <w:rPr>
                <w:noProof/>
              </w:rPr>
            </w:pPr>
            <w:r>
              <w:rPr>
                <w:noProof/>
              </w:rPr>
              <w:t>Unité de mesure</w:t>
            </w:r>
          </w:p>
        </w:tc>
        <w:tc>
          <w:tcPr>
            <w:tcW w:w="1077" w:type="dxa"/>
            <w:tcBorders>
              <w:top w:val="nil"/>
              <w:left w:val="single" w:sz="8" w:space="0" w:color="auto"/>
              <w:bottom w:val="single" w:sz="8" w:space="0" w:color="auto"/>
              <w:right w:val="single" w:sz="8" w:space="0" w:color="auto"/>
            </w:tcBorders>
            <w:shd w:val="clear" w:color="auto" w:fill="BDD7EE"/>
            <w:vAlign w:val="center"/>
          </w:tcPr>
          <w:p w14:paraId="6DFA4717" w14:textId="77777777" w:rsidR="00025543" w:rsidRDefault="007E3A2F">
            <w:pPr>
              <w:pStyle w:val="P68B1DB1-Normal9"/>
              <w:spacing w:line="240" w:lineRule="auto"/>
              <w:jc w:val="center"/>
              <w:rPr>
                <w:noProof/>
              </w:rPr>
            </w:pPr>
            <w:r>
              <w:rPr>
                <w:noProof/>
              </w:rPr>
              <w:t>Scénario de référence</w:t>
            </w:r>
          </w:p>
        </w:tc>
        <w:tc>
          <w:tcPr>
            <w:tcW w:w="850" w:type="dxa"/>
            <w:tcBorders>
              <w:top w:val="nil"/>
              <w:left w:val="single" w:sz="8" w:space="0" w:color="auto"/>
              <w:bottom w:val="single" w:sz="8" w:space="0" w:color="auto"/>
              <w:right w:val="single" w:sz="8" w:space="0" w:color="000000" w:themeColor="text1"/>
            </w:tcBorders>
            <w:shd w:val="clear" w:color="auto" w:fill="BDD7EE"/>
            <w:vAlign w:val="center"/>
          </w:tcPr>
          <w:p w14:paraId="35862E20" w14:textId="77777777" w:rsidR="00025543" w:rsidRDefault="007E3A2F">
            <w:pPr>
              <w:pStyle w:val="P68B1DB1-Normal9"/>
              <w:spacing w:line="240" w:lineRule="auto"/>
              <w:jc w:val="center"/>
              <w:rPr>
                <w:noProof/>
              </w:rPr>
            </w:pPr>
            <w:r>
              <w:rPr>
                <w:noProof/>
              </w:rPr>
              <w:t>Objectif</w:t>
            </w:r>
          </w:p>
        </w:tc>
        <w:tc>
          <w:tcPr>
            <w:tcW w:w="1134" w:type="dxa"/>
            <w:tcBorders>
              <w:top w:val="single" w:sz="8" w:space="0" w:color="auto"/>
              <w:left w:val="single" w:sz="8" w:space="0" w:color="auto"/>
              <w:bottom w:val="single" w:sz="8" w:space="0" w:color="auto"/>
              <w:right w:val="single" w:sz="8" w:space="0" w:color="000000" w:themeColor="text1"/>
            </w:tcBorders>
            <w:shd w:val="clear" w:color="auto" w:fill="BDD7EE"/>
            <w:vAlign w:val="center"/>
          </w:tcPr>
          <w:p w14:paraId="77A44356" w14:textId="77777777" w:rsidR="00025543" w:rsidRDefault="007E3A2F">
            <w:pPr>
              <w:pStyle w:val="P68B1DB1-Normal9"/>
              <w:spacing w:line="240" w:lineRule="auto"/>
              <w:jc w:val="center"/>
              <w:rPr>
                <w:noProof/>
              </w:rPr>
            </w:pPr>
            <w:r>
              <w:rPr>
                <w:noProof/>
              </w:rPr>
              <w:t>Trimestre</w:t>
            </w:r>
          </w:p>
        </w:tc>
        <w:tc>
          <w:tcPr>
            <w:tcW w:w="608" w:type="dxa"/>
            <w:tcBorders>
              <w:top w:val="nil"/>
              <w:left w:val="single" w:sz="8" w:space="0" w:color="auto"/>
              <w:bottom w:val="single" w:sz="8" w:space="0" w:color="auto"/>
              <w:right w:val="single" w:sz="4" w:space="0" w:color="auto"/>
            </w:tcBorders>
            <w:shd w:val="clear" w:color="auto" w:fill="BDD7EE"/>
            <w:vAlign w:val="center"/>
          </w:tcPr>
          <w:p w14:paraId="73B81F8B" w14:textId="77777777" w:rsidR="00025543" w:rsidRDefault="007E3A2F">
            <w:pPr>
              <w:pStyle w:val="P68B1DB1-Normal9"/>
              <w:spacing w:line="240" w:lineRule="auto"/>
              <w:jc w:val="center"/>
              <w:rPr>
                <w:noProof/>
              </w:rPr>
            </w:pPr>
            <w:r>
              <w:rPr>
                <w:noProof/>
              </w:rPr>
              <w:t>Année</w:t>
            </w:r>
          </w:p>
        </w:tc>
        <w:tc>
          <w:tcPr>
            <w:tcW w:w="4745" w:type="dxa"/>
            <w:vMerge/>
            <w:tcBorders>
              <w:bottom w:val="single" w:sz="4" w:space="0" w:color="auto"/>
              <w:right w:val="single" w:sz="4" w:space="0" w:color="auto"/>
            </w:tcBorders>
            <w:vAlign w:val="center"/>
          </w:tcPr>
          <w:p w14:paraId="799F0783" w14:textId="77777777" w:rsidR="00025543" w:rsidRDefault="00025543">
            <w:pPr>
              <w:spacing w:line="240" w:lineRule="auto"/>
              <w:jc w:val="center"/>
              <w:rPr>
                <w:noProof/>
                <w:sz w:val="18"/>
              </w:rPr>
            </w:pPr>
          </w:p>
        </w:tc>
      </w:tr>
      <w:tr w:rsidR="00025543" w14:paraId="7CB83F48" w14:textId="77777777">
        <w:trPr>
          <w:trHeight w:val="945"/>
          <w:jc w:val="center"/>
        </w:trPr>
        <w:tc>
          <w:tcPr>
            <w:tcW w:w="675" w:type="dxa"/>
            <w:tcBorders>
              <w:top w:val="single" w:sz="4" w:space="0" w:color="auto"/>
              <w:left w:val="single" w:sz="8" w:space="0" w:color="auto"/>
              <w:bottom w:val="single" w:sz="8" w:space="0" w:color="auto"/>
              <w:right w:val="single" w:sz="8" w:space="0" w:color="auto"/>
            </w:tcBorders>
            <w:shd w:val="clear" w:color="auto" w:fill="C6EFCE"/>
            <w:vAlign w:val="center"/>
          </w:tcPr>
          <w:p w14:paraId="6A63D6FA" w14:textId="77777777" w:rsidR="00025543" w:rsidRDefault="007E3A2F">
            <w:pPr>
              <w:pStyle w:val="P68B1DB1-Normal28"/>
              <w:spacing w:line="240" w:lineRule="auto"/>
              <w:jc w:val="center"/>
              <w:rPr>
                <w:noProof/>
              </w:rPr>
            </w:pPr>
            <w:r>
              <w:rPr>
                <w:noProof/>
              </w:rPr>
              <w:t>184</w:t>
            </w:r>
          </w:p>
        </w:tc>
        <w:tc>
          <w:tcPr>
            <w:tcW w:w="1307" w:type="dxa"/>
            <w:tcBorders>
              <w:top w:val="single" w:sz="4" w:space="0" w:color="auto"/>
              <w:left w:val="single" w:sz="8" w:space="0" w:color="auto"/>
              <w:bottom w:val="single" w:sz="8" w:space="0" w:color="auto"/>
              <w:right w:val="single" w:sz="8" w:space="0" w:color="auto"/>
            </w:tcBorders>
            <w:shd w:val="clear" w:color="auto" w:fill="C6EFCE"/>
            <w:vAlign w:val="center"/>
          </w:tcPr>
          <w:p w14:paraId="133B2810" w14:textId="77777777" w:rsidR="00025543" w:rsidRDefault="007E3A2F">
            <w:pPr>
              <w:pStyle w:val="P68B1DB1-Normal28"/>
              <w:spacing w:after="0" w:line="240" w:lineRule="auto"/>
              <w:rPr>
                <w:noProof/>
              </w:rPr>
            </w:pPr>
            <w:r>
              <w:rPr>
                <w:noProof/>
              </w:rPr>
              <w:t>Réforme 1: Développement des politiques du marché du travail</w:t>
            </w:r>
          </w:p>
          <w:p w14:paraId="5F7CAF39" w14:textId="77777777" w:rsidR="00025543" w:rsidRDefault="00025543">
            <w:pPr>
              <w:spacing w:line="240" w:lineRule="auto"/>
              <w:rPr>
                <w:noProof/>
                <w:color w:val="006100"/>
                <w:sz w:val="18"/>
              </w:rPr>
            </w:pPr>
          </w:p>
        </w:tc>
        <w:tc>
          <w:tcPr>
            <w:tcW w:w="1077" w:type="dxa"/>
            <w:tcBorders>
              <w:top w:val="single" w:sz="4" w:space="0" w:color="auto"/>
              <w:left w:val="single" w:sz="8" w:space="0" w:color="auto"/>
              <w:bottom w:val="single" w:sz="8" w:space="0" w:color="auto"/>
              <w:right w:val="single" w:sz="8" w:space="0" w:color="auto"/>
            </w:tcBorders>
            <w:shd w:val="clear" w:color="auto" w:fill="C6EFCE"/>
            <w:vAlign w:val="center"/>
          </w:tcPr>
          <w:p w14:paraId="4D5B0D80" w14:textId="77777777" w:rsidR="00025543" w:rsidRDefault="007E3A2F">
            <w:pPr>
              <w:pStyle w:val="P68B1DB1-Normal28"/>
              <w:spacing w:after="0" w:line="240" w:lineRule="auto"/>
              <w:rPr>
                <w:noProof/>
              </w:rPr>
            </w:pPr>
            <w:r>
              <w:rPr>
                <w:noProof/>
              </w:rPr>
              <w:t>Étapes</w:t>
            </w:r>
          </w:p>
          <w:p w14:paraId="3921C1A4" w14:textId="77777777" w:rsidR="00025543" w:rsidRDefault="00025543">
            <w:pPr>
              <w:spacing w:line="240" w:lineRule="auto"/>
              <w:rPr>
                <w:noProof/>
                <w:color w:val="006100"/>
                <w:sz w:val="18"/>
              </w:rPr>
            </w:pPr>
          </w:p>
        </w:tc>
        <w:tc>
          <w:tcPr>
            <w:tcW w:w="1701" w:type="dxa"/>
            <w:tcBorders>
              <w:top w:val="single" w:sz="4" w:space="0" w:color="auto"/>
              <w:left w:val="single" w:sz="8" w:space="0" w:color="auto"/>
              <w:bottom w:val="single" w:sz="8" w:space="0" w:color="auto"/>
              <w:right w:val="single" w:sz="8" w:space="0" w:color="auto"/>
            </w:tcBorders>
            <w:shd w:val="clear" w:color="auto" w:fill="C6EFCE"/>
            <w:vAlign w:val="center"/>
          </w:tcPr>
          <w:p w14:paraId="5F0E77C2" w14:textId="77777777" w:rsidR="00025543" w:rsidRDefault="007E3A2F">
            <w:pPr>
              <w:pStyle w:val="P68B1DB1-Normal28"/>
              <w:spacing w:after="0" w:line="240" w:lineRule="auto"/>
              <w:rPr>
                <w:noProof/>
              </w:rPr>
            </w:pPr>
            <w:r>
              <w:rPr>
                <w:noProof/>
              </w:rPr>
              <w:t xml:space="preserve">Mise en place du comité tripartite pour la reconversion et le renforcement des compétences </w:t>
            </w:r>
          </w:p>
          <w:p w14:paraId="49153CBF" w14:textId="77777777" w:rsidR="00025543" w:rsidRDefault="00025543">
            <w:pPr>
              <w:spacing w:line="240" w:lineRule="auto"/>
              <w:rPr>
                <w:noProof/>
                <w:color w:val="006100"/>
                <w:sz w:val="18"/>
              </w:rPr>
            </w:pP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4EC83B1C" w14:textId="77777777" w:rsidR="00025543" w:rsidRDefault="007E3A2F">
            <w:pPr>
              <w:pStyle w:val="P68B1DB1-Normal28"/>
              <w:spacing w:line="240" w:lineRule="auto"/>
              <w:rPr>
                <w:noProof/>
              </w:rPr>
            </w:pPr>
            <w:r>
              <w:rPr>
                <w:noProof/>
              </w:rPr>
              <w:t>Entrée en vigueur d’un décret instituant un comité permanent de reconversion et de renforcement des compétences du Conseil de l’accord économique et social (tripartite)</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72908533" w14:textId="77777777" w:rsidR="00025543" w:rsidRDefault="00025543">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D52E22D" w14:textId="77777777" w:rsidR="00025543" w:rsidRDefault="00025543">
            <w:pPr>
              <w:spacing w:line="240" w:lineRule="auto"/>
              <w:jc w:val="center"/>
              <w:rPr>
                <w:noProof/>
                <w:color w:val="006100"/>
                <w:sz w:val="18"/>
              </w:rPr>
            </w:pP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5FBB9A82" w14:textId="77777777" w:rsidR="00025543" w:rsidRDefault="00025543">
            <w:pPr>
              <w:spacing w:line="240" w:lineRule="auto"/>
              <w:jc w:val="center"/>
              <w:rPr>
                <w:noProof/>
                <w:color w:val="006100"/>
                <w:sz w:val="18"/>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3B2355FA" w14:textId="77777777" w:rsidR="00025543" w:rsidRDefault="007E3A2F">
            <w:pPr>
              <w:pStyle w:val="P68B1DB1-Normal28"/>
              <w:spacing w:line="240" w:lineRule="auto"/>
              <w:jc w:val="center"/>
              <w:rPr>
                <w:noProof/>
              </w:rPr>
            </w:pPr>
            <w:r>
              <w:rPr>
                <w:noProof/>
              </w:rPr>
              <w:t>TRIMESTRE 1</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55A62F1C" w14:textId="77777777" w:rsidR="00025543" w:rsidRDefault="007E3A2F">
            <w:pPr>
              <w:pStyle w:val="P68B1DB1-Normal28"/>
              <w:spacing w:line="240" w:lineRule="auto"/>
              <w:jc w:val="center"/>
              <w:rPr>
                <w:noProof/>
              </w:rPr>
            </w:pPr>
            <w:r>
              <w:rPr>
                <w:noProof/>
              </w:rPr>
              <w:t>2022</w:t>
            </w:r>
          </w:p>
        </w:tc>
        <w:tc>
          <w:tcPr>
            <w:tcW w:w="4745" w:type="dxa"/>
            <w:tcBorders>
              <w:top w:val="single" w:sz="4" w:space="0" w:color="auto"/>
              <w:left w:val="single" w:sz="8" w:space="0" w:color="auto"/>
              <w:bottom w:val="single" w:sz="8" w:space="0" w:color="auto"/>
              <w:right w:val="single" w:sz="8" w:space="0" w:color="auto"/>
            </w:tcBorders>
            <w:shd w:val="clear" w:color="auto" w:fill="C6EFCE"/>
            <w:vAlign w:val="center"/>
          </w:tcPr>
          <w:p w14:paraId="636A3676" w14:textId="300A4667" w:rsidR="00025543" w:rsidRDefault="007E3A2F">
            <w:pPr>
              <w:pStyle w:val="P68B1DB1-Normal28"/>
              <w:spacing w:after="0" w:line="259" w:lineRule="auto"/>
              <w:contextualSpacing/>
              <w:rPr>
                <w:noProof/>
              </w:rPr>
            </w:pPr>
            <w:r>
              <w:rPr>
                <w:noProof/>
              </w:rPr>
              <w:t>Le comité pour la reconversion et le renforcement des compétences coordonne le développement de l’apprentissage tout au long de la vie en fonction de la demande réelle et prévue de compétences. Il est composé de représentants du ministère du travail et des affaires sociales, du ministère de l’éducation, de la jeunesse et des sports, des associations d’employeurs et des syndicats.</w:t>
            </w:r>
          </w:p>
        </w:tc>
      </w:tr>
      <w:tr w:rsidR="00025543" w14:paraId="7A48B1D4" w14:textId="77777777">
        <w:trPr>
          <w:trHeight w:val="2263"/>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43609502" w14:textId="77777777" w:rsidR="00025543" w:rsidRDefault="007E3A2F">
            <w:pPr>
              <w:pStyle w:val="P68B1DB1-Normal28"/>
              <w:spacing w:line="240" w:lineRule="auto"/>
              <w:jc w:val="center"/>
              <w:rPr>
                <w:noProof/>
              </w:rPr>
            </w:pPr>
            <w:r>
              <w:rPr>
                <w:noProof/>
              </w:rPr>
              <w:t>185</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6B413E46" w14:textId="77777777" w:rsidR="00025543" w:rsidRDefault="007E3A2F">
            <w:pPr>
              <w:pStyle w:val="P68B1DB1-Normal28"/>
              <w:spacing w:line="240" w:lineRule="auto"/>
              <w:rPr>
                <w:noProof/>
              </w:rPr>
            </w:pPr>
            <w:r>
              <w:rPr>
                <w:noProof/>
              </w:rPr>
              <w:t>Réforme 1: Développement des politiques du marché du travail</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40FEE762" w14:textId="77777777" w:rsidR="00025543" w:rsidRDefault="007E3A2F">
            <w:pPr>
              <w:pStyle w:val="P68B1DB1-Normal28"/>
              <w:spacing w:line="240" w:lineRule="auto"/>
              <w:rPr>
                <w:noProof/>
              </w:rPr>
            </w:pPr>
            <w:r>
              <w:rPr>
                <w:noProof/>
              </w:rPr>
              <w:t>Étapes</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14:paraId="0DFF806F" w14:textId="77777777" w:rsidR="00025543" w:rsidRDefault="007E3A2F">
            <w:pPr>
              <w:pStyle w:val="P68B1DB1-Normal28"/>
              <w:spacing w:after="0" w:line="240" w:lineRule="auto"/>
              <w:rPr>
                <w:noProof/>
              </w:rPr>
            </w:pPr>
            <w:r>
              <w:rPr>
                <w:noProof/>
              </w:rPr>
              <w:t>Entrée en vigueur de la loi modifiée sur l’emploi visant à accroître l’efficacité des services de l’emploi et à mieux cibler les groupes les plus vulnérables</w:t>
            </w:r>
          </w:p>
          <w:p w14:paraId="1DEED008" w14:textId="77777777" w:rsidR="00025543" w:rsidRDefault="007E3A2F">
            <w:pPr>
              <w:pStyle w:val="P68B1DB1-Normal28"/>
              <w:spacing w:line="240" w:lineRule="auto"/>
              <w:rPr>
                <w:noProof/>
              </w:rPr>
            </w:pPr>
            <w:r>
              <w:rPr>
                <w:noProof/>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6DAF951A" w14:textId="77777777" w:rsidR="00025543" w:rsidRDefault="007E3A2F">
            <w:pPr>
              <w:pStyle w:val="P68B1DB1-Normal28"/>
              <w:spacing w:line="240" w:lineRule="auto"/>
              <w:rPr>
                <w:noProof/>
              </w:rPr>
            </w:pPr>
            <w:r>
              <w:rPr>
                <w:noProof/>
              </w:rPr>
              <w:t xml:space="preserve">Disposition de la loi modifiée sur l’emploi indiquant l’entrée en vigueur de la loi modifiée sur l’emploi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3F7EA41" w14:textId="77777777" w:rsidR="00025543" w:rsidRDefault="00025543">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8E270FD" w14:textId="77777777" w:rsidR="00025543" w:rsidRDefault="00025543">
            <w:pPr>
              <w:spacing w:line="240" w:lineRule="auto"/>
              <w:jc w:val="center"/>
              <w:rPr>
                <w:noProof/>
                <w:color w:val="006100"/>
                <w:sz w:val="18"/>
              </w:rPr>
            </w:pP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02158EA7" w14:textId="77777777" w:rsidR="00025543" w:rsidRDefault="00025543">
            <w:pPr>
              <w:spacing w:line="240" w:lineRule="auto"/>
              <w:jc w:val="center"/>
              <w:rPr>
                <w:noProof/>
                <w:color w:val="006100"/>
                <w:sz w:val="18"/>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100E4FFF" w14:textId="77777777" w:rsidR="00025543" w:rsidRDefault="007E3A2F">
            <w:pPr>
              <w:pStyle w:val="P68B1DB1-Normal28"/>
              <w:spacing w:line="240" w:lineRule="auto"/>
              <w:jc w:val="center"/>
              <w:rPr>
                <w:noProof/>
              </w:rPr>
            </w:pPr>
            <w:r>
              <w:rPr>
                <w:noProof/>
              </w:rPr>
              <w:t>TRIMESTRE 4</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101FAD61" w14:textId="77777777" w:rsidR="00025543" w:rsidRDefault="007E3A2F">
            <w:pPr>
              <w:pStyle w:val="P68B1DB1-Normal28"/>
              <w:spacing w:line="240" w:lineRule="auto"/>
              <w:jc w:val="center"/>
              <w:rPr>
                <w:noProof/>
              </w:rPr>
            </w:pPr>
            <w:r>
              <w:rPr>
                <w:noProof/>
              </w:rPr>
              <w:t>2025</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2A4B0E26" w14:textId="77777777" w:rsidR="00025543" w:rsidRDefault="007E3A2F">
            <w:pPr>
              <w:pStyle w:val="P68B1DB1-Normal28"/>
              <w:spacing w:after="240" w:line="240" w:lineRule="auto"/>
              <w:rPr>
                <w:noProof/>
              </w:rPr>
            </w:pPr>
            <w:r>
              <w:rPr>
                <w:noProof/>
              </w:rPr>
              <w:t xml:space="preserve">La loi: </w:t>
            </w:r>
          </w:p>
          <w:p w14:paraId="1C6A8C37" w14:textId="77777777" w:rsidR="00025543" w:rsidRDefault="007E3A2F">
            <w:pPr>
              <w:pStyle w:val="P68B1DB1-Normal28"/>
              <w:numPr>
                <w:ilvl w:val="0"/>
                <w:numId w:val="179"/>
              </w:numPr>
              <w:spacing w:after="0" w:line="259" w:lineRule="auto"/>
              <w:rPr>
                <w:noProof/>
              </w:rPr>
            </w:pPr>
            <w:r>
              <w:rPr>
                <w:noProof/>
              </w:rPr>
              <w:t>Fournir une définition des personnes défavorisées sur le marché du travail</w:t>
            </w:r>
          </w:p>
          <w:p w14:paraId="3E91ED9A" w14:textId="77777777" w:rsidR="00025543" w:rsidRDefault="007E3A2F">
            <w:pPr>
              <w:pStyle w:val="P68B1DB1-Normal28"/>
              <w:numPr>
                <w:ilvl w:val="0"/>
                <w:numId w:val="179"/>
              </w:numPr>
              <w:spacing w:after="0" w:line="259" w:lineRule="auto"/>
              <w:rPr>
                <w:noProof/>
              </w:rPr>
            </w:pPr>
            <w:r>
              <w:rPr>
                <w:noProof/>
              </w:rPr>
              <w:t>mieux cibler le soutien aux groupes les plus vulnérables (en particulier les personnes peu qualifiées, les personnes exclues ou exposées au risque d’exclusion sociale);</w:t>
            </w:r>
          </w:p>
          <w:p w14:paraId="7F54FBB1" w14:textId="77777777" w:rsidR="00025543" w:rsidRDefault="007E3A2F">
            <w:pPr>
              <w:pStyle w:val="P68B1DB1-Normal28"/>
              <w:numPr>
                <w:ilvl w:val="0"/>
                <w:numId w:val="179"/>
              </w:numPr>
              <w:spacing w:after="240" w:line="259" w:lineRule="auto"/>
              <w:rPr>
                <w:noProof/>
              </w:rPr>
            </w:pPr>
            <w:r>
              <w:rPr>
                <w:noProof/>
              </w:rPr>
              <w:t>accroître la flexibilité et l’efficacité des cours de recyclage organisés par l’Office de l’emploi</w:t>
            </w:r>
          </w:p>
        </w:tc>
      </w:tr>
      <w:tr w:rsidR="00025543" w14:paraId="3706ACAF"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51DB0E05" w14:textId="77777777" w:rsidR="00025543" w:rsidRDefault="007E3A2F">
            <w:pPr>
              <w:pStyle w:val="P68B1DB1-Normal28"/>
              <w:spacing w:line="240" w:lineRule="auto"/>
              <w:jc w:val="center"/>
              <w:rPr>
                <w:noProof/>
              </w:rPr>
            </w:pPr>
            <w:r>
              <w:rPr>
                <w:noProof/>
              </w:rPr>
              <w:t>186</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5BB5C755" w14:textId="77777777" w:rsidR="00025543" w:rsidRDefault="007E3A2F">
            <w:pPr>
              <w:pStyle w:val="P68B1DB1-Normal28"/>
              <w:spacing w:line="240" w:lineRule="auto"/>
              <w:rPr>
                <w:noProof/>
              </w:rPr>
            </w:pPr>
            <w:r>
              <w:rPr>
                <w:noProof/>
              </w:rPr>
              <w:t>Réforme 1: Développement des politiques du marché du travail</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7ACE8D6" w14:textId="77777777" w:rsidR="00025543" w:rsidRDefault="007E3A2F">
            <w:pPr>
              <w:pStyle w:val="P68B1DB1-Normal28"/>
              <w:spacing w:line="240" w:lineRule="auto"/>
              <w:rPr>
                <w:noProof/>
              </w:rPr>
            </w:pPr>
            <w:r>
              <w:rPr>
                <w:noProof/>
              </w:rPr>
              <w:t xml:space="preserve">Étapes </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14:paraId="6F6D353A" w14:textId="77777777" w:rsidR="00025543" w:rsidRDefault="007E3A2F">
            <w:pPr>
              <w:pStyle w:val="P68B1DB1-Normal28"/>
              <w:spacing w:line="240" w:lineRule="auto"/>
              <w:rPr>
                <w:noProof/>
              </w:rPr>
            </w:pPr>
            <w:r>
              <w:rPr>
                <w:noProof/>
              </w:rPr>
              <w:t>Base de données des cours de reconversion et de perfectionnement professionnels</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bottom"/>
          </w:tcPr>
          <w:p w14:paraId="4B9FE9F5" w14:textId="77777777" w:rsidR="00025543" w:rsidRDefault="007E3A2F">
            <w:pPr>
              <w:pStyle w:val="P68B1DB1-Normal28"/>
              <w:spacing w:line="240" w:lineRule="auto"/>
              <w:rPr>
                <w:noProof/>
              </w:rPr>
            </w:pPr>
            <w:r>
              <w:rPr>
                <w:noProof/>
              </w:rPr>
              <w:t>Base de données publique sur les cours de perfectionnement et de reconversion professionnels mis en service</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0DF2775" w14:textId="77777777" w:rsidR="00025543" w:rsidRDefault="00025543">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1BF989F9" w14:textId="77777777" w:rsidR="00025543" w:rsidRDefault="00025543">
            <w:pPr>
              <w:spacing w:line="240" w:lineRule="auto"/>
              <w:jc w:val="center"/>
              <w:rPr>
                <w:noProof/>
                <w:color w:val="006100"/>
                <w:sz w:val="18"/>
              </w:rPr>
            </w:pP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4F2EE076" w14:textId="77777777" w:rsidR="00025543" w:rsidRDefault="00025543">
            <w:pPr>
              <w:spacing w:line="240" w:lineRule="auto"/>
              <w:jc w:val="center"/>
              <w:rPr>
                <w:noProof/>
                <w:color w:val="006100"/>
                <w:sz w:val="18"/>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5465E1E3" w14:textId="77777777" w:rsidR="00025543" w:rsidRDefault="007E3A2F">
            <w:pPr>
              <w:pStyle w:val="P68B1DB1-Normal28"/>
              <w:spacing w:line="240" w:lineRule="auto"/>
              <w:jc w:val="center"/>
              <w:rPr>
                <w:noProof/>
              </w:rPr>
            </w:pPr>
            <w:r>
              <w:rPr>
                <w:noProof/>
              </w:rPr>
              <w:t>TRIMESTRE 4</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6397A531" w14:textId="77777777" w:rsidR="00025543" w:rsidRDefault="007E3A2F">
            <w:pPr>
              <w:pStyle w:val="P68B1DB1-Normal28"/>
              <w:spacing w:line="240" w:lineRule="auto"/>
              <w:jc w:val="center"/>
              <w:rPr>
                <w:noProof/>
              </w:rPr>
            </w:pPr>
            <w:r>
              <w:rPr>
                <w:noProof/>
              </w:rPr>
              <w:t>2023</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4BA93FF0" w14:textId="77777777" w:rsidR="00025543" w:rsidRDefault="007E3A2F">
            <w:pPr>
              <w:pStyle w:val="P68B1DB1-Normal28"/>
              <w:spacing w:after="0" w:line="259" w:lineRule="auto"/>
              <w:contextualSpacing/>
              <w:rPr>
                <w:i/>
                <w:noProof/>
              </w:rPr>
            </w:pPr>
            <w:r>
              <w:rPr>
                <w:noProof/>
              </w:rPr>
              <w:t>La base de données comprend des programmes de perfectionnement et de reconversion professionnels certifiés conformément à la loi sur l’emploi (fournis par l’Office du travail) ainsi que des cours proposés par les écoles professionnelles, les établissements d’enseignement supérieur et d’autres prestataires.</w:t>
            </w:r>
          </w:p>
        </w:tc>
      </w:tr>
      <w:tr w:rsidR="00025543" w14:paraId="452CB332" w14:textId="77777777">
        <w:trPr>
          <w:trHeight w:val="479"/>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161B8EE4" w14:textId="77777777" w:rsidR="00025543" w:rsidRDefault="007E3A2F">
            <w:pPr>
              <w:pStyle w:val="P68B1DB1-Normal28"/>
              <w:spacing w:line="240" w:lineRule="auto"/>
              <w:jc w:val="center"/>
              <w:rPr>
                <w:noProof/>
              </w:rPr>
            </w:pPr>
            <w:r>
              <w:rPr>
                <w:noProof/>
              </w:rPr>
              <w:t>187</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3A458816" w14:textId="77777777" w:rsidR="00025543" w:rsidRDefault="007E3A2F">
            <w:pPr>
              <w:pStyle w:val="P68B1DB1-Normal28"/>
              <w:spacing w:line="240" w:lineRule="auto"/>
              <w:rPr>
                <w:noProof/>
              </w:rPr>
            </w:pPr>
            <w:r>
              <w:rPr>
                <w:noProof/>
              </w:rPr>
              <w:t>Investissement 1: Développement des politiques du marché du travail</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188283DE" w14:textId="77777777" w:rsidR="00025543" w:rsidRDefault="007E3A2F">
            <w:pPr>
              <w:pStyle w:val="P68B1DB1-Normal28"/>
              <w:spacing w:after="0" w:line="240" w:lineRule="auto"/>
              <w:rPr>
                <w:noProof/>
              </w:rPr>
            </w:pPr>
            <w:r>
              <w:rPr>
                <w:noProof/>
              </w:rPr>
              <w:t>Cible</w:t>
            </w:r>
          </w:p>
          <w:p w14:paraId="6209A740" w14:textId="77777777" w:rsidR="00025543" w:rsidRDefault="00025543">
            <w:pPr>
              <w:spacing w:line="240" w:lineRule="auto"/>
              <w:rPr>
                <w:noProof/>
                <w:color w:val="006100"/>
                <w:sz w:val="18"/>
              </w:rPr>
            </w:pP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14:paraId="276226A8" w14:textId="77777777" w:rsidR="00025543" w:rsidRDefault="007E3A2F">
            <w:pPr>
              <w:pStyle w:val="P68B1DB1-Normal28"/>
              <w:spacing w:after="0" w:line="240" w:lineRule="auto"/>
              <w:rPr>
                <w:noProof/>
              </w:rPr>
            </w:pPr>
            <w:r>
              <w:rPr>
                <w:noProof/>
              </w:rPr>
              <w:t>Nombre de personnes ayant bénéficié de la reconversion et du perfectionnement professionnels en matière de compétences numériques et de compétences nécessaires à l’industrie 4.0</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7B71BDCA" w14:textId="77777777" w:rsidR="00025543" w:rsidRDefault="00025543">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58AE884" w14:textId="77777777" w:rsidR="00025543" w:rsidRDefault="007E3A2F">
            <w:pPr>
              <w:pStyle w:val="P68B1DB1-Normal28"/>
              <w:spacing w:line="240" w:lineRule="auto"/>
              <w:rPr>
                <w:noProof/>
              </w:rPr>
            </w:pPr>
            <w:r>
              <w:rPr>
                <w:noProof/>
              </w:rPr>
              <w:t>Numéro</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4D06ECCA" w14:textId="77777777" w:rsidR="00025543" w:rsidRDefault="007E3A2F">
            <w:pPr>
              <w:pStyle w:val="P68B1DB1-Normal28"/>
              <w:spacing w:line="240" w:lineRule="auto"/>
              <w:jc w:val="center"/>
              <w:rPr>
                <w:noProof/>
              </w:rPr>
            </w:pPr>
            <w:r>
              <w:rPr>
                <w:noProof/>
              </w:rPr>
              <w:t>0</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1DB6DD3F" w14:textId="77777777" w:rsidR="00025543" w:rsidRDefault="007E3A2F">
            <w:pPr>
              <w:pStyle w:val="P68B1DB1-Normal28"/>
              <w:spacing w:line="240" w:lineRule="auto"/>
              <w:jc w:val="center"/>
              <w:rPr>
                <w:noProof/>
              </w:rPr>
            </w:pPr>
            <w:r>
              <w:rPr>
                <w:noProof/>
              </w:rPr>
              <w:t>130 000</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0B5287E4" w14:textId="77777777" w:rsidR="00025543" w:rsidRDefault="007E3A2F">
            <w:pPr>
              <w:pStyle w:val="P68B1DB1-Normal28"/>
              <w:spacing w:line="240" w:lineRule="auto"/>
              <w:jc w:val="center"/>
              <w:rPr>
                <w:noProof/>
              </w:rPr>
            </w:pPr>
            <w:r>
              <w:rPr>
                <w:noProof/>
              </w:rPr>
              <w:t>TRIMESTRE 4</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7833ECAC" w14:textId="77777777" w:rsidR="00025543" w:rsidRDefault="007E3A2F">
            <w:pPr>
              <w:pStyle w:val="P68B1DB1-Normal28"/>
              <w:spacing w:line="240" w:lineRule="auto"/>
              <w:jc w:val="center"/>
              <w:rPr>
                <w:noProof/>
              </w:rPr>
            </w:pPr>
            <w:r>
              <w:rPr>
                <w:noProof/>
              </w:rPr>
              <w:t>2025</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7B0B812F" w14:textId="77777777" w:rsidR="00025543" w:rsidRDefault="007E3A2F">
            <w:pPr>
              <w:pStyle w:val="P68B1DB1-Normal28"/>
              <w:pBdr>
                <w:top w:val="nil"/>
                <w:left w:val="nil"/>
                <w:bottom w:val="nil"/>
                <w:right w:val="nil"/>
                <w:between w:val="nil"/>
              </w:pBdr>
              <w:spacing w:after="0" w:line="259" w:lineRule="auto"/>
              <w:rPr>
                <w:noProof/>
              </w:rPr>
            </w:pPr>
            <w:r>
              <w:rPr>
                <w:noProof/>
              </w:rPr>
              <w:t>Au moins 65 000 personnes doivent bénéficier d’un perfectionnement ou d’une reconversion professionnels dans le domaine des compétences numériques. En outre, au moins 65 000 personnes doivent bénéficier d’un perfectionnement ou d’une reconversion professionnels des compétences nécessaires à l’industrie 4.0.</w:t>
            </w:r>
          </w:p>
          <w:p w14:paraId="0367EE46" w14:textId="4202FD6B" w:rsidR="00025543" w:rsidRDefault="007E3A2F">
            <w:pPr>
              <w:pStyle w:val="P68B1DB1-Normal28"/>
              <w:spacing w:line="240" w:lineRule="auto"/>
              <w:rPr>
                <w:noProof/>
              </w:rPr>
            </w:pPr>
            <w:r>
              <w:rPr>
                <w:noProof/>
              </w:rPr>
              <w:t>Le soutien au perfectionnement et à la reconversion professionnels est fourni par l’intermédiaire de l’Office tchèque du travail ou par l’intermédiaire d’une formation en entreprise dispensée par des employeurs ou des associations professionnelles, professionnelles ou municipales. Les critères de sélection garantissent que la préférence est accordée aux PME et aux travailleurs indépendants.</w:t>
            </w:r>
          </w:p>
        </w:tc>
      </w:tr>
      <w:tr w:rsidR="00025543" w14:paraId="1A8C1190"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5EE34EBE" w14:textId="77777777" w:rsidR="00025543" w:rsidRDefault="007E3A2F">
            <w:pPr>
              <w:pStyle w:val="P68B1DB1-Normal28"/>
              <w:spacing w:line="240" w:lineRule="auto"/>
              <w:jc w:val="center"/>
              <w:rPr>
                <w:noProof/>
              </w:rPr>
            </w:pPr>
            <w:r>
              <w:rPr>
                <w:noProof/>
              </w:rPr>
              <w:t>188</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5150B719" w14:textId="77777777" w:rsidR="00025543" w:rsidRDefault="007E3A2F">
            <w:pPr>
              <w:pStyle w:val="P68B1DB1-Normal28"/>
              <w:spacing w:line="240" w:lineRule="auto"/>
              <w:rPr>
                <w:noProof/>
              </w:rPr>
            </w:pPr>
            <w:r>
              <w:rPr>
                <w:noProof/>
              </w:rPr>
              <w:t>Réforme 1: Développement des politiques du marché du travail</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08D1F63" w14:textId="77777777" w:rsidR="00025543" w:rsidRDefault="007E3A2F">
            <w:pPr>
              <w:pStyle w:val="P68B1DB1-Normal28"/>
              <w:spacing w:line="240" w:lineRule="auto"/>
              <w:rPr>
                <w:noProof/>
              </w:rPr>
            </w:pPr>
            <w:r>
              <w:rPr>
                <w:noProof/>
              </w:rPr>
              <w:t>Cible</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14:paraId="60F9E29E" w14:textId="77777777" w:rsidR="00025543" w:rsidRDefault="007E3A2F">
            <w:pPr>
              <w:pStyle w:val="P68B1DB1-Normal28"/>
              <w:spacing w:line="240" w:lineRule="auto"/>
              <w:rPr>
                <w:noProof/>
              </w:rPr>
            </w:pPr>
            <w:r>
              <w:rPr>
                <w:noProof/>
              </w:rPr>
              <w:t>Nombre de centres de formation régionaux créés pour promouvoir l’industrie 4.0</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bottom"/>
          </w:tcPr>
          <w:p w14:paraId="6D77B671" w14:textId="77777777" w:rsidR="00025543" w:rsidRDefault="00025543">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49EEE3C" w14:textId="77777777" w:rsidR="00025543" w:rsidRDefault="007E3A2F">
            <w:pPr>
              <w:pStyle w:val="P68B1DB1-Normal28"/>
              <w:spacing w:line="240" w:lineRule="auto"/>
              <w:rPr>
                <w:noProof/>
              </w:rPr>
            </w:pPr>
            <w:r>
              <w:rPr>
                <w:noProof/>
              </w:rPr>
              <w:t xml:space="preserve">Numéro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0263DE8" w14:textId="77777777" w:rsidR="00025543" w:rsidRDefault="007E3A2F">
            <w:pPr>
              <w:pStyle w:val="P68B1DB1-Normal28"/>
              <w:spacing w:line="240" w:lineRule="auto"/>
              <w:jc w:val="center"/>
              <w:rPr>
                <w:noProof/>
              </w:rPr>
            </w:pPr>
            <w:r>
              <w:rPr>
                <w:noProof/>
              </w:rPr>
              <w:t>0</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5621930B" w14:textId="77777777" w:rsidR="00025543" w:rsidRDefault="007E3A2F">
            <w:pPr>
              <w:pStyle w:val="P68B1DB1-Normal28"/>
              <w:spacing w:line="240" w:lineRule="auto"/>
              <w:jc w:val="center"/>
              <w:rPr>
                <w:noProof/>
              </w:rPr>
            </w:pPr>
            <w:r>
              <w:rPr>
                <w:noProof/>
              </w:rPr>
              <w:t>14</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6112FBD1" w14:textId="77777777" w:rsidR="00025543" w:rsidRDefault="007E3A2F">
            <w:pPr>
              <w:pStyle w:val="P68B1DB1-Normal28"/>
              <w:spacing w:line="240" w:lineRule="auto"/>
              <w:jc w:val="center"/>
              <w:rPr>
                <w:rFonts w:eastAsia="Times New Roman"/>
                <w:noProof/>
              </w:rPr>
            </w:pPr>
            <w:r>
              <w:rPr>
                <w:noProof/>
              </w:rPr>
              <w:t>TRIMESTRE 4</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30535B97" w14:textId="77777777" w:rsidR="00025543" w:rsidRDefault="007E3A2F">
            <w:pPr>
              <w:pStyle w:val="P68B1DB1-Normal28"/>
              <w:spacing w:line="240" w:lineRule="auto"/>
              <w:jc w:val="center"/>
              <w:rPr>
                <w:noProof/>
              </w:rPr>
            </w:pPr>
            <w:r>
              <w:rPr>
                <w:noProof/>
              </w:rPr>
              <w:t>2025</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08ED8175" w14:textId="77777777" w:rsidR="00025543" w:rsidRDefault="007E3A2F">
            <w:pPr>
              <w:pStyle w:val="P68B1DB1-Normal28"/>
              <w:spacing w:after="0" w:line="240" w:lineRule="auto"/>
              <w:rPr>
                <w:noProof/>
              </w:rPr>
            </w:pPr>
            <w:r>
              <w:rPr>
                <w:noProof/>
              </w:rPr>
              <w:t>Au moins 14 centres de formation doivent être mis en place, équipés et mis en service (un centre par région). Ces centres sont mis en place par l’Office de l’emploi. Ils sont équipés pour dispenser des cours de perfectionnement et de reconversion professionnels dans le domaine des compétences numériques et des compétences nécessaires à la transition vers l’industrie 4.0, en coopération avec les écoles professionnelles régionales.</w:t>
            </w:r>
          </w:p>
        </w:tc>
      </w:tr>
      <w:tr w:rsidR="00025543" w14:paraId="1012CD2B" w14:textId="77777777">
        <w:trPr>
          <w:trHeight w:val="1144"/>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0A8A93AA" w14:textId="77777777" w:rsidR="00025543" w:rsidRDefault="007E3A2F">
            <w:pPr>
              <w:pStyle w:val="P68B1DB1-Normal28"/>
              <w:spacing w:line="240" w:lineRule="auto"/>
              <w:jc w:val="center"/>
              <w:rPr>
                <w:noProof/>
              </w:rPr>
            </w:pPr>
            <w:r>
              <w:rPr>
                <w:noProof/>
              </w:rPr>
              <w:t>189</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014F85C7" w14:textId="77777777" w:rsidR="00025543" w:rsidRDefault="007E3A2F">
            <w:pPr>
              <w:pStyle w:val="P68B1DB1-Normal28"/>
              <w:spacing w:line="240" w:lineRule="auto"/>
              <w:rPr>
                <w:noProof/>
              </w:rPr>
            </w:pPr>
            <w:r>
              <w:rPr>
                <w:noProof/>
              </w:rPr>
              <w:t>Investissement 2: Accroître la capacité des structures préscolaires</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2CBCC6D" w14:textId="77777777" w:rsidR="00025543" w:rsidRDefault="007E3A2F">
            <w:pPr>
              <w:pStyle w:val="P68B1DB1-Normal28"/>
              <w:spacing w:line="240" w:lineRule="auto"/>
              <w:rPr>
                <w:noProof/>
              </w:rPr>
            </w:pPr>
            <w:r>
              <w:rPr>
                <w:noProof/>
              </w:rPr>
              <w:t>Cible</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14:paraId="3F6E6716" w14:textId="77777777" w:rsidR="00025543" w:rsidRDefault="007E3A2F">
            <w:pPr>
              <w:pStyle w:val="P68B1DB1-Normal28"/>
              <w:spacing w:line="240" w:lineRule="auto"/>
              <w:rPr>
                <w:noProof/>
              </w:rPr>
            </w:pPr>
            <w:r>
              <w:rPr>
                <w:noProof/>
              </w:rPr>
              <w:t xml:space="preserve">Nombre d’installations préscolaires existantes rénovées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bottom"/>
          </w:tcPr>
          <w:p w14:paraId="0975951B" w14:textId="77777777" w:rsidR="00025543" w:rsidRDefault="00025543">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7EE5E5AD" w14:textId="77777777" w:rsidR="00025543" w:rsidRDefault="007E3A2F">
            <w:pPr>
              <w:pStyle w:val="P68B1DB1-Normal28"/>
              <w:spacing w:line="240" w:lineRule="auto"/>
              <w:rPr>
                <w:noProof/>
              </w:rPr>
            </w:pPr>
            <w:r>
              <w:rPr>
                <w:noProof/>
              </w:rPr>
              <w:t xml:space="preserve">Numéro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4A918E1" w14:textId="77777777" w:rsidR="00025543" w:rsidRDefault="007E3A2F">
            <w:pPr>
              <w:pStyle w:val="P68B1DB1-Normal28"/>
              <w:spacing w:line="240" w:lineRule="auto"/>
              <w:jc w:val="center"/>
              <w:rPr>
                <w:noProof/>
              </w:rPr>
            </w:pPr>
            <w:r>
              <w:rPr>
                <w:noProof/>
              </w:rPr>
              <w:t>0</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762C5377" w14:textId="77777777" w:rsidR="00025543" w:rsidRDefault="007E3A2F">
            <w:pPr>
              <w:pStyle w:val="P68B1DB1-Normal12"/>
              <w:spacing w:line="240" w:lineRule="auto"/>
              <w:jc w:val="center"/>
              <w:rPr>
                <w:noProof/>
                <w:color w:val="006100"/>
              </w:rPr>
            </w:pPr>
            <w:r>
              <w:rPr>
                <w:noProof/>
                <w:color w:val="006100"/>
              </w:rPr>
              <w:t>333</w:t>
            </w:r>
            <w:r>
              <w:rPr>
                <w:noProof/>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1D8AF35E" w14:textId="153BA44E" w:rsidR="00025543" w:rsidRDefault="007E3A2F">
            <w:pPr>
              <w:pStyle w:val="P68B1DB1-Normal12"/>
              <w:spacing w:line="240" w:lineRule="auto"/>
              <w:jc w:val="center"/>
              <w:rPr>
                <w:rFonts w:eastAsia="Times New Roman"/>
                <w:noProof/>
              </w:rPr>
            </w:pPr>
            <w:r>
              <w:rPr>
                <w:noProof/>
              </w:rPr>
              <w:t xml:space="preserve">  </w:t>
            </w:r>
            <w:r>
              <w:rPr>
                <w:noProof/>
                <w:color w:val="006100"/>
              </w:rPr>
              <w:t>TRIMESTRE 2</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76A72FCB" w14:textId="2C1AF15F" w:rsidR="00025543" w:rsidRDefault="007E3A2F">
            <w:pPr>
              <w:pStyle w:val="P68B1DB1-Normal28"/>
              <w:spacing w:line="240" w:lineRule="auto"/>
              <w:jc w:val="center"/>
              <w:rPr>
                <w:noProof/>
              </w:rPr>
            </w:pPr>
            <w:r>
              <w:rPr>
                <w:noProof/>
              </w:rPr>
              <w:t>2026</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06E16600" w14:textId="1BB14506" w:rsidR="00025543" w:rsidRDefault="007E3A2F">
            <w:pPr>
              <w:pStyle w:val="P68B1DB1-Normal28"/>
              <w:spacing w:after="0" w:line="240" w:lineRule="auto"/>
              <w:rPr>
                <w:noProof/>
              </w:rPr>
            </w:pPr>
            <w:r>
              <w:rPr>
                <w:noProof/>
              </w:rPr>
              <w:t>Parmi l’objectif global de rénovation de 370 installations, au moins 333 doivent être rénovées, afin de respecter les nouvelles normes techniques fixées par la modification de la loi no 247/2014 relative à la fourniture de services de garde d’enfants dans un groupe d’enfants (loi sur le groupe d’enfants) ou d’accroître les capacités.</w:t>
            </w:r>
          </w:p>
        </w:tc>
      </w:tr>
      <w:tr w:rsidR="00025543" w14:paraId="7038B17E"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3C55A2D1" w14:textId="77777777" w:rsidR="00025543" w:rsidRDefault="007E3A2F">
            <w:pPr>
              <w:pStyle w:val="P68B1DB1-Normal28"/>
              <w:spacing w:line="240" w:lineRule="auto"/>
              <w:jc w:val="center"/>
              <w:rPr>
                <w:noProof/>
              </w:rPr>
            </w:pPr>
            <w:r>
              <w:rPr>
                <w:noProof/>
              </w:rPr>
              <w:t>190</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3C540E9B" w14:textId="77777777" w:rsidR="00025543" w:rsidRDefault="007E3A2F">
            <w:pPr>
              <w:pStyle w:val="P68B1DB1-Normal28"/>
              <w:spacing w:line="240" w:lineRule="auto"/>
              <w:rPr>
                <w:noProof/>
              </w:rPr>
            </w:pPr>
            <w:r>
              <w:rPr>
                <w:noProof/>
              </w:rPr>
              <w:t>Investissement 2: Accroître la capacité des structures préscolaires</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7FC1329C" w14:textId="77777777" w:rsidR="00025543" w:rsidRDefault="007E3A2F">
            <w:pPr>
              <w:pStyle w:val="P68B1DB1-Normal28"/>
              <w:spacing w:line="240" w:lineRule="auto"/>
              <w:rPr>
                <w:noProof/>
              </w:rPr>
            </w:pPr>
            <w:r>
              <w:rPr>
                <w:noProof/>
              </w:rPr>
              <w:t>Cible</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14:paraId="31BF96DD" w14:textId="77777777" w:rsidR="00025543" w:rsidRDefault="007E3A2F">
            <w:pPr>
              <w:pStyle w:val="P68B1DB1-Normal28"/>
              <w:spacing w:line="240" w:lineRule="auto"/>
              <w:rPr>
                <w:noProof/>
              </w:rPr>
            </w:pPr>
            <w:r>
              <w:rPr>
                <w:noProof/>
              </w:rPr>
              <w:t xml:space="preserve">Nombre de nouvelles structures préscolaires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1E0B706F" w14:textId="77777777" w:rsidR="00025543" w:rsidRDefault="00025543">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7E50520" w14:textId="77777777" w:rsidR="00025543" w:rsidRDefault="007E3A2F">
            <w:pPr>
              <w:pStyle w:val="P68B1DB1-Normal28"/>
              <w:spacing w:line="240" w:lineRule="auto"/>
              <w:rPr>
                <w:noProof/>
              </w:rPr>
            </w:pPr>
            <w:r>
              <w:rPr>
                <w:noProof/>
              </w:rPr>
              <w:t xml:space="preserve">Numéro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8027C4E" w14:textId="77777777" w:rsidR="00025543" w:rsidRDefault="007E3A2F">
            <w:pPr>
              <w:pStyle w:val="P68B1DB1-Normal28"/>
              <w:spacing w:line="240" w:lineRule="auto"/>
              <w:jc w:val="center"/>
              <w:rPr>
                <w:noProof/>
              </w:rPr>
            </w:pPr>
            <w:r>
              <w:rPr>
                <w:noProof/>
              </w:rPr>
              <w:t>0</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4267BAD1" w14:textId="77777777" w:rsidR="00025543" w:rsidRDefault="007E3A2F">
            <w:pPr>
              <w:pStyle w:val="P68B1DB1-Normal12"/>
              <w:spacing w:line="240" w:lineRule="auto"/>
              <w:jc w:val="center"/>
              <w:rPr>
                <w:noProof/>
                <w:color w:val="006100"/>
              </w:rPr>
            </w:pPr>
            <w:r>
              <w:rPr>
                <w:noProof/>
                <w:color w:val="006100"/>
              </w:rPr>
              <w:t>391</w:t>
            </w:r>
            <w:r>
              <w:rPr>
                <w:noProof/>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2076AEC8" w14:textId="20AA835C" w:rsidR="00025543" w:rsidRDefault="007E3A2F">
            <w:pPr>
              <w:pStyle w:val="P68B1DB1-Normal12"/>
              <w:spacing w:line="240" w:lineRule="auto"/>
              <w:jc w:val="center"/>
              <w:rPr>
                <w:rFonts w:eastAsia="Times New Roman"/>
                <w:noProof/>
              </w:rPr>
            </w:pPr>
            <w:r>
              <w:rPr>
                <w:noProof/>
              </w:rPr>
              <w:t xml:space="preserve">  </w:t>
            </w:r>
            <w:r>
              <w:rPr>
                <w:noProof/>
                <w:color w:val="006100"/>
              </w:rPr>
              <w:t>TRIMESTRE 2</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041BF3BE" w14:textId="487E1C97" w:rsidR="00025543" w:rsidRDefault="007E3A2F">
            <w:pPr>
              <w:pStyle w:val="P68B1DB1-Normal28"/>
              <w:spacing w:line="240" w:lineRule="auto"/>
              <w:jc w:val="center"/>
              <w:rPr>
                <w:noProof/>
              </w:rPr>
            </w:pPr>
            <w:r>
              <w:rPr>
                <w:noProof/>
              </w:rPr>
              <w:t>2026</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503856D9" w14:textId="4ADAA7E9" w:rsidR="00025543" w:rsidRDefault="007E3A2F">
            <w:pPr>
              <w:pStyle w:val="P68B1DB1-Normal12"/>
              <w:spacing w:after="0" w:line="240" w:lineRule="auto"/>
              <w:rPr>
                <w:noProof/>
                <w:color w:val="006100"/>
              </w:rPr>
            </w:pPr>
            <w:r>
              <w:rPr>
                <w:noProof/>
                <w:color w:val="006100"/>
              </w:rPr>
              <w:t>Parmi l’objectif global consistant à créer 435 nouvelles pépinières, au moins 391 doivent être créées, en construisant de nouveaux bâtiments et en rénovant des bâtiments existants.</w:t>
            </w:r>
            <w:r>
              <w:rPr>
                <w:rFonts w:eastAsia="Times New Roman"/>
                <w:noProof/>
              </w:rPr>
              <w:t xml:space="preserve"> Au moins</w:t>
            </w:r>
            <w:r>
              <w:rPr>
                <w:noProof/>
                <w:color w:val="006100"/>
              </w:rPr>
              <w:t>176 rénovations de pépinières permettent de réaliser soit des économies d’énergie primaire d’au moins 30 %, soit une réduction d’au moins 30 % des émissions directes et indirectes de gaz à effet de serre et au moins 98 nouvelles constructions dont la demande d’énergie primaire est inférieure d’au moins 20 % à l’exigence relative aux bâtiments dont la consommation d’énergie est quasi nulle.</w:t>
            </w:r>
          </w:p>
          <w:p w14:paraId="41AD67E0" w14:textId="2404F5C7" w:rsidR="00025543" w:rsidRDefault="007E3A2F">
            <w:pPr>
              <w:pStyle w:val="P68B1DB1-Normal28"/>
              <w:numPr>
                <w:ilvl w:val="0"/>
                <w:numId w:val="196"/>
              </w:numPr>
              <w:pBdr>
                <w:top w:val="nil"/>
                <w:left w:val="nil"/>
                <w:bottom w:val="nil"/>
                <w:right w:val="nil"/>
                <w:between w:val="nil"/>
              </w:pBdr>
              <w:spacing w:after="0" w:line="259" w:lineRule="auto"/>
              <w:rPr>
                <w:noProof/>
              </w:rPr>
            </w:pPr>
            <w:r>
              <w:rPr>
                <w:noProof/>
              </w:rPr>
              <w:t xml:space="preserve">En outre, le ou les appels à propositions pour des projets qui atteignent cet objectif requièrent un ou plusieurs des éléments suivants: L’investissement comprend le recours à l’aide sous forme de subventions, comme suit: Les projets sont de nouvelles constructions dont la demande d’énergie primaire est inférieure d’au moins 20 % à l’exigence relative aux bâtiments dont la consommation d’énergie est quasi nulle. </w:t>
            </w:r>
          </w:p>
          <w:p w14:paraId="3476D5EA" w14:textId="09E5AE47" w:rsidR="00025543" w:rsidRDefault="007E3A2F">
            <w:pPr>
              <w:pStyle w:val="P68B1DB1-Normal28"/>
              <w:numPr>
                <w:ilvl w:val="0"/>
                <w:numId w:val="196"/>
              </w:numPr>
              <w:pBdr>
                <w:top w:val="nil"/>
                <w:left w:val="nil"/>
                <w:bottom w:val="nil"/>
                <w:right w:val="nil"/>
                <w:between w:val="nil"/>
              </w:pBdr>
              <w:spacing w:after="0" w:line="259" w:lineRule="auto"/>
              <w:rPr>
                <w:noProof/>
              </w:rPr>
            </w:pPr>
            <w:r>
              <w:rPr>
                <w:noProof/>
              </w:rPr>
              <w:t>Les projets consistent en des rénovations permettant, en moyenne, soit des économies d’énergie primaire d’au moins 30 %, soit une réduction d’au moins 30 % des émissions directes et indirectes de gaz à effet de serre.</w:t>
            </w:r>
          </w:p>
          <w:p w14:paraId="4DF94E2B" w14:textId="4B5B9A28" w:rsidR="00025543" w:rsidRDefault="007E3A2F">
            <w:pPr>
              <w:pStyle w:val="P68B1DB1-Normal28"/>
              <w:numPr>
                <w:ilvl w:val="0"/>
                <w:numId w:val="196"/>
              </w:numPr>
              <w:pBdr>
                <w:top w:val="nil"/>
                <w:left w:val="nil"/>
                <w:bottom w:val="nil"/>
                <w:right w:val="nil"/>
                <w:between w:val="nil"/>
              </w:pBdr>
              <w:spacing w:after="0" w:line="259" w:lineRule="auto"/>
              <w:rPr>
                <w:noProof/>
              </w:rPr>
            </w:pPr>
            <w:r>
              <w:rPr>
                <w:noProof/>
              </w:rPr>
              <w:t xml:space="preserve">Les projets sont d’autres rénovations visant à améliorer l’efficacité énergétique. </w:t>
            </w:r>
          </w:p>
        </w:tc>
      </w:tr>
      <w:tr w:rsidR="00025543" w14:paraId="0363E3B4"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49FE21DD" w14:textId="77777777" w:rsidR="00025543" w:rsidRDefault="007E3A2F">
            <w:pPr>
              <w:pStyle w:val="P68B1DB1-Normal28"/>
              <w:spacing w:line="240" w:lineRule="auto"/>
              <w:jc w:val="center"/>
              <w:rPr>
                <w:noProof/>
              </w:rPr>
            </w:pPr>
            <w:r>
              <w:rPr>
                <w:noProof/>
              </w:rPr>
              <w:t>191</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3565F520" w14:textId="77777777" w:rsidR="00025543" w:rsidRDefault="007E3A2F">
            <w:pPr>
              <w:pStyle w:val="P68B1DB1-Normal28"/>
              <w:spacing w:line="240" w:lineRule="auto"/>
              <w:rPr>
                <w:noProof/>
              </w:rPr>
            </w:pPr>
            <w:r>
              <w:rPr>
                <w:noProof/>
              </w:rPr>
              <w:t>Investissement 2: Accroître la capacité des structures préscolaires</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3799E4D" w14:textId="77777777" w:rsidR="00025543" w:rsidRDefault="007E3A2F">
            <w:pPr>
              <w:pStyle w:val="P68B1DB1-Normal28"/>
              <w:spacing w:line="240" w:lineRule="auto"/>
              <w:rPr>
                <w:noProof/>
              </w:rPr>
            </w:pPr>
            <w:r>
              <w:rPr>
                <w:noProof/>
              </w:rPr>
              <w:t xml:space="preserve">Cible </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14:paraId="0BBAA301" w14:textId="77777777" w:rsidR="00025543" w:rsidRDefault="007E3A2F">
            <w:pPr>
              <w:pStyle w:val="P68B1DB1-Normal28"/>
              <w:spacing w:line="240" w:lineRule="auto"/>
              <w:rPr>
                <w:noProof/>
              </w:rPr>
            </w:pPr>
            <w:r>
              <w:rPr>
                <w:noProof/>
              </w:rPr>
              <w:t>Nombre de nouvelles places dans les établissements préscolaires</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120C053A" w14:textId="77777777" w:rsidR="00025543" w:rsidRDefault="00025543">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72314DD2" w14:textId="77777777" w:rsidR="00025543" w:rsidRDefault="007E3A2F">
            <w:pPr>
              <w:pStyle w:val="P68B1DB1-Normal28"/>
              <w:spacing w:line="240" w:lineRule="auto"/>
              <w:rPr>
                <w:noProof/>
              </w:rPr>
            </w:pPr>
            <w:r>
              <w:rPr>
                <w:noProof/>
              </w:rPr>
              <w:t xml:space="preserve">Numéro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88363A1" w14:textId="77777777" w:rsidR="00025543" w:rsidRDefault="007E3A2F">
            <w:pPr>
              <w:pStyle w:val="P68B1DB1-Normal28"/>
              <w:spacing w:line="240" w:lineRule="auto"/>
              <w:jc w:val="center"/>
              <w:rPr>
                <w:noProof/>
              </w:rPr>
            </w:pPr>
            <w:r>
              <w:rPr>
                <w:noProof/>
              </w:rPr>
              <w:t>0</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1391F886" w14:textId="77777777" w:rsidR="00025543" w:rsidRDefault="007E3A2F">
            <w:pPr>
              <w:pStyle w:val="P68B1DB1-Normal28"/>
              <w:spacing w:line="240" w:lineRule="auto"/>
              <w:jc w:val="center"/>
              <w:rPr>
                <w:noProof/>
              </w:rPr>
            </w:pPr>
            <w:r>
              <w:rPr>
                <w:noProof/>
              </w:rPr>
              <w:t>7430</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61F7E8C5" w14:textId="1435CB7F" w:rsidR="00025543" w:rsidRDefault="007E3A2F">
            <w:pPr>
              <w:pStyle w:val="P68B1DB1-Normal12"/>
              <w:spacing w:line="240" w:lineRule="auto"/>
              <w:jc w:val="center"/>
              <w:rPr>
                <w:noProof/>
                <w:color w:val="006100"/>
              </w:rPr>
            </w:pPr>
            <w:r>
              <w:rPr>
                <w:noProof/>
              </w:rPr>
              <w:t xml:space="preserve">  </w:t>
            </w:r>
            <w:r>
              <w:rPr>
                <w:noProof/>
                <w:color w:val="006100"/>
              </w:rPr>
              <w:t>TRIMESTRE 2</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7EA9C154" w14:textId="6ECC8E3E" w:rsidR="00025543" w:rsidRDefault="007E3A2F">
            <w:pPr>
              <w:pStyle w:val="P68B1DB1-Normal28"/>
              <w:spacing w:line="240" w:lineRule="auto"/>
              <w:jc w:val="center"/>
              <w:rPr>
                <w:noProof/>
              </w:rPr>
            </w:pPr>
            <w:r>
              <w:rPr>
                <w:noProof/>
              </w:rPr>
              <w:t>2026</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516AA5B5" w14:textId="77777777" w:rsidR="00025543" w:rsidRDefault="007E3A2F">
            <w:pPr>
              <w:pStyle w:val="P68B1DB1-Normal28"/>
              <w:spacing w:after="0" w:line="259" w:lineRule="auto"/>
              <w:contextualSpacing/>
              <w:rPr>
                <w:noProof/>
              </w:rPr>
            </w:pPr>
            <w:r>
              <w:rPr>
                <w:noProof/>
              </w:rPr>
              <w:t xml:space="preserve">Création d’au moins 7430 nouvelles places dans les structures préscolaires pour les enfants de moins de trois ans. Ces facilités sont distinctes des facilités financées par d’autres programmes de financement de l’Union. </w:t>
            </w:r>
          </w:p>
        </w:tc>
      </w:tr>
      <w:tr w:rsidR="00025543" w14:paraId="74F3B1F4"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2A2326CA" w14:textId="77777777" w:rsidR="00025543" w:rsidRDefault="007E3A2F">
            <w:pPr>
              <w:pStyle w:val="P68B1DB1-Normal28"/>
              <w:spacing w:line="240" w:lineRule="auto"/>
              <w:jc w:val="center"/>
              <w:rPr>
                <w:noProof/>
              </w:rPr>
            </w:pPr>
            <w:r>
              <w:rPr>
                <w:noProof/>
              </w:rPr>
              <w:t>192</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2193E847" w14:textId="77777777" w:rsidR="00025543" w:rsidRDefault="007E3A2F">
            <w:pPr>
              <w:pStyle w:val="P68B1DB1-Normal28"/>
              <w:spacing w:line="240" w:lineRule="auto"/>
              <w:rPr>
                <w:noProof/>
              </w:rPr>
            </w:pPr>
            <w:r>
              <w:rPr>
                <w:noProof/>
              </w:rPr>
              <w:t xml:space="preserve">Réforme 2: Assurer la viabilité du financement des structures d’accueil des enfants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4242BDEA" w14:textId="77777777" w:rsidR="00025543" w:rsidRDefault="007E3A2F">
            <w:pPr>
              <w:pStyle w:val="P68B1DB1-Normal28"/>
              <w:spacing w:line="240" w:lineRule="auto"/>
              <w:rPr>
                <w:noProof/>
              </w:rPr>
            </w:pPr>
            <w:r>
              <w:rPr>
                <w:noProof/>
              </w:rPr>
              <w:t xml:space="preserve">Étapes </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14:paraId="157C96D9" w14:textId="331A1A80" w:rsidR="00025543" w:rsidRDefault="007E3A2F">
            <w:pPr>
              <w:pStyle w:val="P68B1DB1-Normal28"/>
              <w:spacing w:line="240" w:lineRule="auto"/>
              <w:rPr>
                <w:noProof/>
              </w:rPr>
            </w:pPr>
            <w:r>
              <w:rPr>
                <w:noProof/>
              </w:rPr>
              <w:t xml:space="preserve">Entrée en vigueur de la loi sur la garde d’enfants (modification de la loi no 247/2014 relative à la prestation de services de garde d’enfants dans un groupe d’enfants) </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67B3B854" w14:textId="0B775DCB" w:rsidR="00025543" w:rsidRDefault="007E3A2F">
            <w:pPr>
              <w:pStyle w:val="P68B1DB1-Normal28"/>
              <w:spacing w:line="240" w:lineRule="auto"/>
              <w:rPr>
                <w:noProof/>
              </w:rPr>
            </w:pPr>
            <w:r>
              <w:rPr>
                <w:noProof/>
              </w:rPr>
              <w:t>Disposition de la loi sur la garde d’enfants (modification de la loi no 247/2014 relative à la prestation de services de garde d’enfants dans un groupe d’enfants) indiquant l’entrée en vigueur de la loi</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74B362E0" w14:textId="77777777" w:rsidR="00025543" w:rsidRDefault="00025543">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0E52EF4" w14:textId="77777777" w:rsidR="00025543" w:rsidRDefault="00025543">
            <w:pPr>
              <w:spacing w:line="240" w:lineRule="auto"/>
              <w:jc w:val="center"/>
              <w:rPr>
                <w:noProof/>
                <w:color w:val="006100"/>
                <w:sz w:val="18"/>
              </w:rPr>
            </w:pP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1346F89F" w14:textId="77777777" w:rsidR="00025543" w:rsidRDefault="00025543">
            <w:pPr>
              <w:spacing w:line="240" w:lineRule="auto"/>
              <w:jc w:val="center"/>
              <w:rPr>
                <w:noProof/>
                <w:color w:val="006100"/>
                <w:sz w:val="18"/>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24BCA529" w14:textId="77777777" w:rsidR="00025543" w:rsidRDefault="007E3A2F">
            <w:pPr>
              <w:pStyle w:val="P68B1DB1-Normal12"/>
              <w:spacing w:line="240" w:lineRule="auto"/>
              <w:jc w:val="center"/>
              <w:rPr>
                <w:noProof/>
                <w:color w:val="006100"/>
              </w:rPr>
            </w:pPr>
            <w:r>
              <w:rPr>
                <w:noProof/>
              </w:rPr>
              <w:t xml:space="preserve">  </w:t>
            </w:r>
            <w:r>
              <w:rPr>
                <w:noProof/>
                <w:color w:val="006100"/>
              </w:rPr>
              <w:t>TRIMESTRE 4</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7418CE9D" w14:textId="77777777" w:rsidR="00025543" w:rsidRDefault="007E3A2F">
            <w:pPr>
              <w:pStyle w:val="P68B1DB1-Normal28"/>
              <w:spacing w:line="240" w:lineRule="auto"/>
              <w:jc w:val="center"/>
              <w:rPr>
                <w:noProof/>
              </w:rPr>
            </w:pPr>
            <w:r>
              <w:rPr>
                <w:noProof/>
              </w:rPr>
              <w:t>2023</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76BB4A21" w14:textId="7D55FE8C" w:rsidR="00025543" w:rsidRDefault="007E3A2F">
            <w:pPr>
              <w:pStyle w:val="P68B1DB1-Normal28"/>
              <w:spacing w:after="0" w:line="240" w:lineRule="auto"/>
              <w:rPr>
                <w:noProof/>
              </w:rPr>
            </w:pPr>
            <w:r>
              <w:rPr>
                <w:noProof/>
              </w:rPr>
              <w:t xml:space="preserve">La loi sur l’accueil préscolaire (modification de la loi no 247/2014 relative à la prestation de services de garde d’enfants dans un groupe d’enfants) doit: </w:t>
            </w:r>
          </w:p>
          <w:p w14:paraId="0A17BFD0" w14:textId="77777777" w:rsidR="00025543" w:rsidRDefault="007E3A2F">
            <w:pPr>
              <w:pStyle w:val="P68B1DB1-Normal28"/>
              <w:numPr>
                <w:ilvl w:val="0"/>
                <w:numId w:val="180"/>
              </w:numPr>
              <w:pBdr>
                <w:top w:val="nil"/>
                <w:left w:val="nil"/>
                <w:bottom w:val="nil"/>
                <w:right w:val="nil"/>
                <w:between w:val="nil"/>
              </w:pBdr>
              <w:spacing w:after="0" w:line="259" w:lineRule="auto"/>
              <w:rPr>
                <w:noProof/>
              </w:rPr>
            </w:pPr>
            <w:r>
              <w:rPr>
                <w:noProof/>
              </w:rPr>
              <w:t xml:space="preserve">assurer un financement stable des structures préscolaires pour les enfants de moins de trois ans </w:t>
            </w:r>
          </w:p>
          <w:p w14:paraId="4C2650B9" w14:textId="77777777" w:rsidR="00025543" w:rsidRDefault="007E3A2F">
            <w:pPr>
              <w:pStyle w:val="P68B1DB1-Normal28"/>
              <w:numPr>
                <w:ilvl w:val="0"/>
                <w:numId w:val="180"/>
              </w:numPr>
              <w:spacing w:line="240" w:lineRule="auto"/>
              <w:rPr>
                <w:noProof/>
              </w:rPr>
            </w:pPr>
            <w:r>
              <w:rPr>
                <w:noProof/>
              </w:rPr>
              <w:t>viser à garantir l’accès à des services d’accueil abordables pour les enfants de moins de trois ans dans toutes les régions.</w:t>
            </w:r>
          </w:p>
        </w:tc>
      </w:tr>
      <w:tr w:rsidR="00025543" w14:paraId="396E4D3A"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43FEDB4C" w14:textId="77777777" w:rsidR="00025543" w:rsidRDefault="007E3A2F">
            <w:pPr>
              <w:pStyle w:val="P68B1DB1-Normal28"/>
              <w:spacing w:line="240" w:lineRule="auto"/>
              <w:jc w:val="center"/>
              <w:rPr>
                <w:noProof/>
              </w:rPr>
            </w:pPr>
            <w:r>
              <w:rPr>
                <w:noProof/>
              </w:rPr>
              <w:t>193</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232FBD9D" w14:textId="77777777" w:rsidR="00025543" w:rsidRDefault="007E3A2F">
            <w:pPr>
              <w:pStyle w:val="P68B1DB1-Normal28"/>
              <w:spacing w:line="240" w:lineRule="auto"/>
              <w:rPr>
                <w:noProof/>
              </w:rPr>
            </w:pPr>
            <w:r>
              <w:rPr>
                <w:noProof/>
              </w:rPr>
              <w:t>Réforme 3: Réforme des soins de longue durée</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798A030D" w14:textId="77777777" w:rsidR="00025543" w:rsidRDefault="007E3A2F">
            <w:pPr>
              <w:pStyle w:val="P68B1DB1-Normal28"/>
              <w:spacing w:line="240" w:lineRule="auto"/>
              <w:rPr>
                <w:noProof/>
              </w:rPr>
            </w:pPr>
            <w:r>
              <w:rPr>
                <w:noProof/>
              </w:rPr>
              <w:t xml:space="preserve">Étapes </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14:paraId="3EA413D1" w14:textId="77777777" w:rsidR="00025543" w:rsidRDefault="007E3A2F">
            <w:pPr>
              <w:pStyle w:val="P68B1DB1-Normal28"/>
              <w:spacing w:line="240" w:lineRule="auto"/>
              <w:rPr>
                <w:noProof/>
              </w:rPr>
            </w:pPr>
            <w:r>
              <w:rPr>
                <w:noProof/>
              </w:rPr>
              <w:t>Entrée en vigueur de la loi sur les soins de longue durée</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379909C6" w14:textId="77777777" w:rsidR="00025543" w:rsidRDefault="007E3A2F">
            <w:pPr>
              <w:pStyle w:val="P68B1DB1-Normal28"/>
              <w:spacing w:line="240" w:lineRule="auto"/>
              <w:rPr>
                <w:noProof/>
              </w:rPr>
            </w:pPr>
            <w:r>
              <w:rPr>
                <w:noProof/>
              </w:rPr>
              <w:t>Disposition de la loi sur les soins de longue durée indiquant l’entrée en vigueur de la loi</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518CA66" w14:textId="77777777" w:rsidR="00025543" w:rsidRDefault="00025543">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31959E3" w14:textId="77777777" w:rsidR="00025543" w:rsidRDefault="00025543">
            <w:pPr>
              <w:spacing w:line="240" w:lineRule="auto"/>
              <w:jc w:val="center"/>
              <w:rPr>
                <w:noProof/>
                <w:color w:val="006100"/>
                <w:sz w:val="18"/>
              </w:rPr>
            </w:pP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1E9A2119" w14:textId="77777777" w:rsidR="00025543" w:rsidRDefault="00025543">
            <w:pPr>
              <w:spacing w:line="240" w:lineRule="auto"/>
              <w:jc w:val="center"/>
              <w:rPr>
                <w:noProof/>
                <w:color w:val="006100"/>
                <w:sz w:val="18"/>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19F48870" w14:textId="77183AD2" w:rsidR="00025543" w:rsidRDefault="007E3A2F">
            <w:pPr>
              <w:pStyle w:val="P68B1DB1-Normal12"/>
              <w:spacing w:line="240" w:lineRule="auto"/>
              <w:jc w:val="center"/>
              <w:rPr>
                <w:noProof/>
                <w:color w:val="006100"/>
              </w:rPr>
            </w:pPr>
            <w:r>
              <w:rPr>
                <w:noProof/>
              </w:rPr>
              <w:t xml:space="preserve"> </w:t>
            </w:r>
            <w:r>
              <w:rPr>
                <w:noProof/>
                <w:color w:val="006100"/>
              </w:rPr>
              <w:t>TRIMESTRE 4</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5522E7AF" w14:textId="33487DD8" w:rsidR="00025543" w:rsidRDefault="007E3A2F">
            <w:pPr>
              <w:pStyle w:val="P68B1DB1-Normal28"/>
              <w:spacing w:line="240" w:lineRule="auto"/>
              <w:jc w:val="center"/>
              <w:rPr>
                <w:noProof/>
              </w:rPr>
            </w:pPr>
            <w:r>
              <w:rPr>
                <w:noProof/>
              </w:rPr>
              <w:t>2023</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371F0ADA" w14:textId="77777777" w:rsidR="00025543" w:rsidRDefault="007E3A2F">
            <w:pPr>
              <w:pStyle w:val="P68B1DB1-Normal28"/>
              <w:spacing w:after="0" w:line="240" w:lineRule="auto"/>
              <w:rPr>
                <w:noProof/>
              </w:rPr>
            </w:pPr>
            <w:r>
              <w:rPr>
                <w:noProof/>
              </w:rPr>
              <w:t xml:space="preserve">La loi sur les soins de longue durée: </w:t>
            </w:r>
          </w:p>
          <w:p w14:paraId="3CF024B6" w14:textId="77777777" w:rsidR="00025543" w:rsidRDefault="007E3A2F">
            <w:pPr>
              <w:pStyle w:val="P68B1DB1-Normal28"/>
              <w:numPr>
                <w:ilvl w:val="0"/>
                <w:numId w:val="181"/>
              </w:numPr>
              <w:pBdr>
                <w:top w:val="nil"/>
                <w:left w:val="nil"/>
                <w:bottom w:val="nil"/>
                <w:right w:val="nil"/>
                <w:between w:val="nil"/>
              </w:pBdr>
              <w:spacing w:after="0" w:line="259" w:lineRule="auto"/>
              <w:rPr>
                <w:noProof/>
              </w:rPr>
            </w:pPr>
            <w:r>
              <w:rPr>
                <w:noProof/>
              </w:rPr>
              <w:t xml:space="preserve">viser à intégrer les soins de santé et les soins sociaux de longue durée; </w:t>
            </w:r>
          </w:p>
          <w:p w14:paraId="63BD39F3" w14:textId="77777777" w:rsidR="00025543" w:rsidRDefault="007E3A2F">
            <w:pPr>
              <w:pStyle w:val="P68B1DB1-Normal28"/>
              <w:numPr>
                <w:ilvl w:val="0"/>
                <w:numId w:val="181"/>
              </w:numPr>
              <w:pBdr>
                <w:top w:val="nil"/>
                <w:left w:val="nil"/>
                <w:bottom w:val="nil"/>
                <w:right w:val="nil"/>
                <w:between w:val="nil"/>
              </w:pBdr>
              <w:spacing w:after="0" w:line="259" w:lineRule="auto"/>
              <w:rPr>
                <w:noProof/>
              </w:rPr>
            </w:pPr>
            <w:r>
              <w:rPr>
                <w:noProof/>
              </w:rPr>
              <w:t>garantir des normes de qualité élevées pour tous les types de services de soins de longue durée;</w:t>
            </w:r>
          </w:p>
          <w:p w14:paraId="6D650554" w14:textId="77777777" w:rsidR="00025543" w:rsidRDefault="007E3A2F">
            <w:pPr>
              <w:pStyle w:val="P68B1DB1-Normal28"/>
              <w:numPr>
                <w:ilvl w:val="0"/>
                <w:numId w:val="181"/>
              </w:numPr>
              <w:pBdr>
                <w:top w:val="nil"/>
                <w:left w:val="nil"/>
                <w:bottom w:val="nil"/>
                <w:right w:val="nil"/>
                <w:between w:val="nil"/>
              </w:pBdr>
              <w:spacing w:after="0" w:line="259" w:lineRule="auto"/>
              <w:rPr>
                <w:noProof/>
              </w:rPr>
            </w:pPr>
            <w:r>
              <w:rPr>
                <w:noProof/>
              </w:rPr>
              <w:t>promouvoir les soins de proximité et les soins à domicile garantissant une vie autonome dans un environnement naturel;</w:t>
            </w:r>
          </w:p>
          <w:p w14:paraId="578A507D" w14:textId="77777777" w:rsidR="00025543" w:rsidRDefault="007E3A2F">
            <w:pPr>
              <w:pStyle w:val="P68B1DB1-Normal28"/>
              <w:numPr>
                <w:ilvl w:val="0"/>
                <w:numId w:val="181"/>
              </w:numPr>
              <w:pBdr>
                <w:top w:val="nil"/>
                <w:left w:val="nil"/>
                <w:bottom w:val="nil"/>
                <w:right w:val="nil"/>
                <w:between w:val="nil"/>
              </w:pBdr>
              <w:spacing w:after="0" w:line="259" w:lineRule="auto"/>
              <w:rPr>
                <w:noProof/>
              </w:rPr>
            </w:pPr>
            <w:r>
              <w:rPr>
                <w:noProof/>
              </w:rPr>
              <w:t>garantir un système stable de financement adéquat des services de soins de longue durée, y compris pour les soins de proximité et à domicile;</w:t>
            </w:r>
          </w:p>
          <w:p w14:paraId="703EB7AE" w14:textId="77777777" w:rsidR="00025543" w:rsidRDefault="007E3A2F">
            <w:pPr>
              <w:pStyle w:val="P68B1DB1-Normal28"/>
              <w:numPr>
                <w:ilvl w:val="0"/>
                <w:numId w:val="181"/>
              </w:numPr>
              <w:pBdr>
                <w:top w:val="nil"/>
                <w:left w:val="nil"/>
                <w:bottom w:val="nil"/>
                <w:right w:val="nil"/>
                <w:between w:val="nil"/>
              </w:pBdr>
              <w:spacing w:after="0" w:line="259" w:lineRule="auto"/>
              <w:rPr>
                <w:i/>
                <w:noProof/>
              </w:rPr>
            </w:pPr>
            <w:r>
              <w:rPr>
                <w:noProof/>
              </w:rPr>
              <w:t>définir des règles relatives au contrôle de la qualité des soins, aux exigences applicables au personnel (y compris les qualifications) et à l’équipement;</w:t>
            </w:r>
          </w:p>
          <w:p w14:paraId="31197A1C" w14:textId="77777777" w:rsidR="00025543" w:rsidRDefault="007E3A2F">
            <w:pPr>
              <w:pStyle w:val="P68B1DB1-Normal28"/>
              <w:numPr>
                <w:ilvl w:val="0"/>
                <w:numId w:val="181"/>
              </w:numPr>
              <w:pBdr>
                <w:top w:val="nil"/>
                <w:left w:val="nil"/>
                <w:bottom w:val="nil"/>
                <w:right w:val="nil"/>
                <w:between w:val="nil"/>
              </w:pBdr>
              <w:spacing w:after="0" w:line="259" w:lineRule="auto"/>
              <w:rPr>
                <w:i/>
                <w:noProof/>
              </w:rPr>
            </w:pPr>
            <w:r>
              <w:rPr>
                <w:noProof/>
              </w:rPr>
              <w:t>permettre l’accès des prestataires privés de soins de longue durée tout en appliquant les mêmes règles et normes de qualité à tous les prestataires.</w:t>
            </w:r>
          </w:p>
        </w:tc>
      </w:tr>
      <w:tr w:rsidR="00025543" w14:paraId="34384F60" w14:textId="77777777">
        <w:trPr>
          <w:trHeight w:val="19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579587BB" w14:textId="77777777" w:rsidR="00025543" w:rsidRDefault="007E3A2F">
            <w:pPr>
              <w:pStyle w:val="P68B1DB1-Normal28"/>
              <w:spacing w:line="240" w:lineRule="auto"/>
              <w:jc w:val="center"/>
              <w:rPr>
                <w:noProof/>
              </w:rPr>
            </w:pPr>
            <w:r>
              <w:rPr>
                <w:noProof/>
              </w:rPr>
              <w:t>194</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1E84ECB9" w14:textId="77777777" w:rsidR="00025543" w:rsidRDefault="007E3A2F">
            <w:pPr>
              <w:pStyle w:val="P68B1DB1-Normal28"/>
              <w:spacing w:line="240" w:lineRule="auto"/>
              <w:rPr>
                <w:noProof/>
              </w:rPr>
            </w:pPr>
            <w:r>
              <w:rPr>
                <w:noProof/>
              </w:rPr>
              <w:t>Investissement 3: Développement et modernisation des infrastructures d’aide sociale</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C7A3C3D" w14:textId="77777777" w:rsidR="00025543" w:rsidRDefault="007E3A2F">
            <w:pPr>
              <w:pStyle w:val="P68B1DB1-Normal28"/>
              <w:spacing w:line="240" w:lineRule="auto"/>
              <w:rPr>
                <w:noProof/>
              </w:rPr>
            </w:pPr>
            <w:r>
              <w:rPr>
                <w:noProof/>
              </w:rPr>
              <w:t>Cible</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14:paraId="2865D17E" w14:textId="68383A0B" w:rsidR="00025543" w:rsidRDefault="007E3A2F">
            <w:pPr>
              <w:pStyle w:val="P68B1DB1-Normal28"/>
              <w:spacing w:line="240" w:lineRule="auto"/>
              <w:rPr>
                <w:noProof/>
              </w:rPr>
            </w:pPr>
            <w:r>
              <w:rPr>
                <w:noProof/>
              </w:rPr>
              <w:t>T1: Nombre d’installations de proximité résidentielles, ambulatoires, de sensibilisation, de prévention et de conseil construites ou reconstruites</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6522A6D0" w14:textId="77777777" w:rsidR="00025543" w:rsidRDefault="00025543">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7D6663CF" w14:textId="77777777" w:rsidR="00025543" w:rsidRDefault="007E3A2F">
            <w:pPr>
              <w:pStyle w:val="P68B1DB1-Normal28"/>
              <w:spacing w:line="240" w:lineRule="auto"/>
              <w:rPr>
                <w:noProof/>
              </w:rPr>
            </w:pPr>
            <w:r>
              <w:rPr>
                <w:noProof/>
              </w:rPr>
              <w:t>Nombre d’installations</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C0FEBC4" w14:textId="77777777" w:rsidR="00025543" w:rsidRDefault="007E3A2F">
            <w:pPr>
              <w:pStyle w:val="P68B1DB1-Normal28"/>
              <w:spacing w:line="240" w:lineRule="auto"/>
              <w:jc w:val="center"/>
              <w:rPr>
                <w:noProof/>
              </w:rPr>
            </w:pPr>
            <w:r>
              <w:rPr>
                <w:noProof/>
              </w:rPr>
              <w:t>0</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69D4A9DF" w14:textId="5017A923" w:rsidR="00025543" w:rsidRDefault="007E3A2F">
            <w:pPr>
              <w:pStyle w:val="P68B1DB1-Normal28"/>
              <w:spacing w:line="240" w:lineRule="auto"/>
              <w:jc w:val="center"/>
              <w:rPr>
                <w:noProof/>
              </w:rPr>
            </w:pPr>
            <w:r>
              <w:rPr>
                <w:noProof/>
              </w:rPr>
              <w:t>94</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1E85D0E4" w14:textId="77777777" w:rsidR="00025543" w:rsidRDefault="007E3A2F">
            <w:pPr>
              <w:pStyle w:val="P68B1DB1-Normal12"/>
              <w:spacing w:line="240" w:lineRule="auto"/>
              <w:jc w:val="center"/>
              <w:rPr>
                <w:noProof/>
                <w:color w:val="006100"/>
              </w:rPr>
            </w:pPr>
            <w:r>
              <w:rPr>
                <w:noProof/>
              </w:rPr>
              <w:t xml:space="preserve">  </w:t>
            </w:r>
            <w:r>
              <w:rPr>
                <w:noProof/>
                <w:color w:val="006100"/>
              </w:rPr>
              <w:t>TRIMESTRE 4</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0EAB7E7E" w14:textId="36C08832" w:rsidR="00025543" w:rsidRDefault="007E3A2F">
            <w:pPr>
              <w:pStyle w:val="P68B1DB1-Normal28"/>
              <w:spacing w:line="240" w:lineRule="auto"/>
              <w:jc w:val="center"/>
              <w:rPr>
                <w:noProof/>
              </w:rPr>
            </w:pPr>
            <w:r>
              <w:rPr>
                <w:noProof/>
              </w:rPr>
              <w:t>2025</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28C04523" w14:textId="0DA9B3D8" w:rsidR="00025543" w:rsidRDefault="007E3A2F">
            <w:pPr>
              <w:pStyle w:val="P68B1DB1-Normal28"/>
              <w:spacing w:after="0" w:line="240" w:lineRule="auto"/>
              <w:rPr>
                <w:noProof/>
              </w:rPr>
            </w:pPr>
            <w:r>
              <w:rPr>
                <w:noProof/>
              </w:rPr>
              <w:t>Au moins 94 installations sont créées, dont au moins 42 sont rénovées de manière à réaliser en moyenne soit au moins 30 % d’économies d’énergie primaire, soit à une réduction d’au moins 30 % des émissions directes et indirectes de gaz à effet de serre, et au moins 32 sont de nouvelles constructions dont la demande d’énergie primaire est inférieure d’au moins 20 % à l’exigence relative aux bâtiments dont la consommation d’énergie est quasi nulle.</w:t>
            </w:r>
          </w:p>
          <w:p w14:paraId="6C403737" w14:textId="2A34FD57" w:rsidR="00025543" w:rsidRDefault="007E3A2F">
            <w:pPr>
              <w:pStyle w:val="P68B1DB1-Normal28"/>
              <w:spacing w:after="0" w:line="240" w:lineRule="auto"/>
              <w:rPr>
                <w:noProof/>
              </w:rPr>
            </w:pPr>
            <w:r>
              <w:rPr>
                <w:noProof/>
              </w:rPr>
              <w:t xml:space="preserve">En outre, le ou les appels à propositions pour des projets qui atteignent cet objectif requièrent un ou plusieurs des éléments suivants: </w:t>
            </w:r>
          </w:p>
          <w:p w14:paraId="48791680" w14:textId="662B3735" w:rsidR="00025543" w:rsidRDefault="007E3A2F">
            <w:pPr>
              <w:pStyle w:val="P68B1DB1-Normal28"/>
              <w:numPr>
                <w:ilvl w:val="0"/>
                <w:numId w:val="182"/>
              </w:numPr>
              <w:pBdr>
                <w:top w:val="nil"/>
                <w:left w:val="nil"/>
                <w:bottom w:val="nil"/>
                <w:right w:val="nil"/>
                <w:between w:val="nil"/>
              </w:pBdr>
              <w:spacing w:after="0" w:line="259" w:lineRule="auto"/>
              <w:rPr>
                <w:noProof/>
              </w:rPr>
            </w:pPr>
            <w:r>
              <w:rPr>
                <w:noProof/>
              </w:rPr>
              <w:t xml:space="preserve">Les projets sont de nouvelles constructions dont la demande d’énergie primaire est inférieure d’au moins 20 % à l’exigence relative aux bâtiments dont la consommation d’énergie est quasi nulle. </w:t>
            </w:r>
          </w:p>
          <w:p w14:paraId="6860FEEB" w14:textId="3473C869" w:rsidR="00025543" w:rsidRDefault="007E3A2F">
            <w:pPr>
              <w:pStyle w:val="P68B1DB1-Normal28"/>
              <w:numPr>
                <w:ilvl w:val="0"/>
                <w:numId w:val="182"/>
              </w:numPr>
              <w:pBdr>
                <w:top w:val="nil"/>
                <w:left w:val="nil"/>
                <w:bottom w:val="nil"/>
                <w:right w:val="nil"/>
                <w:between w:val="nil"/>
              </w:pBdr>
              <w:spacing w:after="0" w:line="259" w:lineRule="auto"/>
              <w:rPr>
                <w:noProof/>
              </w:rPr>
            </w:pPr>
            <w:r>
              <w:rPr>
                <w:noProof/>
              </w:rPr>
              <w:t>Les projets consistent en des rénovations permettant, en moyenne, soit des économies d’énergie primaire d’au moins 30 %, soit une réduction d’au moins 30 % des émissions directes et indirectes de gaz à effet de serre.</w:t>
            </w:r>
          </w:p>
          <w:p w14:paraId="6C207614" w14:textId="58DC4327" w:rsidR="00025543" w:rsidRDefault="007E3A2F">
            <w:pPr>
              <w:pStyle w:val="P68B1DB1-Normal28"/>
              <w:numPr>
                <w:ilvl w:val="0"/>
                <w:numId w:val="182"/>
              </w:numPr>
              <w:pBdr>
                <w:top w:val="nil"/>
                <w:left w:val="nil"/>
                <w:bottom w:val="nil"/>
                <w:right w:val="nil"/>
                <w:between w:val="nil"/>
              </w:pBdr>
              <w:spacing w:after="0" w:line="259" w:lineRule="auto"/>
              <w:rPr>
                <w:noProof/>
              </w:rPr>
            </w:pPr>
            <w:r>
              <w:rPr>
                <w:noProof/>
              </w:rPr>
              <w:t xml:space="preserve">Les projets sont d’autres rénovations visant à améliorer l’efficacité énergétique. </w:t>
            </w:r>
          </w:p>
          <w:p w14:paraId="345ECF02" w14:textId="7C7438E1" w:rsidR="00025543" w:rsidRDefault="007E3A2F">
            <w:pPr>
              <w:pStyle w:val="P68B1DB1-Normal28"/>
              <w:spacing w:after="0" w:line="240" w:lineRule="auto"/>
              <w:rPr>
                <w:noProof/>
              </w:rPr>
            </w:pPr>
            <w:r>
              <w:rPr>
                <w:noProof/>
              </w:rPr>
              <w:t>Le ou les appels exigeront également que les projets permettent de progresser vers la désinstitutionnalisation des personnes handicapées conformément à la convention des Nations unies relative aux droits des personnes handicapées, en particulier les principes de l’autonomie et de l’inclusion dans la communauté, notamment la liberté de choisir où et avec qui vivre, le contrôle des activités quotidiennes et l’accès aux services au sein de la communauté.</w:t>
            </w:r>
          </w:p>
        </w:tc>
      </w:tr>
      <w:tr w:rsidR="00025543" w14:paraId="1E17E51C" w14:textId="77777777">
        <w:trPr>
          <w:trHeight w:val="19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5F22EBAA" w14:textId="569B292F" w:rsidR="00025543" w:rsidRDefault="007E3A2F">
            <w:pPr>
              <w:pStyle w:val="P68B1DB1-Normal28"/>
              <w:spacing w:line="240" w:lineRule="auto"/>
              <w:jc w:val="center"/>
              <w:rPr>
                <w:noProof/>
              </w:rPr>
            </w:pPr>
            <w:r>
              <w:rPr>
                <w:noProof/>
              </w:rPr>
              <w:t>273</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2B35A421" w14:textId="15E728F5" w:rsidR="00025543" w:rsidRDefault="007E3A2F">
            <w:pPr>
              <w:pStyle w:val="P68B1DB1-Normal28"/>
              <w:spacing w:line="240" w:lineRule="auto"/>
              <w:rPr>
                <w:noProof/>
              </w:rPr>
            </w:pPr>
            <w:r>
              <w:rPr>
                <w:noProof/>
              </w:rPr>
              <w:t>Investissement 3: Développement et modernisation des infrastructures d’aide sociale</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1A5FBB80" w14:textId="68143F79" w:rsidR="00025543" w:rsidRDefault="007E3A2F">
            <w:pPr>
              <w:pStyle w:val="P68B1DB1-Normal28"/>
              <w:spacing w:line="240" w:lineRule="auto"/>
              <w:rPr>
                <w:noProof/>
              </w:rPr>
            </w:pPr>
            <w:r>
              <w:rPr>
                <w:noProof/>
              </w:rPr>
              <w:t>Étapes</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14:paraId="2EB0FCD7" w14:textId="6D5D4509" w:rsidR="00025543" w:rsidRDefault="007E3A2F">
            <w:pPr>
              <w:pStyle w:val="P68B1DB1-Normal28"/>
              <w:spacing w:line="240" w:lineRule="auto"/>
              <w:rPr>
                <w:noProof/>
              </w:rPr>
            </w:pPr>
            <w:r>
              <w:rPr>
                <w:noProof/>
              </w:rPr>
              <w:t>Modification de la loi sur les services sociaux concernant les inspections et les plaintes</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1B3A62E6" w14:textId="36E2E900" w:rsidR="00025543" w:rsidRDefault="007E3A2F">
            <w:pPr>
              <w:pStyle w:val="P68B1DB1-Normal28"/>
              <w:spacing w:line="240" w:lineRule="auto"/>
              <w:rPr>
                <w:noProof/>
              </w:rPr>
            </w:pPr>
            <w:r>
              <w:rPr>
                <w:noProof/>
              </w:rPr>
              <w:t>Loi modifiée sur les services sociaux et méthodologie d’inspection</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08D493B" w14:textId="098773B6" w:rsidR="00025543" w:rsidRDefault="00025543">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BADC74F" w14:textId="4FABF1C4" w:rsidR="00025543" w:rsidRDefault="00025543">
            <w:pPr>
              <w:spacing w:line="240" w:lineRule="auto"/>
              <w:jc w:val="center"/>
              <w:rPr>
                <w:noProof/>
                <w:color w:val="006100"/>
                <w:sz w:val="18"/>
              </w:rPr>
            </w:pP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0F14414F" w14:textId="29C21882" w:rsidR="00025543" w:rsidRDefault="00025543">
            <w:pPr>
              <w:spacing w:line="240" w:lineRule="auto"/>
              <w:jc w:val="center"/>
              <w:rPr>
                <w:noProof/>
                <w:color w:val="006100"/>
                <w:sz w:val="18"/>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2ECD639C" w14:textId="289907CA" w:rsidR="00025543" w:rsidRDefault="007E3A2F">
            <w:pPr>
              <w:pStyle w:val="P68B1DB1-Normal28"/>
              <w:spacing w:line="240" w:lineRule="auto"/>
              <w:jc w:val="center"/>
              <w:rPr>
                <w:noProof/>
              </w:rPr>
            </w:pPr>
            <w:r>
              <w:rPr>
                <w:noProof/>
              </w:rPr>
              <w:t>TRIMESTRE 2</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5B7435BB" w14:textId="7A3B7913" w:rsidR="00025543" w:rsidRDefault="007E3A2F">
            <w:pPr>
              <w:pStyle w:val="P68B1DB1-Normal28"/>
              <w:spacing w:line="240" w:lineRule="auto"/>
              <w:jc w:val="center"/>
              <w:rPr>
                <w:noProof/>
              </w:rPr>
            </w:pPr>
            <w:r>
              <w:rPr>
                <w:noProof/>
              </w:rPr>
              <w:t>2025</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4B004902" w14:textId="6FED59E4" w:rsidR="00025543" w:rsidRDefault="007E3A2F">
            <w:pPr>
              <w:pStyle w:val="P68B1DB1-Normal28"/>
              <w:spacing w:line="240" w:lineRule="auto"/>
              <w:rPr>
                <w:noProof/>
              </w:rPr>
            </w:pPr>
            <w:r>
              <w:rPr>
                <w:noProof/>
              </w:rPr>
              <w:t>La loi sur les services sociaux est modifiée et la modification entre en vigueur. Une méthodologie contraignante pour l’inspection des services sociaux est adoptée. L’acte ou la méthodologie prescrivent que les inspections contrôlent le respect des obligations découlant de la convention des Nations unies relative aux droits des personnes handicapées dans la fourniture de services sociaux.</w:t>
            </w:r>
          </w:p>
          <w:p w14:paraId="46B37BBF" w14:textId="7F9E6FD8" w:rsidR="00025543" w:rsidRDefault="007E3A2F">
            <w:pPr>
              <w:pStyle w:val="P68B1DB1-Normal28"/>
              <w:spacing w:line="240" w:lineRule="auto"/>
              <w:rPr>
                <w:noProof/>
              </w:rPr>
            </w:pPr>
            <w:r>
              <w:rPr>
                <w:noProof/>
              </w:rPr>
              <w:t xml:space="preserve">En outre, à titre d’inspections pilotes au titre des nouvelles règles, les services sociaux fournis dans toute installation d’une capacité de plus de 25 personnes financées au titre du plan pour la reprise et la résilience sont inspectés. Les services sociaux qui constatent des lacunes s’engagent, dans un délai d’un an, à élaborer un plan pour y remédier. </w:t>
            </w:r>
          </w:p>
          <w:p w14:paraId="5F8A419B" w14:textId="650BF9ED" w:rsidR="00025543" w:rsidRDefault="007E3A2F">
            <w:pPr>
              <w:pStyle w:val="P68B1DB1-Normal28"/>
              <w:spacing w:line="240" w:lineRule="auto"/>
              <w:rPr>
                <w:rFonts w:eastAsia="Times New Roman"/>
                <w:noProof/>
              </w:rPr>
            </w:pPr>
            <w:r>
              <w:rPr>
                <w:noProof/>
              </w:rPr>
              <w:t>En outre, la loi modifiée sur les services sociaux établit également un mécanisme de réclamation des services sociaux garantissant au moins que:</w:t>
            </w:r>
          </w:p>
          <w:p w14:paraId="7265C8A5" w14:textId="7C35A096" w:rsidR="00025543" w:rsidRDefault="007E3A2F">
            <w:pPr>
              <w:pStyle w:val="P68B1DB1-ListParagraph42"/>
              <w:numPr>
                <w:ilvl w:val="0"/>
                <w:numId w:val="130"/>
              </w:numPr>
              <w:spacing w:line="240" w:lineRule="auto"/>
              <w:rPr>
                <w:noProof/>
              </w:rPr>
            </w:pPr>
            <w:r>
              <w:rPr>
                <w:noProof/>
              </w:rPr>
              <w:t>Les clients, les tuteurs légaux du client et les membres de leur famille ont le droit de déposer des plaintes concernant les services sociaux auprès de leur prestataire.</w:t>
            </w:r>
          </w:p>
          <w:p w14:paraId="0BD8185C" w14:textId="351DEF7E" w:rsidR="00025543" w:rsidRDefault="007E3A2F">
            <w:pPr>
              <w:pStyle w:val="P68B1DB1-ListParagraph42"/>
              <w:numPr>
                <w:ilvl w:val="0"/>
                <w:numId w:val="130"/>
              </w:numPr>
              <w:spacing w:line="240" w:lineRule="auto"/>
              <w:rPr>
                <w:noProof/>
              </w:rPr>
            </w:pPr>
            <w:r>
              <w:rPr>
                <w:noProof/>
              </w:rPr>
              <w:t>Les plaignants ont le droit d’être informés de la manière dont la plainte a été résolue.</w:t>
            </w:r>
          </w:p>
          <w:p w14:paraId="3B23F158" w14:textId="474D5224" w:rsidR="00025543" w:rsidRDefault="007E3A2F">
            <w:pPr>
              <w:pStyle w:val="P68B1DB1-ListParagraph42"/>
              <w:numPr>
                <w:ilvl w:val="0"/>
                <w:numId w:val="130"/>
              </w:numPr>
              <w:spacing w:line="240" w:lineRule="auto"/>
              <w:rPr>
                <w:noProof/>
              </w:rPr>
            </w:pPr>
            <w:r>
              <w:rPr>
                <w:noProof/>
              </w:rPr>
              <w:t>Les plaignants ont le droit de former un recours auprès d’un organisme indépendant du prestataire de services; et l’instance examine les recours sur la base tant du fond que de la procédure.</w:t>
            </w:r>
          </w:p>
          <w:p w14:paraId="7724CBE1" w14:textId="7C551919" w:rsidR="00025543" w:rsidRDefault="007E3A2F">
            <w:pPr>
              <w:pStyle w:val="P68B1DB1-ListParagraph42"/>
              <w:numPr>
                <w:ilvl w:val="0"/>
                <w:numId w:val="130"/>
              </w:numPr>
              <w:spacing w:line="240" w:lineRule="auto"/>
              <w:rPr>
                <w:noProof/>
              </w:rPr>
            </w:pPr>
            <w:r>
              <w:rPr>
                <w:noProof/>
              </w:rPr>
              <w:t xml:space="preserve">Les prestataires de services ainsi que le ou les organismes de recours compétents tiennent un registre des plaintes reçues. </w:t>
            </w:r>
          </w:p>
          <w:p w14:paraId="769A4F5D" w14:textId="435A7F62" w:rsidR="00025543" w:rsidRDefault="007E3A2F">
            <w:pPr>
              <w:pStyle w:val="P68B1DB1-Normal11"/>
              <w:spacing w:line="240" w:lineRule="auto"/>
              <w:rPr>
                <w:noProof/>
              </w:rPr>
            </w:pPr>
            <w:r>
              <w:rPr>
                <w:noProof/>
              </w:rPr>
              <w:t xml:space="preserve">Le mécanisme de plainte pour les services sociaux vise à correspondre globalement au mécanisme de traitement des plaintes des services de santé. </w:t>
            </w:r>
          </w:p>
          <w:p w14:paraId="74C876E3" w14:textId="7D837FE0" w:rsidR="00025543" w:rsidRDefault="007E3A2F">
            <w:pPr>
              <w:pStyle w:val="P68B1DB1-Normal11"/>
              <w:spacing w:line="240" w:lineRule="auto"/>
              <w:rPr>
                <w:noProof/>
              </w:rPr>
            </w:pPr>
            <w:r>
              <w:rPr>
                <w:noProof/>
              </w:rPr>
              <w:t>La ou les modifications de la loi sur les services sociaux et la méthodologie d’inspection sont examinées et approuvées par les parties prenantes concernées.</w:t>
            </w:r>
            <w:r>
              <w:rPr>
                <w:noProof/>
                <w:shd w:val="clear" w:color="auto" w:fill="E6E6E6"/>
              </w:rPr>
              <w:t xml:space="preserve"> </w:t>
            </w:r>
          </w:p>
        </w:tc>
      </w:tr>
      <w:tr w:rsidR="00025543" w14:paraId="7AAF8AFC" w14:textId="77777777">
        <w:trPr>
          <w:trHeight w:val="3388"/>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6F49F2EF" w14:textId="77777777" w:rsidR="00025543" w:rsidRDefault="007E3A2F">
            <w:pPr>
              <w:pStyle w:val="P68B1DB1-Normal28"/>
              <w:spacing w:line="240" w:lineRule="auto"/>
              <w:jc w:val="center"/>
              <w:rPr>
                <w:noProof/>
              </w:rPr>
            </w:pPr>
            <w:r>
              <w:rPr>
                <w:noProof/>
              </w:rPr>
              <w:t>195</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02F9AB98" w14:textId="77777777" w:rsidR="00025543" w:rsidRDefault="007E3A2F">
            <w:pPr>
              <w:pStyle w:val="P68B1DB1-Normal28"/>
              <w:spacing w:line="240" w:lineRule="auto"/>
              <w:rPr>
                <w:noProof/>
              </w:rPr>
            </w:pPr>
            <w:r>
              <w:rPr>
                <w:noProof/>
              </w:rPr>
              <w:t>Investissement 3: Développement et modernisation des infrastructures d’aide sociale</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F38A7EE" w14:textId="77777777" w:rsidR="00025543" w:rsidRDefault="007E3A2F">
            <w:pPr>
              <w:pStyle w:val="P68B1DB1-Normal28"/>
              <w:spacing w:line="240" w:lineRule="auto"/>
              <w:rPr>
                <w:noProof/>
              </w:rPr>
            </w:pPr>
            <w:r>
              <w:rPr>
                <w:noProof/>
              </w:rPr>
              <w:t>Cible</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14:paraId="7B8F3AC3" w14:textId="67B0D51B" w:rsidR="00025543" w:rsidRDefault="007E3A2F">
            <w:pPr>
              <w:pStyle w:val="P68B1DB1-Normal28"/>
              <w:spacing w:line="240" w:lineRule="auto"/>
              <w:rPr>
                <w:noProof/>
              </w:rPr>
            </w:pPr>
            <w:r>
              <w:rPr>
                <w:noProof/>
              </w:rPr>
              <w:t>T2: Nombre d’installations de proximité résidentielles, ambulatoires, de sensibilisation, de prévention et de conseil construites ou reconstruites</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40CE51DC" w14:textId="77777777" w:rsidR="00025543" w:rsidRDefault="00025543">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46274B0D" w14:textId="77777777" w:rsidR="00025543" w:rsidRDefault="007E3A2F">
            <w:pPr>
              <w:pStyle w:val="P68B1DB1-Normal28"/>
              <w:spacing w:line="240" w:lineRule="auto"/>
              <w:rPr>
                <w:noProof/>
              </w:rPr>
            </w:pPr>
            <w:r>
              <w:rPr>
                <w:noProof/>
              </w:rPr>
              <w:t>Nombre d’installations</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C76FB4D" w14:textId="05EC64EC" w:rsidR="00025543" w:rsidRDefault="007E3A2F">
            <w:pPr>
              <w:pStyle w:val="P68B1DB1-Normal28"/>
              <w:spacing w:line="240" w:lineRule="auto"/>
              <w:jc w:val="center"/>
              <w:rPr>
                <w:noProof/>
              </w:rPr>
            </w:pPr>
            <w:r>
              <w:rPr>
                <w:noProof/>
              </w:rPr>
              <w:t>94</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2B93A10D" w14:textId="58E86BBA" w:rsidR="00025543" w:rsidRDefault="007E3A2F">
            <w:pPr>
              <w:pStyle w:val="P68B1DB1-Normal28"/>
              <w:spacing w:line="240" w:lineRule="auto"/>
              <w:jc w:val="center"/>
              <w:rPr>
                <w:noProof/>
              </w:rPr>
            </w:pPr>
            <w:r>
              <w:rPr>
                <w:noProof/>
              </w:rPr>
              <w:t>228</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59962EBC" w14:textId="6779AF09" w:rsidR="00025543" w:rsidRDefault="007E3A2F">
            <w:pPr>
              <w:pStyle w:val="P68B1DB1-Normal12"/>
              <w:spacing w:line="240" w:lineRule="auto"/>
              <w:jc w:val="center"/>
              <w:rPr>
                <w:rFonts w:eastAsia="Times New Roman"/>
                <w:noProof/>
              </w:rPr>
            </w:pPr>
            <w:r>
              <w:rPr>
                <w:noProof/>
              </w:rPr>
              <w:t xml:space="preserve">  </w:t>
            </w:r>
            <w:r>
              <w:rPr>
                <w:noProof/>
                <w:color w:val="006100"/>
              </w:rPr>
              <w:t>TRIMESTRE 2</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718BD948" w14:textId="423CDEC3" w:rsidR="00025543" w:rsidRDefault="007E3A2F">
            <w:pPr>
              <w:pStyle w:val="P68B1DB1-Normal28"/>
              <w:spacing w:line="240" w:lineRule="auto"/>
              <w:jc w:val="center"/>
              <w:rPr>
                <w:noProof/>
              </w:rPr>
            </w:pPr>
            <w:r>
              <w:rPr>
                <w:noProof/>
              </w:rPr>
              <w:t>2026</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1D1B8A15" w14:textId="4930DAE3" w:rsidR="00025543" w:rsidRDefault="007E3A2F">
            <w:pPr>
              <w:pStyle w:val="P68B1DB1-Normal28"/>
              <w:spacing w:after="0" w:line="240" w:lineRule="auto"/>
              <w:rPr>
                <w:noProof/>
              </w:rPr>
            </w:pPr>
            <w:r>
              <w:rPr>
                <w:noProof/>
              </w:rPr>
              <w:t>Au moins 228 installations doivent être créées, dont: au moins 100 installations sont rénovées de manière à réaliser en moyenne soit au moins 30 % d’économies d’énergie primaire, soit à une réduction d’au moins 30 % des émissions directes et indirectes de gaz à effet de serre, et au moins 76 installations sont de nouvelles constructions dont la demande d’énergie primaire est inférieure d’au moins 20 % à l’exigence relative aux bâtiments dont la consommation d’énergie est quasi nulle.</w:t>
            </w:r>
          </w:p>
          <w:p w14:paraId="743008BC" w14:textId="1D2DD2EB" w:rsidR="00025543" w:rsidRDefault="007E3A2F">
            <w:pPr>
              <w:pStyle w:val="P68B1DB1-Normal28"/>
              <w:spacing w:after="0" w:line="240" w:lineRule="auto"/>
              <w:rPr>
                <w:noProof/>
              </w:rPr>
            </w:pPr>
            <w:r>
              <w:rPr>
                <w:noProof/>
              </w:rPr>
              <w:t>En outre, le ou les appels à propositions pour des projets qui atteignent cet objectif requièrent un ou plusieurs des éléments suivants:</w:t>
            </w:r>
          </w:p>
          <w:p w14:paraId="448D02E6" w14:textId="708A4F97" w:rsidR="00025543" w:rsidRDefault="007E3A2F">
            <w:pPr>
              <w:pStyle w:val="P68B1DB1-ListParagraph42"/>
              <w:numPr>
                <w:ilvl w:val="0"/>
                <w:numId w:val="183"/>
              </w:numPr>
              <w:spacing w:after="0" w:line="240" w:lineRule="auto"/>
              <w:rPr>
                <w:noProof/>
              </w:rPr>
            </w:pPr>
            <w:r>
              <w:rPr>
                <w:noProof/>
              </w:rPr>
              <w:t xml:space="preserve">Les projets sont de nouvelles constructions dont la demande d’énergie primaire est inférieure d’au moins 20 % à l’exigence relative aux bâtiments dont la consommation d’énergie est quasi nulle.  </w:t>
            </w:r>
          </w:p>
          <w:p w14:paraId="70B4FF07" w14:textId="56F2B443" w:rsidR="00025543" w:rsidRDefault="007E3A2F">
            <w:pPr>
              <w:pStyle w:val="P68B1DB1-ListParagraph43"/>
              <w:numPr>
                <w:ilvl w:val="0"/>
                <w:numId w:val="183"/>
              </w:numPr>
              <w:spacing w:after="0" w:line="240" w:lineRule="auto"/>
              <w:rPr>
                <w:noProof/>
              </w:rPr>
            </w:pPr>
            <w:r>
              <w:rPr>
                <w:noProof/>
              </w:rPr>
              <w:t>Les projets consistent en des rénovations permettant, en moyenne, soit d’économiser au moins 30 % d’énergie primaire, soit de réduire d’au moins 30 % les émissions directes et indirectes de gaz à effet de serre.</w:t>
            </w:r>
          </w:p>
          <w:p w14:paraId="3C11F124" w14:textId="23A03722" w:rsidR="00025543" w:rsidRDefault="007E3A2F">
            <w:pPr>
              <w:pStyle w:val="P68B1DB1-Normal28"/>
              <w:numPr>
                <w:ilvl w:val="0"/>
                <w:numId w:val="183"/>
              </w:numPr>
              <w:spacing w:after="0" w:line="259" w:lineRule="auto"/>
              <w:rPr>
                <w:noProof/>
              </w:rPr>
            </w:pPr>
            <w:r>
              <w:rPr>
                <w:noProof/>
              </w:rPr>
              <w:t xml:space="preserve">Le projet est d’autres rénovations visant à améliorer l’efficacité énergétique. </w:t>
            </w:r>
          </w:p>
          <w:p w14:paraId="71EF3043" w14:textId="5D210E75" w:rsidR="00025543" w:rsidRDefault="007E3A2F">
            <w:pPr>
              <w:pStyle w:val="P68B1DB1-Normal28"/>
              <w:spacing w:after="0" w:line="240" w:lineRule="auto"/>
              <w:rPr>
                <w:noProof/>
              </w:rPr>
            </w:pPr>
            <w:r>
              <w:rPr>
                <w:noProof/>
              </w:rPr>
              <w:t>Le ou les appels exigeront également que les projets permettent de progresser vers la désinstitutionnalisation des personnes handicapées conformément à la convention des Nations unies relative aux droits des personnes handicapées, en particulier les principes de l’autonomie et de l’inclusion dans la communauté, notamment la liberté de choisir où et avec qui vivre, le contrôle des activités quotidiennes et l’accès aux services au sein de la communauté.</w:t>
            </w:r>
          </w:p>
          <w:p w14:paraId="635CD04A" w14:textId="64220B86" w:rsidR="00025543" w:rsidRDefault="007E3A2F">
            <w:pPr>
              <w:pStyle w:val="P68B1DB1-Normal28"/>
              <w:spacing w:after="0" w:line="240" w:lineRule="auto"/>
              <w:rPr>
                <w:i/>
                <w:noProof/>
              </w:rPr>
            </w:pPr>
            <w:r>
              <w:rPr>
                <w:noProof/>
              </w:rPr>
              <w:t xml:space="preserve">La mesure vise à accroître la capacité des services à desservir 3 958 clients de plus que ce qui aurait été possible sans ces facilités. </w:t>
            </w:r>
          </w:p>
        </w:tc>
      </w:tr>
      <w:tr w:rsidR="00025543" w14:paraId="49AF8043"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3B73D929" w14:textId="77777777" w:rsidR="00025543" w:rsidRDefault="007E3A2F">
            <w:pPr>
              <w:pStyle w:val="P68B1DB1-Normal28"/>
              <w:spacing w:line="240" w:lineRule="auto"/>
              <w:jc w:val="center"/>
              <w:rPr>
                <w:noProof/>
              </w:rPr>
            </w:pPr>
            <w:r>
              <w:rPr>
                <w:noProof/>
              </w:rPr>
              <w:t>196</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665EDE39" w14:textId="77777777" w:rsidR="00025543" w:rsidRDefault="007E3A2F">
            <w:pPr>
              <w:pStyle w:val="P68B1DB1-Normal28"/>
              <w:spacing w:line="240" w:lineRule="auto"/>
              <w:rPr>
                <w:noProof/>
              </w:rPr>
            </w:pPr>
            <w:r>
              <w:rPr>
                <w:noProof/>
              </w:rPr>
              <w:t>Investissement 3: Développement et modernisation des infrastructures d’aide sociale</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08012DD" w14:textId="77777777" w:rsidR="00025543" w:rsidRDefault="007E3A2F">
            <w:pPr>
              <w:pStyle w:val="P68B1DB1-Normal28"/>
              <w:spacing w:line="240" w:lineRule="auto"/>
              <w:rPr>
                <w:noProof/>
              </w:rPr>
            </w:pPr>
            <w:r>
              <w:rPr>
                <w:noProof/>
              </w:rPr>
              <w:t xml:space="preserve">Cible </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14:paraId="2C60802D" w14:textId="77777777" w:rsidR="00025543" w:rsidRDefault="007E3A2F">
            <w:pPr>
              <w:pStyle w:val="P68B1DB1-Normal28"/>
              <w:spacing w:line="240" w:lineRule="auto"/>
              <w:rPr>
                <w:noProof/>
              </w:rPr>
            </w:pPr>
            <w:r>
              <w:rPr>
                <w:noProof/>
              </w:rPr>
              <w:t>T1: Nombre de véhicules à faibles émissions achetés pour des services de prévention sociale, de conseil et de soins à domicile</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0D221AAA" w14:textId="77777777" w:rsidR="00025543" w:rsidRDefault="00025543">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706596D7" w14:textId="77777777" w:rsidR="00025543" w:rsidRDefault="007E3A2F">
            <w:pPr>
              <w:pStyle w:val="P68B1DB1-Normal28"/>
              <w:spacing w:line="240" w:lineRule="auto"/>
              <w:rPr>
                <w:noProof/>
              </w:rPr>
            </w:pPr>
            <w:r>
              <w:rPr>
                <w:noProof/>
              </w:rPr>
              <w:t xml:space="preserve">Numéro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458A0F5" w14:textId="77777777" w:rsidR="00025543" w:rsidRDefault="007E3A2F">
            <w:pPr>
              <w:pStyle w:val="P68B1DB1-Normal28"/>
              <w:spacing w:line="240" w:lineRule="auto"/>
              <w:jc w:val="center"/>
              <w:rPr>
                <w:noProof/>
              </w:rPr>
            </w:pPr>
            <w:r>
              <w:rPr>
                <w:noProof/>
              </w:rPr>
              <w:t>0</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57238B61" w14:textId="77777777" w:rsidR="00025543" w:rsidRDefault="007E3A2F">
            <w:pPr>
              <w:pStyle w:val="P68B1DB1-Normal28"/>
              <w:spacing w:line="240" w:lineRule="auto"/>
              <w:jc w:val="center"/>
              <w:rPr>
                <w:noProof/>
              </w:rPr>
            </w:pPr>
            <w:r>
              <w:rPr>
                <w:noProof/>
              </w:rPr>
              <w:t>120</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09A6E0CF" w14:textId="77777777" w:rsidR="00025543" w:rsidRDefault="007E3A2F">
            <w:pPr>
              <w:pStyle w:val="P68B1DB1-Normal12"/>
              <w:spacing w:line="240" w:lineRule="auto"/>
              <w:jc w:val="center"/>
              <w:rPr>
                <w:rFonts w:eastAsia="Times New Roman"/>
                <w:noProof/>
              </w:rPr>
            </w:pPr>
            <w:r>
              <w:rPr>
                <w:noProof/>
              </w:rPr>
              <w:t xml:space="preserve">  </w:t>
            </w:r>
            <w:r>
              <w:rPr>
                <w:noProof/>
                <w:color w:val="006100"/>
              </w:rPr>
              <w:t>TRIMESTRE 4</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620B0D22" w14:textId="09210101" w:rsidR="00025543" w:rsidRDefault="007E3A2F">
            <w:pPr>
              <w:pStyle w:val="P68B1DB1-Normal28"/>
              <w:spacing w:line="240" w:lineRule="auto"/>
              <w:jc w:val="center"/>
              <w:rPr>
                <w:noProof/>
              </w:rPr>
            </w:pPr>
            <w:r>
              <w:rPr>
                <w:noProof/>
              </w:rPr>
              <w:t>2024</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5D03CA6F" w14:textId="77777777" w:rsidR="00025543" w:rsidRDefault="007E3A2F">
            <w:pPr>
              <w:pStyle w:val="P68B1DB1-Normal28"/>
              <w:spacing w:after="0" w:line="240" w:lineRule="auto"/>
              <w:rPr>
                <w:noProof/>
              </w:rPr>
            </w:pPr>
            <w:r>
              <w:rPr>
                <w:noProof/>
              </w:rPr>
              <w:t xml:space="preserve">Au moins 120 véhicules à faibles émissions sont achetés, dont: </w:t>
            </w:r>
          </w:p>
          <w:p w14:paraId="7579F28A" w14:textId="36A89597" w:rsidR="00025543" w:rsidRDefault="007E3A2F">
            <w:pPr>
              <w:pStyle w:val="P68B1DB1-Normal28"/>
              <w:numPr>
                <w:ilvl w:val="0"/>
                <w:numId w:val="184"/>
              </w:numPr>
              <w:pBdr>
                <w:top w:val="nil"/>
                <w:left w:val="nil"/>
                <w:bottom w:val="nil"/>
                <w:right w:val="nil"/>
                <w:between w:val="nil"/>
              </w:pBdr>
              <w:spacing w:after="0" w:line="259" w:lineRule="auto"/>
              <w:rPr>
                <w:noProof/>
              </w:rPr>
            </w:pPr>
            <w:r>
              <w:rPr>
                <w:noProof/>
              </w:rPr>
              <w:t xml:space="preserve">au moins 40 voitures électriques à batterie </w:t>
            </w:r>
          </w:p>
          <w:p w14:paraId="625A9FC0" w14:textId="4C2B57C3" w:rsidR="00025543" w:rsidRDefault="007E3A2F">
            <w:pPr>
              <w:pStyle w:val="P68B1DB1-Normal28"/>
              <w:numPr>
                <w:ilvl w:val="0"/>
                <w:numId w:val="184"/>
              </w:numPr>
              <w:pBdr>
                <w:top w:val="nil"/>
                <w:left w:val="nil"/>
                <w:bottom w:val="nil"/>
                <w:right w:val="nil"/>
                <w:between w:val="nil"/>
              </w:pBdr>
              <w:spacing w:after="0" w:line="259" w:lineRule="auto"/>
              <w:rPr>
                <w:noProof/>
              </w:rPr>
            </w:pPr>
            <w:r>
              <w:rPr>
                <w:noProof/>
              </w:rPr>
              <w:t xml:space="preserve">au maximum 80 voitures hybrides rechargeables </w:t>
            </w:r>
          </w:p>
        </w:tc>
      </w:tr>
      <w:tr w:rsidR="00025543" w14:paraId="22EC5C55"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6CD85950" w14:textId="77777777" w:rsidR="00025543" w:rsidRDefault="007E3A2F">
            <w:pPr>
              <w:pStyle w:val="P68B1DB1-Normal28"/>
              <w:spacing w:line="240" w:lineRule="auto"/>
              <w:jc w:val="center"/>
              <w:rPr>
                <w:noProof/>
              </w:rPr>
            </w:pPr>
            <w:r>
              <w:rPr>
                <w:noProof/>
              </w:rPr>
              <w:t>197</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42E73D23" w14:textId="77777777" w:rsidR="00025543" w:rsidRDefault="007E3A2F">
            <w:pPr>
              <w:pStyle w:val="P68B1DB1-Normal28"/>
              <w:spacing w:line="240" w:lineRule="auto"/>
              <w:rPr>
                <w:noProof/>
              </w:rPr>
            </w:pPr>
            <w:r>
              <w:rPr>
                <w:noProof/>
              </w:rPr>
              <w:t>Investissement 3: Développement et modernisation des infrastructures d’aide sociale</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C2130EC" w14:textId="77777777" w:rsidR="00025543" w:rsidRDefault="007E3A2F">
            <w:pPr>
              <w:pStyle w:val="P68B1DB1-Normal28"/>
              <w:spacing w:line="240" w:lineRule="auto"/>
              <w:rPr>
                <w:noProof/>
              </w:rPr>
            </w:pPr>
            <w:r>
              <w:rPr>
                <w:noProof/>
              </w:rPr>
              <w:t>Cible</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14:paraId="605E92F7" w14:textId="5A788C21" w:rsidR="00025543" w:rsidRDefault="007E3A2F">
            <w:pPr>
              <w:pStyle w:val="P68B1DB1-Normal28"/>
              <w:spacing w:line="240" w:lineRule="auto"/>
              <w:rPr>
                <w:noProof/>
              </w:rPr>
            </w:pPr>
            <w:r>
              <w:rPr>
                <w:noProof/>
              </w:rPr>
              <w:t>T2: Nombre de véhicules à faibles émissions achetés pour des services de prévention sociale, de conseil et de soins à domicile</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273907A4" w14:textId="77777777" w:rsidR="00025543" w:rsidRDefault="00025543">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1E6E65C" w14:textId="77777777" w:rsidR="00025543" w:rsidRDefault="007E3A2F">
            <w:pPr>
              <w:pStyle w:val="P68B1DB1-Normal28"/>
              <w:spacing w:line="240" w:lineRule="auto"/>
              <w:rPr>
                <w:noProof/>
              </w:rPr>
            </w:pPr>
            <w:r>
              <w:rPr>
                <w:noProof/>
              </w:rPr>
              <w:t xml:space="preserve">Numéro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22031B6" w14:textId="77777777" w:rsidR="00025543" w:rsidRDefault="007E3A2F">
            <w:pPr>
              <w:pStyle w:val="P68B1DB1-Normal28"/>
              <w:spacing w:line="240" w:lineRule="auto"/>
              <w:jc w:val="center"/>
              <w:rPr>
                <w:noProof/>
              </w:rPr>
            </w:pPr>
            <w:r>
              <w:rPr>
                <w:noProof/>
              </w:rPr>
              <w:t>120</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481FE83C" w14:textId="77777777" w:rsidR="00025543" w:rsidRDefault="007E3A2F">
            <w:pPr>
              <w:pStyle w:val="P68B1DB1-Normal28"/>
              <w:spacing w:line="240" w:lineRule="auto"/>
              <w:jc w:val="center"/>
              <w:rPr>
                <w:noProof/>
              </w:rPr>
            </w:pPr>
            <w:r>
              <w:rPr>
                <w:noProof/>
              </w:rPr>
              <w:t>251</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0B1D2CD4" w14:textId="5230375D" w:rsidR="00025543" w:rsidRDefault="007E3A2F">
            <w:pPr>
              <w:pStyle w:val="P68B1DB1-Normal12"/>
              <w:spacing w:line="240" w:lineRule="auto"/>
              <w:jc w:val="center"/>
              <w:rPr>
                <w:rFonts w:eastAsia="Times New Roman"/>
                <w:noProof/>
              </w:rPr>
            </w:pPr>
            <w:r>
              <w:rPr>
                <w:noProof/>
              </w:rPr>
              <w:t xml:space="preserve">  </w:t>
            </w:r>
            <w:r>
              <w:rPr>
                <w:noProof/>
                <w:color w:val="006100"/>
              </w:rPr>
              <w:t>TRIMESTRE 2</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794D6B1F" w14:textId="1EC8C6E0" w:rsidR="00025543" w:rsidRDefault="007E3A2F">
            <w:pPr>
              <w:pStyle w:val="P68B1DB1-Normal28"/>
              <w:spacing w:line="240" w:lineRule="auto"/>
              <w:jc w:val="center"/>
              <w:rPr>
                <w:noProof/>
              </w:rPr>
            </w:pPr>
            <w:r>
              <w:rPr>
                <w:noProof/>
              </w:rPr>
              <w:t>2025</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2A13879D" w14:textId="77777777" w:rsidR="00025543" w:rsidRDefault="007E3A2F">
            <w:pPr>
              <w:pStyle w:val="P68B1DB1-Normal28"/>
              <w:spacing w:after="0" w:line="240" w:lineRule="auto"/>
              <w:rPr>
                <w:noProof/>
              </w:rPr>
            </w:pPr>
            <w:r>
              <w:rPr>
                <w:noProof/>
              </w:rPr>
              <w:t xml:space="preserve">Au moins 251 véhicules à faibles émissions sont achetés, dont: </w:t>
            </w:r>
          </w:p>
          <w:p w14:paraId="4A46558C" w14:textId="225EF8D7" w:rsidR="00025543" w:rsidRDefault="007E3A2F">
            <w:pPr>
              <w:pStyle w:val="P68B1DB1-Normal28"/>
              <w:numPr>
                <w:ilvl w:val="0"/>
                <w:numId w:val="185"/>
              </w:numPr>
              <w:pBdr>
                <w:top w:val="nil"/>
                <w:left w:val="nil"/>
                <w:bottom w:val="nil"/>
                <w:right w:val="nil"/>
                <w:between w:val="nil"/>
              </w:pBdr>
              <w:spacing w:after="0" w:line="259" w:lineRule="auto"/>
              <w:rPr>
                <w:noProof/>
              </w:rPr>
            </w:pPr>
            <w:r>
              <w:rPr>
                <w:noProof/>
              </w:rPr>
              <w:t xml:space="preserve">au moins 100 voitures électriques à batterie </w:t>
            </w:r>
          </w:p>
          <w:p w14:paraId="074CA897" w14:textId="22F99709" w:rsidR="00025543" w:rsidRDefault="007E3A2F">
            <w:pPr>
              <w:pStyle w:val="P68B1DB1-Normal28"/>
              <w:numPr>
                <w:ilvl w:val="0"/>
                <w:numId w:val="185"/>
              </w:numPr>
              <w:pBdr>
                <w:top w:val="nil"/>
                <w:left w:val="nil"/>
                <w:bottom w:val="nil"/>
                <w:right w:val="nil"/>
                <w:between w:val="nil"/>
              </w:pBdr>
              <w:spacing w:after="0" w:line="259" w:lineRule="auto"/>
              <w:rPr>
                <w:noProof/>
              </w:rPr>
            </w:pPr>
            <w:r>
              <w:rPr>
                <w:noProof/>
              </w:rPr>
              <w:t>au maximum 151 voitures hybrides rechargeables</w:t>
            </w:r>
          </w:p>
        </w:tc>
      </w:tr>
      <w:tr w:rsidR="00025543" w14:paraId="4185F300"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2C845E78" w14:textId="67F4006B" w:rsidR="00025543" w:rsidRDefault="007E3A2F">
            <w:pPr>
              <w:pStyle w:val="P68B1DB1-Normal28"/>
              <w:spacing w:line="240" w:lineRule="auto"/>
              <w:jc w:val="center"/>
              <w:rPr>
                <w:noProof/>
              </w:rPr>
            </w:pPr>
            <w:r>
              <w:rPr>
                <w:noProof/>
              </w:rPr>
              <w:t>274</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13EA456F" w14:textId="7C633A0E" w:rsidR="00025543" w:rsidRDefault="007E3A2F">
            <w:pPr>
              <w:pStyle w:val="P68B1DB1-Normal11"/>
              <w:spacing w:line="240" w:lineRule="auto"/>
              <w:rPr>
                <w:noProof/>
              </w:rPr>
            </w:pPr>
            <w:r>
              <w:rPr>
                <w:noProof/>
              </w:rPr>
              <w:t>Investissement 4: Développement et modernisation des infrastructures de protection sociale des enfants</w:t>
            </w:r>
          </w:p>
          <w:p w14:paraId="6F120B59" w14:textId="3847F1D2" w:rsidR="00025543" w:rsidRDefault="00025543">
            <w:pPr>
              <w:spacing w:line="240" w:lineRule="auto"/>
              <w:rPr>
                <w:rFonts w:eastAsia="Times New Roman"/>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360931B" w14:textId="078420DB" w:rsidR="00025543" w:rsidRDefault="007E3A2F">
            <w:pPr>
              <w:pStyle w:val="P68B1DB1-Normal11"/>
              <w:spacing w:line="240" w:lineRule="auto"/>
              <w:jc w:val="center"/>
              <w:rPr>
                <w:noProof/>
              </w:rPr>
            </w:pPr>
            <w:r>
              <w:rPr>
                <w:noProof/>
              </w:rPr>
              <w:t>Étapes</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14:paraId="53B632DB" w14:textId="743F6DE1" w:rsidR="00025543" w:rsidRDefault="007E3A2F">
            <w:pPr>
              <w:pStyle w:val="P68B1DB1-Normal11"/>
              <w:spacing w:after="0" w:line="240" w:lineRule="auto"/>
              <w:rPr>
                <w:noProof/>
              </w:rPr>
            </w:pPr>
            <w:r>
              <w:rPr>
                <w:noProof/>
              </w:rPr>
              <w:t>Appel à projets publié pour le logement des enfants à risque</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41896B61" w14:textId="5D83AE5D" w:rsidR="00025543" w:rsidRDefault="007E3A2F">
            <w:pPr>
              <w:pStyle w:val="P68B1DB1-Normal11"/>
              <w:spacing w:line="240" w:lineRule="auto"/>
              <w:jc w:val="center"/>
              <w:rPr>
                <w:noProof/>
              </w:rPr>
            </w:pPr>
            <w:r>
              <w:rPr>
                <w:noProof/>
              </w:rPr>
              <w:t>Appel</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7171B0B7" w14:textId="4B13E763" w:rsidR="00025543" w:rsidRDefault="00025543">
            <w:pPr>
              <w:spacing w:line="240" w:lineRule="auto"/>
              <w:jc w:val="center"/>
              <w:rPr>
                <w:rFonts w:eastAsia="Times New Roman"/>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61FDC41" w14:textId="71929F91" w:rsidR="00025543" w:rsidRDefault="00025543">
            <w:pPr>
              <w:spacing w:line="240" w:lineRule="auto"/>
              <w:jc w:val="center"/>
              <w:rPr>
                <w:rFonts w:eastAsia="Times New Roman"/>
                <w:noProof/>
                <w:color w:val="006100"/>
                <w:sz w:val="18"/>
              </w:rPr>
            </w:pP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75CF4A91" w14:textId="4763F1AE" w:rsidR="00025543" w:rsidRDefault="00025543">
            <w:pPr>
              <w:spacing w:line="240" w:lineRule="auto"/>
              <w:jc w:val="center"/>
              <w:rPr>
                <w:rFonts w:eastAsia="Times New Roman"/>
                <w:noProof/>
                <w:color w:val="006100"/>
                <w:sz w:val="18"/>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21CF238F" w14:textId="3421C9C6" w:rsidR="00025543" w:rsidRDefault="007E3A2F">
            <w:pPr>
              <w:pStyle w:val="P68B1DB1-Normal11"/>
              <w:spacing w:line="240" w:lineRule="auto"/>
              <w:jc w:val="center"/>
              <w:rPr>
                <w:noProof/>
              </w:rPr>
            </w:pPr>
            <w:r>
              <w:rPr>
                <w:noProof/>
              </w:rPr>
              <w:t>TRIMESTRE 1</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4544B136" w14:textId="7556CFFA" w:rsidR="00025543" w:rsidRDefault="007E3A2F">
            <w:pPr>
              <w:pStyle w:val="P68B1DB1-Normal11"/>
              <w:spacing w:after="0" w:line="240" w:lineRule="auto"/>
              <w:jc w:val="center"/>
              <w:rPr>
                <w:noProof/>
              </w:rPr>
            </w:pPr>
            <w:r>
              <w:rPr>
                <w:noProof/>
              </w:rPr>
              <w:t>2024</w:t>
            </w:r>
          </w:p>
          <w:p w14:paraId="63B99F18" w14:textId="53CECC25" w:rsidR="00025543" w:rsidRDefault="00025543">
            <w:pPr>
              <w:spacing w:line="240" w:lineRule="auto"/>
              <w:jc w:val="center"/>
              <w:rPr>
                <w:rFonts w:eastAsia="Times New Roman"/>
                <w:noProof/>
                <w:color w:val="006100"/>
                <w:sz w:val="18"/>
              </w:rPr>
            </w:pP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5171CA0F" w14:textId="6BA04B92" w:rsidR="00025543" w:rsidRDefault="007E3A2F">
            <w:pPr>
              <w:pStyle w:val="P68B1DB1-Normal11"/>
              <w:spacing w:line="240" w:lineRule="auto"/>
              <w:rPr>
                <w:noProof/>
              </w:rPr>
            </w:pPr>
            <w:r>
              <w:rPr>
                <w:noProof/>
              </w:rPr>
              <w:t xml:space="preserve">Au moins un appel à projets est publié en vue de l’acquisition de logements pour enfants à risque. </w:t>
            </w:r>
          </w:p>
          <w:p w14:paraId="0D577751" w14:textId="73F47774" w:rsidR="00025543" w:rsidRDefault="007E3A2F">
            <w:pPr>
              <w:pStyle w:val="P68B1DB1-Normal11"/>
              <w:spacing w:line="240" w:lineRule="auto"/>
              <w:rPr>
                <w:noProof/>
              </w:rPr>
            </w:pPr>
            <w:r>
              <w:rPr>
                <w:noProof/>
              </w:rPr>
              <w:t xml:space="preserve">Le (s) appel (s) concerné (s) exige (nt) que: </w:t>
            </w:r>
          </w:p>
          <w:p w14:paraId="2D379487" w14:textId="7A417737" w:rsidR="00025543" w:rsidRDefault="007E3A2F">
            <w:pPr>
              <w:pStyle w:val="P68B1DB1-ListParagraph31"/>
              <w:numPr>
                <w:ilvl w:val="0"/>
                <w:numId w:val="219"/>
              </w:numPr>
              <w:spacing w:after="0" w:line="240" w:lineRule="auto"/>
              <w:rPr>
                <w:noProof/>
              </w:rPr>
            </w:pPr>
            <w:r>
              <w:rPr>
                <w:noProof/>
              </w:rPr>
              <w:t>Chaque unité d’habitation ne doit pas dépasser 200 m² et doit comporter des chambres conçues pour au maximum deux enfants.</w:t>
            </w:r>
          </w:p>
          <w:p w14:paraId="6EFB3E8B" w14:textId="3432728B" w:rsidR="00025543" w:rsidRDefault="007E3A2F">
            <w:pPr>
              <w:pStyle w:val="P68B1DB1-ListParagraph31"/>
              <w:numPr>
                <w:ilvl w:val="0"/>
                <w:numId w:val="219"/>
              </w:numPr>
              <w:spacing w:after="0" w:line="240" w:lineRule="auto"/>
              <w:rPr>
                <w:noProof/>
              </w:rPr>
            </w:pPr>
            <w:r>
              <w:rPr>
                <w:noProof/>
              </w:rPr>
              <w:t>Les chambres à coucher conçues pour deux enfants ne doivent pas être inférieures à 12,25 m² et celles conçues pour un enfant ne doivent pas être inférieures à 8 m².</w:t>
            </w:r>
          </w:p>
          <w:p w14:paraId="6429AEDF" w14:textId="0E611411" w:rsidR="00025543" w:rsidRDefault="007E3A2F">
            <w:pPr>
              <w:pStyle w:val="P68B1DB1-ListParagraph31"/>
              <w:numPr>
                <w:ilvl w:val="0"/>
                <w:numId w:val="219"/>
              </w:numPr>
              <w:spacing w:after="0" w:line="240" w:lineRule="auto"/>
              <w:rPr>
                <w:noProof/>
              </w:rPr>
            </w:pPr>
            <w:r>
              <w:rPr>
                <w:noProof/>
              </w:rPr>
              <w:t>Les unités d’habitation sont utilisées par les enfants à risque dans un délai maximal de 12 mois à compter de leur achat.</w:t>
            </w:r>
          </w:p>
          <w:p w14:paraId="3B8B918C" w14:textId="50586CA7" w:rsidR="00025543" w:rsidRDefault="007E3A2F">
            <w:pPr>
              <w:pStyle w:val="P68B1DB1-ListParagraph31"/>
              <w:numPr>
                <w:ilvl w:val="0"/>
                <w:numId w:val="219"/>
              </w:numPr>
              <w:spacing w:line="240" w:lineRule="auto"/>
              <w:rPr>
                <w:noProof/>
              </w:rPr>
            </w:pPr>
            <w:r>
              <w:rPr>
                <w:noProof/>
              </w:rPr>
              <w:t>Les unités d’habitation sont utilisées à des fins sociales pendant au moins 10 ans.</w:t>
            </w:r>
          </w:p>
        </w:tc>
      </w:tr>
      <w:tr w:rsidR="00025543" w14:paraId="3B56F69B"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00A3F734" w14:textId="67F4006B" w:rsidR="00025543" w:rsidRDefault="007E3A2F">
            <w:pPr>
              <w:pStyle w:val="P68B1DB1-Normal28"/>
              <w:spacing w:line="240" w:lineRule="auto"/>
              <w:jc w:val="center"/>
              <w:rPr>
                <w:noProof/>
              </w:rPr>
            </w:pPr>
            <w:r>
              <w:rPr>
                <w:noProof/>
              </w:rPr>
              <w:t>275</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445B6B53" w14:textId="242D6E6F" w:rsidR="00025543" w:rsidRDefault="007E3A2F">
            <w:pPr>
              <w:pStyle w:val="P68B1DB1-Normal11"/>
              <w:spacing w:line="240" w:lineRule="auto"/>
              <w:rPr>
                <w:noProof/>
              </w:rPr>
            </w:pPr>
            <w:r>
              <w:rPr>
                <w:noProof/>
              </w:rPr>
              <w:t>Investissement 4: Développement et modernisation des infrastructures de protection sociale des enfants</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CC54D56" w14:textId="521699AB" w:rsidR="00025543" w:rsidRDefault="007E3A2F">
            <w:pPr>
              <w:pStyle w:val="P68B1DB1-Normal11"/>
              <w:spacing w:line="240" w:lineRule="auto"/>
              <w:rPr>
                <w:noProof/>
              </w:rPr>
            </w:pPr>
            <w:r>
              <w:rPr>
                <w:noProof/>
              </w:rPr>
              <w:t>Étapes</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14:paraId="49DCE04A" w14:textId="1F19068E" w:rsidR="00025543" w:rsidRDefault="007E3A2F">
            <w:pPr>
              <w:pStyle w:val="P68B1DB1-Normal11"/>
              <w:spacing w:line="240" w:lineRule="auto"/>
              <w:rPr>
                <w:noProof/>
              </w:rPr>
            </w:pPr>
            <w:r>
              <w:rPr>
                <w:noProof/>
              </w:rPr>
              <w:t>Appel à projets publié pour des installations destinées aux enfants à risque</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1260E5CF" w14:textId="6C0D5765" w:rsidR="00025543" w:rsidRDefault="007E3A2F">
            <w:pPr>
              <w:pStyle w:val="P68B1DB1-Normal11"/>
              <w:spacing w:line="240" w:lineRule="auto"/>
              <w:rPr>
                <w:noProof/>
              </w:rPr>
            </w:pPr>
            <w:r>
              <w:rPr>
                <w:noProof/>
              </w:rPr>
              <w:t>Appel à projets</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43735CAB" w14:textId="7B3154D7" w:rsidR="00025543" w:rsidRDefault="00025543">
            <w:pPr>
              <w:spacing w:line="240" w:lineRule="auto"/>
              <w:rPr>
                <w:rFonts w:eastAsia="Times New Roman"/>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62C10EA" w14:textId="1A7EDD33" w:rsidR="00025543" w:rsidRDefault="00025543">
            <w:pPr>
              <w:spacing w:line="240" w:lineRule="auto"/>
              <w:jc w:val="right"/>
              <w:rPr>
                <w:rFonts w:eastAsia="Times New Roman"/>
                <w:noProof/>
                <w:color w:val="038387"/>
                <w:sz w:val="18"/>
                <w:u w:val="single"/>
              </w:rPr>
            </w:pP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03F30156" w14:textId="25857CAB" w:rsidR="00025543" w:rsidRDefault="00025543">
            <w:pPr>
              <w:spacing w:line="240" w:lineRule="auto"/>
              <w:jc w:val="right"/>
              <w:rPr>
                <w:rFonts w:eastAsia="Times New Roman"/>
                <w:noProof/>
                <w:color w:val="038387"/>
                <w:sz w:val="18"/>
                <w:u w:val="single"/>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02CF84B6" w14:textId="185645E1" w:rsidR="00025543" w:rsidRDefault="007E3A2F">
            <w:pPr>
              <w:pStyle w:val="P68B1DB1-Normal11"/>
              <w:spacing w:line="240" w:lineRule="auto"/>
              <w:jc w:val="center"/>
              <w:rPr>
                <w:noProof/>
              </w:rPr>
            </w:pPr>
            <w:r>
              <w:rPr>
                <w:noProof/>
              </w:rPr>
              <w:t>TRIMESTRE 1</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0FCF5A19" w14:textId="08417377" w:rsidR="00025543" w:rsidRDefault="007E3A2F">
            <w:pPr>
              <w:pStyle w:val="P68B1DB1-Normal11"/>
              <w:spacing w:line="240" w:lineRule="auto"/>
              <w:jc w:val="center"/>
              <w:rPr>
                <w:noProof/>
              </w:rPr>
            </w:pPr>
            <w:r>
              <w:rPr>
                <w:noProof/>
              </w:rPr>
              <w:t>2024</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7629AC6C" w14:textId="2508DA17" w:rsidR="00025543" w:rsidRDefault="007E3A2F">
            <w:pPr>
              <w:pStyle w:val="P68B1DB1-Normal11"/>
              <w:spacing w:after="160" w:line="240" w:lineRule="auto"/>
              <w:rPr>
                <w:noProof/>
              </w:rPr>
            </w:pPr>
            <w:r>
              <w:rPr>
                <w:noProof/>
              </w:rPr>
              <w:t>Au moins un appel à projets est publié pour la rénovation ou la construction d’installations pour enfants à risque. Le (s) appel (s) concerné (s) exige (nt) que:</w:t>
            </w:r>
          </w:p>
          <w:p w14:paraId="0D282D99" w14:textId="4DE0903E" w:rsidR="00025543" w:rsidRDefault="007E3A2F">
            <w:pPr>
              <w:pStyle w:val="P68B1DB1-ListParagraph31"/>
              <w:numPr>
                <w:ilvl w:val="0"/>
                <w:numId w:val="273"/>
              </w:numPr>
              <w:spacing w:after="0" w:line="240" w:lineRule="auto"/>
              <w:rPr>
                <w:noProof/>
              </w:rPr>
            </w:pPr>
            <w:r>
              <w:rPr>
                <w:noProof/>
              </w:rPr>
              <w:t>Chaque installation comprend au maximum trois appartements, chaque appartement étant conçu pour six enfants au maximum et par appartement, au maximum.</w:t>
            </w:r>
          </w:p>
          <w:p w14:paraId="62F45A79" w14:textId="07329EA1" w:rsidR="00025543" w:rsidRDefault="007E3A2F">
            <w:pPr>
              <w:pStyle w:val="P68B1DB1-ListParagraph31"/>
              <w:numPr>
                <w:ilvl w:val="0"/>
                <w:numId w:val="273"/>
              </w:numPr>
              <w:spacing w:after="0" w:line="240" w:lineRule="auto"/>
              <w:rPr>
                <w:noProof/>
              </w:rPr>
            </w:pPr>
            <w:r>
              <w:rPr>
                <w:noProof/>
              </w:rPr>
              <w:t>Les chambres à coucher conçues pour deux enfants ne doivent pas être inférieures à 12,25 m² et celles conçues pour un enfant ne doivent pas être inférieures à 8 m².</w:t>
            </w:r>
          </w:p>
          <w:p w14:paraId="78A8490C" w14:textId="239FB707" w:rsidR="00025543" w:rsidRDefault="007E3A2F">
            <w:pPr>
              <w:pStyle w:val="P68B1DB1-ListParagraph31"/>
              <w:numPr>
                <w:ilvl w:val="0"/>
                <w:numId w:val="273"/>
              </w:numPr>
              <w:spacing w:after="0" w:line="240" w:lineRule="auto"/>
              <w:rPr>
                <w:noProof/>
              </w:rPr>
            </w:pPr>
            <w:r>
              <w:rPr>
                <w:noProof/>
              </w:rPr>
              <w:t>Toutes les rénovations comprennent au moins d’autres rénovations visant à améliorer l’efficacité énergétique.</w:t>
            </w:r>
          </w:p>
          <w:p w14:paraId="2D298313" w14:textId="48B62F89" w:rsidR="00025543" w:rsidRDefault="007E3A2F">
            <w:pPr>
              <w:pStyle w:val="P68B1DB1-ListParagraph31"/>
              <w:numPr>
                <w:ilvl w:val="0"/>
                <w:numId w:val="273"/>
              </w:numPr>
              <w:spacing w:after="0" w:line="240" w:lineRule="auto"/>
              <w:rPr>
                <w:noProof/>
              </w:rPr>
            </w:pPr>
            <w:r>
              <w:rPr>
                <w:noProof/>
              </w:rPr>
              <w:t>Toutes les nouvelles constructions ont une demande d’énergie primaire d’au moins 20 % inférieure à l’exigence relative aux bâtiments dont la consommation d’énergie est quasi nulle.</w:t>
            </w:r>
          </w:p>
          <w:p w14:paraId="1EE8A12F" w14:textId="1FCBDBD5" w:rsidR="00025543" w:rsidRDefault="007E3A2F">
            <w:pPr>
              <w:pStyle w:val="P68B1DB1-ListParagraph31"/>
              <w:numPr>
                <w:ilvl w:val="0"/>
                <w:numId w:val="273"/>
              </w:numPr>
              <w:spacing w:after="0" w:line="240" w:lineRule="auto"/>
              <w:rPr>
                <w:noProof/>
              </w:rPr>
            </w:pPr>
            <w:r>
              <w:rPr>
                <w:noProof/>
              </w:rPr>
              <w:t>Les installations sont utilisées à des fins sociales pendant au moins 10 ans.</w:t>
            </w:r>
          </w:p>
        </w:tc>
      </w:tr>
      <w:tr w:rsidR="00025543" w14:paraId="09DFCEF1"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626D4242" w14:textId="67F4006B" w:rsidR="00025543" w:rsidRDefault="007E3A2F">
            <w:pPr>
              <w:pStyle w:val="P68B1DB1-Normal28"/>
              <w:spacing w:line="240" w:lineRule="auto"/>
              <w:jc w:val="center"/>
              <w:rPr>
                <w:noProof/>
              </w:rPr>
            </w:pPr>
            <w:r>
              <w:rPr>
                <w:noProof/>
              </w:rPr>
              <w:t>276</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59026825" w14:textId="3FF63828" w:rsidR="00025543" w:rsidRDefault="007E3A2F">
            <w:pPr>
              <w:pStyle w:val="P68B1DB1-Normal11"/>
              <w:spacing w:after="0" w:line="240" w:lineRule="auto"/>
              <w:rPr>
                <w:noProof/>
              </w:rPr>
            </w:pPr>
            <w:r>
              <w:rPr>
                <w:noProof/>
              </w:rPr>
              <w:t>Réforme 4: Réforme de l’hébergement et de la prise en charge sociale des enfants et des familles vulnérables</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12959C7" w14:textId="29363CEE" w:rsidR="00025543" w:rsidRDefault="00025543">
            <w:pPr>
              <w:spacing w:after="0" w:line="240" w:lineRule="auto"/>
              <w:rPr>
                <w:rFonts w:eastAsia="Times New Roman"/>
                <w:noProof/>
                <w:color w:val="006100"/>
                <w:sz w:val="18"/>
              </w:rPr>
            </w:pPr>
          </w:p>
          <w:p w14:paraId="7103224E" w14:textId="6EF1423B" w:rsidR="00025543" w:rsidRDefault="007E3A2F">
            <w:pPr>
              <w:pStyle w:val="P68B1DB1-Normal11"/>
              <w:spacing w:after="0" w:line="240" w:lineRule="auto"/>
              <w:rPr>
                <w:noProof/>
              </w:rPr>
            </w:pPr>
            <w:r>
              <w:rPr>
                <w:noProof/>
              </w:rPr>
              <w:t>Étapes</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14:paraId="4AE3B62A" w14:textId="66507B67" w:rsidR="00025543" w:rsidRDefault="007E3A2F">
            <w:pPr>
              <w:pStyle w:val="P68B1DB1-Normal11"/>
              <w:spacing w:after="0" w:line="240" w:lineRule="auto"/>
              <w:rPr>
                <w:noProof/>
              </w:rPr>
            </w:pPr>
            <w:r>
              <w:rPr>
                <w:noProof/>
              </w:rPr>
              <w:t>Entrée en vigueur d’un amendement à la loi sur la protection sociale et juridique des enfants</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3ED2E347" w14:textId="295EDAA7" w:rsidR="00025543" w:rsidRDefault="007E3A2F">
            <w:pPr>
              <w:pStyle w:val="P68B1DB1-Normal11"/>
              <w:spacing w:after="0" w:line="240" w:lineRule="auto"/>
              <w:rPr>
                <w:noProof/>
              </w:rPr>
            </w:pPr>
            <w:r>
              <w:rPr>
                <w:noProof/>
              </w:rPr>
              <w:t>Acte législatif</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7EDA2B6" w14:textId="3076C885" w:rsidR="00025543" w:rsidRDefault="00025543">
            <w:pPr>
              <w:spacing w:after="0" w:line="240" w:lineRule="auto"/>
              <w:rPr>
                <w:rFonts w:eastAsia="Times New Roman"/>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9B113F5" w14:textId="57425D57" w:rsidR="00025543" w:rsidRDefault="00025543">
            <w:pPr>
              <w:spacing w:after="0" w:line="240" w:lineRule="auto"/>
              <w:jc w:val="right"/>
              <w:rPr>
                <w:rFonts w:eastAsia="Times New Roman"/>
                <w:noProof/>
                <w:color w:val="006100"/>
                <w:sz w:val="18"/>
              </w:rPr>
            </w:pP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2785D924" w14:textId="0DE16B02" w:rsidR="00025543" w:rsidRDefault="00025543">
            <w:pPr>
              <w:spacing w:after="0" w:line="240" w:lineRule="auto"/>
              <w:jc w:val="right"/>
              <w:rPr>
                <w:rFonts w:eastAsia="Times New Roman"/>
                <w:noProof/>
                <w:color w:val="006100"/>
                <w:sz w:val="18"/>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4FAFB327" w14:textId="60811B2E" w:rsidR="00025543" w:rsidRDefault="007E3A2F">
            <w:pPr>
              <w:pStyle w:val="P68B1DB1-Normal11"/>
              <w:spacing w:after="0" w:line="240" w:lineRule="auto"/>
              <w:jc w:val="center"/>
              <w:rPr>
                <w:noProof/>
              </w:rPr>
            </w:pPr>
            <w:r>
              <w:rPr>
                <w:noProof/>
              </w:rPr>
              <w:t>TRIMESTRE 4</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2E292C4D" w14:textId="6FCF5CC2" w:rsidR="00025543" w:rsidRDefault="007E3A2F">
            <w:pPr>
              <w:pStyle w:val="P68B1DB1-Normal11"/>
              <w:spacing w:after="0" w:line="240" w:lineRule="auto"/>
              <w:jc w:val="center"/>
              <w:rPr>
                <w:noProof/>
              </w:rPr>
            </w:pPr>
            <w:r>
              <w:rPr>
                <w:noProof/>
              </w:rPr>
              <w:t>2024</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43E4C952" w14:textId="3969F300" w:rsidR="00025543" w:rsidRDefault="007E3A2F">
            <w:pPr>
              <w:pStyle w:val="P68B1DB1-Normal11"/>
              <w:spacing w:after="0" w:line="240" w:lineRule="auto"/>
              <w:rPr>
                <w:noProof/>
              </w:rPr>
            </w:pPr>
            <w:r>
              <w:rPr>
                <w:noProof/>
              </w:rPr>
              <w:t>Les modifications de la loi sur la protection sociale et juridique des enfants entrent en vigueur, garantissant que:</w:t>
            </w:r>
          </w:p>
          <w:p w14:paraId="6672A09E" w14:textId="6B73BE22" w:rsidR="00025543" w:rsidRDefault="007E3A2F">
            <w:pPr>
              <w:pStyle w:val="P68B1DB1-ListParagraph31"/>
              <w:numPr>
                <w:ilvl w:val="0"/>
                <w:numId w:val="221"/>
              </w:numPr>
              <w:spacing w:after="0" w:line="240" w:lineRule="auto"/>
              <w:rPr>
                <w:noProof/>
              </w:rPr>
            </w:pPr>
            <w:r>
              <w:rPr>
                <w:noProof/>
              </w:rPr>
              <w:t xml:space="preserve">le placement des enfants de moins de 4 ans dans un établissement est interdit, à deux exceptions près au maximum: le séjour ne dépasse pas (au maximum) deux mois; II) enfants de la catégorie 3. ou 4. de l’accueil.  </w:t>
            </w:r>
          </w:p>
          <w:p w14:paraId="06E2675C" w14:textId="178492A2" w:rsidR="00025543" w:rsidRDefault="007E3A2F">
            <w:pPr>
              <w:pStyle w:val="P68B1DB1-ListParagraph31"/>
              <w:numPr>
                <w:ilvl w:val="0"/>
                <w:numId w:val="221"/>
              </w:numPr>
              <w:spacing w:after="0" w:line="240" w:lineRule="auto"/>
              <w:rPr>
                <w:noProof/>
              </w:rPr>
            </w:pPr>
            <w:r>
              <w:rPr>
                <w:noProof/>
              </w:rPr>
              <w:t>Les soins en institution («dětské domovy pro děti do 3 let věku») pour les enfants de moins de 4 ans sont supprimés</w:t>
            </w:r>
          </w:p>
        </w:tc>
      </w:tr>
      <w:tr w:rsidR="00025543" w14:paraId="2137FBB9"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6EFBBAD5" w14:textId="67F4006B" w:rsidR="00025543" w:rsidRDefault="007E3A2F">
            <w:pPr>
              <w:pStyle w:val="P68B1DB1-Normal28"/>
              <w:spacing w:line="240" w:lineRule="auto"/>
              <w:jc w:val="center"/>
              <w:rPr>
                <w:noProof/>
              </w:rPr>
            </w:pPr>
            <w:r>
              <w:rPr>
                <w:noProof/>
              </w:rPr>
              <w:t>277</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0DEBA845" w14:textId="49DC1839" w:rsidR="00025543" w:rsidRDefault="007E3A2F">
            <w:pPr>
              <w:pStyle w:val="P68B1DB1-Normal11"/>
              <w:spacing w:line="240" w:lineRule="auto"/>
              <w:rPr>
                <w:noProof/>
              </w:rPr>
            </w:pPr>
            <w:r>
              <w:rPr>
                <w:noProof/>
              </w:rPr>
              <w:t>Investissement 4: Développement et modernisation des infrastructures de protection sociale des enfants</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0F3CC16" w14:textId="49DC1839" w:rsidR="00025543" w:rsidRDefault="007E3A2F">
            <w:pPr>
              <w:pStyle w:val="P68B1DB1-Normal11"/>
              <w:spacing w:line="240" w:lineRule="auto"/>
              <w:rPr>
                <w:noProof/>
              </w:rPr>
            </w:pPr>
            <w:r>
              <w:rPr>
                <w:noProof/>
              </w:rPr>
              <w:t>Cible</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14:paraId="0A240D4F" w14:textId="1478A6B4" w:rsidR="00025543" w:rsidRDefault="007E3A2F">
            <w:pPr>
              <w:pStyle w:val="P68B1DB1-Normal11"/>
              <w:spacing w:after="0" w:line="240" w:lineRule="auto"/>
              <w:rPr>
                <w:noProof/>
              </w:rPr>
            </w:pPr>
            <w:r>
              <w:rPr>
                <w:noProof/>
              </w:rPr>
              <w:t>Zone de logement pour enfants à risque acquis — 1er lot</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497A0B50" w14:textId="479146D1" w:rsidR="00025543" w:rsidRDefault="00025543">
            <w:pPr>
              <w:spacing w:line="240" w:lineRule="auto"/>
              <w:rPr>
                <w:rFonts w:eastAsia="Times New Roman"/>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25107BB" w14:textId="58F5FDA9" w:rsidR="00025543" w:rsidRDefault="007E3A2F">
            <w:pPr>
              <w:pStyle w:val="P68B1DB1-Normal11"/>
              <w:spacing w:line="240" w:lineRule="auto"/>
              <w:jc w:val="center"/>
              <w:rPr>
                <w:noProof/>
              </w:rPr>
            </w:pPr>
            <w:r>
              <w:rPr>
                <w:noProof/>
              </w:rPr>
              <w:t>Logements</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19164CD3" w14:textId="416C9ED0" w:rsidR="00025543" w:rsidRDefault="007E3A2F">
            <w:pPr>
              <w:pStyle w:val="P68B1DB1-Normal11"/>
              <w:spacing w:line="240" w:lineRule="auto"/>
              <w:jc w:val="center"/>
              <w:rPr>
                <w:noProof/>
              </w:rPr>
            </w:pPr>
            <w:r>
              <w:rPr>
                <w:noProof/>
              </w:rPr>
              <w:t>0</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68FCA7AF" w14:textId="7CEBE7B7" w:rsidR="00025543" w:rsidRDefault="007E3A2F">
            <w:pPr>
              <w:pStyle w:val="P68B1DB1-Normal11"/>
              <w:spacing w:line="240" w:lineRule="auto"/>
              <w:jc w:val="center"/>
              <w:rPr>
                <w:noProof/>
              </w:rPr>
            </w:pPr>
            <w:r>
              <w:rPr>
                <w:noProof/>
              </w:rPr>
              <w:t>1800</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7D4F6BE7" w14:textId="4C06F18C" w:rsidR="00025543" w:rsidRDefault="007E3A2F">
            <w:pPr>
              <w:pStyle w:val="P68B1DB1-Normal11"/>
              <w:spacing w:line="240" w:lineRule="auto"/>
              <w:jc w:val="center"/>
              <w:rPr>
                <w:noProof/>
              </w:rPr>
            </w:pPr>
            <w:r>
              <w:rPr>
                <w:noProof/>
              </w:rPr>
              <w:t>TRIMESTRE 1</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2BAFF6AF" w14:textId="7469FD81" w:rsidR="00025543" w:rsidRDefault="007E3A2F">
            <w:pPr>
              <w:pStyle w:val="P68B1DB1-Normal11"/>
              <w:spacing w:line="240" w:lineRule="auto"/>
              <w:jc w:val="center"/>
              <w:rPr>
                <w:noProof/>
              </w:rPr>
            </w:pPr>
            <w:r>
              <w:rPr>
                <w:noProof/>
              </w:rPr>
              <w:t>2025</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30802367" w14:textId="2624B1A4" w:rsidR="00025543" w:rsidRDefault="007E3A2F">
            <w:pPr>
              <w:pStyle w:val="P68B1DB1-Normal11"/>
              <w:spacing w:line="240" w:lineRule="auto"/>
              <w:rPr>
                <w:noProof/>
              </w:rPr>
            </w:pPr>
            <w:r>
              <w:rPr>
                <w:noProof/>
              </w:rPr>
              <w:t>Au moins 1 800 m² de surface de logement sont acquis en tant que logements pour enfants à risque conformément à l’appel ou aux appels pour des projets du jalon 274 ou d’un autre appel répondant aux mêmes exigences.</w:t>
            </w:r>
          </w:p>
        </w:tc>
      </w:tr>
      <w:tr w:rsidR="00025543" w14:paraId="6D651D1F"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436FBB22" w14:textId="67F4006B" w:rsidR="00025543" w:rsidRDefault="007E3A2F">
            <w:pPr>
              <w:pStyle w:val="P68B1DB1-Normal28"/>
              <w:spacing w:line="240" w:lineRule="auto"/>
              <w:jc w:val="center"/>
              <w:rPr>
                <w:noProof/>
              </w:rPr>
            </w:pPr>
            <w:r>
              <w:rPr>
                <w:noProof/>
              </w:rPr>
              <w:t>278</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4F4D86A7" w14:textId="4B89650F" w:rsidR="00025543" w:rsidRDefault="007E3A2F">
            <w:pPr>
              <w:pStyle w:val="P68B1DB1-Normal11"/>
              <w:spacing w:line="240" w:lineRule="auto"/>
              <w:rPr>
                <w:noProof/>
              </w:rPr>
            </w:pPr>
            <w:r>
              <w:rPr>
                <w:noProof/>
              </w:rPr>
              <w:t>Investissement 4: Développement et modernisation des infrastructures de protection sociale des enfants</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D36EA83" w14:textId="6F6E12FE" w:rsidR="00025543" w:rsidRDefault="007E3A2F">
            <w:pPr>
              <w:pStyle w:val="P68B1DB1-Normal11"/>
              <w:spacing w:line="240" w:lineRule="auto"/>
              <w:rPr>
                <w:noProof/>
              </w:rPr>
            </w:pPr>
            <w:r>
              <w:rPr>
                <w:noProof/>
              </w:rPr>
              <w:t>Cible</w:t>
            </w:r>
          </w:p>
          <w:p w14:paraId="556A2340" w14:textId="6A4EF8C8" w:rsidR="00025543" w:rsidRDefault="00025543">
            <w:pPr>
              <w:spacing w:line="240" w:lineRule="auto"/>
              <w:rPr>
                <w:rFonts w:eastAsia="Times New Roman"/>
                <w:noProof/>
                <w:color w:val="006100"/>
                <w:sz w:val="18"/>
              </w:rPr>
            </w:pP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14:paraId="3EBBF732" w14:textId="465A2738" w:rsidR="00025543" w:rsidRDefault="007E3A2F">
            <w:pPr>
              <w:pStyle w:val="P68B1DB1-Normal11"/>
              <w:spacing w:after="0" w:line="240" w:lineRule="auto"/>
              <w:rPr>
                <w:noProof/>
              </w:rPr>
            </w:pPr>
            <w:r>
              <w:rPr>
                <w:noProof/>
              </w:rPr>
              <w:t>Surface de logement pour enfants à risque acquise — 2e lot</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65DE1FCB" w14:textId="539FCC70" w:rsidR="00025543" w:rsidRDefault="00025543">
            <w:pPr>
              <w:spacing w:line="240" w:lineRule="auto"/>
              <w:rPr>
                <w:rFonts w:eastAsia="Times New Roman"/>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8380C2A" w14:textId="1D5E7892" w:rsidR="00025543" w:rsidRDefault="00025543">
            <w:pPr>
              <w:spacing w:line="240" w:lineRule="auto"/>
              <w:rPr>
                <w:rFonts w:eastAsia="Times New Roman"/>
                <w:noProof/>
                <w:color w:val="006100"/>
                <w:sz w:val="18"/>
              </w:rPr>
            </w:pPr>
          </w:p>
          <w:p w14:paraId="226F2535" w14:textId="60B4C7AB" w:rsidR="00025543" w:rsidRDefault="007E3A2F">
            <w:pPr>
              <w:pStyle w:val="P68B1DB1-Normal11"/>
              <w:spacing w:line="240" w:lineRule="auto"/>
              <w:rPr>
                <w:noProof/>
              </w:rPr>
            </w:pPr>
            <w:r>
              <w:rPr>
                <w:noProof/>
              </w:rPr>
              <w:t>Logements</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2C89283" w14:textId="247E37E0" w:rsidR="00025543" w:rsidRDefault="007E3A2F">
            <w:pPr>
              <w:pStyle w:val="P68B1DB1-Normal11"/>
              <w:spacing w:line="240" w:lineRule="auto"/>
              <w:jc w:val="right"/>
              <w:rPr>
                <w:noProof/>
              </w:rPr>
            </w:pPr>
            <w:r>
              <w:rPr>
                <w:noProof/>
              </w:rPr>
              <w:t>1800</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287FA7F9" w14:textId="5F25CB44" w:rsidR="00025543" w:rsidRDefault="007E3A2F">
            <w:pPr>
              <w:pStyle w:val="P68B1DB1-Normal11"/>
              <w:spacing w:line="240" w:lineRule="auto"/>
              <w:rPr>
                <w:noProof/>
              </w:rPr>
            </w:pPr>
            <w:r>
              <w:rPr>
                <w:noProof/>
              </w:rPr>
              <w:t>5580</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364B74F2" w14:textId="03324E34" w:rsidR="00025543" w:rsidRDefault="007E3A2F">
            <w:pPr>
              <w:pStyle w:val="P68B1DB1-Normal11"/>
              <w:spacing w:after="0" w:line="240" w:lineRule="auto"/>
              <w:jc w:val="center"/>
              <w:rPr>
                <w:noProof/>
              </w:rPr>
            </w:pPr>
            <w:r>
              <w:rPr>
                <w:noProof/>
              </w:rPr>
              <w:t>TRIMESTRE 4</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66635B82" w14:textId="4767FB43" w:rsidR="00025543" w:rsidRDefault="007E3A2F">
            <w:pPr>
              <w:pStyle w:val="P68B1DB1-Normal11"/>
              <w:spacing w:after="0" w:line="240" w:lineRule="auto"/>
              <w:jc w:val="center"/>
              <w:rPr>
                <w:noProof/>
              </w:rPr>
            </w:pPr>
            <w:r>
              <w:rPr>
                <w:noProof/>
              </w:rPr>
              <w:t>2025</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090CDBF7" w14:textId="10C1CBB4" w:rsidR="00025543" w:rsidRDefault="007E3A2F">
            <w:pPr>
              <w:pStyle w:val="P68B1DB1-Normal11"/>
              <w:spacing w:line="240" w:lineRule="auto"/>
              <w:rPr>
                <w:noProof/>
              </w:rPr>
            </w:pPr>
            <w:r>
              <w:rPr>
                <w:noProof/>
              </w:rPr>
              <w:t>Au moins 3 780 m² de surface de logement supplémentaire sont acquis en tant que logements pour enfants à risque conformément à l’appel ou aux appels pour les projets du jalon 274 ou d’un autre appel répondant aux mêmes exigences.</w:t>
            </w:r>
          </w:p>
        </w:tc>
      </w:tr>
      <w:tr w:rsidR="00025543" w14:paraId="4F64717B"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212ADB45" w14:textId="67F4006B" w:rsidR="00025543" w:rsidRDefault="007E3A2F">
            <w:pPr>
              <w:pStyle w:val="P68B1DB1-Normal28"/>
              <w:spacing w:line="240" w:lineRule="auto"/>
              <w:jc w:val="center"/>
              <w:rPr>
                <w:noProof/>
              </w:rPr>
            </w:pPr>
            <w:r>
              <w:rPr>
                <w:noProof/>
              </w:rPr>
              <w:t>279</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24A6B27C" w14:textId="2871FA81" w:rsidR="00025543" w:rsidRDefault="007E3A2F">
            <w:pPr>
              <w:pStyle w:val="P68B1DB1-Normal11"/>
              <w:spacing w:line="240" w:lineRule="auto"/>
              <w:rPr>
                <w:noProof/>
              </w:rPr>
            </w:pPr>
            <w:r>
              <w:rPr>
                <w:noProof/>
              </w:rPr>
              <w:t>Investissement 4: Développement et modernisation des infrastructures de protection sociale des enfants</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4025C952" w14:textId="3E3A7242" w:rsidR="00025543" w:rsidRDefault="007E3A2F">
            <w:pPr>
              <w:pStyle w:val="P68B1DB1-Normal11"/>
              <w:spacing w:line="240" w:lineRule="auto"/>
              <w:rPr>
                <w:noProof/>
              </w:rPr>
            </w:pPr>
            <w:r>
              <w:rPr>
                <w:noProof/>
              </w:rPr>
              <w:t>Cible</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14:paraId="29A5502C" w14:textId="69372103" w:rsidR="00025543" w:rsidRDefault="007E3A2F">
            <w:pPr>
              <w:pStyle w:val="P68B1DB1-Normal11"/>
              <w:spacing w:line="240" w:lineRule="auto"/>
              <w:rPr>
                <w:noProof/>
              </w:rPr>
            </w:pPr>
            <w:r>
              <w:rPr>
                <w:noProof/>
              </w:rPr>
              <w:t>Capacité d’accueil des enfants à risque</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7DF0A23E" w14:textId="2AB7C94A" w:rsidR="00025543" w:rsidRDefault="00025543">
            <w:pPr>
              <w:spacing w:line="240" w:lineRule="auto"/>
              <w:rPr>
                <w:rFonts w:eastAsia="Times New Roman"/>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ACCE2CE" w14:textId="2F19F851" w:rsidR="00025543" w:rsidRDefault="007E3A2F">
            <w:pPr>
              <w:pStyle w:val="P68B1DB1-Normal11"/>
              <w:spacing w:line="240" w:lineRule="auto"/>
              <w:rPr>
                <w:noProof/>
              </w:rPr>
            </w:pPr>
            <w:r>
              <w:rPr>
                <w:noProof/>
              </w:rPr>
              <w:t>Lieux</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FCB1056" w14:textId="2B83CE33" w:rsidR="00025543" w:rsidRDefault="007E3A2F">
            <w:pPr>
              <w:pStyle w:val="P68B1DB1-Normal11"/>
              <w:spacing w:line="240" w:lineRule="auto"/>
              <w:jc w:val="center"/>
              <w:rPr>
                <w:noProof/>
              </w:rPr>
            </w:pPr>
            <w:r>
              <w:rPr>
                <w:noProof/>
              </w:rPr>
              <w:t>0</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0F057E33" w14:textId="53FA09B9" w:rsidR="00025543" w:rsidRDefault="007E3A2F">
            <w:pPr>
              <w:pStyle w:val="P68B1DB1-Normal11"/>
              <w:spacing w:line="240" w:lineRule="auto"/>
              <w:jc w:val="center"/>
              <w:rPr>
                <w:noProof/>
              </w:rPr>
            </w:pPr>
            <w:r>
              <w:rPr>
                <w:noProof/>
              </w:rPr>
              <w:t>237</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1213C2FE" w14:textId="102F1F00" w:rsidR="00025543" w:rsidRDefault="007E3A2F">
            <w:pPr>
              <w:pStyle w:val="P68B1DB1-Normal11"/>
              <w:spacing w:line="240" w:lineRule="auto"/>
              <w:jc w:val="center"/>
              <w:rPr>
                <w:noProof/>
              </w:rPr>
            </w:pPr>
            <w:r>
              <w:rPr>
                <w:noProof/>
              </w:rPr>
              <w:t>TRIMESTRE 2</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66F73D0F" w14:textId="7A410A4C" w:rsidR="00025543" w:rsidRDefault="007E3A2F">
            <w:pPr>
              <w:pStyle w:val="P68B1DB1-Normal11"/>
              <w:spacing w:line="240" w:lineRule="auto"/>
              <w:jc w:val="center"/>
              <w:rPr>
                <w:noProof/>
              </w:rPr>
            </w:pPr>
            <w:r>
              <w:rPr>
                <w:noProof/>
              </w:rPr>
              <w:t>2026</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4EE459E2" w14:textId="41CB14CD" w:rsidR="00025543" w:rsidRDefault="007E3A2F">
            <w:pPr>
              <w:pStyle w:val="P68B1DB1-Normal11"/>
              <w:spacing w:line="240" w:lineRule="auto"/>
              <w:rPr>
                <w:noProof/>
              </w:rPr>
            </w:pPr>
            <w:r>
              <w:rPr>
                <w:noProof/>
              </w:rPr>
              <w:t xml:space="preserve">Il y a au moins 237 places dans les installations pour enfants à risque construites ou rénovées conformément à l’appel à projets du jalon 275 ou à un autre appel répondant aux mêmes exigences. </w:t>
            </w:r>
          </w:p>
          <w:p w14:paraId="411779BC" w14:textId="3E96F1A1" w:rsidR="00025543" w:rsidRDefault="007E3A2F">
            <w:pPr>
              <w:pStyle w:val="P68B1DB1-Normal11"/>
              <w:spacing w:line="240" w:lineRule="auto"/>
              <w:rPr>
                <w:noProof/>
              </w:rPr>
            </w:pPr>
            <w:r>
              <w:rPr>
                <w:noProof/>
              </w:rPr>
              <w:t>Sur les 237 places, au moins 35 % sont rénovés et permettent soit d’économiser au moins 30 % d’énergie primaire, soit de réduire d’au moins 30 % les émissions directes et indirectes de gaz à effet de serre.</w:t>
            </w:r>
          </w:p>
        </w:tc>
      </w:tr>
    </w:tbl>
    <w:p w14:paraId="4DF2D7F6" w14:textId="77777777" w:rsidR="00025543" w:rsidRDefault="00025543">
      <w:pPr>
        <w:rPr>
          <w:noProof/>
        </w:rPr>
        <w:sectPr w:rsidR="00025543" w:rsidSect="003C3F81">
          <w:headerReference w:type="even" r:id="rId312"/>
          <w:headerReference w:type="default" r:id="rId313"/>
          <w:footerReference w:type="even" r:id="rId314"/>
          <w:footerReference w:type="default" r:id="rId315"/>
          <w:headerReference w:type="first" r:id="rId316"/>
          <w:footerReference w:type="first" r:id="rId317"/>
          <w:pgSz w:w="16839" w:h="11907" w:orient="landscape"/>
          <w:pgMar w:top="1134" w:right="1134" w:bottom="1134" w:left="1134" w:header="567" w:footer="567" w:gutter="0"/>
          <w:cols w:space="720"/>
          <w:docGrid w:linePitch="326"/>
        </w:sectPr>
      </w:pPr>
    </w:p>
    <w:p w14:paraId="5C3B5FC4" w14:textId="611F2CE3" w:rsidR="00025543" w:rsidRDefault="007E3A2F">
      <w:pPr>
        <w:pStyle w:val="P68B1DB1-Normal2"/>
        <w:keepNext/>
        <w:tabs>
          <w:tab w:val="left" w:pos="850"/>
        </w:tabs>
        <w:spacing w:before="360" w:line="240" w:lineRule="auto"/>
        <w:jc w:val="both"/>
        <w:outlineLvl w:val="0"/>
        <w:rPr>
          <w:noProof/>
        </w:rPr>
      </w:pPr>
      <w:r>
        <w:rPr>
          <w:noProof/>
        </w:rPr>
        <w:t>U. COMPOSANT 4.1: Soutien systémique à l’investissement public</w:t>
      </w:r>
    </w:p>
    <w:p w14:paraId="19AE07A6" w14:textId="5AB5F0EC" w:rsidR="00025543" w:rsidRDefault="007E3A2F">
      <w:pPr>
        <w:pStyle w:val="P68B1DB1-Normal4"/>
        <w:spacing w:line="259" w:lineRule="auto"/>
        <w:jc w:val="both"/>
        <w:rPr>
          <w:noProof/>
          <w:color w:val="000000" w:themeColor="text1"/>
        </w:rPr>
      </w:pPr>
      <w:r>
        <w:rPr>
          <w:noProof/>
        </w:rPr>
        <w:t xml:space="preserve">Ce volet du plan pour la reprise et la résilience de la République tchèque contribue à relever le défi du renforcement de la capacité administrative de l’administration publique en Tchéquie. L’objectif de ce volet est de fournir un soutien méthodologique à la préparation des projets, de moderniser le cadre stratégique et les capacités dans le domaine des marchés publics, de soutenir la préparation des projets d’investissement et d’accroître le nombre de membres du personnel travaillant à la mise en œuvre du plan pour la reprise et la résilience en Tchéquie. </w:t>
      </w:r>
    </w:p>
    <w:p w14:paraId="74AA4A67" w14:textId="44832548" w:rsidR="00025543" w:rsidRDefault="007E3A2F">
      <w:pPr>
        <w:pStyle w:val="P68B1DB1-Normal4"/>
        <w:spacing w:line="259" w:lineRule="auto"/>
        <w:jc w:val="both"/>
        <w:rPr>
          <w:noProof/>
          <w:color w:val="000000" w:themeColor="text1"/>
        </w:rPr>
      </w:pPr>
      <w:r>
        <w:rPr>
          <w:noProof/>
        </w:rPr>
        <w:t>Le volet soutient la mise en œuvre de la recommandation par pays no 3 2019, selon laquelle la Tchéquie devrait réduire la charge administrative pesant sur les investissements et soutenir une concurrence plus fondée sur la qualité dans les marchés publics, et la recommandation par pays no 3 2020, selon laquelle la Tchéquie soutient les petites et moyennes entreprises en recourant davantage aux instruments financiers pour garantir un soutien de trésorerie, réduire la charge administrative et améliorer l’administration en ligne.</w:t>
      </w:r>
    </w:p>
    <w:p w14:paraId="5987FA7D" w14:textId="5B8FF68B" w:rsidR="00025543" w:rsidRDefault="007E3A2F">
      <w:pPr>
        <w:spacing w:line="276" w:lineRule="auto"/>
        <w:jc w:val="both"/>
        <w:rPr>
          <w:noProof/>
          <w:sz w:val="22"/>
        </w:rPr>
      </w:pPr>
      <w:r>
        <w:rPr>
          <w:noProof/>
        </w:rPr>
        <w:t>Aucune mesure relevant de ce volet ne devrait nuire gravement aux objectifs environnementaux au sens de l’article 17 du règlement (UE) 2020/852, compte tenu de la description des mesures et des mesures d’atténuation prévues dans le plan pour la reprise et la résilience conformément aux orientations techniques de la DNSH (2021/C58/01).</w:t>
      </w:r>
    </w:p>
    <w:p w14:paraId="246AD4FB" w14:textId="708F3ECE" w:rsidR="00025543" w:rsidRDefault="00025543">
      <w:pPr>
        <w:keepNext/>
        <w:spacing w:line="240" w:lineRule="auto"/>
        <w:jc w:val="both"/>
        <w:rPr>
          <w:rFonts w:eastAsia="Times New Roman"/>
          <w:noProof/>
          <w:color w:val="000000" w:themeColor="text1"/>
        </w:rPr>
      </w:pPr>
    </w:p>
    <w:p w14:paraId="77936C62" w14:textId="581BC8B3" w:rsidR="00025543" w:rsidRDefault="007E3A2F">
      <w:pPr>
        <w:keepNext/>
        <w:spacing w:line="240" w:lineRule="auto"/>
        <w:jc w:val="both"/>
        <w:rPr>
          <w:rFonts w:eastAsia="Times New Roman"/>
          <w:noProof/>
          <w:color w:val="000000" w:themeColor="text1"/>
        </w:rPr>
      </w:pPr>
      <w:r>
        <w:rPr>
          <w:rFonts w:eastAsia="Times New Roman"/>
          <w:b/>
          <w:noProof/>
          <w:color w:val="000000" w:themeColor="text1"/>
          <w:u w:val="single"/>
        </w:rPr>
        <w:t xml:space="preserve">U.1. </w:t>
      </w:r>
      <w:r>
        <w:rPr>
          <w:noProof/>
        </w:rPr>
        <w:tab/>
      </w:r>
      <w:r>
        <w:rPr>
          <w:rFonts w:eastAsia="Times New Roman"/>
          <w:b/>
          <w:noProof/>
          <w:color w:val="000000" w:themeColor="text1"/>
          <w:u w:val="single"/>
        </w:rPr>
        <w:t>Description des réformes et des investissements en vue du soutien financier non remboursable</w:t>
      </w:r>
    </w:p>
    <w:p w14:paraId="38782A0F" w14:textId="7D9A88A9" w:rsidR="00025543" w:rsidRDefault="007E3A2F">
      <w:pPr>
        <w:pStyle w:val="P68B1DB1-Normal18"/>
        <w:spacing w:line="259" w:lineRule="auto"/>
        <w:jc w:val="both"/>
        <w:rPr>
          <w:noProof/>
        </w:rPr>
      </w:pPr>
      <w:r>
        <w:rPr>
          <w:noProof/>
        </w:rPr>
        <w:t xml:space="preserve">Réforme 1: Appui méthodologique à la préparation de projets conformes aux objectifs de l’UE   </w:t>
      </w:r>
    </w:p>
    <w:p w14:paraId="5B7FAF10" w14:textId="478C721D" w:rsidR="00025543" w:rsidRDefault="007E3A2F">
      <w:pPr>
        <w:pStyle w:val="P68B1DB1-Normal4"/>
        <w:spacing w:line="259" w:lineRule="auto"/>
        <w:jc w:val="both"/>
        <w:rPr>
          <w:noProof/>
          <w:color w:val="000000" w:themeColor="text1"/>
        </w:rPr>
      </w:pPr>
      <w:r>
        <w:rPr>
          <w:noProof/>
        </w:rPr>
        <w:t xml:space="preserve">La réforme consiste en des changements institutionnels et procéduraux et vise à fournir un renforcement des capacités ainsi qu’un soutien méthodologique et d’information aux investisseurs publics, par exemple les municipalités, les régions ou les entreprises détenues par des entités publiques responsables de la mise en œuvre des investissements publics. Ce soutien méthodologique et d’information est fourni par le Centre de coordination et de compétences mis en place. La réforme se concentre sur l’adoption du plan de gestion du Centre de coordination et de compétences, accompagné d’une description détaillée des activités soutenues et de leur calendrier de mise en œuvre. </w:t>
      </w:r>
    </w:p>
    <w:p w14:paraId="6A54F4C9" w14:textId="58DA7808" w:rsidR="00025543" w:rsidRDefault="007E3A2F">
      <w:pPr>
        <w:pStyle w:val="P68B1DB1-Normal4"/>
        <w:spacing w:line="259" w:lineRule="auto"/>
        <w:jc w:val="both"/>
        <w:rPr>
          <w:noProof/>
          <w:color w:val="000000" w:themeColor="text1"/>
        </w:rPr>
      </w:pPr>
      <w:r>
        <w:rPr>
          <w:noProof/>
        </w:rPr>
        <w:t>Cette réforme est mise en œuvre au plus tard le 31 décembre 2023.</w:t>
      </w:r>
    </w:p>
    <w:p w14:paraId="46CBEC9A" w14:textId="1606F8B8" w:rsidR="00025543" w:rsidRDefault="007E3A2F">
      <w:pPr>
        <w:pStyle w:val="P68B1DB1-Normal18"/>
        <w:spacing w:line="259" w:lineRule="auto"/>
        <w:jc w:val="both"/>
        <w:rPr>
          <w:noProof/>
        </w:rPr>
      </w:pPr>
      <w:r>
        <w:rPr>
          <w:noProof/>
        </w:rPr>
        <w:t>Réforme 2: Soutien méthodologique et modernisation des investissements publics</w:t>
      </w:r>
    </w:p>
    <w:p w14:paraId="5A380FB7" w14:textId="0F731998" w:rsidR="00025543" w:rsidRDefault="007E3A2F">
      <w:pPr>
        <w:pStyle w:val="P68B1DB1-Normal4"/>
        <w:keepNext/>
        <w:spacing w:line="240" w:lineRule="auto"/>
        <w:jc w:val="both"/>
        <w:rPr>
          <w:noProof/>
          <w:color w:val="000000" w:themeColor="text1"/>
        </w:rPr>
      </w:pPr>
      <w:r>
        <w:rPr>
          <w:noProof/>
        </w:rPr>
        <w:t>La réforme consiste en des changements institutionnels et procéduraux et vise à soutenir la préparation et l’adoption d’une nouvelle stratégie en matière de marchés publics et d’un plan d’action pour sa mise en œuvre. La stratégie et le plan d’action se concentrent au moins sur les priorités suivantes: professionnalisation des pouvoirs adjudicateurs, achats durables, centralisation et achats conjoints.</w:t>
      </w:r>
    </w:p>
    <w:p w14:paraId="507B4570" w14:textId="7B846702" w:rsidR="00025543" w:rsidRDefault="007E3A2F">
      <w:pPr>
        <w:pStyle w:val="P68B1DB1-Normal4"/>
        <w:spacing w:line="259" w:lineRule="auto"/>
        <w:jc w:val="both"/>
        <w:rPr>
          <w:noProof/>
          <w:color w:val="000000" w:themeColor="text1"/>
        </w:rPr>
      </w:pPr>
      <w:r>
        <w:rPr>
          <w:noProof/>
        </w:rPr>
        <w:t>Cette réforme est mise en œuvre au plus tard le 31 mars 2024.</w:t>
      </w:r>
    </w:p>
    <w:p w14:paraId="02A980F1" w14:textId="5F84FF95" w:rsidR="00025543" w:rsidRDefault="007E3A2F">
      <w:pPr>
        <w:pStyle w:val="P68B1DB1-Normal18"/>
        <w:keepNext/>
        <w:spacing w:line="259" w:lineRule="auto"/>
        <w:jc w:val="both"/>
        <w:rPr>
          <w:noProof/>
        </w:rPr>
      </w:pPr>
      <w:r>
        <w:rPr>
          <w:noProof/>
        </w:rPr>
        <w:t xml:space="preserve">Réforme 3: Soutien financier à la préparation de projets conformes aux objectifs de l’UE </w:t>
      </w:r>
    </w:p>
    <w:p w14:paraId="4A75FE40" w14:textId="503BBF92" w:rsidR="00025543" w:rsidRDefault="007E3A2F">
      <w:pPr>
        <w:pStyle w:val="P68B1DB1-Normal4"/>
        <w:spacing w:line="259" w:lineRule="auto"/>
        <w:jc w:val="both"/>
        <w:rPr>
          <w:noProof/>
          <w:color w:val="000000" w:themeColor="text1"/>
        </w:rPr>
      </w:pPr>
      <w:r>
        <w:rPr>
          <w:noProof/>
        </w:rPr>
        <w:t xml:space="preserve">La réforme consiste en des changements institutionnels et procéduraux et vise à préparer au moins 90 projets, dont au moins 72 qui seront suffisamment finaux pour être soumis dans le cadre d’appels à propositions au titre de différentes sources de financement. </w:t>
      </w:r>
    </w:p>
    <w:p w14:paraId="3751B73D" w14:textId="3217E51B" w:rsidR="00025543" w:rsidRDefault="007E3A2F">
      <w:pPr>
        <w:pStyle w:val="P68B1DB1-Normal4"/>
        <w:spacing w:line="259" w:lineRule="auto"/>
        <w:jc w:val="both"/>
        <w:rPr>
          <w:noProof/>
          <w:color w:val="000000" w:themeColor="text1"/>
        </w:rPr>
      </w:pPr>
      <w:r>
        <w:rPr>
          <w:noProof/>
        </w:rPr>
        <w:t xml:space="preserve">Cette réforme est mise en œuvre au plus tard le 30 juin 2026. </w:t>
      </w:r>
    </w:p>
    <w:p w14:paraId="02326826" w14:textId="61BFCF60" w:rsidR="00025543" w:rsidRDefault="007E3A2F">
      <w:pPr>
        <w:pStyle w:val="P68B1DB1-Normal18"/>
        <w:spacing w:line="259" w:lineRule="auto"/>
        <w:jc w:val="both"/>
        <w:rPr>
          <w:noProof/>
        </w:rPr>
      </w:pPr>
      <w:r>
        <w:rPr>
          <w:noProof/>
        </w:rPr>
        <w:t xml:space="preserve">Réforme 4: Accroître l’efficacité et améliorer la mise en œuvre du plan national pour la reprise et la résilience  </w:t>
      </w:r>
    </w:p>
    <w:p w14:paraId="35A56EB0" w14:textId="1F3116C3" w:rsidR="00025543" w:rsidRDefault="007E3A2F">
      <w:pPr>
        <w:pStyle w:val="P68B1DB1-Normal4"/>
        <w:spacing w:line="259" w:lineRule="auto"/>
        <w:jc w:val="both"/>
        <w:rPr>
          <w:noProof/>
          <w:color w:val="000000" w:themeColor="text1"/>
        </w:rPr>
      </w:pPr>
      <w:r>
        <w:rPr>
          <w:noProof/>
        </w:rPr>
        <w:t>La réforme consiste en des changements institutionnels et procéduraux et vise à renforcer les capacités administratives pour coordonner et mettre en œuvre le plan tchèque pour la reprise et la résilience. De nouveaux équivalents temps plein sont engagés pour soutenir les activités stratégiques, d’analyse, de coordination, de suivi, de contrôle et de communication des organismes participant à la mise en œuvre du plan, y compris sa coordination et son audit. Les campagnes de communication et médiatiques ainsi que les nouvelles fonctionnalités du système de suivi et de compte rendu sont également soutenues.</w:t>
      </w:r>
    </w:p>
    <w:p w14:paraId="3D87AB10" w14:textId="77777777" w:rsidR="00025543" w:rsidRDefault="007E3A2F">
      <w:pPr>
        <w:pStyle w:val="P68B1DB1-Normal4"/>
        <w:keepNext/>
        <w:spacing w:line="240" w:lineRule="auto"/>
        <w:jc w:val="both"/>
        <w:rPr>
          <w:noProof/>
          <w:color w:val="000000" w:themeColor="text1"/>
        </w:rPr>
        <w:sectPr w:rsidR="00025543" w:rsidSect="003C3F81">
          <w:headerReference w:type="even" r:id="rId318"/>
          <w:headerReference w:type="default" r:id="rId319"/>
          <w:footerReference w:type="even" r:id="rId320"/>
          <w:footerReference w:type="default" r:id="rId321"/>
          <w:headerReference w:type="first" r:id="rId322"/>
          <w:footerReference w:type="first" r:id="rId323"/>
          <w:pgSz w:w="11907" w:h="16839"/>
          <w:pgMar w:top="1134" w:right="1134" w:bottom="1134" w:left="1134" w:header="567" w:footer="567" w:gutter="0"/>
          <w:cols w:space="720"/>
          <w:docGrid w:linePitch="326"/>
        </w:sectPr>
      </w:pPr>
      <w:r>
        <w:rPr>
          <w:noProof/>
        </w:rPr>
        <w:t>Cette réforme est mise en œuvre au plus tard le 31 décembre 2024.</w:t>
      </w:r>
    </w:p>
    <w:p w14:paraId="6D8659D2" w14:textId="4214CA97" w:rsidR="00025543" w:rsidRDefault="007E3A2F">
      <w:pPr>
        <w:pStyle w:val="P68B1DB1-Normal44"/>
        <w:keepNext/>
        <w:spacing w:line="240" w:lineRule="auto"/>
        <w:jc w:val="both"/>
        <w:rPr>
          <w:rFonts w:eastAsia="Times New Roman"/>
          <w:b/>
          <w:noProof/>
          <w:color w:val="000000" w:themeColor="text1"/>
        </w:rPr>
      </w:pPr>
      <w:r>
        <w:rPr>
          <w:rFonts w:eastAsia="Times New Roman"/>
          <w:b/>
          <w:noProof/>
          <w:color w:val="000000" w:themeColor="text1"/>
        </w:rPr>
        <w:t xml:space="preserve">U.2. </w:t>
      </w:r>
      <w:r>
        <w:rPr>
          <w:noProof/>
        </w:rPr>
        <w:tab/>
      </w:r>
      <w:r>
        <w:rPr>
          <w:rFonts w:eastAsia="Times New Roman"/>
          <w:b/>
          <w:noProof/>
          <w:color w:val="000000" w:themeColor="text1"/>
        </w:rPr>
        <w:t>Jalons, cibles, indicateurs et calendrier de suivi et de mise en œuvre en vue du soutien financier non remboursable</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7"/>
        <w:gridCol w:w="1565"/>
        <w:gridCol w:w="1095"/>
        <w:gridCol w:w="1489"/>
        <w:gridCol w:w="1731"/>
        <w:gridCol w:w="955"/>
        <w:gridCol w:w="955"/>
        <w:gridCol w:w="955"/>
        <w:gridCol w:w="1040"/>
        <w:gridCol w:w="640"/>
        <w:gridCol w:w="3959"/>
      </w:tblGrid>
      <w:tr w:rsidR="00025543" w14:paraId="2503A0B8" w14:textId="77777777">
        <w:trPr>
          <w:trHeight w:val="672"/>
          <w:tblHeader/>
          <w:jc w:val="center"/>
        </w:trPr>
        <w:tc>
          <w:tcPr>
            <w:tcW w:w="654" w:type="dxa"/>
            <w:vMerge w:val="restart"/>
            <w:shd w:val="clear" w:color="auto" w:fill="BDD7EE"/>
            <w:vAlign w:val="center"/>
            <w:hideMark/>
          </w:tcPr>
          <w:p w14:paraId="402064F9" w14:textId="77777777" w:rsidR="00025543" w:rsidRDefault="007E3A2F">
            <w:pPr>
              <w:pStyle w:val="P68B1DB1-Normal9"/>
              <w:spacing w:before="0" w:after="0" w:line="240" w:lineRule="auto"/>
              <w:jc w:val="center"/>
              <w:rPr>
                <w:noProof/>
              </w:rPr>
            </w:pPr>
            <w:r>
              <w:rPr>
                <w:noProof/>
              </w:rPr>
              <w:t>Séquence NUM.</w:t>
            </w:r>
          </w:p>
        </w:tc>
        <w:tc>
          <w:tcPr>
            <w:tcW w:w="1625" w:type="dxa"/>
            <w:vMerge w:val="restart"/>
            <w:shd w:val="clear" w:color="auto" w:fill="BDD7EE"/>
            <w:vAlign w:val="center"/>
            <w:hideMark/>
          </w:tcPr>
          <w:p w14:paraId="35CE7861" w14:textId="77777777" w:rsidR="00025543" w:rsidRDefault="007E3A2F">
            <w:pPr>
              <w:pStyle w:val="P68B1DB1-Normal9"/>
              <w:spacing w:before="0" w:after="0" w:line="240" w:lineRule="auto"/>
              <w:jc w:val="center"/>
              <w:rPr>
                <w:noProof/>
              </w:rPr>
            </w:pPr>
            <w:r>
              <w:rPr>
                <w:noProof/>
              </w:rPr>
              <w:t>Mesure connexe (réforme ou investissement)</w:t>
            </w:r>
          </w:p>
        </w:tc>
        <w:tc>
          <w:tcPr>
            <w:tcW w:w="1134" w:type="dxa"/>
            <w:vMerge w:val="restart"/>
            <w:shd w:val="clear" w:color="auto" w:fill="BDD7EE"/>
            <w:vAlign w:val="center"/>
            <w:hideMark/>
          </w:tcPr>
          <w:p w14:paraId="4CECE57F" w14:textId="77777777" w:rsidR="00025543" w:rsidRDefault="007E3A2F">
            <w:pPr>
              <w:pStyle w:val="P68B1DB1-Normal9"/>
              <w:spacing w:before="0" w:after="0" w:line="240" w:lineRule="auto"/>
              <w:jc w:val="center"/>
              <w:rPr>
                <w:noProof/>
              </w:rPr>
            </w:pPr>
            <w:r>
              <w:rPr>
                <w:noProof/>
              </w:rPr>
              <w:t>Jalon/cible</w:t>
            </w:r>
          </w:p>
        </w:tc>
        <w:tc>
          <w:tcPr>
            <w:tcW w:w="1546" w:type="dxa"/>
            <w:vMerge w:val="restart"/>
            <w:shd w:val="clear" w:color="auto" w:fill="BDD7EE"/>
            <w:vAlign w:val="center"/>
            <w:hideMark/>
          </w:tcPr>
          <w:p w14:paraId="372D252F" w14:textId="77777777" w:rsidR="00025543" w:rsidRDefault="007E3A2F">
            <w:pPr>
              <w:pStyle w:val="P68B1DB1-Normal9"/>
              <w:spacing w:before="0" w:after="0" w:line="240" w:lineRule="auto"/>
              <w:jc w:val="center"/>
              <w:rPr>
                <w:noProof/>
              </w:rPr>
            </w:pPr>
            <w:r>
              <w:rPr>
                <w:noProof/>
              </w:rPr>
              <w:t>Nom</w:t>
            </w:r>
          </w:p>
        </w:tc>
        <w:tc>
          <w:tcPr>
            <w:tcW w:w="1799" w:type="dxa"/>
            <w:vMerge w:val="restart"/>
            <w:shd w:val="clear" w:color="auto" w:fill="BDD7EE"/>
            <w:vAlign w:val="center"/>
            <w:hideMark/>
          </w:tcPr>
          <w:p w14:paraId="59F85311" w14:textId="77777777" w:rsidR="00025543" w:rsidRDefault="007E3A2F">
            <w:pPr>
              <w:pStyle w:val="P68B1DB1-Normal9"/>
              <w:spacing w:before="0" w:after="0" w:line="240" w:lineRule="auto"/>
              <w:jc w:val="center"/>
              <w:rPr>
                <w:noProof/>
              </w:rPr>
            </w:pPr>
            <w:r>
              <w:rPr>
                <w:noProof/>
              </w:rPr>
              <w:t xml:space="preserve">Qualitatifs </w:t>
            </w:r>
            <w:r>
              <w:rPr>
                <w:noProof/>
              </w:rPr>
              <w:br/>
              <w:t>(pour les jalons)</w:t>
            </w:r>
          </w:p>
        </w:tc>
        <w:tc>
          <w:tcPr>
            <w:tcW w:w="2964" w:type="dxa"/>
            <w:gridSpan w:val="3"/>
            <w:shd w:val="clear" w:color="auto" w:fill="BDD7EE"/>
            <w:vAlign w:val="center"/>
            <w:hideMark/>
          </w:tcPr>
          <w:p w14:paraId="26978899" w14:textId="77777777" w:rsidR="00025543" w:rsidRDefault="007E3A2F">
            <w:pPr>
              <w:pStyle w:val="P68B1DB1-Normal9"/>
              <w:spacing w:before="0" w:after="0" w:line="240" w:lineRule="auto"/>
              <w:jc w:val="center"/>
              <w:rPr>
                <w:noProof/>
              </w:rPr>
            </w:pPr>
            <w:r>
              <w:rPr>
                <w:noProof/>
              </w:rPr>
              <w:t xml:space="preserve">Indicateurs quantitatifs </w:t>
            </w:r>
            <w:r>
              <w:rPr>
                <w:noProof/>
              </w:rPr>
              <w:br/>
              <w:t>(pour les objectifs)</w:t>
            </w:r>
          </w:p>
        </w:tc>
        <w:tc>
          <w:tcPr>
            <w:tcW w:w="1317" w:type="dxa"/>
            <w:gridSpan w:val="2"/>
            <w:shd w:val="clear" w:color="auto" w:fill="BDD7EE"/>
            <w:vAlign w:val="center"/>
            <w:hideMark/>
          </w:tcPr>
          <w:p w14:paraId="1E600BC2" w14:textId="77777777" w:rsidR="00025543" w:rsidRDefault="007E3A2F">
            <w:pPr>
              <w:pStyle w:val="P68B1DB1-Normal9"/>
              <w:spacing w:before="0" w:after="0" w:line="240" w:lineRule="auto"/>
              <w:jc w:val="center"/>
              <w:rPr>
                <w:noProof/>
              </w:rPr>
            </w:pPr>
            <w:r>
              <w:rPr>
                <w:noProof/>
              </w:rPr>
              <w:t xml:space="preserve">Calendrier indicatif de réalisation </w:t>
            </w:r>
          </w:p>
        </w:tc>
        <w:tc>
          <w:tcPr>
            <w:tcW w:w="4128" w:type="dxa"/>
            <w:vMerge w:val="restart"/>
            <w:shd w:val="clear" w:color="auto" w:fill="BDD7EE"/>
            <w:vAlign w:val="center"/>
            <w:hideMark/>
          </w:tcPr>
          <w:p w14:paraId="65AFD177" w14:textId="77777777" w:rsidR="00025543" w:rsidRDefault="007E3A2F">
            <w:pPr>
              <w:pStyle w:val="P68B1DB1-Normal9"/>
              <w:spacing w:before="0" w:after="0" w:line="240" w:lineRule="auto"/>
              <w:jc w:val="center"/>
              <w:rPr>
                <w:noProof/>
              </w:rPr>
            </w:pPr>
            <w:r>
              <w:rPr>
                <w:noProof/>
              </w:rPr>
              <w:t>Description de chaque jalon et cible</w:t>
            </w:r>
          </w:p>
        </w:tc>
      </w:tr>
      <w:tr w:rsidR="00025543" w14:paraId="38A7DE69" w14:textId="77777777">
        <w:trPr>
          <w:trHeight w:val="458"/>
          <w:tblHeader/>
          <w:jc w:val="center"/>
        </w:trPr>
        <w:tc>
          <w:tcPr>
            <w:tcW w:w="654" w:type="dxa"/>
            <w:vMerge/>
            <w:vAlign w:val="center"/>
            <w:hideMark/>
          </w:tcPr>
          <w:p w14:paraId="17396832" w14:textId="77777777" w:rsidR="00025543" w:rsidRDefault="00025543">
            <w:pPr>
              <w:spacing w:before="0" w:after="0" w:line="240" w:lineRule="auto"/>
              <w:rPr>
                <w:rFonts w:eastAsia="Times New Roman"/>
                <w:b/>
                <w:noProof/>
                <w:sz w:val="18"/>
              </w:rPr>
            </w:pPr>
          </w:p>
        </w:tc>
        <w:tc>
          <w:tcPr>
            <w:tcW w:w="1625" w:type="dxa"/>
            <w:vMerge/>
            <w:vAlign w:val="center"/>
            <w:hideMark/>
          </w:tcPr>
          <w:p w14:paraId="105F063B" w14:textId="77777777" w:rsidR="00025543" w:rsidRDefault="00025543">
            <w:pPr>
              <w:spacing w:before="0" w:after="0" w:line="240" w:lineRule="auto"/>
              <w:rPr>
                <w:rFonts w:eastAsia="Times New Roman"/>
                <w:b/>
                <w:noProof/>
                <w:sz w:val="18"/>
              </w:rPr>
            </w:pPr>
          </w:p>
        </w:tc>
        <w:tc>
          <w:tcPr>
            <w:tcW w:w="1134" w:type="dxa"/>
            <w:vMerge/>
            <w:vAlign w:val="center"/>
            <w:hideMark/>
          </w:tcPr>
          <w:p w14:paraId="287EC486" w14:textId="77777777" w:rsidR="00025543" w:rsidRDefault="00025543">
            <w:pPr>
              <w:spacing w:before="0" w:after="0" w:line="240" w:lineRule="auto"/>
              <w:rPr>
                <w:rFonts w:eastAsia="Times New Roman"/>
                <w:b/>
                <w:noProof/>
                <w:sz w:val="18"/>
              </w:rPr>
            </w:pPr>
          </w:p>
        </w:tc>
        <w:tc>
          <w:tcPr>
            <w:tcW w:w="1546" w:type="dxa"/>
            <w:vMerge/>
            <w:vAlign w:val="center"/>
            <w:hideMark/>
          </w:tcPr>
          <w:p w14:paraId="22462046" w14:textId="77777777" w:rsidR="00025543" w:rsidRDefault="00025543">
            <w:pPr>
              <w:spacing w:before="0" w:after="0" w:line="240" w:lineRule="auto"/>
              <w:rPr>
                <w:rFonts w:eastAsia="Times New Roman"/>
                <w:b/>
                <w:noProof/>
                <w:sz w:val="18"/>
              </w:rPr>
            </w:pPr>
          </w:p>
        </w:tc>
        <w:tc>
          <w:tcPr>
            <w:tcW w:w="1799" w:type="dxa"/>
            <w:vMerge/>
            <w:vAlign w:val="center"/>
            <w:hideMark/>
          </w:tcPr>
          <w:p w14:paraId="7750DDDD" w14:textId="77777777" w:rsidR="00025543" w:rsidRDefault="00025543">
            <w:pPr>
              <w:spacing w:before="0" w:after="0" w:line="240" w:lineRule="auto"/>
              <w:rPr>
                <w:rFonts w:eastAsia="Times New Roman"/>
                <w:b/>
                <w:noProof/>
                <w:sz w:val="18"/>
              </w:rPr>
            </w:pPr>
          </w:p>
        </w:tc>
        <w:tc>
          <w:tcPr>
            <w:tcW w:w="988" w:type="dxa"/>
            <w:shd w:val="clear" w:color="auto" w:fill="BDD7EE"/>
            <w:vAlign w:val="center"/>
            <w:hideMark/>
          </w:tcPr>
          <w:p w14:paraId="745C6F94" w14:textId="77777777" w:rsidR="00025543" w:rsidRDefault="007E3A2F">
            <w:pPr>
              <w:pStyle w:val="P68B1DB1-Normal9"/>
              <w:spacing w:before="0" w:after="0" w:line="240" w:lineRule="auto"/>
              <w:jc w:val="center"/>
              <w:rPr>
                <w:noProof/>
              </w:rPr>
            </w:pPr>
            <w:r>
              <w:rPr>
                <w:noProof/>
              </w:rPr>
              <w:t>Unité de mesure</w:t>
            </w:r>
          </w:p>
        </w:tc>
        <w:tc>
          <w:tcPr>
            <w:tcW w:w="988" w:type="dxa"/>
            <w:shd w:val="clear" w:color="auto" w:fill="BDD7EE"/>
            <w:vAlign w:val="center"/>
            <w:hideMark/>
          </w:tcPr>
          <w:p w14:paraId="19316A31" w14:textId="77777777" w:rsidR="00025543" w:rsidRDefault="007E3A2F">
            <w:pPr>
              <w:pStyle w:val="P68B1DB1-Normal9"/>
              <w:spacing w:before="0" w:after="0" w:line="240" w:lineRule="auto"/>
              <w:jc w:val="center"/>
              <w:rPr>
                <w:noProof/>
              </w:rPr>
            </w:pPr>
            <w:r>
              <w:rPr>
                <w:noProof/>
              </w:rPr>
              <w:t xml:space="preserve">Scénario de référence </w:t>
            </w:r>
          </w:p>
        </w:tc>
        <w:tc>
          <w:tcPr>
            <w:tcW w:w="988" w:type="dxa"/>
            <w:shd w:val="clear" w:color="auto" w:fill="BDD7EE"/>
            <w:vAlign w:val="center"/>
            <w:hideMark/>
          </w:tcPr>
          <w:p w14:paraId="17C3A329" w14:textId="77777777" w:rsidR="00025543" w:rsidRDefault="007E3A2F">
            <w:pPr>
              <w:pStyle w:val="P68B1DB1-Normal9"/>
              <w:spacing w:before="0" w:after="0" w:line="240" w:lineRule="auto"/>
              <w:jc w:val="center"/>
              <w:rPr>
                <w:noProof/>
              </w:rPr>
            </w:pPr>
            <w:r>
              <w:rPr>
                <w:noProof/>
              </w:rPr>
              <w:t xml:space="preserve">Objectif </w:t>
            </w:r>
          </w:p>
        </w:tc>
        <w:tc>
          <w:tcPr>
            <w:tcW w:w="1077" w:type="dxa"/>
            <w:shd w:val="clear" w:color="auto" w:fill="BDD7EE"/>
            <w:vAlign w:val="center"/>
            <w:hideMark/>
          </w:tcPr>
          <w:p w14:paraId="475708B4" w14:textId="77777777" w:rsidR="00025543" w:rsidRDefault="007E3A2F">
            <w:pPr>
              <w:pStyle w:val="P68B1DB1-Normal9"/>
              <w:spacing w:before="0" w:after="0" w:line="240" w:lineRule="auto"/>
              <w:jc w:val="center"/>
              <w:rPr>
                <w:noProof/>
              </w:rPr>
            </w:pPr>
            <w:r>
              <w:rPr>
                <w:noProof/>
              </w:rPr>
              <w:t>Trimestre</w:t>
            </w:r>
          </w:p>
        </w:tc>
        <w:tc>
          <w:tcPr>
            <w:tcW w:w="658" w:type="dxa"/>
            <w:shd w:val="clear" w:color="auto" w:fill="BDD7EE"/>
            <w:vAlign w:val="center"/>
            <w:hideMark/>
          </w:tcPr>
          <w:p w14:paraId="70F5ACB1" w14:textId="77777777" w:rsidR="00025543" w:rsidRDefault="007E3A2F">
            <w:pPr>
              <w:pStyle w:val="P68B1DB1-Normal9"/>
              <w:spacing w:before="0" w:after="0" w:line="240" w:lineRule="auto"/>
              <w:jc w:val="center"/>
              <w:rPr>
                <w:noProof/>
              </w:rPr>
            </w:pPr>
            <w:r>
              <w:rPr>
                <w:noProof/>
              </w:rPr>
              <w:t>Année</w:t>
            </w:r>
          </w:p>
        </w:tc>
        <w:tc>
          <w:tcPr>
            <w:tcW w:w="4128" w:type="dxa"/>
            <w:vMerge/>
            <w:vAlign w:val="center"/>
            <w:hideMark/>
          </w:tcPr>
          <w:p w14:paraId="1BEEF132" w14:textId="77777777" w:rsidR="00025543" w:rsidRDefault="00025543">
            <w:pPr>
              <w:spacing w:before="0" w:after="0" w:line="240" w:lineRule="auto"/>
              <w:rPr>
                <w:rFonts w:eastAsia="Times New Roman"/>
                <w:b/>
                <w:noProof/>
                <w:sz w:val="18"/>
              </w:rPr>
            </w:pPr>
          </w:p>
        </w:tc>
      </w:tr>
      <w:tr w:rsidR="00025543" w14:paraId="06C11DBB" w14:textId="77777777">
        <w:trPr>
          <w:trHeight w:val="309"/>
          <w:jc w:val="center"/>
        </w:trPr>
        <w:tc>
          <w:tcPr>
            <w:tcW w:w="654" w:type="dxa"/>
            <w:shd w:val="clear" w:color="auto" w:fill="C6EFCE"/>
            <w:hideMark/>
          </w:tcPr>
          <w:p w14:paraId="1B0C346B" w14:textId="522CA416" w:rsidR="00025543" w:rsidRDefault="007E3A2F">
            <w:pPr>
              <w:pStyle w:val="P68B1DB1-Normal15"/>
              <w:spacing w:before="0" w:after="0" w:line="240" w:lineRule="auto"/>
              <w:jc w:val="center"/>
              <w:rPr>
                <w:noProof/>
              </w:rPr>
            </w:pPr>
            <w:r>
              <w:rPr>
                <w:noProof/>
              </w:rPr>
              <w:t>280</w:t>
            </w:r>
          </w:p>
        </w:tc>
        <w:tc>
          <w:tcPr>
            <w:tcW w:w="1625" w:type="dxa"/>
            <w:shd w:val="clear" w:color="auto" w:fill="C6EFCE"/>
            <w:hideMark/>
          </w:tcPr>
          <w:p w14:paraId="3E43B148" w14:textId="26D71814" w:rsidR="00025543" w:rsidRDefault="007E3A2F">
            <w:pPr>
              <w:spacing w:before="0" w:after="0" w:line="259" w:lineRule="auto"/>
              <w:rPr>
                <w:rFonts w:eastAsia="Times New Roman"/>
                <w:noProof/>
                <w:color w:val="006100"/>
                <w:sz w:val="18"/>
              </w:rPr>
            </w:pPr>
            <w:r>
              <w:rPr>
                <w:rFonts w:eastAsia="Times New Roman"/>
                <w:noProof/>
                <w:color w:val="006100"/>
                <w:sz w:val="18"/>
              </w:rPr>
              <w:t>Réforme 1:</w:t>
            </w:r>
            <w:r>
              <w:rPr>
                <w:noProof/>
              </w:rPr>
              <w:br/>
            </w:r>
            <w:r>
              <w:rPr>
                <w:rFonts w:eastAsia="Times New Roman"/>
                <w:noProof/>
                <w:color w:val="006100"/>
                <w:sz w:val="18"/>
              </w:rPr>
              <w:t>Appui méthodologique à la préparation de projets conformes aux objectifs de l’UE</w:t>
            </w:r>
          </w:p>
        </w:tc>
        <w:tc>
          <w:tcPr>
            <w:tcW w:w="1134" w:type="dxa"/>
            <w:shd w:val="clear" w:color="auto" w:fill="C6EFCE"/>
            <w:hideMark/>
          </w:tcPr>
          <w:p w14:paraId="45F4EAC7" w14:textId="54FCD344" w:rsidR="00025543" w:rsidRDefault="007E3A2F">
            <w:pPr>
              <w:pStyle w:val="P68B1DB1-Normal11"/>
              <w:spacing w:before="0" w:after="0" w:line="240" w:lineRule="auto"/>
              <w:rPr>
                <w:noProof/>
                <w:color w:val="004300"/>
              </w:rPr>
            </w:pPr>
            <w:r>
              <w:rPr>
                <w:noProof/>
              </w:rPr>
              <w:t>Étapes</w:t>
            </w:r>
          </w:p>
        </w:tc>
        <w:tc>
          <w:tcPr>
            <w:tcW w:w="1546" w:type="dxa"/>
            <w:shd w:val="clear" w:color="auto" w:fill="C6EFCE"/>
            <w:hideMark/>
          </w:tcPr>
          <w:p w14:paraId="5FDFA30A" w14:textId="2F729A14" w:rsidR="00025543" w:rsidRDefault="007E3A2F">
            <w:pPr>
              <w:pStyle w:val="P68B1DB1-Normal11"/>
              <w:spacing w:before="0" w:after="0" w:line="240" w:lineRule="auto"/>
              <w:rPr>
                <w:noProof/>
              </w:rPr>
            </w:pPr>
            <w:r>
              <w:rPr>
                <w:noProof/>
              </w:rPr>
              <w:t xml:space="preserve">Mise en place du Centre de coordination et de compétences et adoption de son plan de gestion.  </w:t>
            </w:r>
          </w:p>
        </w:tc>
        <w:tc>
          <w:tcPr>
            <w:tcW w:w="1799" w:type="dxa"/>
            <w:shd w:val="clear" w:color="auto" w:fill="C6EFCE"/>
            <w:hideMark/>
          </w:tcPr>
          <w:p w14:paraId="217EB32A" w14:textId="0D9029A8" w:rsidR="00025543" w:rsidRDefault="007E3A2F">
            <w:pPr>
              <w:pStyle w:val="P68B1DB1-Normal11"/>
              <w:spacing w:before="0" w:after="0" w:line="240" w:lineRule="auto"/>
              <w:rPr>
                <w:noProof/>
                <w:color w:val="004300"/>
              </w:rPr>
            </w:pPr>
            <w:r>
              <w:rPr>
                <w:noProof/>
              </w:rPr>
              <w:t>Le Centre de coordination et de compétences est établi et son plan de gestion est adopté.</w:t>
            </w:r>
          </w:p>
        </w:tc>
        <w:tc>
          <w:tcPr>
            <w:tcW w:w="988" w:type="dxa"/>
            <w:shd w:val="clear" w:color="auto" w:fill="C6EFCE"/>
            <w:vAlign w:val="center"/>
          </w:tcPr>
          <w:p w14:paraId="14AC27C1" w14:textId="656A1049" w:rsidR="00025543" w:rsidRDefault="00025543">
            <w:pPr>
              <w:spacing w:before="0" w:after="0" w:line="240" w:lineRule="auto"/>
              <w:jc w:val="center"/>
              <w:rPr>
                <w:rFonts w:eastAsia="Times New Roman"/>
                <w:noProof/>
                <w:color w:val="006100"/>
                <w:sz w:val="18"/>
              </w:rPr>
            </w:pPr>
          </w:p>
        </w:tc>
        <w:tc>
          <w:tcPr>
            <w:tcW w:w="988" w:type="dxa"/>
            <w:shd w:val="clear" w:color="auto" w:fill="C6EFCE"/>
            <w:vAlign w:val="center"/>
          </w:tcPr>
          <w:p w14:paraId="2B7DD442" w14:textId="64E671B2" w:rsidR="00025543" w:rsidRDefault="00025543">
            <w:pPr>
              <w:spacing w:before="0" w:after="0" w:line="240" w:lineRule="auto"/>
              <w:jc w:val="center"/>
              <w:rPr>
                <w:rFonts w:eastAsia="Times New Roman"/>
                <w:noProof/>
                <w:color w:val="006100"/>
                <w:sz w:val="18"/>
              </w:rPr>
            </w:pPr>
          </w:p>
        </w:tc>
        <w:tc>
          <w:tcPr>
            <w:tcW w:w="988" w:type="dxa"/>
            <w:shd w:val="clear" w:color="auto" w:fill="C6EFCE"/>
            <w:vAlign w:val="center"/>
          </w:tcPr>
          <w:p w14:paraId="1544A3D9" w14:textId="21791979" w:rsidR="00025543" w:rsidRDefault="00025543">
            <w:pPr>
              <w:spacing w:before="0" w:after="0" w:line="240" w:lineRule="auto"/>
              <w:jc w:val="center"/>
              <w:rPr>
                <w:rFonts w:eastAsia="Times New Roman"/>
                <w:noProof/>
                <w:color w:val="006100"/>
                <w:sz w:val="18"/>
              </w:rPr>
            </w:pPr>
          </w:p>
        </w:tc>
        <w:tc>
          <w:tcPr>
            <w:tcW w:w="1077" w:type="dxa"/>
            <w:shd w:val="clear" w:color="auto" w:fill="C6EFCE"/>
            <w:vAlign w:val="center"/>
            <w:hideMark/>
          </w:tcPr>
          <w:p w14:paraId="054E7455" w14:textId="0CCA7FF1" w:rsidR="00025543" w:rsidRDefault="007E3A2F">
            <w:pPr>
              <w:pStyle w:val="P68B1DB1-Normal11"/>
              <w:spacing w:before="0" w:after="0" w:line="240" w:lineRule="auto"/>
              <w:jc w:val="center"/>
              <w:rPr>
                <w:noProof/>
                <w:color w:val="004300"/>
              </w:rPr>
            </w:pPr>
            <w:r>
              <w:rPr>
                <w:noProof/>
              </w:rPr>
              <w:t>TRIMESTRE 4</w:t>
            </w:r>
          </w:p>
        </w:tc>
        <w:tc>
          <w:tcPr>
            <w:tcW w:w="658" w:type="dxa"/>
            <w:shd w:val="clear" w:color="auto" w:fill="C6EFCE"/>
            <w:vAlign w:val="center"/>
            <w:hideMark/>
          </w:tcPr>
          <w:p w14:paraId="2DD192B5" w14:textId="08878B96" w:rsidR="00025543" w:rsidRDefault="007E3A2F">
            <w:pPr>
              <w:pStyle w:val="P68B1DB1-Normal11"/>
              <w:spacing w:before="0" w:after="0" w:line="240" w:lineRule="auto"/>
              <w:jc w:val="center"/>
              <w:rPr>
                <w:noProof/>
                <w:color w:val="004300"/>
              </w:rPr>
            </w:pPr>
            <w:r>
              <w:rPr>
                <w:noProof/>
              </w:rPr>
              <w:t>2023</w:t>
            </w:r>
          </w:p>
        </w:tc>
        <w:tc>
          <w:tcPr>
            <w:tcW w:w="4128" w:type="dxa"/>
            <w:shd w:val="clear" w:color="auto" w:fill="C6EFCE"/>
            <w:vAlign w:val="center"/>
            <w:hideMark/>
          </w:tcPr>
          <w:p w14:paraId="29C94B39" w14:textId="77777777" w:rsidR="00025543" w:rsidRDefault="007E3A2F">
            <w:pPr>
              <w:pStyle w:val="P68B1DB1-Normal11"/>
              <w:spacing w:line="259" w:lineRule="auto"/>
              <w:rPr>
                <w:noProof/>
              </w:rPr>
            </w:pPr>
            <w:r>
              <w:rPr>
                <w:noProof/>
              </w:rPr>
              <w:t xml:space="preserve">Le Centre de coordination et de compétences est créé pour fournir un soutien méthodologique à la préparation des projets conformément aux objectifs de l’UE. </w:t>
            </w:r>
          </w:p>
          <w:p w14:paraId="5BF5FB93" w14:textId="2A5792FD" w:rsidR="00025543" w:rsidRDefault="007E3A2F">
            <w:pPr>
              <w:pStyle w:val="P68B1DB1-Normal11"/>
              <w:spacing w:before="0" w:after="0" w:line="240" w:lineRule="auto"/>
              <w:rPr>
                <w:noProof/>
                <w:color w:val="004300"/>
              </w:rPr>
            </w:pPr>
            <w:r>
              <w:rPr>
                <w:noProof/>
              </w:rPr>
              <w:t xml:space="preserve">Le plan de gestion comprend une description des activités prévues du Centre ainsi que le calendrier de leur préparation. Les activités comprennent au moins la préparation de documents d’orientation, la formation, la diffusion et le soutien aux autres autorités.   </w:t>
            </w:r>
          </w:p>
        </w:tc>
      </w:tr>
      <w:tr w:rsidR="00025543" w14:paraId="41145D5A" w14:textId="77777777">
        <w:trPr>
          <w:trHeight w:val="309"/>
          <w:jc w:val="center"/>
        </w:trPr>
        <w:tc>
          <w:tcPr>
            <w:tcW w:w="654" w:type="dxa"/>
            <w:shd w:val="clear" w:color="auto" w:fill="C6EFCE"/>
          </w:tcPr>
          <w:p w14:paraId="399E54EB" w14:textId="615F9419" w:rsidR="00025543" w:rsidRDefault="007E3A2F">
            <w:pPr>
              <w:pStyle w:val="P68B1DB1-Normal11"/>
              <w:spacing w:before="0" w:after="0" w:line="240" w:lineRule="auto"/>
              <w:jc w:val="center"/>
              <w:rPr>
                <w:noProof/>
              </w:rPr>
            </w:pPr>
            <w:r>
              <w:rPr>
                <w:noProof/>
              </w:rPr>
              <w:t>281</w:t>
            </w:r>
          </w:p>
        </w:tc>
        <w:tc>
          <w:tcPr>
            <w:tcW w:w="1625" w:type="dxa"/>
            <w:shd w:val="clear" w:color="auto" w:fill="C6EFCE"/>
          </w:tcPr>
          <w:p w14:paraId="0A2C87E0" w14:textId="13543B73" w:rsidR="00025543" w:rsidRDefault="007E3A2F">
            <w:pPr>
              <w:pStyle w:val="P68B1DB1-Normal11"/>
              <w:spacing w:before="0" w:after="0" w:line="240" w:lineRule="auto"/>
              <w:rPr>
                <w:noProof/>
                <w:color w:val="004300"/>
              </w:rPr>
            </w:pPr>
            <w:r>
              <w:rPr>
                <w:noProof/>
              </w:rPr>
              <w:t xml:space="preserve">Réforme 2: Soutien méthodologique et modernisation des investissements publics </w:t>
            </w:r>
          </w:p>
        </w:tc>
        <w:tc>
          <w:tcPr>
            <w:tcW w:w="1134" w:type="dxa"/>
            <w:shd w:val="clear" w:color="auto" w:fill="C6EFCE"/>
          </w:tcPr>
          <w:p w14:paraId="6965614F" w14:textId="4A15DEC8" w:rsidR="00025543" w:rsidRDefault="007E3A2F">
            <w:pPr>
              <w:pStyle w:val="P68B1DB1-Normal11"/>
              <w:spacing w:before="0" w:after="0" w:line="240" w:lineRule="auto"/>
              <w:rPr>
                <w:noProof/>
                <w:color w:val="004300"/>
              </w:rPr>
            </w:pPr>
            <w:r>
              <w:rPr>
                <w:noProof/>
              </w:rPr>
              <w:t>Étapes</w:t>
            </w:r>
          </w:p>
        </w:tc>
        <w:tc>
          <w:tcPr>
            <w:tcW w:w="1546" w:type="dxa"/>
            <w:shd w:val="clear" w:color="auto" w:fill="C6EFCE"/>
          </w:tcPr>
          <w:p w14:paraId="7152F1BB" w14:textId="48A05E27" w:rsidR="00025543" w:rsidRDefault="007E3A2F">
            <w:pPr>
              <w:pStyle w:val="P68B1DB1-Normal11"/>
              <w:spacing w:before="0" w:after="0" w:line="240" w:lineRule="auto"/>
              <w:rPr>
                <w:noProof/>
                <w:color w:val="004300"/>
              </w:rPr>
            </w:pPr>
            <w:r>
              <w:rPr>
                <w:noProof/>
              </w:rPr>
              <w:t>Adoption par le gouvernement de la République tchèque d’une nouvelle stratégie en matière de marchés publics et d’un plan d’action pour sa mise en œuvre</w:t>
            </w:r>
          </w:p>
        </w:tc>
        <w:tc>
          <w:tcPr>
            <w:tcW w:w="1799" w:type="dxa"/>
            <w:shd w:val="clear" w:color="auto" w:fill="C6EFCE"/>
          </w:tcPr>
          <w:p w14:paraId="16109191" w14:textId="4B48CAF8" w:rsidR="00025543" w:rsidRDefault="007E3A2F">
            <w:pPr>
              <w:pStyle w:val="P68B1DB1-Normal11"/>
              <w:spacing w:before="0" w:after="0" w:line="240" w:lineRule="auto"/>
              <w:rPr>
                <w:noProof/>
                <w:color w:val="004300"/>
              </w:rPr>
            </w:pPr>
            <w:r>
              <w:rPr>
                <w:noProof/>
              </w:rPr>
              <w:t>La stratégie et le plan d’action adoptés</w:t>
            </w:r>
          </w:p>
        </w:tc>
        <w:tc>
          <w:tcPr>
            <w:tcW w:w="988" w:type="dxa"/>
            <w:shd w:val="clear" w:color="auto" w:fill="C6EFCE"/>
            <w:vAlign w:val="center"/>
          </w:tcPr>
          <w:p w14:paraId="14AD1A41" w14:textId="0396D57E" w:rsidR="00025543" w:rsidRDefault="00025543">
            <w:pPr>
              <w:spacing w:before="0" w:after="0" w:line="240" w:lineRule="auto"/>
              <w:jc w:val="center"/>
              <w:rPr>
                <w:rFonts w:eastAsia="Times New Roman"/>
                <w:noProof/>
                <w:color w:val="006100"/>
                <w:sz w:val="18"/>
              </w:rPr>
            </w:pPr>
          </w:p>
        </w:tc>
        <w:tc>
          <w:tcPr>
            <w:tcW w:w="988" w:type="dxa"/>
            <w:shd w:val="clear" w:color="auto" w:fill="C6EFCE"/>
            <w:vAlign w:val="center"/>
          </w:tcPr>
          <w:p w14:paraId="4FD4FA64" w14:textId="041D58AA" w:rsidR="00025543" w:rsidRDefault="00025543">
            <w:pPr>
              <w:spacing w:before="0" w:after="0" w:line="240" w:lineRule="auto"/>
              <w:jc w:val="center"/>
              <w:rPr>
                <w:rFonts w:eastAsia="Times New Roman"/>
                <w:noProof/>
                <w:color w:val="006100"/>
                <w:sz w:val="18"/>
              </w:rPr>
            </w:pPr>
          </w:p>
        </w:tc>
        <w:tc>
          <w:tcPr>
            <w:tcW w:w="988" w:type="dxa"/>
            <w:shd w:val="clear" w:color="auto" w:fill="C6EFCE"/>
            <w:vAlign w:val="center"/>
          </w:tcPr>
          <w:p w14:paraId="3896B2CF" w14:textId="56E05011" w:rsidR="00025543" w:rsidRDefault="00025543">
            <w:pPr>
              <w:spacing w:before="0" w:after="0" w:line="240" w:lineRule="auto"/>
              <w:jc w:val="center"/>
              <w:rPr>
                <w:rFonts w:eastAsia="Times New Roman"/>
                <w:noProof/>
                <w:color w:val="006100"/>
                <w:sz w:val="18"/>
              </w:rPr>
            </w:pPr>
          </w:p>
        </w:tc>
        <w:tc>
          <w:tcPr>
            <w:tcW w:w="1077" w:type="dxa"/>
            <w:shd w:val="clear" w:color="auto" w:fill="C6EFCE"/>
            <w:vAlign w:val="center"/>
          </w:tcPr>
          <w:p w14:paraId="085678EF" w14:textId="11EBCB9A" w:rsidR="00025543" w:rsidRDefault="007E3A2F">
            <w:pPr>
              <w:pStyle w:val="P68B1DB1-Normal11"/>
              <w:spacing w:before="0" w:after="0" w:line="240" w:lineRule="auto"/>
              <w:jc w:val="center"/>
              <w:rPr>
                <w:noProof/>
                <w:color w:val="004300"/>
              </w:rPr>
            </w:pPr>
            <w:r>
              <w:rPr>
                <w:noProof/>
              </w:rPr>
              <w:t>TRIMESTRE 1</w:t>
            </w:r>
          </w:p>
        </w:tc>
        <w:tc>
          <w:tcPr>
            <w:tcW w:w="658" w:type="dxa"/>
            <w:shd w:val="clear" w:color="auto" w:fill="C6EFCE"/>
            <w:vAlign w:val="center"/>
          </w:tcPr>
          <w:p w14:paraId="786A121B" w14:textId="6300CAE5" w:rsidR="00025543" w:rsidRDefault="007E3A2F">
            <w:pPr>
              <w:pStyle w:val="P68B1DB1-Normal11"/>
              <w:spacing w:before="0" w:after="0" w:line="240" w:lineRule="auto"/>
              <w:jc w:val="center"/>
              <w:rPr>
                <w:noProof/>
                <w:color w:val="004300"/>
              </w:rPr>
            </w:pPr>
            <w:r>
              <w:rPr>
                <w:noProof/>
              </w:rPr>
              <w:t>2024</w:t>
            </w:r>
          </w:p>
        </w:tc>
        <w:tc>
          <w:tcPr>
            <w:tcW w:w="4128" w:type="dxa"/>
            <w:shd w:val="clear" w:color="auto" w:fill="C6EFCE"/>
            <w:vAlign w:val="center"/>
          </w:tcPr>
          <w:p w14:paraId="061BF200" w14:textId="77777777" w:rsidR="00025543" w:rsidRDefault="007E3A2F">
            <w:pPr>
              <w:pStyle w:val="P68B1DB1-Normal11"/>
              <w:spacing w:line="259" w:lineRule="auto"/>
              <w:rPr>
                <w:noProof/>
              </w:rPr>
            </w:pPr>
            <w:r>
              <w:rPr>
                <w:noProof/>
              </w:rPr>
              <w:t xml:space="preserve">Une nouvelle stratégie en matière de marchés publics et un plan d’action pour sa mise en œuvre sont adoptés.  La stratégie et le plan d’action se concentrent au moins sur les priorités suivantes: professionnalisation des pouvoirs adjudicateurs, achats durables, centralisation et achats conjoints. </w:t>
            </w:r>
          </w:p>
          <w:p w14:paraId="1845993C" w14:textId="791F954E" w:rsidR="00025543" w:rsidRDefault="007E3A2F">
            <w:pPr>
              <w:pStyle w:val="P68B1DB1-Normal11"/>
              <w:spacing w:before="0" w:after="0" w:line="240" w:lineRule="auto"/>
              <w:rPr>
                <w:noProof/>
                <w:color w:val="004300"/>
              </w:rPr>
            </w:pPr>
            <w:r>
              <w:rPr>
                <w:noProof/>
              </w:rPr>
              <w:t>Le plan d’action comprend un calendrier et des objectifs pour la mise en œuvre des domaines prioritaires définis dans la stratégie.</w:t>
            </w:r>
          </w:p>
        </w:tc>
      </w:tr>
      <w:tr w:rsidR="00025543" w14:paraId="76AD1470" w14:textId="77777777">
        <w:trPr>
          <w:trHeight w:val="309"/>
          <w:jc w:val="center"/>
        </w:trPr>
        <w:tc>
          <w:tcPr>
            <w:tcW w:w="654" w:type="dxa"/>
            <w:shd w:val="clear" w:color="auto" w:fill="C6EFCE"/>
          </w:tcPr>
          <w:p w14:paraId="77BA376F" w14:textId="571C0791" w:rsidR="00025543" w:rsidRDefault="007E3A2F">
            <w:pPr>
              <w:pStyle w:val="P68B1DB1-Normal11"/>
              <w:spacing w:before="0" w:after="0" w:line="240" w:lineRule="auto"/>
              <w:jc w:val="center"/>
              <w:rPr>
                <w:noProof/>
              </w:rPr>
            </w:pPr>
            <w:r>
              <w:rPr>
                <w:noProof/>
              </w:rPr>
              <w:t>282</w:t>
            </w:r>
          </w:p>
        </w:tc>
        <w:tc>
          <w:tcPr>
            <w:tcW w:w="1625" w:type="dxa"/>
            <w:shd w:val="clear" w:color="auto" w:fill="C6EFCE"/>
          </w:tcPr>
          <w:p w14:paraId="3DED9968" w14:textId="6CB831A9" w:rsidR="00025543" w:rsidRDefault="007E3A2F">
            <w:pPr>
              <w:spacing w:before="0" w:after="0" w:line="240" w:lineRule="auto"/>
              <w:rPr>
                <w:rFonts w:eastAsia="Times New Roman"/>
                <w:noProof/>
                <w:color w:val="004300"/>
                <w:sz w:val="18"/>
              </w:rPr>
            </w:pPr>
            <w:r>
              <w:rPr>
                <w:rFonts w:eastAsia="Times New Roman"/>
                <w:noProof/>
                <w:color w:val="006100"/>
                <w:sz w:val="18"/>
              </w:rPr>
              <w:t>Réforme 3:</w:t>
            </w:r>
            <w:r>
              <w:rPr>
                <w:noProof/>
              </w:rPr>
              <w:br/>
            </w:r>
            <w:r>
              <w:rPr>
                <w:rFonts w:eastAsia="Times New Roman"/>
                <w:noProof/>
                <w:color w:val="006100"/>
                <w:sz w:val="18"/>
              </w:rPr>
              <w:t>Soutien financier à la préparation de projets conformes aux objectifs de l’UE</w:t>
            </w:r>
          </w:p>
        </w:tc>
        <w:tc>
          <w:tcPr>
            <w:tcW w:w="1134" w:type="dxa"/>
            <w:shd w:val="clear" w:color="auto" w:fill="C6EFCE"/>
          </w:tcPr>
          <w:p w14:paraId="5F22FCD3" w14:textId="02E558C2" w:rsidR="00025543" w:rsidRDefault="007E3A2F">
            <w:pPr>
              <w:pStyle w:val="P68B1DB1-Normal11"/>
              <w:spacing w:before="0" w:after="0" w:line="240" w:lineRule="auto"/>
              <w:rPr>
                <w:noProof/>
                <w:color w:val="004300"/>
              </w:rPr>
            </w:pPr>
            <w:r>
              <w:rPr>
                <w:noProof/>
              </w:rPr>
              <w:t>Cible</w:t>
            </w:r>
          </w:p>
        </w:tc>
        <w:tc>
          <w:tcPr>
            <w:tcW w:w="1546" w:type="dxa"/>
            <w:shd w:val="clear" w:color="auto" w:fill="C6EFCE"/>
          </w:tcPr>
          <w:p w14:paraId="5C4A26E2" w14:textId="338AABF8" w:rsidR="00025543" w:rsidRDefault="007E3A2F">
            <w:pPr>
              <w:pStyle w:val="P68B1DB1-Normal11"/>
              <w:spacing w:before="0" w:after="0" w:line="240" w:lineRule="auto"/>
              <w:rPr>
                <w:noProof/>
                <w:color w:val="004300"/>
              </w:rPr>
            </w:pPr>
            <w:r>
              <w:rPr>
                <w:noProof/>
              </w:rPr>
              <w:t>Nombre de projets préparés en vue de leur mise en œuvre</w:t>
            </w:r>
          </w:p>
        </w:tc>
        <w:tc>
          <w:tcPr>
            <w:tcW w:w="1799" w:type="dxa"/>
            <w:shd w:val="clear" w:color="auto" w:fill="C6EFCE"/>
          </w:tcPr>
          <w:p w14:paraId="23C28C16" w14:textId="71D4718D" w:rsidR="00025543" w:rsidRDefault="00025543">
            <w:pPr>
              <w:spacing w:before="0" w:after="0" w:line="240" w:lineRule="auto"/>
              <w:rPr>
                <w:rFonts w:eastAsia="Times New Roman"/>
                <w:noProof/>
                <w:color w:val="006100"/>
                <w:sz w:val="18"/>
              </w:rPr>
            </w:pPr>
          </w:p>
        </w:tc>
        <w:tc>
          <w:tcPr>
            <w:tcW w:w="988" w:type="dxa"/>
            <w:shd w:val="clear" w:color="auto" w:fill="C6EFCE"/>
            <w:vAlign w:val="center"/>
          </w:tcPr>
          <w:p w14:paraId="7984F59D" w14:textId="5709A6B2" w:rsidR="00025543" w:rsidRDefault="007E3A2F">
            <w:pPr>
              <w:pStyle w:val="P68B1DB1-Normal11"/>
              <w:spacing w:before="0" w:after="0" w:line="240" w:lineRule="auto"/>
              <w:jc w:val="center"/>
              <w:rPr>
                <w:noProof/>
                <w:color w:val="004300"/>
              </w:rPr>
            </w:pPr>
            <w:r>
              <w:rPr>
                <w:noProof/>
              </w:rPr>
              <w:t xml:space="preserve">Numéro </w:t>
            </w:r>
          </w:p>
        </w:tc>
        <w:tc>
          <w:tcPr>
            <w:tcW w:w="988" w:type="dxa"/>
            <w:shd w:val="clear" w:color="auto" w:fill="C6EFCE"/>
            <w:vAlign w:val="center"/>
          </w:tcPr>
          <w:p w14:paraId="7CCF8F21" w14:textId="284CD900" w:rsidR="00025543" w:rsidRDefault="007E3A2F">
            <w:pPr>
              <w:pStyle w:val="P68B1DB1-Normal11"/>
              <w:spacing w:before="0" w:after="0" w:line="240" w:lineRule="auto"/>
              <w:jc w:val="center"/>
              <w:rPr>
                <w:noProof/>
                <w:color w:val="004300"/>
              </w:rPr>
            </w:pPr>
            <w:r>
              <w:rPr>
                <w:noProof/>
              </w:rPr>
              <w:t>0</w:t>
            </w:r>
          </w:p>
        </w:tc>
        <w:tc>
          <w:tcPr>
            <w:tcW w:w="988" w:type="dxa"/>
            <w:shd w:val="clear" w:color="auto" w:fill="C6EFCE"/>
            <w:vAlign w:val="center"/>
          </w:tcPr>
          <w:p w14:paraId="41B2D202" w14:textId="272DA2C7" w:rsidR="00025543" w:rsidRDefault="007E3A2F">
            <w:pPr>
              <w:pStyle w:val="P68B1DB1-Normal11"/>
              <w:spacing w:before="0" w:after="0" w:line="240" w:lineRule="auto"/>
              <w:jc w:val="center"/>
              <w:rPr>
                <w:noProof/>
                <w:color w:val="004300"/>
              </w:rPr>
            </w:pPr>
            <w:r>
              <w:rPr>
                <w:noProof/>
              </w:rPr>
              <w:t>30</w:t>
            </w:r>
          </w:p>
        </w:tc>
        <w:tc>
          <w:tcPr>
            <w:tcW w:w="1077" w:type="dxa"/>
            <w:shd w:val="clear" w:color="auto" w:fill="C6EFCE"/>
            <w:vAlign w:val="center"/>
          </w:tcPr>
          <w:p w14:paraId="042F7BA9" w14:textId="1CCA749A" w:rsidR="00025543" w:rsidRDefault="007E3A2F">
            <w:pPr>
              <w:pStyle w:val="P68B1DB1-Normal11"/>
              <w:spacing w:before="0" w:after="0" w:line="240" w:lineRule="auto"/>
              <w:jc w:val="center"/>
              <w:rPr>
                <w:noProof/>
                <w:color w:val="004300"/>
              </w:rPr>
            </w:pPr>
            <w:r>
              <w:rPr>
                <w:noProof/>
              </w:rPr>
              <w:t>TRIMESTRE 3</w:t>
            </w:r>
          </w:p>
        </w:tc>
        <w:tc>
          <w:tcPr>
            <w:tcW w:w="658" w:type="dxa"/>
            <w:shd w:val="clear" w:color="auto" w:fill="C6EFCE"/>
            <w:vAlign w:val="center"/>
          </w:tcPr>
          <w:p w14:paraId="2CA7A935" w14:textId="1DE7F64A" w:rsidR="00025543" w:rsidRDefault="007E3A2F">
            <w:pPr>
              <w:pStyle w:val="P68B1DB1-Normal11"/>
              <w:spacing w:before="0" w:after="0" w:line="240" w:lineRule="auto"/>
              <w:jc w:val="center"/>
              <w:rPr>
                <w:noProof/>
                <w:color w:val="004300"/>
              </w:rPr>
            </w:pPr>
            <w:r>
              <w:rPr>
                <w:noProof/>
              </w:rPr>
              <w:t>2024</w:t>
            </w:r>
          </w:p>
        </w:tc>
        <w:tc>
          <w:tcPr>
            <w:tcW w:w="4128" w:type="dxa"/>
            <w:shd w:val="clear" w:color="auto" w:fill="C6EFCE"/>
            <w:vAlign w:val="center"/>
          </w:tcPr>
          <w:p w14:paraId="66E02D27" w14:textId="77777777" w:rsidR="00025543" w:rsidRDefault="007E3A2F">
            <w:pPr>
              <w:pStyle w:val="P68B1DB1-Normal11"/>
              <w:spacing w:line="259" w:lineRule="auto"/>
              <w:rPr>
                <w:noProof/>
              </w:rPr>
            </w:pPr>
            <w:r>
              <w:rPr>
                <w:noProof/>
              </w:rPr>
              <w:t xml:space="preserve">30 projets seront préparés en vue de leur mise en œuvre. Pas moins de 24 projets sont soumis dans le cadre d’appels à propositions. </w:t>
            </w:r>
          </w:p>
          <w:p w14:paraId="3713338A" w14:textId="41311AD1" w:rsidR="00025543" w:rsidRDefault="007E3A2F">
            <w:pPr>
              <w:pStyle w:val="P68B1DB1-Normal11"/>
              <w:spacing w:before="0" w:after="0" w:line="240" w:lineRule="auto"/>
              <w:rPr>
                <w:noProof/>
                <w:color w:val="004300"/>
              </w:rPr>
            </w:pPr>
            <w:r>
              <w:rPr>
                <w:noProof/>
              </w:rPr>
              <w:t>Les projets en cours d’élaboration doivent être conformes au principe consistant à «ne pas causer de préjudice important» énoncé dans les orientations techniques DNSH (2021/C58/01).</w:t>
            </w:r>
          </w:p>
        </w:tc>
      </w:tr>
      <w:tr w:rsidR="00025543" w14:paraId="17586A04" w14:textId="77777777">
        <w:trPr>
          <w:trHeight w:val="309"/>
          <w:jc w:val="center"/>
        </w:trPr>
        <w:tc>
          <w:tcPr>
            <w:tcW w:w="654" w:type="dxa"/>
            <w:shd w:val="clear" w:color="auto" w:fill="C6EFCE"/>
          </w:tcPr>
          <w:p w14:paraId="645C8F2C" w14:textId="7F688932" w:rsidR="00025543" w:rsidRDefault="007E3A2F">
            <w:pPr>
              <w:pStyle w:val="P68B1DB1-Normal11"/>
              <w:spacing w:before="0" w:after="0" w:line="240" w:lineRule="auto"/>
              <w:jc w:val="center"/>
              <w:rPr>
                <w:noProof/>
              </w:rPr>
            </w:pPr>
            <w:r>
              <w:rPr>
                <w:noProof/>
              </w:rPr>
              <w:t>283</w:t>
            </w:r>
          </w:p>
        </w:tc>
        <w:tc>
          <w:tcPr>
            <w:tcW w:w="1625" w:type="dxa"/>
            <w:shd w:val="clear" w:color="auto" w:fill="C6EFCE"/>
          </w:tcPr>
          <w:p w14:paraId="4DED78C1" w14:textId="540A02CE" w:rsidR="00025543" w:rsidRDefault="007E3A2F">
            <w:pPr>
              <w:spacing w:before="0" w:after="0" w:line="240" w:lineRule="auto"/>
              <w:rPr>
                <w:rFonts w:eastAsia="Times New Roman"/>
                <w:noProof/>
                <w:color w:val="004300"/>
                <w:sz w:val="18"/>
              </w:rPr>
            </w:pPr>
            <w:r>
              <w:rPr>
                <w:rFonts w:eastAsia="Times New Roman"/>
                <w:noProof/>
                <w:color w:val="006100"/>
                <w:sz w:val="18"/>
              </w:rPr>
              <w:t xml:space="preserve">Réforme 3: </w:t>
            </w:r>
            <w:r>
              <w:rPr>
                <w:noProof/>
              </w:rPr>
              <w:br/>
            </w:r>
            <w:r>
              <w:rPr>
                <w:rFonts w:eastAsia="Times New Roman"/>
                <w:noProof/>
                <w:color w:val="006100"/>
                <w:sz w:val="18"/>
              </w:rPr>
              <w:t>Soutien financier à la préparation de projets conformes aux objectifs de l’UE</w:t>
            </w:r>
          </w:p>
        </w:tc>
        <w:tc>
          <w:tcPr>
            <w:tcW w:w="1134" w:type="dxa"/>
            <w:shd w:val="clear" w:color="auto" w:fill="C6EFCE"/>
          </w:tcPr>
          <w:p w14:paraId="2A3E61ED" w14:textId="4F481D6C" w:rsidR="00025543" w:rsidRDefault="007E3A2F">
            <w:pPr>
              <w:pStyle w:val="P68B1DB1-Normal11"/>
              <w:spacing w:before="0" w:after="0" w:line="240" w:lineRule="auto"/>
              <w:rPr>
                <w:noProof/>
                <w:color w:val="004300"/>
              </w:rPr>
            </w:pPr>
            <w:r>
              <w:rPr>
                <w:noProof/>
              </w:rPr>
              <w:t>Cible</w:t>
            </w:r>
          </w:p>
        </w:tc>
        <w:tc>
          <w:tcPr>
            <w:tcW w:w="1546" w:type="dxa"/>
            <w:shd w:val="clear" w:color="auto" w:fill="C6EFCE"/>
          </w:tcPr>
          <w:p w14:paraId="363F8476" w14:textId="1C9D9C31" w:rsidR="00025543" w:rsidRDefault="007E3A2F">
            <w:pPr>
              <w:pStyle w:val="P68B1DB1-Normal11"/>
              <w:spacing w:before="0" w:after="0" w:line="240" w:lineRule="auto"/>
              <w:rPr>
                <w:noProof/>
                <w:color w:val="004300"/>
              </w:rPr>
            </w:pPr>
            <w:r>
              <w:rPr>
                <w:noProof/>
              </w:rPr>
              <w:t>Nombre de projets préparés en vue de leur mise en œuvre</w:t>
            </w:r>
          </w:p>
        </w:tc>
        <w:tc>
          <w:tcPr>
            <w:tcW w:w="1799" w:type="dxa"/>
            <w:shd w:val="clear" w:color="auto" w:fill="C6EFCE"/>
          </w:tcPr>
          <w:p w14:paraId="3DC961A8" w14:textId="46E9984F" w:rsidR="00025543" w:rsidRDefault="00025543">
            <w:pPr>
              <w:spacing w:before="0" w:after="0" w:line="240" w:lineRule="auto"/>
              <w:rPr>
                <w:rFonts w:eastAsia="Times New Roman"/>
                <w:noProof/>
                <w:color w:val="006100"/>
                <w:sz w:val="18"/>
              </w:rPr>
            </w:pPr>
          </w:p>
        </w:tc>
        <w:tc>
          <w:tcPr>
            <w:tcW w:w="988" w:type="dxa"/>
            <w:shd w:val="clear" w:color="auto" w:fill="C6EFCE"/>
            <w:vAlign w:val="center"/>
          </w:tcPr>
          <w:p w14:paraId="71B44C1C" w14:textId="24B31C09" w:rsidR="00025543" w:rsidRDefault="007E3A2F">
            <w:pPr>
              <w:pStyle w:val="P68B1DB1-Normal11"/>
              <w:spacing w:before="0" w:after="0" w:line="240" w:lineRule="auto"/>
              <w:jc w:val="center"/>
              <w:rPr>
                <w:noProof/>
                <w:color w:val="004300"/>
              </w:rPr>
            </w:pPr>
            <w:r>
              <w:rPr>
                <w:noProof/>
              </w:rPr>
              <w:t xml:space="preserve">Numéro </w:t>
            </w:r>
          </w:p>
        </w:tc>
        <w:tc>
          <w:tcPr>
            <w:tcW w:w="988" w:type="dxa"/>
            <w:shd w:val="clear" w:color="auto" w:fill="C6EFCE"/>
            <w:vAlign w:val="center"/>
          </w:tcPr>
          <w:p w14:paraId="2CD8C576" w14:textId="06473959" w:rsidR="00025543" w:rsidRDefault="007E3A2F">
            <w:pPr>
              <w:pStyle w:val="P68B1DB1-Normal11"/>
              <w:spacing w:before="0" w:after="0" w:line="240" w:lineRule="auto"/>
              <w:jc w:val="center"/>
              <w:rPr>
                <w:noProof/>
                <w:color w:val="004300"/>
              </w:rPr>
            </w:pPr>
            <w:r>
              <w:rPr>
                <w:noProof/>
              </w:rPr>
              <w:t>30</w:t>
            </w:r>
          </w:p>
        </w:tc>
        <w:tc>
          <w:tcPr>
            <w:tcW w:w="988" w:type="dxa"/>
            <w:shd w:val="clear" w:color="auto" w:fill="C6EFCE"/>
            <w:vAlign w:val="center"/>
          </w:tcPr>
          <w:p w14:paraId="131BF9F1" w14:textId="756FC805" w:rsidR="00025543" w:rsidRDefault="007E3A2F">
            <w:pPr>
              <w:pStyle w:val="P68B1DB1-Normal11"/>
              <w:spacing w:before="0" w:after="0" w:line="240" w:lineRule="auto"/>
              <w:jc w:val="center"/>
              <w:rPr>
                <w:noProof/>
                <w:color w:val="004300"/>
              </w:rPr>
            </w:pPr>
            <w:r>
              <w:rPr>
                <w:noProof/>
              </w:rPr>
              <w:t>90</w:t>
            </w:r>
          </w:p>
        </w:tc>
        <w:tc>
          <w:tcPr>
            <w:tcW w:w="1077" w:type="dxa"/>
            <w:shd w:val="clear" w:color="auto" w:fill="C6EFCE"/>
            <w:vAlign w:val="center"/>
          </w:tcPr>
          <w:p w14:paraId="33503D43" w14:textId="5C596CF6" w:rsidR="00025543" w:rsidRDefault="007E3A2F">
            <w:pPr>
              <w:pStyle w:val="P68B1DB1-Normal11"/>
              <w:spacing w:before="0" w:after="0" w:line="240" w:lineRule="auto"/>
              <w:jc w:val="center"/>
              <w:rPr>
                <w:noProof/>
                <w:color w:val="004300"/>
              </w:rPr>
            </w:pPr>
            <w:r>
              <w:rPr>
                <w:noProof/>
              </w:rPr>
              <w:t>TRIMESTRE 2</w:t>
            </w:r>
          </w:p>
        </w:tc>
        <w:tc>
          <w:tcPr>
            <w:tcW w:w="658" w:type="dxa"/>
            <w:shd w:val="clear" w:color="auto" w:fill="C6EFCE"/>
            <w:vAlign w:val="center"/>
          </w:tcPr>
          <w:p w14:paraId="284AFB59" w14:textId="6DB61106" w:rsidR="00025543" w:rsidRDefault="007E3A2F">
            <w:pPr>
              <w:pStyle w:val="P68B1DB1-Normal11"/>
              <w:spacing w:before="0" w:after="0" w:line="240" w:lineRule="auto"/>
              <w:jc w:val="center"/>
              <w:rPr>
                <w:noProof/>
                <w:color w:val="004300"/>
              </w:rPr>
            </w:pPr>
            <w:r>
              <w:rPr>
                <w:noProof/>
              </w:rPr>
              <w:t>2026</w:t>
            </w:r>
          </w:p>
        </w:tc>
        <w:tc>
          <w:tcPr>
            <w:tcW w:w="4128" w:type="dxa"/>
            <w:shd w:val="clear" w:color="auto" w:fill="C6EFCE"/>
            <w:vAlign w:val="center"/>
          </w:tcPr>
          <w:p w14:paraId="7CB81673" w14:textId="77777777" w:rsidR="00025543" w:rsidRDefault="007E3A2F">
            <w:pPr>
              <w:pStyle w:val="P68B1DB1-Normal11"/>
              <w:spacing w:line="259" w:lineRule="auto"/>
              <w:rPr>
                <w:noProof/>
              </w:rPr>
            </w:pPr>
            <w:r>
              <w:rPr>
                <w:noProof/>
              </w:rPr>
              <w:t xml:space="preserve">90 projets seront préparés en vue de leur mise en œuvre. Pas moins de 72 projets sont soumis dans le cadre d’appels à propositions. </w:t>
            </w:r>
          </w:p>
          <w:p w14:paraId="5F994E29" w14:textId="3D4242F9" w:rsidR="00025543" w:rsidRDefault="007E3A2F">
            <w:pPr>
              <w:pStyle w:val="P68B1DB1-Normal11"/>
              <w:spacing w:before="0" w:after="0" w:line="240" w:lineRule="auto"/>
              <w:rPr>
                <w:noProof/>
                <w:color w:val="004300"/>
              </w:rPr>
            </w:pPr>
            <w:r>
              <w:rPr>
                <w:noProof/>
              </w:rPr>
              <w:t>Les projets en cours d’élaboration doivent être conformes au principe consistant à «ne pas causer de préjudice important» énoncé dans les orientations techniques DNSH (2021/C58/01).</w:t>
            </w:r>
          </w:p>
        </w:tc>
      </w:tr>
      <w:tr w:rsidR="00025543" w14:paraId="0A798DFB" w14:textId="77777777">
        <w:trPr>
          <w:trHeight w:val="309"/>
          <w:jc w:val="center"/>
        </w:trPr>
        <w:tc>
          <w:tcPr>
            <w:tcW w:w="654" w:type="dxa"/>
            <w:shd w:val="clear" w:color="auto" w:fill="C6EFCE"/>
          </w:tcPr>
          <w:p w14:paraId="5B4AD3E6" w14:textId="45B94C9D" w:rsidR="00025543" w:rsidRDefault="007E3A2F">
            <w:pPr>
              <w:pStyle w:val="P68B1DB1-Normal11"/>
              <w:spacing w:before="0" w:after="0" w:line="240" w:lineRule="auto"/>
              <w:jc w:val="center"/>
              <w:rPr>
                <w:noProof/>
              </w:rPr>
            </w:pPr>
            <w:r>
              <w:rPr>
                <w:noProof/>
              </w:rPr>
              <w:t>284</w:t>
            </w:r>
          </w:p>
        </w:tc>
        <w:tc>
          <w:tcPr>
            <w:tcW w:w="1625" w:type="dxa"/>
            <w:shd w:val="clear" w:color="auto" w:fill="C6EFCE"/>
          </w:tcPr>
          <w:p w14:paraId="2DEBE4B3" w14:textId="77777777" w:rsidR="00025543" w:rsidRDefault="007E3A2F">
            <w:pPr>
              <w:pStyle w:val="P68B1DB1-Normal11"/>
              <w:spacing w:before="0" w:after="0" w:line="259" w:lineRule="auto"/>
              <w:rPr>
                <w:noProof/>
              </w:rPr>
            </w:pPr>
            <w:r>
              <w:rPr>
                <w:noProof/>
              </w:rPr>
              <w:t xml:space="preserve">Réforme 4: </w:t>
            </w:r>
          </w:p>
          <w:p w14:paraId="60B00774" w14:textId="4DB177B9" w:rsidR="00025543" w:rsidRDefault="007E3A2F">
            <w:pPr>
              <w:pStyle w:val="P68B1DB1-Normal11"/>
              <w:spacing w:before="0" w:after="0" w:line="240" w:lineRule="auto"/>
              <w:rPr>
                <w:noProof/>
                <w:color w:val="004300"/>
              </w:rPr>
            </w:pPr>
            <w:r>
              <w:rPr>
                <w:noProof/>
              </w:rPr>
              <w:t>Accroître l’efficacité et améliorer la mise en œuvre du plan pour la reprise et la résilience</w:t>
            </w:r>
          </w:p>
        </w:tc>
        <w:tc>
          <w:tcPr>
            <w:tcW w:w="1134" w:type="dxa"/>
            <w:shd w:val="clear" w:color="auto" w:fill="C6EFCE"/>
          </w:tcPr>
          <w:p w14:paraId="5C1AD25E" w14:textId="2C4AE619" w:rsidR="00025543" w:rsidRDefault="007E3A2F">
            <w:pPr>
              <w:pStyle w:val="P68B1DB1-Normal11"/>
              <w:spacing w:before="0" w:after="0" w:line="240" w:lineRule="auto"/>
              <w:rPr>
                <w:noProof/>
                <w:color w:val="004300"/>
              </w:rPr>
            </w:pPr>
            <w:r>
              <w:rPr>
                <w:noProof/>
              </w:rPr>
              <w:t>Étapes</w:t>
            </w:r>
          </w:p>
        </w:tc>
        <w:tc>
          <w:tcPr>
            <w:tcW w:w="1546" w:type="dxa"/>
            <w:shd w:val="clear" w:color="auto" w:fill="C6EFCE"/>
          </w:tcPr>
          <w:p w14:paraId="0C054934" w14:textId="506A2A84" w:rsidR="00025543" w:rsidRDefault="007E3A2F">
            <w:pPr>
              <w:pStyle w:val="P68B1DB1-Normal11"/>
              <w:spacing w:before="0" w:after="0" w:line="240" w:lineRule="auto"/>
              <w:rPr>
                <w:noProof/>
                <w:color w:val="004300"/>
              </w:rPr>
            </w:pPr>
            <w:r>
              <w:rPr>
                <w:noProof/>
              </w:rPr>
              <w:t>Approbation d’une résolution du gouvernement sur le renforcement de la capacité administrative pour la mise en œuvre du plan national pour la reprise et la résilience (décision de systématisation) et approbation du budget correspondant</w:t>
            </w:r>
          </w:p>
        </w:tc>
        <w:tc>
          <w:tcPr>
            <w:tcW w:w="1799" w:type="dxa"/>
            <w:shd w:val="clear" w:color="auto" w:fill="C6EFCE"/>
          </w:tcPr>
          <w:p w14:paraId="41D5F654" w14:textId="17BCC31A" w:rsidR="00025543" w:rsidRDefault="007E3A2F">
            <w:pPr>
              <w:pStyle w:val="P68B1DB1-Normal11"/>
              <w:spacing w:before="0" w:after="0" w:line="240" w:lineRule="auto"/>
              <w:rPr>
                <w:noProof/>
                <w:color w:val="004300"/>
              </w:rPr>
            </w:pPr>
            <w:r>
              <w:rPr>
                <w:noProof/>
              </w:rPr>
              <w:t xml:space="preserve">Décision du gouvernement approuvée sur le renforcement de la capacité administrative pour la mise en œuvre du plan et du budget correspondant </w:t>
            </w:r>
          </w:p>
        </w:tc>
        <w:tc>
          <w:tcPr>
            <w:tcW w:w="988" w:type="dxa"/>
            <w:shd w:val="clear" w:color="auto" w:fill="C6EFCE"/>
            <w:vAlign w:val="center"/>
          </w:tcPr>
          <w:p w14:paraId="4857D553" w14:textId="77777777" w:rsidR="00025543" w:rsidRDefault="00025543">
            <w:pPr>
              <w:spacing w:before="0" w:after="0" w:line="240" w:lineRule="auto"/>
              <w:jc w:val="center"/>
              <w:rPr>
                <w:rFonts w:eastAsia="Times New Roman"/>
                <w:noProof/>
                <w:color w:val="004300"/>
                <w:sz w:val="18"/>
              </w:rPr>
            </w:pPr>
          </w:p>
        </w:tc>
        <w:tc>
          <w:tcPr>
            <w:tcW w:w="988" w:type="dxa"/>
            <w:shd w:val="clear" w:color="auto" w:fill="C6EFCE"/>
            <w:vAlign w:val="center"/>
          </w:tcPr>
          <w:p w14:paraId="6C9F9EB3" w14:textId="77777777" w:rsidR="00025543" w:rsidRDefault="00025543">
            <w:pPr>
              <w:spacing w:before="0" w:after="0" w:line="240" w:lineRule="auto"/>
              <w:jc w:val="center"/>
              <w:rPr>
                <w:rFonts w:eastAsia="Times New Roman"/>
                <w:noProof/>
                <w:color w:val="004300"/>
                <w:sz w:val="18"/>
              </w:rPr>
            </w:pPr>
          </w:p>
        </w:tc>
        <w:tc>
          <w:tcPr>
            <w:tcW w:w="988" w:type="dxa"/>
            <w:shd w:val="clear" w:color="auto" w:fill="C6EFCE"/>
            <w:vAlign w:val="center"/>
          </w:tcPr>
          <w:p w14:paraId="42983928" w14:textId="77777777" w:rsidR="00025543" w:rsidRDefault="00025543">
            <w:pPr>
              <w:spacing w:before="0" w:after="0" w:line="240" w:lineRule="auto"/>
              <w:jc w:val="center"/>
              <w:rPr>
                <w:rFonts w:eastAsia="Times New Roman"/>
                <w:noProof/>
                <w:color w:val="004300"/>
                <w:sz w:val="18"/>
              </w:rPr>
            </w:pPr>
          </w:p>
        </w:tc>
        <w:tc>
          <w:tcPr>
            <w:tcW w:w="1077" w:type="dxa"/>
            <w:shd w:val="clear" w:color="auto" w:fill="C6EFCE"/>
            <w:vAlign w:val="center"/>
          </w:tcPr>
          <w:p w14:paraId="64D57E62" w14:textId="2B3132ED" w:rsidR="00025543" w:rsidRDefault="007E3A2F">
            <w:pPr>
              <w:pStyle w:val="P68B1DB1-Normal11"/>
              <w:spacing w:before="0" w:after="0" w:line="240" w:lineRule="auto"/>
              <w:jc w:val="center"/>
              <w:rPr>
                <w:noProof/>
                <w:color w:val="004300"/>
              </w:rPr>
            </w:pPr>
            <w:r>
              <w:rPr>
                <w:noProof/>
              </w:rPr>
              <w:t>TRIMESTRE 3</w:t>
            </w:r>
          </w:p>
        </w:tc>
        <w:tc>
          <w:tcPr>
            <w:tcW w:w="658" w:type="dxa"/>
            <w:shd w:val="clear" w:color="auto" w:fill="C6EFCE"/>
            <w:vAlign w:val="center"/>
          </w:tcPr>
          <w:p w14:paraId="6D5E610C" w14:textId="197B67F2" w:rsidR="00025543" w:rsidRDefault="007E3A2F">
            <w:pPr>
              <w:pStyle w:val="P68B1DB1-Normal11"/>
              <w:spacing w:before="0" w:after="0" w:line="240" w:lineRule="auto"/>
              <w:jc w:val="center"/>
              <w:rPr>
                <w:noProof/>
                <w:color w:val="004300"/>
              </w:rPr>
            </w:pPr>
            <w:r>
              <w:rPr>
                <w:noProof/>
              </w:rPr>
              <w:t>2023</w:t>
            </w:r>
          </w:p>
        </w:tc>
        <w:tc>
          <w:tcPr>
            <w:tcW w:w="4128" w:type="dxa"/>
            <w:shd w:val="clear" w:color="auto" w:fill="C6EFCE"/>
            <w:vAlign w:val="center"/>
          </w:tcPr>
          <w:p w14:paraId="2E4F6B15" w14:textId="77777777" w:rsidR="00025543" w:rsidRDefault="007E3A2F">
            <w:pPr>
              <w:pStyle w:val="P68B1DB1-Normal11"/>
              <w:spacing w:line="259" w:lineRule="auto"/>
              <w:rPr>
                <w:noProof/>
              </w:rPr>
            </w:pPr>
            <w:r>
              <w:rPr>
                <w:noProof/>
              </w:rPr>
              <w:t xml:space="preserve">Une ou plusieurs résolutions du gouvernement ordonnant au ministre de l’intérieur d’accroître la capacité administrative à soutenir la mise en œuvre du plan pour la reprise et la résilience sont approuvées. Elle </w:t>
            </w:r>
          </w:p>
          <w:p w14:paraId="37CBD900" w14:textId="77777777" w:rsidR="00025543" w:rsidRDefault="007E3A2F">
            <w:pPr>
              <w:pStyle w:val="P68B1DB1-ListParagraph31"/>
              <w:numPr>
                <w:ilvl w:val="0"/>
                <w:numId w:val="118"/>
              </w:numPr>
              <w:spacing w:line="252" w:lineRule="auto"/>
              <w:rPr>
                <w:noProof/>
              </w:rPr>
            </w:pPr>
            <w:r>
              <w:rPr>
                <w:noProof/>
              </w:rPr>
              <w:t>inclure la ou les systématisation (s) des postes dans les ministères concernés (propriétaires de composants) et dans les entités chargées de la mise en œuvre;</w:t>
            </w:r>
          </w:p>
          <w:p w14:paraId="22509CB5" w14:textId="77777777" w:rsidR="00025543" w:rsidRDefault="007E3A2F">
            <w:pPr>
              <w:pStyle w:val="P68B1DB1-ListParagraph31"/>
              <w:numPr>
                <w:ilvl w:val="0"/>
                <w:numId w:val="118"/>
              </w:numPr>
              <w:spacing w:line="252" w:lineRule="auto"/>
              <w:rPr>
                <w:noProof/>
              </w:rPr>
            </w:pPr>
            <w:r>
              <w:rPr>
                <w:noProof/>
              </w:rPr>
              <w:t>allouer des fonds pour le préfinancement sur le budget de l’État</w:t>
            </w:r>
          </w:p>
          <w:p w14:paraId="3F1B7524" w14:textId="43A6273D" w:rsidR="00025543" w:rsidRDefault="007E3A2F">
            <w:pPr>
              <w:pStyle w:val="P68B1DB1-ListParagraph31"/>
              <w:numPr>
                <w:ilvl w:val="0"/>
                <w:numId w:val="118"/>
              </w:numPr>
              <w:spacing w:line="252" w:lineRule="auto"/>
              <w:rPr>
                <w:noProof/>
              </w:rPr>
            </w:pPr>
            <w:r>
              <w:rPr>
                <w:noProof/>
              </w:rPr>
              <w:t>accroître la capacité de mise en œuvre de l’OBNL par le recours à un accord pour effectuer des travaux.</w:t>
            </w:r>
          </w:p>
          <w:p w14:paraId="58BDF554" w14:textId="1B69CCBC" w:rsidR="00025543" w:rsidRDefault="007E3A2F">
            <w:pPr>
              <w:pStyle w:val="P68B1DB1-Normal11"/>
              <w:spacing w:before="0" w:after="0" w:line="240" w:lineRule="auto"/>
              <w:rPr>
                <w:noProof/>
                <w:color w:val="004300"/>
              </w:rPr>
            </w:pPr>
            <w:r>
              <w:rPr>
                <w:noProof/>
              </w:rPr>
              <w:t xml:space="preserve">Le financement par le budget national pour le préfinancement des positions allouées par la décision de systématisation est approuvé par le gouvernement. </w:t>
            </w:r>
          </w:p>
        </w:tc>
      </w:tr>
      <w:tr w:rsidR="00025543" w14:paraId="5B1D71FF" w14:textId="77777777">
        <w:trPr>
          <w:trHeight w:val="309"/>
          <w:jc w:val="center"/>
        </w:trPr>
        <w:tc>
          <w:tcPr>
            <w:tcW w:w="654" w:type="dxa"/>
            <w:shd w:val="clear" w:color="auto" w:fill="C6EFCE"/>
          </w:tcPr>
          <w:p w14:paraId="0F5B31FD" w14:textId="122F1DAF" w:rsidR="00025543" w:rsidRDefault="007E3A2F">
            <w:pPr>
              <w:pStyle w:val="P68B1DB1-Normal11"/>
              <w:spacing w:before="0" w:after="0" w:line="240" w:lineRule="auto"/>
              <w:jc w:val="center"/>
              <w:rPr>
                <w:noProof/>
              </w:rPr>
            </w:pPr>
            <w:r>
              <w:rPr>
                <w:noProof/>
              </w:rPr>
              <w:t>285</w:t>
            </w:r>
          </w:p>
        </w:tc>
        <w:tc>
          <w:tcPr>
            <w:tcW w:w="1625" w:type="dxa"/>
            <w:shd w:val="clear" w:color="auto" w:fill="C6EFCE"/>
          </w:tcPr>
          <w:p w14:paraId="5EEA76B0" w14:textId="77777777" w:rsidR="00025543" w:rsidRDefault="007E3A2F">
            <w:pPr>
              <w:pStyle w:val="P68B1DB1-Normal11"/>
              <w:spacing w:before="0" w:after="0" w:line="259" w:lineRule="auto"/>
              <w:rPr>
                <w:noProof/>
              </w:rPr>
            </w:pPr>
            <w:r>
              <w:rPr>
                <w:noProof/>
              </w:rPr>
              <w:t xml:space="preserve">Réforme 4: </w:t>
            </w:r>
          </w:p>
          <w:p w14:paraId="3899703B" w14:textId="63D825DC" w:rsidR="00025543" w:rsidRDefault="007E3A2F">
            <w:pPr>
              <w:pStyle w:val="P68B1DB1-Normal28"/>
              <w:spacing w:before="0" w:after="0" w:line="240" w:lineRule="auto"/>
              <w:rPr>
                <w:rFonts w:eastAsia="Times New Roman"/>
                <w:noProof/>
                <w:color w:val="004300"/>
              </w:rPr>
            </w:pPr>
            <w:r>
              <w:rPr>
                <w:rFonts w:eastAsia="Times New Roman"/>
                <w:noProof/>
              </w:rPr>
              <w:t xml:space="preserve">Accroître l’efficacité et améliorer la mise en œuvre du </w:t>
            </w:r>
            <w:r>
              <w:rPr>
                <w:rFonts w:ascii="Calibri" w:hAnsi="Calibri" w:cs="Calibri"/>
                <w:noProof/>
              </w:rPr>
              <w:t>plan pour la reprise et la résilience</w:t>
            </w:r>
          </w:p>
        </w:tc>
        <w:tc>
          <w:tcPr>
            <w:tcW w:w="1134" w:type="dxa"/>
            <w:shd w:val="clear" w:color="auto" w:fill="C6EFCE"/>
          </w:tcPr>
          <w:p w14:paraId="71735F8C" w14:textId="763166A6" w:rsidR="00025543" w:rsidRDefault="007E3A2F">
            <w:pPr>
              <w:pStyle w:val="P68B1DB1-Normal11"/>
              <w:spacing w:before="0" w:after="0" w:line="240" w:lineRule="auto"/>
              <w:rPr>
                <w:noProof/>
                <w:color w:val="004300"/>
              </w:rPr>
            </w:pPr>
            <w:r>
              <w:rPr>
                <w:noProof/>
              </w:rPr>
              <w:t>Cible</w:t>
            </w:r>
          </w:p>
        </w:tc>
        <w:tc>
          <w:tcPr>
            <w:tcW w:w="1546" w:type="dxa"/>
            <w:shd w:val="clear" w:color="auto" w:fill="C6EFCE"/>
            <w:vAlign w:val="center"/>
          </w:tcPr>
          <w:p w14:paraId="72256F13" w14:textId="603BE690" w:rsidR="00025543" w:rsidRDefault="007E3A2F">
            <w:pPr>
              <w:pStyle w:val="P68B1DB1-Normal11"/>
              <w:spacing w:before="0" w:after="0" w:line="240" w:lineRule="auto"/>
              <w:rPr>
                <w:noProof/>
                <w:color w:val="004300"/>
              </w:rPr>
            </w:pPr>
            <w:r>
              <w:rPr>
                <w:noProof/>
              </w:rPr>
              <w:t>Augmentation du nombre de personnes travaillant sur le plan pour la reprise et la résilience d’ici à 2023</w:t>
            </w:r>
          </w:p>
        </w:tc>
        <w:tc>
          <w:tcPr>
            <w:tcW w:w="1799" w:type="dxa"/>
            <w:shd w:val="clear" w:color="auto" w:fill="C6EFCE"/>
          </w:tcPr>
          <w:p w14:paraId="2123176D" w14:textId="77777777" w:rsidR="00025543" w:rsidRDefault="00025543">
            <w:pPr>
              <w:spacing w:before="0" w:after="0" w:line="240" w:lineRule="auto"/>
              <w:rPr>
                <w:rFonts w:eastAsia="Times New Roman"/>
                <w:noProof/>
                <w:color w:val="004300"/>
                <w:sz w:val="18"/>
              </w:rPr>
            </w:pPr>
          </w:p>
        </w:tc>
        <w:tc>
          <w:tcPr>
            <w:tcW w:w="988" w:type="dxa"/>
            <w:shd w:val="clear" w:color="auto" w:fill="C6EFCE"/>
            <w:vAlign w:val="center"/>
          </w:tcPr>
          <w:p w14:paraId="5A467D3F" w14:textId="7A1B63D2" w:rsidR="00025543" w:rsidRDefault="007E3A2F">
            <w:pPr>
              <w:pStyle w:val="P68B1DB1-Normal11"/>
              <w:spacing w:before="0" w:after="0" w:line="259" w:lineRule="auto"/>
              <w:jc w:val="center"/>
              <w:rPr>
                <w:noProof/>
              </w:rPr>
            </w:pPr>
            <w:r>
              <w:rPr>
                <w:noProof/>
              </w:rPr>
              <w:t xml:space="preserve"> Personnes en équivalent temps plein</w:t>
            </w:r>
          </w:p>
        </w:tc>
        <w:tc>
          <w:tcPr>
            <w:tcW w:w="988" w:type="dxa"/>
            <w:shd w:val="clear" w:color="auto" w:fill="C6EFCE"/>
            <w:vAlign w:val="center"/>
          </w:tcPr>
          <w:p w14:paraId="5D3FD31F" w14:textId="3942FEB2" w:rsidR="00025543" w:rsidRDefault="007E3A2F">
            <w:pPr>
              <w:pStyle w:val="P68B1DB1-Normal11"/>
              <w:spacing w:before="0" w:after="0" w:line="240" w:lineRule="auto"/>
              <w:jc w:val="center"/>
              <w:rPr>
                <w:noProof/>
              </w:rPr>
            </w:pPr>
            <w:r>
              <w:rPr>
                <w:noProof/>
              </w:rPr>
              <w:t>217</w:t>
            </w:r>
          </w:p>
        </w:tc>
        <w:tc>
          <w:tcPr>
            <w:tcW w:w="988" w:type="dxa"/>
            <w:shd w:val="clear" w:color="auto" w:fill="C6EFCE"/>
            <w:vAlign w:val="center"/>
          </w:tcPr>
          <w:p w14:paraId="7493220D" w14:textId="542B77FE" w:rsidR="00025543" w:rsidRDefault="007E3A2F">
            <w:pPr>
              <w:pStyle w:val="P68B1DB1-Normal11"/>
              <w:spacing w:before="0" w:after="0" w:line="240" w:lineRule="auto"/>
              <w:jc w:val="center"/>
              <w:rPr>
                <w:noProof/>
              </w:rPr>
            </w:pPr>
            <w:r>
              <w:rPr>
                <w:noProof/>
              </w:rPr>
              <w:t>338</w:t>
            </w:r>
          </w:p>
        </w:tc>
        <w:tc>
          <w:tcPr>
            <w:tcW w:w="1077" w:type="dxa"/>
            <w:shd w:val="clear" w:color="auto" w:fill="C6EFCE"/>
            <w:vAlign w:val="center"/>
          </w:tcPr>
          <w:p w14:paraId="4B8E4C1A" w14:textId="22A73E84" w:rsidR="00025543" w:rsidRDefault="007E3A2F">
            <w:pPr>
              <w:pStyle w:val="P68B1DB1-Normal11"/>
              <w:spacing w:before="0" w:after="0" w:line="240" w:lineRule="auto"/>
              <w:jc w:val="center"/>
              <w:rPr>
                <w:noProof/>
              </w:rPr>
            </w:pPr>
            <w:r>
              <w:rPr>
                <w:noProof/>
              </w:rPr>
              <w:t>TRIMESTRE 4</w:t>
            </w:r>
          </w:p>
        </w:tc>
        <w:tc>
          <w:tcPr>
            <w:tcW w:w="658" w:type="dxa"/>
            <w:shd w:val="clear" w:color="auto" w:fill="C6EFCE"/>
            <w:vAlign w:val="center"/>
          </w:tcPr>
          <w:p w14:paraId="2D0A5332" w14:textId="05160F5F" w:rsidR="00025543" w:rsidRDefault="007E3A2F">
            <w:pPr>
              <w:pStyle w:val="P68B1DB1-Normal11"/>
              <w:spacing w:before="0" w:after="0" w:line="240" w:lineRule="auto"/>
              <w:jc w:val="center"/>
              <w:rPr>
                <w:noProof/>
              </w:rPr>
            </w:pPr>
            <w:r>
              <w:rPr>
                <w:noProof/>
              </w:rPr>
              <w:t>2023</w:t>
            </w:r>
          </w:p>
        </w:tc>
        <w:tc>
          <w:tcPr>
            <w:tcW w:w="4128" w:type="dxa"/>
            <w:shd w:val="clear" w:color="auto" w:fill="C6EFCE"/>
            <w:vAlign w:val="center"/>
          </w:tcPr>
          <w:p w14:paraId="00265F2A" w14:textId="46C4716D" w:rsidR="00025543" w:rsidRDefault="007E3A2F">
            <w:pPr>
              <w:pStyle w:val="P68B1DB1-Normal11"/>
              <w:spacing w:before="0" w:after="0" w:line="259" w:lineRule="auto"/>
              <w:rPr>
                <w:noProof/>
              </w:rPr>
            </w:pPr>
            <w:r>
              <w:rPr>
                <w:noProof/>
              </w:rPr>
              <w:t>Au moins 338 équivalents temps plein travailleront dans le cadre du plan pour la reprise et la résilience.</w:t>
            </w:r>
          </w:p>
        </w:tc>
      </w:tr>
      <w:tr w:rsidR="00025543" w14:paraId="6DC599B1" w14:textId="77777777">
        <w:trPr>
          <w:trHeight w:val="309"/>
          <w:jc w:val="center"/>
        </w:trPr>
        <w:tc>
          <w:tcPr>
            <w:tcW w:w="654" w:type="dxa"/>
            <w:shd w:val="clear" w:color="auto" w:fill="C6EFCE"/>
          </w:tcPr>
          <w:p w14:paraId="34325DB4" w14:textId="653C0221" w:rsidR="00025543" w:rsidRDefault="007E3A2F">
            <w:pPr>
              <w:pStyle w:val="P68B1DB1-Normal15"/>
              <w:spacing w:before="0" w:after="0" w:line="240" w:lineRule="auto"/>
              <w:jc w:val="center"/>
              <w:rPr>
                <w:noProof/>
              </w:rPr>
            </w:pPr>
            <w:r>
              <w:rPr>
                <w:noProof/>
              </w:rPr>
              <w:t>286</w:t>
            </w:r>
          </w:p>
        </w:tc>
        <w:tc>
          <w:tcPr>
            <w:tcW w:w="1625" w:type="dxa"/>
            <w:shd w:val="clear" w:color="auto" w:fill="C6EFCE"/>
          </w:tcPr>
          <w:p w14:paraId="277B3623" w14:textId="77777777" w:rsidR="00025543" w:rsidRDefault="007E3A2F">
            <w:pPr>
              <w:pStyle w:val="P68B1DB1-Normal11"/>
              <w:spacing w:before="0" w:after="0"/>
              <w:rPr>
                <w:noProof/>
              </w:rPr>
            </w:pPr>
            <w:r>
              <w:rPr>
                <w:noProof/>
              </w:rPr>
              <w:t xml:space="preserve">Réforme 4: </w:t>
            </w:r>
          </w:p>
          <w:p w14:paraId="0B418B60" w14:textId="5BC7A0BE" w:rsidR="00025543" w:rsidRDefault="007E3A2F">
            <w:pPr>
              <w:pStyle w:val="P68B1DB1-Normal11"/>
              <w:spacing w:before="0" w:after="0" w:line="240" w:lineRule="auto"/>
              <w:rPr>
                <w:noProof/>
              </w:rPr>
            </w:pPr>
            <w:r>
              <w:rPr>
                <w:noProof/>
              </w:rPr>
              <w:t>Accroître l’efficacité et améliorer la mise en œuvre du plan pour la reprise et la résilience</w:t>
            </w:r>
          </w:p>
        </w:tc>
        <w:tc>
          <w:tcPr>
            <w:tcW w:w="1134" w:type="dxa"/>
            <w:shd w:val="clear" w:color="auto" w:fill="C6EFCE"/>
          </w:tcPr>
          <w:p w14:paraId="6C8C9234" w14:textId="6D92E120" w:rsidR="00025543" w:rsidRDefault="007E3A2F">
            <w:pPr>
              <w:pStyle w:val="P68B1DB1-Normal11"/>
              <w:spacing w:before="0" w:after="0" w:line="240" w:lineRule="auto"/>
              <w:rPr>
                <w:noProof/>
              </w:rPr>
            </w:pPr>
            <w:r>
              <w:rPr>
                <w:noProof/>
              </w:rPr>
              <w:t>Étapes</w:t>
            </w:r>
          </w:p>
        </w:tc>
        <w:tc>
          <w:tcPr>
            <w:tcW w:w="1546" w:type="dxa"/>
            <w:shd w:val="clear" w:color="auto" w:fill="C6EFCE"/>
          </w:tcPr>
          <w:p w14:paraId="67D1B4CC" w14:textId="36D37100" w:rsidR="00025543" w:rsidRDefault="007E3A2F">
            <w:pPr>
              <w:pStyle w:val="P68B1DB1-Normal11"/>
              <w:spacing w:before="0" w:after="0" w:line="240" w:lineRule="auto"/>
              <w:rPr>
                <w:noProof/>
              </w:rPr>
            </w:pPr>
            <w:r>
              <w:rPr>
                <w:noProof/>
              </w:rPr>
              <w:t>Plan de communication et de médias approuvé pour le plan pour la reprise et la résilience révisé</w:t>
            </w:r>
          </w:p>
        </w:tc>
        <w:tc>
          <w:tcPr>
            <w:tcW w:w="1799" w:type="dxa"/>
            <w:shd w:val="clear" w:color="auto" w:fill="C6EFCE"/>
          </w:tcPr>
          <w:p w14:paraId="7311E321" w14:textId="68A2E7E3" w:rsidR="00025543" w:rsidRDefault="007E3A2F">
            <w:pPr>
              <w:pStyle w:val="P68B1DB1-Normal11"/>
              <w:spacing w:before="0" w:after="0" w:line="240" w:lineRule="auto"/>
              <w:rPr>
                <w:noProof/>
              </w:rPr>
            </w:pPr>
            <w:r>
              <w:rPr>
                <w:noProof/>
              </w:rPr>
              <w:t>Plan de communication et de médias approuvé pour le plan pour la reprise et la résilience révisé</w:t>
            </w:r>
          </w:p>
        </w:tc>
        <w:tc>
          <w:tcPr>
            <w:tcW w:w="988" w:type="dxa"/>
            <w:shd w:val="clear" w:color="auto" w:fill="C6EFCE"/>
            <w:vAlign w:val="center"/>
          </w:tcPr>
          <w:p w14:paraId="10434DD8" w14:textId="2613A622" w:rsidR="00025543" w:rsidRDefault="00025543">
            <w:pPr>
              <w:spacing w:before="0" w:after="0" w:line="240" w:lineRule="auto"/>
              <w:jc w:val="center"/>
              <w:rPr>
                <w:rFonts w:eastAsia="Times New Roman"/>
                <w:noProof/>
                <w:color w:val="006100"/>
                <w:sz w:val="18"/>
              </w:rPr>
            </w:pPr>
          </w:p>
        </w:tc>
        <w:tc>
          <w:tcPr>
            <w:tcW w:w="988" w:type="dxa"/>
            <w:shd w:val="clear" w:color="auto" w:fill="C6EFCE"/>
            <w:vAlign w:val="center"/>
          </w:tcPr>
          <w:p w14:paraId="010E1DD5" w14:textId="10D6574D" w:rsidR="00025543" w:rsidRDefault="00025543">
            <w:pPr>
              <w:spacing w:before="0" w:after="0" w:line="240" w:lineRule="auto"/>
              <w:jc w:val="center"/>
              <w:rPr>
                <w:rFonts w:eastAsia="Times New Roman"/>
                <w:noProof/>
                <w:color w:val="006100"/>
                <w:sz w:val="18"/>
              </w:rPr>
            </w:pPr>
          </w:p>
        </w:tc>
        <w:tc>
          <w:tcPr>
            <w:tcW w:w="988" w:type="dxa"/>
            <w:shd w:val="clear" w:color="auto" w:fill="C6EFCE"/>
            <w:vAlign w:val="center"/>
          </w:tcPr>
          <w:p w14:paraId="159B1700" w14:textId="3E80186A" w:rsidR="00025543" w:rsidRDefault="00025543">
            <w:pPr>
              <w:spacing w:before="0" w:after="0" w:line="240" w:lineRule="auto"/>
              <w:jc w:val="center"/>
              <w:rPr>
                <w:rFonts w:eastAsia="Times New Roman"/>
                <w:noProof/>
                <w:color w:val="006100"/>
                <w:sz w:val="18"/>
              </w:rPr>
            </w:pPr>
          </w:p>
        </w:tc>
        <w:tc>
          <w:tcPr>
            <w:tcW w:w="1077" w:type="dxa"/>
            <w:shd w:val="clear" w:color="auto" w:fill="C6EFCE"/>
            <w:vAlign w:val="center"/>
          </w:tcPr>
          <w:p w14:paraId="79CE0B54" w14:textId="635F0C64" w:rsidR="00025543" w:rsidRDefault="007E3A2F">
            <w:pPr>
              <w:pStyle w:val="P68B1DB1-Normal11"/>
              <w:spacing w:before="0" w:after="0" w:line="240" w:lineRule="auto"/>
              <w:jc w:val="center"/>
              <w:rPr>
                <w:noProof/>
              </w:rPr>
            </w:pPr>
            <w:r>
              <w:rPr>
                <w:noProof/>
              </w:rPr>
              <w:t>TRIMESTRE 1</w:t>
            </w:r>
          </w:p>
        </w:tc>
        <w:tc>
          <w:tcPr>
            <w:tcW w:w="658" w:type="dxa"/>
            <w:shd w:val="clear" w:color="auto" w:fill="C6EFCE"/>
            <w:vAlign w:val="center"/>
          </w:tcPr>
          <w:p w14:paraId="709580EC" w14:textId="506B36BD" w:rsidR="00025543" w:rsidRDefault="007E3A2F">
            <w:pPr>
              <w:pStyle w:val="P68B1DB1-Normal11"/>
              <w:spacing w:before="0" w:after="0" w:line="240" w:lineRule="auto"/>
              <w:jc w:val="center"/>
              <w:rPr>
                <w:noProof/>
              </w:rPr>
            </w:pPr>
            <w:r>
              <w:rPr>
                <w:noProof/>
              </w:rPr>
              <w:t>2024</w:t>
            </w:r>
          </w:p>
        </w:tc>
        <w:tc>
          <w:tcPr>
            <w:tcW w:w="4128" w:type="dxa"/>
            <w:shd w:val="clear" w:color="auto" w:fill="C6EFCE"/>
            <w:vAlign w:val="center"/>
          </w:tcPr>
          <w:p w14:paraId="327FD971" w14:textId="499EBE72" w:rsidR="00025543" w:rsidRDefault="007E3A2F">
            <w:pPr>
              <w:pStyle w:val="P68B1DB1-Normal11"/>
              <w:spacing w:before="0" w:after="0"/>
              <w:rPr>
                <w:noProof/>
              </w:rPr>
            </w:pPr>
            <w:r>
              <w:rPr>
                <w:noProof/>
              </w:rPr>
              <w:t xml:space="preserve">La mise à jour du plan pour les médias et la communication en vue de la révision du plan pour la reprise et la résilience est adoptée. </w:t>
            </w:r>
          </w:p>
        </w:tc>
      </w:tr>
      <w:tr w:rsidR="00025543" w14:paraId="53F51B48" w14:textId="77777777">
        <w:trPr>
          <w:trHeight w:val="309"/>
          <w:jc w:val="center"/>
        </w:trPr>
        <w:tc>
          <w:tcPr>
            <w:tcW w:w="654" w:type="dxa"/>
            <w:shd w:val="clear" w:color="auto" w:fill="C6EFCE"/>
          </w:tcPr>
          <w:p w14:paraId="1F16F287" w14:textId="1E228571" w:rsidR="00025543" w:rsidRDefault="007E3A2F">
            <w:pPr>
              <w:pStyle w:val="P68B1DB1-Normal15"/>
              <w:spacing w:before="0" w:after="0" w:line="240" w:lineRule="auto"/>
              <w:jc w:val="center"/>
              <w:rPr>
                <w:noProof/>
              </w:rPr>
            </w:pPr>
            <w:r>
              <w:rPr>
                <w:noProof/>
              </w:rPr>
              <w:t xml:space="preserve"> 287</w:t>
            </w:r>
          </w:p>
        </w:tc>
        <w:tc>
          <w:tcPr>
            <w:tcW w:w="1625" w:type="dxa"/>
            <w:shd w:val="clear" w:color="auto" w:fill="C6EFCE"/>
          </w:tcPr>
          <w:p w14:paraId="4D4F07B7" w14:textId="793E1147" w:rsidR="00025543" w:rsidRDefault="007E3A2F">
            <w:pPr>
              <w:pStyle w:val="P68B1DB1-Normal11"/>
              <w:spacing w:before="0" w:after="0" w:line="240" w:lineRule="auto"/>
              <w:rPr>
                <w:noProof/>
              </w:rPr>
            </w:pPr>
            <w:r>
              <w:rPr>
                <w:noProof/>
              </w:rPr>
              <w:t xml:space="preserve">Réforme 4: </w:t>
            </w:r>
          </w:p>
          <w:p w14:paraId="4756A7DE" w14:textId="77777777" w:rsidR="00025543" w:rsidRDefault="007E3A2F">
            <w:pPr>
              <w:pStyle w:val="P68B1DB1-Normal11"/>
              <w:spacing w:before="0" w:after="0" w:line="240" w:lineRule="auto"/>
              <w:rPr>
                <w:noProof/>
              </w:rPr>
            </w:pPr>
            <w:r>
              <w:rPr>
                <w:noProof/>
              </w:rPr>
              <w:t>Accroître l’efficacité et améliorer la mise en œuvre du plan national pour la reprise et la résilience</w:t>
            </w:r>
          </w:p>
          <w:p w14:paraId="4E62E375" w14:textId="6272C43E" w:rsidR="00025543" w:rsidRDefault="007E3A2F">
            <w:pPr>
              <w:pStyle w:val="P68B1DB1-Normal11"/>
              <w:spacing w:before="0" w:after="0" w:line="240" w:lineRule="auto"/>
              <w:rPr>
                <w:noProof/>
              </w:rPr>
            </w:pPr>
            <w:r>
              <w:rPr>
                <w:noProof/>
              </w:rPr>
              <w:t xml:space="preserve"> </w:t>
            </w:r>
          </w:p>
        </w:tc>
        <w:tc>
          <w:tcPr>
            <w:tcW w:w="1134" w:type="dxa"/>
            <w:shd w:val="clear" w:color="auto" w:fill="C6EFCE"/>
          </w:tcPr>
          <w:p w14:paraId="42BCE51B" w14:textId="67DF5B22" w:rsidR="00025543" w:rsidRDefault="007E3A2F">
            <w:pPr>
              <w:pStyle w:val="P68B1DB1-Normal11"/>
              <w:spacing w:before="0" w:after="0" w:line="240" w:lineRule="auto"/>
              <w:rPr>
                <w:noProof/>
              </w:rPr>
            </w:pPr>
            <w:r>
              <w:rPr>
                <w:noProof/>
              </w:rPr>
              <w:t>Étapes</w:t>
            </w:r>
          </w:p>
        </w:tc>
        <w:tc>
          <w:tcPr>
            <w:tcW w:w="1546" w:type="dxa"/>
            <w:shd w:val="clear" w:color="auto" w:fill="C6EFCE"/>
          </w:tcPr>
          <w:p w14:paraId="63AE2256" w14:textId="7EB814AB" w:rsidR="00025543" w:rsidRDefault="007E3A2F">
            <w:pPr>
              <w:pStyle w:val="P68B1DB1-Normal11"/>
              <w:spacing w:before="0" w:after="0" w:line="240" w:lineRule="auto"/>
              <w:rPr>
                <w:noProof/>
              </w:rPr>
            </w:pPr>
            <w:r>
              <w:rPr>
                <w:noProof/>
              </w:rPr>
              <w:t>Mise à niveau du système de répertoires (AIS)</w:t>
            </w:r>
          </w:p>
        </w:tc>
        <w:tc>
          <w:tcPr>
            <w:tcW w:w="1799" w:type="dxa"/>
            <w:shd w:val="clear" w:color="auto" w:fill="C6EFCE"/>
          </w:tcPr>
          <w:p w14:paraId="4C3F629D" w14:textId="5A4D168F" w:rsidR="00025543" w:rsidRDefault="00025543">
            <w:pPr>
              <w:spacing w:before="0" w:after="0" w:line="240" w:lineRule="auto"/>
              <w:rPr>
                <w:rFonts w:eastAsia="Times New Roman"/>
                <w:noProof/>
                <w:color w:val="006100"/>
                <w:sz w:val="18"/>
              </w:rPr>
            </w:pPr>
          </w:p>
          <w:p w14:paraId="2A681BCE" w14:textId="18F2CF55" w:rsidR="00025543" w:rsidRDefault="007E3A2F">
            <w:pPr>
              <w:pStyle w:val="P68B1DB1-Normal11"/>
              <w:spacing w:before="0" w:after="0" w:line="240" w:lineRule="auto"/>
              <w:rPr>
                <w:noProof/>
              </w:rPr>
            </w:pPr>
            <w:r>
              <w:rPr>
                <w:noProof/>
              </w:rPr>
              <w:t>Le système de dépôt de données mis à jour (AIS) est mis à la disposition des organismes chargés de la mise en œuvre du PRR</w:t>
            </w:r>
          </w:p>
        </w:tc>
        <w:tc>
          <w:tcPr>
            <w:tcW w:w="988" w:type="dxa"/>
            <w:shd w:val="clear" w:color="auto" w:fill="C6EFCE"/>
            <w:vAlign w:val="center"/>
          </w:tcPr>
          <w:p w14:paraId="76FF6A26" w14:textId="384E2ABD" w:rsidR="00025543" w:rsidRDefault="00025543">
            <w:pPr>
              <w:spacing w:before="0" w:after="0" w:line="240" w:lineRule="auto"/>
              <w:jc w:val="center"/>
              <w:rPr>
                <w:rFonts w:eastAsia="Times New Roman"/>
                <w:noProof/>
                <w:color w:val="006100"/>
                <w:sz w:val="18"/>
              </w:rPr>
            </w:pPr>
          </w:p>
        </w:tc>
        <w:tc>
          <w:tcPr>
            <w:tcW w:w="988" w:type="dxa"/>
            <w:shd w:val="clear" w:color="auto" w:fill="C6EFCE"/>
            <w:vAlign w:val="center"/>
          </w:tcPr>
          <w:p w14:paraId="3F983C79" w14:textId="75BA51E6" w:rsidR="00025543" w:rsidRDefault="00025543">
            <w:pPr>
              <w:spacing w:before="0" w:after="0" w:line="240" w:lineRule="auto"/>
              <w:jc w:val="center"/>
              <w:rPr>
                <w:rFonts w:eastAsia="Times New Roman"/>
                <w:noProof/>
                <w:color w:val="006100"/>
                <w:sz w:val="18"/>
              </w:rPr>
            </w:pPr>
          </w:p>
        </w:tc>
        <w:tc>
          <w:tcPr>
            <w:tcW w:w="988" w:type="dxa"/>
            <w:shd w:val="clear" w:color="auto" w:fill="C6EFCE"/>
            <w:vAlign w:val="center"/>
          </w:tcPr>
          <w:p w14:paraId="4E54D3C9" w14:textId="251D5D83" w:rsidR="00025543" w:rsidRDefault="00025543">
            <w:pPr>
              <w:spacing w:before="0" w:after="0" w:line="240" w:lineRule="auto"/>
              <w:jc w:val="center"/>
              <w:rPr>
                <w:rFonts w:eastAsia="Times New Roman"/>
                <w:noProof/>
                <w:color w:val="006100"/>
                <w:sz w:val="18"/>
              </w:rPr>
            </w:pPr>
          </w:p>
        </w:tc>
        <w:tc>
          <w:tcPr>
            <w:tcW w:w="1077" w:type="dxa"/>
            <w:shd w:val="clear" w:color="auto" w:fill="C6EFCE"/>
            <w:vAlign w:val="center"/>
          </w:tcPr>
          <w:p w14:paraId="274D9A17" w14:textId="0BFCAD60" w:rsidR="00025543" w:rsidRDefault="007E3A2F">
            <w:pPr>
              <w:pStyle w:val="P68B1DB1-Normal11"/>
              <w:spacing w:before="0" w:after="0" w:line="240" w:lineRule="auto"/>
              <w:jc w:val="center"/>
              <w:rPr>
                <w:noProof/>
              </w:rPr>
            </w:pPr>
            <w:r>
              <w:rPr>
                <w:noProof/>
              </w:rPr>
              <w:t>TRIMESTRE 3</w:t>
            </w:r>
          </w:p>
        </w:tc>
        <w:tc>
          <w:tcPr>
            <w:tcW w:w="658" w:type="dxa"/>
            <w:shd w:val="clear" w:color="auto" w:fill="C6EFCE"/>
            <w:vAlign w:val="center"/>
          </w:tcPr>
          <w:p w14:paraId="671D368D" w14:textId="7793EFA6" w:rsidR="00025543" w:rsidRDefault="007E3A2F">
            <w:pPr>
              <w:pStyle w:val="P68B1DB1-Normal11"/>
              <w:spacing w:before="0" w:after="0" w:line="240" w:lineRule="auto"/>
              <w:jc w:val="center"/>
              <w:rPr>
                <w:noProof/>
              </w:rPr>
            </w:pPr>
            <w:r>
              <w:rPr>
                <w:noProof/>
              </w:rPr>
              <w:t>2024</w:t>
            </w:r>
          </w:p>
        </w:tc>
        <w:tc>
          <w:tcPr>
            <w:tcW w:w="4128" w:type="dxa"/>
            <w:shd w:val="clear" w:color="auto" w:fill="C6EFCE"/>
            <w:vAlign w:val="center"/>
          </w:tcPr>
          <w:p w14:paraId="015DA0DB" w14:textId="77777777" w:rsidR="00025543" w:rsidRDefault="007E3A2F">
            <w:pPr>
              <w:pStyle w:val="P68B1DB1-Normal11"/>
              <w:spacing w:before="0" w:after="0" w:line="240" w:lineRule="auto"/>
              <w:rPr>
                <w:noProof/>
              </w:rPr>
            </w:pPr>
            <w:r>
              <w:rPr>
                <w:noProof/>
              </w:rPr>
              <w:t>Le système de stockage des données mis à niveau est en place et opérationnel. Le système comprend, au minimum, les nouveaux éléments suivants:</w:t>
            </w:r>
          </w:p>
          <w:p w14:paraId="7FF0943F" w14:textId="77777777" w:rsidR="00025543" w:rsidRDefault="007E3A2F">
            <w:pPr>
              <w:pStyle w:val="P68B1DB1-Normal11"/>
              <w:spacing w:before="0" w:after="0" w:line="240" w:lineRule="auto"/>
              <w:rPr>
                <w:noProof/>
              </w:rPr>
            </w:pPr>
            <w:r>
              <w:rPr>
                <w:noProof/>
              </w:rPr>
              <w:t xml:space="preserve"> </w:t>
            </w:r>
          </w:p>
          <w:p w14:paraId="4B7438E9" w14:textId="77777777" w:rsidR="00025543" w:rsidRDefault="007E3A2F">
            <w:pPr>
              <w:pStyle w:val="P68B1DB1-ListParagraph31"/>
              <w:numPr>
                <w:ilvl w:val="0"/>
                <w:numId w:val="334"/>
              </w:numPr>
              <w:spacing w:before="0" w:after="0" w:line="240" w:lineRule="auto"/>
              <w:rPr>
                <w:noProof/>
              </w:rPr>
            </w:pPr>
            <w:r>
              <w:rPr>
                <w:noProof/>
              </w:rPr>
              <w:t>Nouveaux jalons et cibles et modification des valeurs intermédiaires/cibles existantes;</w:t>
            </w:r>
          </w:p>
          <w:p w14:paraId="44B829F8" w14:textId="77777777" w:rsidR="00025543" w:rsidRDefault="007E3A2F">
            <w:pPr>
              <w:pStyle w:val="P68B1DB1-ListParagraph31"/>
              <w:numPr>
                <w:ilvl w:val="0"/>
                <w:numId w:val="334"/>
              </w:numPr>
              <w:spacing w:before="0" w:after="0" w:line="240" w:lineRule="auto"/>
              <w:rPr>
                <w:noProof/>
              </w:rPr>
            </w:pPr>
            <w:r>
              <w:rPr>
                <w:noProof/>
              </w:rPr>
              <w:t>Nouvelles fonctionnalités liées à la création de rapports statistiques;</w:t>
            </w:r>
          </w:p>
          <w:p w14:paraId="682EFB70" w14:textId="1BF49686" w:rsidR="00025543" w:rsidRDefault="007E3A2F">
            <w:pPr>
              <w:pStyle w:val="P68B1DB1-ListParagraph31"/>
              <w:numPr>
                <w:ilvl w:val="0"/>
                <w:numId w:val="334"/>
              </w:numPr>
              <w:spacing w:before="0" w:after="0" w:line="240" w:lineRule="auto"/>
              <w:rPr>
                <w:noProof/>
              </w:rPr>
            </w:pPr>
            <w:r>
              <w:rPr>
                <w:noProof/>
              </w:rPr>
              <w:t>développement du système conformément à des exigences supplémentaires en matière de rapports.</w:t>
            </w:r>
          </w:p>
          <w:p w14:paraId="66C2A306" w14:textId="6D70EA8D" w:rsidR="00025543" w:rsidRDefault="007E3A2F">
            <w:pPr>
              <w:pStyle w:val="P68B1DB1-Normal11"/>
              <w:spacing w:before="0" w:after="0" w:line="240" w:lineRule="auto"/>
              <w:rPr>
                <w:noProof/>
              </w:rPr>
            </w:pPr>
            <w:r>
              <w:rPr>
                <w:noProof/>
              </w:rPr>
              <w:t xml:space="preserve"> </w:t>
            </w:r>
          </w:p>
        </w:tc>
      </w:tr>
      <w:tr w:rsidR="00025543" w14:paraId="2783B5B7" w14:textId="77777777">
        <w:trPr>
          <w:trHeight w:val="309"/>
          <w:jc w:val="center"/>
        </w:trPr>
        <w:tc>
          <w:tcPr>
            <w:tcW w:w="654" w:type="dxa"/>
            <w:shd w:val="clear" w:color="auto" w:fill="C6EFCE"/>
          </w:tcPr>
          <w:p w14:paraId="2C1B5E86" w14:textId="458E05C1" w:rsidR="00025543" w:rsidRDefault="007E3A2F">
            <w:pPr>
              <w:pStyle w:val="P68B1DB1-Normal15"/>
              <w:spacing w:before="0" w:after="0" w:line="240" w:lineRule="auto"/>
              <w:jc w:val="center"/>
              <w:rPr>
                <w:noProof/>
              </w:rPr>
            </w:pPr>
            <w:r>
              <w:rPr>
                <w:noProof/>
              </w:rPr>
              <w:t>288</w:t>
            </w:r>
          </w:p>
        </w:tc>
        <w:tc>
          <w:tcPr>
            <w:tcW w:w="1625" w:type="dxa"/>
            <w:shd w:val="clear" w:color="auto" w:fill="C6EFCE"/>
          </w:tcPr>
          <w:p w14:paraId="64B0E259" w14:textId="77777777" w:rsidR="00025543" w:rsidRDefault="007E3A2F">
            <w:pPr>
              <w:pStyle w:val="P68B1DB1-Normal11"/>
              <w:spacing w:before="0" w:after="0" w:line="240" w:lineRule="auto"/>
              <w:rPr>
                <w:noProof/>
              </w:rPr>
            </w:pPr>
            <w:r>
              <w:rPr>
                <w:noProof/>
              </w:rPr>
              <w:t xml:space="preserve">Réforme 4: </w:t>
            </w:r>
          </w:p>
          <w:p w14:paraId="770123BB" w14:textId="77777777" w:rsidR="00025543" w:rsidRDefault="00025543">
            <w:pPr>
              <w:spacing w:before="0" w:after="0" w:line="240" w:lineRule="auto"/>
              <w:rPr>
                <w:rFonts w:eastAsia="Times New Roman"/>
                <w:noProof/>
                <w:color w:val="006100"/>
                <w:sz w:val="18"/>
              </w:rPr>
            </w:pPr>
          </w:p>
          <w:p w14:paraId="70E86EF5" w14:textId="77777777" w:rsidR="00025543" w:rsidRDefault="007E3A2F">
            <w:pPr>
              <w:pStyle w:val="P68B1DB1-Normal11"/>
              <w:spacing w:before="0" w:after="0" w:line="240" w:lineRule="auto"/>
              <w:rPr>
                <w:noProof/>
              </w:rPr>
            </w:pPr>
            <w:r>
              <w:rPr>
                <w:noProof/>
              </w:rPr>
              <w:t>Accroître l’efficacité et améliorer la mise en œuvre du plan national pour la reprise et la résilience</w:t>
            </w:r>
          </w:p>
          <w:p w14:paraId="31060C47" w14:textId="1FF5AC29" w:rsidR="00025543" w:rsidRDefault="007E3A2F">
            <w:pPr>
              <w:pStyle w:val="P68B1DB1-Normal11"/>
              <w:spacing w:before="0" w:after="0" w:line="240" w:lineRule="auto"/>
              <w:rPr>
                <w:noProof/>
              </w:rPr>
            </w:pPr>
            <w:r>
              <w:rPr>
                <w:noProof/>
              </w:rPr>
              <w:t xml:space="preserve"> </w:t>
            </w:r>
          </w:p>
        </w:tc>
        <w:tc>
          <w:tcPr>
            <w:tcW w:w="1134" w:type="dxa"/>
            <w:shd w:val="clear" w:color="auto" w:fill="C6EFCE"/>
          </w:tcPr>
          <w:p w14:paraId="5011D237" w14:textId="2EDA5DD0" w:rsidR="00025543" w:rsidRDefault="007E3A2F">
            <w:pPr>
              <w:pStyle w:val="P68B1DB1-Normal11"/>
              <w:spacing w:before="0" w:after="0" w:line="240" w:lineRule="auto"/>
              <w:rPr>
                <w:noProof/>
              </w:rPr>
            </w:pPr>
            <w:r>
              <w:rPr>
                <w:noProof/>
              </w:rPr>
              <w:t>Cible</w:t>
            </w:r>
          </w:p>
        </w:tc>
        <w:tc>
          <w:tcPr>
            <w:tcW w:w="1546" w:type="dxa"/>
            <w:shd w:val="clear" w:color="auto" w:fill="C6EFCE"/>
          </w:tcPr>
          <w:p w14:paraId="56BA5A53" w14:textId="4DCC4EA3" w:rsidR="00025543" w:rsidRDefault="007E3A2F">
            <w:pPr>
              <w:pStyle w:val="P68B1DB1-Normal11"/>
              <w:spacing w:before="0" w:after="0" w:line="240" w:lineRule="auto"/>
              <w:rPr>
                <w:noProof/>
              </w:rPr>
            </w:pPr>
            <w:r>
              <w:rPr>
                <w:noProof/>
              </w:rPr>
              <w:t>Augmentation du nombre de personnes travaillant sur le plan pour la reprise et la résilience d’ici à 2024</w:t>
            </w:r>
          </w:p>
        </w:tc>
        <w:tc>
          <w:tcPr>
            <w:tcW w:w="1799" w:type="dxa"/>
            <w:shd w:val="clear" w:color="auto" w:fill="C6EFCE"/>
          </w:tcPr>
          <w:p w14:paraId="462813E5" w14:textId="0867A808" w:rsidR="00025543" w:rsidRDefault="00025543">
            <w:pPr>
              <w:spacing w:before="0" w:after="0" w:line="240" w:lineRule="auto"/>
              <w:rPr>
                <w:rFonts w:eastAsia="Times New Roman"/>
                <w:noProof/>
                <w:color w:val="006100"/>
                <w:sz w:val="18"/>
              </w:rPr>
            </w:pPr>
          </w:p>
        </w:tc>
        <w:tc>
          <w:tcPr>
            <w:tcW w:w="988" w:type="dxa"/>
            <w:shd w:val="clear" w:color="auto" w:fill="C6EFCE"/>
            <w:vAlign w:val="center"/>
          </w:tcPr>
          <w:p w14:paraId="585FF066" w14:textId="77777777" w:rsidR="00025543" w:rsidRDefault="007E3A2F">
            <w:pPr>
              <w:pStyle w:val="P68B1DB1-Normal11"/>
              <w:spacing w:before="0" w:after="0" w:line="240" w:lineRule="auto"/>
              <w:jc w:val="center"/>
              <w:rPr>
                <w:noProof/>
              </w:rPr>
            </w:pPr>
            <w:r>
              <w:rPr>
                <w:noProof/>
              </w:rPr>
              <w:t xml:space="preserve"> </w:t>
            </w:r>
          </w:p>
          <w:p w14:paraId="0A9007B2" w14:textId="739666E6" w:rsidR="00025543" w:rsidRDefault="007E3A2F">
            <w:pPr>
              <w:pStyle w:val="P68B1DB1-Normal11"/>
              <w:spacing w:before="0" w:after="0" w:line="240" w:lineRule="auto"/>
              <w:jc w:val="center"/>
              <w:rPr>
                <w:noProof/>
              </w:rPr>
            </w:pPr>
            <w:r>
              <w:rPr>
                <w:noProof/>
              </w:rPr>
              <w:t>Personnes en équivalent temps plein</w:t>
            </w:r>
          </w:p>
        </w:tc>
        <w:tc>
          <w:tcPr>
            <w:tcW w:w="988" w:type="dxa"/>
            <w:shd w:val="clear" w:color="auto" w:fill="C6EFCE"/>
            <w:vAlign w:val="center"/>
          </w:tcPr>
          <w:p w14:paraId="5283E06D" w14:textId="6BF66A55" w:rsidR="00025543" w:rsidRDefault="007E3A2F">
            <w:pPr>
              <w:pStyle w:val="P68B1DB1-Normal11"/>
              <w:spacing w:before="0" w:after="0" w:line="240" w:lineRule="auto"/>
              <w:jc w:val="center"/>
              <w:rPr>
                <w:noProof/>
              </w:rPr>
            </w:pPr>
            <w:r>
              <w:rPr>
                <w:noProof/>
              </w:rPr>
              <w:t>338</w:t>
            </w:r>
          </w:p>
        </w:tc>
        <w:tc>
          <w:tcPr>
            <w:tcW w:w="988" w:type="dxa"/>
            <w:shd w:val="clear" w:color="auto" w:fill="C6EFCE"/>
            <w:vAlign w:val="center"/>
          </w:tcPr>
          <w:p w14:paraId="2845883F" w14:textId="38CA944F" w:rsidR="00025543" w:rsidRDefault="007E3A2F">
            <w:pPr>
              <w:pStyle w:val="P68B1DB1-Normal11"/>
              <w:spacing w:before="0" w:after="0" w:line="240" w:lineRule="auto"/>
              <w:jc w:val="center"/>
              <w:rPr>
                <w:noProof/>
              </w:rPr>
            </w:pPr>
            <w:r>
              <w:rPr>
                <w:noProof/>
              </w:rPr>
              <w:t>470</w:t>
            </w:r>
          </w:p>
        </w:tc>
        <w:tc>
          <w:tcPr>
            <w:tcW w:w="1077" w:type="dxa"/>
            <w:shd w:val="clear" w:color="auto" w:fill="C6EFCE"/>
            <w:vAlign w:val="center"/>
          </w:tcPr>
          <w:p w14:paraId="0E8899C7" w14:textId="08394829" w:rsidR="00025543" w:rsidRDefault="007E3A2F">
            <w:pPr>
              <w:pStyle w:val="P68B1DB1-Normal11"/>
              <w:spacing w:before="0" w:after="0" w:line="240" w:lineRule="auto"/>
              <w:jc w:val="center"/>
              <w:rPr>
                <w:noProof/>
              </w:rPr>
            </w:pPr>
            <w:r>
              <w:rPr>
                <w:noProof/>
              </w:rPr>
              <w:t>TRIMESTRE 4</w:t>
            </w:r>
          </w:p>
        </w:tc>
        <w:tc>
          <w:tcPr>
            <w:tcW w:w="658" w:type="dxa"/>
            <w:shd w:val="clear" w:color="auto" w:fill="C6EFCE"/>
            <w:vAlign w:val="center"/>
          </w:tcPr>
          <w:p w14:paraId="2980264F" w14:textId="189207F1" w:rsidR="00025543" w:rsidRDefault="007E3A2F">
            <w:pPr>
              <w:pStyle w:val="P68B1DB1-Normal11"/>
              <w:spacing w:before="0" w:after="0" w:line="240" w:lineRule="auto"/>
              <w:jc w:val="center"/>
              <w:rPr>
                <w:noProof/>
              </w:rPr>
            </w:pPr>
            <w:r>
              <w:rPr>
                <w:noProof/>
              </w:rPr>
              <w:t>2024</w:t>
            </w:r>
          </w:p>
        </w:tc>
        <w:tc>
          <w:tcPr>
            <w:tcW w:w="4128" w:type="dxa"/>
            <w:shd w:val="clear" w:color="auto" w:fill="C6EFCE"/>
            <w:vAlign w:val="center"/>
          </w:tcPr>
          <w:p w14:paraId="344A7553" w14:textId="3547611F" w:rsidR="00025543" w:rsidRDefault="007E3A2F">
            <w:pPr>
              <w:pStyle w:val="P68B1DB1-Normal11"/>
              <w:spacing w:before="0" w:after="0" w:line="240" w:lineRule="auto"/>
              <w:rPr>
                <w:noProof/>
              </w:rPr>
            </w:pPr>
            <w:r>
              <w:rPr>
                <w:noProof/>
              </w:rPr>
              <w:t>Au moins 470 équivalents temps plein travailleront dans le cadre du plan pour la reprise et la résilience.</w:t>
            </w:r>
          </w:p>
        </w:tc>
      </w:tr>
    </w:tbl>
    <w:p w14:paraId="76517AF8" w14:textId="5CEFAA73" w:rsidR="00025543" w:rsidRDefault="00025543">
      <w:pPr>
        <w:keepNext/>
        <w:spacing w:line="240" w:lineRule="auto"/>
        <w:jc w:val="both"/>
        <w:rPr>
          <w:rFonts w:eastAsia="Times New Roman"/>
          <w:b/>
          <w:noProof/>
          <w:color w:val="000000" w:themeColor="text1"/>
          <w:u w:val="single"/>
        </w:rPr>
      </w:pPr>
    </w:p>
    <w:p w14:paraId="2CB5FD1C" w14:textId="77777777" w:rsidR="00025543" w:rsidRDefault="00025543">
      <w:pPr>
        <w:keepNext/>
        <w:spacing w:line="240" w:lineRule="auto"/>
        <w:jc w:val="both"/>
        <w:rPr>
          <w:rFonts w:eastAsia="Times New Roman"/>
          <w:noProof/>
          <w:color w:val="000000" w:themeColor="text1"/>
        </w:rPr>
      </w:pPr>
    </w:p>
    <w:p w14:paraId="21E3E139" w14:textId="77777777" w:rsidR="00025543" w:rsidRDefault="00025543">
      <w:pPr>
        <w:keepNext/>
        <w:spacing w:line="240" w:lineRule="auto"/>
        <w:rPr>
          <w:noProof/>
        </w:rPr>
        <w:sectPr w:rsidR="00025543" w:rsidSect="003A6FF0">
          <w:headerReference w:type="even" r:id="rId324"/>
          <w:headerReference w:type="default" r:id="rId325"/>
          <w:footerReference w:type="even" r:id="rId326"/>
          <w:footerReference w:type="default" r:id="rId327"/>
          <w:headerReference w:type="first" r:id="rId328"/>
          <w:footerReference w:type="first" r:id="rId329"/>
          <w:pgSz w:w="16839" w:h="11907" w:orient="landscape"/>
          <w:pgMar w:top="1134" w:right="1134" w:bottom="1134" w:left="1134" w:header="567" w:footer="567" w:gutter="0"/>
          <w:cols w:space="720"/>
          <w:docGrid w:linePitch="326"/>
        </w:sectPr>
      </w:pPr>
    </w:p>
    <w:p w14:paraId="4DFECC9D" w14:textId="74C2BFF2" w:rsidR="00025543" w:rsidRDefault="007E3A2F">
      <w:pPr>
        <w:pStyle w:val="P68B1DB1-Normal2"/>
        <w:keepNext/>
        <w:tabs>
          <w:tab w:val="left" w:pos="850"/>
        </w:tabs>
        <w:spacing w:line="240" w:lineRule="auto"/>
        <w:jc w:val="both"/>
        <w:outlineLvl w:val="0"/>
        <w:rPr>
          <w:noProof/>
        </w:rPr>
      </w:pPr>
      <w:r>
        <w:rPr>
          <w:noProof/>
        </w:rPr>
        <w:t xml:space="preserve">V. COMPOSANTE 4.2: Nouveaux instruments de fonds propres pour la promotion de l’esprit d’entreprise et le développement de la Banque tchèque de garantie et de développement (ČMZRB) en tant que banque nationale de développement </w:t>
      </w:r>
    </w:p>
    <w:p w14:paraId="42FC7143" w14:textId="77777777" w:rsidR="00025543" w:rsidRDefault="007E3A2F">
      <w:pPr>
        <w:pStyle w:val="P68B1DB1-Normal3"/>
        <w:spacing w:line="240" w:lineRule="auto"/>
        <w:jc w:val="both"/>
        <w:rPr>
          <w:noProof/>
          <w:color w:val="000000"/>
        </w:rPr>
      </w:pPr>
      <w:r>
        <w:rPr>
          <w:noProof/>
        </w:rPr>
        <w:t xml:space="preserve">Ce volet du plan pour la reprise et la résilience de la République tchèque répond aux </w:t>
      </w:r>
      <w:r>
        <w:rPr>
          <w:noProof/>
          <w:color w:val="000000"/>
        </w:rPr>
        <w:t>défis liés à l’accès des petites et moyennes entreprises (PME) au financement</w:t>
      </w:r>
      <w:r>
        <w:rPr>
          <w:noProof/>
        </w:rPr>
        <w:t>.</w:t>
      </w:r>
    </w:p>
    <w:p w14:paraId="6991E317" w14:textId="3EA908EB" w:rsidR="00025543" w:rsidRDefault="007E3A2F">
      <w:pPr>
        <w:pStyle w:val="P68B1DB1-Normal3"/>
        <w:spacing w:line="240" w:lineRule="auto"/>
        <w:jc w:val="both"/>
        <w:rPr>
          <w:rFonts w:ascii="Calibri" w:hAnsi="Calibri"/>
          <w:noProof/>
          <w:sz w:val="22"/>
        </w:rPr>
      </w:pPr>
      <w:r>
        <w:rPr>
          <w:noProof/>
        </w:rPr>
        <w:t>Les objectifs de ce volet sont d’étendre la gamme de produits de la ČMZRB à un nouvel instrument de quasi-fonds propres et de renforcer les capacités de la ČMZRB pour sa mise en œuvre, y compris la conception de procédures réglementaires internes et de systèmes informatiques. Une partie intégrante de la réforme consiste à mettre à jour la stratégie de la ČMZRB afin d’y inclure des principes de financement durable conformément aux objectifs environnementaux de l’UE, avec la pleine application du principe consistant à «ne pas causer de préjudice important».</w:t>
      </w:r>
    </w:p>
    <w:p w14:paraId="1CC1DBB3" w14:textId="77777777" w:rsidR="00025543" w:rsidRDefault="007E3A2F">
      <w:pPr>
        <w:pStyle w:val="P68B1DB1-Normal3"/>
        <w:spacing w:line="240" w:lineRule="auto"/>
        <w:jc w:val="both"/>
        <w:rPr>
          <w:noProof/>
        </w:rPr>
      </w:pPr>
      <w:r>
        <w:rPr>
          <w:noProof/>
        </w:rPr>
        <w:t>Le volet soutient la mise en œuvre de la recommandation spécifique</w:t>
      </w:r>
      <w:r>
        <w:rPr>
          <w:noProof/>
          <w:color w:val="000000"/>
        </w:rPr>
        <w:t xml:space="preserve"> par pays visant à soutenir les petites et moyennes entreprises en recourant davantage aux instruments financiers pour garantir un soutien de trésorerie (recommandation spécifique par pays</w:t>
      </w:r>
      <w:r>
        <w:rPr>
          <w:noProof/>
        </w:rPr>
        <w:t xml:space="preserve"> no 3 2019).</w:t>
      </w:r>
    </w:p>
    <w:p w14:paraId="72D35BD1" w14:textId="77777777" w:rsidR="00025543" w:rsidRDefault="007E3A2F">
      <w:pPr>
        <w:spacing w:line="276" w:lineRule="auto"/>
        <w:jc w:val="both"/>
        <w:rPr>
          <w:noProof/>
          <w:sz w:val="22"/>
        </w:rPr>
      </w:pPr>
      <w:r>
        <w:rPr>
          <w:noProof/>
        </w:rPr>
        <w:t>Aucune mesure relevant de ce volet ne devrait nuire gravement aux objectifs environnementaux au sens de l’article 17 du règlement (UE) 2020/852, compte tenu de la description des mesures et des mesures d’atténuation prévues dans le plan pour la reprise et la résilience conformément aux orientations techniques de la DNSH (2021/C58/01).</w:t>
      </w:r>
    </w:p>
    <w:p w14:paraId="54161C8C" w14:textId="578CFD8F" w:rsidR="00025543" w:rsidRDefault="00025543">
      <w:pPr>
        <w:spacing w:line="240" w:lineRule="auto"/>
        <w:jc w:val="both"/>
        <w:rPr>
          <w:noProof/>
        </w:rPr>
      </w:pPr>
    </w:p>
    <w:p w14:paraId="6F51FB60" w14:textId="49559D73" w:rsidR="00025543" w:rsidRDefault="007E3A2F">
      <w:pPr>
        <w:pStyle w:val="P68B1DB1-Normal5"/>
        <w:spacing w:line="240" w:lineRule="auto"/>
        <w:jc w:val="both"/>
        <w:rPr>
          <w:i/>
          <w:noProof/>
        </w:rPr>
      </w:pPr>
      <w:r>
        <w:rPr>
          <w:noProof/>
        </w:rPr>
        <w:t>V.1. Description des réformes et des investissements en vue du soutien financier non remboursable</w:t>
      </w:r>
    </w:p>
    <w:p w14:paraId="37258DE2" w14:textId="77777777" w:rsidR="00025543" w:rsidRDefault="007E3A2F">
      <w:pPr>
        <w:pStyle w:val="P68B1DB1-Normal7"/>
        <w:pBdr>
          <w:top w:val="nil"/>
          <w:left w:val="nil"/>
          <w:bottom w:val="nil"/>
          <w:right w:val="nil"/>
          <w:between w:val="nil"/>
        </w:pBdr>
        <w:spacing w:line="240" w:lineRule="auto"/>
        <w:rPr>
          <w:noProof/>
        </w:rPr>
      </w:pPr>
      <w:r>
        <w:rPr>
          <w:noProof/>
        </w:rPr>
        <w:t>Réforme 1: Développement de la Banque tchèque de garantie et de développement en tant que banque nationale de développement</w:t>
      </w:r>
    </w:p>
    <w:p w14:paraId="36C0E241" w14:textId="77777777" w:rsidR="00025543" w:rsidRDefault="007E3A2F">
      <w:pPr>
        <w:pStyle w:val="P68B1DB1-Normal3"/>
        <w:pBdr>
          <w:top w:val="nil"/>
          <w:left w:val="nil"/>
          <w:bottom w:val="nil"/>
          <w:right w:val="nil"/>
          <w:between w:val="nil"/>
        </w:pBdr>
        <w:spacing w:line="240" w:lineRule="auto"/>
        <w:jc w:val="both"/>
        <w:rPr>
          <w:noProof/>
        </w:rPr>
      </w:pPr>
      <w:r>
        <w:rPr>
          <w:noProof/>
        </w:rPr>
        <w:t xml:space="preserve">L’objectif de la réforme est de renforcer la position de la ČMZRB en tant que banque nationale de développement, sa capacité à mettre en œuvre des instruments financiers, en particulier ceux qui soutiennent les objectifs de la transition écologique. </w:t>
      </w:r>
    </w:p>
    <w:p w14:paraId="20B4B893" w14:textId="77777777" w:rsidR="00025543" w:rsidRDefault="007E3A2F">
      <w:pPr>
        <w:pStyle w:val="P68B1DB1-Normal3"/>
        <w:pBdr>
          <w:top w:val="nil"/>
          <w:left w:val="nil"/>
          <w:bottom w:val="nil"/>
          <w:right w:val="nil"/>
          <w:between w:val="nil"/>
        </w:pBdr>
        <w:spacing w:line="240" w:lineRule="auto"/>
        <w:jc w:val="both"/>
        <w:rPr>
          <w:noProof/>
        </w:rPr>
      </w:pPr>
      <w:r>
        <w:rPr>
          <w:noProof/>
        </w:rPr>
        <w:t>La réforme vise à atteindre les objectifs suivants:</w:t>
      </w:r>
    </w:p>
    <w:p w14:paraId="50199487" w14:textId="77777777" w:rsidR="00025543" w:rsidRDefault="007E3A2F">
      <w:pPr>
        <w:pStyle w:val="P68B1DB1-Normal3"/>
        <w:numPr>
          <w:ilvl w:val="0"/>
          <w:numId w:val="154"/>
        </w:numPr>
        <w:pBdr>
          <w:top w:val="nil"/>
          <w:left w:val="nil"/>
          <w:bottom w:val="nil"/>
          <w:right w:val="nil"/>
          <w:between w:val="nil"/>
        </w:pBdr>
        <w:spacing w:line="259" w:lineRule="auto"/>
        <w:ind w:left="360"/>
        <w:contextualSpacing/>
        <w:jc w:val="both"/>
        <w:rPr>
          <w:noProof/>
        </w:rPr>
      </w:pPr>
      <w:r>
        <w:rPr>
          <w:noProof/>
        </w:rPr>
        <w:t>Mise à jour de la stratégie de la ČMZRB afin d’y inclure des principes de financement durable conformes aux objectifs environnementaux de l’UE.</w:t>
      </w:r>
    </w:p>
    <w:p w14:paraId="0063D092" w14:textId="77777777" w:rsidR="00025543" w:rsidRDefault="007E3A2F">
      <w:pPr>
        <w:numPr>
          <w:ilvl w:val="0"/>
          <w:numId w:val="154"/>
        </w:numPr>
        <w:pBdr>
          <w:top w:val="nil"/>
          <w:left w:val="nil"/>
          <w:bottom w:val="nil"/>
          <w:right w:val="nil"/>
          <w:between w:val="nil"/>
        </w:pBdr>
        <w:spacing w:line="259" w:lineRule="auto"/>
        <w:ind w:left="360"/>
        <w:contextualSpacing/>
        <w:jc w:val="both"/>
        <w:rPr>
          <w:noProof/>
        </w:rPr>
      </w:pPr>
      <w:r>
        <w:rPr>
          <w:noProof/>
        </w:rPr>
        <w:t xml:space="preserve">Renforcer les ressources institutionnelles et humaines afin d’assurer une gestion efficace du nouveau type d’instruments financiers, y compris par l’adaptation des procédures réglementaires internes des systèmes informatiques pour le nouveau produit. </w:t>
      </w:r>
    </w:p>
    <w:p w14:paraId="10451622" w14:textId="77777777" w:rsidR="00025543" w:rsidRDefault="007E3A2F">
      <w:pPr>
        <w:pStyle w:val="P68B1DB1-Normal3"/>
        <w:numPr>
          <w:ilvl w:val="0"/>
          <w:numId w:val="154"/>
        </w:numPr>
        <w:pBdr>
          <w:top w:val="nil"/>
          <w:left w:val="nil"/>
          <w:bottom w:val="nil"/>
          <w:right w:val="nil"/>
          <w:between w:val="nil"/>
        </w:pBdr>
        <w:spacing w:line="259" w:lineRule="auto"/>
        <w:ind w:left="360"/>
        <w:contextualSpacing/>
        <w:jc w:val="both"/>
        <w:rPr>
          <w:noProof/>
        </w:rPr>
      </w:pPr>
      <w:r>
        <w:rPr>
          <w:noProof/>
        </w:rPr>
        <w:t xml:space="preserve">Élaboration d’une méthodologie d’évaluation et de sélection des projets </w:t>
      </w:r>
      <w:r>
        <w:rPr>
          <w:noProof/>
          <w:color w:val="000000"/>
        </w:rPr>
        <w:t>conforme aux exigences «Ne pas causer de préjudice important» (DNSH) (2021/C58/01)</w:t>
      </w:r>
      <w:r>
        <w:rPr>
          <w:i/>
          <w:noProof/>
        </w:rPr>
        <w:t xml:space="preserve"> </w:t>
      </w:r>
      <w:r>
        <w:rPr>
          <w:noProof/>
          <w:color w:val="000000"/>
        </w:rPr>
        <w:t>et aux</w:t>
      </w:r>
      <w:r>
        <w:rPr>
          <w:noProof/>
        </w:rPr>
        <w:t xml:space="preserve">critères d’étiquetage écologique établis à l’annexe VI du règlement FRR, permettant de soutenir des activités ayant un coefficient climatique de 40 % ou 100 %. </w:t>
      </w:r>
    </w:p>
    <w:p w14:paraId="456EC675" w14:textId="5A31D3EB" w:rsidR="00025543" w:rsidRDefault="007E3A2F">
      <w:pPr>
        <w:spacing w:line="240" w:lineRule="auto"/>
        <w:jc w:val="both"/>
        <w:rPr>
          <w:noProof/>
        </w:rPr>
      </w:pPr>
      <w:r>
        <w:rPr>
          <w:noProof/>
        </w:rPr>
        <w:t xml:space="preserve">La réforme doit être achevée au plus tard le 31 décembre 2021. </w:t>
      </w:r>
    </w:p>
    <w:p w14:paraId="45C04FE0" w14:textId="77777777" w:rsidR="00025543" w:rsidRDefault="007E3A2F">
      <w:pPr>
        <w:pStyle w:val="P68B1DB1-Normal7"/>
        <w:spacing w:line="240" w:lineRule="auto"/>
        <w:rPr>
          <w:noProof/>
        </w:rPr>
      </w:pPr>
      <w:r>
        <w:rPr>
          <w:noProof/>
        </w:rPr>
        <w:t>Investissement 1: Mise au point d’une nouvelle ligne d’instruments de quasi-fonds propres soutenant l’esprit d’entreprise</w:t>
      </w:r>
    </w:p>
    <w:p w14:paraId="7DC51A77" w14:textId="77777777" w:rsidR="00025543" w:rsidRDefault="007E3A2F">
      <w:pPr>
        <w:spacing w:line="240" w:lineRule="auto"/>
        <w:jc w:val="both"/>
        <w:rPr>
          <w:rFonts w:eastAsia="Times New Roman"/>
          <w:noProof/>
          <w:color w:val="000000"/>
        </w:rPr>
      </w:pPr>
      <w:r>
        <w:rPr>
          <w:noProof/>
        </w:rPr>
        <w:t>La stimulation de</w:t>
      </w:r>
      <w:r>
        <w:rPr>
          <w:rFonts w:eastAsia="Times New Roman"/>
          <w:noProof/>
        </w:rPr>
        <w:t xml:space="preserve">l’investissement consiste à apporter un soutien d’un montant cumulé de 32 400 000 EUR à au moins 30 projets répondant aux critères environnementaux et climatiques sur la base de la nouvelle méthodologie, conformément à la nouvelle stratégie à moyen terme de la ČMZRB telle qu’elle a été élaborée dans le cadre de la partie «Réforme» et à la suite d’une procédure de sélection transparente et concurrentielle. Le soutien apporté au titre du </w:t>
      </w:r>
      <w:r>
        <w:rPr>
          <w:rFonts w:eastAsia="Times New Roman"/>
          <w:noProof/>
          <w:color w:val="000000"/>
        </w:rPr>
        <w:t>plan tchèque pour la reprise et la résilience devrait mobiliser des capitaux privés en tant que cofinancement privé et, à plus long terme, augmenter les fonds propres de base de la ČMZRB disponibles pour d’autres financements des entreprises au moyen des instruments financiers.</w:t>
      </w:r>
    </w:p>
    <w:p w14:paraId="0D953C1F" w14:textId="77777777" w:rsidR="00025543" w:rsidRDefault="007E3A2F">
      <w:pPr>
        <w:pStyle w:val="P68B1DB1-Normal3"/>
        <w:pBdr>
          <w:top w:val="nil"/>
          <w:left w:val="nil"/>
          <w:bottom w:val="nil"/>
          <w:right w:val="nil"/>
          <w:between w:val="nil"/>
        </w:pBdr>
        <w:spacing w:line="240" w:lineRule="auto"/>
        <w:jc w:val="both"/>
        <w:rPr>
          <w:noProof/>
        </w:rPr>
      </w:pPr>
      <w:r>
        <w:rPr>
          <w:noProof/>
        </w:rPr>
        <w:t>La Tchéquie met en œuvre les mesures suivantes:</w:t>
      </w:r>
    </w:p>
    <w:p w14:paraId="31303287" w14:textId="77777777" w:rsidR="00025543" w:rsidRDefault="007E3A2F">
      <w:pPr>
        <w:pStyle w:val="P68B1DB1-Normal3"/>
        <w:numPr>
          <w:ilvl w:val="0"/>
          <w:numId w:val="154"/>
        </w:numPr>
        <w:pBdr>
          <w:top w:val="nil"/>
          <w:left w:val="nil"/>
          <w:bottom w:val="nil"/>
          <w:right w:val="nil"/>
          <w:between w:val="nil"/>
        </w:pBdr>
        <w:spacing w:line="259" w:lineRule="auto"/>
        <w:ind w:left="360"/>
        <w:contextualSpacing/>
        <w:jc w:val="both"/>
        <w:rPr>
          <w:noProof/>
        </w:rPr>
      </w:pPr>
      <w:r>
        <w:rPr>
          <w:noProof/>
        </w:rPr>
        <w:t>La conclusion d’un accord de financement entre la ČMZRB et le ministère de l’industrie et du commerce, qui établit clairement que les projets soutenus par la ČMZRB dans le cadre du plan pour la reprise et la résilience sont conformes aux objectifs du règlement (UE) 2021/241, y compris le principe consistant à «ne pas causer de préjudice important» et les critères d’étiquetage écologique, et que, jusqu’au 31 décembre 2026, les remboursements provenant du nouvel instrument de quasi-fonds propres ne sont réutilisés qu’aux fins du présent instrument.</w:t>
      </w:r>
    </w:p>
    <w:p w14:paraId="210F208A" w14:textId="77777777" w:rsidR="00025543" w:rsidRDefault="007E3A2F">
      <w:pPr>
        <w:pStyle w:val="P68B1DB1-Normal3"/>
        <w:numPr>
          <w:ilvl w:val="0"/>
          <w:numId w:val="154"/>
        </w:numPr>
        <w:pBdr>
          <w:top w:val="nil"/>
          <w:left w:val="nil"/>
          <w:bottom w:val="nil"/>
          <w:right w:val="nil"/>
          <w:between w:val="nil"/>
        </w:pBdr>
        <w:spacing w:line="259" w:lineRule="auto"/>
        <w:ind w:left="360"/>
        <w:contextualSpacing/>
        <w:jc w:val="both"/>
        <w:rPr>
          <w:noProof/>
        </w:rPr>
      </w:pPr>
      <w:r>
        <w:rPr>
          <w:noProof/>
        </w:rPr>
        <w:t>L’extension des lignes de produits ČMZRB à de nouveaux instruments de quasi-fonds propres soutenant les PME (prêts mezzanine). Le nouvel instrument est un instrument de quasi-fonds propres au sens d’une subordination à sa dette de premier rang, mais il prévoit un financement spécifique au projet.</w:t>
      </w:r>
    </w:p>
    <w:p w14:paraId="5C600A26" w14:textId="77777777" w:rsidR="00025543" w:rsidRDefault="007E3A2F">
      <w:pPr>
        <w:pStyle w:val="P68B1DB1-Normal3"/>
        <w:numPr>
          <w:ilvl w:val="0"/>
          <w:numId w:val="154"/>
        </w:numPr>
        <w:pBdr>
          <w:top w:val="nil"/>
          <w:left w:val="nil"/>
          <w:bottom w:val="nil"/>
          <w:right w:val="nil"/>
          <w:between w:val="nil"/>
        </w:pBdr>
        <w:spacing w:line="259" w:lineRule="auto"/>
        <w:ind w:left="360"/>
        <w:contextualSpacing/>
        <w:jc w:val="both"/>
        <w:rPr>
          <w:noProof/>
        </w:rPr>
      </w:pPr>
      <w:r>
        <w:rPr>
          <w:noProof/>
        </w:rPr>
        <w:t xml:space="preserve">Octroi d’une aide d’un montant total d’au moins 32 400 000 millions d’EUR (30 projets) par le financement d’investissements conformes aux orientations techniques «Ne pas causer de préjudice important» (DNSH) (2021/C58/01) et avec un coefficient climatique de 40 % ou 100 % au moyen d’instruments de quasi-fonds propres, selon une procédure transparente et concurrentielle. </w:t>
      </w:r>
    </w:p>
    <w:p w14:paraId="6B724099" w14:textId="77777777" w:rsidR="00025543" w:rsidRDefault="007E3A2F">
      <w:pPr>
        <w:pStyle w:val="P68B1DB1-Normal3"/>
        <w:numPr>
          <w:ilvl w:val="0"/>
          <w:numId w:val="154"/>
        </w:numPr>
        <w:pBdr>
          <w:top w:val="nil"/>
          <w:left w:val="nil"/>
          <w:bottom w:val="nil"/>
          <w:right w:val="nil"/>
          <w:between w:val="nil"/>
        </w:pBdr>
        <w:spacing w:line="259" w:lineRule="auto"/>
        <w:ind w:left="360"/>
        <w:contextualSpacing/>
        <w:jc w:val="both"/>
        <w:rPr>
          <w:noProof/>
        </w:rPr>
      </w:pPr>
      <w:r>
        <w:rPr>
          <w:noProof/>
        </w:rPr>
        <w:t>Afin de garantir que la mesure est conforme aux orientations techniques «Ne pas causer de préjudice important» (2021/C58/01), l’accord juridique entre les ministères de l’industrie et du commerce et la ČMZRB et la politique d’investissement ultérieure de l’instrument financier:</w:t>
      </w:r>
    </w:p>
    <w:p w14:paraId="192523E6" w14:textId="77777777" w:rsidR="00025543" w:rsidRDefault="007E3A2F">
      <w:pPr>
        <w:pStyle w:val="P68B1DB1-Normal3"/>
        <w:numPr>
          <w:ilvl w:val="0"/>
          <w:numId w:val="199"/>
        </w:numPr>
        <w:spacing w:line="259" w:lineRule="auto"/>
        <w:contextualSpacing/>
        <w:jc w:val="both"/>
        <w:rPr>
          <w:noProof/>
        </w:rPr>
      </w:pPr>
      <w:r>
        <w:rPr>
          <w:noProof/>
        </w:rPr>
        <w:t>exiger l’application des orientations techniques de la Commission européenne sur l’évaluation de la durabilité du Fonds InvestEU; et</w:t>
      </w:r>
    </w:p>
    <w:p w14:paraId="40DEDAD6" w14:textId="77777777" w:rsidR="00025543" w:rsidRDefault="007E3A2F">
      <w:pPr>
        <w:pStyle w:val="P68B1DB1-Normal3"/>
        <w:numPr>
          <w:ilvl w:val="0"/>
          <w:numId w:val="199"/>
        </w:numPr>
        <w:spacing w:line="259" w:lineRule="auto"/>
        <w:contextualSpacing/>
        <w:jc w:val="both"/>
        <w:rPr>
          <w:noProof/>
        </w:rPr>
      </w:pPr>
      <w:r>
        <w:rPr>
          <w:noProof/>
        </w:rPr>
        <w:t>exclure de l’éligibilité la liste suivante d’activités et d’actifs: (I) les activités et actifs liés aux combustibles fossiles, y compris leur utilisation en aval</w:t>
      </w:r>
      <w:r w:rsidRPr="007E3A2F">
        <w:rPr>
          <w:noProof/>
          <w:vertAlign w:val="superscript"/>
        </w:rPr>
        <w:footnoteReference w:id="22"/>
      </w:r>
      <w:r>
        <w:rPr>
          <w:noProof/>
        </w:rPr>
        <w:t>; II) les activités et les actifs relevant du système d’échange de quotas d’émission de l’UE (SEQE) permettant d’atteindre les émissions de gaz à effet de serre prévues qui ne sont pas inférieures aux référentiels pertinents</w:t>
      </w:r>
      <w:r w:rsidRPr="007E3A2F">
        <w:rPr>
          <w:noProof/>
          <w:vertAlign w:val="superscript"/>
        </w:rPr>
        <w:footnoteReference w:id="23"/>
      </w:r>
      <w:r>
        <w:rPr>
          <w:noProof/>
        </w:rPr>
        <w:t>; III) les activités et actifs liés aux décharges de déchets, aux incinérateurs</w:t>
      </w:r>
      <w:r w:rsidRPr="007E3A2F">
        <w:rPr>
          <w:noProof/>
          <w:vertAlign w:val="superscript"/>
        </w:rPr>
        <w:footnoteReference w:id="24"/>
      </w:r>
      <w:r>
        <w:rPr>
          <w:noProof/>
        </w:rPr>
        <w:t xml:space="preserve"> et aux installations de traitement biologique mécanique</w:t>
      </w:r>
      <w:r w:rsidRPr="007E3A2F">
        <w:rPr>
          <w:noProof/>
          <w:vertAlign w:val="superscript"/>
        </w:rPr>
        <w:footnoteReference w:id="25"/>
      </w:r>
      <w:r>
        <w:rPr>
          <w:noProof/>
        </w:rPr>
        <w:t>; et iv) les activités et les actifs dont l’élimination à long terme des déchets peut nuire à l’environnement; et</w:t>
      </w:r>
    </w:p>
    <w:p w14:paraId="407E2AFE" w14:textId="77777777" w:rsidR="00025543" w:rsidRDefault="007E3A2F">
      <w:pPr>
        <w:pStyle w:val="P68B1DB1-Normal3"/>
        <w:numPr>
          <w:ilvl w:val="0"/>
          <w:numId w:val="199"/>
        </w:numPr>
        <w:spacing w:line="259" w:lineRule="auto"/>
        <w:contextualSpacing/>
        <w:jc w:val="both"/>
        <w:rPr>
          <w:noProof/>
        </w:rPr>
      </w:pPr>
      <w:r>
        <w:rPr>
          <w:noProof/>
        </w:rPr>
        <w:t>exiger la vérification de la conformité juridique du bénéficiaire avec la législation environnementale nationale et de l’Union applicable du bénéficiaire par l’entité chargée de l’exécution ou l’intermédiaire financier pour toutes les transactions, y compris celles qui sont exemptées de l’évaluation de la durabilité.</w:t>
      </w:r>
    </w:p>
    <w:p w14:paraId="434437A7" w14:textId="0BFE5D83" w:rsidR="00025543" w:rsidRDefault="007E3A2F">
      <w:pPr>
        <w:pStyle w:val="P68B1DB1-Normal3"/>
        <w:spacing w:line="240" w:lineRule="auto"/>
        <w:jc w:val="both"/>
        <w:rPr>
          <w:noProof/>
        </w:rPr>
      </w:pPr>
      <w:r>
        <w:rPr>
          <w:noProof/>
        </w:rPr>
        <w:t>Afin de garantir que les activités sont conformes à l’annexe VI du règlement (UE) 2021/241, les critères de sélection exigent que les activités bénéficiant d’un soutien soient conformes aux exigences des domaines d’intervention applicables de l’annexe VI dudit règlement (avec un coefficient de 40 % ou 100 %).</w:t>
      </w:r>
    </w:p>
    <w:p w14:paraId="2B17D24B" w14:textId="77777777" w:rsidR="00025543" w:rsidRDefault="007E3A2F">
      <w:pPr>
        <w:spacing w:line="240" w:lineRule="auto"/>
        <w:jc w:val="both"/>
        <w:rPr>
          <w:noProof/>
          <w:color w:val="4F81BD"/>
        </w:rPr>
      </w:pPr>
      <w:r>
        <w:rPr>
          <w:noProof/>
        </w:rPr>
        <w:t>L’investissement est achevé au plus tard le 31 décembre 2025.</w:t>
      </w:r>
    </w:p>
    <w:p w14:paraId="4BEB4BCE" w14:textId="77777777" w:rsidR="00025543" w:rsidRDefault="00025543">
      <w:pPr>
        <w:spacing w:line="240" w:lineRule="auto"/>
        <w:rPr>
          <w:rFonts w:ascii="Calibri" w:hAnsi="Calibri"/>
          <w:b/>
          <w:noProof/>
          <w:sz w:val="22"/>
        </w:rPr>
      </w:pPr>
    </w:p>
    <w:p w14:paraId="1CC7FF65" w14:textId="71FDCE6C" w:rsidR="00025543" w:rsidRDefault="00025543">
      <w:pPr>
        <w:spacing w:line="240" w:lineRule="auto"/>
        <w:rPr>
          <w:rFonts w:ascii="Calibri" w:hAnsi="Calibri"/>
          <w:noProof/>
          <w:sz w:val="22"/>
        </w:rPr>
        <w:sectPr w:rsidR="00025543" w:rsidSect="003C3F81">
          <w:headerReference w:type="even" r:id="rId330"/>
          <w:headerReference w:type="default" r:id="rId331"/>
          <w:footerReference w:type="even" r:id="rId332"/>
          <w:footerReference w:type="default" r:id="rId333"/>
          <w:headerReference w:type="first" r:id="rId334"/>
          <w:footerReference w:type="first" r:id="rId335"/>
          <w:pgSz w:w="11907" w:h="16839"/>
          <w:pgMar w:top="1134" w:right="1134" w:bottom="1134" w:left="1134" w:header="567" w:footer="567" w:gutter="0"/>
          <w:cols w:space="720"/>
          <w:docGrid w:linePitch="326"/>
        </w:sectPr>
      </w:pPr>
    </w:p>
    <w:p w14:paraId="1A185772" w14:textId="0B767840" w:rsidR="00025543" w:rsidRDefault="007E3A2F">
      <w:pPr>
        <w:pStyle w:val="P68B1DB1-Normal8"/>
        <w:pBdr>
          <w:top w:val="nil"/>
          <w:left w:val="nil"/>
          <w:bottom w:val="nil"/>
          <w:right w:val="nil"/>
          <w:between w:val="nil"/>
        </w:pBdr>
        <w:tabs>
          <w:tab w:val="left" w:pos="993"/>
        </w:tabs>
        <w:spacing w:line="240" w:lineRule="auto"/>
        <w:rPr>
          <w:noProof/>
        </w:rPr>
      </w:pPr>
      <w:r>
        <w:rPr>
          <w:noProof/>
        </w:rPr>
        <w:t xml:space="preserve">V.2. Jalons, cibles, indicateurs et calendrier de suivi et de mise en œuvre en vue du soutien financier non remboursable </w:t>
      </w:r>
    </w:p>
    <w:tbl>
      <w:tblPr>
        <w:tblW w:w="145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
        <w:gridCol w:w="1215"/>
        <w:gridCol w:w="1108"/>
        <w:gridCol w:w="1316"/>
        <w:gridCol w:w="1108"/>
        <w:gridCol w:w="1004"/>
        <w:gridCol w:w="1004"/>
        <w:gridCol w:w="1186"/>
        <w:gridCol w:w="927"/>
        <w:gridCol w:w="668"/>
        <w:gridCol w:w="4394"/>
      </w:tblGrid>
      <w:tr w:rsidR="00025543" w14:paraId="40291A78" w14:textId="77777777">
        <w:trPr>
          <w:trHeight w:val="610"/>
          <w:tblHeader/>
          <w:jc w:val="center"/>
        </w:trPr>
        <w:tc>
          <w:tcPr>
            <w:tcW w:w="675" w:type="dxa"/>
            <w:vMerge w:val="restart"/>
            <w:tcBorders>
              <w:top w:val="single" w:sz="8" w:space="0" w:color="000000" w:themeColor="text1"/>
              <w:left w:val="single" w:sz="8" w:space="0" w:color="000000" w:themeColor="text1"/>
              <w:right w:val="single" w:sz="8" w:space="0" w:color="000000" w:themeColor="text1"/>
            </w:tcBorders>
            <w:shd w:val="clear" w:color="auto" w:fill="BDD7EE"/>
            <w:vAlign w:val="center"/>
          </w:tcPr>
          <w:p w14:paraId="32DF7EDD" w14:textId="449BD5BB" w:rsidR="00025543" w:rsidRDefault="007E3A2F">
            <w:pPr>
              <w:pStyle w:val="P68B1DB1-Normal9"/>
              <w:spacing w:line="240" w:lineRule="auto"/>
              <w:jc w:val="center"/>
              <w:rPr>
                <w:noProof/>
              </w:rPr>
            </w:pPr>
            <w:r>
              <w:rPr>
                <w:noProof/>
              </w:rPr>
              <w:t xml:space="preserve">Séquence NUM. </w:t>
            </w:r>
          </w:p>
        </w:tc>
        <w:tc>
          <w:tcPr>
            <w:tcW w:w="1308" w:type="dxa"/>
            <w:vMerge w:val="restart"/>
            <w:tcBorders>
              <w:top w:val="single" w:sz="8" w:space="0" w:color="000000" w:themeColor="text1"/>
              <w:left w:val="single" w:sz="8" w:space="0" w:color="000000" w:themeColor="text1"/>
              <w:right w:val="single" w:sz="8" w:space="0" w:color="000000" w:themeColor="text1"/>
            </w:tcBorders>
            <w:shd w:val="clear" w:color="auto" w:fill="BDD7EE"/>
            <w:vAlign w:val="center"/>
          </w:tcPr>
          <w:p w14:paraId="4312C4F1" w14:textId="77777777" w:rsidR="00025543" w:rsidRDefault="007E3A2F">
            <w:pPr>
              <w:pStyle w:val="P68B1DB1-Normal9"/>
              <w:spacing w:line="240" w:lineRule="auto"/>
              <w:jc w:val="center"/>
              <w:rPr>
                <w:noProof/>
              </w:rPr>
            </w:pPr>
            <w:r>
              <w:rPr>
                <w:noProof/>
              </w:rPr>
              <w:t xml:space="preserve">Mesure connexe (réforme ou investissement) </w:t>
            </w:r>
          </w:p>
        </w:tc>
        <w:tc>
          <w:tcPr>
            <w:tcW w:w="1191" w:type="dxa"/>
            <w:vMerge w:val="restart"/>
            <w:tcBorders>
              <w:top w:val="single" w:sz="8" w:space="0" w:color="000000" w:themeColor="text1"/>
              <w:left w:val="single" w:sz="8" w:space="0" w:color="000000" w:themeColor="text1"/>
              <w:right w:val="single" w:sz="8" w:space="0" w:color="000000" w:themeColor="text1"/>
            </w:tcBorders>
            <w:shd w:val="clear" w:color="auto" w:fill="BDD7EE"/>
            <w:vAlign w:val="center"/>
          </w:tcPr>
          <w:p w14:paraId="421A3787" w14:textId="77777777" w:rsidR="00025543" w:rsidRDefault="007E3A2F">
            <w:pPr>
              <w:pStyle w:val="P68B1DB1-Normal9"/>
              <w:spacing w:line="240" w:lineRule="auto"/>
              <w:jc w:val="center"/>
              <w:rPr>
                <w:noProof/>
              </w:rPr>
            </w:pPr>
            <w:r>
              <w:rPr>
                <w:noProof/>
              </w:rPr>
              <w:t xml:space="preserve">Jalon/cible </w:t>
            </w:r>
          </w:p>
        </w:tc>
        <w:tc>
          <w:tcPr>
            <w:tcW w:w="1418" w:type="dxa"/>
            <w:vMerge w:val="restart"/>
            <w:tcBorders>
              <w:top w:val="single" w:sz="8" w:space="0" w:color="000000" w:themeColor="text1"/>
              <w:left w:val="single" w:sz="8" w:space="0" w:color="000000" w:themeColor="text1"/>
              <w:right w:val="single" w:sz="8" w:space="0" w:color="000000" w:themeColor="text1"/>
            </w:tcBorders>
            <w:shd w:val="clear" w:color="auto" w:fill="BDD7EE"/>
            <w:vAlign w:val="center"/>
          </w:tcPr>
          <w:p w14:paraId="02D1180E" w14:textId="77777777" w:rsidR="00025543" w:rsidRDefault="007E3A2F">
            <w:pPr>
              <w:pStyle w:val="P68B1DB1-Normal9"/>
              <w:spacing w:line="240" w:lineRule="auto"/>
              <w:jc w:val="center"/>
              <w:rPr>
                <w:noProof/>
              </w:rPr>
            </w:pPr>
            <w:r>
              <w:rPr>
                <w:noProof/>
              </w:rPr>
              <w:t xml:space="preserve">Nom </w:t>
            </w:r>
          </w:p>
        </w:tc>
        <w:tc>
          <w:tcPr>
            <w:tcW w:w="1191" w:type="dxa"/>
            <w:vMerge w:val="restart"/>
            <w:tcBorders>
              <w:top w:val="single" w:sz="8" w:space="0" w:color="000000" w:themeColor="text1"/>
              <w:left w:val="single" w:sz="8" w:space="0" w:color="000000" w:themeColor="text1"/>
              <w:right w:val="single" w:sz="8" w:space="0" w:color="000000" w:themeColor="text1"/>
            </w:tcBorders>
            <w:shd w:val="clear" w:color="auto" w:fill="BDD7EE"/>
            <w:vAlign w:val="center"/>
          </w:tcPr>
          <w:p w14:paraId="2A9474AE" w14:textId="77777777" w:rsidR="00025543" w:rsidRDefault="007E3A2F">
            <w:pPr>
              <w:pStyle w:val="P68B1DB1-Normal10"/>
              <w:spacing w:line="240" w:lineRule="auto"/>
              <w:jc w:val="center"/>
              <w:rPr>
                <w:noProof/>
              </w:rPr>
            </w:pPr>
            <w:r>
              <w:rPr>
                <w:b/>
                <w:noProof/>
              </w:rPr>
              <w:t>Qualitatifs</w:t>
            </w:r>
            <w:r>
              <w:rPr>
                <w:noProof/>
              </w:rPr>
              <w:br/>
            </w:r>
            <w:r>
              <w:rPr>
                <w:b/>
                <w:noProof/>
              </w:rPr>
              <w:t xml:space="preserve"> (pour les jalons) </w:t>
            </w:r>
          </w:p>
        </w:tc>
        <w:tc>
          <w:tcPr>
            <w:tcW w:w="269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vAlign w:val="center"/>
          </w:tcPr>
          <w:p w14:paraId="1C4CF568" w14:textId="77777777" w:rsidR="00025543" w:rsidRDefault="007E3A2F">
            <w:pPr>
              <w:pStyle w:val="P68B1DB1-Normal10"/>
              <w:spacing w:line="240" w:lineRule="auto"/>
              <w:jc w:val="center"/>
              <w:rPr>
                <w:noProof/>
              </w:rPr>
            </w:pPr>
            <w:r>
              <w:rPr>
                <w:b/>
                <w:noProof/>
              </w:rPr>
              <w:t>Indicateurs quantitatifs</w:t>
            </w:r>
            <w:r>
              <w:rPr>
                <w:noProof/>
              </w:rPr>
              <w:br/>
            </w:r>
            <w:r>
              <w:rPr>
                <w:b/>
                <w:noProof/>
              </w:rPr>
              <w:t xml:space="preserve"> (pour les objectifs)</w:t>
            </w:r>
          </w:p>
        </w:tc>
        <w:tc>
          <w:tcPr>
            <w:tcW w:w="1701" w:type="dxa"/>
            <w:gridSpan w:val="2"/>
            <w:tcBorders>
              <w:top w:val="single" w:sz="8" w:space="0" w:color="000000" w:themeColor="text1"/>
              <w:left w:val="nil"/>
              <w:bottom w:val="single" w:sz="8" w:space="0" w:color="000000" w:themeColor="text1"/>
              <w:right w:val="single" w:sz="8" w:space="0" w:color="000000" w:themeColor="text1"/>
            </w:tcBorders>
            <w:shd w:val="clear" w:color="auto" w:fill="BDD7EE"/>
            <w:vAlign w:val="center"/>
          </w:tcPr>
          <w:p w14:paraId="4F6F581E" w14:textId="77777777" w:rsidR="00025543" w:rsidRDefault="007E3A2F">
            <w:pPr>
              <w:pStyle w:val="P68B1DB1-Normal9"/>
              <w:spacing w:line="240" w:lineRule="auto"/>
              <w:jc w:val="center"/>
              <w:rPr>
                <w:noProof/>
              </w:rPr>
            </w:pPr>
            <w:r>
              <w:rPr>
                <w:noProof/>
              </w:rPr>
              <w:t xml:space="preserve">Calendrier indicatif de réalisation </w:t>
            </w:r>
          </w:p>
        </w:tc>
        <w:tc>
          <w:tcPr>
            <w:tcW w:w="4788" w:type="dxa"/>
            <w:vMerge w:val="restart"/>
            <w:tcBorders>
              <w:top w:val="single" w:sz="8" w:space="0" w:color="000000" w:themeColor="text1"/>
              <w:left w:val="nil"/>
              <w:right w:val="single" w:sz="8" w:space="0" w:color="000000" w:themeColor="text1"/>
            </w:tcBorders>
            <w:shd w:val="clear" w:color="auto" w:fill="BDD7EE"/>
            <w:vAlign w:val="center"/>
          </w:tcPr>
          <w:p w14:paraId="7D945FB8" w14:textId="77777777" w:rsidR="00025543" w:rsidRDefault="007E3A2F">
            <w:pPr>
              <w:pStyle w:val="P68B1DB1-Normal9"/>
              <w:spacing w:line="240" w:lineRule="auto"/>
              <w:jc w:val="center"/>
              <w:rPr>
                <w:noProof/>
              </w:rPr>
            </w:pPr>
            <w:r>
              <w:rPr>
                <w:noProof/>
              </w:rPr>
              <w:t xml:space="preserve">Description et définition claire de chaque jalon et cible </w:t>
            </w:r>
          </w:p>
        </w:tc>
      </w:tr>
      <w:tr w:rsidR="00025543" w14:paraId="457C77CD" w14:textId="77777777">
        <w:trPr>
          <w:trHeight w:val="506"/>
          <w:tblHeader/>
          <w:jc w:val="center"/>
        </w:trPr>
        <w:tc>
          <w:tcPr>
            <w:tcW w:w="675" w:type="dxa"/>
            <w:vMerge/>
            <w:vAlign w:val="center"/>
          </w:tcPr>
          <w:p w14:paraId="03E9348E"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c>
          <w:tcPr>
            <w:tcW w:w="1308" w:type="dxa"/>
            <w:vMerge/>
            <w:vAlign w:val="center"/>
          </w:tcPr>
          <w:p w14:paraId="2491DF97"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c>
          <w:tcPr>
            <w:tcW w:w="1191" w:type="dxa"/>
            <w:vMerge/>
            <w:vAlign w:val="center"/>
          </w:tcPr>
          <w:p w14:paraId="0B3B5995"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c>
          <w:tcPr>
            <w:tcW w:w="1418" w:type="dxa"/>
            <w:vMerge/>
            <w:vAlign w:val="center"/>
          </w:tcPr>
          <w:p w14:paraId="7EE865AB"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c>
          <w:tcPr>
            <w:tcW w:w="1191" w:type="dxa"/>
            <w:vMerge/>
            <w:vAlign w:val="center"/>
          </w:tcPr>
          <w:p w14:paraId="34914855"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vAlign w:val="center"/>
          </w:tcPr>
          <w:p w14:paraId="4490BE6B" w14:textId="77777777" w:rsidR="00025543" w:rsidRDefault="007E3A2F">
            <w:pPr>
              <w:pStyle w:val="P68B1DB1-Normal9"/>
              <w:spacing w:line="240" w:lineRule="auto"/>
              <w:jc w:val="center"/>
              <w:rPr>
                <w:noProof/>
              </w:rPr>
            </w:pPr>
            <w:r>
              <w:rPr>
                <w:noProof/>
              </w:rPr>
              <w:t>Unité de mesure</w:t>
            </w:r>
          </w:p>
        </w:tc>
        <w:tc>
          <w:tcPr>
            <w:tcW w:w="1077"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tcPr>
          <w:p w14:paraId="7FE5EB08" w14:textId="77777777" w:rsidR="00025543" w:rsidRDefault="007E3A2F">
            <w:pPr>
              <w:pStyle w:val="P68B1DB1-Normal9"/>
              <w:spacing w:line="240" w:lineRule="auto"/>
              <w:jc w:val="center"/>
              <w:rPr>
                <w:noProof/>
              </w:rPr>
            </w:pPr>
            <w:r>
              <w:rPr>
                <w:noProof/>
              </w:rPr>
              <w:t>Scénario de référence</w:t>
            </w:r>
          </w:p>
        </w:tc>
        <w:tc>
          <w:tcPr>
            <w:tcW w:w="1276"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tcPr>
          <w:p w14:paraId="32767BC8" w14:textId="77777777" w:rsidR="00025543" w:rsidRDefault="007E3A2F">
            <w:pPr>
              <w:pStyle w:val="P68B1DB1-Normal9"/>
              <w:spacing w:line="240" w:lineRule="auto"/>
              <w:jc w:val="center"/>
              <w:rPr>
                <w:noProof/>
              </w:rPr>
            </w:pPr>
            <w:r>
              <w:rPr>
                <w:noProof/>
              </w:rPr>
              <w:t>Objectif</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vAlign w:val="center"/>
          </w:tcPr>
          <w:p w14:paraId="06777476" w14:textId="77777777" w:rsidR="00025543" w:rsidRDefault="007E3A2F">
            <w:pPr>
              <w:pStyle w:val="P68B1DB1-Normal9"/>
              <w:spacing w:line="240" w:lineRule="auto"/>
              <w:jc w:val="center"/>
              <w:rPr>
                <w:noProof/>
              </w:rPr>
            </w:pPr>
            <w:r>
              <w:rPr>
                <w:noProof/>
              </w:rPr>
              <w:t>Trimestre</w:t>
            </w:r>
          </w:p>
        </w:tc>
        <w:tc>
          <w:tcPr>
            <w:tcW w:w="709"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tcPr>
          <w:p w14:paraId="2FBB8D50" w14:textId="77777777" w:rsidR="00025543" w:rsidRDefault="007E3A2F">
            <w:pPr>
              <w:pStyle w:val="P68B1DB1-Normal9"/>
              <w:spacing w:line="240" w:lineRule="auto"/>
              <w:jc w:val="center"/>
              <w:rPr>
                <w:noProof/>
              </w:rPr>
            </w:pPr>
            <w:r>
              <w:rPr>
                <w:noProof/>
              </w:rPr>
              <w:t>Année</w:t>
            </w:r>
          </w:p>
        </w:tc>
        <w:tc>
          <w:tcPr>
            <w:tcW w:w="4788" w:type="dxa"/>
            <w:vMerge/>
            <w:vAlign w:val="center"/>
          </w:tcPr>
          <w:p w14:paraId="4929039D"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r>
      <w:tr w:rsidR="00025543" w14:paraId="0820663C" w14:textId="77777777">
        <w:trPr>
          <w:trHeight w:val="945"/>
          <w:jc w:val="center"/>
        </w:trPr>
        <w:tc>
          <w:tcPr>
            <w:tcW w:w="6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30CBE2D" w14:textId="77777777" w:rsidR="00025543" w:rsidRDefault="007E3A2F">
            <w:pPr>
              <w:pStyle w:val="P68B1DB1-Normal11"/>
              <w:spacing w:line="240" w:lineRule="auto"/>
              <w:jc w:val="center"/>
              <w:rPr>
                <w:noProof/>
              </w:rPr>
            </w:pPr>
            <w:r>
              <w:rPr>
                <w:noProof/>
              </w:rPr>
              <w:t>198</w:t>
            </w:r>
          </w:p>
        </w:tc>
        <w:tc>
          <w:tcPr>
            <w:tcW w:w="1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AE8A1DC" w14:textId="77777777" w:rsidR="00025543" w:rsidRDefault="007E3A2F">
            <w:pPr>
              <w:pStyle w:val="P68B1DB1-Normal11"/>
              <w:spacing w:line="240" w:lineRule="auto"/>
              <w:rPr>
                <w:noProof/>
              </w:rPr>
            </w:pPr>
            <w:r>
              <w:rPr>
                <w:noProof/>
              </w:rPr>
              <w:t>Réforme 1: Développement de la Banque tchèque de garantie et de développement en tant que banque nationale de développement</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99642C6" w14:textId="77777777" w:rsidR="00025543" w:rsidRDefault="007E3A2F">
            <w:pPr>
              <w:pStyle w:val="P68B1DB1-Normal11"/>
              <w:spacing w:line="240" w:lineRule="auto"/>
              <w:rPr>
                <w:noProof/>
              </w:rPr>
            </w:pPr>
            <w:r>
              <w:rPr>
                <w:noProof/>
              </w:rPr>
              <w:t>Étapes</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48C7534" w14:textId="77777777" w:rsidR="00025543" w:rsidRDefault="007E3A2F">
            <w:pPr>
              <w:pStyle w:val="P68B1DB1-Normal11"/>
              <w:spacing w:line="240" w:lineRule="auto"/>
              <w:rPr>
                <w:noProof/>
              </w:rPr>
            </w:pPr>
            <w:r>
              <w:rPr>
                <w:noProof/>
              </w:rPr>
              <w:t>Adoption de la stratégie à moyen terme de la Banque tchèque de garantie et de développement (ČMZRB) approuvée par les actionnaires de la banque (représentée par les ministères de l’industrie et du commerce, des finances et du développement local)</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B792C7A" w14:textId="77777777" w:rsidR="00025543" w:rsidRDefault="007E3A2F">
            <w:pPr>
              <w:pStyle w:val="P68B1DB1-Normal11"/>
              <w:spacing w:line="240" w:lineRule="auto"/>
              <w:rPr>
                <w:noProof/>
              </w:rPr>
            </w:pPr>
            <w:r>
              <w:rPr>
                <w:noProof/>
              </w:rPr>
              <w:t xml:space="preserve">Adoption de la stratégie à moyen terme de la Banque tchèque de garantie et de développement (ČMZRB) </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2ABFCF7" w14:textId="77777777" w:rsidR="00025543" w:rsidRDefault="00025543">
            <w:pPr>
              <w:spacing w:line="240" w:lineRule="auto"/>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B1475DB" w14:textId="77777777" w:rsidR="00025543" w:rsidRDefault="00025543">
            <w:pPr>
              <w:spacing w:line="240" w:lineRule="auto"/>
              <w:jc w:val="center"/>
              <w:rPr>
                <w:rFonts w:eastAsia="Times New Roman"/>
                <w:noProof/>
                <w:color w:val="006100"/>
                <w:sz w:val="18"/>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AFA4280" w14:textId="77777777" w:rsidR="00025543" w:rsidRDefault="00025543">
            <w:pPr>
              <w:spacing w:line="240" w:lineRule="auto"/>
              <w:jc w:val="center"/>
              <w:rPr>
                <w:rFonts w:eastAsia="Times New Roman"/>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DD610BA" w14:textId="77777777" w:rsidR="00025543" w:rsidRDefault="007E3A2F">
            <w:pPr>
              <w:pStyle w:val="P68B1DB1-Normal11"/>
              <w:spacing w:line="240" w:lineRule="auto"/>
              <w:jc w:val="center"/>
              <w:rPr>
                <w:noProof/>
              </w:rPr>
            </w:pPr>
            <w:r>
              <w:rPr>
                <w:noProof/>
              </w:rPr>
              <w:t>TRIMESTRE 4</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84C7C73" w14:textId="77777777" w:rsidR="00025543" w:rsidRDefault="007E3A2F">
            <w:pPr>
              <w:pStyle w:val="P68B1DB1-Normal11"/>
              <w:spacing w:line="240" w:lineRule="auto"/>
              <w:jc w:val="center"/>
              <w:rPr>
                <w:noProof/>
              </w:rPr>
            </w:pPr>
            <w:r>
              <w:rPr>
                <w:noProof/>
              </w:rPr>
              <w:t>2021</w:t>
            </w:r>
          </w:p>
        </w:tc>
        <w:tc>
          <w:tcPr>
            <w:tcW w:w="47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94F0931" w14:textId="77777777" w:rsidR="00025543" w:rsidRDefault="007E3A2F">
            <w:pPr>
              <w:pStyle w:val="P68B1DB1-Normal11"/>
              <w:spacing w:after="0" w:line="240" w:lineRule="auto"/>
              <w:rPr>
                <w:noProof/>
              </w:rPr>
            </w:pPr>
            <w:r>
              <w:rPr>
                <w:noProof/>
              </w:rPr>
              <w:t>La nouvelle stratégie est approuvée par les actionnaires de la banque: Ministères de l’industrie et du commerce, des finances et du développement local). Elle comprend des dispositions visant à garantir le respect des orientations techniques «Ne pas causer de préjudice important» (2021/C58/01).</w:t>
            </w:r>
          </w:p>
        </w:tc>
      </w:tr>
      <w:tr w:rsidR="00025543" w14:paraId="6FCC9946" w14:textId="77777777">
        <w:trPr>
          <w:trHeight w:val="573"/>
          <w:jc w:val="center"/>
        </w:trPr>
        <w:tc>
          <w:tcPr>
            <w:tcW w:w="6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DFEBF92" w14:textId="77777777" w:rsidR="00025543" w:rsidRDefault="007E3A2F">
            <w:pPr>
              <w:pStyle w:val="P68B1DB1-Normal11"/>
              <w:spacing w:line="240" w:lineRule="auto"/>
              <w:jc w:val="center"/>
              <w:rPr>
                <w:noProof/>
              </w:rPr>
            </w:pPr>
            <w:r>
              <w:rPr>
                <w:noProof/>
              </w:rPr>
              <w:t>199</w:t>
            </w:r>
          </w:p>
        </w:tc>
        <w:tc>
          <w:tcPr>
            <w:tcW w:w="1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1083196" w14:textId="77777777" w:rsidR="00025543" w:rsidRDefault="007E3A2F">
            <w:pPr>
              <w:pStyle w:val="P68B1DB1-Normal11"/>
              <w:spacing w:line="240" w:lineRule="auto"/>
              <w:rPr>
                <w:noProof/>
              </w:rPr>
            </w:pPr>
            <w:r>
              <w:rPr>
                <w:noProof/>
              </w:rPr>
              <w:t>Réforme 1: Développement de la Banque tchèque de garantie et de développement en tant que banque nationale de développement</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2631067" w14:textId="77777777" w:rsidR="00025543" w:rsidRDefault="007E3A2F">
            <w:pPr>
              <w:pStyle w:val="P68B1DB1-Normal11"/>
              <w:spacing w:line="240" w:lineRule="auto"/>
              <w:rPr>
                <w:noProof/>
              </w:rPr>
            </w:pPr>
            <w:r>
              <w:rPr>
                <w:noProof/>
              </w:rPr>
              <w:t>Étapes</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D78E8C8" w14:textId="77777777" w:rsidR="00025543" w:rsidRDefault="007E3A2F">
            <w:pPr>
              <w:pStyle w:val="P68B1DB1-Normal11"/>
              <w:spacing w:line="240" w:lineRule="auto"/>
              <w:rPr>
                <w:noProof/>
              </w:rPr>
            </w:pPr>
            <w:r>
              <w:rPr>
                <w:noProof/>
              </w:rPr>
              <w:t xml:space="preserve">Mise en place d’un modèle de gestion pour le nouvel instrument de quasi-fonds propres </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286FE54" w14:textId="77777777" w:rsidR="00025543" w:rsidRDefault="007E3A2F">
            <w:pPr>
              <w:pStyle w:val="P68B1DB1-Normal11"/>
              <w:spacing w:line="240" w:lineRule="auto"/>
              <w:rPr>
                <w:noProof/>
              </w:rPr>
            </w:pPr>
            <w:r>
              <w:rPr>
                <w:noProof/>
              </w:rPr>
              <w:t xml:space="preserve">Approbation du plan de mise en œuvre et des règlements internes relatifs à la gestion du nouveau type d’instruments financiers par le conseil d’administration de la Banque tchèque de garantie et de développement (ČMZRB) </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FD79370" w14:textId="77777777" w:rsidR="00025543" w:rsidRDefault="00025543">
            <w:pPr>
              <w:spacing w:line="240" w:lineRule="auto"/>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C400EFE" w14:textId="77777777" w:rsidR="00025543" w:rsidRDefault="00025543">
            <w:pPr>
              <w:spacing w:line="240" w:lineRule="auto"/>
              <w:jc w:val="center"/>
              <w:rPr>
                <w:rFonts w:eastAsia="Times New Roman"/>
                <w:noProof/>
                <w:color w:val="006100"/>
                <w:sz w:val="18"/>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08C2845" w14:textId="77777777" w:rsidR="00025543" w:rsidRDefault="00025543">
            <w:pPr>
              <w:spacing w:line="240" w:lineRule="auto"/>
              <w:jc w:val="center"/>
              <w:rPr>
                <w:rFonts w:eastAsia="Times New Roman"/>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BF1E4F6" w14:textId="77777777" w:rsidR="00025543" w:rsidRDefault="007E3A2F">
            <w:pPr>
              <w:pStyle w:val="P68B1DB1-Normal11"/>
              <w:spacing w:line="240" w:lineRule="auto"/>
              <w:jc w:val="center"/>
              <w:rPr>
                <w:noProof/>
              </w:rPr>
            </w:pPr>
            <w:r>
              <w:rPr>
                <w:noProof/>
              </w:rPr>
              <w:t>TRIMESTRE 4</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9E9A1FD" w14:textId="77777777" w:rsidR="00025543" w:rsidRDefault="007E3A2F">
            <w:pPr>
              <w:pStyle w:val="P68B1DB1-Normal11"/>
              <w:spacing w:line="240" w:lineRule="auto"/>
              <w:jc w:val="center"/>
              <w:rPr>
                <w:noProof/>
              </w:rPr>
            </w:pPr>
            <w:r>
              <w:rPr>
                <w:noProof/>
              </w:rPr>
              <w:t>2021</w:t>
            </w:r>
          </w:p>
        </w:tc>
        <w:tc>
          <w:tcPr>
            <w:tcW w:w="47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2F81A9D" w14:textId="77777777" w:rsidR="00025543" w:rsidRDefault="007E3A2F">
            <w:pPr>
              <w:pStyle w:val="P68B1DB1-Normal11"/>
              <w:spacing w:after="0" w:line="240" w:lineRule="auto"/>
              <w:rPr>
                <w:noProof/>
              </w:rPr>
            </w:pPr>
            <w:r>
              <w:rPr>
                <w:noProof/>
              </w:rPr>
              <w:t>L’étape intermédiaire sera atteinte par l’approbation du plan de mise en œuvre et des règlements internes relatifs à la gestion de nouveaux types d’instruments financiers par le conseil d’administration de la Banque tchèque de garantie et de développement (ČMZRB).</w:t>
            </w:r>
          </w:p>
          <w:p w14:paraId="7321B93F" w14:textId="29634E56" w:rsidR="00025543" w:rsidRDefault="007E3A2F">
            <w:pPr>
              <w:pStyle w:val="P68B1DB1-Normal11"/>
              <w:spacing w:after="0" w:line="240" w:lineRule="auto"/>
              <w:rPr>
                <w:noProof/>
              </w:rPr>
            </w:pPr>
            <w:r>
              <w:rPr>
                <w:noProof/>
              </w:rPr>
              <w:t>Les nouvelles règles comprennent les conditions et méthodes d’évaluation des projets garantissant le respect des orientations techniques «Ne pas causer de préjudice important» (DNSH) (2021/C58/01) et des exigences des domaines d’intervention applicables de l’annexe VI du règlement (UE) 2021/241 (avec un coefficient de 40 % ou 100 %). Les nouvelles règles sont consultées auprès des entités de marché et des conseillers professionnels.</w:t>
            </w:r>
          </w:p>
        </w:tc>
      </w:tr>
      <w:tr w:rsidR="00025543" w14:paraId="4A0B76EB" w14:textId="77777777">
        <w:trPr>
          <w:trHeight w:val="945"/>
          <w:jc w:val="center"/>
        </w:trPr>
        <w:tc>
          <w:tcPr>
            <w:tcW w:w="6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7210825" w14:textId="77777777" w:rsidR="00025543" w:rsidRDefault="007E3A2F">
            <w:pPr>
              <w:pStyle w:val="P68B1DB1-Normal11"/>
              <w:spacing w:after="0" w:line="240" w:lineRule="auto"/>
              <w:jc w:val="center"/>
              <w:rPr>
                <w:noProof/>
              </w:rPr>
            </w:pPr>
            <w:r>
              <w:rPr>
                <w:noProof/>
              </w:rPr>
              <w:t>200</w:t>
            </w:r>
          </w:p>
        </w:tc>
        <w:tc>
          <w:tcPr>
            <w:tcW w:w="1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94234B4" w14:textId="77777777" w:rsidR="00025543" w:rsidRDefault="007E3A2F">
            <w:pPr>
              <w:pStyle w:val="P68B1DB1-Normal11"/>
              <w:spacing w:after="0" w:line="240" w:lineRule="auto"/>
              <w:rPr>
                <w:noProof/>
              </w:rPr>
            </w:pPr>
            <w:r>
              <w:rPr>
                <w:noProof/>
              </w:rPr>
              <w:t>Investissement 1: Mise au point d’une nouvelle ligne d’instruments de quasi-fonds propres soutenant l’esprit d’entreprise</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BECBF40" w14:textId="77777777" w:rsidR="00025543" w:rsidRDefault="007E3A2F">
            <w:pPr>
              <w:pStyle w:val="P68B1DB1-Normal11"/>
              <w:spacing w:after="0" w:line="240" w:lineRule="auto"/>
              <w:rPr>
                <w:noProof/>
              </w:rPr>
            </w:pPr>
            <w:r>
              <w:rPr>
                <w:noProof/>
              </w:rPr>
              <w:t>Étapes</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471B645" w14:textId="77777777" w:rsidR="00025543" w:rsidRDefault="007E3A2F">
            <w:pPr>
              <w:pStyle w:val="P68B1DB1-Normal11"/>
              <w:spacing w:after="0" w:line="240" w:lineRule="auto"/>
              <w:rPr>
                <w:noProof/>
              </w:rPr>
            </w:pPr>
            <w:r>
              <w:rPr>
                <w:noProof/>
              </w:rPr>
              <w:t>Accord de financement avec la Banque tchèque de garantie et de développement en tant que banque nationale de développement (ČMZRB)</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96A3B81" w14:textId="77777777" w:rsidR="00025543" w:rsidRDefault="007E3A2F">
            <w:pPr>
              <w:pStyle w:val="P68B1DB1-Normal11"/>
              <w:spacing w:after="0" w:line="240" w:lineRule="auto"/>
              <w:rPr>
                <w:noProof/>
              </w:rPr>
            </w:pPr>
            <w:r>
              <w:rPr>
                <w:noProof/>
              </w:rPr>
              <w:t xml:space="preserve">Signature de la convention de financement, </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B796D73" w14:textId="77777777" w:rsidR="00025543" w:rsidRDefault="00025543">
            <w:pPr>
              <w:spacing w:after="0" w:line="240" w:lineRule="auto"/>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C68A75A" w14:textId="77777777" w:rsidR="00025543" w:rsidRDefault="00025543">
            <w:pPr>
              <w:spacing w:after="0" w:line="240" w:lineRule="auto"/>
              <w:rPr>
                <w:rFonts w:eastAsia="Times New Roman"/>
                <w:noProof/>
                <w:color w:val="006100"/>
                <w:sz w:val="18"/>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5E8E19E" w14:textId="77777777" w:rsidR="00025543" w:rsidRDefault="00025543">
            <w:pPr>
              <w:spacing w:after="0" w:line="240" w:lineRule="auto"/>
              <w:rPr>
                <w:rFonts w:eastAsia="Times New Roman"/>
                <w:noProof/>
                <w:color w:val="006100"/>
                <w:sz w:val="18"/>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2242D88" w14:textId="77777777" w:rsidR="00025543" w:rsidRDefault="007E3A2F">
            <w:pPr>
              <w:pStyle w:val="P68B1DB1-Normal11"/>
              <w:spacing w:after="0" w:line="240" w:lineRule="auto"/>
              <w:jc w:val="center"/>
              <w:rPr>
                <w:noProof/>
              </w:rPr>
            </w:pPr>
            <w:r>
              <w:rPr>
                <w:noProof/>
              </w:rPr>
              <w:t>TRIMESTRE 4</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0F3B104" w14:textId="77777777" w:rsidR="00025543" w:rsidRDefault="007E3A2F">
            <w:pPr>
              <w:pStyle w:val="P68B1DB1-Normal11"/>
              <w:spacing w:after="0" w:line="240" w:lineRule="auto"/>
              <w:jc w:val="center"/>
              <w:rPr>
                <w:noProof/>
              </w:rPr>
            </w:pPr>
            <w:r>
              <w:rPr>
                <w:noProof/>
              </w:rPr>
              <w:t>2021</w:t>
            </w:r>
          </w:p>
        </w:tc>
        <w:tc>
          <w:tcPr>
            <w:tcW w:w="47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FDAD4F9" w14:textId="77777777" w:rsidR="00025543" w:rsidRDefault="007E3A2F">
            <w:pPr>
              <w:pStyle w:val="P68B1DB1-Normal11"/>
              <w:spacing w:after="0" w:line="240" w:lineRule="auto"/>
              <w:rPr>
                <w:noProof/>
              </w:rPr>
            </w:pPr>
            <w:r>
              <w:rPr>
                <w:noProof/>
              </w:rPr>
              <w:t>L’étape intermédiaire sera atteinte lors de la signature de l’accord de financement entre la Banque tchèque de garantie et de développement en tant que banque nationale de développement (ČMZRB) et le ministère de l’industrie et du commerce. L’accord comprend: 1) politique d’investissement, 2) critères d’éligibilité, 3) respect des orientations techniques «Ne pas causer de préjudice important» (2021/C58/01) des bénéficiaires bénéficiant d’une aide au titre de la présente mesure au moyen d’une évaluation de la durabilité, d’une liste d’exclusion et de l’exigence de conformité avec la législation environnementale de l’UE et nationale applicable.</w:t>
            </w:r>
          </w:p>
          <w:p w14:paraId="19292B4D" w14:textId="77777777" w:rsidR="00025543" w:rsidRDefault="00025543">
            <w:pPr>
              <w:spacing w:after="0" w:line="240" w:lineRule="auto"/>
              <w:rPr>
                <w:rFonts w:eastAsia="Times New Roman"/>
                <w:noProof/>
                <w:color w:val="006100"/>
                <w:sz w:val="18"/>
              </w:rPr>
            </w:pPr>
          </w:p>
          <w:p w14:paraId="5B6EF074" w14:textId="77777777" w:rsidR="00025543" w:rsidRDefault="007E3A2F">
            <w:pPr>
              <w:pStyle w:val="P68B1DB1-Normal11"/>
              <w:spacing w:after="0" w:line="240" w:lineRule="auto"/>
              <w:rPr>
                <w:noProof/>
              </w:rPr>
            </w:pPr>
            <w:r>
              <w:rPr>
                <w:noProof/>
              </w:rPr>
              <w:t xml:space="preserve"> Les critères de sélection exigent que les activités bénéficiant d’un soutien soient conformes aux exigences des domaines d’intervention applicables de l’annexe VI du règlement (UE) 2021/241 (avec un coefficient de 40 % ou 100 %). L’accord de financement précise que les remboursements provenant de l’instrument financier pour la Banque tchèque de garantie et de développement en tant que fonds propres de base de la Banque nationale de développement (ČMZRB) n’auront lieu qu’après 2026.</w:t>
            </w:r>
          </w:p>
        </w:tc>
      </w:tr>
      <w:tr w:rsidR="00025543" w14:paraId="68FF6936" w14:textId="77777777">
        <w:trPr>
          <w:trHeight w:val="945"/>
          <w:jc w:val="center"/>
        </w:trPr>
        <w:tc>
          <w:tcPr>
            <w:tcW w:w="6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4DDFAFA" w14:textId="77777777" w:rsidR="00025543" w:rsidRDefault="007E3A2F">
            <w:pPr>
              <w:pStyle w:val="P68B1DB1-Normal11"/>
              <w:spacing w:line="240" w:lineRule="auto"/>
              <w:jc w:val="center"/>
              <w:rPr>
                <w:noProof/>
              </w:rPr>
            </w:pPr>
            <w:r>
              <w:rPr>
                <w:noProof/>
              </w:rPr>
              <w:t>201</w:t>
            </w:r>
          </w:p>
        </w:tc>
        <w:tc>
          <w:tcPr>
            <w:tcW w:w="1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2F207FC" w14:textId="77777777" w:rsidR="00025543" w:rsidRDefault="007E3A2F">
            <w:pPr>
              <w:pStyle w:val="P68B1DB1-Normal11"/>
              <w:spacing w:line="240" w:lineRule="auto"/>
              <w:rPr>
                <w:noProof/>
              </w:rPr>
            </w:pPr>
            <w:r>
              <w:rPr>
                <w:noProof/>
              </w:rPr>
              <w:t xml:space="preserve">Investissement 1: Mise au point d’une nouvelle ligne d’instruments de quasi-fonds propres soutenant l’esprit d’entreprise </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A292D1B" w14:textId="77777777" w:rsidR="00025543" w:rsidRDefault="007E3A2F">
            <w:pPr>
              <w:pStyle w:val="P68B1DB1-Normal11"/>
              <w:spacing w:line="240" w:lineRule="auto"/>
              <w:rPr>
                <w:noProof/>
              </w:rPr>
            </w:pPr>
            <w:r>
              <w:rPr>
                <w:noProof/>
              </w:rPr>
              <w:t>Cible</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8B4477C" w14:textId="77777777" w:rsidR="00025543" w:rsidRDefault="007E3A2F">
            <w:pPr>
              <w:pStyle w:val="P68B1DB1-Normal11"/>
              <w:spacing w:line="240" w:lineRule="auto"/>
              <w:rPr>
                <w:noProof/>
              </w:rPr>
            </w:pPr>
            <w:r>
              <w:rPr>
                <w:noProof/>
              </w:rPr>
              <w:t>Investissements d’un montant total de 32 400 000 EUR dans des instruments de quasi-fonds propres en faveur de projets durables de PME</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72768B8" w14:textId="77777777" w:rsidR="00025543" w:rsidRDefault="00025543">
            <w:pPr>
              <w:spacing w:line="240" w:lineRule="auto"/>
              <w:rPr>
                <w:rFonts w:eastAsia="Times New Roman"/>
                <w:noProof/>
                <w:color w:val="006100"/>
                <w:sz w:val="18"/>
              </w:rPr>
            </w:pP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DE91A4E" w14:textId="77777777" w:rsidR="00025543" w:rsidRDefault="007E3A2F">
            <w:pPr>
              <w:pStyle w:val="P68B1DB1-Normal11"/>
              <w:spacing w:line="240" w:lineRule="auto"/>
              <w:rPr>
                <w:noProof/>
              </w:rPr>
            </w:pPr>
            <w:r>
              <w:rPr>
                <w:noProof/>
              </w:rPr>
              <w:t xml:space="preserve">EUR </w:t>
            </w:r>
          </w:p>
        </w:tc>
        <w:tc>
          <w:tcPr>
            <w:tcW w:w="1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2A31CC4" w14:textId="77777777" w:rsidR="00025543" w:rsidRDefault="007E3A2F">
            <w:pPr>
              <w:pStyle w:val="P68B1DB1-Normal11"/>
              <w:spacing w:line="240" w:lineRule="auto"/>
              <w:jc w:val="center"/>
              <w:rPr>
                <w:noProof/>
              </w:rPr>
            </w:pPr>
            <w:r>
              <w:rPr>
                <w:noProof/>
              </w:rPr>
              <w:t>0</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69383E9" w14:textId="77777777" w:rsidR="00025543" w:rsidRDefault="007E3A2F">
            <w:pPr>
              <w:pStyle w:val="P68B1DB1-Normal11"/>
              <w:spacing w:line="240" w:lineRule="auto"/>
              <w:jc w:val="center"/>
              <w:rPr>
                <w:noProof/>
              </w:rPr>
            </w:pPr>
            <w:r>
              <w:rPr>
                <w:noProof/>
              </w:rPr>
              <w:t>32 400 000</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4387377" w14:textId="77777777" w:rsidR="00025543" w:rsidRDefault="007E3A2F">
            <w:pPr>
              <w:pStyle w:val="P68B1DB1-Normal11"/>
              <w:spacing w:line="240" w:lineRule="auto"/>
              <w:jc w:val="center"/>
              <w:rPr>
                <w:noProof/>
              </w:rPr>
            </w:pPr>
            <w:r>
              <w:rPr>
                <w:noProof/>
              </w:rPr>
              <w:t>TRIMESTRE 4</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4B24C69" w14:textId="77777777" w:rsidR="00025543" w:rsidRDefault="007E3A2F">
            <w:pPr>
              <w:pStyle w:val="P68B1DB1-Normal11"/>
              <w:spacing w:line="240" w:lineRule="auto"/>
              <w:jc w:val="center"/>
              <w:rPr>
                <w:noProof/>
              </w:rPr>
            </w:pPr>
            <w:r>
              <w:rPr>
                <w:noProof/>
              </w:rPr>
              <w:t>2025</w:t>
            </w:r>
          </w:p>
        </w:tc>
        <w:tc>
          <w:tcPr>
            <w:tcW w:w="47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72A2A1D" w14:textId="77777777" w:rsidR="00025543" w:rsidRDefault="007E3A2F">
            <w:pPr>
              <w:pStyle w:val="P68B1DB1-Normal11"/>
              <w:spacing w:after="0" w:line="240" w:lineRule="auto"/>
              <w:rPr>
                <w:noProof/>
              </w:rPr>
            </w:pPr>
            <w:r>
              <w:rPr>
                <w:noProof/>
              </w:rPr>
              <w:t xml:space="preserve">L’investissement soutient, pour un montant de 32 400 000 EUR, au moins 30 projets d’ici la fin de 2025, conformément à la politique d’investissement, à l’issue d’une procédure de sélection transparente et concurrentielle. </w:t>
            </w:r>
          </w:p>
          <w:p w14:paraId="079E8FCD" w14:textId="61C10631" w:rsidR="00025543" w:rsidRDefault="007E3A2F">
            <w:pPr>
              <w:pStyle w:val="P68B1DB1-Normal11"/>
              <w:spacing w:line="240" w:lineRule="auto"/>
              <w:rPr>
                <w:noProof/>
              </w:rPr>
            </w:pPr>
            <w:r>
              <w:rPr>
                <w:noProof/>
              </w:rPr>
              <w:t>Les projets sont conformes aux orientations techniques «Ne pas causer de préjudice important» (DNSH) (2021/C58/01) et aux exigences pertinentes des domaines d’intervention applicables figurant à l’annexe VI du règlement (UE) 2021/241 (avec un coefficient de 40 % ou 100 %).</w:t>
            </w:r>
          </w:p>
        </w:tc>
      </w:tr>
    </w:tbl>
    <w:p w14:paraId="4F3B5EDE" w14:textId="77777777" w:rsidR="00025543" w:rsidRDefault="00025543">
      <w:pPr>
        <w:spacing w:line="240" w:lineRule="auto"/>
        <w:jc w:val="both"/>
        <w:rPr>
          <w:noProof/>
        </w:rPr>
      </w:pPr>
    </w:p>
    <w:p w14:paraId="1EA240FC" w14:textId="77777777" w:rsidR="00025543" w:rsidRDefault="00025543">
      <w:pPr>
        <w:spacing w:line="240" w:lineRule="auto"/>
        <w:jc w:val="both"/>
        <w:rPr>
          <w:noProof/>
        </w:rPr>
        <w:sectPr w:rsidR="00025543" w:rsidSect="003C3F81">
          <w:headerReference w:type="even" r:id="rId336"/>
          <w:headerReference w:type="default" r:id="rId337"/>
          <w:footerReference w:type="even" r:id="rId338"/>
          <w:footerReference w:type="default" r:id="rId339"/>
          <w:headerReference w:type="first" r:id="rId340"/>
          <w:footerReference w:type="first" r:id="rId341"/>
          <w:pgSz w:w="16839" w:h="11907" w:orient="landscape"/>
          <w:pgMar w:top="1134" w:right="1134" w:bottom="1134" w:left="1134" w:header="567" w:footer="567" w:gutter="0"/>
          <w:cols w:space="720"/>
          <w:docGrid w:linePitch="360"/>
        </w:sectPr>
      </w:pPr>
    </w:p>
    <w:p w14:paraId="696B2BAF" w14:textId="7A3566A8" w:rsidR="00025543" w:rsidRDefault="007E3A2F">
      <w:pPr>
        <w:pStyle w:val="P68B1DB1-Normal2"/>
        <w:keepNext/>
        <w:tabs>
          <w:tab w:val="left" w:pos="850"/>
        </w:tabs>
        <w:spacing w:line="240" w:lineRule="auto"/>
        <w:jc w:val="both"/>
        <w:outlineLvl w:val="0"/>
        <w:rPr>
          <w:noProof/>
        </w:rPr>
      </w:pPr>
      <w:r>
        <w:rPr>
          <w:noProof/>
        </w:rPr>
        <w:t>W. ELÉMENT 4.3: Réformes de la lutte contre la corruption</w:t>
      </w:r>
    </w:p>
    <w:p w14:paraId="4F77DA20" w14:textId="77777777" w:rsidR="00025543" w:rsidRDefault="007E3A2F">
      <w:pPr>
        <w:pStyle w:val="P68B1DB1-Normal3"/>
        <w:spacing w:line="240" w:lineRule="auto"/>
        <w:jc w:val="both"/>
        <w:rPr>
          <w:noProof/>
        </w:rPr>
      </w:pPr>
      <w:r>
        <w:rPr>
          <w:noProof/>
        </w:rPr>
        <w:t xml:space="preserve">Ce volet du plan pour la reprise et la résilience de la République tchèque contribue à relever le défi du renforcement du cadre anticorruption de la République tchèque par l’adoption d’une législation sur la protection des lanceurs d’alerte et la réglementation du lobbying. La réforme vise également à créer des bases de données analytiques sur la corruption, qui peuvent ensuite être utilisées pour concevoir et mettre en œuvre des mesures de lutte contre la corruption plus efficaces et mieux ciblées. Ce volet comprend également une réforme du système judiciaire visant à renforcer le cadre législatif et la transparence dans les domaines des tribunaux, des juges, des procureurs et des huissiers de justice. </w:t>
      </w:r>
    </w:p>
    <w:p w14:paraId="43F7D9A3" w14:textId="77777777" w:rsidR="00025543" w:rsidRDefault="007E3A2F">
      <w:pPr>
        <w:pStyle w:val="P68B1DB1-Normal3"/>
        <w:spacing w:line="240" w:lineRule="auto"/>
        <w:jc w:val="both"/>
        <w:rPr>
          <w:noProof/>
        </w:rPr>
      </w:pPr>
      <w:r>
        <w:rPr>
          <w:noProof/>
        </w:rPr>
        <w:t>Ce volet soutient la mise en œuvre de la recommandation par pays no 1 de 2019, selon laquelle la Tchéquie adopte des mesures de lutte contre la corruption dans l’attente.</w:t>
      </w:r>
    </w:p>
    <w:p w14:paraId="0D04BF79" w14:textId="54E6680A" w:rsidR="00025543" w:rsidRDefault="007E3A2F">
      <w:pPr>
        <w:spacing w:line="276" w:lineRule="auto"/>
        <w:jc w:val="both"/>
        <w:rPr>
          <w:noProof/>
          <w:sz w:val="22"/>
        </w:rPr>
      </w:pPr>
      <w:r>
        <w:rPr>
          <w:noProof/>
        </w:rPr>
        <w:t>Aucune mesure relevant de ce volet ne devrait nuire gravement aux objectifs environnementaux au sens de l’article 17 du règlement (UE) 2020/852, compte tenu de la description des mesures et des mesures d’atténuation prévues dans le plan pour la reprise et la résilience conformément aux orientations techniques de la DNSH (2021/C58/01).</w:t>
      </w:r>
    </w:p>
    <w:p w14:paraId="40429323" w14:textId="77777777" w:rsidR="00025543" w:rsidRDefault="00025543">
      <w:pPr>
        <w:spacing w:line="240" w:lineRule="auto"/>
        <w:jc w:val="both"/>
        <w:rPr>
          <w:rFonts w:eastAsia="Times New Roman"/>
          <w:i/>
          <w:noProof/>
        </w:rPr>
      </w:pPr>
    </w:p>
    <w:p w14:paraId="55137ECE" w14:textId="236B931D" w:rsidR="00025543" w:rsidRDefault="007E3A2F">
      <w:pPr>
        <w:pStyle w:val="P68B1DB1-Normal32"/>
        <w:spacing w:line="240" w:lineRule="auto"/>
        <w:jc w:val="both"/>
        <w:rPr>
          <w:noProof/>
        </w:rPr>
      </w:pPr>
      <w:r>
        <w:rPr>
          <w:noProof/>
        </w:rPr>
        <w:t>W.1. Description des réformes et des investissements en vue du soutien financier non remboursable</w:t>
      </w:r>
    </w:p>
    <w:p w14:paraId="67F47D8D" w14:textId="77777777" w:rsidR="00025543" w:rsidRDefault="007E3A2F">
      <w:pPr>
        <w:pStyle w:val="P68B1DB1-Normal26"/>
        <w:spacing w:line="240" w:lineRule="auto"/>
        <w:jc w:val="both"/>
        <w:rPr>
          <w:noProof/>
        </w:rPr>
      </w:pPr>
      <w:r>
        <w:rPr>
          <w:noProof/>
        </w:rPr>
        <w:t>Réforme 1: Protection des lanceurs d’alerte</w:t>
      </w:r>
    </w:p>
    <w:p w14:paraId="29816676" w14:textId="16F00D97" w:rsidR="00025543" w:rsidRDefault="007E3A2F">
      <w:pPr>
        <w:pStyle w:val="P68B1DB1-Normal3"/>
        <w:spacing w:line="240" w:lineRule="auto"/>
        <w:jc w:val="both"/>
        <w:rPr>
          <w:noProof/>
          <w:color w:val="000000"/>
        </w:rPr>
      </w:pPr>
      <w:r>
        <w:rPr>
          <w:noProof/>
        </w:rPr>
        <w:t xml:space="preserve">La mesure vise à améliorer les garanties juridiques pour les lanceurs d’alerte et à améliorer leur perception au sein de l’administration publique et de la société civile. Une nouvelle législation </w:t>
      </w:r>
      <w:r>
        <w:rPr>
          <w:noProof/>
          <w:color w:val="000000"/>
        </w:rPr>
        <w:t xml:space="preserve">est prévue pour garantir une protection efficace des lanceurs d’alerte contre les représailles au travail, en mettant en place des canaux de signalement internes pour les lanceurs d’alerte par les institutions publiques, les municipalités et les grandes entreprises. Un système de notification externe pour les lanceurs d’alerte est mis en place au sein du ministère de la justice. Afin d’améliorer la perception des lanceurs d’alerte, une campagne de sensibilisation est menée à la fois pour l’administration publique et le pouvoir judiciaire, ainsi que pour le grand public. </w:t>
      </w:r>
    </w:p>
    <w:p w14:paraId="64448758" w14:textId="1246162D" w:rsidR="00025543" w:rsidRDefault="007E3A2F">
      <w:pPr>
        <w:pStyle w:val="P68B1DB1-Normal3"/>
        <w:spacing w:line="240" w:lineRule="auto"/>
        <w:jc w:val="both"/>
        <w:rPr>
          <w:noProof/>
        </w:rPr>
      </w:pPr>
      <w:r>
        <w:rPr>
          <w:noProof/>
        </w:rPr>
        <w:t xml:space="preserve">La réforme doit être achevée au plus tard le 31 décembre 2023. </w:t>
      </w:r>
    </w:p>
    <w:p w14:paraId="340929F0" w14:textId="77777777" w:rsidR="00025543" w:rsidRDefault="007E3A2F">
      <w:pPr>
        <w:pStyle w:val="P68B1DB1-Normal26"/>
        <w:spacing w:line="240" w:lineRule="auto"/>
        <w:jc w:val="both"/>
        <w:rPr>
          <w:noProof/>
        </w:rPr>
      </w:pPr>
      <w:r>
        <w:rPr>
          <w:noProof/>
        </w:rPr>
        <w:t>Réforme 2: Renforcer le cadre législatif et la transparence dans les domaines des tribunaux, des juges, des procureurs et des huissiers de justice</w:t>
      </w:r>
    </w:p>
    <w:p w14:paraId="5E9AB666" w14:textId="25CD784B" w:rsidR="00025543" w:rsidRDefault="007E3A2F">
      <w:pPr>
        <w:pStyle w:val="P68B1DB1-Normal3"/>
        <w:spacing w:line="240" w:lineRule="auto"/>
        <w:jc w:val="both"/>
        <w:rPr>
          <w:noProof/>
        </w:rPr>
      </w:pPr>
      <w:r>
        <w:rPr>
          <w:noProof/>
        </w:rPr>
        <w:t xml:space="preserve">L’objectif de cette réforme est d’établir un système transparent et uniforme de recrutement et de sélection des juges et des titulaires de fonctions judiciaires fondé sur des critères précis, objectifs et uniformes. En outre, la réforme vise à réglementer plus en détail les activités accessoires des juges et à rationaliser les procédures judiciaires impliquant des assesseurs. Elle vise également à renforcer les garanties des procédures disciplinaires pour les juges, les procureurs et les huissiers de justice en introduisant une révision en appel. La réforme est réalisée par les mesures suivantes: </w:t>
      </w:r>
    </w:p>
    <w:p w14:paraId="70545B91" w14:textId="77777777" w:rsidR="00025543" w:rsidRDefault="007E3A2F">
      <w:pPr>
        <w:pStyle w:val="P68B1DB1-Normal3"/>
        <w:numPr>
          <w:ilvl w:val="0"/>
          <w:numId w:val="172"/>
        </w:numPr>
        <w:pBdr>
          <w:top w:val="nil"/>
          <w:left w:val="nil"/>
          <w:bottom w:val="nil"/>
          <w:right w:val="nil"/>
          <w:between w:val="nil"/>
        </w:pBdr>
        <w:spacing w:line="259" w:lineRule="auto"/>
        <w:ind w:left="360"/>
        <w:jc w:val="both"/>
        <w:rPr>
          <w:noProof/>
          <w:color w:val="000000"/>
        </w:rPr>
      </w:pPr>
      <w:r>
        <w:rPr>
          <w:noProof/>
        </w:rPr>
        <w:t>Entrée en vigueur</w:t>
      </w:r>
      <w:r>
        <w:rPr>
          <w:noProof/>
          <w:color w:val="000000"/>
        </w:rPr>
        <w:t>, au plus tard le 31 décembre 2021, de la loi sur les tribunaux, les juges, les assesseurs et l’administration publique des tribunaux (loi sur les juridictions et les juges);</w:t>
      </w:r>
    </w:p>
    <w:p w14:paraId="6F49B4D2" w14:textId="77777777" w:rsidR="00025543" w:rsidRDefault="007E3A2F">
      <w:pPr>
        <w:pStyle w:val="P68B1DB1-Normal4"/>
        <w:numPr>
          <w:ilvl w:val="0"/>
          <w:numId w:val="172"/>
        </w:numPr>
        <w:pBdr>
          <w:top w:val="nil"/>
          <w:left w:val="nil"/>
          <w:bottom w:val="nil"/>
          <w:right w:val="nil"/>
          <w:between w:val="nil"/>
        </w:pBdr>
        <w:spacing w:line="259" w:lineRule="auto"/>
        <w:ind w:left="360"/>
        <w:jc w:val="both"/>
        <w:rPr>
          <w:noProof/>
        </w:rPr>
      </w:pPr>
      <w:r>
        <w:rPr>
          <w:noProof/>
        </w:rPr>
        <w:t xml:space="preserve">Entrée en vigueur, au plus tard le 31 décembre 2024, de la loi sur les procédures dans les affaires de juges, de procureurs et d’huissiers de justice. </w:t>
      </w:r>
    </w:p>
    <w:p w14:paraId="79AAD2E6" w14:textId="77777777" w:rsidR="00025543" w:rsidRDefault="007E3A2F">
      <w:pPr>
        <w:pStyle w:val="P68B1DB1-Normal26"/>
        <w:keepNext/>
        <w:spacing w:line="240" w:lineRule="auto"/>
        <w:jc w:val="both"/>
        <w:rPr>
          <w:noProof/>
        </w:rPr>
      </w:pPr>
      <w:r>
        <w:rPr>
          <w:noProof/>
        </w:rPr>
        <w:t xml:space="preserve">Réforme 3: Collecte et analyse de données sur la corruption </w:t>
      </w:r>
    </w:p>
    <w:p w14:paraId="2969B013" w14:textId="77777777" w:rsidR="00025543" w:rsidRDefault="007E3A2F">
      <w:pPr>
        <w:pStyle w:val="P68B1DB1-Normal3"/>
        <w:spacing w:line="240" w:lineRule="auto"/>
        <w:jc w:val="both"/>
        <w:rPr>
          <w:noProof/>
        </w:rPr>
      </w:pPr>
      <w:r>
        <w:rPr>
          <w:noProof/>
        </w:rPr>
        <w:t xml:space="preserve">La réforme vise à obtenir des données quantitatives et qualitatives sur la prévalence de la corruption et à élargir l’éventail des outils permettant de cartographier et d’analyser les principaux types de corruption dans différents secteurs. Cet objectif sera atteint par un projet de recherche qui déterminera l’ampleur et les formes de corruption dans certains secteurs en République tchèque. L’analyse débouchera sur des recommandations de mesures visant à réduire la corruption dans les secteurs sélectionnés et devrait alimenter les futures stratégies anticorruption du gouvernement. Le rapport de recherche final propose une méthodologie pour mesurer l’expérience directe et indirecte en matière de corruption. La méthodologie est mise à la disposition des autorités publiques, des organisations à but non lucratif et des communautés universitaires en vue de leur développement et de leur application. </w:t>
      </w:r>
    </w:p>
    <w:p w14:paraId="56949FBE" w14:textId="568C94B6" w:rsidR="00025543" w:rsidRDefault="007E3A2F">
      <w:pPr>
        <w:pStyle w:val="P68B1DB1-Normal3"/>
        <w:spacing w:line="240" w:lineRule="auto"/>
        <w:jc w:val="both"/>
        <w:rPr>
          <w:noProof/>
        </w:rPr>
      </w:pPr>
      <w:r>
        <w:rPr>
          <w:noProof/>
        </w:rPr>
        <w:t>La réforme doit être achevée au plus tard le 31 mars 2023.</w:t>
      </w:r>
    </w:p>
    <w:p w14:paraId="1EC129DF" w14:textId="77777777" w:rsidR="00025543" w:rsidRDefault="007E3A2F">
      <w:pPr>
        <w:pStyle w:val="P68B1DB1-Normal26"/>
        <w:spacing w:line="240" w:lineRule="auto"/>
        <w:jc w:val="both"/>
        <w:rPr>
          <w:noProof/>
        </w:rPr>
      </w:pPr>
      <w:r>
        <w:rPr>
          <w:noProof/>
        </w:rPr>
        <w:t>Réforme 4: Établir des règles pour le lobbying</w:t>
      </w:r>
    </w:p>
    <w:p w14:paraId="73700E6D" w14:textId="77777777" w:rsidR="00025543" w:rsidRDefault="007E3A2F">
      <w:pPr>
        <w:pStyle w:val="P68B1DB1-Normal3"/>
        <w:spacing w:line="240" w:lineRule="auto"/>
        <w:jc w:val="both"/>
        <w:rPr>
          <w:noProof/>
        </w:rPr>
      </w:pPr>
      <w:r>
        <w:rPr>
          <w:noProof/>
        </w:rPr>
        <w:t>Le lobbying n’est actuellement pas réglementé en Tchéquie. L’objectif de cette réforme est d’établir un cadre juridique pour les activités de lobbying dans le cadre du processus législatif, de permettre le contrôle public du lobbying et, partant, d’accroître la transparence de l’ensemble du processus législatif. Une nouvelle loi sur le lobbying est adoptée, qui fixe des règles pour les activités de lobbying afin de faire la distinction entre les activités de lobbying légitimes et les activités de lobbying indésirables et non transparentes.</w:t>
      </w:r>
    </w:p>
    <w:p w14:paraId="2CE65134" w14:textId="3DE98FA8" w:rsidR="00025543" w:rsidRDefault="007E3A2F">
      <w:pPr>
        <w:pStyle w:val="P68B1DB1-Normal3"/>
        <w:spacing w:line="240" w:lineRule="auto"/>
        <w:jc w:val="both"/>
        <w:rPr>
          <w:noProof/>
        </w:rPr>
      </w:pPr>
      <w:r>
        <w:rPr>
          <w:noProof/>
        </w:rPr>
        <w:t>La réforme doit être achevée au plus tard le 30 juin 2025.</w:t>
      </w:r>
    </w:p>
    <w:p w14:paraId="1AC5F70F" w14:textId="77777777" w:rsidR="00025543" w:rsidRDefault="007E3A2F">
      <w:pPr>
        <w:pStyle w:val="P68B1DB1-Normal26"/>
        <w:spacing w:line="240" w:lineRule="auto"/>
        <w:jc w:val="both"/>
        <w:rPr>
          <w:noProof/>
        </w:rPr>
      </w:pPr>
      <w:r>
        <w:rPr>
          <w:noProof/>
        </w:rPr>
        <w:t>Réforme 5: Contrôle et audit</w:t>
      </w:r>
    </w:p>
    <w:p w14:paraId="37A3B2A5" w14:textId="4438F7C6" w:rsidR="00025543" w:rsidRDefault="007E3A2F">
      <w:pPr>
        <w:spacing w:line="240" w:lineRule="auto"/>
        <w:jc w:val="both"/>
        <w:rPr>
          <w:noProof/>
        </w:rPr>
      </w:pPr>
      <w:r>
        <w:rPr>
          <w:noProof/>
        </w:rPr>
        <w:t>La protection efficace des intérêts financiers de l’Union lors de la mise en œuvre de la facilité pour la reprise et la résilience est subordonnée à la mise en place de mesures appropriées pour prévenir, détecter et corriger la fraude, la corruption et les conflits d’intérêts au sens de l’article 61 du règlement financier. Par conséquent, l’amélioration de l’environnement de contrôle et d’audit est une condition préalable à la mise en œuvre efficace du plan conformément au droit de l’Union et au droit national applicables. Cette réforme comprend plusieurs mesures visant à protéger les intérêts financiers de l’Union, en particulier i) des améliorations du système national de contrôle afin de prévenir, de détecter et de corriger les situations de conflit d’intérêts, ii) un examen de la conformité des procédures nationales afin de garantir que l’application des bénéficiaires effectifs dans le cadre du système de contrôle interne de la facilité est pleinement alignée sur la définition des «bénéficiaires effectifs» telle que définie à l’article 3, point 6, de la directive 2015/849, telle que modifiée par la directive 2018/843, (iii) l’adoption d’une stratégie d’audit garantissant un audit indépendant et efficace de la mise en œuvre de la FRR, iv) l’approbation des procédures relatives au système de collecte, de stockage et de traitement des données relatives à tous les bénéficiaires finaux, y compris tous les bénéficiaires effectifs, conformément à l’article 3 de la directive (UE) 2015/849, et v) un système de répertoire pour le suivi de la mise en œuvre de la FRR et pour la collecte et le stockage de toutes les données visées à l’article 22, paragraphe 2, point d), du règlement (UE) 2021/241.</w:t>
      </w:r>
    </w:p>
    <w:p w14:paraId="1E0946A0" w14:textId="77777777" w:rsidR="00025543" w:rsidRDefault="00025543">
      <w:pPr>
        <w:spacing w:line="240" w:lineRule="auto"/>
        <w:jc w:val="both"/>
        <w:rPr>
          <w:noProof/>
        </w:rPr>
      </w:pPr>
    </w:p>
    <w:p w14:paraId="75A4A86E" w14:textId="2FB7CB07" w:rsidR="00025543" w:rsidRDefault="007E3A2F">
      <w:pPr>
        <w:spacing w:line="240" w:lineRule="auto"/>
        <w:jc w:val="both"/>
        <w:rPr>
          <w:rFonts w:eastAsia="Times New Roman"/>
          <w:b/>
          <w:noProof/>
        </w:rPr>
      </w:pPr>
      <w:r>
        <w:rPr>
          <w:noProof/>
        </w:rPr>
        <w:t>La réforme doit être achevée au plus tard le 30 juin 2022. Tous ces jalons sont atteints avant que la première demande de paiement ne soit soumise à la Commission.</w:t>
      </w:r>
    </w:p>
    <w:p w14:paraId="48DE7C85" w14:textId="77777777" w:rsidR="00025543" w:rsidRDefault="00025543">
      <w:pPr>
        <w:spacing w:line="240" w:lineRule="auto"/>
        <w:jc w:val="both"/>
        <w:rPr>
          <w:rFonts w:eastAsia="Times New Roman"/>
          <w:noProof/>
          <w:sz w:val="22"/>
        </w:rPr>
      </w:pPr>
    </w:p>
    <w:p w14:paraId="1A5BDE33" w14:textId="77777777" w:rsidR="00025543" w:rsidRDefault="00025543">
      <w:pPr>
        <w:spacing w:line="240" w:lineRule="auto"/>
        <w:jc w:val="both"/>
        <w:rPr>
          <w:rFonts w:eastAsia="Times New Roman"/>
          <w:b/>
          <w:noProof/>
          <w:sz w:val="22"/>
          <w:highlight w:val="yellow"/>
        </w:rPr>
        <w:sectPr w:rsidR="00025543" w:rsidSect="003C3F81">
          <w:headerReference w:type="even" r:id="rId342"/>
          <w:headerReference w:type="default" r:id="rId343"/>
          <w:footerReference w:type="even" r:id="rId344"/>
          <w:footerReference w:type="default" r:id="rId345"/>
          <w:headerReference w:type="first" r:id="rId346"/>
          <w:footerReference w:type="first" r:id="rId347"/>
          <w:pgSz w:w="11907" w:h="16839"/>
          <w:pgMar w:top="1134" w:right="1134" w:bottom="1134" w:left="1134" w:header="567" w:footer="567" w:gutter="0"/>
          <w:cols w:space="708"/>
          <w:docGrid w:linePitch="326"/>
        </w:sectPr>
      </w:pPr>
    </w:p>
    <w:p w14:paraId="1E4315A2" w14:textId="61C44750" w:rsidR="00025543" w:rsidRDefault="007E3A2F">
      <w:pPr>
        <w:pStyle w:val="P68B1DB1-Normal33"/>
        <w:pBdr>
          <w:top w:val="nil"/>
          <w:left w:val="nil"/>
          <w:bottom w:val="nil"/>
          <w:right w:val="nil"/>
          <w:between w:val="nil"/>
        </w:pBdr>
        <w:tabs>
          <w:tab w:val="left" w:pos="993"/>
        </w:tabs>
        <w:spacing w:line="240" w:lineRule="auto"/>
        <w:jc w:val="both"/>
        <w:rPr>
          <w:noProof/>
          <w:color w:val="000000"/>
        </w:rPr>
      </w:pPr>
      <w:r>
        <w:rPr>
          <w:noProof/>
        </w:rPr>
        <w:t xml:space="preserve">W.2. Jalons, cibles, indicateurs et calendrier de suivi et de mise en œuvre en vue du soutien financier non remboursable </w:t>
      </w:r>
    </w:p>
    <w:tbl>
      <w:tblPr>
        <w:tblW w:w="0" w:type="auto"/>
        <w:jc w:val="center"/>
        <w:tblLayout w:type="fixed"/>
        <w:tblLook w:val="04A0" w:firstRow="1" w:lastRow="0" w:firstColumn="1" w:lastColumn="0" w:noHBand="0" w:noVBand="1"/>
      </w:tblPr>
      <w:tblGrid>
        <w:gridCol w:w="675"/>
        <w:gridCol w:w="1307"/>
        <w:gridCol w:w="1134"/>
        <w:gridCol w:w="1276"/>
        <w:gridCol w:w="1559"/>
        <w:gridCol w:w="1077"/>
        <w:gridCol w:w="1077"/>
        <w:gridCol w:w="1077"/>
        <w:gridCol w:w="851"/>
        <w:gridCol w:w="891"/>
        <w:gridCol w:w="4745"/>
      </w:tblGrid>
      <w:tr w:rsidR="00025543" w14:paraId="78A7DD03" w14:textId="77777777">
        <w:trPr>
          <w:trHeight w:val="107"/>
          <w:tblHeader/>
          <w:jc w:val="center"/>
        </w:trPr>
        <w:tc>
          <w:tcPr>
            <w:tcW w:w="675"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0EA19B8E" w14:textId="77777777" w:rsidR="00025543" w:rsidRDefault="007E3A2F">
            <w:pPr>
              <w:pStyle w:val="P68B1DB1-Normal27"/>
              <w:spacing w:line="240" w:lineRule="auto"/>
              <w:jc w:val="center"/>
              <w:rPr>
                <w:noProof/>
              </w:rPr>
            </w:pPr>
            <w:r>
              <w:rPr>
                <w:noProof/>
              </w:rPr>
              <w:t>Séquence NUM.</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68D956CC" w14:textId="77777777" w:rsidR="00025543" w:rsidRDefault="007E3A2F">
            <w:pPr>
              <w:pStyle w:val="P68B1DB1-Normal9"/>
              <w:spacing w:line="240" w:lineRule="auto"/>
              <w:jc w:val="center"/>
              <w:rPr>
                <w:noProof/>
              </w:rPr>
            </w:pPr>
            <w:r>
              <w:rPr>
                <w:noProof/>
              </w:rPr>
              <w:t xml:space="preserve">Mesure connexe (réforme ou investissement)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74E3C37F" w14:textId="77777777" w:rsidR="00025543" w:rsidRDefault="007E3A2F">
            <w:pPr>
              <w:pStyle w:val="P68B1DB1-Normal9"/>
              <w:spacing w:line="240" w:lineRule="auto"/>
              <w:jc w:val="center"/>
              <w:rPr>
                <w:noProof/>
              </w:rPr>
            </w:pPr>
            <w:r>
              <w:rPr>
                <w:noProof/>
              </w:rPr>
              <w:t xml:space="preserve">Jalon/cible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60CFD4D9" w14:textId="77777777" w:rsidR="00025543" w:rsidRDefault="007E3A2F">
            <w:pPr>
              <w:pStyle w:val="P68B1DB1-Normal9"/>
              <w:spacing w:line="240" w:lineRule="auto"/>
              <w:jc w:val="center"/>
              <w:rPr>
                <w:noProof/>
              </w:rPr>
            </w:pPr>
            <w:r>
              <w:rPr>
                <w:noProof/>
              </w:rPr>
              <w:t xml:space="preserve">Nom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20257076" w14:textId="77777777" w:rsidR="00025543" w:rsidRDefault="007E3A2F">
            <w:pPr>
              <w:pStyle w:val="P68B1DB1-Normal12"/>
              <w:spacing w:line="240" w:lineRule="auto"/>
              <w:jc w:val="center"/>
              <w:rPr>
                <w:noProof/>
              </w:rPr>
            </w:pPr>
            <w:r>
              <w:rPr>
                <w:rFonts w:eastAsia="Times New Roman"/>
                <w:b/>
                <w:noProof/>
              </w:rPr>
              <w:t>Qualitatifs</w:t>
            </w:r>
            <w:r>
              <w:rPr>
                <w:noProof/>
              </w:rPr>
              <w:br/>
            </w:r>
            <w:r>
              <w:rPr>
                <w:rFonts w:eastAsia="Times New Roman"/>
                <w:b/>
                <w:noProof/>
              </w:rPr>
              <w:t xml:space="preserve"> (pour les jalons) </w:t>
            </w:r>
          </w:p>
        </w:tc>
        <w:tc>
          <w:tcPr>
            <w:tcW w:w="2268" w:type="dxa"/>
            <w:gridSpan w:val="3"/>
            <w:tcBorders>
              <w:top w:val="single" w:sz="8" w:space="0" w:color="auto"/>
              <w:left w:val="single" w:sz="4" w:space="0" w:color="auto"/>
              <w:bottom w:val="single" w:sz="8" w:space="0" w:color="auto"/>
              <w:right w:val="single" w:sz="8" w:space="0" w:color="000000" w:themeColor="text1"/>
            </w:tcBorders>
            <w:shd w:val="clear" w:color="auto" w:fill="BDD7EE"/>
            <w:vAlign w:val="center"/>
          </w:tcPr>
          <w:p w14:paraId="57581A5C" w14:textId="77777777" w:rsidR="00025543" w:rsidRDefault="007E3A2F">
            <w:pPr>
              <w:pStyle w:val="P68B1DB1-Normal12"/>
              <w:spacing w:line="240" w:lineRule="auto"/>
              <w:jc w:val="center"/>
              <w:rPr>
                <w:noProof/>
              </w:rPr>
            </w:pPr>
            <w:r>
              <w:rPr>
                <w:rFonts w:eastAsia="Times New Roman"/>
                <w:b/>
                <w:noProof/>
              </w:rPr>
              <w:t>Indicateurs quantitatifs</w:t>
            </w:r>
            <w:r>
              <w:rPr>
                <w:noProof/>
              </w:rPr>
              <w:br/>
            </w:r>
            <w:r>
              <w:rPr>
                <w:rFonts w:eastAsia="Times New Roman"/>
                <w:b/>
                <w:noProof/>
              </w:rPr>
              <w:t xml:space="preserve"> (pour les objectifs)</w:t>
            </w:r>
          </w:p>
        </w:tc>
        <w:tc>
          <w:tcPr>
            <w:tcW w:w="1742" w:type="dxa"/>
            <w:gridSpan w:val="2"/>
            <w:tcBorders>
              <w:top w:val="single" w:sz="8" w:space="0" w:color="auto"/>
              <w:left w:val="nil"/>
              <w:bottom w:val="single" w:sz="8" w:space="0" w:color="auto"/>
              <w:right w:val="single" w:sz="4" w:space="0" w:color="auto"/>
            </w:tcBorders>
            <w:shd w:val="clear" w:color="auto" w:fill="BDD7EE"/>
            <w:vAlign w:val="center"/>
          </w:tcPr>
          <w:p w14:paraId="69F81DCD" w14:textId="77777777" w:rsidR="00025543" w:rsidRDefault="007E3A2F">
            <w:pPr>
              <w:pStyle w:val="P68B1DB1-Normal9"/>
              <w:spacing w:line="240" w:lineRule="auto"/>
              <w:jc w:val="center"/>
              <w:rPr>
                <w:noProof/>
              </w:rPr>
            </w:pPr>
            <w:r>
              <w:rPr>
                <w:noProof/>
              </w:rPr>
              <w:t xml:space="preserve">Calendrier indicatif de réalisation </w:t>
            </w:r>
          </w:p>
        </w:tc>
        <w:tc>
          <w:tcPr>
            <w:tcW w:w="4745"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6E9C2E44" w14:textId="77777777" w:rsidR="00025543" w:rsidRDefault="007E3A2F">
            <w:pPr>
              <w:pStyle w:val="P68B1DB1-Normal9"/>
              <w:spacing w:line="240" w:lineRule="auto"/>
              <w:jc w:val="center"/>
              <w:rPr>
                <w:noProof/>
              </w:rPr>
            </w:pPr>
            <w:r>
              <w:rPr>
                <w:noProof/>
              </w:rPr>
              <w:t>Description et définition claire de chaque jalon et cible</w:t>
            </w:r>
          </w:p>
        </w:tc>
      </w:tr>
      <w:tr w:rsidR="00025543" w14:paraId="46BF8B7B" w14:textId="77777777">
        <w:trPr>
          <w:trHeight w:val="173"/>
          <w:tblHeader/>
          <w:jc w:val="center"/>
        </w:trPr>
        <w:tc>
          <w:tcPr>
            <w:tcW w:w="675" w:type="dxa"/>
            <w:vMerge/>
            <w:tcBorders>
              <w:top w:val="single" w:sz="4" w:space="0" w:color="auto"/>
              <w:left w:val="single" w:sz="4" w:space="0" w:color="auto"/>
              <w:bottom w:val="single" w:sz="4" w:space="0" w:color="auto"/>
              <w:right w:val="single" w:sz="4" w:space="0" w:color="auto"/>
            </w:tcBorders>
            <w:vAlign w:val="center"/>
          </w:tcPr>
          <w:p w14:paraId="5AD6B519" w14:textId="77777777" w:rsidR="00025543" w:rsidRDefault="00025543">
            <w:pPr>
              <w:spacing w:line="240" w:lineRule="auto"/>
              <w:jc w:val="center"/>
              <w:rPr>
                <w:noProof/>
                <w:sz w:val="18"/>
              </w:rPr>
            </w:pPr>
          </w:p>
        </w:tc>
        <w:tc>
          <w:tcPr>
            <w:tcW w:w="1307" w:type="dxa"/>
            <w:vMerge/>
            <w:tcBorders>
              <w:top w:val="single" w:sz="4" w:space="0" w:color="auto"/>
              <w:left w:val="single" w:sz="4" w:space="0" w:color="auto"/>
              <w:bottom w:val="single" w:sz="4" w:space="0" w:color="auto"/>
              <w:right w:val="single" w:sz="4" w:space="0" w:color="auto"/>
            </w:tcBorders>
            <w:vAlign w:val="center"/>
          </w:tcPr>
          <w:p w14:paraId="79EE6768" w14:textId="77777777" w:rsidR="00025543" w:rsidRDefault="00025543">
            <w:pPr>
              <w:spacing w:line="240" w:lineRule="auto"/>
              <w:jc w:val="center"/>
              <w:rPr>
                <w:noProof/>
                <w:sz w:val="18"/>
              </w:rPr>
            </w:pPr>
          </w:p>
        </w:tc>
        <w:tc>
          <w:tcPr>
            <w:tcW w:w="1134" w:type="dxa"/>
            <w:vMerge/>
            <w:tcBorders>
              <w:left w:val="single" w:sz="4" w:space="0" w:color="auto"/>
              <w:right w:val="single" w:sz="4" w:space="0" w:color="auto"/>
            </w:tcBorders>
            <w:vAlign w:val="center"/>
          </w:tcPr>
          <w:p w14:paraId="4A01ED21" w14:textId="77777777" w:rsidR="00025543" w:rsidRDefault="00025543">
            <w:pPr>
              <w:spacing w:line="240" w:lineRule="auto"/>
              <w:jc w:val="center"/>
              <w:rPr>
                <w:noProof/>
                <w:sz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6F2D7A4" w14:textId="77777777" w:rsidR="00025543" w:rsidRDefault="00025543">
            <w:pPr>
              <w:spacing w:line="240" w:lineRule="auto"/>
              <w:jc w:val="center"/>
              <w:rPr>
                <w:noProof/>
                <w:sz w:val="18"/>
              </w:rPr>
            </w:pPr>
          </w:p>
        </w:tc>
        <w:tc>
          <w:tcPr>
            <w:tcW w:w="1559" w:type="dxa"/>
            <w:vMerge/>
            <w:tcBorders>
              <w:left w:val="single" w:sz="4" w:space="0" w:color="auto"/>
            </w:tcBorders>
            <w:vAlign w:val="center"/>
          </w:tcPr>
          <w:p w14:paraId="6D478172" w14:textId="77777777" w:rsidR="00025543" w:rsidRDefault="00025543">
            <w:pPr>
              <w:spacing w:line="240" w:lineRule="auto"/>
              <w:jc w:val="center"/>
              <w:rPr>
                <w:noProof/>
                <w:sz w:val="18"/>
              </w:rPr>
            </w:pPr>
          </w:p>
        </w:tc>
        <w:tc>
          <w:tcPr>
            <w:tcW w:w="1077" w:type="dxa"/>
            <w:tcBorders>
              <w:top w:val="single" w:sz="8" w:space="0" w:color="auto"/>
              <w:left w:val="single" w:sz="4" w:space="0" w:color="auto"/>
              <w:bottom w:val="single" w:sz="8" w:space="0" w:color="auto"/>
              <w:right w:val="single" w:sz="8" w:space="0" w:color="000000" w:themeColor="text1"/>
            </w:tcBorders>
            <w:shd w:val="clear" w:color="auto" w:fill="BDD7EE"/>
            <w:vAlign w:val="center"/>
          </w:tcPr>
          <w:p w14:paraId="6B3DEE91" w14:textId="77777777" w:rsidR="00025543" w:rsidRDefault="007E3A2F">
            <w:pPr>
              <w:pStyle w:val="P68B1DB1-Normal9"/>
              <w:spacing w:line="240" w:lineRule="auto"/>
              <w:jc w:val="center"/>
              <w:rPr>
                <w:noProof/>
              </w:rPr>
            </w:pPr>
            <w:r>
              <w:rPr>
                <w:noProof/>
              </w:rPr>
              <w:t>Unité de mesure</w:t>
            </w:r>
          </w:p>
        </w:tc>
        <w:tc>
          <w:tcPr>
            <w:tcW w:w="1077" w:type="dxa"/>
            <w:tcBorders>
              <w:top w:val="nil"/>
              <w:left w:val="single" w:sz="8" w:space="0" w:color="auto"/>
              <w:bottom w:val="single" w:sz="8" w:space="0" w:color="auto"/>
              <w:right w:val="single" w:sz="8" w:space="0" w:color="auto"/>
            </w:tcBorders>
            <w:shd w:val="clear" w:color="auto" w:fill="BDD7EE"/>
            <w:vAlign w:val="center"/>
          </w:tcPr>
          <w:p w14:paraId="41F63021" w14:textId="77777777" w:rsidR="00025543" w:rsidRDefault="007E3A2F">
            <w:pPr>
              <w:pStyle w:val="P68B1DB1-Normal9"/>
              <w:spacing w:line="240" w:lineRule="auto"/>
              <w:jc w:val="center"/>
              <w:rPr>
                <w:noProof/>
              </w:rPr>
            </w:pPr>
            <w:r>
              <w:rPr>
                <w:noProof/>
              </w:rPr>
              <w:t>Scénario de référence</w:t>
            </w:r>
          </w:p>
        </w:tc>
        <w:tc>
          <w:tcPr>
            <w:tcW w:w="1077" w:type="dxa"/>
            <w:tcBorders>
              <w:top w:val="nil"/>
              <w:left w:val="single" w:sz="8" w:space="0" w:color="auto"/>
              <w:bottom w:val="single" w:sz="8" w:space="0" w:color="auto"/>
              <w:right w:val="single" w:sz="8" w:space="0" w:color="000000" w:themeColor="text1"/>
            </w:tcBorders>
            <w:shd w:val="clear" w:color="auto" w:fill="BDD7EE"/>
            <w:vAlign w:val="center"/>
          </w:tcPr>
          <w:p w14:paraId="1CA13AC8" w14:textId="77777777" w:rsidR="00025543" w:rsidRDefault="007E3A2F">
            <w:pPr>
              <w:pStyle w:val="P68B1DB1-Normal9"/>
              <w:spacing w:line="240" w:lineRule="auto"/>
              <w:jc w:val="center"/>
              <w:rPr>
                <w:noProof/>
              </w:rPr>
            </w:pPr>
            <w:r>
              <w:rPr>
                <w:noProof/>
              </w:rPr>
              <w:t>Objectif</w:t>
            </w:r>
          </w:p>
        </w:tc>
        <w:tc>
          <w:tcPr>
            <w:tcW w:w="851" w:type="dxa"/>
            <w:tcBorders>
              <w:top w:val="single" w:sz="8" w:space="0" w:color="auto"/>
              <w:left w:val="single" w:sz="8" w:space="0" w:color="auto"/>
              <w:bottom w:val="single" w:sz="8" w:space="0" w:color="auto"/>
              <w:right w:val="single" w:sz="8" w:space="0" w:color="000000" w:themeColor="text1"/>
            </w:tcBorders>
            <w:shd w:val="clear" w:color="auto" w:fill="BDD7EE"/>
            <w:vAlign w:val="center"/>
          </w:tcPr>
          <w:p w14:paraId="7058C77F" w14:textId="77777777" w:rsidR="00025543" w:rsidRDefault="007E3A2F">
            <w:pPr>
              <w:pStyle w:val="P68B1DB1-Normal9"/>
              <w:spacing w:line="240" w:lineRule="auto"/>
              <w:jc w:val="center"/>
              <w:rPr>
                <w:noProof/>
              </w:rPr>
            </w:pPr>
            <w:r>
              <w:rPr>
                <w:noProof/>
              </w:rPr>
              <w:t>Trimestre</w:t>
            </w:r>
          </w:p>
        </w:tc>
        <w:tc>
          <w:tcPr>
            <w:tcW w:w="891" w:type="dxa"/>
            <w:tcBorders>
              <w:top w:val="nil"/>
              <w:left w:val="single" w:sz="8" w:space="0" w:color="auto"/>
              <w:bottom w:val="single" w:sz="8" w:space="0" w:color="auto"/>
              <w:right w:val="single" w:sz="4" w:space="0" w:color="auto"/>
            </w:tcBorders>
            <w:shd w:val="clear" w:color="auto" w:fill="BDD7EE"/>
            <w:vAlign w:val="center"/>
          </w:tcPr>
          <w:p w14:paraId="18EA3FDC" w14:textId="77777777" w:rsidR="00025543" w:rsidRDefault="007E3A2F">
            <w:pPr>
              <w:pStyle w:val="P68B1DB1-Normal9"/>
              <w:spacing w:line="240" w:lineRule="auto"/>
              <w:jc w:val="center"/>
              <w:rPr>
                <w:noProof/>
              </w:rPr>
            </w:pPr>
            <w:r>
              <w:rPr>
                <w:noProof/>
              </w:rPr>
              <w:t>Année</w:t>
            </w:r>
          </w:p>
        </w:tc>
        <w:tc>
          <w:tcPr>
            <w:tcW w:w="4745" w:type="dxa"/>
            <w:vMerge/>
            <w:tcBorders>
              <w:bottom w:val="single" w:sz="4" w:space="0" w:color="auto"/>
              <w:right w:val="single" w:sz="4" w:space="0" w:color="auto"/>
            </w:tcBorders>
            <w:vAlign w:val="center"/>
          </w:tcPr>
          <w:p w14:paraId="6DA0A3F9" w14:textId="77777777" w:rsidR="00025543" w:rsidRDefault="00025543">
            <w:pPr>
              <w:spacing w:line="240" w:lineRule="auto"/>
              <w:jc w:val="center"/>
              <w:rPr>
                <w:noProof/>
                <w:sz w:val="18"/>
              </w:rPr>
            </w:pPr>
          </w:p>
        </w:tc>
      </w:tr>
      <w:tr w:rsidR="00025543" w14:paraId="50655501" w14:textId="77777777">
        <w:trPr>
          <w:trHeight w:val="6210"/>
          <w:jc w:val="center"/>
        </w:trPr>
        <w:tc>
          <w:tcPr>
            <w:tcW w:w="675" w:type="dxa"/>
            <w:tcBorders>
              <w:top w:val="single" w:sz="4" w:space="0" w:color="auto"/>
              <w:left w:val="single" w:sz="8" w:space="0" w:color="auto"/>
              <w:bottom w:val="single" w:sz="8" w:space="0" w:color="auto"/>
              <w:right w:val="single" w:sz="8" w:space="0" w:color="auto"/>
            </w:tcBorders>
            <w:shd w:val="clear" w:color="auto" w:fill="C6EFCE"/>
            <w:vAlign w:val="center"/>
          </w:tcPr>
          <w:p w14:paraId="3D56C99F" w14:textId="77777777" w:rsidR="00025543" w:rsidRDefault="007E3A2F">
            <w:pPr>
              <w:pStyle w:val="P68B1DB1-Normal16"/>
              <w:spacing w:line="240" w:lineRule="auto"/>
              <w:jc w:val="center"/>
              <w:rPr>
                <w:noProof/>
              </w:rPr>
            </w:pPr>
            <w:r>
              <w:rPr>
                <w:noProof/>
              </w:rPr>
              <w:t>202</w:t>
            </w:r>
          </w:p>
        </w:tc>
        <w:tc>
          <w:tcPr>
            <w:tcW w:w="1307" w:type="dxa"/>
            <w:tcBorders>
              <w:top w:val="single" w:sz="4" w:space="0" w:color="auto"/>
              <w:left w:val="single" w:sz="8" w:space="0" w:color="auto"/>
              <w:bottom w:val="single" w:sz="8" w:space="0" w:color="auto"/>
              <w:right w:val="single" w:sz="8" w:space="0" w:color="auto"/>
            </w:tcBorders>
            <w:shd w:val="clear" w:color="auto" w:fill="C6EFCE"/>
            <w:vAlign w:val="center"/>
          </w:tcPr>
          <w:p w14:paraId="4581ADBB" w14:textId="77777777" w:rsidR="00025543" w:rsidRDefault="007E3A2F">
            <w:pPr>
              <w:pStyle w:val="P68B1DB1-Normal16"/>
              <w:spacing w:line="240" w:lineRule="auto"/>
              <w:rPr>
                <w:noProof/>
              </w:rPr>
            </w:pPr>
            <w:r>
              <w:rPr>
                <w:noProof/>
              </w:rPr>
              <w:t xml:space="preserve">Réforme 1: Protection des lanceurs d’alerte </w:t>
            </w:r>
          </w:p>
        </w:tc>
        <w:tc>
          <w:tcPr>
            <w:tcW w:w="1134" w:type="dxa"/>
            <w:tcBorders>
              <w:top w:val="single" w:sz="4" w:space="0" w:color="auto"/>
              <w:left w:val="single" w:sz="8" w:space="0" w:color="auto"/>
              <w:bottom w:val="single" w:sz="8" w:space="0" w:color="auto"/>
              <w:right w:val="single" w:sz="8" w:space="0" w:color="auto"/>
            </w:tcBorders>
            <w:shd w:val="clear" w:color="auto" w:fill="C6EFCE"/>
            <w:vAlign w:val="center"/>
          </w:tcPr>
          <w:p w14:paraId="1AF2B807" w14:textId="77777777" w:rsidR="00025543" w:rsidRDefault="007E3A2F">
            <w:pPr>
              <w:pStyle w:val="P68B1DB1-Normal16"/>
              <w:spacing w:line="240" w:lineRule="auto"/>
              <w:rPr>
                <w:noProof/>
              </w:rPr>
            </w:pPr>
            <w:r>
              <w:rPr>
                <w:noProof/>
              </w:rPr>
              <w:t>Étapes</w:t>
            </w:r>
          </w:p>
        </w:tc>
        <w:tc>
          <w:tcPr>
            <w:tcW w:w="1276" w:type="dxa"/>
            <w:tcBorders>
              <w:top w:val="single" w:sz="4" w:space="0" w:color="auto"/>
              <w:left w:val="single" w:sz="8" w:space="0" w:color="auto"/>
              <w:bottom w:val="single" w:sz="8" w:space="0" w:color="auto"/>
              <w:right w:val="single" w:sz="8" w:space="0" w:color="auto"/>
            </w:tcBorders>
            <w:shd w:val="clear" w:color="auto" w:fill="C6EFCE"/>
            <w:vAlign w:val="center"/>
          </w:tcPr>
          <w:p w14:paraId="6C8A96E4" w14:textId="77777777" w:rsidR="00025543" w:rsidRDefault="007E3A2F">
            <w:pPr>
              <w:pStyle w:val="P68B1DB1-Normal16"/>
              <w:spacing w:line="240" w:lineRule="auto"/>
              <w:rPr>
                <w:noProof/>
              </w:rPr>
            </w:pPr>
            <w:r>
              <w:rPr>
                <w:noProof/>
              </w:rPr>
              <w:t>Entrée en vigueur de la loi sur la protection des lanceurs d’alerte et de la loi modificative qui l’accompagne</w:t>
            </w:r>
          </w:p>
        </w:tc>
        <w:tc>
          <w:tcPr>
            <w:tcW w:w="1559" w:type="dxa"/>
            <w:tcBorders>
              <w:top w:val="single" w:sz="4" w:space="0" w:color="auto"/>
              <w:left w:val="single" w:sz="8" w:space="0" w:color="auto"/>
              <w:bottom w:val="single" w:sz="8" w:space="0" w:color="auto"/>
              <w:right w:val="single" w:sz="8" w:space="0" w:color="auto"/>
            </w:tcBorders>
            <w:shd w:val="clear" w:color="auto" w:fill="C6EFCE"/>
            <w:vAlign w:val="center"/>
          </w:tcPr>
          <w:p w14:paraId="1BCBAB6E" w14:textId="77777777" w:rsidR="00025543" w:rsidRDefault="007E3A2F">
            <w:pPr>
              <w:pStyle w:val="P68B1DB1-Normal16"/>
              <w:spacing w:line="240" w:lineRule="auto"/>
              <w:rPr>
                <w:noProof/>
              </w:rPr>
            </w:pPr>
            <w:r>
              <w:rPr>
                <w:noProof/>
              </w:rPr>
              <w:t xml:space="preserve">Disposition de la loi sur la protection des lanceurs d’alerte indiquant l’entrée en vigueur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F7C6583" w14:textId="77777777" w:rsidR="00025543" w:rsidRDefault="00025543">
            <w:pPr>
              <w:spacing w:line="240" w:lineRule="auto"/>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124F4888" w14:textId="77777777" w:rsidR="00025543" w:rsidRDefault="00025543">
            <w:pPr>
              <w:spacing w:line="240" w:lineRule="auto"/>
              <w:jc w:val="center"/>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69E394A" w14:textId="77777777" w:rsidR="00025543" w:rsidRDefault="00025543">
            <w:pPr>
              <w:spacing w:line="240" w:lineRule="auto"/>
              <w:jc w:val="center"/>
              <w:rPr>
                <w:noProof/>
                <w:color w:val="004300"/>
                <w:sz w:val="18"/>
              </w:rPr>
            </w:pP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14:paraId="7F0881FA" w14:textId="77777777" w:rsidR="00025543" w:rsidRDefault="007E3A2F">
            <w:pPr>
              <w:pStyle w:val="P68B1DB1-Normal16"/>
              <w:spacing w:line="240" w:lineRule="auto"/>
              <w:jc w:val="center"/>
              <w:rPr>
                <w:noProof/>
              </w:rPr>
            </w:pPr>
            <w:r>
              <w:rPr>
                <w:noProof/>
              </w:rPr>
              <w:t>TRIMESTRE 4</w:t>
            </w:r>
          </w:p>
        </w:tc>
        <w:tc>
          <w:tcPr>
            <w:tcW w:w="891" w:type="dxa"/>
            <w:tcBorders>
              <w:top w:val="single" w:sz="8" w:space="0" w:color="auto"/>
              <w:left w:val="single" w:sz="8" w:space="0" w:color="auto"/>
              <w:bottom w:val="single" w:sz="8" w:space="0" w:color="auto"/>
              <w:right w:val="single" w:sz="8" w:space="0" w:color="auto"/>
            </w:tcBorders>
            <w:shd w:val="clear" w:color="auto" w:fill="C6EFCE"/>
            <w:vAlign w:val="center"/>
          </w:tcPr>
          <w:p w14:paraId="046F5992" w14:textId="38F48F47" w:rsidR="00025543" w:rsidRDefault="007E3A2F">
            <w:pPr>
              <w:pStyle w:val="P68B1DB1-Normal16"/>
              <w:spacing w:line="240" w:lineRule="auto"/>
              <w:jc w:val="center"/>
              <w:rPr>
                <w:noProof/>
              </w:rPr>
            </w:pPr>
            <w:r>
              <w:rPr>
                <w:noProof/>
              </w:rPr>
              <w:t>2023</w:t>
            </w:r>
          </w:p>
        </w:tc>
        <w:tc>
          <w:tcPr>
            <w:tcW w:w="4745" w:type="dxa"/>
            <w:tcBorders>
              <w:top w:val="single" w:sz="4" w:space="0" w:color="auto"/>
              <w:left w:val="single" w:sz="8" w:space="0" w:color="auto"/>
              <w:bottom w:val="single" w:sz="8" w:space="0" w:color="auto"/>
              <w:right w:val="single" w:sz="8" w:space="0" w:color="auto"/>
            </w:tcBorders>
            <w:shd w:val="clear" w:color="auto" w:fill="C6EFCE"/>
            <w:vAlign w:val="center"/>
          </w:tcPr>
          <w:p w14:paraId="3ECBF25B" w14:textId="77777777" w:rsidR="00025543" w:rsidRDefault="007E3A2F">
            <w:pPr>
              <w:pStyle w:val="P68B1DB1-Normal16"/>
              <w:pBdr>
                <w:top w:val="nil"/>
                <w:left w:val="nil"/>
                <w:bottom w:val="nil"/>
                <w:right w:val="nil"/>
                <w:between w:val="nil"/>
              </w:pBdr>
              <w:spacing w:after="0" w:line="259" w:lineRule="auto"/>
              <w:rPr>
                <w:noProof/>
              </w:rPr>
            </w:pPr>
            <w:r>
              <w:rPr>
                <w:noProof/>
              </w:rPr>
              <w:t xml:space="preserve">La loi sur la protection des lanceurs d’alerte: </w:t>
            </w:r>
          </w:p>
          <w:p w14:paraId="311D6F5E" w14:textId="77777777" w:rsidR="00025543" w:rsidRDefault="007E3A2F">
            <w:pPr>
              <w:pStyle w:val="P68B1DB1-Normal16"/>
              <w:numPr>
                <w:ilvl w:val="0"/>
                <w:numId w:val="186"/>
              </w:numPr>
              <w:pBdr>
                <w:top w:val="nil"/>
                <w:left w:val="nil"/>
                <w:bottom w:val="nil"/>
                <w:right w:val="nil"/>
                <w:between w:val="nil"/>
              </w:pBdr>
              <w:spacing w:after="0" w:line="259" w:lineRule="auto"/>
              <w:rPr>
                <w:noProof/>
              </w:rPr>
            </w:pPr>
            <w:r>
              <w:rPr>
                <w:noProof/>
              </w:rPr>
              <w:t xml:space="preserve">interdire les mesures de représailles à l’encontre des lanceurs d’alerte </w:t>
            </w:r>
          </w:p>
          <w:p w14:paraId="5146289D" w14:textId="77777777" w:rsidR="00025543" w:rsidRDefault="007E3A2F">
            <w:pPr>
              <w:pStyle w:val="P68B1DB1-Normal16"/>
              <w:numPr>
                <w:ilvl w:val="0"/>
                <w:numId w:val="186"/>
              </w:numPr>
              <w:pBdr>
                <w:top w:val="nil"/>
                <w:left w:val="nil"/>
                <w:bottom w:val="nil"/>
                <w:right w:val="nil"/>
                <w:between w:val="nil"/>
              </w:pBdr>
              <w:spacing w:after="0" w:line="259" w:lineRule="auto"/>
              <w:rPr>
                <w:noProof/>
              </w:rPr>
            </w:pPr>
            <w:r>
              <w:rPr>
                <w:noProof/>
              </w:rPr>
              <w:t>exiger la mise en place d’un canal de notification externe pour la dénonciation des dysfonctionnements au ministère de la justice</w:t>
            </w:r>
          </w:p>
          <w:p w14:paraId="0B90E31C" w14:textId="1929786D" w:rsidR="00025543" w:rsidRDefault="007E3A2F">
            <w:pPr>
              <w:pStyle w:val="P68B1DB1-Normal16"/>
              <w:numPr>
                <w:ilvl w:val="0"/>
                <w:numId w:val="186"/>
              </w:numPr>
              <w:pBdr>
                <w:top w:val="nil"/>
                <w:left w:val="nil"/>
                <w:bottom w:val="nil"/>
                <w:right w:val="nil"/>
                <w:between w:val="nil"/>
              </w:pBdr>
              <w:spacing w:after="0" w:line="259" w:lineRule="auto"/>
              <w:rPr>
                <w:noProof/>
              </w:rPr>
            </w:pPr>
            <w:r>
              <w:rPr>
                <w:noProof/>
              </w:rPr>
              <w:t>exiger des institutions publiques, des grandes municipalités et des grandes entreprises qu’elles mettent en place des systèmes de notification internes pour les lanceurs d’alerte</w:t>
            </w:r>
          </w:p>
        </w:tc>
      </w:tr>
      <w:tr w:rsidR="00025543" w14:paraId="19AACE22"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5A7AEB2B" w14:textId="77777777" w:rsidR="00025543" w:rsidRDefault="007E3A2F">
            <w:pPr>
              <w:pStyle w:val="P68B1DB1-Normal16"/>
              <w:spacing w:line="240" w:lineRule="auto"/>
              <w:jc w:val="center"/>
              <w:rPr>
                <w:noProof/>
              </w:rPr>
            </w:pPr>
            <w:r>
              <w:rPr>
                <w:noProof/>
              </w:rPr>
              <w:t>203</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389CA85D" w14:textId="77777777" w:rsidR="00025543" w:rsidRDefault="007E3A2F">
            <w:pPr>
              <w:pStyle w:val="P68B1DB1-Normal16"/>
              <w:spacing w:line="240" w:lineRule="auto"/>
              <w:rPr>
                <w:noProof/>
              </w:rPr>
            </w:pPr>
            <w:r>
              <w:rPr>
                <w:noProof/>
              </w:rPr>
              <w:t>Réforme 2: Réforme du système judiciaire visant à renforcer le cadre législatif et la transparence dans les domaines des tribunaux, des juges, des procureurs et des huissiers de justice</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6CF3C628" w14:textId="77777777" w:rsidR="00025543" w:rsidRDefault="007E3A2F">
            <w:pPr>
              <w:pStyle w:val="P68B1DB1-Normal16"/>
              <w:spacing w:line="240" w:lineRule="auto"/>
              <w:rPr>
                <w:noProof/>
              </w:rPr>
            </w:pPr>
            <w:r>
              <w:rPr>
                <w:noProof/>
              </w:rPr>
              <w:t>Étapes</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5F05EC95" w14:textId="77777777" w:rsidR="00025543" w:rsidRDefault="007E3A2F">
            <w:pPr>
              <w:pStyle w:val="P68B1DB1-Normal16"/>
              <w:spacing w:line="240" w:lineRule="auto"/>
              <w:rPr>
                <w:noProof/>
              </w:rPr>
            </w:pPr>
            <w:r>
              <w:rPr>
                <w:noProof/>
              </w:rPr>
              <w:t xml:space="preserve">Entrée en vigueur de la loi sur les tribunaux et les juges </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14:paraId="0151FA4E" w14:textId="77777777" w:rsidR="00025543" w:rsidRDefault="007E3A2F">
            <w:pPr>
              <w:pStyle w:val="P68B1DB1-Normal16"/>
              <w:spacing w:line="240" w:lineRule="auto"/>
              <w:rPr>
                <w:noProof/>
              </w:rPr>
            </w:pPr>
            <w:r>
              <w:rPr>
                <w:noProof/>
              </w:rPr>
              <w:t>Disposition de la loi sur les tribunaux et les juges indiquant l’entrée en vigueur</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40FC4493" w14:textId="77777777" w:rsidR="00025543" w:rsidRDefault="00025543">
            <w:pPr>
              <w:spacing w:line="240" w:lineRule="auto"/>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8DF84C3" w14:textId="77777777" w:rsidR="00025543" w:rsidRDefault="00025543">
            <w:pPr>
              <w:spacing w:line="240" w:lineRule="auto"/>
              <w:jc w:val="center"/>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1F4E51D" w14:textId="77777777" w:rsidR="00025543" w:rsidRDefault="00025543">
            <w:pPr>
              <w:spacing w:line="240" w:lineRule="auto"/>
              <w:jc w:val="center"/>
              <w:rPr>
                <w:noProof/>
                <w:color w:val="004300"/>
                <w:sz w:val="18"/>
              </w:rPr>
            </w:pP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14:paraId="4B064CD2" w14:textId="77777777" w:rsidR="00025543" w:rsidRDefault="007E3A2F">
            <w:pPr>
              <w:pStyle w:val="P68B1DB1-Normal16"/>
              <w:spacing w:line="240" w:lineRule="auto"/>
              <w:jc w:val="center"/>
              <w:rPr>
                <w:noProof/>
              </w:rPr>
            </w:pPr>
            <w:r>
              <w:rPr>
                <w:noProof/>
              </w:rPr>
              <w:t>TRIMESTRE 4</w:t>
            </w:r>
          </w:p>
        </w:tc>
        <w:tc>
          <w:tcPr>
            <w:tcW w:w="891" w:type="dxa"/>
            <w:tcBorders>
              <w:top w:val="single" w:sz="8" w:space="0" w:color="auto"/>
              <w:left w:val="single" w:sz="8" w:space="0" w:color="auto"/>
              <w:bottom w:val="single" w:sz="8" w:space="0" w:color="auto"/>
              <w:right w:val="single" w:sz="8" w:space="0" w:color="auto"/>
            </w:tcBorders>
            <w:shd w:val="clear" w:color="auto" w:fill="C6EFCE"/>
            <w:vAlign w:val="center"/>
          </w:tcPr>
          <w:p w14:paraId="4BBDF279" w14:textId="77777777" w:rsidR="00025543" w:rsidRDefault="007E3A2F">
            <w:pPr>
              <w:pStyle w:val="P68B1DB1-Normal16"/>
              <w:spacing w:line="240" w:lineRule="auto"/>
              <w:jc w:val="center"/>
              <w:rPr>
                <w:noProof/>
              </w:rPr>
            </w:pPr>
            <w:r>
              <w:rPr>
                <w:noProof/>
              </w:rPr>
              <w:t>2021</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510BF229" w14:textId="77777777" w:rsidR="00025543" w:rsidRDefault="007E3A2F">
            <w:pPr>
              <w:pStyle w:val="P68B1DB1-Normal16"/>
              <w:spacing w:after="0" w:line="240" w:lineRule="auto"/>
              <w:rPr>
                <w:noProof/>
              </w:rPr>
            </w:pPr>
            <w:r>
              <w:rPr>
                <w:noProof/>
              </w:rPr>
              <w:t xml:space="preserve">La loi sur les tribunaux et les juges: </w:t>
            </w:r>
          </w:p>
          <w:p w14:paraId="5255DF71" w14:textId="77777777" w:rsidR="00025543" w:rsidRDefault="007E3A2F">
            <w:pPr>
              <w:pStyle w:val="P68B1DB1-Normal16"/>
              <w:numPr>
                <w:ilvl w:val="0"/>
                <w:numId w:val="187"/>
              </w:numPr>
              <w:pBdr>
                <w:top w:val="nil"/>
                <w:left w:val="nil"/>
                <w:bottom w:val="nil"/>
                <w:right w:val="nil"/>
                <w:between w:val="nil"/>
              </w:pBdr>
              <w:spacing w:after="0" w:line="259" w:lineRule="auto"/>
              <w:rPr>
                <w:noProof/>
              </w:rPr>
            </w:pPr>
            <w:r>
              <w:rPr>
                <w:noProof/>
              </w:rPr>
              <w:t xml:space="preserve">introduire des règles objectives pour la sélection des juges et des fonctionnaires des tribunaux </w:t>
            </w:r>
          </w:p>
          <w:p w14:paraId="4369D601" w14:textId="77777777" w:rsidR="00025543" w:rsidRDefault="007E3A2F">
            <w:pPr>
              <w:pStyle w:val="P68B1DB1-Normal16"/>
              <w:numPr>
                <w:ilvl w:val="0"/>
                <w:numId w:val="187"/>
              </w:numPr>
              <w:pBdr>
                <w:top w:val="nil"/>
                <w:left w:val="nil"/>
                <w:bottom w:val="nil"/>
                <w:right w:val="nil"/>
                <w:between w:val="nil"/>
              </w:pBdr>
              <w:spacing w:after="0" w:line="259" w:lineRule="auto"/>
              <w:rPr>
                <w:noProof/>
              </w:rPr>
            </w:pPr>
            <w:r>
              <w:rPr>
                <w:noProof/>
              </w:rPr>
              <w:t>prévoir une réglementation plus détaillée de l’activité secondaire des juges</w:t>
            </w:r>
          </w:p>
          <w:p w14:paraId="4E43CA0A" w14:textId="77777777" w:rsidR="00025543" w:rsidRDefault="007E3A2F">
            <w:pPr>
              <w:pStyle w:val="P68B1DB1-Normal16"/>
              <w:numPr>
                <w:ilvl w:val="0"/>
                <w:numId w:val="187"/>
              </w:numPr>
              <w:pBdr>
                <w:top w:val="nil"/>
                <w:left w:val="nil"/>
                <w:bottom w:val="nil"/>
                <w:right w:val="nil"/>
                <w:between w:val="nil"/>
              </w:pBdr>
              <w:spacing w:after="0" w:line="259" w:lineRule="auto"/>
              <w:rPr>
                <w:noProof/>
              </w:rPr>
            </w:pPr>
            <w:r>
              <w:rPr>
                <w:noProof/>
              </w:rPr>
              <w:t xml:space="preserve">rationaliser les procédures judiciaires auxquelles participent des juges non professionnels </w:t>
            </w:r>
          </w:p>
        </w:tc>
      </w:tr>
      <w:tr w:rsidR="00025543" w14:paraId="09C7F53D" w14:textId="77777777">
        <w:trPr>
          <w:trHeight w:val="324"/>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48B2A26D" w14:textId="77777777" w:rsidR="00025543" w:rsidRDefault="007E3A2F">
            <w:pPr>
              <w:pStyle w:val="P68B1DB1-Normal16"/>
              <w:spacing w:line="240" w:lineRule="auto"/>
              <w:jc w:val="center"/>
              <w:rPr>
                <w:noProof/>
              </w:rPr>
            </w:pPr>
            <w:r>
              <w:rPr>
                <w:noProof/>
              </w:rPr>
              <w:t>204</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080E12A8" w14:textId="77777777" w:rsidR="00025543" w:rsidRDefault="007E3A2F">
            <w:pPr>
              <w:pStyle w:val="P68B1DB1-Normal16"/>
              <w:spacing w:line="240" w:lineRule="auto"/>
              <w:rPr>
                <w:noProof/>
              </w:rPr>
            </w:pPr>
            <w:r>
              <w:rPr>
                <w:noProof/>
              </w:rPr>
              <w:t>Réforme 2: Réforme du système judiciaire visant à renforcer le cadre législatif et la transparence dans les domaines des tribunaux, des juges, des procureurs et des huissiers de justice</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1EEE6F74" w14:textId="77777777" w:rsidR="00025543" w:rsidRDefault="007E3A2F">
            <w:pPr>
              <w:pStyle w:val="P68B1DB1-Normal16"/>
              <w:spacing w:line="240" w:lineRule="auto"/>
              <w:rPr>
                <w:noProof/>
              </w:rPr>
            </w:pPr>
            <w:r>
              <w:rPr>
                <w:noProof/>
              </w:rPr>
              <w:t>Étapes</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3C36865D" w14:textId="77777777" w:rsidR="00025543" w:rsidRDefault="007E3A2F">
            <w:pPr>
              <w:pStyle w:val="P68B1DB1-Normal16"/>
              <w:spacing w:line="240" w:lineRule="auto"/>
              <w:rPr>
                <w:noProof/>
              </w:rPr>
            </w:pPr>
            <w:r>
              <w:rPr>
                <w:noProof/>
              </w:rPr>
              <w:t>Entrée en vigueur de la loi sur les procédures concernant les juges, les procureurs et les huissiers de justice</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14:paraId="12CD73BB" w14:textId="77777777" w:rsidR="00025543" w:rsidRDefault="007E3A2F">
            <w:pPr>
              <w:pStyle w:val="P68B1DB1-Normal16"/>
              <w:spacing w:line="240" w:lineRule="auto"/>
              <w:rPr>
                <w:noProof/>
              </w:rPr>
            </w:pPr>
            <w:r>
              <w:rPr>
                <w:noProof/>
              </w:rPr>
              <w:t>Disposition de la loi sur les procédures dans les affaires de juges, de procureurs et d’huissiers de justice indiquant l’entrée en vigueur</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EDD8D85" w14:textId="77777777" w:rsidR="00025543" w:rsidRDefault="00025543">
            <w:pPr>
              <w:spacing w:line="240" w:lineRule="auto"/>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448B172F" w14:textId="77777777" w:rsidR="00025543" w:rsidRDefault="00025543">
            <w:pPr>
              <w:spacing w:line="240" w:lineRule="auto"/>
              <w:jc w:val="center"/>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7054742" w14:textId="77777777" w:rsidR="00025543" w:rsidRDefault="00025543">
            <w:pPr>
              <w:spacing w:line="240" w:lineRule="auto"/>
              <w:jc w:val="center"/>
              <w:rPr>
                <w:noProof/>
                <w:color w:val="004300"/>
                <w:sz w:val="18"/>
              </w:rPr>
            </w:pP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14:paraId="108B7902" w14:textId="77777777" w:rsidR="00025543" w:rsidRDefault="007E3A2F">
            <w:pPr>
              <w:pStyle w:val="P68B1DB1-Normal16"/>
              <w:spacing w:line="240" w:lineRule="auto"/>
              <w:jc w:val="center"/>
              <w:rPr>
                <w:noProof/>
              </w:rPr>
            </w:pPr>
            <w:r>
              <w:rPr>
                <w:noProof/>
              </w:rPr>
              <w:t>TRIMESTRE 4</w:t>
            </w:r>
          </w:p>
        </w:tc>
        <w:tc>
          <w:tcPr>
            <w:tcW w:w="891" w:type="dxa"/>
            <w:tcBorders>
              <w:top w:val="single" w:sz="8" w:space="0" w:color="auto"/>
              <w:left w:val="single" w:sz="8" w:space="0" w:color="auto"/>
              <w:bottom w:val="single" w:sz="8" w:space="0" w:color="auto"/>
              <w:right w:val="single" w:sz="8" w:space="0" w:color="auto"/>
            </w:tcBorders>
            <w:shd w:val="clear" w:color="auto" w:fill="C6EFCE"/>
            <w:vAlign w:val="center"/>
          </w:tcPr>
          <w:p w14:paraId="51AE06E2" w14:textId="77777777" w:rsidR="00025543" w:rsidRDefault="007E3A2F">
            <w:pPr>
              <w:pStyle w:val="P68B1DB1-Normal16"/>
              <w:spacing w:line="240" w:lineRule="auto"/>
              <w:jc w:val="center"/>
              <w:rPr>
                <w:noProof/>
              </w:rPr>
            </w:pPr>
            <w:r>
              <w:rPr>
                <w:noProof/>
              </w:rPr>
              <w:t>2024</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1C4AFF0B" w14:textId="77777777" w:rsidR="00025543" w:rsidRDefault="007E3A2F">
            <w:pPr>
              <w:pStyle w:val="P68B1DB1-Normal16"/>
              <w:spacing w:after="0" w:line="240" w:lineRule="auto"/>
              <w:rPr>
                <w:noProof/>
              </w:rPr>
            </w:pPr>
            <w:r>
              <w:rPr>
                <w:noProof/>
              </w:rPr>
              <w:t xml:space="preserve">La loi sur les procédures en matière de juges, de procureurs et d’huissiers: </w:t>
            </w:r>
          </w:p>
          <w:p w14:paraId="042714E7" w14:textId="77777777" w:rsidR="00025543" w:rsidRDefault="007E3A2F">
            <w:pPr>
              <w:pStyle w:val="P68B1DB1-Normal16"/>
              <w:numPr>
                <w:ilvl w:val="0"/>
                <w:numId w:val="188"/>
              </w:numPr>
              <w:pBdr>
                <w:top w:val="nil"/>
                <w:left w:val="nil"/>
                <w:bottom w:val="nil"/>
                <w:right w:val="nil"/>
                <w:between w:val="nil"/>
              </w:pBdr>
              <w:spacing w:after="0" w:line="259" w:lineRule="auto"/>
              <w:rPr>
                <w:noProof/>
              </w:rPr>
            </w:pPr>
            <w:r>
              <w:rPr>
                <w:noProof/>
              </w:rPr>
              <w:t>introduire un contrôle juridictionnel des décisions par le conseil de discipline sur la base d’un recours</w:t>
            </w:r>
          </w:p>
          <w:p w14:paraId="6A599577" w14:textId="77777777" w:rsidR="00025543" w:rsidRDefault="007E3A2F">
            <w:pPr>
              <w:pStyle w:val="P68B1DB1-Normal16"/>
              <w:numPr>
                <w:ilvl w:val="0"/>
                <w:numId w:val="188"/>
              </w:numPr>
              <w:spacing w:after="0" w:line="259" w:lineRule="auto"/>
              <w:contextualSpacing/>
              <w:rPr>
                <w:i/>
                <w:noProof/>
              </w:rPr>
            </w:pPr>
            <w:r>
              <w:rPr>
                <w:noProof/>
              </w:rPr>
              <w:t>introduire des mesures visant à accroître l’efficacité des procédures des juges, des procureurs et des huissiers de justice, notamment en ce qui concerne la composition des conseils de discipline, les salaires des fonctionnaires condamnés pour faute disciplinaire et le règlement d’une affaire disciplinaire par accord</w:t>
            </w:r>
          </w:p>
        </w:tc>
      </w:tr>
      <w:tr w:rsidR="00025543" w14:paraId="6E7328E6"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5717D410" w14:textId="77777777" w:rsidR="00025543" w:rsidRDefault="007E3A2F">
            <w:pPr>
              <w:pStyle w:val="P68B1DB1-Normal16"/>
              <w:spacing w:line="240" w:lineRule="auto"/>
              <w:jc w:val="center"/>
              <w:rPr>
                <w:noProof/>
              </w:rPr>
            </w:pPr>
            <w:r>
              <w:rPr>
                <w:noProof/>
              </w:rPr>
              <w:t>205</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482F5EC6" w14:textId="77777777" w:rsidR="00025543" w:rsidRDefault="007E3A2F">
            <w:pPr>
              <w:pStyle w:val="P68B1DB1-Normal16"/>
              <w:spacing w:line="240" w:lineRule="auto"/>
              <w:rPr>
                <w:noProof/>
              </w:rPr>
            </w:pPr>
            <w:r>
              <w:rPr>
                <w:noProof/>
              </w:rPr>
              <w:t>Réforme 3: Collecte et analyse de données sur la corruption</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5C53C086" w14:textId="77777777" w:rsidR="00025543" w:rsidRDefault="007E3A2F">
            <w:pPr>
              <w:pStyle w:val="P68B1DB1-Normal16"/>
              <w:spacing w:line="240" w:lineRule="auto"/>
              <w:rPr>
                <w:noProof/>
              </w:rPr>
            </w:pPr>
            <w:r>
              <w:rPr>
                <w:noProof/>
              </w:rPr>
              <w:t>Étapes</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140DB26B" w14:textId="77777777" w:rsidR="00025543" w:rsidRDefault="007E3A2F">
            <w:pPr>
              <w:pStyle w:val="P68B1DB1-Normal16"/>
              <w:spacing w:line="240" w:lineRule="auto"/>
              <w:rPr>
                <w:noProof/>
              </w:rPr>
            </w:pPr>
            <w:r>
              <w:rPr>
                <w:noProof/>
              </w:rPr>
              <w:t>Création d’une méthodologie pour mesurer la corruption en République tchèque</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14:paraId="6C826F43" w14:textId="77777777" w:rsidR="00025543" w:rsidRDefault="007E3A2F">
            <w:pPr>
              <w:pStyle w:val="P68B1DB1-Normal16"/>
              <w:spacing w:line="240" w:lineRule="auto"/>
              <w:rPr>
                <w:noProof/>
              </w:rPr>
            </w:pPr>
            <w:r>
              <w:rPr>
                <w:noProof/>
              </w:rPr>
              <w:t>Publication de la méthodologie par le ministère de la justice</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2F3469D" w14:textId="77777777" w:rsidR="00025543" w:rsidRDefault="00025543">
            <w:pPr>
              <w:spacing w:line="240" w:lineRule="auto"/>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9E8D6D1" w14:textId="77777777" w:rsidR="00025543" w:rsidRDefault="00025543">
            <w:pPr>
              <w:spacing w:line="240" w:lineRule="auto"/>
              <w:jc w:val="center"/>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485EB56" w14:textId="77777777" w:rsidR="00025543" w:rsidRDefault="00025543">
            <w:pPr>
              <w:spacing w:line="240" w:lineRule="auto"/>
              <w:jc w:val="center"/>
              <w:rPr>
                <w:noProof/>
                <w:color w:val="004300"/>
                <w:sz w:val="18"/>
              </w:rPr>
            </w:pP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14:paraId="00A2332A" w14:textId="77777777" w:rsidR="00025543" w:rsidRDefault="007E3A2F">
            <w:pPr>
              <w:pStyle w:val="P68B1DB1-Normal16"/>
              <w:spacing w:line="240" w:lineRule="auto"/>
              <w:jc w:val="center"/>
              <w:rPr>
                <w:noProof/>
              </w:rPr>
            </w:pPr>
            <w:r>
              <w:rPr>
                <w:noProof/>
              </w:rPr>
              <w:t>TRIMESTRE 4</w:t>
            </w:r>
          </w:p>
        </w:tc>
        <w:tc>
          <w:tcPr>
            <w:tcW w:w="891" w:type="dxa"/>
            <w:tcBorders>
              <w:top w:val="single" w:sz="8" w:space="0" w:color="auto"/>
              <w:left w:val="single" w:sz="8" w:space="0" w:color="auto"/>
              <w:bottom w:val="single" w:sz="8" w:space="0" w:color="auto"/>
              <w:right w:val="single" w:sz="8" w:space="0" w:color="auto"/>
            </w:tcBorders>
            <w:shd w:val="clear" w:color="auto" w:fill="C6EFCE"/>
            <w:vAlign w:val="center"/>
          </w:tcPr>
          <w:p w14:paraId="69917B77" w14:textId="77777777" w:rsidR="00025543" w:rsidRDefault="007E3A2F">
            <w:pPr>
              <w:pStyle w:val="P68B1DB1-Normal16"/>
              <w:spacing w:line="240" w:lineRule="auto"/>
              <w:jc w:val="center"/>
              <w:rPr>
                <w:noProof/>
              </w:rPr>
            </w:pPr>
            <w:r>
              <w:rPr>
                <w:noProof/>
              </w:rPr>
              <w:t>2023</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0D3A80B1" w14:textId="77777777" w:rsidR="00025543" w:rsidRDefault="007E3A2F">
            <w:pPr>
              <w:pStyle w:val="P68B1DB1-Normal16"/>
              <w:spacing w:after="0" w:line="240" w:lineRule="auto"/>
              <w:rPr>
                <w:noProof/>
              </w:rPr>
            </w:pPr>
            <w:r>
              <w:rPr>
                <w:noProof/>
              </w:rPr>
              <w:t xml:space="preserve">La nouvelle méthode permettra de mesurer de manière reproductible et efficace l’expérience directe et indirecte de la corruption en République tchèque. Il fait partie du rapport final de recherche qui: </w:t>
            </w:r>
          </w:p>
          <w:p w14:paraId="1867B9EE" w14:textId="77777777" w:rsidR="00025543" w:rsidRDefault="007E3A2F">
            <w:pPr>
              <w:pStyle w:val="P68B1DB1-Normal16"/>
              <w:numPr>
                <w:ilvl w:val="0"/>
                <w:numId w:val="189"/>
              </w:numPr>
              <w:pBdr>
                <w:top w:val="nil"/>
                <w:left w:val="nil"/>
                <w:bottom w:val="nil"/>
                <w:right w:val="nil"/>
                <w:between w:val="nil"/>
              </w:pBdr>
              <w:spacing w:after="0" w:line="259" w:lineRule="auto"/>
              <w:rPr>
                <w:noProof/>
              </w:rPr>
            </w:pPr>
            <w:r>
              <w:rPr>
                <w:noProof/>
              </w:rPr>
              <w:t>déterminer l’ampleur et les formes de corruption dans certains secteurs sociaux en République tchèque.</w:t>
            </w:r>
          </w:p>
          <w:p w14:paraId="5E5498B4" w14:textId="77777777" w:rsidR="00025543" w:rsidRDefault="007E3A2F">
            <w:pPr>
              <w:pStyle w:val="P68B1DB1-Normal16"/>
              <w:numPr>
                <w:ilvl w:val="0"/>
                <w:numId w:val="189"/>
              </w:numPr>
              <w:pBdr>
                <w:top w:val="nil"/>
                <w:left w:val="nil"/>
                <w:bottom w:val="nil"/>
                <w:right w:val="nil"/>
                <w:between w:val="nil"/>
              </w:pBdr>
              <w:spacing w:after="0" w:line="259" w:lineRule="auto"/>
              <w:rPr>
                <w:noProof/>
              </w:rPr>
            </w:pPr>
            <w:r>
              <w:rPr>
                <w:noProof/>
              </w:rPr>
              <w:t>formuler des recommandations de mesures visant à réduire la corruption dans les secteurs sélectionnés</w:t>
            </w:r>
          </w:p>
        </w:tc>
      </w:tr>
      <w:tr w:rsidR="00025543" w14:paraId="132CB242"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52F4F4E4" w14:textId="77777777" w:rsidR="00025543" w:rsidRDefault="007E3A2F">
            <w:pPr>
              <w:pStyle w:val="P68B1DB1-Normal16"/>
              <w:spacing w:line="240" w:lineRule="auto"/>
              <w:jc w:val="center"/>
              <w:rPr>
                <w:noProof/>
              </w:rPr>
            </w:pPr>
            <w:r>
              <w:rPr>
                <w:noProof/>
              </w:rPr>
              <w:t>206</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1A63BA0E" w14:textId="77777777" w:rsidR="00025543" w:rsidRDefault="007E3A2F">
            <w:pPr>
              <w:pStyle w:val="P68B1DB1-Normal16"/>
              <w:spacing w:line="240" w:lineRule="auto"/>
              <w:rPr>
                <w:noProof/>
              </w:rPr>
            </w:pPr>
            <w:r>
              <w:rPr>
                <w:noProof/>
              </w:rPr>
              <w:t xml:space="preserve">Réforme 4: Réglementation du lobbying </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7EE55BC9" w14:textId="77777777" w:rsidR="00025543" w:rsidRDefault="007E3A2F">
            <w:pPr>
              <w:pStyle w:val="P68B1DB1-Normal16"/>
              <w:spacing w:line="240" w:lineRule="auto"/>
              <w:rPr>
                <w:noProof/>
              </w:rPr>
            </w:pPr>
            <w:r>
              <w:rPr>
                <w:noProof/>
              </w:rPr>
              <w:t>Étapes</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3FFF30C5" w14:textId="77777777" w:rsidR="00025543" w:rsidRDefault="007E3A2F">
            <w:pPr>
              <w:pStyle w:val="P68B1DB1-Normal16"/>
              <w:spacing w:line="240" w:lineRule="auto"/>
              <w:rPr>
                <w:noProof/>
              </w:rPr>
            </w:pPr>
            <w:r>
              <w:rPr>
                <w:noProof/>
              </w:rPr>
              <w:t xml:space="preserve">Entrée en vigueur de la loi sur le lobbying </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14:paraId="3BFECE0F" w14:textId="77777777" w:rsidR="00025543" w:rsidRDefault="007E3A2F">
            <w:pPr>
              <w:pStyle w:val="P68B1DB1-Normal16"/>
              <w:spacing w:line="240" w:lineRule="auto"/>
              <w:rPr>
                <w:noProof/>
              </w:rPr>
            </w:pPr>
            <w:r>
              <w:rPr>
                <w:noProof/>
              </w:rPr>
              <w:t>Disposition de la loi sur le lobbying indiquant l’entrée en vigueur</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933DCC8" w14:textId="77777777" w:rsidR="00025543" w:rsidRDefault="00025543">
            <w:pPr>
              <w:spacing w:line="240" w:lineRule="auto"/>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15A9BB80" w14:textId="77777777" w:rsidR="00025543" w:rsidRDefault="00025543">
            <w:pPr>
              <w:spacing w:line="240" w:lineRule="auto"/>
              <w:jc w:val="center"/>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B8AE4FC" w14:textId="77777777" w:rsidR="00025543" w:rsidRDefault="00025543">
            <w:pPr>
              <w:spacing w:line="240" w:lineRule="auto"/>
              <w:jc w:val="center"/>
              <w:rPr>
                <w:noProof/>
                <w:color w:val="004300"/>
                <w:sz w:val="18"/>
              </w:rPr>
            </w:pP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14:paraId="0A7F55F7" w14:textId="66FDBB12" w:rsidR="00025543" w:rsidRDefault="007E3A2F">
            <w:pPr>
              <w:pStyle w:val="P68B1DB1-Normal16"/>
              <w:spacing w:line="240" w:lineRule="auto"/>
              <w:jc w:val="center"/>
              <w:rPr>
                <w:rFonts w:eastAsia="Times New Roman"/>
                <w:noProof/>
              </w:rPr>
            </w:pPr>
            <w:r>
              <w:rPr>
                <w:noProof/>
              </w:rPr>
              <w:t>TRIMESTRE 2</w:t>
            </w:r>
          </w:p>
        </w:tc>
        <w:tc>
          <w:tcPr>
            <w:tcW w:w="891" w:type="dxa"/>
            <w:tcBorders>
              <w:top w:val="single" w:sz="8" w:space="0" w:color="auto"/>
              <w:left w:val="single" w:sz="8" w:space="0" w:color="auto"/>
              <w:bottom w:val="single" w:sz="8" w:space="0" w:color="auto"/>
              <w:right w:val="single" w:sz="8" w:space="0" w:color="auto"/>
            </w:tcBorders>
            <w:shd w:val="clear" w:color="auto" w:fill="C6EFCE"/>
            <w:vAlign w:val="center"/>
          </w:tcPr>
          <w:p w14:paraId="5211A3F8" w14:textId="2EFE9AB3" w:rsidR="00025543" w:rsidRDefault="007E3A2F">
            <w:pPr>
              <w:pStyle w:val="P68B1DB1-Normal16"/>
              <w:spacing w:line="240" w:lineRule="auto"/>
              <w:jc w:val="center"/>
              <w:rPr>
                <w:noProof/>
              </w:rPr>
            </w:pPr>
            <w:r>
              <w:rPr>
                <w:noProof/>
              </w:rPr>
              <w:t>2025</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09CC46A0" w14:textId="77777777" w:rsidR="00025543" w:rsidRDefault="007E3A2F">
            <w:pPr>
              <w:pStyle w:val="P68B1DB1-Normal16"/>
              <w:spacing w:after="0" w:line="240" w:lineRule="auto"/>
              <w:rPr>
                <w:noProof/>
              </w:rPr>
            </w:pPr>
            <w:r>
              <w:rPr>
                <w:noProof/>
              </w:rPr>
              <w:t xml:space="preserve">La loi sur le lobbying: </w:t>
            </w:r>
          </w:p>
          <w:p w14:paraId="7CBE2051" w14:textId="77777777" w:rsidR="00025543" w:rsidRDefault="007E3A2F">
            <w:pPr>
              <w:pStyle w:val="P68B1DB1-Normal16"/>
              <w:numPr>
                <w:ilvl w:val="0"/>
                <w:numId w:val="190"/>
              </w:numPr>
              <w:pBdr>
                <w:top w:val="nil"/>
                <w:left w:val="nil"/>
                <w:bottom w:val="nil"/>
                <w:right w:val="nil"/>
                <w:between w:val="nil"/>
              </w:pBdr>
              <w:spacing w:after="0" w:line="259" w:lineRule="auto"/>
              <w:rPr>
                <w:noProof/>
              </w:rPr>
            </w:pPr>
            <w:r>
              <w:rPr>
                <w:noProof/>
              </w:rPr>
              <w:t xml:space="preserve">définir le lobbying </w:t>
            </w:r>
          </w:p>
          <w:p w14:paraId="24EACC79" w14:textId="77777777" w:rsidR="00025543" w:rsidRDefault="007E3A2F">
            <w:pPr>
              <w:pStyle w:val="P68B1DB1-Normal16"/>
              <w:numPr>
                <w:ilvl w:val="0"/>
                <w:numId w:val="190"/>
              </w:numPr>
              <w:pBdr>
                <w:top w:val="nil"/>
                <w:left w:val="nil"/>
                <w:bottom w:val="nil"/>
                <w:right w:val="nil"/>
                <w:between w:val="nil"/>
              </w:pBdr>
              <w:spacing w:after="0" w:line="259" w:lineRule="auto"/>
              <w:rPr>
                <w:noProof/>
              </w:rPr>
            </w:pPr>
            <w:r>
              <w:rPr>
                <w:noProof/>
              </w:rPr>
              <w:t xml:space="preserve">exiger la mise en place d’un registre des lobbyistes et des personnes faisant pression sur les groupes d’intérêts; </w:t>
            </w:r>
          </w:p>
          <w:p w14:paraId="5EB2F9F9" w14:textId="77777777" w:rsidR="00025543" w:rsidRDefault="007E3A2F">
            <w:pPr>
              <w:pStyle w:val="P68B1DB1-Normal16"/>
              <w:numPr>
                <w:ilvl w:val="0"/>
                <w:numId w:val="190"/>
              </w:numPr>
              <w:spacing w:line="240" w:lineRule="auto"/>
              <w:rPr>
                <w:noProof/>
              </w:rPr>
            </w:pPr>
            <w:r>
              <w:rPr>
                <w:noProof/>
              </w:rPr>
              <w:t xml:space="preserve">introduire une obligation d’enregistrement des activités de lobbying et des sanctions en cas de non-respect. </w:t>
            </w:r>
          </w:p>
        </w:tc>
      </w:tr>
      <w:tr w:rsidR="00025543" w14:paraId="6B4C14D2"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34BF3790" w14:textId="77777777" w:rsidR="00025543" w:rsidRDefault="007E3A2F">
            <w:pPr>
              <w:pStyle w:val="P68B1DB1-Normal16"/>
              <w:spacing w:line="240" w:lineRule="auto"/>
              <w:jc w:val="center"/>
              <w:rPr>
                <w:noProof/>
              </w:rPr>
            </w:pPr>
            <w:r>
              <w:rPr>
                <w:noProof/>
              </w:rPr>
              <w:t>207</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26C361E3" w14:textId="77777777" w:rsidR="00025543" w:rsidRDefault="007E3A2F">
            <w:pPr>
              <w:pStyle w:val="P68B1DB1-Normal16"/>
              <w:spacing w:line="240" w:lineRule="auto"/>
              <w:rPr>
                <w:noProof/>
              </w:rPr>
            </w:pPr>
            <w:r>
              <w:rPr>
                <w:noProof/>
              </w:rPr>
              <w:t>Réforme 5: Contrôle et audit</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308EFB63" w14:textId="77777777" w:rsidR="00025543" w:rsidRDefault="007E3A2F">
            <w:pPr>
              <w:pStyle w:val="P68B1DB1-Normal16"/>
              <w:spacing w:line="240" w:lineRule="auto"/>
              <w:rPr>
                <w:noProof/>
              </w:rPr>
            </w:pPr>
            <w:r>
              <w:rPr>
                <w:noProof/>
              </w:rPr>
              <w:t>Étapes</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784EC819" w14:textId="77777777" w:rsidR="00025543" w:rsidRDefault="007E3A2F">
            <w:pPr>
              <w:pStyle w:val="P68B1DB1-Normal16"/>
              <w:spacing w:line="240" w:lineRule="auto"/>
              <w:rPr>
                <w:noProof/>
              </w:rPr>
            </w:pPr>
            <w:r>
              <w:rPr>
                <w:noProof/>
              </w:rPr>
              <w:t>Le système de collecte, de stockage et de mise à disposition des données relatives à tous les bénéficiaires finaux, y compris tous les bénéficiaires effectifs (tel qu’établi par l’article 3, point 6, de la directive relative à la lutte contre le blanchiment de capitaux).</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14:paraId="015F5DB3" w14:textId="77777777" w:rsidR="00025543" w:rsidRDefault="007E3A2F">
            <w:pPr>
              <w:pStyle w:val="P68B1DB1-Normal16"/>
              <w:spacing w:line="240" w:lineRule="auto"/>
              <w:rPr>
                <w:noProof/>
              </w:rPr>
            </w:pPr>
            <w:r>
              <w:rPr>
                <w:noProof/>
              </w:rPr>
              <w:t>Procédure approuvée et mise en œuvre par l’unité de livraison avec la description du système de collecte et de mise à disposition des données sur les destinataires finaux</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429A3DD2" w14:textId="77777777" w:rsidR="00025543" w:rsidRDefault="00025543">
            <w:pPr>
              <w:spacing w:line="240" w:lineRule="auto"/>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242780F" w14:textId="77777777" w:rsidR="00025543" w:rsidRDefault="00025543">
            <w:pPr>
              <w:spacing w:line="240" w:lineRule="auto"/>
              <w:jc w:val="center"/>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B04A36D" w14:textId="77777777" w:rsidR="00025543" w:rsidRDefault="00025543">
            <w:pPr>
              <w:spacing w:line="240" w:lineRule="auto"/>
              <w:jc w:val="center"/>
              <w:rPr>
                <w:noProof/>
                <w:color w:val="004300"/>
                <w:sz w:val="18"/>
              </w:rPr>
            </w:pP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14:paraId="3BFE6D7B" w14:textId="77777777" w:rsidR="00025543" w:rsidRDefault="007E3A2F">
            <w:pPr>
              <w:pStyle w:val="P68B1DB1-Normal16"/>
              <w:spacing w:line="240" w:lineRule="auto"/>
              <w:jc w:val="center"/>
              <w:rPr>
                <w:noProof/>
              </w:rPr>
            </w:pPr>
            <w:r>
              <w:rPr>
                <w:noProof/>
              </w:rPr>
              <w:t>TRIMESTRE 2</w:t>
            </w:r>
          </w:p>
        </w:tc>
        <w:tc>
          <w:tcPr>
            <w:tcW w:w="891" w:type="dxa"/>
            <w:tcBorders>
              <w:top w:val="single" w:sz="8" w:space="0" w:color="auto"/>
              <w:left w:val="single" w:sz="8" w:space="0" w:color="auto"/>
              <w:bottom w:val="single" w:sz="8" w:space="0" w:color="auto"/>
              <w:right w:val="single" w:sz="8" w:space="0" w:color="auto"/>
            </w:tcBorders>
            <w:shd w:val="clear" w:color="auto" w:fill="C6EFCE"/>
            <w:vAlign w:val="center"/>
          </w:tcPr>
          <w:p w14:paraId="2ABADC34" w14:textId="77777777" w:rsidR="00025543" w:rsidRDefault="007E3A2F">
            <w:pPr>
              <w:pStyle w:val="P68B1DB1-Normal16"/>
              <w:spacing w:line="240" w:lineRule="auto"/>
              <w:jc w:val="center"/>
              <w:rPr>
                <w:noProof/>
              </w:rPr>
            </w:pPr>
            <w:r>
              <w:rPr>
                <w:noProof/>
              </w:rPr>
              <w:t>2022</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5D9E8C88" w14:textId="77777777" w:rsidR="00025543" w:rsidRDefault="007E3A2F">
            <w:pPr>
              <w:pStyle w:val="P68B1DB1-Normal16"/>
              <w:spacing w:line="240" w:lineRule="auto"/>
              <w:rPr>
                <w:noProof/>
              </w:rPr>
            </w:pPr>
            <w:r>
              <w:rPr>
                <w:noProof/>
              </w:rPr>
              <w:t xml:space="preserve">La procédure décrivant la manière dont les données sur les destinataires finaux, les contractants, les sous-traitants, les bénéficiaires effectifs et la liste des mesures éventuelles pour la mise en œuvre des réformes et des projets d’investissement doivent être collectées et stockées sont mises en œuvre avec succès. Le système de collecte et de mise à disposition des données sur les bénéficiaires finaux est conforme aux exigences de l’article 22, paragraphe 2, point d), du règlement FRR. Cette description couvre explicitement toutes les catégories de données mentionnées à l’article 22, paragraphe 2, point d), y compris les «bénéficiaires effectifs» au sens de l’article 3, point 6), de la directive 2015/849, telle que modifiée par la directive 2018/843. </w:t>
            </w:r>
          </w:p>
          <w:p w14:paraId="26822ED9" w14:textId="77777777" w:rsidR="00025543" w:rsidRDefault="007E3A2F">
            <w:pPr>
              <w:pStyle w:val="P68B1DB1-Normal16"/>
              <w:spacing w:line="240" w:lineRule="auto"/>
              <w:rPr>
                <w:noProof/>
              </w:rPr>
            </w:pPr>
            <w:r>
              <w:rPr>
                <w:noProof/>
              </w:rPr>
              <w:t>Les procédures sont approuvées et mises en œuvre par le conseil de gestion de la FRR. Le système de collecte des données reposera sur les meilleures pratiques acquises dans le cadre du système de l’État membre 2014 + et les suivra.</w:t>
            </w:r>
          </w:p>
        </w:tc>
      </w:tr>
      <w:tr w:rsidR="00025543" w14:paraId="3EB7EADE"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60C79BE5" w14:textId="77777777" w:rsidR="00025543" w:rsidRDefault="007E3A2F">
            <w:pPr>
              <w:pStyle w:val="P68B1DB1-Normal16"/>
              <w:spacing w:line="259" w:lineRule="auto"/>
              <w:jc w:val="center"/>
              <w:rPr>
                <w:noProof/>
                <w:highlight w:val="yellow"/>
              </w:rPr>
            </w:pPr>
            <w:r>
              <w:rPr>
                <w:noProof/>
              </w:rPr>
              <w:t>208</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64B497B3" w14:textId="77777777" w:rsidR="00025543" w:rsidRDefault="007E3A2F">
            <w:pPr>
              <w:pStyle w:val="P68B1DB1-Normal15"/>
              <w:spacing w:line="240" w:lineRule="auto"/>
              <w:rPr>
                <w:noProof/>
                <w:highlight w:val="yellow"/>
              </w:rPr>
            </w:pPr>
            <w:r>
              <w:rPr>
                <w:noProof/>
              </w:rPr>
              <w:t>Réforme 5: Contrôle et audit</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7F2CA35D" w14:textId="77777777" w:rsidR="00025543" w:rsidRDefault="007E3A2F">
            <w:pPr>
              <w:pStyle w:val="P68B1DB1-Normal15"/>
              <w:spacing w:line="240" w:lineRule="auto"/>
              <w:rPr>
                <w:noProof/>
                <w:highlight w:val="yellow"/>
              </w:rPr>
            </w:pPr>
            <w:r>
              <w:rPr>
                <w:noProof/>
              </w:rPr>
              <w:t>Étapes</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6E8411DB" w14:textId="77777777" w:rsidR="00025543" w:rsidRDefault="007E3A2F">
            <w:pPr>
              <w:pStyle w:val="P68B1DB1-Normal15"/>
              <w:spacing w:line="240" w:lineRule="auto"/>
              <w:rPr>
                <w:noProof/>
                <w:highlight w:val="yellow"/>
              </w:rPr>
            </w:pPr>
            <w:r>
              <w:rPr>
                <w:noProof/>
              </w:rPr>
              <w:t>Création et mise en œuvre d’un plan d’action sur le système administratif de l’organisme de coordination, en particulier en ce qui concerne la prévention suffisante et systémique des conflits d’intérêts dans le contexte de la FRR.</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14:paraId="5BADEE20" w14:textId="77777777" w:rsidR="00025543" w:rsidRDefault="007E3A2F">
            <w:pPr>
              <w:pStyle w:val="P68B1DB1-Normal15"/>
              <w:spacing w:line="240" w:lineRule="auto"/>
              <w:rPr>
                <w:noProof/>
                <w:highlight w:val="yellow"/>
              </w:rPr>
            </w:pPr>
            <w:r>
              <w:rPr>
                <w:noProof/>
              </w:rPr>
              <w:t>Mise en œuvre effective du plan d’action confirmée par des procédures et processus actualisés de l’organisme de coordination</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A952D4C" w14:textId="77777777" w:rsidR="00025543" w:rsidRDefault="00025543">
            <w:pPr>
              <w:spacing w:line="240" w:lineRule="auto"/>
              <w:rPr>
                <w:rFonts w:eastAsia="Times New Roman"/>
                <w:noProof/>
                <w:color w:val="004300"/>
                <w:sz w:val="18"/>
                <w:highlight w:val="yellow"/>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7F79720" w14:textId="77777777" w:rsidR="00025543" w:rsidRDefault="00025543">
            <w:pPr>
              <w:spacing w:line="240" w:lineRule="auto"/>
              <w:jc w:val="center"/>
              <w:rPr>
                <w:rFonts w:eastAsia="Times New Roman"/>
                <w:noProof/>
                <w:color w:val="004300"/>
                <w:sz w:val="18"/>
                <w:highlight w:val="yellow"/>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406D6A49" w14:textId="77777777" w:rsidR="00025543" w:rsidRDefault="00025543">
            <w:pPr>
              <w:spacing w:line="240" w:lineRule="auto"/>
              <w:jc w:val="center"/>
              <w:rPr>
                <w:rFonts w:eastAsia="Times New Roman"/>
                <w:noProof/>
                <w:color w:val="004300"/>
                <w:sz w:val="18"/>
                <w:highlight w:val="yellow"/>
              </w:rPr>
            </w:pP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14:paraId="40934D2F" w14:textId="77777777" w:rsidR="00025543" w:rsidRDefault="007E3A2F">
            <w:pPr>
              <w:pStyle w:val="P68B1DB1-Normal15"/>
              <w:spacing w:line="240" w:lineRule="auto"/>
              <w:jc w:val="center"/>
              <w:rPr>
                <w:noProof/>
                <w:highlight w:val="yellow"/>
              </w:rPr>
            </w:pPr>
            <w:r>
              <w:rPr>
                <w:noProof/>
              </w:rPr>
              <w:t>TRIMESTRE 4</w:t>
            </w:r>
          </w:p>
        </w:tc>
        <w:tc>
          <w:tcPr>
            <w:tcW w:w="891" w:type="dxa"/>
            <w:tcBorders>
              <w:top w:val="single" w:sz="8" w:space="0" w:color="auto"/>
              <w:left w:val="single" w:sz="8" w:space="0" w:color="auto"/>
              <w:bottom w:val="single" w:sz="8" w:space="0" w:color="auto"/>
              <w:right w:val="single" w:sz="8" w:space="0" w:color="auto"/>
            </w:tcBorders>
            <w:shd w:val="clear" w:color="auto" w:fill="C6EFCE"/>
            <w:vAlign w:val="center"/>
          </w:tcPr>
          <w:p w14:paraId="6E04D5AB" w14:textId="77777777" w:rsidR="00025543" w:rsidRDefault="007E3A2F">
            <w:pPr>
              <w:pStyle w:val="P68B1DB1-Normal15"/>
              <w:spacing w:line="240" w:lineRule="auto"/>
              <w:jc w:val="center"/>
              <w:rPr>
                <w:noProof/>
                <w:highlight w:val="yellow"/>
              </w:rPr>
            </w:pPr>
            <w:r>
              <w:rPr>
                <w:noProof/>
              </w:rPr>
              <w:t>2021</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4A85F9E8" w14:textId="77777777" w:rsidR="00025543" w:rsidRDefault="007E3A2F">
            <w:pPr>
              <w:pStyle w:val="P68B1DB1-Normal15"/>
              <w:spacing w:line="240" w:lineRule="auto"/>
              <w:rPr>
                <w:noProof/>
              </w:rPr>
            </w:pPr>
            <w:r>
              <w:rPr>
                <w:noProof/>
              </w:rPr>
              <w:t>La mise en œuvre effective du plan d’action garantira un système administratif interne efficace de l’organisme de coordination, notamment en ce qui concerne la prévention suffisante et systémique des conflits d’intérêts.</w:t>
            </w:r>
          </w:p>
          <w:p w14:paraId="10D10BA1" w14:textId="788193D9" w:rsidR="00025543" w:rsidRDefault="007E3A2F">
            <w:pPr>
              <w:pStyle w:val="P68B1DB1-Normal15"/>
              <w:spacing w:line="240" w:lineRule="auto"/>
              <w:rPr>
                <w:noProof/>
                <w:highlight w:val="yellow"/>
              </w:rPr>
            </w:pPr>
            <w:r>
              <w:rPr>
                <w:noProof/>
              </w:rPr>
              <w:t>Le plan d’action comprend des mesures visant à faire en sorte que les paiements aux bénéficiaires finaux, aux contractants et aux sous-traitants au titre du plan soient soumis à des contrôles préalables de vérification des conflits d’intérêts jusqu’au niveau des bénéficiaires effectifs au sens de l’article 3, point 6), de la directive (UE) 2015/849 du Parlement européen et du Conseil.</w:t>
            </w:r>
          </w:p>
        </w:tc>
      </w:tr>
      <w:tr w:rsidR="00025543" w14:paraId="26998C6F"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30BA1626" w14:textId="77777777" w:rsidR="00025543" w:rsidRDefault="007E3A2F">
            <w:pPr>
              <w:pStyle w:val="P68B1DB1-Normal16"/>
              <w:spacing w:line="259" w:lineRule="auto"/>
              <w:jc w:val="center"/>
              <w:rPr>
                <w:noProof/>
                <w:highlight w:val="yellow"/>
              </w:rPr>
            </w:pPr>
            <w:r>
              <w:rPr>
                <w:noProof/>
              </w:rPr>
              <w:t>209</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6DF07EED" w14:textId="77777777" w:rsidR="00025543" w:rsidRDefault="007E3A2F">
            <w:pPr>
              <w:pStyle w:val="P68B1DB1-Normal15"/>
              <w:spacing w:line="240" w:lineRule="auto"/>
              <w:rPr>
                <w:noProof/>
                <w:highlight w:val="yellow"/>
              </w:rPr>
            </w:pPr>
            <w:r>
              <w:rPr>
                <w:noProof/>
              </w:rPr>
              <w:t>Réforme 5: Contrôle et audit</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3E42431B" w14:textId="77777777" w:rsidR="00025543" w:rsidRDefault="007E3A2F">
            <w:pPr>
              <w:pStyle w:val="P68B1DB1-Normal15"/>
              <w:spacing w:line="240" w:lineRule="auto"/>
              <w:rPr>
                <w:noProof/>
                <w:highlight w:val="yellow"/>
              </w:rPr>
            </w:pPr>
            <w:r>
              <w:rPr>
                <w:noProof/>
              </w:rPr>
              <w:t>Étapes</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0F154A23" w14:textId="77777777" w:rsidR="00025543" w:rsidRDefault="007E3A2F">
            <w:pPr>
              <w:pStyle w:val="P68B1DB1-Normal15"/>
              <w:spacing w:line="240" w:lineRule="auto"/>
              <w:rPr>
                <w:noProof/>
                <w:highlight w:val="yellow"/>
              </w:rPr>
            </w:pPr>
            <w:r>
              <w:rPr>
                <w:noProof/>
              </w:rPr>
              <w:t>Mesures de prévention des conflits d’intérêts mises en œuvre par l’organisme de coordination.</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14:paraId="3EC9E6B3" w14:textId="77777777" w:rsidR="00025543" w:rsidRDefault="007E3A2F">
            <w:pPr>
              <w:pStyle w:val="P68B1DB1-Normal15"/>
              <w:spacing w:line="240" w:lineRule="auto"/>
              <w:rPr>
                <w:noProof/>
                <w:highlight w:val="yellow"/>
              </w:rPr>
            </w:pPr>
            <w:r>
              <w:rPr>
                <w:noProof/>
              </w:rPr>
              <w:t>Rapport d’audit confirmant la mise en œuvre effective du plan d’action.</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2A42D87" w14:textId="77777777" w:rsidR="00025543" w:rsidRDefault="00025543">
            <w:pPr>
              <w:spacing w:line="240" w:lineRule="auto"/>
              <w:rPr>
                <w:rFonts w:eastAsia="Times New Roman"/>
                <w:noProof/>
                <w:color w:val="004300"/>
                <w:sz w:val="18"/>
                <w:highlight w:val="yellow"/>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4F737F57" w14:textId="77777777" w:rsidR="00025543" w:rsidRDefault="00025543">
            <w:pPr>
              <w:spacing w:line="240" w:lineRule="auto"/>
              <w:jc w:val="center"/>
              <w:rPr>
                <w:rFonts w:eastAsia="Times New Roman"/>
                <w:noProof/>
                <w:color w:val="004300"/>
                <w:sz w:val="18"/>
                <w:highlight w:val="yellow"/>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1CE90AA5" w14:textId="77777777" w:rsidR="00025543" w:rsidRDefault="00025543">
            <w:pPr>
              <w:spacing w:line="240" w:lineRule="auto"/>
              <w:jc w:val="center"/>
              <w:rPr>
                <w:rFonts w:eastAsia="Times New Roman"/>
                <w:noProof/>
                <w:color w:val="004300"/>
                <w:sz w:val="18"/>
                <w:highlight w:val="yellow"/>
              </w:rPr>
            </w:pP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14:paraId="334A0DD8" w14:textId="77777777" w:rsidR="00025543" w:rsidRDefault="007E3A2F">
            <w:pPr>
              <w:pStyle w:val="P68B1DB1-Normal15"/>
              <w:spacing w:line="240" w:lineRule="auto"/>
              <w:jc w:val="center"/>
              <w:rPr>
                <w:noProof/>
                <w:highlight w:val="yellow"/>
              </w:rPr>
            </w:pPr>
            <w:r>
              <w:rPr>
                <w:noProof/>
              </w:rPr>
              <w:t>TRIMESTRE 2</w:t>
            </w:r>
          </w:p>
        </w:tc>
        <w:tc>
          <w:tcPr>
            <w:tcW w:w="891" w:type="dxa"/>
            <w:tcBorders>
              <w:top w:val="single" w:sz="8" w:space="0" w:color="auto"/>
              <w:left w:val="single" w:sz="8" w:space="0" w:color="auto"/>
              <w:bottom w:val="single" w:sz="8" w:space="0" w:color="auto"/>
              <w:right w:val="single" w:sz="8" w:space="0" w:color="auto"/>
            </w:tcBorders>
            <w:shd w:val="clear" w:color="auto" w:fill="C6EFCE"/>
            <w:vAlign w:val="center"/>
          </w:tcPr>
          <w:p w14:paraId="3B01F042" w14:textId="77777777" w:rsidR="00025543" w:rsidRDefault="007E3A2F">
            <w:pPr>
              <w:pStyle w:val="P68B1DB1-Normal15"/>
              <w:spacing w:line="240" w:lineRule="auto"/>
              <w:jc w:val="center"/>
              <w:rPr>
                <w:noProof/>
                <w:highlight w:val="yellow"/>
              </w:rPr>
            </w:pPr>
            <w:r>
              <w:rPr>
                <w:noProof/>
              </w:rPr>
              <w:t>2022</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546AF72E" w14:textId="77777777" w:rsidR="00025543" w:rsidRDefault="007E3A2F">
            <w:pPr>
              <w:pStyle w:val="P68B1DB1-Normal15"/>
              <w:spacing w:line="240" w:lineRule="auto"/>
              <w:rPr>
                <w:noProof/>
                <w:highlight w:val="yellow"/>
              </w:rPr>
            </w:pPr>
            <w:r>
              <w:rPr>
                <w:noProof/>
              </w:rPr>
              <w:t>Un audit de suivi est effectué par l’organisme d’audit afin de confirmer la mise en œuvre du plan d’action.</w:t>
            </w:r>
          </w:p>
        </w:tc>
      </w:tr>
      <w:tr w:rsidR="00025543" w14:paraId="0040C46B"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6BAD474D" w14:textId="77777777" w:rsidR="00025543" w:rsidRDefault="007E3A2F">
            <w:pPr>
              <w:pStyle w:val="P68B1DB1-Normal16"/>
              <w:spacing w:line="259" w:lineRule="auto"/>
              <w:jc w:val="center"/>
              <w:rPr>
                <w:noProof/>
                <w:highlight w:val="yellow"/>
              </w:rPr>
            </w:pPr>
            <w:r>
              <w:rPr>
                <w:noProof/>
              </w:rPr>
              <w:t>210</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71955206" w14:textId="77777777" w:rsidR="00025543" w:rsidRDefault="007E3A2F">
            <w:pPr>
              <w:pStyle w:val="P68B1DB1-Normal15"/>
              <w:spacing w:line="240" w:lineRule="auto"/>
              <w:rPr>
                <w:noProof/>
                <w:highlight w:val="yellow"/>
              </w:rPr>
            </w:pPr>
            <w:r>
              <w:rPr>
                <w:noProof/>
              </w:rPr>
              <w:t>Réforme 5: Contrôle et audit</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0878B688" w14:textId="77777777" w:rsidR="00025543" w:rsidRDefault="007E3A2F">
            <w:pPr>
              <w:pStyle w:val="P68B1DB1-Normal15"/>
              <w:spacing w:line="240" w:lineRule="auto"/>
              <w:rPr>
                <w:noProof/>
                <w:highlight w:val="yellow"/>
              </w:rPr>
            </w:pPr>
            <w:r>
              <w:rPr>
                <w:noProof/>
              </w:rPr>
              <w:t>Étapes</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19FF26BF" w14:textId="77777777" w:rsidR="00025543" w:rsidRDefault="007E3A2F">
            <w:pPr>
              <w:pStyle w:val="P68B1DB1-Normal15"/>
              <w:spacing w:line="240" w:lineRule="auto"/>
              <w:rPr>
                <w:noProof/>
                <w:highlight w:val="yellow"/>
              </w:rPr>
            </w:pPr>
            <w:r>
              <w:rPr>
                <w:noProof/>
              </w:rPr>
              <w:t>Système de dépôt</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14:paraId="6C7E2EB9" w14:textId="77777777" w:rsidR="00025543" w:rsidRDefault="007E3A2F">
            <w:pPr>
              <w:pStyle w:val="P68B1DB1-Normal15"/>
              <w:spacing w:line="240" w:lineRule="auto"/>
              <w:rPr>
                <w:noProof/>
                <w:highlight w:val="yellow"/>
              </w:rPr>
            </w:pPr>
            <w:r>
              <w:rPr>
                <w:noProof/>
              </w:rPr>
              <w:t>Rapport d’audit confirmant les fonctionnalités du système de répertoire</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FD35808" w14:textId="77777777" w:rsidR="00025543" w:rsidRDefault="00025543">
            <w:pPr>
              <w:spacing w:line="240" w:lineRule="auto"/>
              <w:rPr>
                <w:rFonts w:eastAsia="Times New Roman"/>
                <w:noProof/>
                <w:color w:val="004300"/>
                <w:sz w:val="18"/>
                <w:highlight w:val="yellow"/>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9E5093E" w14:textId="77777777" w:rsidR="00025543" w:rsidRDefault="00025543">
            <w:pPr>
              <w:spacing w:line="240" w:lineRule="auto"/>
              <w:jc w:val="center"/>
              <w:rPr>
                <w:rFonts w:eastAsia="Times New Roman"/>
                <w:noProof/>
                <w:color w:val="004300"/>
                <w:sz w:val="18"/>
                <w:highlight w:val="yellow"/>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2A05D4C" w14:textId="77777777" w:rsidR="00025543" w:rsidRDefault="00025543">
            <w:pPr>
              <w:spacing w:line="240" w:lineRule="auto"/>
              <w:jc w:val="center"/>
              <w:rPr>
                <w:rFonts w:eastAsia="Times New Roman"/>
                <w:noProof/>
                <w:color w:val="004300"/>
                <w:sz w:val="18"/>
                <w:highlight w:val="yellow"/>
              </w:rPr>
            </w:pP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14:paraId="6D281B47" w14:textId="77777777" w:rsidR="00025543" w:rsidRDefault="007E3A2F">
            <w:pPr>
              <w:pStyle w:val="P68B1DB1-Normal15"/>
              <w:spacing w:line="240" w:lineRule="auto"/>
              <w:jc w:val="center"/>
              <w:rPr>
                <w:noProof/>
                <w:highlight w:val="yellow"/>
              </w:rPr>
            </w:pPr>
            <w:r>
              <w:rPr>
                <w:noProof/>
              </w:rPr>
              <w:t>TRIMESTRE 2</w:t>
            </w:r>
          </w:p>
        </w:tc>
        <w:tc>
          <w:tcPr>
            <w:tcW w:w="891" w:type="dxa"/>
            <w:tcBorders>
              <w:top w:val="single" w:sz="8" w:space="0" w:color="auto"/>
              <w:left w:val="single" w:sz="8" w:space="0" w:color="auto"/>
              <w:bottom w:val="single" w:sz="8" w:space="0" w:color="auto"/>
              <w:right w:val="single" w:sz="8" w:space="0" w:color="auto"/>
            </w:tcBorders>
            <w:shd w:val="clear" w:color="auto" w:fill="C6EFCE"/>
            <w:vAlign w:val="center"/>
          </w:tcPr>
          <w:p w14:paraId="36AB577F" w14:textId="77777777" w:rsidR="00025543" w:rsidRDefault="007E3A2F">
            <w:pPr>
              <w:pStyle w:val="P68B1DB1-Normal15"/>
              <w:spacing w:line="240" w:lineRule="auto"/>
              <w:jc w:val="center"/>
              <w:rPr>
                <w:noProof/>
                <w:highlight w:val="yellow"/>
              </w:rPr>
            </w:pPr>
            <w:r>
              <w:rPr>
                <w:noProof/>
              </w:rPr>
              <w:t>2022</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664881C5" w14:textId="77777777" w:rsidR="00025543" w:rsidRDefault="007E3A2F">
            <w:pPr>
              <w:pStyle w:val="P68B1DB1-Normal15"/>
              <w:spacing w:line="240" w:lineRule="auto"/>
              <w:rPr>
                <w:noProof/>
              </w:rPr>
            </w:pPr>
            <w:r>
              <w:rPr>
                <w:noProof/>
              </w:rPr>
              <w:t xml:space="preserve">Un système de répertoire pour le suivi de la mise en œuvre de la FRR est en place et opérationnel. </w:t>
            </w:r>
          </w:p>
          <w:p w14:paraId="06A74C38" w14:textId="77777777" w:rsidR="00025543" w:rsidRDefault="007E3A2F">
            <w:pPr>
              <w:pStyle w:val="P68B1DB1-Normal15"/>
              <w:spacing w:line="240" w:lineRule="auto"/>
              <w:rPr>
                <w:noProof/>
              </w:rPr>
            </w:pPr>
            <w:r>
              <w:rPr>
                <w:noProof/>
              </w:rPr>
              <w:t xml:space="preserve">Le système comprend, au minimum, les fonctionnalités suivantes: </w:t>
            </w:r>
          </w:p>
          <w:p w14:paraId="5B23B82A" w14:textId="77777777" w:rsidR="00025543" w:rsidRDefault="007E3A2F">
            <w:pPr>
              <w:pStyle w:val="P68B1DB1-Normal15"/>
              <w:spacing w:line="240" w:lineRule="auto"/>
              <w:rPr>
                <w:noProof/>
              </w:rPr>
            </w:pPr>
            <w:r>
              <w:rPr>
                <w:noProof/>
              </w:rPr>
              <w:t xml:space="preserve">(a) la collecte de données et le suivi de la réalisation des valeurs intermédiaires et des valeurs cibles; </w:t>
            </w:r>
          </w:p>
          <w:p w14:paraId="045D0977" w14:textId="77777777" w:rsidR="00025543" w:rsidRDefault="007E3A2F">
            <w:pPr>
              <w:pStyle w:val="P68B1DB1-Normal15"/>
              <w:spacing w:line="240" w:lineRule="auto"/>
              <w:rPr>
                <w:noProof/>
                <w:highlight w:val="yellow"/>
              </w:rPr>
            </w:pPr>
            <w:r>
              <w:rPr>
                <w:noProof/>
              </w:rPr>
              <w:t>(b) la collecte, le stockage et la garantie de l’accès aux données requises par l’article 22, paragraphe 2, point d) i) à iii), du règlement FRR.</w:t>
            </w:r>
          </w:p>
        </w:tc>
      </w:tr>
      <w:tr w:rsidR="00025543" w14:paraId="03C87FD3"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4FBBFA76" w14:textId="77777777" w:rsidR="00025543" w:rsidRDefault="007E3A2F">
            <w:pPr>
              <w:pStyle w:val="P68B1DB1-Normal16"/>
              <w:spacing w:line="259" w:lineRule="auto"/>
              <w:jc w:val="center"/>
              <w:rPr>
                <w:noProof/>
                <w:highlight w:val="yellow"/>
              </w:rPr>
            </w:pPr>
            <w:r>
              <w:rPr>
                <w:noProof/>
              </w:rPr>
              <w:t>211</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7984668B" w14:textId="77777777" w:rsidR="00025543" w:rsidRDefault="007E3A2F">
            <w:pPr>
              <w:pStyle w:val="P68B1DB1-Normal15"/>
              <w:spacing w:line="240" w:lineRule="auto"/>
              <w:rPr>
                <w:noProof/>
                <w:highlight w:val="yellow"/>
              </w:rPr>
            </w:pPr>
            <w:r>
              <w:rPr>
                <w:noProof/>
              </w:rPr>
              <w:t>Réforme 5: Contrôle et audit</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675EDD60" w14:textId="77777777" w:rsidR="00025543" w:rsidRDefault="007E3A2F">
            <w:pPr>
              <w:pStyle w:val="P68B1DB1-Normal15"/>
              <w:spacing w:line="240" w:lineRule="auto"/>
              <w:rPr>
                <w:noProof/>
                <w:highlight w:val="yellow"/>
              </w:rPr>
            </w:pPr>
            <w:r>
              <w:rPr>
                <w:noProof/>
              </w:rPr>
              <w:t>Étapes</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3D5FA7E2" w14:textId="77777777" w:rsidR="00025543" w:rsidRDefault="007E3A2F">
            <w:pPr>
              <w:pStyle w:val="P68B1DB1-Normal15"/>
              <w:spacing w:line="240" w:lineRule="auto"/>
              <w:rPr>
                <w:noProof/>
                <w:highlight w:val="yellow"/>
              </w:rPr>
            </w:pPr>
            <w:r>
              <w:rPr>
                <w:noProof/>
              </w:rPr>
              <w:t>Stratégie d’audit garantissant un audit indépendant et efficace de la mise en œuvre de la FRR</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14:paraId="19B8542F" w14:textId="77777777" w:rsidR="00025543" w:rsidRDefault="007E3A2F">
            <w:pPr>
              <w:pStyle w:val="P68B1DB1-Normal15"/>
              <w:spacing w:line="240" w:lineRule="auto"/>
              <w:rPr>
                <w:noProof/>
                <w:highlight w:val="yellow"/>
              </w:rPr>
            </w:pPr>
            <w:r>
              <w:rPr>
                <w:noProof/>
              </w:rPr>
              <w:t>Stratégie d’audit approuvée par le chef de l’organisme d’audit</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4F8242B3" w14:textId="77777777" w:rsidR="00025543" w:rsidRDefault="00025543">
            <w:pPr>
              <w:spacing w:line="240" w:lineRule="auto"/>
              <w:rPr>
                <w:rFonts w:eastAsia="Times New Roman"/>
                <w:noProof/>
                <w:color w:val="004300"/>
                <w:sz w:val="18"/>
                <w:highlight w:val="yellow"/>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345ACA3" w14:textId="77777777" w:rsidR="00025543" w:rsidRDefault="00025543">
            <w:pPr>
              <w:spacing w:line="240" w:lineRule="auto"/>
              <w:jc w:val="center"/>
              <w:rPr>
                <w:rFonts w:eastAsia="Times New Roman"/>
                <w:noProof/>
                <w:color w:val="004300"/>
                <w:sz w:val="18"/>
                <w:highlight w:val="yellow"/>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2FCBA5D" w14:textId="77777777" w:rsidR="00025543" w:rsidRDefault="00025543">
            <w:pPr>
              <w:spacing w:line="240" w:lineRule="auto"/>
              <w:jc w:val="center"/>
              <w:rPr>
                <w:rFonts w:eastAsia="Times New Roman"/>
                <w:noProof/>
                <w:color w:val="004300"/>
                <w:sz w:val="18"/>
                <w:highlight w:val="yellow"/>
              </w:rPr>
            </w:pP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14:paraId="248650C3" w14:textId="77777777" w:rsidR="00025543" w:rsidRDefault="007E3A2F">
            <w:pPr>
              <w:pStyle w:val="P68B1DB1-Normal15"/>
              <w:spacing w:line="240" w:lineRule="auto"/>
              <w:jc w:val="center"/>
              <w:rPr>
                <w:noProof/>
                <w:highlight w:val="yellow"/>
              </w:rPr>
            </w:pPr>
            <w:r>
              <w:rPr>
                <w:noProof/>
              </w:rPr>
              <w:t>TRIMESTRE 4</w:t>
            </w:r>
          </w:p>
        </w:tc>
        <w:tc>
          <w:tcPr>
            <w:tcW w:w="891" w:type="dxa"/>
            <w:tcBorders>
              <w:top w:val="single" w:sz="8" w:space="0" w:color="auto"/>
              <w:left w:val="single" w:sz="8" w:space="0" w:color="auto"/>
              <w:bottom w:val="single" w:sz="8" w:space="0" w:color="auto"/>
              <w:right w:val="single" w:sz="8" w:space="0" w:color="auto"/>
            </w:tcBorders>
            <w:shd w:val="clear" w:color="auto" w:fill="C6EFCE"/>
            <w:vAlign w:val="center"/>
          </w:tcPr>
          <w:p w14:paraId="4FD50D8C" w14:textId="77777777" w:rsidR="00025543" w:rsidRDefault="007E3A2F">
            <w:pPr>
              <w:pStyle w:val="P68B1DB1-Normal15"/>
              <w:spacing w:line="240" w:lineRule="auto"/>
              <w:jc w:val="center"/>
              <w:rPr>
                <w:noProof/>
                <w:highlight w:val="yellow"/>
              </w:rPr>
            </w:pPr>
            <w:r>
              <w:rPr>
                <w:noProof/>
              </w:rPr>
              <w:t>2021</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3B75A35A" w14:textId="77777777" w:rsidR="00025543" w:rsidRDefault="007E3A2F">
            <w:pPr>
              <w:pStyle w:val="P68B1DB1-Normal15"/>
              <w:spacing w:line="240" w:lineRule="auto"/>
              <w:rPr>
                <w:noProof/>
              </w:rPr>
            </w:pPr>
            <w:r>
              <w:rPr>
                <w:noProof/>
              </w:rPr>
              <w:t xml:space="preserve">Adoption et entrée en vigueur d’une stratégie d’audit pour l’organisme d’audit, garantissant un audit indépendant et efficace de la mise en œuvre de la FRR conformément aux normes d’audit internationalement reconnues.  </w:t>
            </w:r>
          </w:p>
          <w:p w14:paraId="2B089853" w14:textId="77777777" w:rsidR="00025543" w:rsidRDefault="007E3A2F">
            <w:pPr>
              <w:pStyle w:val="P68B1DB1-Normal15"/>
              <w:spacing w:line="240" w:lineRule="auto"/>
              <w:rPr>
                <w:noProof/>
                <w:highlight w:val="yellow"/>
              </w:rPr>
            </w:pPr>
            <w:r>
              <w:rPr>
                <w:noProof/>
              </w:rPr>
              <w:t>La stratégie définit au moins la méthodologie et l’approche de l’évaluation des risques, la fréquence et le type d’audits (tels que les audits de systèmes et de projets, sur pièces et sur place) à effectuer aux différentes étapes de mise en œuvre des réformes et des investissements mis en œuvre au titre du plan, ainsi que la fiabilité des données étayant la réalisation des jalons et des cibles.</w:t>
            </w:r>
          </w:p>
        </w:tc>
      </w:tr>
      <w:tr w:rsidR="00025543" w14:paraId="190761CB"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3DDC62B2" w14:textId="77777777" w:rsidR="00025543" w:rsidRDefault="007E3A2F">
            <w:pPr>
              <w:pStyle w:val="P68B1DB1-Normal16"/>
              <w:spacing w:line="259" w:lineRule="auto"/>
              <w:jc w:val="center"/>
              <w:rPr>
                <w:noProof/>
                <w:highlight w:val="yellow"/>
              </w:rPr>
            </w:pPr>
            <w:r>
              <w:rPr>
                <w:noProof/>
              </w:rPr>
              <w:t>212</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4AC32479" w14:textId="77777777" w:rsidR="00025543" w:rsidRDefault="007E3A2F">
            <w:pPr>
              <w:pStyle w:val="P68B1DB1-Normal15"/>
              <w:spacing w:line="240" w:lineRule="auto"/>
              <w:rPr>
                <w:noProof/>
                <w:highlight w:val="yellow"/>
              </w:rPr>
            </w:pPr>
            <w:r>
              <w:rPr>
                <w:noProof/>
              </w:rPr>
              <w:t>Réforme 5: Contrôle et audit</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3B5B1FAE" w14:textId="77777777" w:rsidR="00025543" w:rsidRDefault="007E3A2F">
            <w:pPr>
              <w:pStyle w:val="P68B1DB1-Normal15"/>
              <w:spacing w:line="240" w:lineRule="auto"/>
              <w:rPr>
                <w:noProof/>
                <w:highlight w:val="yellow"/>
              </w:rPr>
            </w:pPr>
            <w:r>
              <w:rPr>
                <w:noProof/>
              </w:rPr>
              <w:t>Étapes</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31DB3B5E" w14:textId="77777777" w:rsidR="00025543" w:rsidRDefault="007E3A2F">
            <w:pPr>
              <w:pStyle w:val="P68B1DB1-Normal15"/>
              <w:spacing w:line="240" w:lineRule="auto"/>
              <w:rPr>
                <w:noProof/>
                <w:highlight w:val="yellow"/>
              </w:rPr>
            </w:pPr>
            <w:r>
              <w:rPr>
                <w:noProof/>
              </w:rPr>
              <w:t>Réexamen de la définition des bénéficiaires effectifs en ce qui concerne le système de contrôle de la FRR</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14:paraId="428140DE" w14:textId="77777777" w:rsidR="00025543" w:rsidRDefault="007E3A2F">
            <w:pPr>
              <w:pStyle w:val="P68B1DB1-Normal15"/>
              <w:spacing w:line="240" w:lineRule="auto"/>
              <w:rPr>
                <w:noProof/>
                <w:highlight w:val="yellow"/>
              </w:rPr>
            </w:pPr>
            <w:r>
              <w:rPr>
                <w:noProof/>
              </w:rPr>
              <w:t>Rapport d’un examen de conformité comprenant des suggestions sur d’éventuelles mesures de suivi.</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73A25591" w14:textId="77777777" w:rsidR="00025543" w:rsidRDefault="00025543">
            <w:pPr>
              <w:spacing w:line="240" w:lineRule="auto"/>
              <w:rPr>
                <w:rFonts w:eastAsia="Times New Roman"/>
                <w:noProof/>
                <w:color w:val="004300"/>
                <w:sz w:val="18"/>
                <w:highlight w:val="yellow"/>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5B9A279" w14:textId="77777777" w:rsidR="00025543" w:rsidRDefault="00025543">
            <w:pPr>
              <w:spacing w:line="240" w:lineRule="auto"/>
              <w:jc w:val="center"/>
              <w:rPr>
                <w:rFonts w:eastAsia="Times New Roman"/>
                <w:noProof/>
                <w:color w:val="004300"/>
                <w:sz w:val="18"/>
                <w:highlight w:val="yellow"/>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D9ACD1B" w14:textId="77777777" w:rsidR="00025543" w:rsidRDefault="00025543">
            <w:pPr>
              <w:spacing w:line="240" w:lineRule="auto"/>
              <w:jc w:val="center"/>
              <w:rPr>
                <w:rFonts w:eastAsia="Times New Roman"/>
                <w:noProof/>
                <w:color w:val="004300"/>
                <w:sz w:val="18"/>
                <w:highlight w:val="yellow"/>
              </w:rPr>
            </w:pP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14:paraId="26BB53C9" w14:textId="77777777" w:rsidR="00025543" w:rsidRDefault="007E3A2F">
            <w:pPr>
              <w:pStyle w:val="P68B1DB1-Normal15"/>
              <w:spacing w:line="240" w:lineRule="auto"/>
              <w:jc w:val="center"/>
              <w:rPr>
                <w:noProof/>
                <w:highlight w:val="yellow"/>
              </w:rPr>
            </w:pPr>
            <w:r>
              <w:rPr>
                <w:noProof/>
              </w:rPr>
              <w:t>TRIMESTRE 4</w:t>
            </w:r>
          </w:p>
        </w:tc>
        <w:tc>
          <w:tcPr>
            <w:tcW w:w="891" w:type="dxa"/>
            <w:tcBorders>
              <w:top w:val="single" w:sz="8" w:space="0" w:color="auto"/>
              <w:left w:val="single" w:sz="8" w:space="0" w:color="auto"/>
              <w:bottom w:val="single" w:sz="8" w:space="0" w:color="auto"/>
              <w:right w:val="single" w:sz="8" w:space="0" w:color="auto"/>
            </w:tcBorders>
            <w:shd w:val="clear" w:color="auto" w:fill="C6EFCE"/>
            <w:vAlign w:val="center"/>
          </w:tcPr>
          <w:p w14:paraId="7B8A0ABA" w14:textId="77777777" w:rsidR="00025543" w:rsidRDefault="007E3A2F">
            <w:pPr>
              <w:pStyle w:val="P68B1DB1-Normal15"/>
              <w:spacing w:line="240" w:lineRule="auto"/>
              <w:jc w:val="center"/>
              <w:rPr>
                <w:noProof/>
                <w:highlight w:val="yellow"/>
              </w:rPr>
            </w:pPr>
            <w:r>
              <w:rPr>
                <w:noProof/>
              </w:rPr>
              <w:t>2021</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79CA710F" w14:textId="77777777" w:rsidR="00025543" w:rsidRDefault="007E3A2F">
            <w:pPr>
              <w:pStyle w:val="P68B1DB1-Normal15"/>
              <w:spacing w:line="240" w:lineRule="auto"/>
              <w:rPr>
                <w:noProof/>
              </w:rPr>
            </w:pPr>
            <w:r>
              <w:rPr>
                <w:noProof/>
              </w:rPr>
              <w:t xml:space="preserve">Un examen de la conformité des procédures nationales est effectué afin de garantir que l’application des bénéficiaires effectifs dans le cadre du système de contrôle de la FRR est pleinement alignée sur la définition des «bénéficiaires effectifs» au sens de l’article 3, point 6, de la directive 2015/849, telle que modifiée par la directive 2018/843. Le réexamen comprend à la fois la législation et les orientations, y compris un manuel pour le registre des bénéficiaires effectifs. Le réexamen porte également sur les sanctions effectives, proportionnées et dissuasives en cas de violation de l’obligation d’obtenir et de détenir des informations sur les bénéficiaires effectifs, conformément à l’article 30, paragraphe 1, de la directive 2015/849, telle que modifiée par la directive 2018/843. </w:t>
            </w:r>
          </w:p>
          <w:p w14:paraId="66605770" w14:textId="77777777" w:rsidR="00025543" w:rsidRDefault="007E3A2F">
            <w:pPr>
              <w:pStyle w:val="P68B1DB1-Normal15"/>
              <w:spacing w:line="240" w:lineRule="auto"/>
              <w:rPr>
                <w:noProof/>
                <w:highlight w:val="yellow"/>
              </w:rPr>
            </w:pPr>
            <w:r>
              <w:rPr>
                <w:noProof/>
              </w:rPr>
              <w:t>À la suite de cet examen, les lacunes potentielles constatées sont corrigées.</w:t>
            </w:r>
          </w:p>
        </w:tc>
      </w:tr>
      <w:tr w:rsidR="00025543" w14:paraId="54CABBD8"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4B3F771F" w14:textId="77777777" w:rsidR="00025543" w:rsidRDefault="007E3A2F">
            <w:pPr>
              <w:pStyle w:val="P68B1DB1-Normal16"/>
              <w:spacing w:line="259" w:lineRule="auto"/>
              <w:jc w:val="center"/>
              <w:rPr>
                <w:noProof/>
                <w:highlight w:val="yellow"/>
              </w:rPr>
            </w:pPr>
            <w:r>
              <w:rPr>
                <w:noProof/>
              </w:rPr>
              <w:t>213</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5CC9B9F3" w14:textId="77777777" w:rsidR="00025543" w:rsidRDefault="007E3A2F">
            <w:pPr>
              <w:pStyle w:val="P68B1DB1-Normal15"/>
              <w:spacing w:line="240" w:lineRule="auto"/>
              <w:rPr>
                <w:noProof/>
                <w:highlight w:val="yellow"/>
              </w:rPr>
            </w:pPr>
            <w:r>
              <w:rPr>
                <w:noProof/>
              </w:rPr>
              <w:t>Réforme 5: Contrôle et audit</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41EF8960" w14:textId="77777777" w:rsidR="00025543" w:rsidRDefault="007E3A2F">
            <w:pPr>
              <w:pStyle w:val="P68B1DB1-Normal15"/>
              <w:spacing w:line="240" w:lineRule="auto"/>
              <w:rPr>
                <w:noProof/>
                <w:highlight w:val="yellow"/>
              </w:rPr>
            </w:pPr>
            <w:r>
              <w:rPr>
                <w:noProof/>
              </w:rPr>
              <w:t>Étapes</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1D760982" w14:textId="77777777" w:rsidR="00025543" w:rsidRDefault="007E3A2F">
            <w:pPr>
              <w:pStyle w:val="P68B1DB1-Normal15"/>
              <w:spacing w:line="240" w:lineRule="auto"/>
              <w:rPr>
                <w:noProof/>
              </w:rPr>
            </w:pPr>
            <w:r>
              <w:rPr>
                <w:noProof/>
              </w:rPr>
              <w:t>Orientations sur la prévention et la gestion des conflits d’intérêts</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14:paraId="54578DB4" w14:textId="77777777" w:rsidR="00025543" w:rsidRDefault="007E3A2F">
            <w:pPr>
              <w:pStyle w:val="P68B1DB1-Normal15"/>
              <w:spacing w:line="240" w:lineRule="auto"/>
              <w:rPr>
                <w:noProof/>
                <w:highlight w:val="yellow"/>
              </w:rPr>
            </w:pPr>
            <w:r>
              <w:rPr>
                <w:noProof/>
              </w:rPr>
              <w:t>Orientations sur la prévention et la gestion des conflits d’intérêts publiées par l’unité de mise en œuvre de l’organisme de coordination. Révision par l’autorité d’audit</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DE40530" w14:textId="77777777" w:rsidR="00025543" w:rsidRDefault="00025543">
            <w:pPr>
              <w:spacing w:line="240" w:lineRule="auto"/>
              <w:rPr>
                <w:rFonts w:eastAsia="Times New Roman"/>
                <w:noProof/>
                <w:color w:val="004300"/>
                <w:sz w:val="18"/>
                <w:highlight w:val="yellow"/>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FA7D142" w14:textId="77777777" w:rsidR="00025543" w:rsidRDefault="00025543">
            <w:pPr>
              <w:spacing w:line="240" w:lineRule="auto"/>
              <w:jc w:val="center"/>
              <w:rPr>
                <w:rFonts w:eastAsia="Times New Roman"/>
                <w:noProof/>
                <w:color w:val="004300"/>
                <w:sz w:val="18"/>
                <w:highlight w:val="yellow"/>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1413D47B" w14:textId="77777777" w:rsidR="00025543" w:rsidRDefault="00025543">
            <w:pPr>
              <w:spacing w:line="240" w:lineRule="auto"/>
              <w:jc w:val="center"/>
              <w:rPr>
                <w:rFonts w:eastAsia="Times New Roman"/>
                <w:noProof/>
                <w:color w:val="004300"/>
                <w:sz w:val="18"/>
                <w:highlight w:val="yellow"/>
              </w:rPr>
            </w:pP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14:paraId="57CB1DC4" w14:textId="77777777" w:rsidR="00025543" w:rsidRDefault="007E3A2F">
            <w:pPr>
              <w:pStyle w:val="P68B1DB1-Normal15"/>
              <w:spacing w:line="240" w:lineRule="auto"/>
              <w:jc w:val="center"/>
              <w:rPr>
                <w:noProof/>
                <w:highlight w:val="yellow"/>
              </w:rPr>
            </w:pPr>
            <w:r>
              <w:rPr>
                <w:noProof/>
              </w:rPr>
              <w:t>TRIMESTRE 2</w:t>
            </w:r>
          </w:p>
        </w:tc>
        <w:tc>
          <w:tcPr>
            <w:tcW w:w="891" w:type="dxa"/>
            <w:tcBorders>
              <w:top w:val="single" w:sz="8" w:space="0" w:color="auto"/>
              <w:left w:val="single" w:sz="8" w:space="0" w:color="auto"/>
              <w:bottom w:val="single" w:sz="8" w:space="0" w:color="auto"/>
              <w:right w:val="single" w:sz="8" w:space="0" w:color="auto"/>
            </w:tcBorders>
            <w:shd w:val="clear" w:color="auto" w:fill="C6EFCE"/>
            <w:vAlign w:val="center"/>
          </w:tcPr>
          <w:p w14:paraId="2641D30E" w14:textId="77777777" w:rsidR="00025543" w:rsidRDefault="007E3A2F">
            <w:pPr>
              <w:pStyle w:val="P68B1DB1-Normal15"/>
              <w:spacing w:line="240" w:lineRule="auto"/>
              <w:jc w:val="center"/>
              <w:rPr>
                <w:noProof/>
                <w:highlight w:val="yellow"/>
              </w:rPr>
            </w:pPr>
            <w:r>
              <w:rPr>
                <w:noProof/>
              </w:rPr>
              <w:t>2022</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464A7450" w14:textId="77777777" w:rsidR="00025543" w:rsidRDefault="007E3A2F">
            <w:pPr>
              <w:pStyle w:val="P68B1DB1-Normal15"/>
              <w:spacing w:line="240" w:lineRule="auto"/>
              <w:rPr>
                <w:noProof/>
              </w:rPr>
            </w:pPr>
            <w:r>
              <w:rPr>
                <w:noProof/>
              </w:rPr>
              <w:t xml:space="preserve">Adoption par l’unité de mise en œuvre de l’organe de coordination d’orientations visant à garantir la prévention et la gestion des conflits d’intérêts par les propriétaires des composantes et les autres entités mettant en œuvre des réformes et des investissements au titre du plan pour la reprise et la résilience. Ces orientations reflètent l’ensemble des mesures nécessaires pour protéger le budget de l’UE contre la fraude et les irrégularités. Ces orientations se fondent sur la communication de la Commission intitulée «Orientations relatives à la prévention et à la gestion des conflits d’intérêts au titre du règlement financier» (JO C 121 du 9.4.2021, p. 1). </w:t>
            </w:r>
          </w:p>
          <w:p w14:paraId="315CEBB1" w14:textId="77777777" w:rsidR="00025543" w:rsidRDefault="007E3A2F">
            <w:pPr>
              <w:pStyle w:val="P68B1DB1-Normal15"/>
              <w:spacing w:line="240" w:lineRule="auto"/>
              <w:rPr>
                <w:noProof/>
                <w:highlight w:val="yellow"/>
              </w:rPr>
            </w:pPr>
            <w:r>
              <w:rPr>
                <w:noProof/>
              </w:rPr>
              <w:t>Les orientations harmonisent les mesures à prendre par les propriétaires des composantes et les autres entités mettant en œuvre des réformes et des investissements au titre du plan pour la reprise et la résilience (ministères, autres organismes publics, fonds publics, etc.).</w:t>
            </w:r>
          </w:p>
        </w:tc>
      </w:tr>
      <w:tr w:rsidR="00025543" w14:paraId="3CDA569C"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00951F72" w14:textId="77777777" w:rsidR="00025543" w:rsidRDefault="007E3A2F">
            <w:pPr>
              <w:pStyle w:val="P68B1DB1-Normal16"/>
              <w:spacing w:line="259" w:lineRule="auto"/>
              <w:jc w:val="center"/>
              <w:rPr>
                <w:noProof/>
                <w:highlight w:val="yellow"/>
              </w:rPr>
            </w:pPr>
            <w:r>
              <w:rPr>
                <w:noProof/>
              </w:rPr>
              <w:t>214</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73E400F3" w14:textId="77777777" w:rsidR="00025543" w:rsidRDefault="007E3A2F">
            <w:pPr>
              <w:pStyle w:val="P68B1DB1-Normal15"/>
              <w:spacing w:line="240" w:lineRule="auto"/>
              <w:rPr>
                <w:noProof/>
                <w:highlight w:val="yellow"/>
              </w:rPr>
            </w:pPr>
            <w:r>
              <w:rPr>
                <w:noProof/>
              </w:rPr>
              <w:t>Réforme 5: Contrôle et audit</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0D054E63" w14:textId="77777777" w:rsidR="00025543" w:rsidRDefault="007E3A2F">
            <w:pPr>
              <w:pStyle w:val="P68B1DB1-Normal15"/>
              <w:spacing w:line="240" w:lineRule="auto"/>
              <w:rPr>
                <w:noProof/>
                <w:highlight w:val="yellow"/>
              </w:rPr>
            </w:pPr>
            <w:r>
              <w:rPr>
                <w:noProof/>
              </w:rPr>
              <w:t>Étapes</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1F9CDE65" w14:textId="77777777" w:rsidR="00025543" w:rsidRDefault="007E3A2F">
            <w:pPr>
              <w:pStyle w:val="P68B1DB1-Normal15"/>
              <w:spacing w:line="240" w:lineRule="auto"/>
              <w:rPr>
                <w:noProof/>
                <w:highlight w:val="yellow"/>
              </w:rPr>
            </w:pPr>
            <w:r>
              <w:rPr>
                <w:noProof/>
              </w:rPr>
              <w:t>Procédures visant à éviter les conflits d’intérêts conformément à l’article 61 du règlement financier</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14:paraId="600C8588" w14:textId="77777777" w:rsidR="00025543" w:rsidRDefault="007E3A2F">
            <w:pPr>
              <w:pStyle w:val="P68B1DB1-Normal15"/>
              <w:spacing w:line="240" w:lineRule="auto"/>
              <w:rPr>
                <w:noProof/>
                <w:highlight w:val="yellow"/>
              </w:rPr>
            </w:pPr>
            <w:r>
              <w:rPr>
                <w:noProof/>
              </w:rPr>
              <w:t>Rapport d’audit accompagné de l’avis d’audit sans réserve sur l’efficacité du système de contrôle interne de la FRR pour prévenir, détecter et corriger les situations de conflit d’intérêts</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B6B9F20" w14:textId="77777777" w:rsidR="00025543" w:rsidRDefault="00025543">
            <w:pPr>
              <w:spacing w:line="240" w:lineRule="auto"/>
              <w:rPr>
                <w:rFonts w:eastAsia="Times New Roman"/>
                <w:noProof/>
                <w:color w:val="004300"/>
                <w:sz w:val="18"/>
                <w:highlight w:val="yellow"/>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4AC47DF8" w14:textId="77777777" w:rsidR="00025543" w:rsidRDefault="00025543">
            <w:pPr>
              <w:spacing w:line="240" w:lineRule="auto"/>
              <w:jc w:val="center"/>
              <w:rPr>
                <w:rFonts w:eastAsia="Times New Roman"/>
                <w:noProof/>
                <w:color w:val="004300"/>
                <w:sz w:val="18"/>
                <w:highlight w:val="yellow"/>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F2169C9" w14:textId="77777777" w:rsidR="00025543" w:rsidRDefault="00025543">
            <w:pPr>
              <w:spacing w:line="240" w:lineRule="auto"/>
              <w:jc w:val="center"/>
              <w:rPr>
                <w:rFonts w:eastAsia="Times New Roman"/>
                <w:noProof/>
                <w:color w:val="004300"/>
                <w:sz w:val="18"/>
                <w:highlight w:val="yellow"/>
              </w:rPr>
            </w:pPr>
          </w:p>
        </w:tc>
        <w:tc>
          <w:tcPr>
            <w:tcW w:w="851" w:type="dxa"/>
            <w:tcBorders>
              <w:top w:val="single" w:sz="8" w:space="0" w:color="auto"/>
              <w:left w:val="single" w:sz="8" w:space="0" w:color="auto"/>
              <w:bottom w:val="single" w:sz="8" w:space="0" w:color="auto"/>
              <w:right w:val="single" w:sz="8" w:space="0" w:color="auto"/>
            </w:tcBorders>
            <w:shd w:val="clear" w:color="auto" w:fill="C6EFCE"/>
            <w:vAlign w:val="center"/>
          </w:tcPr>
          <w:p w14:paraId="6FE423ED" w14:textId="77777777" w:rsidR="00025543" w:rsidRDefault="007E3A2F">
            <w:pPr>
              <w:pStyle w:val="P68B1DB1-Normal15"/>
              <w:spacing w:line="240" w:lineRule="auto"/>
              <w:jc w:val="center"/>
              <w:rPr>
                <w:noProof/>
                <w:highlight w:val="yellow"/>
              </w:rPr>
            </w:pPr>
            <w:r>
              <w:rPr>
                <w:noProof/>
              </w:rPr>
              <w:t>TRIMESTRE 2</w:t>
            </w:r>
          </w:p>
        </w:tc>
        <w:tc>
          <w:tcPr>
            <w:tcW w:w="891" w:type="dxa"/>
            <w:tcBorders>
              <w:top w:val="single" w:sz="8" w:space="0" w:color="auto"/>
              <w:left w:val="single" w:sz="8" w:space="0" w:color="auto"/>
              <w:bottom w:val="single" w:sz="8" w:space="0" w:color="auto"/>
              <w:right w:val="single" w:sz="8" w:space="0" w:color="auto"/>
            </w:tcBorders>
            <w:shd w:val="clear" w:color="auto" w:fill="C6EFCE"/>
            <w:vAlign w:val="center"/>
          </w:tcPr>
          <w:p w14:paraId="1E43281F" w14:textId="77777777" w:rsidR="00025543" w:rsidRDefault="007E3A2F">
            <w:pPr>
              <w:pStyle w:val="P68B1DB1-Normal15"/>
              <w:spacing w:line="240" w:lineRule="auto"/>
              <w:jc w:val="center"/>
              <w:rPr>
                <w:noProof/>
                <w:highlight w:val="yellow"/>
              </w:rPr>
            </w:pPr>
            <w:r>
              <w:rPr>
                <w:noProof/>
              </w:rPr>
              <w:t>2022</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1166EBD4" w14:textId="126CFF79" w:rsidR="00025543" w:rsidRDefault="007E3A2F">
            <w:pPr>
              <w:pStyle w:val="P68B1DB1-Normal15"/>
              <w:spacing w:line="240" w:lineRule="auto"/>
              <w:rPr>
                <w:noProof/>
              </w:rPr>
            </w:pPr>
            <w:r>
              <w:rPr>
                <w:noProof/>
              </w:rPr>
              <w:t xml:space="preserve">Le système de contrôle interne de la FRR destiné à éviter les conflits d’intérêts est efficace et garantit, en particulier, que: </w:t>
            </w:r>
          </w:p>
          <w:p w14:paraId="3471F131" w14:textId="77777777" w:rsidR="00025543" w:rsidRDefault="007E3A2F">
            <w:pPr>
              <w:pStyle w:val="P68B1DB1-Normal15"/>
              <w:spacing w:line="240" w:lineRule="auto"/>
              <w:rPr>
                <w:noProof/>
              </w:rPr>
            </w:pPr>
            <w:r>
              <w:rPr>
                <w:noProof/>
              </w:rPr>
              <w:t xml:space="preserve">(a) la collecte, le stockage et le traitement de données concernant tous les destinataires finaux, y compris tous les bénéficiaires effectifs, conformément à l’article 3, point 6), de la directive (UE) 2015/849; </w:t>
            </w:r>
          </w:p>
          <w:p w14:paraId="123EC217" w14:textId="68FD97FF" w:rsidR="00025543" w:rsidRDefault="007E3A2F">
            <w:pPr>
              <w:pStyle w:val="P68B1DB1-Normal15"/>
              <w:spacing w:line="240" w:lineRule="auto"/>
              <w:rPr>
                <w:noProof/>
              </w:rPr>
            </w:pPr>
            <w:r>
              <w:rPr>
                <w:noProof/>
              </w:rPr>
              <w:t xml:space="preserve">(b) le système de contrôle interne destiné à prévenir, détecter et corriger les situations de conflit d’intérêts est conforme à l’article 61 du règlement financier; et </w:t>
            </w:r>
          </w:p>
          <w:p w14:paraId="0CA8A54E" w14:textId="0C9C6C98" w:rsidR="00025543" w:rsidRDefault="007E3A2F">
            <w:pPr>
              <w:pStyle w:val="P68B1DB1-Normal15"/>
              <w:spacing w:line="240" w:lineRule="auto"/>
              <w:rPr>
                <w:noProof/>
                <w:highlight w:val="yellow"/>
              </w:rPr>
            </w:pPr>
            <w:r>
              <w:rPr>
                <w:noProof/>
              </w:rPr>
              <w:t>(c) les procédures de contrôle nationales visant à éviter les situations de conflit d’intérêts pour tous les bénéficiaires effectifs sont efficaces.</w:t>
            </w:r>
          </w:p>
        </w:tc>
      </w:tr>
    </w:tbl>
    <w:p w14:paraId="1F397E22" w14:textId="77777777" w:rsidR="00025543" w:rsidRDefault="00025543">
      <w:pPr>
        <w:pBdr>
          <w:top w:val="nil"/>
          <w:left w:val="nil"/>
          <w:bottom w:val="nil"/>
          <w:right w:val="nil"/>
          <w:between w:val="nil"/>
        </w:pBdr>
        <w:spacing w:line="240" w:lineRule="auto"/>
        <w:jc w:val="both"/>
        <w:rPr>
          <w:rFonts w:eastAsia="Times New Roman"/>
          <w:noProof/>
          <w:color w:val="000000"/>
          <w:highlight w:val="yellow"/>
        </w:rPr>
        <w:sectPr w:rsidR="00025543" w:rsidSect="003C3F81">
          <w:headerReference w:type="even" r:id="rId348"/>
          <w:headerReference w:type="default" r:id="rId349"/>
          <w:footerReference w:type="even" r:id="rId350"/>
          <w:footerReference w:type="default" r:id="rId351"/>
          <w:headerReference w:type="first" r:id="rId352"/>
          <w:footerReference w:type="first" r:id="rId353"/>
          <w:pgSz w:w="16839" w:h="11907" w:orient="landscape"/>
          <w:pgMar w:top="1134" w:right="1134" w:bottom="1134" w:left="1134" w:header="567" w:footer="567" w:gutter="0"/>
          <w:cols w:space="708"/>
          <w:docGrid w:linePitch="326"/>
        </w:sectPr>
      </w:pPr>
    </w:p>
    <w:p w14:paraId="7BA8A18F" w14:textId="287F6A0E" w:rsidR="00025543" w:rsidRDefault="007E3A2F">
      <w:pPr>
        <w:keepNext/>
        <w:tabs>
          <w:tab w:val="left" w:pos="850"/>
        </w:tabs>
        <w:spacing w:line="240" w:lineRule="auto"/>
        <w:ind w:left="850" w:hanging="850"/>
        <w:jc w:val="both"/>
        <w:outlineLvl w:val="0"/>
        <w:rPr>
          <w:b/>
          <w:smallCaps/>
          <w:noProof/>
        </w:rPr>
      </w:pPr>
      <w:r>
        <w:rPr>
          <w:b/>
          <w:smallCaps/>
          <w:noProof/>
        </w:rPr>
        <w:t>X COMPOSANTE 4.4</w:t>
      </w:r>
      <w:r>
        <w:rPr>
          <w:noProof/>
        </w:rPr>
        <w:t xml:space="preserve">: </w:t>
      </w:r>
      <w:r>
        <w:rPr>
          <w:b/>
          <w:smallCaps/>
          <w:noProof/>
        </w:rPr>
        <w:t>Améliorer l’efficacité de l’administration publique</w:t>
      </w:r>
    </w:p>
    <w:p w14:paraId="0F4AE888" w14:textId="77777777" w:rsidR="00025543" w:rsidRDefault="007E3A2F">
      <w:pPr>
        <w:spacing w:line="240" w:lineRule="auto"/>
        <w:jc w:val="both"/>
        <w:rPr>
          <w:noProof/>
        </w:rPr>
      </w:pPr>
      <w:r>
        <w:rPr>
          <w:noProof/>
        </w:rPr>
        <w:t xml:space="preserve">Ce volet du plan pour la reprise et la résilience de la République tchèque répond au défi consistant à renforcer l’application de l’approche fondée sur des données probantes à l’élaboration des politiques publiques, tout en renforçant la coordination entre les différents niveaux (central et régional) de l’administration publique. Elle vise à remédier au manque de </w:t>
      </w:r>
      <w:r>
        <w:rPr>
          <w:rFonts w:eastAsia="Times New Roman"/>
          <w:noProof/>
        </w:rPr>
        <w:t>capacités d’analyse suffisantes dans l’</w:t>
      </w:r>
      <w:r>
        <w:rPr>
          <w:noProof/>
        </w:rPr>
        <w:t xml:space="preserve"> administration publique tchèque. </w:t>
      </w:r>
    </w:p>
    <w:p w14:paraId="47C76D5E" w14:textId="77777777" w:rsidR="00025543" w:rsidRDefault="007E3A2F">
      <w:pPr>
        <w:pStyle w:val="P68B1DB1-Normal3"/>
        <w:spacing w:line="240" w:lineRule="auto"/>
        <w:jc w:val="both"/>
        <w:rPr>
          <w:noProof/>
          <w:color w:val="000000"/>
        </w:rPr>
      </w:pPr>
      <w:r>
        <w:rPr>
          <w:noProof/>
        </w:rPr>
        <w:t xml:space="preserve">Le volet soutient la mise en œuvre de la recommandation par pays, selon laquelle la Tchéquie vise à réduire la charge administrative et à améliorer l’administration en ligne (recommandation spécifique par pays no 3 2019). </w:t>
      </w:r>
      <w:r>
        <w:rPr>
          <w:noProof/>
          <w:color w:val="000000"/>
        </w:rPr>
        <w:t xml:space="preserve"> </w:t>
      </w:r>
    </w:p>
    <w:p w14:paraId="1C05259D" w14:textId="77777777" w:rsidR="00025543" w:rsidRDefault="007E3A2F">
      <w:pPr>
        <w:spacing w:line="276" w:lineRule="auto"/>
        <w:jc w:val="both"/>
        <w:rPr>
          <w:noProof/>
          <w:sz w:val="22"/>
        </w:rPr>
      </w:pPr>
      <w:r>
        <w:rPr>
          <w:noProof/>
        </w:rPr>
        <w:t>Aucune mesure relevant de ce volet ne devrait nuire gravement aux objectifs environnementaux au sens de l’article 17 du règlement (UE) 2020/852, compte tenu de la description des mesures et des mesures d’atténuation prévues dans le plan pour la reprise et la résilience conformément aux orientations techniques de la DNSH (2021/C58/01).</w:t>
      </w:r>
    </w:p>
    <w:p w14:paraId="5C105443" w14:textId="3ADB7B90" w:rsidR="00025543" w:rsidRDefault="00025543">
      <w:pPr>
        <w:spacing w:line="240" w:lineRule="auto"/>
        <w:jc w:val="both"/>
        <w:rPr>
          <w:rFonts w:eastAsia="Times New Roman"/>
          <w:noProof/>
        </w:rPr>
      </w:pPr>
    </w:p>
    <w:p w14:paraId="797D889F" w14:textId="42A2295B" w:rsidR="00025543" w:rsidRDefault="007E3A2F">
      <w:pPr>
        <w:pStyle w:val="P68B1DB1-Normal5"/>
        <w:spacing w:line="240" w:lineRule="auto"/>
        <w:jc w:val="both"/>
        <w:rPr>
          <w:i/>
          <w:noProof/>
        </w:rPr>
      </w:pPr>
      <w:r>
        <w:rPr>
          <w:noProof/>
        </w:rPr>
        <w:t>X.1. Description des réformes et des investissements en vue du soutien financier non remboursable</w:t>
      </w:r>
    </w:p>
    <w:p w14:paraId="5FEF2662" w14:textId="77777777" w:rsidR="00025543" w:rsidRDefault="007E3A2F">
      <w:pPr>
        <w:pBdr>
          <w:top w:val="nil"/>
          <w:left w:val="nil"/>
          <w:bottom w:val="nil"/>
          <w:right w:val="nil"/>
          <w:between w:val="nil"/>
        </w:pBdr>
        <w:spacing w:line="240" w:lineRule="auto"/>
        <w:jc w:val="both"/>
        <w:rPr>
          <w:b/>
          <w:noProof/>
        </w:rPr>
      </w:pPr>
      <w:bookmarkStart w:id="3" w:name="_Hlk138078734"/>
      <w:r>
        <w:rPr>
          <w:b/>
          <w:noProof/>
        </w:rPr>
        <w:t>Réforme 1: Efficacité accrue, orientation pro-client et utilisation des principes de prise de décision fondée sur des données probantes dans l’administration publique</w:t>
      </w:r>
      <w:r>
        <w:rPr>
          <w:noProof/>
        </w:rPr>
        <w:t>.</w:t>
      </w:r>
      <w:r>
        <w:rPr>
          <w:b/>
          <w:noProof/>
        </w:rPr>
        <w:t xml:space="preserve"> </w:t>
      </w:r>
    </w:p>
    <w:p w14:paraId="38FD3B88" w14:textId="5F605EC4" w:rsidR="00025543" w:rsidRDefault="007E3A2F">
      <w:pPr>
        <w:pStyle w:val="P68B1DB1-Normal4"/>
        <w:spacing w:after="0" w:line="259" w:lineRule="auto"/>
        <w:jc w:val="both"/>
        <w:rPr>
          <w:noProof/>
          <w:color w:val="000000" w:themeColor="text1"/>
        </w:rPr>
      </w:pPr>
      <w:r>
        <w:rPr>
          <w:noProof/>
        </w:rPr>
        <w:t>La mesure vise à accroître l’efficacité, l’orientation pro-client et l’utilisation des principes de prise de décision fondée sur des données probantes dans l’administration publique</w:t>
      </w:r>
      <w:r>
        <w:rPr>
          <w:b/>
          <w:noProof/>
        </w:rPr>
        <w:t>. Il</w:t>
      </w:r>
      <w:r>
        <w:rPr>
          <w:noProof/>
        </w:rPr>
        <w:t>s’appuie sur les recommandations de l’examen de la gouvernance publique de l’OCDE, en particulier dans les domaines du chapitre 2 (Améliorer la coordination des politiques et la planification stratégique au centre du gouvernement), du chapitre 3 (Promouvoir la prise de décision fondée sur des données probantes) et du chapitre 6 (Attirer et développer les compétences dans le service public). Les actions suivantes correspondent à ces sections:</w:t>
      </w:r>
    </w:p>
    <w:p w14:paraId="4C941BC7" w14:textId="1007209A" w:rsidR="00025543" w:rsidRDefault="007E3A2F">
      <w:pPr>
        <w:pStyle w:val="P68B1DB1-Normal45"/>
        <w:spacing w:after="0" w:line="259" w:lineRule="auto"/>
        <w:ind w:left="708" w:hanging="708"/>
        <w:jc w:val="both"/>
        <w:rPr>
          <w:noProof/>
        </w:rPr>
      </w:pPr>
      <w:r>
        <w:rPr>
          <w:noProof/>
        </w:rPr>
        <w:t>Améliorer la coordination des politiques et la planification stratégique au centre du gouvernement:</w:t>
      </w:r>
    </w:p>
    <w:p w14:paraId="51089174" w14:textId="13805CDE" w:rsidR="00025543" w:rsidRDefault="007E3A2F">
      <w:pPr>
        <w:pStyle w:val="P68B1DB1-ListParagraph39"/>
        <w:numPr>
          <w:ilvl w:val="0"/>
          <w:numId w:val="338"/>
        </w:numPr>
        <w:spacing w:after="0"/>
        <w:jc w:val="both"/>
        <w:rPr>
          <w:noProof/>
        </w:rPr>
      </w:pPr>
      <w:r>
        <w:rPr>
          <w:noProof/>
        </w:rPr>
        <w:t>Adopter un rapport de synthèse sur la cohérence des politiques au service du développement durable, en recensant les besoins de financement des stratégies ainsi que les sources de financement existantes.</w:t>
      </w:r>
    </w:p>
    <w:p w14:paraId="1EFECC12" w14:textId="0F206F28" w:rsidR="00025543" w:rsidRDefault="007E3A2F">
      <w:pPr>
        <w:pStyle w:val="P68B1DB1-ListParagraph39"/>
        <w:numPr>
          <w:ilvl w:val="0"/>
          <w:numId w:val="338"/>
        </w:numPr>
        <w:spacing w:after="0"/>
        <w:jc w:val="both"/>
        <w:rPr>
          <w:noProof/>
        </w:rPr>
      </w:pPr>
      <w:r>
        <w:rPr>
          <w:noProof/>
        </w:rPr>
        <w:t>Mise en service d’un système informatique pour les indicateurs de suivi liés aux ODD.</w:t>
      </w:r>
    </w:p>
    <w:p w14:paraId="42EF05BF" w14:textId="2CCD609C" w:rsidR="00025543" w:rsidRDefault="007E3A2F">
      <w:pPr>
        <w:pStyle w:val="P68B1DB1-Normal45"/>
        <w:spacing w:after="0" w:line="259" w:lineRule="auto"/>
        <w:ind w:left="708" w:hanging="708"/>
        <w:jc w:val="both"/>
        <w:rPr>
          <w:noProof/>
        </w:rPr>
      </w:pPr>
      <w:r>
        <w:rPr>
          <w:noProof/>
        </w:rPr>
        <w:t>Promouvoir une prise de décision fondée sur des données probantes:</w:t>
      </w:r>
    </w:p>
    <w:p w14:paraId="4904BC2B" w14:textId="77777777" w:rsidR="00025543" w:rsidRDefault="007E3A2F">
      <w:pPr>
        <w:pStyle w:val="P68B1DB1-ListParagraph39"/>
        <w:numPr>
          <w:ilvl w:val="0"/>
          <w:numId w:val="338"/>
        </w:numPr>
        <w:spacing w:after="0"/>
        <w:jc w:val="both"/>
        <w:rPr>
          <w:noProof/>
        </w:rPr>
      </w:pPr>
      <w:r>
        <w:rPr>
          <w:noProof/>
        </w:rPr>
        <w:t>Mettre en place une équipe centrale d’analyse afin de sensibiliser toutes les parties prenantes concernées de l’administration publique à l’importance des principes d’élaboration des politiques fondés sur des données probantes, tout en aidant les services concernés à appliquer correctement les méthodes d’analyse qualitatives et quantitatives.</w:t>
      </w:r>
    </w:p>
    <w:p w14:paraId="40A104EF" w14:textId="04912242" w:rsidR="00025543" w:rsidRDefault="007E3A2F">
      <w:pPr>
        <w:pStyle w:val="P68B1DB1-ListParagraph39"/>
        <w:numPr>
          <w:ilvl w:val="0"/>
          <w:numId w:val="338"/>
        </w:numPr>
        <w:spacing w:after="0"/>
        <w:jc w:val="both"/>
        <w:rPr>
          <w:noProof/>
        </w:rPr>
      </w:pPr>
      <w:r>
        <w:rPr>
          <w:noProof/>
        </w:rPr>
        <w:t xml:space="preserve">Adoption d’une nouvelle version de la méthodologie d’analyse d’impact de la réglementation. </w:t>
      </w:r>
    </w:p>
    <w:p w14:paraId="55B38F11" w14:textId="59C23A00" w:rsidR="00025543" w:rsidRDefault="007E3A2F">
      <w:pPr>
        <w:pStyle w:val="P68B1DB1-ListParagraph46"/>
        <w:numPr>
          <w:ilvl w:val="0"/>
          <w:numId w:val="338"/>
        </w:numPr>
        <w:spacing w:after="0"/>
        <w:jc w:val="both"/>
        <w:rPr>
          <w:noProof/>
        </w:rPr>
      </w:pPr>
      <w:r>
        <w:rPr>
          <w:noProof/>
        </w:rPr>
        <w:t>Mettre à jour le modèle climat-énergie en tenant compte de tous les processus climatiques et énergétiques importants pour la Tchéquie.</w:t>
      </w:r>
    </w:p>
    <w:p w14:paraId="0CE50548" w14:textId="679978A5" w:rsidR="00025543" w:rsidRDefault="007E3A2F">
      <w:pPr>
        <w:pStyle w:val="P68B1DB1-ListParagraph39"/>
        <w:numPr>
          <w:ilvl w:val="0"/>
          <w:numId w:val="338"/>
        </w:numPr>
        <w:spacing w:after="0"/>
        <w:jc w:val="both"/>
        <w:rPr>
          <w:noProof/>
        </w:rPr>
      </w:pPr>
      <w:r>
        <w:rPr>
          <w:noProof/>
        </w:rPr>
        <w:t>Créer une base de données contenant des données pertinentes provenant de sources d’information sélectionnées, des données ouvertes et des données obtenues au moyen d’un nouvel outil électronique de collecte de données sur les activités des autorités.</w:t>
      </w:r>
    </w:p>
    <w:p w14:paraId="6E81420F" w14:textId="3F061905" w:rsidR="00025543" w:rsidRDefault="007E3A2F">
      <w:pPr>
        <w:pStyle w:val="P68B1DB1-Normal45"/>
        <w:spacing w:after="0" w:line="259" w:lineRule="auto"/>
        <w:ind w:left="708" w:hanging="708"/>
        <w:jc w:val="both"/>
        <w:rPr>
          <w:noProof/>
        </w:rPr>
      </w:pPr>
      <w:r>
        <w:rPr>
          <w:noProof/>
        </w:rPr>
        <w:t>Attirer et développer les compétences dans le service public</w:t>
      </w:r>
    </w:p>
    <w:p w14:paraId="759BF37A" w14:textId="3AF94F77" w:rsidR="00025543" w:rsidRDefault="007E3A2F">
      <w:pPr>
        <w:pStyle w:val="P68B1DB1-ListParagraph39"/>
        <w:numPr>
          <w:ilvl w:val="0"/>
          <w:numId w:val="338"/>
        </w:numPr>
        <w:spacing w:after="0"/>
        <w:jc w:val="both"/>
        <w:rPr>
          <w:noProof/>
        </w:rPr>
      </w:pPr>
      <w:r>
        <w:rPr>
          <w:noProof/>
        </w:rPr>
        <w:t>Mise en place d’un système RH permettant la conduite numérique de certains processus RH et l’établissement de formulaires pour certains processus RH, ainsi qu’un plan d’action RH pour les bureaux de la fonction publique.</w:t>
      </w:r>
    </w:p>
    <w:p w14:paraId="6D32D157" w14:textId="5B6B62BE" w:rsidR="00025543" w:rsidRDefault="007E3A2F">
      <w:pPr>
        <w:pStyle w:val="P68B1DB1-ListParagraph39"/>
        <w:numPr>
          <w:ilvl w:val="0"/>
          <w:numId w:val="338"/>
        </w:numPr>
        <w:spacing w:after="0"/>
        <w:jc w:val="both"/>
        <w:rPr>
          <w:noProof/>
        </w:rPr>
      </w:pPr>
      <w:r>
        <w:rPr>
          <w:noProof/>
        </w:rPr>
        <w:t>Mise en œuvre de programmes de formation pro-client ciblés pour au moins 1000 fonctionnaires des bureaux de front.</w:t>
      </w:r>
    </w:p>
    <w:p w14:paraId="447591FF" w14:textId="4D845C26" w:rsidR="00025543" w:rsidRDefault="007E3A2F">
      <w:pPr>
        <w:spacing w:line="240" w:lineRule="auto"/>
        <w:rPr>
          <w:noProof/>
        </w:rPr>
      </w:pPr>
      <w:r>
        <w:rPr>
          <w:noProof/>
        </w:rPr>
        <w:t>La réforme doit être achevée au plus tard le 31 décembre 2025.</w:t>
      </w:r>
      <w:bookmarkEnd w:id="3"/>
      <w:r>
        <w:rPr>
          <w:noProof/>
        </w:rPr>
        <w:t xml:space="preserve"> </w:t>
      </w:r>
    </w:p>
    <w:p w14:paraId="3F66F876" w14:textId="77777777" w:rsidR="00025543" w:rsidRDefault="00025543">
      <w:pPr>
        <w:rPr>
          <w:noProof/>
        </w:rPr>
        <w:sectPr w:rsidR="00025543" w:rsidSect="00997F50">
          <w:headerReference w:type="even" r:id="rId354"/>
          <w:headerReference w:type="default" r:id="rId355"/>
          <w:footerReference w:type="even" r:id="rId356"/>
          <w:footerReference w:type="default" r:id="rId357"/>
          <w:headerReference w:type="first" r:id="rId358"/>
          <w:footerReference w:type="first" r:id="rId359"/>
          <w:pgSz w:w="11907" w:h="16839"/>
          <w:pgMar w:top="1134" w:right="1134" w:bottom="1134" w:left="1134" w:header="567" w:footer="567" w:gutter="0"/>
          <w:cols w:space="720"/>
          <w:docGrid w:linePitch="326"/>
        </w:sectPr>
      </w:pPr>
    </w:p>
    <w:p w14:paraId="54A6A178" w14:textId="4710BC0D" w:rsidR="00025543" w:rsidRDefault="007E3A2F">
      <w:pPr>
        <w:pStyle w:val="P68B1DB1-Normal5"/>
        <w:spacing w:line="240" w:lineRule="auto"/>
        <w:jc w:val="both"/>
        <w:rPr>
          <w:noProof/>
        </w:rPr>
      </w:pPr>
      <w:r>
        <w:rPr>
          <w:noProof/>
        </w:rPr>
        <w:t>X.2. Jalons, cibles, indicateurs et calendrier de suivi et de mise en œuvre en vue du soutien financier non remboursable</w:t>
      </w:r>
    </w:p>
    <w:tbl>
      <w:tblPr>
        <w:tblW w:w="14711" w:type="dxa"/>
        <w:tblInd w:w="-147" w:type="dxa"/>
        <w:tblLayout w:type="fixed"/>
        <w:tblLook w:val="0400" w:firstRow="0" w:lastRow="0" w:firstColumn="0" w:lastColumn="0" w:noHBand="0" w:noVBand="1"/>
      </w:tblPr>
      <w:tblGrid>
        <w:gridCol w:w="726"/>
        <w:gridCol w:w="1264"/>
        <w:gridCol w:w="1074"/>
        <w:gridCol w:w="1339"/>
        <w:gridCol w:w="1339"/>
        <w:gridCol w:w="1021"/>
        <w:gridCol w:w="1021"/>
        <w:gridCol w:w="678"/>
        <w:gridCol w:w="964"/>
        <w:gridCol w:w="707"/>
        <w:gridCol w:w="4578"/>
      </w:tblGrid>
      <w:tr w:rsidR="00025543" w14:paraId="1EC73E9D" w14:textId="77777777">
        <w:trPr>
          <w:trHeight w:val="7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178D5CB3" w14:textId="77777777" w:rsidR="00025543" w:rsidRDefault="007E3A2F">
            <w:pPr>
              <w:pStyle w:val="P68B1DB1-Normal9"/>
              <w:spacing w:line="240" w:lineRule="auto"/>
              <w:jc w:val="center"/>
              <w:rPr>
                <w:noProof/>
              </w:rPr>
            </w:pPr>
            <w:r>
              <w:rPr>
                <w:noProof/>
              </w:rPr>
              <w:t xml:space="preserve">Séquence NUM. </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252A0C48" w14:textId="77777777" w:rsidR="00025543" w:rsidRDefault="007E3A2F">
            <w:pPr>
              <w:pStyle w:val="P68B1DB1-Normal9"/>
              <w:spacing w:line="240" w:lineRule="auto"/>
              <w:jc w:val="center"/>
              <w:rPr>
                <w:noProof/>
              </w:rPr>
            </w:pPr>
            <w:r>
              <w:rPr>
                <w:noProof/>
              </w:rPr>
              <w:t xml:space="preserve">Mesure connexe (réforme ou investissement) </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5925E40C" w14:textId="77777777" w:rsidR="00025543" w:rsidRDefault="007E3A2F">
            <w:pPr>
              <w:pStyle w:val="P68B1DB1-Normal9"/>
              <w:spacing w:line="240" w:lineRule="auto"/>
              <w:jc w:val="center"/>
              <w:rPr>
                <w:noProof/>
              </w:rPr>
            </w:pPr>
            <w:r>
              <w:rPr>
                <w:noProof/>
              </w:rPr>
              <w:t xml:space="preserve">Jalon/cible </w:t>
            </w:r>
          </w:p>
        </w:tc>
        <w:tc>
          <w:tcPr>
            <w:tcW w:w="1339"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1DAA7B8D" w14:textId="77777777" w:rsidR="00025543" w:rsidRDefault="007E3A2F">
            <w:pPr>
              <w:pStyle w:val="P68B1DB1-Normal9"/>
              <w:spacing w:line="240" w:lineRule="auto"/>
              <w:jc w:val="center"/>
              <w:rPr>
                <w:noProof/>
              </w:rPr>
            </w:pPr>
            <w:r>
              <w:rPr>
                <w:noProof/>
              </w:rPr>
              <w:t xml:space="preserve">Nom </w:t>
            </w:r>
          </w:p>
        </w:tc>
        <w:tc>
          <w:tcPr>
            <w:tcW w:w="1339"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305285DF" w14:textId="77777777" w:rsidR="00025543" w:rsidRDefault="007E3A2F">
            <w:pPr>
              <w:pStyle w:val="P68B1DB1-Normal12"/>
              <w:spacing w:line="240" w:lineRule="auto"/>
              <w:jc w:val="center"/>
              <w:rPr>
                <w:rFonts w:eastAsia="Times New Roman"/>
                <w:noProof/>
              </w:rPr>
            </w:pPr>
            <w:r>
              <w:rPr>
                <w:rFonts w:eastAsia="Times New Roman"/>
                <w:b/>
                <w:noProof/>
              </w:rPr>
              <w:t>Qualitatifs</w:t>
            </w:r>
            <w:r>
              <w:rPr>
                <w:rFonts w:ascii="Calibri" w:hAnsi="Calibri"/>
                <w:noProof/>
              </w:rPr>
              <w:br/>
            </w:r>
            <w:r>
              <w:rPr>
                <w:rFonts w:eastAsia="Times New Roman"/>
                <w:b/>
                <w:noProof/>
              </w:rPr>
              <w:t xml:space="preserve"> (pour les jalons) </w:t>
            </w:r>
          </w:p>
        </w:tc>
        <w:tc>
          <w:tcPr>
            <w:tcW w:w="2720" w:type="dxa"/>
            <w:gridSpan w:val="3"/>
            <w:tcBorders>
              <w:top w:val="single" w:sz="8" w:space="0" w:color="000000" w:themeColor="text1"/>
              <w:left w:val="single" w:sz="4" w:space="0" w:color="auto"/>
              <w:bottom w:val="single" w:sz="8" w:space="0" w:color="000000" w:themeColor="text1"/>
              <w:right w:val="single" w:sz="8" w:space="0" w:color="000000" w:themeColor="text1"/>
            </w:tcBorders>
            <w:shd w:val="clear" w:color="auto" w:fill="BDD7EE"/>
            <w:vAlign w:val="center"/>
          </w:tcPr>
          <w:p w14:paraId="68E697F2" w14:textId="77777777" w:rsidR="00025543" w:rsidRDefault="007E3A2F">
            <w:pPr>
              <w:pStyle w:val="P68B1DB1-Normal12"/>
              <w:spacing w:line="240" w:lineRule="auto"/>
              <w:jc w:val="center"/>
              <w:rPr>
                <w:rFonts w:eastAsia="Times New Roman"/>
                <w:noProof/>
              </w:rPr>
            </w:pPr>
            <w:r>
              <w:rPr>
                <w:rFonts w:eastAsia="Times New Roman"/>
                <w:b/>
                <w:noProof/>
              </w:rPr>
              <w:t>Indicateurs quantitatifs</w:t>
            </w:r>
            <w:r>
              <w:rPr>
                <w:rFonts w:ascii="Calibri" w:hAnsi="Calibri"/>
                <w:noProof/>
              </w:rPr>
              <w:br/>
            </w:r>
            <w:r>
              <w:rPr>
                <w:rFonts w:eastAsia="Times New Roman"/>
                <w:b/>
                <w:noProof/>
              </w:rPr>
              <w:t xml:space="preserve"> (pour les objectifs)</w:t>
            </w:r>
          </w:p>
        </w:tc>
        <w:tc>
          <w:tcPr>
            <w:tcW w:w="1671" w:type="dxa"/>
            <w:gridSpan w:val="2"/>
            <w:tcBorders>
              <w:top w:val="single" w:sz="8" w:space="0" w:color="000000" w:themeColor="text1"/>
              <w:left w:val="nil"/>
              <w:bottom w:val="single" w:sz="8" w:space="0" w:color="000000" w:themeColor="text1"/>
              <w:right w:val="single" w:sz="4" w:space="0" w:color="auto"/>
            </w:tcBorders>
            <w:shd w:val="clear" w:color="auto" w:fill="BDD7EE"/>
            <w:vAlign w:val="center"/>
          </w:tcPr>
          <w:p w14:paraId="71601A3E" w14:textId="77777777" w:rsidR="00025543" w:rsidRDefault="007E3A2F">
            <w:pPr>
              <w:pStyle w:val="P68B1DB1-Normal9"/>
              <w:spacing w:line="240" w:lineRule="auto"/>
              <w:jc w:val="center"/>
              <w:rPr>
                <w:noProof/>
              </w:rPr>
            </w:pPr>
            <w:r>
              <w:rPr>
                <w:noProof/>
              </w:rPr>
              <w:t xml:space="preserve">Calendrier indicatif de réalisation </w:t>
            </w:r>
          </w:p>
        </w:tc>
        <w:tc>
          <w:tcPr>
            <w:tcW w:w="4578"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0EDBBBFB" w14:textId="77777777" w:rsidR="00025543" w:rsidRDefault="007E3A2F">
            <w:pPr>
              <w:pStyle w:val="P68B1DB1-Normal9"/>
              <w:spacing w:line="240" w:lineRule="auto"/>
              <w:jc w:val="center"/>
              <w:rPr>
                <w:noProof/>
              </w:rPr>
            </w:pPr>
            <w:r>
              <w:rPr>
                <w:noProof/>
              </w:rPr>
              <w:t xml:space="preserve">Description et définition claire de chaque jalon et cible </w:t>
            </w:r>
          </w:p>
        </w:tc>
      </w:tr>
      <w:tr w:rsidR="00025543" w14:paraId="78DB23F1" w14:textId="77777777">
        <w:trPr>
          <w:trHeight w:val="75"/>
          <w:tblHeader/>
        </w:trPr>
        <w:tc>
          <w:tcPr>
            <w:tcW w:w="726" w:type="dxa"/>
            <w:vMerge/>
            <w:tcBorders>
              <w:top w:val="single" w:sz="4" w:space="0" w:color="auto"/>
              <w:left w:val="single" w:sz="4" w:space="0" w:color="auto"/>
              <w:bottom w:val="single" w:sz="4" w:space="0" w:color="auto"/>
              <w:right w:val="single" w:sz="4" w:space="0" w:color="auto"/>
            </w:tcBorders>
            <w:vAlign w:val="center"/>
          </w:tcPr>
          <w:p w14:paraId="5CB9C9E0"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c>
          <w:tcPr>
            <w:tcW w:w="1264" w:type="dxa"/>
            <w:vMerge/>
            <w:tcBorders>
              <w:top w:val="single" w:sz="4" w:space="0" w:color="auto"/>
              <w:left w:val="single" w:sz="4" w:space="0" w:color="auto"/>
              <w:bottom w:val="single" w:sz="4" w:space="0" w:color="auto"/>
              <w:right w:val="single" w:sz="4" w:space="0" w:color="auto"/>
            </w:tcBorders>
            <w:vAlign w:val="center"/>
          </w:tcPr>
          <w:p w14:paraId="5E828318"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c>
          <w:tcPr>
            <w:tcW w:w="1074" w:type="dxa"/>
            <w:vMerge/>
            <w:tcBorders>
              <w:top w:val="single" w:sz="4" w:space="0" w:color="auto"/>
              <w:left w:val="single" w:sz="4" w:space="0" w:color="auto"/>
              <w:bottom w:val="single" w:sz="4" w:space="0" w:color="auto"/>
              <w:right w:val="single" w:sz="4" w:space="0" w:color="auto"/>
            </w:tcBorders>
            <w:vAlign w:val="center"/>
          </w:tcPr>
          <w:p w14:paraId="4FEC1F10"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c>
          <w:tcPr>
            <w:tcW w:w="1339" w:type="dxa"/>
            <w:vMerge/>
            <w:tcBorders>
              <w:top w:val="single" w:sz="4" w:space="0" w:color="auto"/>
              <w:left w:val="single" w:sz="4" w:space="0" w:color="auto"/>
              <w:bottom w:val="single" w:sz="4" w:space="0" w:color="auto"/>
              <w:right w:val="single" w:sz="4" w:space="0" w:color="auto"/>
            </w:tcBorders>
            <w:vAlign w:val="center"/>
          </w:tcPr>
          <w:p w14:paraId="30707F81"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c>
          <w:tcPr>
            <w:tcW w:w="1339" w:type="dxa"/>
            <w:vMerge/>
            <w:tcBorders>
              <w:top w:val="single" w:sz="4" w:space="0" w:color="auto"/>
              <w:left w:val="single" w:sz="4" w:space="0" w:color="auto"/>
              <w:bottom w:val="single" w:sz="4" w:space="0" w:color="auto"/>
              <w:right w:val="single" w:sz="4" w:space="0" w:color="auto"/>
            </w:tcBorders>
            <w:vAlign w:val="center"/>
          </w:tcPr>
          <w:p w14:paraId="66D857C5"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c>
          <w:tcPr>
            <w:tcW w:w="1021"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BDD7EE"/>
            <w:vAlign w:val="center"/>
          </w:tcPr>
          <w:p w14:paraId="14AC0D97" w14:textId="77777777" w:rsidR="00025543" w:rsidRDefault="007E3A2F">
            <w:pPr>
              <w:pStyle w:val="P68B1DB1-Normal9"/>
              <w:spacing w:line="240" w:lineRule="auto"/>
              <w:jc w:val="center"/>
              <w:rPr>
                <w:noProof/>
              </w:rPr>
            </w:pPr>
            <w:r>
              <w:rPr>
                <w:noProof/>
              </w:rPr>
              <w:t>Unité de mesure</w:t>
            </w:r>
          </w:p>
        </w:tc>
        <w:tc>
          <w:tcPr>
            <w:tcW w:w="1021"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tcPr>
          <w:p w14:paraId="27921859" w14:textId="77777777" w:rsidR="00025543" w:rsidRDefault="007E3A2F">
            <w:pPr>
              <w:pStyle w:val="P68B1DB1-Normal9"/>
              <w:spacing w:line="240" w:lineRule="auto"/>
              <w:jc w:val="center"/>
              <w:rPr>
                <w:noProof/>
              </w:rPr>
            </w:pPr>
            <w:r>
              <w:rPr>
                <w:noProof/>
              </w:rPr>
              <w:t>Scénario de référence</w:t>
            </w:r>
          </w:p>
        </w:tc>
        <w:tc>
          <w:tcPr>
            <w:tcW w:w="678" w:type="dxa"/>
            <w:tcBorders>
              <w:top w:val="nil"/>
              <w:left w:val="single" w:sz="8" w:space="0" w:color="000000" w:themeColor="text1"/>
              <w:bottom w:val="single" w:sz="8" w:space="0" w:color="000000" w:themeColor="text1"/>
              <w:right w:val="single" w:sz="8" w:space="0" w:color="000000" w:themeColor="text1"/>
            </w:tcBorders>
            <w:shd w:val="clear" w:color="auto" w:fill="BDD7EE"/>
            <w:vAlign w:val="center"/>
          </w:tcPr>
          <w:p w14:paraId="2ABCD48B" w14:textId="77777777" w:rsidR="00025543" w:rsidRDefault="007E3A2F">
            <w:pPr>
              <w:pStyle w:val="P68B1DB1-Normal9"/>
              <w:spacing w:line="240" w:lineRule="auto"/>
              <w:jc w:val="center"/>
              <w:rPr>
                <w:noProof/>
              </w:rPr>
            </w:pPr>
            <w:r>
              <w:rPr>
                <w:noProof/>
              </w:rPr>
              <w:t>Objectif</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vAlign w:val="center"/>
          </w:tcPr>
          <w:p w14:paraId="2932938B" w14:textId="77777777" w:rsidR="00025543" w:rsidRDefault="007E3A2F">
            <w:pPr>
              <w:pStyle w:val="P68B1DB1-Normal9"/>
              <w:spacing w:line="240" w:lineRule="auto"/>
              <w:jc w:val="center"/>
              <w:rPr>
                <w:noProof/>
              </w:rPr>
            </w:pPr>
            <w:r>
              <w:rPr>
                <w:noProof/>
              </w:rPr>
              <w:t>Trimestre</w:t>
            </w:r>
          </w:p>
        </w:tc>
        <w:tc>
          <w:tcPr>
            <w:tcW w:w="611" w:type="dxa"/>
            <w:tcBorders>
              <w:top w:val="nil"/>
              <w:left w:val="single" w:sz="8" w:space="0" w:color="000000" w:themeColor="text1"/>
              <w:bottom w:val="single" w:sz="8" w:space="0" w:color="000000" w:themeColor="text1"/>
              <w:right w:val="single" w:sz="4" w:space="0" w:color="auto"/>
            </w:tcBorders>
            <w:shd w:val="clear" w:color="auto" w:fill="BDD7EE"/>
            <w:vAlign w:val="center"/>
          </w:tcPr>
          <w:p w14:paraId="1452F412" w14:textId="77777777" w:rsidR="00025543" w:rsidRDefault="007E3A2F">
            <w:pPr>
              <w:pStyle w:val="P68B1DB1-Normal9"/>
              <w:spacing w:line="240" w:lineRule="auto"/>
              <w:jc w:val="center"/>
              <w:rPr>
                <w:noProof/>
              </w:rPr>
            </w:pPr>
            <w:r>
              <w:rPr>
                <w:noProof/>
              </w:rPr>
              <w:t>Année</w:t>
            </w:r>
          </w:p>
        </w:tc>
        <w:tc>
          <w:tcPr>
            <w:tcW w:w="4578" w:type="dxa"/>
            <w:vMerge/>
            <w:tcBorders>
              <w:bottom w:val="single" w:sz="4" w:space="0" w:color="auto"/>
              <w:right w:val="single" w:sz="4" w:space="0" w:color="auto"/>
            </w:tcBorders>
            <w:vAlign w:val="center"/>
          </w:tcPr>
          <w:p w14:paraId="4D6A0F56" w14:textId="77777777" w:rsidR="00025543" w:rsidRDefault="00025543">
            <w:pPr>
              <w:widowControl w:val="0"/>
              <w:pBdr>
                <w:top w:val="nil"/>
                <w:left w:val="nil"/>
                <w:bottom w:val="nil"/>
                <w:right w:val="nil"/>
                <w:between w:val="nil"/>
              </w:pBdr>
              <w:spacing w:before="0" w:after="0" w:line="276" w:lineRule="auto"/>
              <w:rPr>
                <w:rFonts w:eastAsia="Times New Roman"/>
                <w:noProof/>
                <w:sz w:val="18"/>
              </w:rPr>
            </w:pPr>
          </w:p>
        </w:tc>
      </w:tr>
      <w:tr w:rsidR="00025543" w14:paraId="6E0AE46B" w14:textId="77777777">
        <w:trPr>
          <w:trHeight w:val="1171"/>
        </w:trPr>
        <w:tc>
          <w:tcPr>
            <w:tcW w:w="726"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09FEBC41" w14:textId="77777777" w:rsidR="00025543" w:rsidRDefault="007E3A2F">
            <w:pPr>
              <w:pStyle w:val="P68B1DB1-Normal11"/>
              <w:spacing w:line="240" w:lineRule="auto"/>
              <w:jc w:val="center"/>
              <w:rPr>
                <w:noProof/>
                <w:highlight w:val="yellow"/>
              </w:rPr>
            </w:pPr>
            <w:r>
              <w:rPr>
                <w:noProof/>
              </w:rPr>
              <w:t>215</w:t>
            </w:r>
          </w:p>
        </w:tc>
        <w:tc>
          <w:tcPr>
            <w:tcW w:w="126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0C88CC14" w14:textId="77777777" w:rsidR="00025543" w:rsidRDefault="007E3A2F">
            <w:pPr>
              <w:pStyle w:val="P68B1DB1-Normal11"/>
              <w:spacing w:line="240" w:lineRule="auto"/>
              <w:rPr>
                <w:noProof/>
              </w:rPr>
            </w:pPr>
            <w:r>
              <w:rPr>
                <w:noProof/>
              </w:rPr>
              <w:t>Réforme 1: Accroître l’efficacité, l’orientation pro-client et l’utilisation des principes de prise de décision fondée sur des données probantes dans l’administration publique</w:t>
            </w:r>
          </w:p>
        </w:tc>
        <w:tc>
          <w:tcPr>
            <w:tcW w:w="107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7709D329" w14:textId="26EF1F82" w:rsidR="00025543" w:rsidRDefault="007E3A2F">
            <w:pPr>
              <w:pStyle w:val="P68B1DB1-Normal11"/>
              <w:spacing w:line="240" w:lineRule="auto"/>
              <w:rPr>
                <w:noProof/>
              </w:rPr>
            </w:pPr>
            <w:r>
              <w:rPr>
                <w:noProof/>
              </w:rPr>
              <w:t xml:space="preserve"> Cible</w:t>
            </w:r>
          </w:p>
        </w:tc>
        <w:tc>
          <w:tcPr>
            <w:tcW w:w="1339"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4EF6B911" w14:textId="7ECEF96E" w:rsidR="00025543" w:rsidRDefault="007E3A2F">
            <w:pPr>
              <w:pStyle w:val="P68B1DB1-Normal11"/>
              <w:pBdr>
                <w:top w:val="nil"/>
                <w:left w:val="nil"/>
                <w:bottom w:val="nil"/>
                <w:right w:val="nil"/>
                <w:between w:val="nil"/>
              </w:pBdr>
              <w:spacing w:line="240" w:lineRule="auto"/>
              <w:rPr>
                <w:noProof/>
              </w:rPr>
            </w:pPr>
            <w:r>
              <w:rPr>
                <w:noProof/>
              </w:rPr>
              <w:t>Achèvement de cinq actions visant à promouvoir une prise de décision fondée sur des données probantes et à améliorer la coordination des politiques et la planification stratégique au centre du gouvernement</w:t>
            </w:r>
          </w:p>
        </w:tc>
        <w:tc>
          <w:tcPr>
            <w:tcW w:w="1339"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6A268DAD" w14:textId="7DD3ED32" w:rsidR="00025543" w:rsidRDefault="007E3A2F">
            <w:pPr>
              <w:pStyle w:val="P68B1DB1-Normal11"/>
              <w:pBdr>
                <w:top w:val="nil"/>
                <w:left w:val="nil"/>
                <w:bottom w:val="nil"/>
                <w:right w:val="nil"/>
                <w:between w:val="nil"/>
              </w:pBdr>
              <w:spacing w:line="240" w:lineRule="auto"/>
              <w:rPr>
                <w:noProof/>
              </w:rPr>
            </w:pPr>
            <w:r>
              <w:rPr>
                <w:noProof/>
              </w:rPr>
              <w:t xml:space="preserve"> </w:t>
            </w:r>
          </w:p>
        </w:tc>
        <w:tc>
          <w:tcPr>
            <w:tcW w:w="10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64161125" w14:textId="31F36E24" w:rsidR="00025543" w:rsidRDefault="007E3A2F">
            <w:pPr>
              <w:pStyle w:val="P68B1DB1-Normal11"/>
              <w:spacing w:line="240" w:lineRule="auto"/>
              <w:rPr>
                <w:noProof/>
              </w:rPr>
            </w:pPr>
            <w:r>
              <w:rPr>
                <w:noProof/>
              </w:rPr>
              <w:t>Actions réalisées</w:t>
            </w:r>
          </w:p>
        </w:tc>
        <w:tc>
          <w:tcPr>
            <w:tcW w:w="10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D9C967A" w14:textId="759241C0" w:rsidR="00025543" w:rsidRDefault="007E3A2F">
            <w:pPr>
              <w:pStyle w:val="P68B1DB1-Normal11"/>
              <w:spacing w:line="240" w:lineRule="auto"/>
              <w:jc w:val="center"/>
              <w:rPr>
                <w:noProof/>
              </w:rPr>
            </w:pPr>
            <w:r>
              <w:rPr>
                <w:noProof/>
              </w:rPr>
              <w:t>0</w:t>
            </w:r>
          </w:p>
        </w:tc>
        <w:tc>
          <w:tcPr>
            <w:tcW w:w="6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B459E96" w14:textId="5A19BE19" w:rsidR="00025543" w:rsidRDefault="007E3A2F">
            <w:pPr>
              <w:pStyle w:val="P68B1DB1-Normal11"/>
              <w:spacing w:line="240" w:lineRule="auto"/>
              <w:jc w:val="center"/>
              <w:rPr>
                <w:noProof/>
              </w:rPr>
            </w:pPr>
            <w:r>
              <w:rPr>
                <w:noProof/>
              </w:rPr>
              <w:t>5</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8E1B947" w14:textId="74C6CAE7" w:rsidR="00025543" w:rsidRDefault="007E3A2F">
            <w:pPr>
              <w:pStyle w:val="P68B1DB1-Normal11"/>
              <w:spacing w:line="240" w:lineRule="auto"/>
              <w:jc w:val="center"/>
              <w:rPr>
                <w:noProof/>
              </w:rPr>
            </w:pPr>
            <w:r>
              <w:rPr>
                <w:noProof/>
              </w:rPr>
              <w:t>TRIMESTRE 4</w:t>
            </w:r>
          </w:p>
        </w:tc>
        <w:tc>
          <w:tcPr>
            <w:tcW w:w="6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68DE25D" w14:textId="19DF0203" w:rsidR="00025543" w:rsidRDefault="007E3A2F">
            <w:pPr>
              <w:pStyle w:val="P68B1DB1-Normal11"/>
              <w:spacing w:line="240" w:lineRule="auto"/>
              <w:jc w:val="center"/>
              <w:rPr>
                <w:noProof/>
              </w:rPr>
            </w:pPr>
            <w:r>
              <w:rPr>
                <w:noProof/>
              </w:rPr>
              <w:t>2025</w:t>
            </w:r>
          </w:p>
        </w:tc>
        <w:tc>
          <w:tcPr>
            <w:tcW w:w="4578"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165DEBC7" w14:textId="1E85A894" w:rsidR="00025543" w:rsidRDefault="007E3A2F">
            <w:pPr>
              <w:pStyle w:val="P68B1DB1-Normal11"/>
              <w:pBdr>
                <w:top w:val="nil"/>
                <w:left w:val="nil"/>
                <w:bottom w:val="nil"/>
                <w:right w:val="nil"/>
                <w:between w:val="nil"/>
              </w:pBdr>
              <w:spacing w:line="240" w:lineRule="auto"/>
              <w:rPr>
                <w:noProof/>
              </w:rPr>
            </w:pPr>
            <w:r>
              <w:rPr>
                <w:noProof/>
              </w:rPr>
              <w:t>Les actions suivantes sont menées à bien:</w:t>
            </w:r>
          </w:p>
          <w:p w14:paraId="51D20EAC" w14:textId="005759A8" w:rsidR="00025543" w:rsidRDefault="007E3A2F">
            <w:pPr>
              <w:pBdr>
                <w:top w:val="nil"/>
                <w:left w:val="nil"/>
                <w:bottom w:val="nil"/>
                <w:right w:val="nil"/>
                <w:between w:val="nil"/>
              </w:pBdr>
              <w:spacing w:line="240" w:lineRule="auto"/>
              <w:contextualSpacing/>
              <w:rPr>
                <w:rFonts w:eastAsia="Times New Roman"/>
                <w:noProof/>
                <w:color w:val="006100"/>
                <w:sz w:val="18"/>
              </w:rPr>
            </w:pPr>
            <w:r>
              <w:rPr>
                <w:rFonts w:eastAsia="Times New Roman"/>
                <w:noProof/>
                <w:color w:val="006100"/>
                <w:sz w:val="18"/>
              </w:rPr>
              <w:t>1.a un entrepôt de données spécifique est créé et opérationnel pour l’administration publique, contenant des données individuelles disponibles provenant de sources d’information sélectionnées, des données ouvertes et des données obtenues au moyen d’un outil électronique de collecte de données nouvellement créé sur les activités des autorités. La base de données est complétée par le ministère de l’intérieur.</w:t>
            </w:r>
            <w:r>
              <w:rPr>
                <w:noProof/>
              </w:rPr>
              <w:br/>
            </w:r>
          </w:p>
          <w:p w14:paraId="53934223" w14:textId="3BF051CD" w:rsidR="00025543" w:rsidRDefault="007E3A2F">
            <w:pPr>
              <w:pStyle w:val="P68B1DB1-Normal11"/>
              <w:pBdr>
                <w:top w:val="nil"/>
                <w:left w:val="nil"/>
                <w:bottom w:val="nil"/>
                <w:right w:val="nil"/>
                <w:between w:val="nil"/>
              </w:pBdr>
              <w:spacing w:line="240" w:lineRule="auto"/>
              <w:contextualSpacing/>
              <w:rPr>
                <w:noProof/>
              </w:rPr>
            </w:pPr>
            <w:r>
              <w:rPr>
                <w:noProof/>
              </w:rPr>
              <w:t>2. Un modèle climat-énergie actualisé simulant tous les processus climatiques et énergétiques importants, y compris l’ensemble du bilan énergétique pour la Tchéquie, est complété et des données d’entrée actualisées pour le modèle sont utilisées. Le modèle et les données sous-jacentes sont évalués par une autorité internationale reconnue dans le domaine du changement climatique et/ou de la politique énergétique, conformément aux meilleures pratiques internationales. Les résultats du modèle seront utilisés pour l’élaboration d’au moins une stratégie nationale.</w:t>
            </w:r>
          </w:p>
          <w:p w14:paraId="537D5E10" w14:textId="78F1D0DD" w:rsidR="00025543" w:rsidRDefault="007E3A2F">
            <w:pPr>
              <w:pStyle w:val="P68B1DB1-Normal11"/>
              <w:spacing w:line="240" w:lineRule="auto"/>
              <w:contextualSpacing/>
              <w:rPr>
                <w:noProof/>
              </w:rPr>
            </w:pPr>
            <w:r>
              <w:rPr>
                <w:noProof/>
              </w:rPr>
              <w:t xml:space="preserve"> </w:t>
            </w:r>
          </w:p>
          <w:p w14:paraId="2D332137" w14:textId="69B9DC67" w:rsidR="00025543" w:rsidRDefault="007E3A2F">
            <w:pPr>
              <w:pStyle w:val="P68B1DB1-Normal11"/>
              <w:spacing w:line="240" w:lineRule="auto"/>
              <w:contextualSpacing/>
              <w:rPr>
                <w:noProof/>
              </w:rPr>
            </w:pPr>
            <w:r>
              <w:rPr>
                <w:noProof/>
              </w:rPr>
              <w:t xml:space="preserve">3. Le gouvernement approuve un rapport examinant les stratégies existantes pour atteindre les objectifs de développement durable. L’objectif du rapport est d’améliorer la cohérence des politiques en faveur du développement durable. Le rapport recense les stratégies d’abandon et propose des mesures spécifiques pour remédier aux chevauchements et incohérences constatés. Les acteurs concrets et les délais pour résoudre les problèmes recensés doivent être indiqués. En outre, le rapport recense les besoins de financement pour les stratégies ainsi que les sources de financement existantes. </w:t>
            </w:r>
          </w:p>
          <w:p w14:paraId="1FFBD0D8" w14:textId="5FC889B0" w:rsidR="00025543" w:rsidRDefault="007E3A2F">
            <w:pPr>
              <w:pStyle w:val="P68B1DB1-Normal11"/>
              <w:spacing w:line="240" w:lineRule="auto"/>
              <w:contextualSpacing/>
              <w:rPr>
                <w:noProof/>
              </w:rPr>
            </w:pPr>
            <w:r>
              <w:rPr>
                <w:noProof/>
              </w:rPr>
              <w:t xml:space="preserve"> </w:t>
            </w:r>
          </w:p>
          <w:p w14:paraId="23EE31F8" w14:textId="338E011D" w:rsidR="00025543" w:rsidRDefault="007E3A2F">
            <w:pPr>
              <w:pStyle w:val="P68B1DB1-Normal11"/>
              <w:spacing w:line="240" w:lineRule="auto"/>
              <w:contextualSpacing/>
              <w:rPr>
                <w:noProof/>
              </w:rPr>
            </w:pPr>
            <w:r>
              <w:rPr>
                <w:noProof/>
              </w:rPr>
              <w:t>4. Un système informatique pour les indicateurs de suivi liés aux objectifs de développement durable est mis en place. Le système se compose au moins d’un référentiel de données, d’une application web pour l’importation d’ensembles de données et d’une interface pour les agences conservatrices. Les données du système sont disponibles sous la forme de données ouvertes.</w:t>
            </w:r>
          </w:p>
          <w:p w14:paraId="141EBDB5" w14:textId="5FC889B0" w:rsidR="00025543" w:rsidRDefault="007E3A2F">
            <w:pPr>
              <w:pStyle w:val="P68B1DB1-Normal11"/>
              <w:spacing w:line="240" w:lineRule="auto"/>
              <w:contextualSpacing/>
              <w:rPr>
                <w:noProof/>
              </w:rPr>
            </w:pPr>
            <w:r>
              <w:rPr>
                <w:noProof/>
              </w:rPr>
              <w:t xml:space="preserve"> </w:t>
            </w:r>
          </w:p>
          <w:p w14:paraId="0C31D025" w14:textId="626FFFB7" w:rsidR="00025543" w:rsidRDefault="007E3A2F">
            <w:pPr>
              <w:pStyle w:val="P68B1DB1-Normal11"/>
              <w:spacing w:line="240" w:lineRule="auto"/>
              <w:contextualSpacing/>
              <w:rPr>
                <w:noProof/>
              </w:rPr>
            </w:pPr>
            <w:r>
              <w:rPr>
                <w:noProof/>
              </w:rPr>
              <w:t>5. Le gouvernement approuve une nouvelle version de la méthodologie d’analyse d’impact de la réglementation, qui sera fondée sur des projets pilotes pour au moins trois propositions législatives.</w:t>
            </w:r>
          </w:p>
        </w:tc>
      </w:tr>
      <w:tr w:rsidR="00025543" w14:paraId="306705F5" w14:textId="77777777">
        <w:trPr>
          <w:trHeight w:val="2175"/>
        </w:trPr>
        <w:tc>
          <w:tcPr>
            <w:tcW w:w="726"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33449E93" w14:textId="3B0767B0" w:rsidR="00025543" w:rsidRDefault="007E3A2F">
            <w:pPr>
              <w:pStyle w:val="P68B1DB1-Normal11"/>
              <w:spacing w:line="240" w:lineRule="auto"/>
              <w:jc w:val="center"/>
              <w:rPr>
                <w:noProof/>
              </w:rPr>
            </w:pPr>
            <w:r>
              <w:rPr>
                <w:noProof/>
              </w:rPr>
              <w:t>289</w:t>
            </w:r>
          </w:p>
        </w:tc>
        <w:tc>
          <w:tcPr>
            <w:tcW w:w="126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1CCFD167" w14:textId="746FD790" w:rsidR="00025543" w:rsidRDefault="007E3A2F">
            <w:pPr>
              <w:pStyle w:val="P68B1DB1-Normal11"/>
              <w:spacing w:line="240" w:lineRule="auto"/>
              <w:rPr>
                <w:noProof/>
              </w:rPr>
            </w:pPr>
            <w:r>
              <w:rPr>
                <w:noProof/>
              </w:rPr>
              <w:t>Réforme 1: Accroître l’efficacité, l’orientation pro-client et l’utilisation des principes de prise de décision fondée sur des données probantes dans l’administration publique</w:t>
            </w:r>
          </w:p>
        </w:tc>
        <w:tc>
          <w:tcPr>
            <w:tcW w:w="107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309BFB9A" w14:textId="4F0A27C7" w:rsidR="00025543" w:rsidRDefault="007E3A2F">
            <w:pPr>
              <w:pStyle w:val="P68B1DB1-Normal11"/>
              <w:spacing w:line="240" w:lineRule="auto"/>
              <w:rPr>
                <w:noProof/>
              </w:rPr>
            </w:pPr>
            <w:r>
              <w:rPr>
                <w:noProof/>
              </w:rPr>
              <w:t>Étapes</w:t>
            </w:r>
          </w:p>
        </w:tc>
        <w:tc>
          <w:tcPr>
            <w:tcW w:w="1339"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08266E1C" w14:textId="25CB70DD" w:rsidR="00025543" w:rsidRDefault="007E3A2F">
            <w:pPr>
              <w:pStyle w:val="P68B1DB1-Normal11"/>
              <w:spacing w:line="240" w:lineRule="auto"/>
              <w:rPr>
                <w:noProof/>
              </w:rPr>
            </w:pPr>
            <w:r>
              <w:rPr>
                <w:noProof/>
              </w:rPr>
              <w:t>Un système informatique et un plan d’action pour une meilleure gestion des ressources humaines dans l’administration publique</w:t>
            </w:r>
          </w:p>
        </w:tc>
        <w:tc>
          <w:tcPr>
            <w:tcW w:w="1339"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186BB5AB" w14:textId="1597561A" w:rsidR="00025543" w:rsidRDefault="007E3A2F">
            <w:pPr>
              <w:pStyle w:val="P68B1DB1-Normal11"/>
              <w:spacing w:line="240" w:lineRule="auto"/>
              <w:rPr>
                <w:noProof/>
              </w:rPr>
            </w:pPr>
            <w:r>
              <w:rPr>
                <w:noProof/>
              </w:rPr>
              <w:t>Un système informatique est mis en place et utilisé, un plan d’action en matière de ressources humaines est adopté par le gouvernement.</w:t>
            </w:r>
          </w:p>
        </w:tc>
        <w:tc>
          <w:tcPr>
            <w:tcW w:w="10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2A89666" w14:textId="5B9124DB" w:rsidR="00025543" w:rsidRDefault="00025543">
            <w:pPr>
              <w:spacing w:line="240" w:lineRule="auto"/>
              <w:rPr>
                <w:rFonts w:eastAsia="Times New Roman"/>
                <w:noProof/>
                <w:color w:val="006100"/>
                <w:sz w:val="18"/>
              </w:rPr>
            </w:pPr>
          </w:p>
        </w:tc>
        <w:tc>
          <w:tcPr>
            <w:tcW w:w="10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B4C7142" w14:textId="5702225B" w:rsidR="00025543" w:rsidRDefault="00025543">
            <w:pPr>
              <w:spacing w:line="240" w:lineRule="auto"/>
              <w:jc w:val="center"/>
              <w:rPr>
                <w:rFonts w:eastAsia="Times New Roman"/>
                <w:noProof/>
                <w:color w:val="006100"/>
                <w:sz w:val="18"/>
              </w:rPr>
            </w:pPr>
          </w:p>
        </w:tc>
        <w:tc>
          <w:tcPr>
            <w:tcW w:w="6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2211BD6" w14:textId="01C9007C" w:rsidR="00025543" w:rsidRDefault="00025543">
            <w:pPr>
              <w:spacing w:line="240" w:lineRule="auto"/>
              <w:jc w:val="center"/>
              <w:rPr>
                <w:rFonts w:eastAsia="Times New Roman"/>
                <w:noProof/>
                <w:color w:val="006100"/>
                <w:sz w:val="18"/>
              </w:rPr>
            </w:pP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13473458" w14:textId="124E3CD2" w:rsidR="00025543" w:rsidRDefault="007E3A2F">
            <w:pPr>
              <w:pStyle w:val="P68B1DB1-Normal11"/>
              <w:spacing w:line="240" w:lineRule="auto"/>
              <w:jc w:val="center"/>
              <w:rPr>
                <w:noProof/>
              </w:rPr>
            </w:pPr>
            <w:r>
              <w:rPr>
                <w:noProof/>
              </w:rPr>
              <w:t>TRIMESTRE 2</w:t>
            </w:r>
          </w:p>
        </w:tc>
        <w:tc>
          <w:tcPr>
            <w:tcW w:w="6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5404C0A" w14:textId="707662AC" w:rsidR="00025543" w:rsidRDefault="007E3A2F">
            <w:pPr>
              <w:pStyle w:val="P68B1DB1-Normal11"/>
              <w:spacing w:line="240" w:lineRule="auto"/>
              <w:jc w:val="center"/>
              <w:rPr>
                <w:noProof/>
              </w:rPr>
            </w:pPr>
            <w:r>
              <w:rPr>
                <w:noProof/>
              </w:rPr>
              <w:t>2026</w:t>
            </w:r>
          </w:p>
        </w:tc>
        <w:tc>
          <w:tcPr>
            <w:tcW w:w="4578"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tcPr>
          <w:p w14:paraId="73932C10" w14:textId="61E53002" w:rsidR="00025543" w:rsidRDefault="007E3A2F">
            <w:pPr>
              <w:pStyle w:val="P68B1DB1-Normal11"/>
              <w:spacing w:line="240" w:lineRule="auto"/>
              <w:rPr>
                <w:noProof/>
              </w:rPr>
            </w:pPr>
            <w:r>
              <w:rPr>
                <w:noProof/>
              </w:rPr>
              <w:t>Un système informatique RH est mis en place et utilisé dans au moins trois autorités gouvernementales centrales ou organismes subsidiaires d’autorités gouvernementales centrales, dont au moins une est une autorité gouvernementale centrale. Le système permet au moins la conduite numérique des processus RH sélectionnés et permet de remplir des formulaires pour des processus RH sélectionnés.</w:t>
            </w:r>
          </w:p>
          <w:p w14:paraId="7F185FB0" w14:textId="45BED587" w:rsidR="00025543" w:rsidRDefault="007E3A2F">
            <w:pPr>
              <w:spacing w:line="240" w:lineRule="auto"/>
              <w:rPr>
                <w:rFonts w:eastAsia="Times New Roman"/>
                <w:noProof/>
                <w:color w:val="006100"/>
                <w:sz w:val="18"/>
              </w:rPr>
            </w:pPr>
            <w:r>
              <w:rPr>
                <w:rFonts w:eastAsia="Times New Roman"/>
                <w:noProof/>
                <w:color w:val="006100"/>
                <w:sz w:val="18"/>
              </w:rPr>
              <w:t>Le gouvernement adopte un plan d’action en matière de ressources humaines pour les bureaux de la fonction publique («Služební úřady»), qui se fonde au moins sur:</w:t>
            </w:r>
            <w:r>
              <w:rPr>
                <w:noProof/>
              </w:rPr>
              <w:br/>
            </w:r>
            <w:r>
              <w:rPr>
                <w:rFonts w:eastAsia="Times New Roman"/>
                <w:noProof/>
                <w:color w:val="006100"/>
                <w:sz w:val="18"/>
              </w:rPr>
              <w:t xml:space="preserve">1) projets pilotes, au moins trois autorités gouvernementales centrales, visant à améliorer les processus de recrutement et de développement de cadres et de spécialistes; et </w:t>
            </w:r>
            <w:r>
              <w:rPr>
                <w:noProof/>
              </w:rPr>
              <w:br/>
              <w:t xml:space="preserve"> </w:t>
            </w:r>
            <w:r>
              <w:rPr>
                <w:rFonts w:eastAsia="Times New Roman"/>
                <w:noProof/>
                <w:color w:val="006100"/>
                <w:sz w:val="18"/>
              </w:rPr>
              <w:t>2) une évaluation empirique de la fonction publique tchèque et une modélisation des scénarios possibles pour sa réforme et/ou son développement.</w:t>
            </w:r>
          </w:p>
        </w:tc>
      </w:tr>
      <w:tr w:rsidR="00025543" w14:paraId="297B5590" w14:textId="77777777">
        <w:trPr>
          <w:trHeight w:val="945"/>
        </w:trPr>
        <w:tc>
          <w:tcPr>
            <w:tcW w:w="7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2E9D9ED" w14:textId="77777777" w:rsidR="00025543" w:rsidRDefault="007E3A2F">
            <w:pPr>
              <w:pStyle w:val="P68B1DB1-Normal11"/>
              <w:spacing w:line="240" w:lineRule="auto"/>
              <w:jc w:val="center"/>
              <w:rPr>
                <w:noProof/>
              </w:rPr>
            </w:pPr>
            <w:r>
              <w:rPr>
                <w:noProof/>
              </w:rPr>
              <w:t>216</w:t>
            </w:r>
          </w:p>
        </w:tc>
        <w:tc>
          <w:tcPr>
            <w:tcW w:w="12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505A3915" w14:textId="77777777" w:rsidR="00025543" w:rsidRDefault="007E3A2F">
            <w:pPr>
              <w:pStyle w:val="P68B1DB1-Normal11"/>
              <w:spacing w:line="240" w:lineRule="auto"/>
              <w:rPr>
                <w:noProof/>
              </w:rPr>
            </w:pPr>
            <w:r>
              <w:rPr>
                <w:noProof/>
              </w:rPr>
              <w:t>Réforme 1: Accroître l’efficacité, l’orientation pro-client et l’utilisation des principes de prise de décision fondée sur des données probantes dans l’administration publique</w:t>
            </w:r>
          </w:p>
        </w:tc>
        <w:tc>
          <w:tcPr>
            <w:tcW w:w="10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04CA842" w14:textId="77777777" w:rsidR="00025543" w:rsidRDefault="007E3A2F">
            <w:pPr>
              <w:pStyle w:val="P68B1DB1-Normal11"/>
              <w:spacing w:line="240" w:lineRule="auto"/>
              <w:rPr>
                <w:noProof/>
              </w:rPr>
            </w:pPr>
            <w:r>
              <w:rPr>
                <w:noProof/>
              </w:rPr>
              <w:t>Cible</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07DFA659" w14:textId="77777777" w:rsidR="00025543" w:rsidRDefault="007E3A2F">
            <w:pPr>
              <w:pStyle w:val="P68B1DB1-Normal11"/>
              <w:spacing w:line="240" w:lineRule="auto"/>
              <w:rPr>
                <w:noProof/>
              </w:rPr>
            </w:pPr>
            <w:r>
              <w:rPr>
                <w:noProof/>
              </w:rPr>
              <w:t xml:space="preserve">Achèvement d’une formation accréditée par le ministère de l’intérieur sur les approches axées sur le client pour le personnel des administrations centrales, régionales ou locales </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9FD6AEB" w14:textId="77777777" w:rsidR="00025543" w:rsidRDefault="00025543">
            <w:pPr>
              <w:spacing w:line="240" w:lineRule="auto"/>
              <w:rPr>
                <w:rFonts w:eastAsia="Times New Roman"/>
                <w:noProof/>
                <w:color w:val="006100"/>
                <w:sz w:val="18"/>
              </w:rPr>
            </w:pPr>
          </w:p>
        </w:tc>
        <w:tc>
          <w:tcPr>
            <w:tcW w:w="10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9FB70E4" w14:textId="77777777" w:rsidR="00025543" w:rsidRDefault="007E3A2F">
            <w:pPr>
              <w:pStyle w:val="P68B1DB1-Normal11"/>
              <w:spacing w:line="240" w:lineRule="auto"/>
              <w:rPr>
                <w:noProof/>
              </w:rPr>
            </w:pPr>
            <w:r>
              <w:rPr>
                <w:noProof/>
              </w:rPr>
              <w:t xml:space="preserve">Numéro </w:t>
            </w:r>
          </w:p>
        </w:tc>
        <w:tc>
          <w:tcPr>
            <w:tcW w:w="10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E26CB85" w14:textId="77777777" w:rsidR="00025543" w:rsidRDefault="007E3A2F">
            <w:pPr>
              <w:pStyle w:val="P68B1DB1-Normal11"/>
              <w:spacing w:line="240" w:lineRule="auto"/>
              <w:jc w:val="center"/>
              <w:rPr>
                <w:noProof/>
              </w:rPr>
            </w:pPr>
            <w:r>
              <w:rPr>
                <w:noProof/>
              </w:rPr>
              <w:t>0</w:t>
            </w:r>
          </w:p>
        </w:tc>
        <w:tc>
          <w:tcPr>
            <w:tcW w:w="6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715A8E59" w14:textId="77777777" w:rsidR="00025543" w:rsidRDefault="007E3A2F">
            <w:pPr>
              <w:pStyle w:val="P68B1DB1-Normal11"/>
              <w:spacing w:line="240" w:lineRule="auto"/>
              <w:jc w:val="center"/>
              <w:rPr>
                <w:noProof/>
              </w:rPr>
            </w:pPr>
            <w:r>
              <w:rPr>
                <w:noProof/>
              </w:rPr>
              <w:t>1000</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3A13CECA" w14:textId="77777777" w:rsidR="00025543" w:rsidRDefault="007E3A2F">
            <w:pPr>
              <w:pStyle w:val="P68B1DB1-Normal11"/>
              <w:spacing w:line="240" w:lineRule="auto"/>
              <w:jc w:val="center"/>
              <w:rPr>
                <w:noProof/>
              </w:rPr>
            </w:pPr>
            <w:r>
              <w:rPr>
                <w:noProof/>
              </w:rPr>
              <w:t>TRIMESTRE 4</w:t>
            </w:r>
          </w:p>
        </w:tc>
        <w:tc>
          <w:tcPr>
            <w:tcW w:w="6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24F0E8F0" w14:textId="77777777" w:rsidR="00025543" w:rsidRDefault="007E3A2F">
            <w:pPr>
              <w:pStyle w:val="P68B1DB1-Normal11"/>
              <w:spacing w:line="240" w:lineRule="auto"/>
              <w:jc w:val="center"/>
              <w:rPr>
                <w:noProof/>
              </w:rPr>
            </w:pPr>
            <w:r>
              <w:rPr>
                <w:noProof/>
              </w:rPr>
              <w:t>2025</w:t>
            </w:r>
          </w:p>
        </w:tc>
        <w:tc>
          <w:tcPr>
            <w:tcW w:w="45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tcPr>
          <w:p w14:paraId="4924F297" w14:textId="47734CB8" w:rsidR="00025543" w:rsidRDefault="007E3A2F">
            <w:pPr>
              <w:pStyle w:val="P68B1DB1-Normal11"/>
              <w:spacing w:line="240" w:lineRule="auto"/>
              <w:rPr>
                <w:noProof/>
              </w:rPr>
            </w:pPr>
            <w:r>
              <w:rPr>
                <w:noProof/>
              </w:rPr>
              <w:t>Un programme de formation ciblé pour le personnel de front des autorités centrales, régionales ou locales dans le cadre d’une approche axée sur le client doit être mené à bien. Le programme de formation est mis en œuvre au niveau des districts en petits groupes de 20 fonctionnaires au maximum et vise à mettre en pratique des compétences dans des situations de modèle. Le programme de formation est accrédité par le ministère de l’intérieur et est gratuit pour tous les participants.</w:t>
            </w:r>
          </w:p>
        </w:tc>
      </w:tr>
    </w:tbl>
    <w:p w14:paraId="7B8E2C75" w14:textId="77777777" w:rsidR="00025543" w:rsidRDefault="00025543">
      <w:pPr>
        <w:spacing w:line="240" w:lineRule="auto"/>
        <w:jc w:val="both"/>
        <w:rPr>
          <w:b/>
          <w:noProof/>
          <w:u w:val="single"/>
        </w:rPr>
      </w:pPr>
    </w:p>
    <w:p w14:paraId="184C78B8" w14:textId="77777777" w:rsidR="00025543" w:rsidRDefault="00025543">
      <w:pPr>
        <w:keepNext/>
        <w:tabs>
          <w:tab w:val="left" w:pos="850"/>
        </w:tabs>
        <w:spacing w:before="360" w:line="240" w:lineRule="auto"/>
        <w:jc w:val="both"/>
        <w:outlineLvl w:val="0"/>
        <w:rPr>
          <w:b/>
          <w:smallCaps/>
          <w:noProof/>
        </w:rPr>
        <w:sectPr w:rsidR="00025543" w:rsidSect="00997F50">
          <w:headerReference w:type="even" r:id="rId360"/>
          <w:headerReference w:type="default" r:id="rId361"/>
          <w:footerReference w:type="even" r:id="rId362"/>
          <w:footerReference w:type="default" r:id="rId363"/>
          <w:headerReference w:type="first" r:id="rId364"/>
          <w:footerReference w:type="first" r:id="rId365"/>
          <w:pgSz w:w="16839" w:h="11907" w:orient="landscape"/>
          <w:pgMar w:top="1134" w:right="1134" w:bottom="1134" w:left="1134" w:header="567" w:footer="567" w:gutter="0"/>
          <w:cols w:space="720"/>
          <w:docGrid w:linePitch="326"/>
        </w:sectPr>
      </w:pPr>
    </w:p>
    <w:p w14:paraId="48BFFA31" w14:textId="5AF191B9" w:rsidR="00025543" w:rsidRDefault="007E3A2F">
      <w:pPr>
        <w:pStyle w:val="P68B1DB1-Normal2"/>
        <w:keepNext/>
        <w:tabs>
          <w:tab w:val="left" w:pos="850"/>
        </w:tabs>
        <w:spacing w:line="240" w:lineRule="auto"/>
        <w:jc w:val="both"/>
        <w:outlineLvl w:val="0"/>
        <w:rPr>
          <w:rFonts w:eastAsia="Times New Roman"/>
          <w:noProof/>
        </w:rPr>
      </w:pPr>
      <w:r>
        <w:rPr>
          <w:noProof/>
        </w:rPr>
        <w:t xml:space="preserve">Y. ELÉMENT 4.5: Développement du secteur culturel et créatif </w:t>
      </w:r>
    </w:p>
    <w:p w14:paraId="07EE115B" w14:textId="77777777" w:rsidR="00025543" w:rsidRDefault="007E3A2F">
      <w:pPr>
        <w:pStyle w:val="P68B1DB1-Normal3"/>
        <w:spacing w:line="240" w:lineRule="auto"/>
        <w:jc w:val="both"/>
        <w:rPr>
          <w:noProof/>
          <w:color w:val="000000"/>
          <w:highlight w:val="white"/>
        </w:rPr>
      </w:pPr>
      <w:r>
        <w:rPr>
          <w:noProof/>
        </w:rPr>
        <w:t xml:space="preserve">Ce volet du plan pour la reprise et la résilience de la République tchèque répond à la nécessité de soutenir la reprise des secteurs de la culture et de la création, qui ont été durement touchés par la pandémie de COVID-19, tout en en faisant de cette composante un élément important de la reprise économique et sociale globale de la République tchèque. Ce volet stimule également le passage au numérique dans les secteurs de la </w:t>
      </w:r>
      <w:r>
        <w:rPr>
          <w:noProof/>
          <w:color w:val="000000"/>
          <w:highlight w:val="white"/>
        </w:rPr>
        <w:t>culture et de la création et leur intégration effective au sein de l’écosystème tchèque de l’innovation. En outre, l’</w:t>
      </w:r>
      <w:r>
        <w:rPr>
          <w:noProof/>
        </w:rPr>
        <w:t>objectif est de renforcer la résilience des secteurs de la culture et de la création en introduisant le statut d’ «artiste» dans la législation et en investissant dans les compétences des artistes et des professionnels de la culture afin de favoriser leur capacité d’adaptation à de nouveaux environnements de travail, en particulier numériques. Ce volet comprend des mesures visant à relancer les activités culturelles et touristiques dans les régions, contribuant ainsi à la cohésion régionale.</w:t>
      </w:r>
    </w:p>
    <w:p w14:paraId="531C8495" w14:textId="77777777" w:rsidR="00025543" w:rsidRDefault="007E3A2F">
      <w:pPr>
        <w:pStyle w:val="P68B1DB1-Normal3"/>
        <w:spacing w:line="240" w:lineRule="auto"/>
        <w:jc w:val="both"/>
        <w:rPr>
          <w:noProof/>
        </w:rPr>
      </w:pPr>
      <w:r>
        <w:rPr>
          <w:noProof/>
        </w:rPr>
        <w:t>Le volet soutient la mise en œuvre de la recommandation par pays no 3 de 2019, selon laquelle la Tchéquie élimine les obstacles au développement d’un écosystème d’innovation pleinement opérationnel, et de la recommandation par pays no 2, 2020, selon laquelle la Tchéquie soutient l’emploi par des politiques actives du marché du travail, la fourniture de compétences, y compris numériques, et l’accès à l’apprentissage numérique.</w:t>
      </w:r>
    </w:p>
    <w:p w14:paraId="7C64C2E8" w14:textId="372BDF6F" w:rsidR="00025543" w:rsidRDefault="007E3A2F">
      <w:pPr>
        <w:pStyle w:val="P68B1DB1-Normal3"/>
        <w:spacing w:line="240" w:lineRule="auto"/>
        <w:jc w:val="both"/>
        <w:rPr>
          <w:noProof/>
        </w:rPr>
      </w:pPr>
      <w:r>
        <w:rPr>
          <w:noProof/>
        </w:rPr>
        <w:t>Aucune mesure relevant de ce volet ne devrait causer de préjudice important aux objectifs environnementaux au sens de l’article 17 du règlement (UE) 2020/852, compte tenu de la description des mesures et des mesures d’atténuation prévues dans le plan conformément aux orientations techniques DNSH (2021/C58/01).</w:t>
      </w:r>
    </w:p>
    <w:p w14:paraId="4096381D" w14:textId="4C594F9C" w:rsidR="00025543" w:rsidRDefault="007E3A2F">
      <w:pPr>
        <w:pStyle w:val="P68B1DB1-Normal32"/>
        <w:spacing w:line="240" w:lineRule="auto"/>
        <w:jc w:val="both"/>
        <w:rPr>
          <w:noProof/>
        </w:rPr>
      </w:pPr>
      <w:r>
        <w:rPr>
          <w:noProof/>
        </w:rPr>
        <w:t>Y.1. Description des réformes et des investissements en vue du soutien financier non remboursable</w:t>
      </w:r>
    </w:p>
    <w:p w14:paraId="5DF397DC" w14:textId="77777777" w:rsidR="00025543" w:rsidRDefault="007E3A2F">
      <w:pPr>
        <w:pStyle w:val="P68B1DB1-Normal26"/>
        <w:spacing w:line="240" w:lineRule="auto"/>
        <w:jc w:val="both"/>
        <w:rPr>
          <w:noProof/>
        </w:rPr>
      </w:pPr>
      <w:r>
        <w:rPr>
          <w:noProof/>
        </w:rPr>
        <w:t>Réforme 1: Statut de l’artiste</w:t>
      </w:r>
    </w:p>
    <w:p w14:paraId="6515BF44" w14:textId="77777777" w:rsidR="00025543" w:rsidRDefault="007E3A2F">
      <w:pPr>
        <w:pStyle w:val="P68B1DB1-Normal3"/>
        <w:spacing w:line="240" w:lineRule="auto"/>
        <w:jc w:val="both"/>
        <w:rPr>
          <w:noProof/>
        </w:rPr>
      </w:pPr>
      <w:r>
        <w:rPr>
          <w:noProof/>
        </w:rPr>
        <w:t xml:space="preserve">La réforme vise à remédier à l’absence d’un environnement réglementaire adéquat pour les artistes: cela a exacerbé l’incidence négative de la pandémie de COVID-19 sur les professionnels de la culture et de la création qui opéraient dans des conditions de travail précaires, en dehors du filet de sécurité sociale. Une nouvelle législation introduira le statut d’ «artiste» dans le but d’améliorer et de stabiliser les conditions de travail des artistes et des professionnels de la culture et d’accroître la résilience du secteur. La législation est complétée par des orientations méthodologiques axées sur le traitement des professionnels ayant des modalités de travail précaires, l’utilisation équitable de la propriété intellectuelle et le soutien des artistes au début de leur carrière. </w:t>
      </w:r>
    </w:p>
    <w:p w14:paraId="0E578692" w14:textId="77777777" w:rsidR="00025543" w:rsidRDefault="007E3A2F">
      <w:pPr>
        <w:pStyle w:val="P68B1DB1-Normal3"/>
        <w:spacing w:line="240" w:lineRule="auto"/>
        <w:jc w:val="both"/>
        <w:rPr>
          <w:noProof/>
        </w:rPr>
      </w:pPr>
      <w:r>
        <w:rPr>
          <w:noProof/>
        </w:rPr>
        <w:t xml:space="preserve">La réforme prévoit également la mise en place d’un programme global visant à soutenir les compétences des professionnels de la culture et de la création, en particulier les compétences numériques, la culture financière, les compétences de gestion, l’établissement de liens entre la culture et la créativité et l’éducation, ainsi que la promotion de la mobilité. Le programme devrait accroître la résilience des secteurs de la culture et de la création, favoriser l’adaptabilité des professionnels de la culture et de la création aux technologies numériques et aux nouveaux environnements de travail et contribuer à rétablir les réseaux de coopération perturbés dans les secteurs de la culture et de la création. </w:t>
      </w:r>
    </w:p>
    <w:p w14:paraId="4ED253F9" w14:textId="77777777" w:rsidR="00025543" w:rsidRDefault="007E3A2F">
      <w:pPr>
        <w:pStyle w:val="P68B1DB1-Normal3"/>
        <w:spacing w:line="240" w:lineRule="auto"/>
        <w:jc w:val="both"/>
        <w:rPr>
          <w:noProof/>
        </w:rPr>
      </w:pPr>
      <w:r>
        <w:rPr>
          <w:noProof/>
        </w:rPr>
        <w:t>La réforme doit être achevée au plus tard le 31 décembre 2025.</w:t>
      </w:r>
    </w:p>
    <w:p w14:paraId="75EC557D" w14:textId="77777777" w:rsidR="00025543" w:rsidRDefault="007E3A2F">
      <w:pPr>
        <w:pStyle w:val="P68B1DB1-Normal3"/>
        <w:spacing w:line="240" w:lineRule="auto"/>
        <w:jc w:val="both"/>
        <w:rPr>
          <w:b/>
          <w:noProof/>
        </w:rPr>
      </w:pPr>
      <w:r>
        <w:rPr>
          <w:b/>
          <w:noProof/>
        </w:rPr>
        <w:t>Réforme 2: Réforme législative introduisant un financement multisources des institutions culturelles</w:t>
      </w:r>
      <w:r>
        <w:rPr>
          <w:noProof/>
        </w:rPr>
        <w:t xml:space="preserve"> </w:t>
      </w:r>
    </w:p>
    <w:p w14:paraId="06989B0B" w14:textId="27DA7947" w:rsidR="00025543" w:rsidRDefault="007E3A2F">
      <w:pPr>
        <w:pStyle w:val="P68B1DB1-Normal3"/>
        <w:spacing w:line="240" w:lineRule="auto"/>
        <w:jc w:val="both"/>
        <w:rPr>
          <w:noProof/>
        </w:rPr>
      </w:pPr>
      <w:r>
        <w:rPr>
          <w:noProof/>
        </w:rPr>
        <w:t>Cette réforme vise à favoriser la stabilité financière et la viabilité des institutions culturelles. Elle consiste en une réforme législative qui introduira un financement coopératif multisources des institutions culturelles, renforçant ainsi leur résilience financière. La réforme simplifie la coopération entre les villes, les régions et l’État en ce qui concerne le financement des institutions culturelles en Tchéquie et précise les conditions de participation au financement privé. La réforme comprend également une cartographie régionale et nationale des secteurs de la culture et de la création.</w:t>
      </w:r>
    </w:p>
    <w:p w14:paraId="2780A793" w14:textId="77777777" w:rsidR="00025543" w:rsidRDefault="007E3A2F">
      <w:pPr>
        <w:pStyle w:val="P68B1DB1-Normal3"/>
        <w:spacing w:line="240" w:lineRule="auto"/>
        <w:jc w:val="both"/>
        <w:rPr>
          <w:noProof/>
        </w:rPr>
      </w:pPr>
      <w:r>
        <w:rPr>
          <w:noProof/>
        </w:rPr>
        <w:t xml:space="preserve">La réforme doit être achevée au plus tard le 31 décembre 2024. </w:t>
      </w:r>
    </w:p>
    <w:p w14:paraId="0DA97D2F" w14:textId="77777777" w:rsidR="00025543" w:rsidRDefault="007E3A2F">
      <w:pPr>
        <w:pStyle w:val="P68B1DB1-Normal26"/>
        <w:spacing w:line="240" w:lineRule="auto"/>
        <w:jc w:val="both"/>
        <w:rPr>
          <w:noProof/>
        </w:rPr>
      </w:pPr>
      <w:r>
        <w:rPr>
          <w:noProof/>
        </w:rPr>
        <w:t>Investissement 1: Développement des secteurs régionaux de la culture et de la création</w:t>
      </w:r>
    </w:p>
    <w:p w14:paraId="3A343231" w14:textId="77777777" w:rsidR="00025543" w:rsidRDefault="007E3A2F">
      <w:pPr>
        <w:pStyle w:val="P68B1DB1-Normal3"/>
        <w:spacing w:line="240" w:lineRule="auto"/>
        <w:jc w:val="both"/>
        <w:rPr>
          <w:noProof/>
        </w:rPr>
      </w:pPr>
      <w:r>
        <w:rPr>
          <w:noProof/>
        </w:rPr>
        <w:t xml:space="preserve">L’objectif principal est d’assurer un développement équitable des secteurs de la culture et de la création sur l’ensemble du territoire de la République tchèque. L’investissement vise à créer 15 centres culturels et créatifs, qui favorisent les liens entre la culture, les industries créatives et les écosystèmes régionaux d’innovation. Les investissements bénéficient aux régions structurellement défavorisées et aux zones souffrant d’un manque d’infrastructures culturelles, favorisant ainsi la cohésion territoriale. La préférence est accordée aux projets qui revitalisent des objets existants, contribuent à la restauration du patrimoine culturel ou étendent les fonctions des institutions culturelles existantes. L’investissement comprend un soutien à l’élaboration de projets et à l’élaboration de documents stratégiques régionaux concernant les secteurs de la culture et de la création.  </w:t>
      </w:r>
    </w:p>
    <w:p w14:paraId="7F764B87" w14:textId="77777777" w:rsidR="00025543" w:rsidRDefault="007E3A2F">
      <w:pPr>
        <w:pStyle w:val="P68B1DB1-Normal3"/>
        <w:spacing w:line="240" w:lineRule="auto"/>
        <w:jc w:val="both"/>
        <w:rPr>
          <w:noProof/>
        </w:rPr>
      </w:pPr>
      <w:r>
        <w:rPr>
          <w:noProof/>
        </w:rPr>
        <w:t>L’investissement est achevé au plus tard le 31 décembre 2025.</w:t>
      </w:r>
    </w:p>
    <w:p w14:paraId="783C700D" w14:textId="77777777" w:rsidR="00025543" w:rsidRDefault="007E3A2F">
      <w:pPr>
        <w:pStyle w:val="P68B1DB1-Normal26"/>
        <w:spacing w:line="240" w:lineRule="auto"/>
        <w:jc w:val="both"/>
        <w:rPr>
          <w:noProof/>
        </w:rPr>
      </w:pPr>
      <w:r>
        <w:rPr>
          <w:noProof/>
        </w:rPr>
        <w:t>Investissement 2: Numérisation des secteurs de la culture et de la création</w:t>
      </w:r>
    </w:p>
    <w:p w14:paraId="41A3A639" w14:textId="77777777" w:rsidR="00025543" w:rsidRDefault="007E3A2F">
      <w:pPr>
        <w:pStyle w:val="P68B1DB1-Normal3"/>
        <w:spacing w:line="240" w:lineRule="auto"/>
        <w:jc w:val="both"/>
        <w:rPr>
          <w:noProof/>
        </w:rPr>
      </w:pPr>
      <w:r>
        <w:rPr>
          <w:noProof/>
        </w:rPr>
        <w:t xml:space="preserve">L’objectif est de soutenir la numérisation des contenus culturels afin de garantir leur conservation et d’en améliorer l’accessibilité. L’investissement vise à remédier au faible niveau de numérisation du contenu culturel en Tchéquie et à l’absence de méthodologie globale et de partage de bonnes pratiques dans ce domaine. À cette fin: </w:t>
      </w:r>
    </w:p>
    <w:p w14:paraId="3E2CAA28" w14:textId="77777777" w:rsidR="00025543" w:rsidRDefault="007E3A2F">
      <w:pPr>
        <w:pStyle w:val="P68B1DB1-Normal4"/>
        <w:numPr>
          <w:ilvl w:val="0"/>
          <w:numId w:val="171"/>
        </w:numPr>
        <w:pBdr>
          <w:top w:val="nil"/>
          <w:left w:val="nil"/>
          <w:bottom w:val="nil"/>
          <w:right w:val="nil"/>
          <w:between w:val="nil"/>
        </w:pBdr>
        <w:spacing w:line="259" w:lineRule="auto"/>
        <w:ind w:left="360"/>
        <w:jc w:val="both"/>
        <w:rPr>
          <w:noProof/>
        </w:rPr>
      </w:pPr>
      <w:r>
        <w:rPr>
          <w:noProof/>
        </w:rPr>
        <w:t>un programme de subventions destiné à soutenir au moins 80 projets de numérisation du contenu culturel, la préférence étant accordée aux projets permettant le partage d’équipements et de capacités;</w:t>
      </w:r>
    </w:p>
    <w:p w14:paraId="52888504" w14:textId="77777777" w:rsidR="00025543" w:rsidRDefault="007E3A2F">
      <w:pPr>
        <w:pStyle w:val="P68B1DB1-Normal4"/>
        <w:numPr>
          <w:ilvl w:val="0"/>
          <w:numId w:val="171"/>
        </w:numPr>
        <w:pBdr>
          <w:top w:val="nil"/>
          <w:left w:val="nil"/>
          <w:bottom w:val="nil"/>
          <w:right w:val="nil"/>
          <w:between w:val="nil"/>
        </w:pBdr>
        <w:spacing w:line="259" w:lineRule="auto"/>
        <w:ind w:left="360"/>
        <w:jc w:val="both"/>
        <w:rPr>
          <w:noProof/>
        </w:rPr>
      </w:pPr>
      <w:r>
        <w:rPr>
          <w:noProof/>
        </w:rPr>
        <w:t>élaborer une méthodologie pour faciliter la numérisation du contenu culturel dans les bibliothèques, les musées et les autres institutions culturelles;</w:t>
      </w:r>
    </w:p>
    <w:p w14:paraId="5A63C50A" w14:textId="77777777" w:rsidR="00025543" w:rsidRDefault="007E3A2F">
      <w:pPr>
        <w:pStyle w:val="P68B1DB1-Normal4"/>
        <w:numPr>
          <w:ilvl w:val="0"/>
          <w:numId w:val="171"/>
        </w:numPr>
        <w:pBdr>
          <w:top w:val="nil"/>
          <w:left w:val="nil"/>
          <w:bottom w:val="nil"/>
          <w:right w:val="nil"/>
          <w:between w:val="nil"/>
        </w:pBdr>
        <w:spacing w:line="259" w:lineRule="auto"/>
        <w:ind w:left="360"/>
        <w:jc w:val="both"/>
        <w:rPr>
          <w:noProof/>
        </w:rPr>
      </w:pPr>
      <w:r>
        <w:rPr>
          <w:noProof/>
        </w:rPr>
        <w:t xml:space="preserve">numérisation du système de subventions du ministère de la culture, qui doit permettre une gestion efficace des demandes. </w:t>
      </w:r>
    </w:p>
    <w:p w14:paraId="408B01A0" w14:textId="77777777" w:rsidR="00025543" w:rsidRDefault="007E3A2F">
      <w:pPr>
        <w:pStyle w:val="P68B1DB1-Normal3"/>
        <w:spacing w:line="240" w:lineRule="auto"/>
        <w:jc w:val="both"/>
        <w:rPr>
          <w:noProof/>
        </w:rPr>
      </w:pPr>
      <w:r>
        <w:rPr>
          <w:noProof/>
        </w:rPr>
        <w:t>L’investissement est achevé au plus tard le 31 décembre 2025.</w:t>
      </w:r>
    </w:p>
    <w:p w14:paraId="2FCA2DAB" w14:textId="77777777" w:rsidR="00025543" w:rsidRDefault="007E3A2F">
      <w:pPr>
        <w:pStyle w:val="P68B1DB1-Normal26"/>
        <w:spacing w:line="240" w:lineRule="auto"/>
        <w:jc w:val="both"/>
        <w:rPr>
          <w:noProof/>
        </w:rPr>
      </w:pPr>
      <w:r>
        <w:rPr>
          <w:noProof/>
        </w:rPr>
        <w:t>Investissement 3: Chèques créatifs</w:t>
      </w:r>
    </w:p>
    <w:p w14:paraId="7A46CB17" w14:textId="77777777" w:rsidR="00025543" w:rsidRDefault="007E3A2F">
      <w:pPr>
        <w:pStyle w:val="P68B1DB1-Normal3"/>
        <w:spacing w:line="240" w:lineRule="auto"/>
        <w:jc w:val="both"/>
        <w:rPr>
          <w:noProof/>
        </w:rPr>
      </w:pPr>
      <w:r>
        <w:rPr>
          <w:noProof/>
        </w:rPr>
        <w:t xml:space="preserve">L’investissement vise à promouvoir l’innovation par des liens entre les PME et les secteurs créatifs émergents. Les services externes des professionnels de la création peuvent aider les PME à innover leurs services de post-production et à répondre rapidement aux demandes du marché, soutenant ainsi leur compétitivité. L’investissement est réalisé au moyen d’un système de chèques destiné à soutenir les innovations douces dans les PME, telles que la conception de sites web, la conception de produits et de services, la conception graphique ou les stratégies de commercialisation. Au moins 3000 coupons créatifs seront attribués aux PME lors de trois appels consécutifs (2022-24). En outre, au moins 300 crédits de conception seront alloués aux PME dans le cadre d’un régime complémentaire soutenant les activités de promotion des exportations et de consultation dans le domaine de la conception. L’attribution de chèques aux PME vise à assurer une répartition égale entre les régions et les professionnels de la création se limitent à fournir des services à trois PME au maximum afin d’éviter la concentration dans les grandes entreprises créatives et publicitaires. L’investissement comprend la création d’une galerie créative, qui sert à la mise en œuvre et à la gestion du système de chèques et constitue une plateforme de communication plus large pour les secteurs de la culture et de la création. Le système de chèques repose sur un système local efficace organisé en Moravie méridionale. </w:t>
      </w:r>
    </w:p>
    <w:p w14:paraId="08EA269F" w14:textId="77777777" w:rsidR="00025543" w:rsidRDefault="007E3A2F">
      <w:pPr>
        <w:pStyle w:val="P68B1DB1-Normal3"/>
        <w:spacing w:line="240" w:lineRule="auto"/>
        <w:jc w:val="both"/>
        <w:rPr>
          <w:noProof/>
        </w:rPr>
      </w:pPr>
      <w:r>
        <w:rPr>
          <w:noProof/>
        </w:rPr>
        <w:t>L’investissement est achevé au plus tard le 31 décembre 2025.</w:t>
      </w:r>
    </w:p>
    <w:p w14:paraId="19D85F95" w14:textId="77777777" w:rsidR="00025543" w:rsidRDefault="00025543">
      <w:pPr>
        <w:spacing w:line="240" w:lineRule="auto"/>
        <w:jc w:val="both"/>
        <w:rPr>
          <w:rFonts w:eastAsia="Times New Roman"/>
          <w:noProof/>
        </w:rPr>
        <w:sectPr w:rsidR="00025543" w:rsidSect="00997F50">
          <w:headerReference w:type="even" r:id="rId366"/>
          <w:headerReference w:type="default" r:id="rId367"/>
          <w:footerReference w:type="even" r:id="rId368"/>
          <w:footerReference w:type="default" r:id="rId369"/>
          <w:headerReference w:type="first" r:id="rId370"/>
          <w:footerReference w:type="first" r:id="rId371"/>
          <w:pgSz w:w="11907" w:h="16839"/>
          <w:pgMar w:top="1134" w:right="1134" w:bottom="1134" w:left="1134" w:header="567" w:footer="567" w:gutter="0"/>
          <w:cols w:space="720"/>
          <w:docGrid w:linePitch="326"/>
        </w:sectPr>
      </w:pPr>
    </w:p>
    <w:p w14:paraId="131597AF" w14:textId="32A5A487" w:rsidR="00025543" w:rsidRDefault="007E3A2F">
      <w:pPr>
        <w:pStyle w:val="P68B1DB1-Normal33"/>
        <w:pBdr>
          <w:top w:val="nil"/>
          <w:left w:val="nil"/>
          <w:bottom w:val="nil"/>
          <w:right w:val="nil"/>
          <w:between w:val="nil"/>
        </w:pBdr>
        <w:tabs>
          <w:tab w:val="left" w:pos="993"/>
        </w:tabs>
        <w:spacing w:line="240" w:lineRule="auto"/>
        <w:jc w:val="both"/>
        <w:rPr>
          <w:noProof/>
          <w:color w:val="000000"/>
        </w:rPr>
      </w:pPr>
      <w:r>
        <w:rPr>
          <w:noProof/>
        </w:rPr>
        <w:t xml:space="preserve">Y.2. Jalons, cibles, indicateurs et calendrier de suivi et de mise en œuvre en vue du soutien financier non remboursable </w:t>
      </w:r>
    </w:p>
    <w:tbl>
      <w:tblPr>
        <w:tblW w:w="0" w:type="auto"/>
        <w:jc w:val="center"/>
        <w:tblLayout w:type="fixed"/>
        <w:tblLook w:val="04A0" w:firstRow="1" w:lastRow="0" w:firstColumn="1" w:lastColumn="0" w:noHBand="0" w:noVBand="1"/>
      </w:tblPr>
      <w:tblGrid>
        <w:gridCol w:w="675"/>
        <w:gridCol w:w="1165"/>
        <w:gridCol w:w="1077"/>
        <w:gridCol w:w="1560"/>
        <w:gridCol w:w="1559"/>
        <w:gridCol w:w="1077"/>
        <w:gridCol w:w="1077"/>
        <w:gridCol w:w="709"/>
        <w:gridCol w:w="850"/>
        <w:gridCol w:w="608"/>
        <w:gridCol w:w="4745"/>
      </w:tblGrid>
      <w:tr w:rsidR="00025543" w14:paraId="669931F3" w14:textId="77777777">
        <w:trPr>
          <w:trHeight w:val="107"/>
          <w:tblHeader/>
          <w:jc w:val="center"/>
        </w:trPr>
        <w:tc>
          <w:tcPr>
            <w:tcW w:w="675" w:type="dxa"/>
            <w:vMerge w:val="restart"/>
            <w:tcBorders>
              <w:top w:val="single" w:sz="4" w:space="0" w:color="auto"/>
              <w:left w:val="single" w:sz="4" w:space="0" w:color="auto"/>
              <w:bottom w:val="single" w:sz="4" w:space="0" w:color="auto"/>
              <w:right w:val="single" w:sz="8" w:space="0" w:color="auto"/>
            </w:tcBorders>
            <w:shd w:val="clear" w:color="auto" w:fill="BDD7EE"/>
            <w:vAlign w:val="center"/>
          </w:tcPr>
          <w:p w14:paraId="3E68C9C6" w14:textId="77777777" w:rsidR="00025543" w:rsidRDefault="007E3A2F">
            <w:pPr>
              <w:pStyle w:val="P68B1DB1-Normal27"/>
              <w:spacing w:line="240" w:lineRule="auto"/>
              <w:jc w:val="center"/>
              <w:rPr>
                <w:noProof/>
              </w:rPr>
            </w:pPr>
            <w:r>
              <w:rPr>
                <w:noProof/>
              </w:rPr>
              <w:t>Séquence NUM.</w:t>
            </w:r>
          </w:p>
        </w:tc>
        <w:tc>
          <w:tcPr>
            <w:tcW w:w="1165" w:type="dxa"/>
            <w:vMerge w:val="restart"/>
            <w:tcBorders>
              <w:top w:val="single" w:sz="4" w:space="0" w:color="auto"/>
              <w:left w:val="single" w:sz="8" w:space="0" w:color="auto"/>
              <w:bottom w:val="single" w:sz="4" w:space="0" w:color="auto"/>
              <w:right w:val="single" w:sz="8" w:space="0" w:color="auto"/>
            </w:tcBorders>
            <w:shd w:val="clear" w:color="auto" w:fill="BDD7EE"/>
            <w:vAlign w:val="center"/>
          </w:tcPr>
          <w:p w14:paraId="5511896B" w14:textId="77777777" w:rsidR="00025543" w:rsidRDefault="007E3A2F">
            <w:pPr>
              <w:pStyle w:val="P68B1DB1-Normal9"/>
              <w:spacing w:line="240" w:lineRule="auto"/>
              <w:jc w:val="center"/>
              <w:rPr>
                <w:noProof/>
              </w:rPr>
            </w:pPr>
            <w:r>
              <w:rPr>
                <w:noProof/>
              </w:rPr>
              <w:t xml:space="preserve">Mesure connexe (réforme ou investissement) </w:t>
            </w:r>
          </w:p>
        </w:tc>
        <w:tc>
          <w:tcPr>
            <w:tcW w:w="1077" w:type="dxa"/>
            <w:vMerge w:val="restart"/>
            <w:tcBorders>
              <w:top w:val="single" w:sz="4" w:space="0" w:color="auto"/>
              <w:left w:val="single" w:sz="8" w:space="0" w:color="auto"/>
              <w:bottom w:val="single" w:sz="4" w:space="0" w:color="auto"/>
              <w:right w:val="single" w:sz="8" w:space="0" w:color="auto"/>
            </w:tcBorders>
            <w:shd w:val="clear" w:color="auto" w:fill="BDD7EE"/>
            <w:vAlign w:val="center"/>
          </w:tcPr>
          <w:p w14:paraId="1CD1BB92" w14:textId="77777777" w:rsidR="00025543" w:rsidRDefault="007E3A2F">
            <w:pPr>
              <w:pStyle w:val="P68B1DB1-Normal9"/>
              <w:spacing w:line="240" w:lineRule="auto"/>
              <w:jc w:val="center"/>
              <w:rPr>
                <w:noProof/>
              </w:rPr>
            </w:pPr>
            <w:r>
              <w:rPr>
                <w:noProof/>
              </w:rPr>
              <w:t xml:space="preserve">Jalon/cible </w:t>
            </w:r>
          </w:p>
        </w:tc>
        <w:tc>
          <w:tcPr>
            <w:tcW w:w="1560" w:type="dxa"/>
            <w:vMerge w:val="restart"/>
            <w:tcBorders>
              <w:top w:val="single" w:sz="4" w:space="0" w:color="auto"/>
              <w:left w:val="single" w:sz="8" w:space="0" w:color="auto"/>
              <w:bottom w:val="single" w:sz="4" w:space="0" w:color="auto"/>
              <w:right w:val="single" w:sz="8" w:space="0" w:color="auto"/>
            </w:tcBorders>
            <w:shd w:val="clear" w:color="auto" w:fill="BDD7EE"/>
            <w:vAlign w:val="center"/>
          </w:tcPr>
          <w:p w14:paraId="35158085" w14:textId="77777777" w:rsidR="00025543" w:rsidRDefault="007E3A2F">
            <w:pPr>
              <w:pStyle w:val="P68B1DB1-Normal9"/>
              <w:spacing w:line="240" w:lineRule="auto"/>
              <w:jc w:val="center"/>
              <w:rPr>
                <w:noProof/>
              </w:rPr>
            </w:pPr>
            <w:r>
              <w:rPr>
                <w:noProof/>
              </w:rPr>
              <w:t xml:space="preserve">Nom </w:t>
            </w:r>
          </w:p>
        </w:tc>
        <w:tc>
          <w:tcPr>
            <w:tcW w:w="1559" w:type="dxa"/>
            <w:vMerge w:val="restart"/>
            <w:tcBorders>
              <w:top w:val="single" w:sz="4" w:space="0" w:color="auto"/>
              <w:left w:val="single" w:sz="8" w:space="0" w:color="auto"/>
              <w:bottom w:val="single" w:sz="4" w:space="0" w:color="auto"/>
              <w:right w:val="single" w:sz="4" w:space="0" w:color="auto"/>
            </w:tcBorders>
            <w:shd w:val="clear" w:color="auto" w:fill="BDD7EE"/>
            <w:vAlign w:val="center"/>
          </w:tcPr>
          <w:p w14:paraId="14F035CD" w14:textId="77777777" w:rsidR="00025543" w:rsidRDefault="007E3A2F">
            <w:pPr>
              <w:pStyle w:val="P68B1DB1-Normal12"/>
              <w:spacing w:line="240" w:lineRule="auto"/>
              <w:jc w:val="center"/>
              <w:rPr>
                <w:noProof/>
              </w:rPr>
            </w:pPr>
            <w:r>
              <w:rPr>
                <w:rFonts w:eastAsia="Times New Roman"/>
                <w:b/>
                <w:noProof/>
              </w:rPr>
              <w:t>Qualitatifs</w:t>
            </w:r>
            <w:r>
              <w:rPr>
                <w:noProof/>
              </w:rPr>
              <w:br/>
            </w:r>
            <w:r>
              <w:rPr>
                <w:rFonts w:eastAsia="Times New Roman"/>
                <w:b/>
                <w:noProof/>
              </w:rPr>
              <w:t xml:space="preserve"> (pour les jalons) </w:t>
            </w:r>
          </w:p>
        </w:tc>
        <w:tc>
          <w:tcPr>
            <w:tcW w:w="1077" w:type="dxa"/>
            <w:gridSpan w:val="3"/>
            <w:tcBorders>
              <w:top w:val="single" w:sz="8" w:space="0" w:color="auto"/>
              <w:left w:val="single" w:sz="4" w:space="0" w:color="auto"/>
              <w:bottom w:val="single" w:sz="8" w:space="0" w:color="auto"/>
              <w:right w:val="single" w:sz="8" w:space="0" w:color="000000"/>
            </w:tcBorders>
            <w:shd w:val="clear" w:color="auto" w:fill="BDD7EE"/>
            <w:vAlign w:val="center"/>
          </w:tcPr>
          <w:p w14:paraId="5E4CB7E3" w14:textId="77777777" w:rsidR="00025543" w:rsidRDefault="007E3A2F">
            <w:pPr>
              <w:pStyle w:val="P68B1DB1-Normal12"/>
              <w:spacing w:line="240" w:lineRule="auto"/>
              <w:jc w:val="center"/>
              <w:rPr>
                <w:noProof/>
              </w:rPr>
            </w:pPr>
            <w:r>
              <w:rPr>
                <w:rFonts w:eastAsia="Times New Roman"/>
                <w:b/>
                <w:noProof/>
              </w:rPr>
              <w:t>Indicateurs quantitatifs</w:t>
            </w:r>
            <w:r>
              <w:rPr>
                <w:noProof/>
              </w:rPr>
              <w:br/>
            </w:r>
            <w:r>
              <w:rPr>
                <w:rFonts w:eastAsia="Times New Roman"/>
                <w:b/>
                <w:noProof/>
              </w:rPr>
              <w:t xml:space="preserve"> (pour les objectifs)</w:t>
            </w:r>
          </w:p>
        </w:tc>
        <w:tc>
          <w:tcPr>
            <w:tcW w:w="1458" w:type="dxa"/>
            <w:gridSpan w:val="2"/>
            <w:tcBorders>
              <w:top w:val="single" w:sz="8" w:space="0" w:color="auto"/>
              <w:left w:val="nil"/>
              <w:bottom w:val="single" w:sz="8" w:space="0" w:color="auto"/>
              <w:right w:val="single" w:sz="4" w:space="0" w:color="auto"/>
            </w:tcBorders>
            <w:shd w:val="clear" w:color="auto" w:fill="BDD7EE"/>
            <w:vAlign w:val="center"/>
          </w:tcPr>
          <w:p w14:paraId="40376511" w14:textId="77777777" w:rsidR="00025543" w:rsidRDefault="007E3A2F">
            <w:pPr>
              <w:pStyle w:val="P68B1DB1-Normal9"/>
              <w:spacing w:line="240" w:lineRule="auto"/>
              <w:jc w:val="center"/>
              <w:rPr>
                <w:noProof/>
              </w:rPr>
            </w:pPr>
            <w:r>
              <w:rPr>
                <w:noProof/>
              </w:rPr>
              <w:t xml:space="preserve">Calendrier indicatif de réalisation </w:t>
            </w:r>
          </w:p>
        </w:tc>
        <w:tc>
          <w:tcPr>
            <w:tcW w:w="4745"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282D22B5" w14:textId="77777777" w:rsidR="00025543" w:rsidRDefault="007E3A2F">
            <w:pPr>
              <w:pStyle w:val="P68B1DB1-Normal9"/>
              <w:spacing w:line="240" w:lineRule="auto"/>
              <w:jc w:val="center"/>
              <w:rPr>
                <w:noProof/>
              </w:rPr>
            </w:pPr>
            <w:r>
              <w:rPr>
                <w:noProof/>
              </w:rPr>
              <w:t>Description et définition claire de chaque jalon et cible</w:t>
            </w:r>
          </w:p>
        </w:tc>
      </w:tr>
      <w:tr w:rsidR="00025543" w14:paraId="34A53610" w14:textId="77777777">
        <w:trPr>
          <w:trHeight w:val="173"/>
          <w:tblHeader/>
          <w:jc w:val="center"/>
        </w:trPr>
        <w:tc>
          <w:tcPr>
            <w:tcW w:w="675" w:type="dxa"/>
            <w:vMerge/>
            <w:tcBorders>
              <w:top w:val="single" w:sz="8" w:space="0" w:color="auto"/>
              <w:left w:val="single" w:sz="4" w:space="0" w:color="auto"/>
              <w:bottom w:val="single" w:sz="4" w:space="0" w:color="auto"/>
              <w:right w:val="single" w:sz="8" w:space="0" w:color="auto"/>
            </w:tcBorders>
            <w:vAlign w:val="center"/>
          </w:tcPr>
          <w:p w14:paraId="1E1E19F6" w14:textId="77777777" w:rsidR="00025543" w:rsidRDefault="00025543">
            <w:pPr>
              <w:spacing w:line="240" w:lineRule="auto"/>
              <w:jc w:val="center"/>
              <w:rPr>
                <w:noProof/>
                <w:sz w:val="18"/>
              </w:rPr>
            </w:pPr>
          </w:p>
        </w:tc>
        <w:tc>
          <w:tcPr>
            <w:tcW w:w="1165" w:type="dxa"/>
            <w:vMerge/>
            <w:tcBorders>
              <w:top w:val="single" w:sz="8" w:space="0" w:color="auto"/>
              <w:left w:val="single" w:sz="8" w:space="0" w:color="auto"/>
              <w:bottom w:val="single" w:sz="4" w:space="0" w:color="auto"/>
              <w:right w:val="single" w:sz="8" w:space="0" w:color="auto"/>
            </w:tcBorders>
            <w:vAlign w:val="center"/>
          </w:tcPr>
          <w:p w14:paraId="03D6AE50" w14:textId="77777777" w:rsidR="00025543" w:rsidRDefault="00025543">
            <w:pPr>
              <w:spacing w:line="240" w:lineRule="auto"/>
              <w:jc w:val="center"/>
              <w:rPr>
                <w:noProof/>
                <w:sz w:val="18"/>
              </w:rPr>
            </w:pPr>
          </w:p>
        </w:tc>
        <w:tc>
          <w:tcPr>
            <w:tcW w:w="1077" w:type="dxa"/>
            <w:vMerge/>
            <w:tcBorders>
              <w:top w:val="single" w:sz="8" w:space="0" w:color="auto"/>
              <w:left w:val="single" w:sz="8" w:space="0" w:color="auto"/>
              <w:bottom w:val="single" w:sz="4" w:space="0" w:color="auto"/>
              <w:right w:val="single" w:sz="8" w:space="0" w:color="auto"/>
            </w:tcBorders>
            <w:vAlign w:val="center"/>
          </w:tcPr>
          <w:p w14:paraId="5DE9F286" w14:textId="77777777" w:rsidR="00025543" w:rsidRDefault="00025543">
            <w:pPr>
              <w:spacing w:line="240" w:lineRule="auto"/>
              <w:jc w:val="center"/>
              <w:rPr>
                <w:noProof/>
                <w:sz w:val="18"/>
              </w:rPr>
            </w:pPr>
          </w:p>
        </w:tc>
        <w:tc>
          <w:tcPr>
            <w:tcW w:w="1560" w:type="dxa"/>
            <w:vMerge/>
            <w:tcBorders>
              <w:top w:val="single" w:sz="8" w:space="0" w:color="auto"/>
              <w:left w:val="single" w:sz="8" w:space="0" w:color="auto"/>
              <w:bottom w:val="single" w:sz="4" w:space="0" w:color="auto"/>
              <w:right w:val="single" w:sz="8" w:space="0" w:color="auto"/>
            </w:tcBorders>
            <w:vAlign w:val="center"/>
          </w:tcPr>
          <w:p w14:paraId="7309F91C" w14:textId="77777777" w:rsidR="00025543" w:rsidRDefault="00025543">
            <w:pPr>
              <w:spacing w:line="240" w:lineRule="auto"/>
              <w:jc w:val="center"/>
              <w:rPr>
                <w:noProof/>
                <w:sz w:val="18"/>
              </w:rPr>
            </w:pPr>
          </w:p>
        </w:tc>
        <w:tc>
          <w:tcPr>
            <w:tcW w:w="1559" w:type="dxa"/>
            <w:vMerge/>
            <w:tcBorders>
              <w:top w:val="single" w:sz="8" w:space="0" w:color="auto"/>
              <w:left w:val="single" w:sz="8" w:space="0" w:color="auto"/>
              <w:bottom w:val="single" w:sz="4" w:space="0" w:color="auto"/>
              <w:right w:val="single" w:sz="4" w:space="0" w:color="auto"/>
            </w:tcBorders>
            <w:vAlign w:val="center"/>
          </w:tcPr>
          <w:p w14:paraId="60A69FBB" w14:textId="77777777" w:rsidR="00025543" w:rsidRDefault="00025543">
            <w:pPr>
              <w:spacing w:line="240" w:lineRule="auto"/>
              <w:jc w:val="center"/>
              <w:rPr>
                <w:noProof/>
                <w:sz w:val="18"/>
              </w:rPr>
            </w:pPr>
          </w:p>
        </w:tc>
        <w:tc>
          <w:tcPr>
            <w:tcW w:w="1077" w:type="dxa"/>
            <w:tcBorders>
              <w:top w:val="single" w:sz="8" w:space="0" w:color="auto"/>
              <w:left w:val="single" w:sz="4" w:space="0" w:color="auto"/>
              <w:bottom w:val="single" w:sz="8" w:space="0" w:color="auto"/>
              <w:right w:val="single" w:sz="8" w:space="0" w:color="000000"/>
            </w:tcBorders>
            <w:shd w:val="clear" w:color="auto" w:fill="BDD7EE"/>
            <w:vAlign w:val="center"/>
          </w:tcPr>
          <w:p w14:paraId="734AACCF" w14:textId="77777777" w:rsidR="00025543" w:rsidRDefault="007E3A2F">
            <w:pPr>
              <w:pStyle w:val="P68B1DB1-Normal9"/>
              <w:spacing w:line="240" w:lineRule="auto"/>
              <w:jc w:val="center"/>
              <w:rPr>
                <w:noProof/>
              </w:rPr>
            </w:pPr>
            <w:r>
              <w:rPr>
                <w:noProof/>
              </w:rPr>
              <w:t>Unité de mesure</w:t>
            </w:r>
          </w:p>
        </w:tc>
        <w:tc>
          <w:tcPr>
            <w:tcW w:w="1077" w:type="dxa"/>
            <w:tcBorders>
              <w:top w:val="nil"/>
              <w:left w:val="single" w:sz="8" w:space="0" w:color="auto"/>
              <w:bottom w:val="single" w:sz="8" w:space="0" w:color="auto"/>
              <w:right w:val="single" w:sz="8" w:space="0" w:color="auto"/>
            </w:tcBorders>
            <w:shd w:val="clear" w:color="auto" w:fill="BDD7EE"/>
            <w:vAlign w:val="center"/>
          </w:tcPr>
          <w:p w14:paraId="12D48646" w14:textId="77777777" w:rsidR="00025543" w:rsidRDefault="007E3A2F">
            <w:pPr>
              <w:pStyle w:val="P68B1DB1-Normal9"/>
              <w:spacing w:line="240" w:lineRule="auto"/>
              <w:jc w:val="center"/>
              <w:rPr>
                <w:noProof/>
              </w:rPr>
            </w:pPr>
            <w:r>
              <w:rPr>
                <w:noProof/>
              </w:rPr>
              <w:t>Scénario de référence</w:t>
            </w:r>
          </w:p>
        </w:tc>
        <w:tc>
          <w:tcPr>
            <w:tcW w:w="709" w:type="dxa"/>
            <w:tcBorders>
              <w:top w:val="nil"/>
              <w:left w:val="single" w:sz="8" w:space="0" w:color="auto"/>
              <w:bottom w:val="single" w:sz="8" w:space="0" w:color="auto"/>
              <w:right w:val="single" w:sz="8" w:space="0" w:color="000000"/>
            </w:tcBorders>
            <w:shd w:val="clear" w:color="auto" w:fill="BDD7EE"/>
            <w:vAlign w:val="center"/>
          </w:tcPr>
          <w:p w14:paraId="7E2FF5AE" w14:textId="77777777" w:rsidR="00025543" w:rsidRDefault="007E3A2F">
            <w:pPr>
              <w:pStyle w:val="P68B1DB1-Normal9"/>
              <w:spacing w:line="240" w:lineRule="auto"/>
              <w:jc w:val="center"/>
              <w:rPr>
                <w:noProof/>
              </w:rPr>
            </w:pPr>
            <w:r>
              <w:rPr>
                <w:noProof/>
              </w:rPr>
              <w:t>Objectif</w:t>
            </w:r>
          </w:p>
        </w:tc>
        <w:tc>
          <w:tcPr>
            <w:tcW w:w="850" w:type="dxa"/>
            <w:tcBorders>
              <w:top w:val="single" w:sz="8" w:space="0" w:color="auto"/>
              <w:left w:val="single" w:sz="8" w:space="0" w:color="auto"/>
              <w:bottom w:val="single" w:sz="8" w:space="0" w:color="auto"/>
              <w:right w:val="single" w:sz="8" w:space="0" w:color="000000"/>
            </w:tcBorders>
            <w:shd w:val="clear" w:color="auto" w:fill="BDD7EE"/>
            <w:vAlign w:val="center"/>
          </w:tcPr>
          <w:p w14:paraId="10F114A4" w14:textId="77777777" w:rsidR="00025543" w:rsidRDefault="007E3A2F">
            <w:pPr>
              <w:pStyle w:val="P68B1DB1-Normal9"/>
              <w:spacing w:line="240" w:lineRule="auto"/>
              <w:jc w:val="center"/>
              <w:rPr>
                <w:noProof/>
              </w:rPr>
            </w:pPr>
            <w:r>
              <w:rPr>
                <w:noProof/>
              </w:rPr>
              <w:t>Trimestre</w:t>
            </w:r>
          </w:p>
        </w:tc>
        <w:tc>
          <w:tcPr>
            <w:tcW w:w="608" w:type="dxa"/>
            <w:tcBorders>
              <w:top w:val="nil"/>
              <w:left w:val="single" w:sz="8" w:space="0" w:color="auto"/>
              <w:bottom w:val="single" w:sz="8" w:space="0" w:color="auto"/>
              <w:right w:val="single" w:sz="4" w:space="0" w:color="auto"/>
            </w:tcBorders>
            <w:shd w:val="clear" w:color="auto" w:fill="BDD7EE"/>
            <w:vAlign w:val="center"/>
          </w:tcPr>
          <w:p w14:paraId="0BB197F2" w14:textId="77777777" w:rsidR="00025543" w:rsidRDefault="007E3A2F">
            <w:pPr>
              <w:pStyle w:val="P68B1DB1-Normal9"/>
              <w:spacing w:line="240" w:lineRule="auto"/>
              <w:jc w:val="center"/>
              <w:rPr>
                <w:noProof/>
              </w:rPr>
            </w:pPr>
            <w:r>
              <w:rPr>
                <w:noProof/>
              </w:rPr>
              <w:t>Année</w:t>
            </w:r>
          </w:p>
        </w:tc>
        <w:tc>
          <w:tcPr>
            <w:tcW w:w="4745" w:type="dxa"/>
            <w:vMerge/>
            <w:tcBorders>
              <w:left w:val="single" w:sz="4" w:space="0" w:color="auto"/>
              <w:bottom w:val="single" w:sz="4" w:space="0" w:color="auto"/>
              <w:right w:val="single" w:sz="4" w:space="0" w:color="auto"/>
            </w:tcBorders>
            <w:vAlign w:val="center"/>
          </w:tcPr>
          <w:p w14:paraId="371ED384" w14:textId="77777777" w:rsidR="00025543" w:rsidRDefault="00025543">
            <w:pPr>
              <w:spacing w:line="240" w:lineRule="auto"/>
              <w:jc w:val="center"/>
              <w:rPr>
                <w:noProof/>
                <w:sz w:val="18"/>
              </w:rPr>
            </w:pPr>
          </w:p>
        </w:tc>
      </w:tr>
      <w:tr w:rsidR="00025543" w14:paraId="2CD14BE4" w14:textId="77777777">
        <w:trPr>
          <w:trHeight w:val="945"/>
          <w:jc w:val="center"/>
        </w:trPr>
        <w:tc>
          <w:tcPr>
            <w:tcW w:w="675" w:type="dxa"/>
            <w:tcBorders>
              <w:top w:val="single" w:sz="4" w:space="0" w:color="auto"/>
              <w:left w:val="single" w:sz="8" w:space="0" w:color="auto"/>
              <w:bottom w:val="single" w:sz="8" w:space="0" w:color="auto"/>
              <w:right w:val="single" w:sz="8" w:space="0" w:color="auto"/>
            </w:tcBorders>
            <w:shd w:val="clear" w:color="auto" w:fill="C6EFCE"/>
            <w:vAlign w:val="center"/>
          </w:tcPr>
          <w:p w14:paraId="4117C5C0" w14:textId="77777777" w:rsidR="00025543" w:rsidRDefault="007E3A2F">
            <w:pPr>
              <w:pStyle w:val="P68B1DB1-Normal16"/>
              <w:spacing w:line="240" w:lineRule="auto"/>
              <w:jc w:val="center"/>
              <w:rPr>
                <w:noProof/>
              </w:rPr>
            </w:pPr>
            <w:r>
              <w:rPr>
                <w:noProof/>
              </w:rPr>
              <w:t>217</w:t>
            </w:r>
          </w:p>
        </w:tc>
        <w:tc>
          <w:tcPr>
            <w:tcW w:w="1165" w:type="dxa"/>
            <w:tcBorders>
              <w:top w:val="single" w:sz="4" w:space="0" w:color="auto"/>
              <w:left w:val="single" w:sz="8" w:space="0" w:color="auto"/>
              <w:bottom w:val="single" w:sz="8" w:space="0" w:color="auto"/>
              <w:right w:val="single" w:sz="8" w:space="0" w:color="auto"/>
            </w:tcBorders>
            <w:shd w:val="clear" w:color="auto" w:fill="C6EFCE"/>
            <w:vAlign w:val="center"/>
          </w:tcPr>
          <w:p w14:paraId="480A2A98" w14:textId="77777777" w:rsidR="00025543" w:rsidRDefault="007E3A2F">
            <w:pPr>
              <w:pStyle w:val="P68B1DB1-Normal16"/>
              <w:spacing w:line="240" w:lineRule="auto"/>
              <w:rPr>
                <w:noProof/>
              </w:rPr>
            </w:pPr>
            <w:r>
              <w:rPr>
                <w:noProof/>
              </w:rPr>
              <w:t xml:space="preserve">Réforme 1: Statut de l’artiste </w:t>
            </w:r>
          </w:p>
        </w:tc>
        <w:tc>
          <w:tcPr>
            <w:tcW w:w="1077" w:type="dxa"/>
            <w:tcBorders>
              <w:top w:val="single" w:sz="4" w:space="0" w:color="auto"/>
              <w:left w:val="single" w:sz="8" w:space="0" w:color="auto"/>
              <w:bottom w:val="single" w:sz="8" w:space="0" w:color="auto"/>
              <w:right w:val="single" w:sz="8" w:space="0" w:color="auto"/>
            </w:tcBorders>
            <w:shd w:val="clear" w:color="auto" w:fill="C6EFCE"/>
            <w:vAlign w:val="center"/>
          </w:tcPr>
          <w:p w14:paraId="4910ECE0" w14:textId="77777777" w:rsidR="00025543" w:rsidRDefault="007E3A2F">
            <w:pPr>
              <w:pStyle w:val="P68B1DB1-Normal16"/>
              <w:spacing w:line="240" w:lineRule="auto"/>
              <w:rPr>
                <w:noProof/>
              </w:rPr>
            </w:pPr>
            <w:r>
              <w:rPr>
                <w:noProof/>
              </w:rPr>
              <w:t>Étapes</w:t>
            </w:r>
          </w:p>
        </w:tc>
        <w:tc>
          <w:tcPr>
            <w:tcW w:w="1560" w:type="dxa"/>
            <w:tcBorders>
              <w:top w:val="single" w:sz="4" w:space="0" w:color="auto"/>
              <w:left w:val="single" w:sz="8" w:space="0" w:color="auto"/>
              <w:bottom w:val="single" w:sz="8" w:space="0" w:color="auto"/>
              <w:right w:val="single" w:sz="8" w:space="0" w:color="auto"/>
            </w:tcBorders>
            <w:shd w:val="clear" w:color="auto" w:fill="C6EFCE"/>
            <w:vAlign w:val="center"/>
          </w:tcPr>
          <w:p w14:paraId="295C172E" w14:textId="77777777" w:rsidR="00025543" w:rsidRDefault="007E3A2F">
            <w:pPr>
              <w:pStyle w:val="P68B1DB1-Normal16"/>
              <w:spacing w:line="240" w:lineRule="auto"/>
              <w:rPr>
                <w:noProof/>
              </w:rPr>
            </w:pPr>
            <w:r>
              <w:rPr>
                <w:noProof/>
              </w:rPr>
              <w:t>Entrée en vigueur de la loi sur le statut de l’artiste</w:t>
            </w:r>
          </w:p>
        </w:tc>
        <w:tc>
          <w:tcPr>
            <w:tcW w:w="1559" w:type="dxa"/>
            <w:tcBorders>
              <w:top w:val="single" w:sz="4" w:space="0" w:color="auto"/>
              <w:left w:val="single" w:sz="8" w:space="0" w:color="auto"/>
              <w:bottom w:val="single" w:sz="8" w:space="0" w:color="auto"/>
              <w:right w:val="single" w:sz="8" w:space="0" w:color="auto"/>
            </w:tcBorders>
            <w:shd w:val="clear" w:color="auto" w:fill="C6EFCE"/>
            <w:vAlign w:val="center"/>
          </w:tcPr>
          <w:p w14:paraId="4CF21654" w14:textId="77777777" w:rsidR="00025543" w:rsidRDefault="007E3A2F">
            <w:pPr>
              <w:pStyle w:val="P68B1DB1-Normal16"/>
              <w:spacing w:line="240" w:lineRule="auto"/>
              <w:rPr>
                <w:noProof/>
              </w:rPr>
            </w:pPr>
            <w:r>
              <w:rPr>
                <w:noProof/>
              </w:rPr>
              <w:t>Disposition de la loi sur le statut de l’artiste indiquant l’entrée en vigueur</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7E4F6D74" w14:textId="77777777" w:rsidR="00025543" w:rsidRDefault="00025543">
            <w:pPr>
              <w:spacing w:line="240" w:lineRule="auto"/>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4826EC48" w14:textId="77777777" w:rsidR="00025543" w:rsidRDefault="00025543">
            <w:pPr>
              <w:spacing w:line="240" w:lineRule="auto"/>
              <w:jc w:val="center"/>
              <w:rPr>
                <w:noProof/>
                <w:color w:val="004300"/>
                <w:sz w:val="18"/>
              </w:rPr>
            </w:pP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18436ACA" w14:textId="77777777" w:rsidR="00025543" w:rsidRDefault="00025543">
            <w:pPr>
              <w:spacing w:line="240" w:lineRule="auto"/>
              <w:jc w:val="center"/>
              <w:rPr>
                <w:noProof/>
                <w:color w:val="004300"/>
                <w:sz w:val="18"/>
              </w:rPr>
            </w:pP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6D6478AF" w14:textId="77777777" w:rsidR="00025543" w:rsidRDefault="007E3A2F">
            <w:pPr>
              <w:pStyle w:val="P68B1DB1-Normal16"/>
              <w:spacing w:line="240" w:lineRule="auto"/>
              <w:jc w:val="center"/>
              <w:rPr>
                <w:noProof/>
              </w:rPr>
            </w:pPr>
            <w:r>
              <w:rPr>
                <w:noProof/>
              </w:rPr>
              <w:t>TRIMESTRE 4</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4276BF58" w14:textId="77777777" w:rsidR="00025543" w:rsidRDefault="007E3A2F">
            <w:pPr>
              <w:pStyle w:val="P68B1DB1-Normal16"/>
              <w:spacing w:line="240" w:lineRule="auto"/>
              <w:jc w:val="center"/>
              <w:rPr>
                <w:noProof/>
              </w:rPr>
            </w:pPr>
            <w:r>
              <w:rPr>
                <w:noProof/>
              </w:rPr>
              <w:t>2025</w:t>
            </w:r>
          </w:p>
        </w:tc>
        <w:tc>
          <w:tcPr>
            <w:tcW w:w="4745" w:type="dxa"/>
            <w:tcBorders>
              <w:top w:val="single" w:sz="4" w:space="0" w:color="auto"/>
              <w:left w:val="single" w:sz="8" w:space="0" w:color="auto"/>
              <w:bottom w:val="single" w:sz="8" w:space="0" w:color="auto"/>
              <w:right w:val="single" w:sz="8" w:space="0" w:color="auto"/>
            </w:tcBorders>
            <w:shd w:val="clear" w:color="auto" w:fill="C6EFCE"/>
            <w:vAlign w:val="center"/>
          </w:tcPr>
          <w:p w14:paraId="609770DA" w14:textId="77777777" w:rsidR="00025543" w:rsidRDefault="007E3A2F">
            <w:pPr>
              <w:pStyle w:val="P68B1DB1-Normal16"/>
              <w:spacing w:after="0" w:line="259" w:lineRule="auto"/>
              <w:contextualSpacing/>
              <w:rPr>
                <w:noProof/>
              </w:rPr>
            </w:pPr>
            <w:r>
              <w:rPr>
                <w:noProof/>
              </w:rPr>
              <w:t>La loi sur le statut de l’artiste garantit des conditions de travail stables aux artistes et aux professionnels de la création. La législation est complétée par des documents méthodologiques sur le traitement des professionnels ayant des modalités de travail précaires, l’utilisation équitable de la propriété intellectuelle et le soutien des artistes aux premiers stades de leur carrière.</w:t>
            </w:r>
          </w:p>
        </w:tc>
      </w:tr>
      <w:tr w:rsidR="00025543" w14:paraId="715EE866" w14:textId="77777777">
        <w:trPr>
          <w:trHeight w:val="1369"/>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7459247E" w14:textId="77777777" w:rsidR="00025543" w:rsidRDefault="007E3A2F">
            <w:pPr>
              <w:pStyle w:val="P68B1DB1-Normal16"/>
              <w:spacing w:line="240" w:lineRule="auto"/>
              <w:jc w:val="center"/>
              <w:rPr>
                <w:noProof/>
              </w:rPr>
            </w:pPr>
            <w:r>
              <w:rPr>
                <w:noProof/>
              </w:rPr>
              <w:t>218</w:t>
            </w:r>
          </w:p>
        </w:tc>
        <w:tc>
          <w:tcPr>
            <w:tcW w:w="1165" w:type="dxa"/>
            <w:tcBorders>
              <w:top w:val="single" w:sz="8" w:space="0" w:color="auto"/>
              <w:left w:val="single" w:sz="8" w:space="0" w:color="auto"/>
              <w:bottom w:val="single" w:sz="8" w:space="0" w:color="auto"/>
              <w:right w:val="single" w:sz="8" w:space="0" w:color="auto"/>
            </w:tcBorders>
            <w:shd w:val="clear" w:color="auto" w:fill="C6EFCE"/>
            <w:vAlign w:val="center"/>
          </w:tcPr>
          <w:p w14:paraId="1AD9FE98" w14:textId="77777777" w:rsidR="00025543" w:rsidRDefault="007E3A2F">
            <w:pPr>
              <w:pStyle w:val="P68B1DB1-Normal16"/>
              <w:spacing w:line="240" w:lineRule="auto"/>
              <w:rPr>
                <w:noProof/>
              </w:rPr>
            </w:pPr>
            <w:r>
              <w:rPr>
                <w:noProof/>
              </w:rPr>
              <w:t>Réforme 1: Statut de l’artiste</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808DAC5" w14:textId="77777777" w:rsidR="00025543" w:rsidRDefault="007E3A2F">
            <w:pPr>
              <w:pStyle w:val="P68B1DB1-Normal16"/>
              <w:spacing w:line="240" w:lineRule="auto"/>
              <w:rPr>
                <w:noProof/>
              </w:rPr>
            </w:pPr>
            <w:r>
              <w:rPr>
                <w:noProof/>
              </w:rPr>
              <w:t>Cible</w:t>
            </w:r>
          </w:p>
        </w:tc>
        <w:tc>
          <w:tcPr>
            <w:tcW w:w="1560" w:type="dxa"/>
            <w:tcBorders>
              <w:top w:val="single" w:sz="8" w:space="0" w:color="auto"/>
              <w:left w:val="single" w:sz="8" w:space="0" w:color="auto"/>
              <w:bottom w:val="single" w:sz="8" w:space="0" w:color="auto"/>
              <w:right w:val="single" w:sz="8" w:space="0" w:color="auto"/>
            </w:tcBorders>
            <w:shd w:val="clear" w:color="auto" w:fill="C6EFCE"/>
            <w:vAlign w:val="center"/>
          </w:tcPr>
          <w:p w14:paraId="46BD9155" w14:textId="77777777" w:rsidR="00025543" w:rsidRDefault="007E3A2F">
            <w:pPr>
              <w:pStyle w:val="P68B1DB1-Normal16"/>
              <w:spacing w:line="240" w:lineRule="auto"/>
              <w:rPr>
                <w:noProof/>
              </w:rPr>
            </w:pPr>
            <w:r>
              <w:rPr>
                <w:noProof/>
              </w:rPr>
              <w:t>Nombre de professionnels de la culture et de la création soutenus par l’offre de compétences</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14:paraId="717D3494" w14:textId="77777777" w:rsidR="00025543" w:rsidRDefault="00025543">
            <w:pPr>
              <w:spacing w:line="240" w:lineRule="auto"/>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B5715A3" w14:textId="77777777" w:rsidR="00025543" w:rsidRDefault="007E3A2F">
            <w:pPr>
              <w:pStyle w:val="P68B1DB1-Normal16"/>
              <w:spacing w:line="240" w:lineRule="auto"/>
              <w:rPr>
                <w:noProof/>
              </w:rPr>
            </w:pPr>
            <w:r>
              <w:rPr>
                <w:noProof/>
              </w:rPr>
              <w:t xml:space="preserve">Numéro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6E6026F" w14:textId="77777777" w:rsidR="00025543" w:rsidRDefault="007E3A2F">
            <w:pPr>
              <w:pStyle w:val="P68B1DB1-Normal16"/>
              <w:spacing w:line="240" w:lineRule="auto"/>
              <w:jc w:val="center"/>
              <w:rPr>
                <w:noProof/>
              </w:rPr>
            </w:pPr>
            <w:r>
              <w:rPr>
                <w:noProof/>
              </w:rPr>
              <w:t>0</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40F8054F" w14:textId="77777777" w:rsidR="00025543" w:rsidRDefault="007E3A2F">
            <w:pPr>
              <w:pStyle w:val="P68B1DB1-Normal16"/>
              <w:spacing w:line="240" w:lineRule="auto"/>
              <w:jc w:val="center"/>
              <w:rPr>
                <w:noProof/>
              </w:rPr>
            </w:pPr>
            <w:r>
              <w:rPr>
                <w:noProof/>
              </w:rPr>
              <w:t>2000</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05F08F41" w14:textId="77777777" w:rsidR="00025543" w:rsidRDefault="007E3A2F">
            <w:pPr>
              <w:pStyle w:val="P68B1DB1-Normal16"/>
              <w:spacing w:line="240" w:lineRule="auto"/>
              <w:jc w:val="center"/>
              <w:rPr>
                <w:noProof/>
              </w:rPr>
            </w:pPr>
            <w:r>
              <w:rPr>
                <w:noProof/>
              </w:rPr>
              <w:t>TRIMESTRE 4</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78B46523" w14:textId="77777777" w:rsidR="00025543" w:rsidRDefault="007E3A2F">
            <w:pPr>
              <w:pStyle w:val="P68B1DB1-Normal16"/>
              <w:spacing w:line="240" w:lineRule="auto"/>
              <w:jc w:val="center"/>
              <w:rPr>
                <w:noProof/>
              </w:rPr>
            </w:pPr>
            <w:r>
              <w:rPr>
                <w:noProof/>
              </w:rPr>
              <w:t>2024</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3B98D638" w14:textId="77777777" w:rsidR="00025543" w:rsidRDefault="007E3A2F">
            <w:pPr>
              <w:pStyle w:val="P68B1DB1-Normal16"/>
              <w:spacing w:before="0" w:after="0" w:line="240" w:lineRule="auto"/>
              <w:rPr>
                <w:noProof/>
              </w:rPr>
            </w:pPr>
            <w:r>
              <w:rPr>
                <w:noProof/>
              </w:rPr>
              <w:t xml:space="preserve">L’aide est acheminée par l’intermédiaire d’un programme de subventions doté d’une enveloppe totale de 27 100 000 EUR). Le développement des compétences est axé sur les compétences numériques, financières et de gestion, les innovations culturelles, l’internationalisation et la promotion des liens entre l’art et la culture avec le secteur de l’éducation.  </w:t>
            </w:r>
          </w:p>
        </w:tc>
      </w:tr>
      <w:tr w:rsidR="00025543" w14:paraId="5264F7ED"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61068AE3" w14:textId="77777777" w:rsidR="00025543" w:rsidRDefault="007E3A2F">
            <w:pPr>
              <w:pStyle w:val="P68B1DB1-Normal16"/>
              <w:spacing w:line="240" w:lineRule="auto"/>
              <w:jc w:val="center"/>
              <w:rPr>
                <w:noProof/>
              </w:rPr>
            </w:pPr>
            <w:r>
              <w:rPr>
                <w:noProof/>
              </w:rPr>
              <w:t>219</w:t>
            </w:r>
          </w:p>
        </w:tc>
        <w:tc>
          <w:tcPr>
            <w:tcW w:w="1165" w:type="dxa"/>
            <w:tcBorders>
              <w:top w:val="single" w:sz="8" w:space="0" w:color="auto"/>
              <w:left w:val="single" w:sz="8" w:space="0" w:color="auto"/>
              <w:bottom w:val="single" w:sz="8" w:space="0" w:color="auto"/>
              <w:right w:val="single" w:sz="8" w:space="0" w:color="auto"/>
            </w:tcBorders>
            <w:shd w:val="clear" w:color="auto" w:fill="C6EFCE"/>
            <w:vAlign w:val="center"/>
          </w:tcPr>
          <w:p w14:paraId="530B0DCA" w14:textId="77777777" w:rsidR="00025543" w:rsidRDefault="007E3A2F">
            <w:pPr>
              <w:pStyle w:val="P68B1DB1-Normal16"/>
              <w:spacing w:line="240" w:lineRule="auto"/>
              <w:rPr>
                <w:noProof/>
              </w:rPr>
            </w:pPr>
            <w:r>
              <w:rPr>
                <w:noProof/>
              </w:rPr>
              <w:t>Investissement 1: Développement des secteurs régionaux de la culture et de la création</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A1CEABA" w14:textId="77777777" w:rsidR="00025543" w:rsidRDefault="007E3A2F">
            <w:pPr>
              <w:pStyle w:val="P68B1DB1-Normal16"/>
              <w:spacing w:line="240" w:lineRule="auto"/>
              <w:rPr>
                <w:noProof/>
              </w:rPr>
            </w:pPr>
            <w:r>
              <w:rPr>
                <w:noProof/>
              </w:rPr>
              <w:t>Cible</w:t>
            </w:r>
          </w:p>
        </w:tc>
        <w:tc>
          <w:tcPr>
            <w:tcW w:w="1560" w:type="dxa"/>
            <w:tcBorders>
              <w:top w:val="single" w:sz="8" w:space="0" w:color="auto"/>
              <w:left w:val="single" w:sz="8" w:space="0" w:color="auto"/>
              <w:bottom w:val="single" w:sz="8" w:space="0" w:color="auto"/>
              <w:right w:val="single" w:sz="8" w:space="0" w:color="auto"/>
            </w:tcBorders>
            <w:shd w:val="clear" w:color="auto" w:fill="C6EFCE"/>
            <w:vAlign w:val="center"/>
          </w:tcPr>
          <w:p w14:paraId="7265D46F" w14:textId="77777777" w:rsidR="00025543" w:rsidRDefault="007E3A2F">
            <w:pPr>
              <w:pStyle w:val="P68B1DB1-Normal16"/>
              <w:spacing w:line="240" w:lineRule="auto"/>
              <w:rPr>
                <w:noProof/>
              </w:rPr>
            </w:pPr>
            <w:r>
              <w:rPr>
                <w:noProof/>
              </w:rPr>
              <w:t>Ouverture de nouveaux centres culturels et créatifs régionaux au public</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14:paraId="4793919F" w14:textId="77777777" w:rsidR="00025543" w:rsidRDefault="00025543">
            <w:pPr>
              <w:spacing w:line="240" w:lineRule="auto"/>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3465ECD" w14:textId="77777777" w:rsidR="00025543" w:rsidRDefault="007E3A2F">
            <w:pPr>
              <w:pStyle w:val="P68B1DB1-Normal16"/>
              <w:spacing w:line="240" w:lineRule="auto"/>
              <w:rPr>
                <w:noProof/>
              </w:rPr>
            </w:pPr>
            <w:r>
              <w:rPr>
                <w:noProof/>
              </w:rPr>
              <w:t>Numéro</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DAF9060" w14:textId="77777777" w:rsidR="00025543" w:rsidRDefault="007E3A2F">
            <w:pPr>
              <w:pStyle w:val="P68B1DB1-Normal16"/>
              <w:spacing w:line="240" w:lineRule="auto"/>
              <w:jc w:val="center"/>
              <w:rPr>
                <w:noProof/>
              </w:rPr>
            </w:pPr>
            <w:r>
              <w:rPr>
                <w:noProof/>
              </w:rPr>
              <w:t>0</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13428BAC" w14:textId="77777777" w:rsidR="00025543" w:rsidRDefault="007E3A2F">
            <w:pPr>
              <w:pStyle w:val="P68B1DB1-Normal16"/>
              <w:spacing w:line="240" w:lineRule="auto"/>
              <w:jc w:val="center"/>
              <w:rPr>
                <w:noProof/>
              </w:rPr>
            </w:pPr>
            <w:r>
              <w:rPr>
                <w:noProof/>
              </w:rPr>
              <w:t>15</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7AF4F2F6" w14:textId="77777777" w:rsidR="00025543" w:rsidRDefault="007E3A2F">
            <w:pPr>
              <w:pStyle w:val="P68B1DB1-Normal16"/>
              <w:spacing w:line="240" w:lineRule="auto"/>
              <w:jc w:val="center"/>
              <w:rPr>
                <w:noProof/>
              </w:rPr>
            </w:pPr>
            <w:r>
              <w:rPr>
                <w:noProof/>
              </w:rPr>
              <w:t xml:space="preserve">  TRIMESTRE 4</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2219D163" w14:textId="77777777" w:rsidR="00025543" w:rsidRDefault="007E3A2F">
            <w:pPr>
              <w:pStyle w:val="P68B1DB1-Normal16"/>
              <w:spacing w:line="240" w:lineRule="auto"/>
              <w:jc w:val="center"/>
              <w:rPr>
                <w:noProof/>
              </w:rPr>
            </w:pPr>
            <w:r>
              <w:rPr>
                <w:noProof/>
              </w:rPr>
              <w:t>2025</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53828CEB" w14:textId="77777777" w:rsidR="00025543" w:rsidRDefault="007E3A2F">
            <w:pPr>
              <w:pStyle w:val="P68B1DB1-Normal16"/>
              <w:spacing w:after="0" w:line="259" w:lineRule="auto"/>
              <w:contextualSpacing/>
              <w:rPr>
                <w:i/>
                <w:noProof/>
              </w:rPr>
            </w:pPr>
            <w:r>
              <w:rPr>
                <w:noProof/>
              </w:rPr>
              <w:t>Au moins 15 centres régionaux de la culture et de la création sont soutenus et ouverts au public. L’aide est acheminée par l’intermédiaire d’un programme de subventions doté d’une enveloppe totale de 125 677 000 EUR. La préférence est accordée aux projets qui revitalisent des objets existants, contribuent à la restauration du patrimoine culturel et respectent les objectifs climatiques. La sélection des projets respecte l’équilibre géographique. Au sein de chaque région, la préférence est accordée aux zones structurellement défavorisées et aux zones souffrant d’un manque d’infrastructures culturelles.</w:t>
            </w:r>
          </w:p>
        </w:tc>
      </w:tr>
      <w:tr w:rsidR="00025543" w14:paraId="04BA97EC" w14:textId="77777777">
        <w:trPr>
          <w:trHeight w:val="373"/>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06880FCD" w14:textId="77777777" w:rsidR="00025543" w:rsidRDefault="007E3A2F">
            <w:pPr>
              <w:pStyle w:val="P68B1DB1-Normal16"/>
              <w:spacing w:line="240" w:lineRule="auto"/>
              <w:jc w:val="center"/>
              <w:rPr>
                <w:noProof/>
              </w:rPr>
            </w:pPr>
            <w:r>
              <w:rPr>
                <w:noProof/>
              </w:rPr>
              <w:t>220</w:t>
            </w:r>
          </w:p>
        </w:tc>
        <w:tc>
          <w:tcPr>
            <w:tcW w:w="1165" w:type="dxa"/>
            <w:tcBorders>
              <w:top w:val="single" w:sz="8" w:space="0" w:color="auto"/>
              <w:left w:val="single" w:sz="8" w:space="0" w:color="auto"/>
              <w:bottom w:val="single" w:sz="8" w:space="0" w:color="auto"/>
              <w:right w:val="single" w:sz="8" w:space="0" w:color="auto"/>
            </w:tcBorders>
            <w:shd w:val="clear" w:color="auto" w:fill="C6EFCE"/>
            <w:vAlign w:val="center"/>
          </w:tcPr>
          <w:p w14:paraId="2CD2D0A3" w14:textId="77777777" w:rsidR="00025543" w:rsidRDefault="007E3A2F">
            <w:pPr>
              <w:pStyle w:val="P68B1DB1-Normal16"/>
              <w:spacing w:line="240" w:lineRule="auto"/>
              <w:rPr>
                <w:noProof/>
              </w:rPr>
            </w:pPr>
            <w:r>
              <w:rPr>
                <w:noProof/>
              </w:rPr>
              <w:t>Réforme 2: Réforme législative introduisant un financement multisources des institutions culturelles</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E9ADAA7" w14:textId="77777777" w:rsidR="00025543" w:rsidRDefault="007E3A2F">
            <w:pPr>
              <w:pStyle w:val="P68B1DB1-Normal16"/>
              <w:spacing w:line="240" w:lineRule="auto"/>
              <w:rPr>
                <w:noProof/>
              </w:rPr>
            </w:pPr>
            <w:r>
              <w:rPr>
                <w:noProof/>
              </w:rPr>
              <w:t>Étapes</w:t>
            </w:r>
          </w:p>
        </w:tc>
        <w:tc>
          <w:tcPr>
            <w:tcW w:w="1560" w:type="dxa"/>
            <w:tcBorders>
              <w:top w:val="single" w:sz="8" w:space="0" w:color="auto"/>
              <w:left w:val="single" w:sz="8" w:space="0" w:color="auto"/>
              <w:bottom w:val="single" w:sz="8" w:space="0" w:color="auto"/>
              <w:right w:val="single" w:sz="8" w:space="0" w:color="auto"/>
            </w:tcBorders>
            <w:shd w:val="clear" w:color="auto" w:fill="C6EFCE"/>
            <w:vAlign w:val="center"/>
          </w:tcPr>
          <w:p w14:paraId="05C2FF8E" w14:textId="77777777" w:rsidR="00025543" w:rsidRDefault="007E3A2F">
            <w:pPr>
              <w:pStyle w:val="P68B1DB1-Normal16"/>
              <w:spacing w:line="240" w:lineRule="auto"/>
              <w:rPr>
                <w:noProof/>
              </w:rPr>
            </w:pPr>
            <w:r>
              <w:rPr>
                <w:noProof/>
              </w:rPr>
              <w:t xml:space="preserve">Entrée en vigueur d’une modification législative permettant un financement coopératif multisources de la culture </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14:paraId="24D2979F" w14:textId="77777777" w:rsidR="00025543" w:rsidRDefault="007E3A2F">
            <w:pPr>
              <w:pStyle w:val="P68B1DB1-Normal16"/>
              <w:spacing w:line="240" w:lineRule="auto"/>
              <w:rPr>
                <w:noProof/>
              </w:rPr>
            </w:pPr>
            <w:r>
              <w:rPr>
                <w:noProof/>
              </w:rPr>
              <w:t xml:space="preserve">Disposition de l’amendement législatif autorisant un financement coopératif multisources de la culture, indiquant l’entrée en vigueur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E0F689B" w14:textId="77777777" w:rsidR="00025543" w:rsidRDefault="00025543">
            <w:pPr>
              <w:spacing w:line="240" w:lineRule="auto"/>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702CE4D6" w14:textId="77777777" w:rsidR="00025543" w:rsidRDefault="00025543">
            <w:pPr>
              <w:spacing w:line="240" w:lineRule="auto"/>
              <w:jc w:val="center"/>
              <w:rPr>
                <w:noProof/>
                <w:color w:val="004300"/>
                <w:sz w:val="18"/>
              </w:rPr>
            </w:pP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0553E07B" w14:textId="77777777" w:rsidR="00025543" w:rsidRDefault="00025543">
            <w:pPr>
              <w:spacing w:line="240" w:lineRule="auto"/>
              <w:jc w:val="center"/>
              <w:rPr>
                <w:noProof/>
                <w:color w:val="004300"/>
                <w:sz w:val="18"/>
              </w:rPr>
            </w:pP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7DD7702C" w14:textId="77777777" w:rsidR="00025543" w:rsidRDefault="007E3A2F">
            <w:pPr>
              <w:pStyle w:val="P68B1DB1-Normal16"/>
              <w:spacing w:line="240" w:lineRule="auto"/>
              <w:jc w:val="center"/>
              <w:rPr>
                <w:noProof/>
              </w:rPr>
            </w:pPr>
            <w:r>
              <w:rPr>
                <w:noProof/>
              </w:rPr>
              <w:t>TRIMESTRE 4</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4CF74F9B" w14:textId="77777777" w:rsidR="00025543" w:rsidRDefault="007E3A2F">
            <w:pPr>
              <w:pStyle w:val="P68B1DB1-Normal16"/>
              <w:spacing w:line="240" w:lineRule="auto"/>
              <w:jc w:val="center"/>
              <w:rPr>
                <w:noProof/>
              </w:rPr>
            </w:pPr>
            <w:r>
              <w:rPr>
                <w:noProof/>
              </w:rPr>
              <w:t>2024</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46B5BE75" w14:textId="77777777" w:rsidR="00025543" w:rsidRDefault="007E3A2F">
            <w:pPr>
              <w:pStyle w:val="P68B1DB1-Normal16"/>
              <w:spacing w:after="0" w:line="240" w:lineRule="auto"/>
              <w:rPr>
                <w:noProof/>
              </w:rPr>
            </w:pPr>
            <w:r>
              <w:rPr>
                <w:noProof/>
              </w:rPr>
              <w:t xml:space="preserve">La modification législative: </w:t>
            </w:r>
          </w:p>
          <w:p w14:paraId="45585D7A" w14:textId="77777777" w:rsidR="00025543" w:rsidRDefault="007E3A2F">
            <w:pPr>
              <w:pStyle w:val="P68B1DB1-Normal16"/>
              <w:numPr>
                <w:ilvl w:val="0"/>
                <w:numId w:val="191"/>
              </w:numPr>
              <w:pBdr>
                <w:top w:val="nil"/>
                <w:left w:val="nil"/>
                <w:bottom w:val="nil"/>
                <w:right w:val="nil"/>
                <w:between w:val="nil"/>
              </w:pBdr>
              <w:spacing w:after="0" w:line="259" w:lineRule="auto"/>
              <w:rPr>
                <w:noProof/>
              </w:rPr>
            </w:pPr>
            <w:r>
              <w:rPr>
                <w:noProof/>
              </w:rPr>
              <w:t xml:space="preserve">permettre un financement multisources de la culture </w:t>
            </w:r>
          </w:p>
          <w:p w14:paraId="6A06FC64" w14:textId="77777777" w:rsidR="00025543" w:rsidRDefault="007E3A2F">
            <w:pPr>
              <w:pStyle w:val="P68B1DB1-Normal16"/>
              <w:numPr>
                <w:ilvl w:val="0"/>
                <w:numId w:val="191"/>
              </w:numPr>
              <w:pBdr>
                <w:top w:val="nil"/>
                <w:left w:val="nil"/>
                <w:bottom w:val="nil"/>
                <w:right w:val="nil"/>
                <w:between w:val="nil"/>
              </w:pBdr>
              <w:spacing w:after="0" w:line="259" w:lineRule="auto"/>
              <w:rPr>
                <w:noProof/>
              </w:rPr>
            </w:pPr>
            <w:r>
              <w:rPr>
                <w:noProof/>
              </w:rPr>
              <w:t>simplifier la coopération entre les villes, les régions et l’État</w:t>
            </w:r>
          </w:p>
          <w:p w14:paraId="290D77D3" w14:textId="77777777" w:rsidR="00025543" w:rsidRDefault="007E3A2F">
            <w:pPr>
              <w:pStyle w:val="P68B1DB1-Normal16"/>
              <w:numPr>
                <w:ilvl w:val="0"/>
                <w:numId w:val="191"/>
              </w:numPr>
              <w:pBdr>
                <w:top w:val="nil"/>
                <w:left w:val="nil"/>
                <w:bottom w:val="nil"/>
                <w:right w:val="nil"/>
                <w:between w:val="nil"/>
              </w:pBdr>
              <w:spacing w:after="0" w:line="259" w:lineRule="auto"/>
              <w:rPr>
                <w:noProof/>
              </w:rPr>
            </w:pPr>
            <w:r>
              <w:rPr>
                <w:noProof/>
              </w:rPr>
              <w:t xml:space="preserve">renforcer la viabilité financière des institutions culturelles  </w:t>
            </w:r>
          </w:p>
        </w:tc>
      </w:tr>
      <w:tr w:rsidR="00025543" w14:paraId="2BFE22F5" w14:textId="77777777">
        <w:trPr>
          <w:trHeight w:val="324"/>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0562EA0B" w14:textId="77777777" w:rsidR="00025543" w:rsidRDefault="007E3A2F">
            <w:pPr>
              <w:pStyle w:val="P68B1DB1-Normal16"/>
              <w:spacing w:line="240" w:lineRule="auto"/>
              <w:jc w:val="center"/>
              <w:rPr>
                <w:noProof/>
              </w:rPr>
            </w:pPr>
            <w:r>
              <w:rPr>
                <w:noProof/>
              </w:rPr>
              <w:t>221</w:t>
            </w:r>
          </w:p>
        </w:tc>
        <w:tc>
          <w:tcPr>
            <w:tcW w:w="1165" w:type="dxa"/>
            <w:tcBorders>
              <w:top w:val="single" w:sz="8" w:space="0" w:color="auto"/>
              <w:left w:val="single" w:sz="8" w:space="0" w:color="auto"/>
              <w:bottom w:val="single" w:sz="8" w:space="0" w:color="auto"/>
              <w:right w:val="single" w:sz="8" w:space="0" w:color="auto"/>
            </w:tcBorders>
            <w:shd w:val="clear" w:color="auto" w:fill="C6EFCE"/>
            <w:vAlign w:val="center"/>
          </w:tcPr>
          <w:p w14:paraId="3EB9490A" w14:textId="77777777" w:rsidR="00025543" w:rsidRDefault="007E3A2F">
            <w:pPr>
              <w:pStyle w:val="P68B1DB1-Normal16"/>
              <w:spacing w:line="240" w:lineRule="auto"/>
              <w:rPr>
                <w:noProof/>
              </w:rPr>
            </w:pPr>
            <w:r>
              <w:rPr>
                <w:noProof/>
              </w:rPr>
              <w:t>Investissement 2: Numérisation des secteurs de la culture et de la création</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533E271" w14:textId="77777777" w:rsidR="00025543" w:rsidRDefault="007E3A2F">
            <w:pPr>
              <w:pStyle w:val="P68B1DB1-Normal16"/>
              <w:spacing w:line="240" w:lineRule="auto"/>
              <w:rPr>
                <w:noProof/>
              </w:rPr>
            </w:pPr>
            <w:r>
              <w:rPr>
                <w:noProof/>
              </w:rPr>
              <w:t>Cible</w:t>
            </w:r>
          </w:p>
        </w:tc>
        <w:tc>
          <w:tcPr>
            <w:tcW w:w="1560" w:type="dxa"/>
            <w:tcBorders>
              <w:top w:val="single" w:sz="8" w:space="0" w:color="auto"/>
              <w:left w:val="single" w:sz="8" w:space="0" w:color="auto"/>
              <w:bottom w:val="single" w:sz="8" w:space="0" w:color="auto"/>
              <w:right w:val="single" w:sz="8" w:space="0" w:color="auto"/>
            </w:tcBorders>
            <w:shd w:val="clear" w:color="auto" w:fill="C6EFCE"/>
            <w:vAlign w:val="center"/>
          </w:tcPr>
          <w:p w14:paraId="1282F2C7" w14:textId="77777777" w:rsidR="00025543" w:rsidRDefault="007E3A2F">
            <w:pPr>
              <w:pStyle w:val="P68B1DB1-Normal16"/>
              <w:spacing w:line="240" w:lineRule="auto"/>
              <w:rPr>
                <w:noProof/>
              </w:rPr>
            </w:pPr>
            <w:r>
              <w:rPr>
                <w:noProof/>
              </w:rPr>
              <w:t>Nombre de projets de numérisation du contenu culturel achevés</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14:paraId="44A87B15" w14:textId="77777777" w:rsidR="00025543" w:rsidRDefault="00025543">
            <w:pPr>
              <w:spacing w:line="240" w:lineRule="auto"/>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E86B6B7" w14:textId="77777777" w:rsidR="00025543" w:rsidRDefault="007E3A2F">
            <w:pPr>
              <w:pStyle w:val="P68B1DB1-Normal16"/>
              <w:spacing w:line="240" w:lineRule="auto"/>
              <w:rPr>
                <w:noProof/>
              </w:rPr>
            </w:pPr>
            <w:r>
              <w:rPr>
                <w:noProof/>
              </w:rPr>
              <w:t xml:space="preserve">Numéro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11C350A" w14:textId="77777777" w:rsidR="00025543" w:rsidRDefault="007E3A2F">
            <w:pPr>
              <w:pStyle w:val="P68B1DB1-Normal16"/>
              <w:spacing w:line="240" w:lineRule="auto"/>
              <w:jc w:val="center"/>
              <w:rPr>
                <w:noProof/>
              </w:rPr>
            </w:pPr>
            <w:r>
              <w:rPr>
                <w:noProof/>
              </w:rPr>
              <w:t>0</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122BA112" w14:textId="77777777" w:rsidR="00025543" w:rsidRDefault="007E3A2F">
            <w:pPr>
              <w:pStyle w:val="P68B1DB1-Normal16"/>
              <w:spacing w:line="240" w:lineRule="auto"/>
              <w:jc w:val="center"/>
              <w:rPr>
                <w:noProof/>
              </w:rPr>
            </w:pPr>
            <w:r>
              <w:rPr>
                <w:noProof/>
              </w:rPr>
              <w:t>80</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2ECEDA40" w14:textId="77777777" w:rsidR="00025543" w:rsidRDefault="007E3A2F">
            <w:pPr>
              <w:pStyle w:val="P68B1DB1-Normal16"/>
              <w:spacing w:line="240" w:lineRule="auto"/>
              <w:jc w:val="center"/>
              <w:rPr>
                <w:rFonts w:eastAsia="Times New Roman"/>
                <w:noProof/>
              </w:rPr>
            </w:pPr>
            <w:r>
              <w:rPr>
                <w:noProof/>
              </w:rPr>
              <w:t xml:space="preserve">   TRIMESTRE 4</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50979141" w14:textId="77777777" w:rsidR="00025543" w:rsidRDefault="007E3A2F">
            <w:pPr>
              <w:pStyle w:val="P68B1DB1-Normal16"/>
              <w:spacing w:line="240" w:lineRule="auto"/>
              <w:jc w:val="center"/>
              <w:rPr>
                <w:noProof/>
              </w:rPr>
            </w:pPr>
            <w:r>
              <w:rPr>
                <w:noProof/>
              </w:rPr>
              <w:t>2025</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61AC59CE" w14:textId="77777777" w:rsidR="00025543" w:rsidRDefault="007E3A2F">
            <w:pPr>
              <w:pStyle w:val="P68B1DB1-Normal16"/>
              <w:spacing w:line="240" w:lineRule="auto"/>
              <w:rPr>
                <w:noProof/>
              </w:rPr>
            </w:pPr>
            <w:r>
              <w:rPr>
                <w:noProof/>
              </w:rPr>
              <w:t xml:space="preserve">Le régime de subvention soutient au moins 80 projets de numérisation du contenu culturel, la préférence étant accordée aux projets permettant le partage d’équipements et de capacités. Une méthodologie pour une numérisation efficace du contenu culturel est mise à la disposition des institutions culturelles, en s’appuyant sur les meilleures pratiques en la matière. Le budget total exécuté à cette fin s’élève à 31 419 000 EUR. </w:t>
            </w:r>
          </w:p>
        </w:tc>
      </w:tr>
      <w:tr w:rsidR="00025543" w14:paraId="1BFF57A4" w14:textId="77777777">
        <w:trPr>
          <w:trHeight w:val="1144"/>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4F8FD2CA" w14:textId="77777777" w:rsidR="00025543" w:rsidRDefault="007E3A2F">
            <w:pPr>
              <w:pStyle w:val="P68B1DB1-Normal16"/>
              <w:spacing w:line="240" w:lineRule="auto"/>
              <w:jc w:val="center"/>
              <w:rPr>
                <w:noProof/>
              </w:rPr>
            </w:pPr>
            <w:r>
              <w:rPr>
                <w:noProof/>
              </w:rPr>
              <w:t>222</w:t>
            </w:r>
          </w:p>
        </w:tc>
        <w:tc>
          <w:tcPr>
            <w:tcW w:w="1165" w:type="dxa"/>
            <w:tcBorders>
              <w:top w:val="single" w:sz="8" w:space="0" w:color="auto"/>
              <w:left w:val="single" w:sz="8" w:space="0" w:color="auto"/>
              <w:bottom w:val="single" w:sz="8" w:space="0" w:color="auto"/>
              <w:right w:val="single" w:sz="8" w:space="0" w:color="auto"/>
            </w:tcBorders>
            <w:shd w:val="clear" w:color="auto" w:fill="C6EFCE"/>
            <w:vAlign w:val="center"/>
          </w:tcPr>
          <w:p w14:paraId="5B967BA7" w14:textId="77777777" w:rsidR="00025543" w:rsidRDefault="007E3A2F">
            <w:pPr>
              <w:pStyle w:val="P68B1DB1-Normal16"/>
              <w:spacing w:line="240" w:lineRule="auto"/>
              <w:rPr>
                <w:noProof/>
              </w:rPr>
            </w:pPr>
            <w:r>
              <w:rPr>
                <w:noProof/>
              </w:rPr>
              <w:t>Investissement 3: Chèques créatifs</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712A191" w14:textId="77777777" w:rsidR="00025543" w:rsidRDefault="007E3A2F">
            <w:pPr>
              <w:pStyle w:val="P68B1DB1-Normal16"/>
              <w:spacing w:line="240" w:lineRule="auto"/>
              <w:rPr>
                <w:noProof/>
              </w:rPr>
            </w:pPr>
            <w:r>
              <w:rPr>
                <w:noProof/>
              </w:rPr>
              <w:t>Cible</w:t>
            </w:r>
          </w:p>
        </w:tc>
        <w:tc>
          <w:tcPr>
            <w:tcW w:w="1560" w:type="dxa"/>
            <w:tcBorders>
              <w:top w:val="single" w:sz="8" w:space="0" w:color="auto"/>
              <w:left w:val="single" w:sz="8" w:space="0" w:color="auto"/>
              <w:bottom w:val="single" w:sz="8" w:space="0" w:color="auto"/>
              <w:right w:val="single" w:sz="8" w:space="0" w:color="auto"/>
            </w:tcBorders>
            <w:shd w:val="clear" w:color="auto" w:fill="C6EFCE"/>
            <w:vAlign w:val="center"/>
          </w:tcPr>
          <w:p w14:paraId="60CD00BB" w14:textId="77777777" w:rsidR="00025543" w:rsidRDefault="007E3A2F">
            <w:pPr>
              <w:pStyle w:val="P68B1DB1-Normal16"/>
              <w:spacing w:line="240" w:lineRule="auto"/>
              <w:rPr>
                <w:noProof/>
              </w:rPr>
            </w:pPr>
            <w:r>
              <w:rPr>
                <w:noProof/>
              </w:rPr>
              <w:t xml:space="preserve">Nombre de chèques créatifs attribués aux PME </w:t>
            </w:r>
          </w:p>
        </w:tc>
        <w:tc>
          <w:tcPr>
            <w:tcW w:w="1559" w:type="dxa"/>
            <w:tcBorders>
              <w:top w:val="single" w:sz="8" w:space="0" w:color="auto"/>
              <w:left w:val="single" w:sz="8" w:space="0" w:color="auto"/>
              <w:bottom w:val="single" w:sz="8" w:space="0" w:color="auto"/>
              <w:right w:val="single" w:sz="8" w:space="0" w:color="auto"/>
            </w:tcBorders>
            <w:shd w:val="clear" w:color="auto" w:fill="C6EFCE"/>
            <w:vAlign w:val="center"/>
          </w:tcPr>
          <w:p w14:paraId="33A1E398" w14:textId="77777777" w:rsidR="00025543" w:rsidRDefault="00025543">
            <w:pPr>
              <w:spacing w:line="240" w:lineRule="auto"/>
              <w:rPr>
                <w:noProof/>
                <w:color w:val="0043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4A51A01" w14:textId="77777777" w:rsidR="00025543" w:rsidRDefault="007E3A2F">
            <w:pPr>
              <w:pStyle w:val="P68B1DB1-Normal16"/>
              <w:spacing w:line="240" w:lineRule="auto"/>
              <w:rPr>
                <w:noProof/>
              </w:rPr>
            </w:pPr>
            <w:r>
              <w:rPr>
                <w:noProof/>
              </w:rPr>
              <w:t xml:space="preserve">Numéro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CE385C3" w14:textId="77777777" w:rsidR="00025543" w:rsidRDefault="007E3A2F">
            <w:pPr>
              <w:pStyle w:val="P68B1DB1-Normal16"/>
              <w:spacing w:line="240" w:lineRule="auto"/>
              <w:jc w:val="center"/>
              <w:rPr>
                <w:noProof/>
              </w:rPr>
            </w:pPr>
            <w:r>
              <w:rPr>
                <w:noProof/>
              </w:rPr>
              <w:t>0</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2F8F44CF" w14:textId="77777777" w:rsidR="00025543" w:rsidRDefault="007E3A2F">
            <w:pPr>
              <w:pStyle w:val="P68B1DB1-Normal16"/>
              <w:spacing w:line="240" w:lineRule="auto"/>
              <w:jc w:val="center"/>
              <w:rPr>
                <w:noProof/>
              </w:rPr>
            </w:pPr>
            <w:r>
              <w:rPr>
                <w:noProof/>
              </w:rPr>
              <w:t>3300</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264F912B" w14:textId="77777777" w:rsidR="00025543" w:rsidRDefault="007E3A2F">
            <w:pPr>
              <w:pStyle w:val="P68B1DB1-Normal16"/>
              <w:spacing w:line="240" w:lineRule="auto"/>
              <w:jc w:val="center"/>
              <w:rPr>
                <w:rFonts w:eastAsia="Times New Roman"/>
                <w:noProof/>
              </w:rPr>
            </w:pPr>
            <w:r>
              <w:rPr>
                <w:noProof/>
              </w:rPr>
              <w:t>TRIMESTRE 4</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5580DB89" w14:textId="77777777" w:rsidR="00025543" w:rsidRDefault="007E3A2F">
            <w:pPr>
              <w:pStyle w:val="P68B1DB1-Normal16"/>
              <w:spacing w:line="240" w:lineRule="auto"/>
              <w:jc w:val="center"/>
              <w:rPr>
                <w:noProof/>
              </w:rPr>
            </w:pPr>
            <w:r>
              <w:rPr>
                <w:noProof/>
              </w:rPr>
              <w:t>2025</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4B730A75" w14:textId="77777777" w:rsidR="00025543" w:rsidRDefault="007E3A2F">
            <w:pPr>
              <w:pStyle w:val="P68B1DB1-Normal16"/>
              <w:spacing w:after="0" w:line="240" w:lineRule="auto"/>
              <w:rPr>
                <w:noProof/>
              </w:rPr>
            </w:pPr>
            <w:r>
              <w:rPr>
                <w:noProof/>
              </w:rPr>
              <w:t xml:space="preserve">La mesure soutient les innovations douces dans les PME, telles que la conception de sites web, la conception de produits et de services, la conception graphique ou les stratégies de commercialisation et les activités de promotion des exportations. L’aide est acheminée par l’intermédiaire de deux programmes de subvention pour une dotation totale de 20 800 000 EUR. Au moins 3000 coupons créatifs et 300 crédits de conception sont alloués aux PME. La distribution des bons respecte l’équilibre géographique. Les professionnels de la création peuvent fournir des services à trois PME au maximum. </w:t>
            </w:r>
          </w:p>
          <w:p w14:paraId="176515BB" w14:textId="77777777" w:rsidR="00025543" w:rsidRDefault="007E3A2F">
            <w:pPr>
              <w:pStyle w:val="P68B1DB1-Normal16"/>
              <w:spacing w:line="240" w:lineRule="auto"/>
              <w:rPr>
                <w:noProof/>
              </w:rPr>
            </w:pPr>
            <w:r>
              <w:rPr>
                <w:noProof/>
              </w:rPr>
              <w:t xml:space="preserve">Une galerie créative est mise en place pour servir à la mise en œuvre et à l’administration du programme et constitue un canal de communication plus large. </w:t>
            </w:r>
          </w:p>
        </w:tc>
      </w:tr>
    </w:tbl>
    <w:p w14:paraId="2DD1E49A" w14:textId="77777777" w:rsidR="00025543" w:rsidRDefault="00025543">
      <w:pPr>
        <w:spacing w:line="240" w:lineRule="auto"/>
        <w:rPr>
          <w:b/>
          <w:smallCaps/>
          <w:noProof/>
        </w:rPr>
        <w:sectPr w:rsidR="00025543" w:rsidSect="00997F50">
          <w:headerReference w:type="even" r:id="rId372"/>
          <w:headerReference w:type="default" r:id="rId373"/>
          <w:footerReference w:type="even" r:id="rId374"/>
          <w:footerReference w:type="default" r:id="rId375"/>
          <w:headerReference w:type="first" r:id="rId376"/>
          <w:footerReference w:type="first" r:id="rId377"/>
          <w:pgSz w:w="16839" w:h="11907" w:orient="landscape"/>
          <w:pgMar w:top="1134" w:right="1134" w:bottom="1134" w:left="1134" w:header="567" w:footer="567" w:gutter="0"/>
          <w:cols w:space="720"/>
          <w:docGrid w:linePitch="326"/>
        </w:sectPr>
      </w:pPr>
    </w:p>
    <w:p w14:paraId="683BC05C" w14:textId="53627F68" w:rsidR="00025543" w:rsidRDefault="007E3A2F">
      <w:pPr>
        <w:pStyle w:val="P68B1DB1-Normal36"/>
        <w:keepNext/>
        <w:spacing w:line="240" w:lineRule="auto"/>
        <w:jc w:val="both"/>
        <w:outlineLvl w:val="0"/>
        <w:rPr>
          <w:noProof/>
        </w:rPr>
      </w:pPr>
      <w:r>
        <w:rPr>
          <w:noProof/>
        </w:rPr>
        <w:t xml:space="preserve">COMPOSANTE Z. 5.1: Excellente recherche et développement dans le secteur de la santé </w:t>
      </w:r>
    </w:p>
    <w:p w14:paraId="574F7026" w14:textId="596A4599" w:rsidR="00025543" w:rsidRDefault="007E3A2F">
      <w:pPr>
        <w:spacing w:line="240" w:lineRule="auto"/>
        <w:jc w:val="both"/>
        <w:rPr>
          <w:noProof/>
        </w:rPr>
      </w:pPr>
      <w:r>
        <w:rPr>
          <w:noProof/>
        </w:rPr>
        <w:t xml:space="preserve">Le volet </w:t>
      </w:r>
      <w:r>
        <w:rPr>
          <w:rFonts w:eastAsia="Times New Roman"/>
          <w:noProof/>
        </w:rPr>
        <w:t xml:space="preserve">du plan pour la reprise et la résilience de la République tchèque </w:t>
      </w:r>
      <w:r>
        <w:rPr>
          <w:noProof/>
        </w:rPr>
        <w:t>répond au défi consistant à améliorer l’excellence de la recherche dans les sciences médicales et les disciplines connexes. Cela inclut la recherche dans les domaines suivants: les maladies infectieuses, le cancer, les neurosciences, les troubles métaboliques ou les maladies cardiovasculaires et la recherche sur l’impact socio-économique des risques pour la santé. L’identification de ces domaines a été effectuée sur la base de trois critères: les données existantes sur les taux de mortalité, le potentiel d’excellence et l’existence actuelle de structures de coopération.</w:t>
      </w:r>
    </w:p>
    <w:p w14:paraId="1D8E3CC5" w14:textId="77777777" w:rsidR="00025543" w:rsidRDefault="007E3A2F">
      <w:pPr>
        <w:spacing w:line="240" w:lineRule="auto"/>
        <w:jc w:val="both"/>
        <w:rPr>
          <w:noProof/>
        </w:rPr>
      </w:pPr>
      <w:r>
        <w:rPr>
          <w:noProof/>
        </w:rPr>
        <w:t xml:space="preserve">Ce volet vise à moderniser et à rénover les infrastructures scientifiques tchèques selon les normes européennes, à développer des structures de mise en réseau dans le secteur de la recherche et du développement et à réduire la fragmentation du secteur de la recherche en Tchéquie, améliorant ainsi sa gestion. </w:t>
      </w:r>
    </w:p>
    <w:p w14:paraId="74BE18AC" w14:textId="77777777" w:rsidR="00025543" w:rsidRDefault="007E3A2F">
      <w:pPr>
        <w:spacing w:line="240" w:lineRule="auto"/>
        <w:jc w:val="both"/>
        <w:rPr>
          <w:noProof/>
        </w:rPr>
      </w:pPr>
      <w:r>
        <w:rPr>
          <w:noProof/>
        </w:rPr>
        <w:t xml:space="preserve">Ce volet apporte un soutien complémentaire aux volets 6.1 et 6.2 dans le domaine de l’aide au système de santé. </w:t>
      </w:r>
    </w:p>
    <w:p w14:paraId="3BC566C9" w14:textId="77777777" w:rsidR="00025543" w:rsidRDefault="007E3A2F">
      <w:pPr>
        <w:spacing w:line="240" w:lineRule="auto"/>
        <w:jc w:val="both"/>
        <w:rPr>
          <w:noProof/>
        </w:rPr>
      </w:pPr>
      <w:r>
        <w:rPr>
          <w:noProof/>
        </w:rPr>
        <w:t>Le</w:t>
      </w:r>
      <w:r>
        <w:rPr>
          <w:rFonts w:eastAsia="Times New Roman"/>
          <w:noProof/>
        </w:rPr>
        <w:t>volet soutient la mise en œuvre de la recommandation par pays</w:t>
      </w:r>
      <w:r>
        <w:rPr>
          <w:noProof/>
        </w:rPr>
        <w:t xml:space="preserve"> concernant la coopération public-privé en matière de recherche et de développement (recommandation spécifique par pays no 3 2020). </w:t>
      </w:r>
    </w:p>
    <w:p w14:paraId="381729C0" w14:textId="77777777" w:rsidR="00025543" w:rsidRDefault="007E3A2F">
      <w:pPr>
        <w:spacing w:line="276" w:lineRule="auto"/>
        <w:jc w:val="both"/>
        <w:rPr>
          <w:noProof/>
          <w:sz w:val="22"/>
        </w:rPr>
      </w:pPr>
      <w:r>
        <w:rPr>
          <w:noProof/>
        </w:rPr>
        <w:t>Aucune mesure relevant de ce volet ne devrait nuire gravement aux objectifs environnementaux au sens de l’article 17 du règlement (UE) 2020/852, compte tenu de la description des mesures et des mesures d’atténuation prévues dans le plan pour la reprise et la résilience conformément aux orientations techniques de la DNSH (2021/C58/01).</w:t>
      </w:r>
    </w:p>
    <w:p w14:paraId="1DFF01F1" w14:textId="1E11F810" w:rsidR="00025543" w:rsidRDefault="00025543">
      <w:pPr>
        <w:spacing w:line="240" w:lineRule="auto"/>
        <w:jc w:val="both"/>
        <w:rPr>
          <w:noProof/>
        </w:rPr>
      </w:pPr>
    </w:p>
    <w:p w14:paraId="5AFA445B" w14:textId="47496A26" w:rsidR="00025543" w:rsidRDefault="007E3A2F">
      <w:pPr>
        <w:pStyle w:val="P68B1DB1-Normal5"/>
        <w:spacing w:line="240" w:lineRule="auto"/>
        <w:jc w:val="both"/>
        <w:rPr>
          <w:noProof/>
        </w:rPr>
      </w:pPr>
      <w:r>
        <w:rPr>
          <w:noProof/>
        </w:rPr>
        <w:t>Z.1. Description des réformes et des investissements en vue du soutien financier non remboursable</w:t>
      </w:r>
    </w:p>
    <w:p w14:paraId="4E1D2DAD" w14:textId="77777777" w:rsidR="00025543" w:rsidRDefault="007E3A2F">
      <w:pPr>
        <w:pStyle w:val="P68B1DB1-Normal7"/>
        <w:spacing w:line="240" w:lineRule="auto"/>
        <w:jc w:val="both"/>
        <w:rPr>
          <w:noProof/>
        </w:rPr>
      </w:pPr>
      <w:r>
        <w:rPr>
          <w:noProof/>
        </w:rPr>
        <w:t>Investissement 1: Soutien public à la recherche et au développement dans les domaines prioritaires des sciences médicales et des sciences sociales connexes</w:t>
      </w:r>
    </w:p>
    <w:p w14:paraId="506E1EC9" w14:textId="77777777" w:rsidR="00025543" w:rsidRDefault="007E3A2F">
      <w:pPr>
        <w:spacing w:line="240" w:lineRule="auto"/>
        <w:jc w:val="both"/>
        <w:rPr>
          <w:noProof/>
        </w:rPr>
      </w:pPr>
      <w:r>
        <w:rPr>
          <w:noProof/>
        </w:rPr>
        <w:t>Cet investissement vise à soutenir au moins quatre consortiums de recherche chacun visant à améliorer la fourniture systématique de l’expertise nécessaire dans l’une des disciplines sélectionnées: recherche sur les maladies infectieuses, la recherche sur le cancer, les neurosciences, les troubles métaboliques ou les maladies cardiovasculaires et la recherche sur l’impact socio-économique des risques pour la santé. Cela renforcera le soutien scientifique à l’administration publique ou le partage plus rapide et plus transparent d’informations pertinentes et scientifiquement validées et des résultats de la recherche et du développement et de l’innovation.</w:t>
      </w:r>
    </w:p>
    <w:p w14:paraId="2B9FF62A" w14:textId="77777777" w:rsidR="00025543" w:rsidRDefault="007E3A2F">
      <w:pPr>
        <w:spacing w:line="240" w:lineRule="auto"/>
        <w:jc w:val="both"/>
        <w:rPr>
          <w:rFonts w:eastAsia="Times New Roman"/>
          <w:noProof/>
          <w:sz w:val="22"/>
        </w:rPr>
      </w:pPr>
      <w:r>
        <w:rPr>
          <w:noProof/>
        </w:rPr>
        <w:t xml:space="preserve">Les consortiums devraient être mis en place entre des universités, des instituts de recherche publics et d’autres entités publiques et privées, assurant le transfert de connaissances nécessaire. </w:t>
      </w:r>
      <w:r>
        <w:rPr>
          <w:rFonts w:eastAsia="Times New Roman"/>
          <w:noProof/>
        </w:rPr>
        <w:t>Ces consortiums forment des autorités nationales chargées de la recherche en vue d’apporter un changement qualitatif aux domaines prioritaires de recherche et de développement choisis, avec des incidences à la fois sur le plan de la production scientifique et sur le fonctionnement de l’administration publique tchèque dans les situations de crise sanitaire.</w:t>
      </w:r>
    </w:p>
    <w:p w14:paraId="32B36760" w14:textId="77777777" w:rsidR="00025543" w:rsidRDefault="007E3A2F">
      <w:pPr>
        <w:spacing w:line="240" w:lineRule="auto"/>
        <w:jc w:val="both"/>
        <w:rPr>
          <w:noProof/>
        </w:rPr>
      </w:pPr>
      <w:r>
        <w:rPr>
          <w:noProof/>
        </w:rPr>
        <w:t xml:space="preserve">L’investissement devrait inclure le soutien aux activités de recherche fondamentale et appliquée, l’équipement des entités de recherche d’infrastructures scientifiques d’une nouvelle qualité, la mise en place d’une plateforme scientifique unique pour chaque domaine prioritaire bénéficiant d’un soutien et l’amélioration des capacités des chercheurs du consortium grâce à des activités de renforcement des compétences. </w:t>
      </w:r>
    </w:p>
    <w:p w14:paraId="2791979B" w14:textId="77777777" w:rsidR="00025543" w:rsidRDefault="007E3A2F">
      <w:pPr>
        <w:spacing w:line="240" w:lineRule="auto"/>
        <w:jc w:val="both"/>
        <w:rPr>
          <w:noProof/>
        </w:rPr>
      </w:pPr>
      <w:r>
        <w:rPr>
          <w:noProof/>
        </w:rPr>
        <w:t xml:space="preserve">La mise en œuvre de l’investissement est achevée au plus tard le 31 décembre 2025. </w:t>
      </w:r>
    </w:p>
    <w:p w14:paraId="1771E4F6" w14:textId="77777777" w:rsidR="00025543" w:rsidRDefault="00025543">
      <w:pPr>
        <w:spacing w:line="240" w:lineRule="auto"/>
        <w:rPr>
          <w:rFonts w:ascii="Calibri" w:hAnsi="Calibri"/>
          <w:b/>
          <w:noProof/>
          <w:sz w:val="22"/>
        </w:rPr>
      </w:pPr>
    </w:p>
    <w:p w14:paraId="07696812" w14:textId="77777777" w:rsidR="00025543" w:rsidRDefault="00025543">
      <w:pPr>
        <w:spacing w:line="240" w:lineRule="auto"/>
        <w:rPr>
          <w:rFonts w:ascii="Calibri" w:hAnsi="Calibri"/>
          <w:noProof/>
          <w:sz w:val="22"/>
        </w:rPr>
        <w:sectPr w:rsidR="00025543" w:rsidSect="00997F50">
          <w:headerReference w:type="even" r:id="rId378"/>
          <w:headerReference w:type="default" r:id="rId379"/>
          <w:footerReference w:type="even" r:id="rId380"/>
          <w:footerReference w:type="default" r:id="rId381"/>
          <w:headerReference w:type="first" r:id="rId382"/>
          <w:footerReference w:type="first" r:id="rId383"/>
          <w:pgSz w:w="11907" w:h="16839"/>
          <w:pgMar w:top="1134" w:right="1134" w:bottom="1134" w:left="1134" w:header="567" w:footer="567" w:gutter="0"/>
          <w:cols w:space="720"/>
          <w:docGrid w:linePitch="326"/>
        </w:sectPr>
      </w:pPr>
    </w:p>
    <w:p w14:paraId="7203FBC3" w14:textId="53E4EC4D" w:rsidR="00025543" w:rsidRDefault="007E3A2F">
      <w:pPr>
        <w:pStyle w:val="P68B1DB1-Normal8"/>
        <w:pBdr>
          <w:top w:val="nil"/>
          <w:left w:val="nil"/>
          <w:bottom w:val="nil"/>
          <w:right w:val="nil"/>
          <w:between w:val="nil"/>
        </w:pBdr>
        <w:tabs>
          <w:tab w:val="left" w:pos="993"/>
        </w:tabs>
        <w:spacing w:line="240" w:lineRule="auto"/>
        <w:rPr>
          <w:rFonts w:ascii="Calibri" w:hAnsi="Calibri"/>
          <w:noProof/>
          <w:sz w:val="22"/>
        </w:rPr>
      </w:pPr>
      <w:r>
        <w:rPr>
          <w:noProof/>
        </w:rPr>
        <w:t xml:space="preserve">Z.2. Jalons, cibles, indicateurs et calendrier de suivi et de mise en œuvre en vue du soutien financier non remboursable </w:t>
      </w:r>
    </w:p>
    <w:tbl>
      <w:tblPr>
        <w:tblW w:w="14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2"/>
        <w:gridCol w:w="1174"/>
        <w:gridCol w:w="996"/>
        <w:gridCol w:w="1047"/>
        <w:gridCol w:w="1098"/>
        <w:gridCol w:w="996"/>
        <w:gridCol w:w="996"/>
        <w:gridCol w:w="996"/>
        <w:gridCol w:w="954"/>
        <w:gridCol w:w="663"/>
        <w:gridCol w:w="5012"/>
      </w:tblGrid>
      <w:tr w:rsidR="00025543" w14:paraId="712889F2" w14:textId="77777777">
        <w:trPr>
          <w:trHeight w:val="827"/>
          <w:tblHeader/>
        </w:trPr>
        <w:tc>
          <w:tcPr>
            <w:tcW w:w="638" w:type="dxa"/>
            <w:vMerge w:val="restart"/>
            <w:tcBorders>
              <w:top w:val="single" w:sz="8" w:space="0" w:color="000000"/>
              <w:left w:val="single" w:sz="8" w:space="0" w:color="000000"/>
              <w:right w:val="single" w:sz="8" w:space="0" w:color="000000"/>
            </w:tcBorders>
            <w:shd w:val="clear" w:color="auto" w:fill="BDD7EE"/>
            <w:vAlign w:val="center"/>
          </w:tcPr>
          <w:p w14:paraId="1DDE6C8A" w14:textId="7E54D70A" w:rsidR="00025543" w:rsidRDefault="007E3A2F">
            <w:pPr>
              <w:pStyle w:val="P68B1DB1-Normal9"/>
              <w:spacing w:line="240" w:lineRule="auto"/>
              <w:jc w:val="center"/>
              <w:rPr>
                <w:noProof/>
              </w:rPr>
            </w:pPr>
            <w:r>
              <w:rPr>
                <w:noProof/>
              </w:rPr>
              <w:t xml:space="preserve">Séquence NUM. </w:t>
            </w:r>
          </w:p>
        </w:tc>
        <w:tc>
          <w:tcPr>
            <w:tcW w:w="1188" w:type="dxa"/>
            <w:vMerge w:val="restart"/>
            <w:tcBorders>
              <w:top w:val="single" w:sz="8" w:space="0" w:color="000000"/>
              <w:left w:val="single" w:sz="8" w:space="0" w:color="000000"/>
              <w:right w:val="single" w:sz="8" w:space="0" w:color="000000"/>
            </w:tcBorders>
            <w:shd w:val="clear" w:color="auto" w:fill="BDD7EE"/>
            <w:vAlign w:val="center"/>
          </w:tcPr>
          <w:p w14:paraId="78F6B7FB" w14:textId="77777777" w:rsidR="00025543" w:rsidRDefault="007E3A2F">
            <w:pPr>
              <w:pStyle w:val="P68B1DB1-Normal9"/>
              <w:spacing w:line="240" w:lineRule="auto"/>
              <w:jc w:val="center"/>
              <w:rPr>
                <w:noProof/>
              </w:rPr>
            </w:pPr>
            <w:r>
              <w:rPr>
                <w:noProof/>
              </w:rPr>
              <w:t xml:space="preserve">Mesure connexe (réforme ou investissement) </w:t>
            </w:r>
          </w:p>
        </w:tc>
        <w:tc>
          <w:tcPr>
            <w:tcW w:w="1006" w:type="dxa"/>
            <w:vMerge w:val="restart"/>
            <w:tcBorders>
              <w:top w:val="single" w:sz="8" w:space="0" w:color="000000"/>
              <w:left w:val="single" w:sz="8" w:space="0" w:color="000000"/>
              <w:right w:val="single" w:sz="8" w:space="0" w:color="000000"/>
            </w:tcBorders>
            <w:shd w:val="clear" w:color="auto" w:fill="BDD7EE"/>
            <w:vAlign w:val="center"/>
          </w:tcPr>
          <w:p w14:paraId="2BFD0DD3" w14:textId="77777777" w:rsidR="00025543" w:rsidRDefault="007E3A2F">
            <w:pPr>
              <w:pStyle w:val="P68B1DB1-Normal9"/>
              <w:spacing w:line="240" w:lineRule="auto"/>
              <w:jc w:val="center"/>
              <w:rPr>
                <w:noProof/>
              </w:rPr>
            </w:pPr>
            <w:r>
              <w:rPr>
                <w:noProof/>
              </w:rPr>
              <w:t xml:space="preserve">Jalon/cible </w:t>
            </w:r>
          </w:p>
        </w:tc>
        <w:tc>
          <w:tcPr>
            <w:tcW w:w="1058" w:type="dxa"/>
            <w:vMerge w:val="restart"/>
            <w:tcBorders>
              <w:top w:val="single" w:sz="8" w:space="0" w:color="000000"/>
              <w:left w:val="single" w:sz="8" w:space="0" w:color="000000"/>
              <w:right w:val="single" w:sz="8" w:space="0" w:color="000000"/>
            </w:tcBorders>
            <w:shd w:val="clear" w:color="auto" w:fill="BDD7EE"/>
            <w:vAlign w:val="center"/>
          </w:tcPr>
          <w:p w14:paraId="26081206" w14:textId="77777777" w:rsidR="00025543" w:rsidRDefault="007E3A2F">
            <w:pPr>
              <w:pStyle w:val="P68B1DB1-Normal9"/>
              <w:spacing w:line="240" w:lineRule="auto"/>
              <w:jc w:val="center"/>
              <w:rPr>
                <w:noProof/>
              </w:rPr>
            </w:pPr>
            <w:r>
              <w:rPr>
                <w:noProof/>
              </w:rPr>
              <w:t xml:space="preserve">Nom </w:t>
            </w:r>
          </w:p>
        </w:tc>
        <w:tc>
          <w:tcPr>
            <w:tcW w:w="1110" w:type="dxa"/>
            <w:vMerge w:val="restart"/>
            <w:tcBorders>
              <w:top w:val="single" w:sz="8" w:space="0" w:color="000000"/>
              <w:left w:val="single" w:sz="8" w:space="0" w:color="000000"/>
              <w:right w:val="single" w:sz="8" w:space="0" w:color="000000"/>
            </w:tcBorders>
            <w:shd w:val="clear" w:color="auto" w:fill="BDD7EE"/>
            <w:vAlign w:val="center"/>
          </w:tcPr>
          <w:p w14:paraId="1EA836C4" w14:textId="77777777" w:rsidR="00025543" w:rsidRDefault="007E3A2F">
            <w:pPr>
              <w:pStyle w:val="P68B1DB1-Normal10"/>
              <w:spacing w:line="240" w:lineRule="auto"/>
              <w:jc w:val="center"/>
              <w:rPr>
                <w:noProof/>
              </w:rPr>
            </w:pPr>
            <w:r>
              <w:rPr>
                <w:b/>
                <w:noProof/>
              </w:rPr>
              <w:t>Qualitatifs</w:t>
            </w:r>
            <w:r>
              <w:rPr>
                <w:noProof/>
              </w:rPr>
              <w:br/>
            </w:r>
            <w:r>
              <w:rPr>
                <w:b/>
                <w:noProof/>
              </w:rPr>
              <w:t xml:space="preserve"> (pour les jalons) </w:t>
            </w:r>
          </w:p>
        </w:tc>
        <w:tc>
          <w:tcPr>
            <w:tcW w:w="3018" w:type="dxa"/>
            <w:gridSpan w:val="3"/>
            <w:tcBorders>
              <w:top w:val="single" w:sz="8" w:space="0" w:color="000000"/>
              <w:left w:val="single" w:sz="8" w:space="0" w:color="000000"/>
              <w:bottom w:val="single" w:sz="8" w:space="0" w:color="000000"/>
              <w:right w:val="single" w:sz="8" w:space="0" w:color="000000"/>
            </w:tcBorders>
            <w:shd w:val="clear" w:color="auto" w:fill="BDD7EE"/>
            <w:vAlign w:val="center"/>
          </w:tcPr>
          <w:p w14:paraId="3649B4BA" w14:textId="77777777" w:rsidR="00025543" w:rsidRDefault="007E3A2F">
            <w:pPr>
              <w:pStyle w:val="P68B1DB1-Normal10"/>
              <w:spacing w:line="240" w:lineRule="auto"/>
              <w:jc w:val="center"/>
              <w:rPr>
                <w:noProof/>
              </w:rPr>
            </w:pPr>
            <w:r>
              <w:rPr>
                <w:b/>
                <w:noProof/>
              </w:rPr>
              <w:t>Indicateurs quantitatifs</w:t>
            </w:r>
            <w:r>
              <w:rPr>
                <w:noProof/>
              </w:rPr>
              <w:br/>
            </w:r>
            <w:r>
              <w:rPr>
                <w:b/>
                <w:noProof/>
              </w:rPr>
              <w:t xml:space="preserve"> (pour les objectifs)</w:t>
            </w:r>
          </w:p>
        </w:tc>
        <w:tc>
          <w:tcPr>
            <w:tcW w:w="1468" w:type="dxa"/>
            <w:gridSpan w:val="2"/>
            <w:tcBorders>
              <w:top w:val="single" w:sz="8" w:space="0" w:color="000000"/>
              <w:left w:val="nil"/>
              <w:bottom w:val="single" w:sz="8" w:space="0" w:color="000000"/>
              <w:right w:val="single" w:sz="8" w:space="0" w:color="000000"/>
            </w:tcBorders>
            <w:shd w:val="clear" w:color="auto" w:fill="BDD7EE"/>
            <w:vAlign w:val="center"/>
          </w:tcPr>
          <w:p w14:paraId="44A70DE6" w14:textId="77777777" w:rsidR="00025543" w:rsidRDefault="007E3A2F">
            <w:pPr>
              <w:pStyle w:val="P68B1DB1-Normal9"/>
              <w:spacing w:line="240" w:lineRule="auto"/>
              <w:jc w:val="center"/>
              <w:rPr>
                <w:noProof/>
              </w:rPr>
            </w:pPr>
            <w:r>
              <w:rPr>
                <w:noProof/>
              </w:rPr>
              <w:t xml:space="preserve">Calendrier indicatif de réalisation </w:t>
            </w:r>
          </w:p>
        </w:tc>
        <w:tc>
          <w:tcPr>
            <w:tcW w:w="5078" w:type="dxa"/>
            <w:vMerge w:val="restart"/>
            <w:tcBorders>
              <w:top w:val="single" w:sz="8" w:space="0" w:color="000000"/>
              <w:left w:val="nil"/>
              <w:right w:val="single" w:sz="8" w:space="0" w:color="000000"/>
            </w:tcBorders>
            <w:shd w:val="clear" w:color="auto" w:fill="BDD7EE"/>
            <w:vAlign w:val="center"/>
          </w:tcPr>
          <w:p w14:paraId="57CD1196" w14:textId="77777777" w:rsidR="00025543" w:rsidRDefault="007E3A2F">
            <w:pPr>
              <w:pStyle w:val="P68B1DB1-Normal9"/>
              <w:spacing w:line="240" w:lineRule="auto"/>
              <w:jc w:val="center"/>
              <w:rPr>
                <w:noProof/>
              </w:rPr>
            </w:pPr>
            <w:r>
              <w:rPr>
                <w:noProof/>
              </w:rPr>
              <w:t xml:space="preserve">Description et définition claire de chaque jalon et cible </w:t>
            </w:r>
          </w:p>
        </w:tc>
      </w:tr>
      <w:tr w:rsidR="00025543" w14:paraId="69EC70F5" w14:textId="77777777">
        <w:trPr>
          <w:trHeight w:val="600"/>
          <w:tblHeader/>
        </w:trPr>
        <w:tc>
          <w:tcPr>
            <w:tcW w:w="638" w:type="dxa"/>
            <w:vMerge/>
            <w:vAlign w:val="center"/>
          </w:tcPr>
          <w:p w14:paraId="3B40FCAE" w14:textId="77777777" w:rsidR="00025543" w:rsidRDefault="00025543">
            <w:pPr>
              <w:spacing w:line="240" w:lineRule="auto"/>
              <w:jc w:val="center"/>
              <w:rPr>
                <w:rFonts w:eastAsia="Times New Roman"/>
                <w:noProof/>
                <w:sz w:val="16"/>
              </w:rPr>
            </w:pPr>
          </w:p>
        </w:tc>
        <w:tc>
          <w:tcPr>
            <w:tcW w:w="1188" w:type="dxa"/>
            <w:vMerge/>
            <w:vAlign w:val="center"/>
          </w:tcPr>
          <w:p w14:paraId="472A6B1D" w14:textId="77777777" w:rsidR="00025543" w:rsidRDefault="00025543">
            <w:pPr>
              <w:spacing w:line="240" w:lineRule="auto"/>
              <w:jc w:val="center"/>
              <w:rPr>
                <w:rFonts w:eastAsia="Times New Roman"/>
                <w:noProof/>
                <w:sz w:val="16"/>
              </w:rPr>
            </w:pPr>
          </w:p>
        </w:tc>
        <w:tc>
          <w:tcPr>
            <w:tcW w:w="1006" w:type="dxa"/>
            <w:vMerge/>
            <w:vAlign w:val="center"/>
          </w:tcPr>
          <w:p w14:paraId="415C1173" w14:textId="77777777" w:rsidR="00025543" w:rsidRDefault="00025543">
            <w:pPr>
              <w:spacing w:line="240" w:lineRule="auto"/>
              <w:jc w:val="center"/>
              <w:rPr>
                <w:rFonts w:eastAsia="Times New Roman"/>
                <w:noProof/>
                <w:sz w:val="16"/>
              </w:rPr>
            </w:pPr>
          </w:p>
        </w:tc>
        <w:tc>
          <w:tcPr>
            <w:tcW w:w="1058" w:type="dxa"/>
            <w:vMerge/>
            <w:vAlign w:val="center"/>
          </w:tcPr>
          <w:p w14:paraId="0416416C" w14:textId="77777777" w:rsidR="00025543" w:rsidRDefault="00025543">
            <w:pPr>
              <w:spacing w:line="240" w:lineRule="auto"/>
              <w:jc w:val="center"/>
              <w:rPr>
                <w:rFonts w:eastAsia="Times New Roman"/>
                <w:noProof/>
                <w:sz w:val="16"/>
              </w:rPr>
            </w:pPr>
          </w:p>
        </w:tc>
        <w:tc>
          <w:tcPr>
            <w:tcW w:w="1110" w:type="dxa"/>
            <w:vMerge/>
            <w:vAlign w:val="center"/>
          </w:tcPr>
          <w:p w14:paraId="64D87B23" w14:textId="77777777" w:rsidR="00025543" w:rsidRDefault="00025543">
            <w:pPr>
              <w:spacing w:line="240" w:lineRule="auto"/>
              <w:jc w:val="center"/>
              <w:rPr>
                <w:rFonts w:eastAsia="Times New Roman"/>
                <w:noProof/>
                <w:sz w:val="16"/>
              </w:rPr>
            </w:pPr>
          </w:p>
        </w:tc>
        <w:tc>
          <w:tcPr>
            <w:tcW w:w="1006" w:type="dxa"/>
            <w:tcBorders>
              <w:top w:val="single" w:sz="8" w:space="0" w:color="000000"/>
              <w:left w:val="single" w:sz="8" w:space="0" w:color="000000"/>
              <w:bottom w:val="single" w:sz="8" w:space="0" w:color="000000"/>
              <w:right w:val="single" w:sz="8" w:space="0" w:color="000000"/>
            </w:tcBorders>
            <w:shd w:val="clear" w:color="auto" w:fill="BDD7EE"/>
            <w:vAlign w:val="center"/>
          </w:tcPr>
          <w:p w14:paraId="5FF8E2AD" w14:textId="77777777" w:rsidR="00025543" w:rsidRDefault="007E3A2F">
            <w:pPr>
              <w:pStyle w:val="P68B1DB1-Normal9"/>
              <w:spacing w:line="240" w:lineRule="auto"/>
              <w:jc w:val="center"/>
              <w:rPr>
                <w:noProof/>
              </w:rPr>
            </w:pPr>
            <w:r>
              <w:rPr>
                <w:noProof/>
              </w:rPr>
              <w:t>Unité de mesure</w:t>
            </w:r>
          </w:p>
        </w:tc>
        <w:tc>
          <w:tcPr>
            <w:tcW w:w="1006" w:type="dxa"/>
            <w:tcBorders>
              <w:top w:val="nil"/>
              <w:left w:val="single" w:sz="8" w:space="0" w:color="000000"/>
              <w:bottom w:val="single" w:sz="8" w:space="0" w:color="000000"/>
              <w:right w:val="single" w:sz="8" w:space="0" w:color="000000"/>
            </w:tcBorders>
            <w:shd w:val="clear" w:color="auto" w:fill="BDD7EE"/>
            <w:vAlign w:val="center"/>
          </w:tcPr>
          <w:p w14:paraId="6A1CF571" w14:textId="77777777" w:rsidR="00025543" w:rsidRDefault="007E3A2F">
            <w:pPr>
              <w:pStyle w:val="P68B1DB1-Normal9"/>
              <w:spacing w:line="240" w:lineRule="auto"/>
              <w:jc w:val="center"/>
              <w:rPr>
                <w:noProof/>
              </w:rPr>
            </w:pPr>
            <w:r>
              <w:rPr>
                <w:noProof/>
              </w:rPr>
              <w:t>Scénario de référence</w:t>
            </w:r>
          </w:p>
        </w:tc>
        <w:tc>
          <w:tcPr>
            <w:tcW w:w="1006" w:type="dxa"/>
            <w:tcBorders>
              <w:top w:val="nil"/>
              <w:left w:val="single" w:sz="8" w:space="0" w:color="000000"/>
              <w:bottom w:val="single" w:sz="8" w:space="0" w:color="000000"/>
              <w:right w:val="single" w:sz="8" w:space="0" w:color="000000"/>
            </w:tcBorders>
            <w:shd w:val="clear" w:color="auto" w:fill="BDD7EE"/>
            <w:vAlign w:val="center"/>
          </w:tcPr>
          <w:p w14:paraId="7400CDC9" w14:textId="77777777" w:rsidR="00025543" w:rsidRDefault="007E3A2F">
            <w:pPr>
              <w:pStyle w:val="P68B1DB1-Normal9"/>
              <w:spacing w:line="240" w:lineRule="auto"/>
              <w:jc w:val="center"/>
              <w:rPr>
                <w:noProof/>
              </w:rPr>
            </w:pPr>
            <w:r>
              <w:rPr>
                <w:noProof/>
              </w:rPr>
              <w:t>Objectif</w:t>
            </w:r>
          </w:p>
        </w:tc>
        <w:tc>
          <w:tcPr>
            <w:tcW w:w="964" w:type="dxa"/>
            <w:tcBorders>
              <w:top w:val="single" w:sz="8" w:space="0" w:color="000000"/>
              <w:left w:val="single" w:sz="8" w:space="0" w:color="000000"/>
              <w:bottom w:val="single" w:sz="8" w:space="0" w:color="000000"/>
              <w:right w:val="single" w:sz="8" w:space="0" w:color="000000"/>
            </w:tcBorders>
            <w:shd w:val="clear" w:color="auto" w:fill="BDD7EE"/>
            <w:vAlign w:val="center"/>
          </w:tcPr>
          <w:p w14:paraId="5DE37AC6" w14:textId="77777777" w:rsidR="00025543" w:rsidRDefault="007E3A2F">
            <w:pPr>
              <w:pStyle w:val="P68B1DB1-Normal9"/>
              <w:spacing w:line="240" w:lineRule="auto"/>
              <w:jc w:val="center"/>
              <w:rPr>
                <w:noProof/>
              </w:rPr>
            </w:pPr>
            <w:r>
              <w:rPr>
                <w:noProof/>
              </w:rPr>
              <w:t>Trimestre</w:t>
            </w:r>
          </w:p>
        </w:tc>
        <w:tc>
          <w:tcPr>
            <w:tcW w:w="669" w:type="dxa"/>
            <w:tcBorders>
              <w:top w:val="nil"/>
              <w:left w:val="single" w:sz="8" w:space="0" w:color="000000"/>
              <w:bottom w:val="single" w:sz="8" w:space="0" w:color="000000"/>
              <w:right w:val="single" w:sz="8" w:space="0" w:color="000000"/>
            </w:tcBorders>
            <w:shd w:val="clear" w:color="auto" w:fill="BDD7EE"/>
            <w:vAlign w:val="center"/>
          </w:tcPr>
          <w:p w14:paraId="7AE9E75A" w14:textId="77777777" w:rsidR="00025543" w:rsidRDefault="007E3A2F">
            <w:pPr>
              <w:pStyle w:val="P68B1DB1-Normal9"/>
              <w:spacing w:line="240" w:lineRule="auto"/>
              <w:jc w:val="center"/>
              <w:rPr>
                <w:noProof/>
              </w:rPr>
            </w:pPr>
            <w:r>
              <w:rPr>
                <w:noProof/>
              </w:rPr>
              <w:t>Année</w:t>
            </w:r>
          </w:p>
        </w:tc>
        <w:tc>
          <w:tcPr>
            <w:tcW w:w="5078" w:type="dxa"/>
            <w:vMerge/>
            <w:vAlign w:val="center"/>
          </w:tcPr>
          <w:p w14:paraId="7A5D5756" w14:textId="77777777" w:rsidR="00025543" w:rsidRDefault="00025543">
            <w:pPr>
              <w:spacing w:line="240" w:lineRule="auto"/>
              <w:jc w:val="center"/>
              <w:rPr>
                <w:rFonts w:eastAsia="Times New Roman"/>
                <w:noProof/>
                <w:sz w:val="16"/>
              </w:rPr>
            </w:pPr>
          </w:p>
        </w:tc>
      </w:tr>
      <w:tr w:rsidR="00025543" w14:paraId="7BA9C3C9" w14:textId="77777777">
        <w:trPr>
          <w:trHeight w:val="945"/>
        </w:trPr>
        <w:tc>
          <w:tcPr>
            <w:tcW w:w="63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2EB64471" w14:textId="77777777" w:rsidR="00025543" w:rsidRDefault="007E3A2F">
            <w:pPr>
              <w:pStyle w:val="P68B1DB1-Normal11"/>
              <w:spacing w:line="240" w:lineRule="auto"/>
              <w:jc w:val="center"/>
              <w:rPr>
                <w:noProof/>
              </w:rPr>
            </w:pPr>
            <w:r>
              <w:rPr>
                <w:noProof/>
              </w:rPr>
              <w:t>223</w:t>
            </w:r>
          </w:p>
        </w:tc>
        <w:tc>
          <w:tcPr>
            <w:tcW w:w="118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216C69EF" w14:textId="77777777" w:rsidR="00025543" w:rsidRDefault="007E3A2F">
            <w:pPr>
              <w:pStyle w:val="P68B1DB1-Normal11"/>
              <w:spacing w:line="240" w:lineRule="auto"/>
              <w:rPr>
                <w:noProof/>
              </w:rPr>
            </w:pPr>
            <w:r>
              <w:rPr>
                <w:noProof/>
              </w:rPr>
              <w:t xml:space="preserve">Investissement 1: Soutien public à la recherche et au développement dans les domaines prioritaires des sciences médicales et des sciences sociales connexes </w:t>
            </w:r>
          </w:p>
        </w:tc>
        <w:tc>
          <w:tcPr>
            <w:tcW w:w="1006"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5728C938" w14:textId="77777777" w:rsidR="00025543" w:rsidRDefault="007E3A2F">
            <w:pPr>
              <w:pStyle w:val="P68B1DB1-Normal11"/>
              <w:spacing w:line="240" w:lineRule="auto"/>
              <w:rPr>
                <w:noProof/>
              </w:rPr>
            </w:pPr>
            <w:r>
              <w:rPr>
                <w:noProof/>
              </w:rPr>
              <w:t>Étapes</w:t>
            </w:r>
          </w:p>
        </w:tc>
        <w:tc>
          <w:tcPr>
            <w:tcW w:w="105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52BC498D" w14:textId="77777777" w:rsidR="00025543" w:rsidRDefault="007E3A2F">
            <w:pPr>
              <w:pStyle w:val="P68B1DB1-Normal47"/>
              <w:spacing w:line="240" w:lineRule="auto"/>
              <w:rPr>
                <w:noProof/>
                <w:color w:val="006100"/>
              </w:rPr>
            </w:pPr>
            <w:r>
              <w:rPr>
                <w:noProof/>
              </w:rPr>
              <w:t xml:space="preserve">Lancement d’un nouveau programme de soutien à la recherche et au développement </w:t>
            </w:r>
          </w:p>
        </w:tc>
        <w:tc>
          <w:tcPr>
            <w:tcW w:w="1110"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1C5E88C2" w14:textId="77777777" w:rsidR="00025543" w:rsidRDefault="007E3A2F">
            <w:pPr>
              <w:pStyle w:val="P68B1DB1-Normal47"/>
              <w:spacing w:line="240" w:lineRule="auto"/>
              <w:rPr>
                <w:noProof/>
                <w:color w:val="006100"/>
              </w:rPr>
            </w:pPr>
            <w:r>
              <w:rPr>
                <w:noProof/>
              </w:rPr>
              <w:t xml:space="preserve">Approbation du programme par le gouvernement tchèque et lancement d’un appel d’offres </w:t>
            </w:r>
          </w:p>
        </w:tc>
        <w:tc>
          <w:tcPr>
            <w:tcW w:w="1006"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71B1287B" w14:textId="77777777" w:rsidR="00025543" w:rsidRDefault="00025543">
            <w:pPr>
              <w:spacing w:line="240" w:lineRule="auto"/>
              <w:rPr>
                <w:rFonts w:eastAsia="Times New Roman"/>
                <w:noProof/>
                <w:color w:val="006100"/>
                <w:sz w:val="18"/>
              </w:rPr>
            </w:pPr>
          </w:p>
        </w:tc>
        <w:tc>
          <w:tcPr>
            <w:tcW w:w="1006"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346AE4C1" w14:textId="77777777" w:rsidR="00025543" w:rsidRDefault="00025543">
            <w:pPr>
              <w:spacing w:line="240" w:lineRule="auto"/>
              <w:jc w:val="center"/>
              <w:rPr>
                <w:rFonts w:eastAsia="Times New Roman"/>
                <w:noProof/>
                <w:color w:val="006100"/>
                <w:sz w:val="18"/>
              </w:rPr>
            </w:pPr>
          </w:p>
        </w:tc>
        <w:tc>
          <w:tcPr>
            <w:tcW w:w="1006"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03D69383" w14:textId="77777777" w:rsidR="00025543" w:rsidRDefault="00025543">
            <w:pPr>
              <w:spacing w:line="240" w:lineRule="auto"/>
              <w:jc w:val="center"/>
              <w:rPr>
                <w:rFonts w:eastAsia="Times New Roman"/>
                <w:noProof/>
                <w:color w:val="006100"/>
                <w:sz w:val="18"/>
              </w:rPr>
            </w:pPr>
          </w:p>
        </w:tc>
        <w:tc>
          <w:tcPr>
            <w:tcW w:w="96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59E5C26F" w14:textId="77777777" w:rsidR="00025543" w:rsidRDefault="007E3A2F">
            <w:pPr>
              <w:pStyle w:val="P68B1DB1-Normal11"/>
              <w:spacing w:line="240" w:lineRule="auto"/>
              <w:jc w:val="center"/>
              <w:rPr>
                <w:noProof/>
              </w:rPr>
            </w:pPr>
            <w:r>
              <w:rPr>
                <w:noProof/>
              </w:rPr>
              <w:t>TRIMESTRE 4</w:t>
            </w:r>
          </w:p>
        </w:tc>
        <w:tc>
          <w:tcPr>
            <w:tcW w:w="669"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5E60FEDA" w14:textId="77777777" w:rsidR="00025543" w:rsidRDefault="007E3A2F">
            <w:pPr>
              <w:pStyle w:val="P68B1DB1-Normal11"/>
              <w:spacing w:line="240" w:lineRule="auto"/>
              <w:jc w:val="center"/>
              <w:rPr>
                <w:noProof/>
              </w:rPr>
            </w:pPr>
            <w:r>
              <w:rPr>
                <w:noProof/>
              </w:rPr>
              <w:t>2021</w:t>
            </w:r>
          </w:p>
        </w:tc>
        <w:tc>
          <w:tcPr>
            <w:tcW w:w="507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4A1DEBED" w14:textId="77777777" w:rsidR="00025543" w:rsidRDefault="007E3A2F">
            <w:pPr>
              <w:pStyle w:val="P68B1DB1-Normal28"/>
              <w:spacing w:line="240" w:lineRule="auto"/>
              <w:rPr>
                <w:noProof/>
              </w:rPr>
            </w:pPr>
            <w:r>
              <w:rPr>
                <w:noProof/>
              </w:rPr>
              <w:t xml:space="preserve">L’étape est franchie par le lancement d’un nouvel instrument systémique de soutien à la recherche et au développement dans le domaine des sciences médicales prioritaires et des sciences sociales connexes, à savoir: recherche sur les maladies infectieuses, la recherche sur le cancer, les neurosciences, les troubles métaboliques ou les maladies cardiovasculaires et la recherche sur l’impact socio-économique des maladies, conformément aux règles nationales établies par la loi no 130/2002 sur le soutien à la recherche, au développement expérimental et à l’innovation par des fonds publics. </w:t>
            </w:r>
          </w:p>
          <w:p w14:paraId="78F0D12A" w14:textId="77777777" w:rsidR="00025543" w:rsidRDefault="007E3A2F">
            <w:pPr>
              <w:pStyle w:val="P68B1DB1-Normal28"/>
              <w:spacing w:line="240" w:lineRule="auto"/>
              <w:rPr>
                <w:noProof/>
              </w:rPr>
            </w:pPr>
            <w:r>
              <w:rPr>
                <w:noProof/>
              </w:rPr>
              <w:t xml:space="preserve">L’adoption par le gouvernement fait suite à la consultation de toutes les parties prenantes et dans le cadre de procédures de consultation internes et interministérielles, à la consultation des représentants des milieux universitaires, des communautés d’application et des universités au sein du Conseil de la recherche, du développement et de l’innovation, et à la vérification de la capacité d’absorption. </w:t>
            </w:r>
          </w:p>
          <w:p w14:paraId="499531F1" w14:textId="77777777" w:rsidR="00025543" w:rsidRDefault="007E3A2F">
            <w:pPr>
              <w:pStyle w:val="P68B1DB1-Normal28"/>
              <w:spacing w:line="240" w:lineRule="auto"/>
              <w:rPr>
                <w:rFonts w:eastAsia="Times New Roman"/>
                <w:noProof/>
              </w:rPr>
            </w:pPr>
            <w:r>
              <w:rPr>
                <w:noProof/>
              </w:rPr>
              <w:t>L’appel d’offres ouvert dans le domaine de la recherche, du développement et de l’innovation pour le nouveau programme de recherche et développement suit les règles nationales, notamment établies par la loi no 130/2002 sur le soutien à la recherche, au développement expérimental et à l’innovation par des fonds publics.</w:t>
            </w:r>
          </w:p>
        </w:tc>
      </w:tr>
      <w:tr w:rsidR="00025543" w14:paraId="3F72B949" w14:textId="77777777">
        <w:trPr>
          <w:trHeight w:val="369"/>
        </w:trPr>
        <w:tc>
          <w:tcPr>
            <w:tcW w:w="63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3AC90309" w14:textId="77777777" w:rsidR="00025543" w:rsidRDefault="007E3A2F">
            <w:pPr>
              <w:pStyle w:val="P68B1DB1-Normal11"/>
              <w:spacing w:line="240" w:lineRule="auto"/>
              <w:jc w:val="center"/>
              <w:rPr>
                <w:noProof/>
              </w:rPr>
            </w:pPr>
            <w:r>
              <w:rPr>
                <w:noProof/>
              </w:rPr>
              <w:t>224</w:t>
            </w:r>
          </w:p>
        </w:tc>
        <w:tc>
          <w:tcPr>
            <w:tcW w:w="118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4C86446A" w14:textId="77777777" w:rsidR="00025543" w:rsidRDefault="007E3A2F">
            <w:pPr>
              <w:pStyle w:val="P68B1DB1-Normal11"/>
              <w:spacing w:line="240" w:lineRule="auto"/>
              <w:rPr>
                <w:noProof/>
              </w:rPr>
            </w:pPr>
            <w:r>
              <w:rPr>
                <w:noProof/>
              </w:rPr>
              <w:t>Investissement 1: Soutien public à la recherche et au développement dans les domaines prioritaires des sciences médicales et des sciences sociales connexes</w:t>
            </w:r>
          </w:p>
        </w:tc>
        <w:tc>
          <w:tcPr>
            <w:tcW w:w="1006"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55FB6FAC" w14:textId="77777777" w:rsidR="00025543" w:rsidRDefault="007E3A2F">
            <w:pPr>
              <w:pStyle w:val="P68B1DB1-Normal11"/>
              <w:spacing w:line="240" w:lineRule="auto"/>
              <w:rPr>
                <w:noProof/>
              </w:rPr>
            </w:pPr>
            <w:r>
              <w:rPr>
                <w:noProof/>
              </w:rPr>
              <w:t>Cible</w:t>
            </w:r>
          </w:p>
        </w:tc>
        <w:tc>
          <w:tcPr>
            <w:tcW w:w="105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29F7F92B" w14:textId="77777777" w:rsidR="00025543" w:rsidRDefault="007E3A2F">
            <w:pPr>
              <w:pStyle w:val="P68B1DB1-Normal11"/>
              <w:spacing w:line="240" w:lineRule="auto"/>
              <w:rPr>
                <w:noProof/>
              </w:rPr>
            </w:pPr>
            <w:r>
              <w:rPr>
                <w:noProof/>
              </w:rPr>
              <w:t>Attribution de marchés publics à au moins quatre consortiums de recherche et développement</w:t>
            </w:r>
          </w:p>
        </w:tc>
        <w:tc>
          <w:tcPr>
            <w:tcW w:w="1110"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291EBEBD" w14:textId="77777777" w:rsidR="00025543" w:rsidRDefault="00025543">
            <w:pPr>
              <w:spacing w:line="240" w:lineRule="auto"/>
              <w:rPr>
                <w:rFonts w:eastAsia="Times New Roman"/>
                <w:noProof/>
                <w:color w:val="006100"/>
                <w:sz w:val="18"/>
              </w:rPr>
            </w:pPr>
          </w:p>
        </w:tc>
        <w:tc>
          <w:tcPr>
            <w:tcW w:w="1006"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1B882384" w14:textId="77777777" w:rsidR="00025543" w:rsidRDefault="007E3A2F">
            <w:pPr>
              <w:pStyle w:val="P68B1DB1-Normal11"/>
              <w:spacing w:line="240" w:lineRule="auto"/>
              <w:rPr>
                <w:noProof/>
              </w:rPr>
            </w:pPr>
            <w:r>
              <w:rPr>
                <w:noProof/>
              </w:rPr>
              <w:t>Nombre des contrats</w:t>
            </w:r>
          </w:p>
        </w:tc>
        <w:tc>
          <w:tcPr>
            <w:tcW w:w="1006"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50C74409" w14:textId="77777777" w:rsidR="00025543" w:rsidRDefault="007E3A2F">
            <w:pPr>
              <w:pStyle w:val="P68B1DB1-Normal11"/>
              <w:spacing w:line="240" w:lineRule="auto"/>
              <w:jc w:val="center"/>
              <w:rPr>
                <w:noProof/>
              </w:rPr>
            </w:pPr>
            <w:r>
              <w:rPr>
                <w:noProof/>
              </w:rPr>
              <w:t>0</w:t>
            </w:r>
          </w:p>
        </w:tc>
        <w:tc>
          <w:tcPr>
            <w:tcW w:w="1006"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0789F93F" w14:textId="77777777" w:rsidR="00025543" w:rsidRDefault="007E3A2F">
            <w:pPr>
              <w:pStyle w:val="P68B1DB1-Normal11"/>
              <w:spacing w:line="240" w:lineRule="auto"/>
              <w:jc w:val="center"/>
              <w:rPr>
                <w:noProof/>
              </w:rPr>
            </w:pPr>
            <w:r>
              <w:rPr>
                <w:noProof/>
              </w:rPr>
              <w:t>4</w:t>
            </w:r>
          </w:p>
        </w:tc>
        <w:tc>
          <w:tcPr>
            <w:tcW w:w="96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532B8F8C" w14:textId="77777777" w:rsidR="00025543" w:rsidRDefault="007E3A2F">
            <w:pPr>
              <w:pStyle w:val="P68B1DB1-Normal11"/>
              <w:spacing w:line="240" w:lineRule="auto"/>
              <w:jc w:val="center"/>
              <w:rPr>
                <w:noProof/>
              </w:rPr>
            </w:pPr>
            <w:r>
              <w:rPr>
                <w:noProof/>
              </w:rPr>
              <w:t>TRIMESTRE 2</w:t>
            </w:r>
          </w:p>
        </w:tc>
        <w:tc>
          <w:tcPr>
            <w:tcW w:w="669"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492EC766" w14:textId="77777777" w:rsidR="00025543" w:rsidRDefault="007E3A2F">
            <w:pPr>
              <w:pStyle w:val="P68B1DB1-Normal11"/>
              <w:spacing w:line="240" w:lineRule="auto"/>
              <w:jc w:val="center"/>
              <w:rPr>
                <w:noProof/>
              </w:rPr>
            </w:pPr>
            <w:r>
              <w:rPr>
                <w:noProof/>
              </w:rPr>
              <w:t>2022</w:t>
            </w:r>
          </w:p>
        </w:tc>
        <w:tc>
          <w:tcPr>
            <w:tcW w:w="507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22A47038" w14:textId="77777777" w:rsidR="00025543" w:rsidRDefault="007E3A2F">
            <w:pPr>
              <w:pStyle w:val="P68B1DB1-Normal28"/>
              <w:spacing w:line="240" w:lineRule="auto"/>
              <w:rPr>
                <w:rFonts w:eastAsia="Times New Roman"/>
                <w:noProof/>
              </w:rPr>
            </w:pPr>
            <w:r>
              <w:rPr>
                <w:rFonts w:eastAsia="Times New Roman"/>
                <w:noProof/>
              </w:rPr>
              <w:t xml:space="preserve">L’objectif est atteint par notification de l’attribution de marchés publics à au moins quatre consortiums de recherche et développement </w:t>
            </w:r>
            <w:r>
              <w:rPr>
                <w:noProof/>
              </w:rPr>
              <w:t>dans le domaine des sciences médicales prioritaires et des sciences sociales connexes, à savoir: recherche sur les maladies infectieuses, la recherche sur le cancer, les neurosciences, les troubles métaboliques ou les maladies cardiovasculaires et la recherche sur l’impact socio-économique des maladies</w:t>
            </w:r>
            <w:r>
              <w:rPr>
                <w:rFonts w:eastAsia="Times New Roman"/>
                <w:noProof/>
              </w:rPr>
              <w:t xml:space="preserve">. </w:t>
            </w:r>
          </w:p>
          <w:p w14:paraId="1971D7DB" w14:textId="77777777" w:rsidR="00025543" w:rsidRDefault="007E3A2F">
            <w:pPr>
              <w:pStyle w:val="P68B1DB1-Normal28"/>
              <w:spacing w:line="240" w:lineRule="auto"/>
              <w:rPr>
                <w:noProof/>
              </w:rPr>
            </w:pPr>
            <w:r>
              <w:rPr>
                <w:noProof/>
              </w:rPr>
              <w:t>Le budget total alloué à cette fin s’élève au moins à 196 371 000 EUR.</w:t>
            </w:r>
          </w:p>
        </w:tc>
      </w:tr>
      <w:tr w:rsidR="00025543" w14:paraId="72E5E473" w14:textId="77777777">
        <w:trPr>
          <w:trHeight w:val="945"/>
        </w:trPr>
        <w:tc>
          <w:tcPr>
            <w:tcW w:w="63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2F3AFF5C" w14:textId="77777777" w:rsidR="00025543" w:rsidRDefault="007E3A2F">
            <w:pPr>
              <w:pStyle w:val="P68B1DB1-Normal11"/>
              <w:spacing w:line="240" w:lineRule="auto"/>
              <w:jc w:val="center"/>
              <w:rPr>
                <w:noProof/>
              </w:rPr>
            </w:pPr>
            <w:r>
              <w:rPr>
                <w:noProof/>
              </w:rPr>
              <w:t>225</w:t>
            </w:r>
          </w:p>
        </w:tc>
        <w:tc>
          <w:tcPr>
            <w:tcW w:w="118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05633E19" w14:textId="77777777" w:rsidR="00025543" w:rsidRDefault="007E3A2F">
            <w:pPr>
              <w:pStyle w:val="P68B1DB1-Normal11"/>
              <w:spacing w:line="240" w:lineRule="auto"/>
              <w:rPr>
                <w:noProof/>
              </w:rPr>
            </w:pPr>
            <w:r>
              <w:rPr>
                <w:noProof/>
              </w:rPr>
              <w:t>Investissement 1: Soutien public à la recherche et au développement dans les domaines prioritaires des sciences médicales et des sciences sociales connexes</w:t>
            </w:r>
          </w:p>
        </w:tc>
        <w:tc>
          <w:tcPr>
            <w:tcW w:w="1006"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4B51F81C" w14:textId="77777777" w:rsidR="00025543" w:rsidRDefault="007E3A2F">
            <w:pPr>
              <w:pStyle w:val="P68B1DB1-Normal11"/>
              <w:spacing w:line="240" w:lineRule="auto"/>
              <w:rPr>
                <w:noProof/>
              </w:rPr>
            </w:pPr>
            <w:r>
              <w:rPr>
                <w:noProof/>
              </w:rPr>
              <w:t>Cible</w:t>
            </w:r>
          </w:p>
        </w:tc>
        <w:tc>
          <w:tcPr>
            <w:tcW w:w="105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22A81866" w14:textId="77777777" w:rsidR="00025543" w:rsidRDefault="007E3A2F">
            <w:pPr>
              <w:pStyle w:val="P68B1DB1-Normal28"/>
              <w:spacing w:line="240" w:lineRule="auto"/>
              <w:rPr>
                <w:noProof/>
              </w:rPr>
            </w:pPr>
            <w:r>
              <w:rPr>
                <w:noProof/>
              </w:rPr>
              <w:t xml:space="preserve">Validation d’au moins quatre consortiums nationaux de recherche et développement et leur intégration dans le système tchèque de recherche et développement en tant qu’autorités nationales de recherche </w:t>
            </w:r>
          </w:p>
        </w:tc>
        <w:tc>
          <w:tcPr>
            <w:tcW w:w="1110"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25BCCCCF" w14:textId="77777777" w:rsidR="00025543" w:rsidRDefault="00025543">
            <w:pPr>
              <w:spacing w:line="240" w:lineRule="auto"/>
              <w:rPr>
                <w:rFonts w:eastAsia="Times New Roman"/>
                <w:noProof/>
                <w:color w:val="006100"/>
                <w:sz w:val="18"/>
              </w:rPr>
            </w:pPr>
          </w:p>
        </w:tc>
        <w:tc>
          <w:tcPr>
            <w:tcW w:w="1006"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5709ED2D" w14:textId="77777777" w:rsidR="00025543" w:rsidRDefault="007E3A2F">
            <w:pPr>
              <w:pStyle w:val="P68B1DB1-Normal28"/>
              <w:spacing w:line="240" w:lineRule="auto"/>
              <w:rPr>
                <w:rFonts w:eastAsia="Times New Roman"/>
                <w:noProof/>
              </w:rPr>
            </w:pPr>
            <w:r>
              <w:rPr>
                <w:noProof/>
              </w:rPr>
              <w:t>Nombre de consortiums validés par le ministère de l’éducation, de la jeunesse et des sports</w:t>
            </w:r>
          </w:p>
        </w:tc>
        <w:tc>
          <w:tcPr>
            <w:tcW w:w="1006"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32DCB83B" w14:textId="77777777" w:rsidR="00025543" w:rsidRDefault="007E3A2F">
            <w:pPr>
              <w:pStyle w:val="P68B1DB1-Normal11"/>
              <w:spacing w:line="240" w:lineRule="auto"/>
              <w:jc w:val="center"/>
              <w:rPr>
                <w:noProof/>
              </w:rPr>
            </w:pPr>
            <w:r>
              <w:rPr>
                <w:noProof/>
              </w:rPr>
              <w:t>0</w:t>
            </w:r>
          </w:p>
        </w:tc>
        <w:tc>
          <w:tcPr>
            <w:tcW w:w="1006"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589483F4" w14:textId="77777777" w:rsidR="00025543" w:rsidRDefault="007E3A2F">
            <w:pPr>
              <w:pStyle w:val="P68B1DB1-Normal11"/>
              <w:spacing w:line="240" w:lineRule="auto"/>
              <w:jc w:val="center"/>
              <w:rPr>
                <w:noProof/>
              </w:rPr>
            </w:pPr>
            <w:r>
              <w:rPr>
                <w:noProof/>
              </w:rPr>
              <w:t>4</w:t>
            </w:r>
          </w:p>
        </w:tc>
        <w:tc>
          <w:tcPr>
            <w:tcW w:w="964"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5496FD48" w14:textId="77777777" w:rsidR="00025543" w:rsidRDefault="007E3A2F">
            <w:pPr>
              <w:pStyle w:val="P68B1DB1-Normal11"/>
              <w:spacing w:line="240" w:lineRule="auto"/>
              <w:jc w:val="center"/>
              <w:rPr>
                <w:noProof/>
              </w:rPr>
            </w:pPr>
            <w:r>
              <w:rPr>
                <w:noProof/>
              </w:rPr>
              <w:t>TRIMESTRE 4</w:t>
            </w:r>
          </w:p>
        </w:tc>
        <w:tc>
          <w:tcPr>
            <w:tcW w:w="669"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3F7FA499" w14:textId="77777777" w:rsidR="00025543" w:rsidRDefault="007E3A2F">
            <w:pPr>
              <w:pStyle w:val="P68B1DB1-Normal11"/>
              <w:spacing w:line="240" w:lineRule="auto"/>
              <w:jc w:val="center"/>
              <w:rPr>
                <w:noProof/>
              </w:rPr>
            </w:pPr>
            <w:r>
              <w:rPr>
                <w:noProof/>
              </w:rPr>
              <w:t>2025</w:t>
            </w:r>
          </w:p>
        </w:tc>
        <w:tc>
          <w:tcPr>
            <w:tcW w:w="5078" w:type="dxa"/>
            <w:tcBorders>
              <w:top w:val="single" w:sz="8" w:space="0" w:color="000000"/>
              <w:left w:val="single" w:sz="8" w:space="0" w:color="000000"/>
              <w:bottom w:val="single" w:sz="8" w:space="0" w:color="000000"/>
              <w:right w:val="single" w:sz="8" w:space="0" w:color="000000"/>
            </w:tcBorders>
            <w:shd w:val="clear" w:color="auto" w:fill="C6EFCE"/>
            <w:vAlign w:val="center"/>
          </w:tcPr>
          <w:p w14:paraId="1EDA5B93" w14:textId="52EF3060" w:rsidR="00025543" w:rsidRDefault="007E3A2F">
            <w:pPr>
              <w:pStyle w:val="P68B1DB1-Normal28"/>
              <w:spacing w:line="240" w:lineRule="auto"/>
              <w:rPr>
                <w:noProof/>
              </w:rPr>
            </w:pPr>
            <w:r>
              <w:rPr>
                <w:noProof/>
              </w:rPr>
              <w:t xml:space="preserve">L’objectif est atteint après validation du fonctionnement d’au moins quatre consortiums dans les domaines de la recherche sur les maladies infectieuses, la recherche sur le cancer, les neurosciences, les troubles métaboliques ou les maladies cardiovasculaires et la recherche sur l’impact socio-économique des maladies et leur intégration dans le système tchèque de recherche et développement en tant qu’autorités nationales de recherche par le ministère de l’éducation, de la jeunesse et des sports. </w:t>
            </w:r>
          </w:p>
          <w:p w14:paraId="39F7CFA6" w14:textId="77777777" w:rsidR="00025543" w:rsidRDefault="007E3A2F">
            <w:pPr>
              <w:pStyle w:val="P68B1DB1-Normal28"/>
              <w:spacing w:line="240" w:lineRule="auto"/>
              <w:rPr>
                <w:rFonts w:eastAsia="Times New Roman"/>
                <w:noProof/>
              </w:rPr>
            </w:pPr>
            <w:r>
              <w:rPr>
                <w:noProof/>
              </w:rPr>
              <w:t>Le processus de validation est mené sur la base de l’évaluation et de l’évaluation conformément aux règles nationales établies dans la loi no 130/2002 relative au soutien à la recherche, au développement expérimental et à l’innovation par des fonds publics, à l’examen par les pairs et aux visites d’experts sur place.</w:t>
            </w:r>
          </w:p>
        </w:tc>
      </w:tr>
    </w:tbl>
    <w:p w14:paraId="787A051D" w14:textId="77777777" w:rsidR="00025543" w:rsidRDefault="00025543">
      <w:pPr>
        <w:spacing w:line="240" w:lineRule="auto"/>
        <w:rPr>
          <w:rFonts w:ascii="Calibri" w:hAnsi="Calibri"/>
          <w:noProof/>
          <w:sz w:val="22"/>
        </w:rPr>
      </w:pPr>
    </w:p>
    <w:p w14:paraId="7C2314C1" w14:textId="77777777" w:rsidR="00025543" w:rsidRDefault="00025543">
      <w:pPr>
        <w:pBdr>
          <w:top w:val="nil"/>
          <w:left w:val="nil"/>
          <w:bottom w:val="nil"/>
          <w:right w:val="nil"/>
          <w:between w:val="nil"/>
        </w:pBdr>
        <w:spacing w:line="240" w:lineRule="auto"/>
        <w:rPr>
          <w:rFonts w:ascii="Calibri" w:hAnsi="Calibri"/>
          <w:noProof/>
          <w:color w:val="000000"/>
          <w:sz w:val="22"/>
        </w:rPr>
        <w:sectPr w:rsidR="00025543" w:rsidSect="00997F50">
          <w:headerReference w:type="even" r:id="rId384"/>
          <w:headerReference w:type="default" r:id="rId385"/>
          <w:footerReference w:type="even" r:id="rId386"/>
          <w:footerReference w:type="default" r:id="rId387"/>
          <w:headerReference w:type="first" r:id="rId388"/>
          <w:footerReference w:type="first" r:id="rId389"/>
          <w:pgSz w:w="16839" w:h="11907" w:orient="landscape"/>
          <w:pgMar w:top="1134" w:right="1134" w:bottom="1134" w:left="1134" w:header="567" w:footer="567" w:gutter="0"/>
          <w:cols w:space="720"/>
          <w:docGrid w:linePitch="326"/>
        </w:sectPr>
      </w:pPr>
    </w:p>
    <w:p w14:paraId="68E02D9E" w14:textId="787E0086" w:rsidR="00025543" w:rsidRDefault="007E3A2F">
      <w:pPr>
        <w:pStyle w:val="P68B1DB1-Normal2"/>
        <w:keepNext/>
        <w:tabs>
          <w:tab w:val="left" w:pos="850"/>
        </w:tabs>
        <w:spacing w:line="240" w:lineRule="auto"/>
        <w:jc w:val="both"/>
        <w:outlineLvl w:val="0"/>
        <w:rPr>
          <w:noProof/>
        </w:rPr>
      </w:pPr>
      <w:r>
        <w:rPr>
          <w:noProof/>
        </w:rPr>
        <w:t xml:space="preserve">AA. ÉLÉMENT 5.2: Soutien à la recherche et au développement dans les entreprises et introduction des innovations dans les pratiques commerciales </w:t>
      </w:r>
    </w:p>
    <w:p w14:paraId="7B42E9D3" w14:textId="0584BF63" w:rsidR="00025543" w:rsidRDefault="007E3A2F">
      <w:pPr>
        <w:spacing w:line="240" w:lineRule="auto"/>
        <w:jc w:val="both"/>
        <w:rPr>
          <w:noProof/>
        </w:rPr>
      </w:pPr>
      <w:r>
        <w:rPr>
          <w:noProof/>
        </w:rPr>
        <w:t xml:space="preserve">Ce volet du plan pour la reprise et la résilience de la République tchèque contribue à relever le défi consistant à stimuler la capacité d’innovation des entreprises nationales et à améliorer la coopération au sein de l’écosystème d’innovation tchèque. Pour ce faire, il convient de soutenir les entreprises innovantes, en particulier en ce qui concerne la numérisation, l’innovation organisationnelle et les liens entre les universités et les entreprises. Le soutien met l’accent sur la coopération internationale et les synergies avec le programme-cadre pour la recherche et l’innovation. </w:t>
      </w:r>
    </w:p>
    <w:p w14:paraId="51114547" w14:textId="77777777" w:rsidR="00025543" w:rsidRDefault="007E3A2F">
      <w:pPr>
        <w:pStyle w:val="P68B1DB1-Normal3"/>
        <w:spacing w:line="240" w:lineRule="auto"/>
        <w:jc w:val="both"/>
        <w:rPr>
          <w:noProof/>
          <w:color w:val="000000"/>
        </w:rPr>
      </w:pPr>
      <w:r>
        <w:rPr>
          <w:noProof/>
        </w:rPr>
        <w:t>Le volet soutient la mise en œuvre de la recommandation par pays no 3 2019, selon laquelle la Tchéquie supprime les obstacles au développement d’un écosystème d’innovation pleinement opérationnel, et de la recommandation par pays no 3 2020, selon laquelle la Tchéquie garantit l’accès des entreprises innovantes au financement et améliore la coopération public-privé dans le domaine de la recherche et du développement.</w:t>
      </w:r>
    </w:p>
    <w:p w14:paraId="1E9B97ED" w14:textId="77777777" w:rsidR="00025543" w:rsidRDefault="007E3A2F">
      <w:pPr>
        <w:pStyle w:val="P68B1DB1-Normal3"/>
        <w:spacing w:line="240" w:lineRule="auto"/>
        <w:jc w:val="both"/>
        <w:rPr>
          <w:noProof/>
        </w:rPr>
      </w:pPr>
      <w:r>
        <w:rPr>
          <w:noProof/>
        </w:rPr>
        <w:t>Aucune mesure relevant de ce volet ne devrait causer de préjudice important aux objectifs environnementaux au sens de l’article 17 du règlement (UE) 2020/852, compte tenu de la description des mesures et des mesures d’atténuation prévues dans le plan conformément aux orientations techniques DNSH (2021/C58/01). En particulier, les résultats du processus de R &amp;Isont technologiquement neutres au niveau de leur application (c’est-à-dire qu’ils doivent être appliqués à toutes les technologies disponibles, y compris les technologies à faible impact), et la mesure exclut ex ante la R &amp;I consacrée aux éléments de la «R &amp;I brun» (à savoir le charbon, le lignite, le pétrole/le pétrole, le gaz naturel non couvert par l’annexe III des orientations techniques DNSH, l’hydrogène bleu et gris, les incinérateurs et les décharges).</w:t>
      </w:r>
    </w:p>
    <w:p w14:paraId="52201E7C" w14:textId="77777777" w:rsidR="00025543" w:rsidRDefault="00025543">
      <w:pPr>
        <w:spacing w:line="240" w:lineRule="auto"/>
        <w:jc w:val="both"/>
        <w:rPr>
          <w:rFonts w:eastAsia="Times New Roman"/>
          <w:noProof/>
        </w:rPr>
      </w:pPr>
    </w:p>
    <w:p w14:paraId="353E6E83" w14:textId="0CFB927B" w:rsidR="00025543" w:rsidRDefault="007E3A2F">
      <w:pPr>
        <w:pStyle w:val="P68B1DB1-Normal5"/>
        <w:spacing w:line="240" w:lineRule="auto"/>
        <w:jc w:val="both"/>
        <w:rPr>
          <w:noProof/>
        </w:rPr>
      </w:pPr>
      <w:r>
        <w:rPr>
          <w:noProof/>
        </w:rPr>
        <w:t>AA.1. Description des réformes et des investissements en vue du soutien financier non remboursable</w:t>
      </w:r>
    </w:p>
    <w:p w14:paraId="37226DE8" w14:textId="77777777" w:rsidR="00025543" w:rsidRDefault="007E3A2F">
      <w:pPr>
        <w:pStyle w:val="P68B1DB1-Normal7"/>
        <w:pBdr>
          <w:top w:val="nil"/>
          <w:left w:val="nil"/>
          <w:bottom w:val="nil"/>
          <w:right w:val="nil"/>
          <w:between w:val="nil"/>
        </w:pBdr>
        <w:spacing w:line="240" w:lineRule="auto"/>
        <w:rPr>
          <w:noProof/>
        </w:rPr>
      </w:pPr>
      <w:r>
        <w:rPr>
          <w:noProof/>
        </w:rPr>
        <w:t xml:space="preserve">Réforme 1: Création d’un groupe national de coordination pour le soutien à la recherche industrielle </w:t>
      </w:r>
    </w:p>
    <w:p w14:paraId="3EDF40B6" w14:textId="77777777" w:rsidR="00025543" w:rsidRDefault="007E3A2F">
      <w:pPr>
        <w:pBdr>
          <w:top w:val="nil"/>
          <w:left w:val="nil"/>
          <w:bottom w:val="nil"/>
          <w:right w:val="nil"/>
          <w:between w:val="nil"/>
        </w:pBdr>
        <w:spacing w:line="240" w:lineRule="auto"/>
        <w:jc w:val="both"/>
        <w:rPr>
          <w:noProof/>
        </w:rPr>
      </w:pPr>
      <w:r>
        <w:rPr>
          <w:noProof/>
        </w:rPr>
        <w:t>La réforme prévoit la création d’un groupe national de coordination</w:t>
      </w:r>
      <w:r>
        <w:rPr>
          <w:rFonts w:eastAsia="Times New Roman"/>
          <w:noProof/>
          <w:color w:val="000000"/>
        </w:rPr>
        <w:t xml:space="preserve"> pour le soutien à la recherche industrielle</w:t>
      </w:r>
      <w:r>
        <w:rPr>
          <w:noProof/>
        </w:rPr>
        <w:t xml:space="preserve">, qui harmonisera les politiques de soutien à la R &amp;DD industrielle entre les décideurs politiques, les fournisseurs d’aide à la RDI existants et le Conseil gouvernemental pour la RDI. </w:t>
      </w:r>
    </w:p>
    <w:p w14:paraId="15C26162" w14:textId="77777777" w:rsidR="00025543" w:rsidRDefault="007E3A2F">
      <w:pPr>
        <w:pBdr>
          <w:top w:val="nil"/>
          <w:left w:val="nil"/>
          <w:bottom w:val="nil"/>
          <w:right w:val="nil"/>
          <w:between w:val="nil"/>
        </w:pBdr>
        <w:spacing w:line="240" w:lineRule="auto"/>
        <w:jc w:val="both"/>
        <w:rPr>
          <w:noProof/>
        </w:rPr>
      </w:pPr>
      <w:r>
        <w:rPr>
          <w:noProof/>
        </w:rPr>
        <w:t xml:space="preserve">Le groupe national de coordination veille à la mise en place d’une structure de soutien aux programmes compatibles avec la stratégie de spécialisation intelligente. Elle devrait harmoniser les conditions d’octroi de l’aide et la concentration de tous les programmes concernés au sein d’un seul organisme de mise en œuvre, à savoir l’Agence des technologies de la République tchèque. </w:t>
      </w:r>
    </w:p>
    <w:p w14:paraId="5D1EA938" w14:textId="77777777" w:rsidR="00025543" w:rsidRDefault="007E3A2F">
      <w:pPr>
        <w:pStyle w:val="P68B1DB1-Normal4"/>
        <w:spacing w:line="240" w:lineRule="auto"/>
        <w:jc w:val="both"/>
        <w:rPr>
          <w:noProof/>
        </w:rPr>
      </w:pPr>
      <w:r>
        <w:rPr>
          <w:noProof/>
        </w:rPr>
        <w:t>La réforme est mise en œuvre au plus tard le 31 décembre 2021.</w:t>
      </w:r>
    </w:p>
    <w:p w14:paraId="7C4EA128" w14:textId="77777777" w:rsidR="00025543" w:rsidRDefault="007E3A2F">
      <w:pPr>
        <w:pStyle w:val="P68B1DB1-Normal18"/>
        <w:spacing w:line="240" w:lineRule="auto"/>
        <w:rPr>
          <w:noProof/>
          <w:color w:val="000000"/>
        </w:rPr>
      </w:pPr>
      <w:r>
        <w:rPr>
          <w:noProof/>
        </w:rPr>
        <w:t>Investissement 1: Soutien à l’introduction de l’innovation dans la pratique des entreprises</w:t>
      </w:r>
    </w:p>
    <w:p w14:paraId="6F89773C" w14:textId="77777777" w:rsidR="00025543" w:rsidRDefault="007E3A2F">
      <w:pPr>
        <w:pStyle w:val="P68B1DB1-Normal4"/>
        <w:spacing w:line="240" w:lineRule="auto"/>
        <w:jc w:val="both"/>
        <w:rPr>
          <w:noProof/>
          <w:sz w:val="22"/>
        </w:rPr>
      </w:pPr>
      <w:r>
        <w:rPr>
          <w:noProof/>
        </w:rPr>
        <w:t xml:space="preserve">La mesure vise à soutenir les projets d’innovation des PME en vue d’introduire une innovation en matière de produit, de procédé ou d’organisation dans la pratique commerciale. </w:t>
      </w:r>
    </w:p>
    <w:p w14:paraId="07B034CF" w14:textId="77777777" w:rsidR="00025543" w:rsidRDefault="007E3A2F">
      <w:pPr>
        <w:pStyle w:val="P68B1DB1-Normal4"/>
        <w:spacing w:line="240" w:lineRule="auto"/>
        <w:jc w:val="both"/>
        <w:rPr>
          <w:noProof/>
          <w:sz w:val="22"/>
        </w:rPr>
      </w:pPr>
      <w:r>
        <w:rPr>
          <w:noProof/>
        </w:rPr>
        <w:t>90 projets d’innovation individuels réalisés par des PME (processus, produit, organisation) doivent être mis en œuvre à la suite du projet soutenu.</w:t>
      </w:r>
    </w:p>
    <w:p w14:paraId="0DE68DFE" w14:textId="2EB2DD0F" w:rsidR="00025543" w:rsidRDefault="007E3A2F">
      <w:pPr>
        <w:tabs>
          <w:tab w:val="right" w:pos="9639"/>
        </w:tabs>
        <w:spacing w:line="240" w:lineRule="auto"/>
        <w:jc w:val="both"/>
        <w:rPr>
          <w:rFonts w:ascii="Calibri" w:hAnsi="Calibri"/>
          <w:noProof/>
          <w:sz w:val="22"/>
        </w:rPr>
      </w:pPr>
      <w:r>
        <w:rPr>
          <w:rFonts w:eastAsia="Times New Roman"/>
          <w:noProof/>
          <w:color w:val="000000"/>
        </w:rPr>
        <w:t>L’investissement est mis en œuvre au plus tard le 31 mars 2026.</w:t>
      </w:r>
      <w:r>
        <w:rPr>
          <w:noProof/>
        </w:rPr>
        <w:t xml:space="preserve"> </w:t>
      </w:r>
    </w:p>
    <w:p w14:paraId="60E203DE" w14:textId="77777777" w:rsidR="00025543" w:rsidRDefault="007E3A2F">
      <w:pPr>
        <w:pStyle w:val="P68B1DB1-Normal26"/>
        <w:autoSpaceDE w:val="0"/>
        <w:autoSpaceDN w:val="0"/>
        <w:adjustRightInd w:val="0"/>
        <w:spacing w:line="240" w:lineRule="auto"/>
        <w:rPr>
          <w:noProof/>
        </w:rPr>
      </w:pPr>
      <w:r>
        <w:rPr>
          <w:noProof/>
        </w:rPr>
        <w:t xml:space="preserve">Investissement 2: Soutien à la coopération en matière de R &amp;D(conformément à la stratégie nationale RIS3) </w:t>
      </w:r>
    </w:p>
    <w:p w14:paraId="59BB3722" w14:textId="78ECE6CA" w:rsidR="00025543" w:rsidRDefault="007E3A2F">
      <w:pPr>
        <w:pStyle w:val="P68B1DB1-Normal3"/>
        <w:autoSpaceDE w:val="0"/>
        <w:autoSpaceDN w:val="0"/>
        <w:adjustRightInd w:val="0"/>
        <w:spacing w:line="240" w:lineRule="auto"/>
        <w:jc w:val="both"/>
        <w:rPr>
          <w:noProof/>
        </w:rPr>
      </w:pPr>
      <w:r>
        <w:rPr>
          <w:noProof/>
        </w:rPr>
        <w:t xml:space="preserve">La mesure vise à soutenir la coopération entre les organismes de recherche et les PME dans le cadre du programme des centres nationaux de compétences. </w:t>
      </w:r>
    </w:p>
    <w:p w14:paraId="7E3F0B3C" w14:textId="07FC8851" w:rsidR="00025543" w:rsidRDefault="007E3A2F">
      <w:pPr>
        <w:pStyle w:val="P68B1DB1-Normal3"/>
        <w:autoSpaceDE w:val="0"/>
        <w:autoSpaceDN w:val="0"/>
        <w:adjustRightInd w:val="0"/>
        <w:spacing w:line="240" w:lineRule="auto"/>
        <w:jc w:val="both"/>
        <w:rPr>
          <w:noProof/>
        </w:rPr>
      </w:pPr>
      <w:r>
        <w:rPr>
          <w:noProof/>
        </w:rPr>
        <w:t>Les projets de coopération d’au moins 60 PME avec un organisme public de recherche dans le cadre de centres de compétences nationaux nouvellement créés sont soutenus.</w:t>
      </w:r>
    </w:p>
    <w:p w14:paraId="1334D395" w14:textId="4652920D" w:rsidR="00025543" w:rsidRDefault="007E3A2F">
      <w:pPr>
        <w:pStyle w:val="P68B1DB1-Normal3"/>
        <w:autoSpaceDE w:val="0"/>
        <w:autoSpaceDN w:val="0"/>
        <w:adjustRightInd w:val="0"/>
        <w:spacing w:line="259" w:lineRule="auto"/>
        <w:contextualSpacing/>
        <w:jc w:val="both"/>
        <w:rPr>
          <w:noProof/>
          <w:sz w:val="22"/>
        </w:rPr>
      </w:pPr>
      <w:r>
        <w:rPr>
          <w:noProof/>
        </w:rPr>
        <w:t xml:space="preserve">L’investissement est mis </w:t>
      </w:r>
      <w:r>
        <w:rPr>
          <w:noProof/>
          <w:color w:val="000000" w:themeColor="text1"/>
        </w:rPr>
        <w:t>en œuvre</w:t>
      </w:r>
      <w:r>
        <w:rPr>
          <w:noProof/>
        </w:rPr>
        <w:t xml:space="preserve"> au plus tard le 31 mars 2026.</w:t>
      </w:r>
    </w:p>
    <w:p w14:paraId="6CA5A6BC" w14:textId="77777777" w:rsidR="00025543" w:rsidRDefault="007E3A2F">
      <w:pPr>
        <w:pStyle w:val="P68B1DB1-Normal26"/>
        <w:spacing w:line="259" w:lineRule="auto"/>
        <w:jc w:val="both"/>
        <w:rPr>
          <w:noProof/>
        </w:rPr>
      </w:pPr>
      <w:r>
        <w:rPr>
          <w:noProof/>
        </w:rPr>
        <w:t>Investissement 3: Aides à la recherche et au développement dans le domaine de l’environnement</w:t>
      </w:r>
    </w:p>
    <w:p w14:paraId="29FA6F90" w14:textId="77777777" w:rsidR="00025543" w:rsidRDefault="007E3A2F">
      <w:pPr>
        <w:pStyle w:val="P68B1DB1-Normal3"/>
        <w:autoSpaceDE w:val="0"/>
        <w:autoSpaceDN w:val="0"/>
        <w:adjustRightInd w:val="0"/>
        <w:spacing w:line="259" w:lineRule="auto"/>
        <w:contextualSpacing/>
        <w:jc w:val="both"/>
        <w:rPr>
          <w:noProof/>
        </w:rPr>
      </w:pPr>
      <w:r>
        <w:rPr>
          <w:noProof/>
        </w:rPr>
        <w:t xml:space="preserve">La mesure vise à soutenir les projets de RDI industriels présentés par des organismes de recherche et des entreprises, y compris des projets collaboratifs, visant à relever les défis recensés dans le cadre de la «politique environnementale de la République tchèque en 2030 avec une perspective à l’horizon 2050» et de la stratégie sectorielle de soutien à la recherche. Les projets de RDI se concentrent sur des domaines thématiques prioritaires tels que la protection et l’utilisation durable des ressources naturelles, la protection du climat et l’amélioration de la qualité de l’air, la gestion et la réutilisation des déchets, la protection de la nature et du paysage ou un environnement sûr et résilient, y compris la prévention et la réduction des conséquences des risques naturels et anthropiques. </w:t>
      </w:r>
    </w:p>
    <w:p w14:paraId="0796A522" w14:textId="77777777" w:rsidR="00025543" w:rsidRDefault="00025543">
      <w:pPr>
        <w:autoSpaceDE w:val="0"/>
        <w:autoSpaceDN w:val="0"/>
        <w:adjustRightInd w:val="0"/>
        <w:spacing w:line="259" w:lineRule="auto"/>
        <w:contextualSpacing/>
        <w:jc w:val="both"/>
        <w:rPr>
          <w:rFonts w:eastAsia="Times New Roman"/>
          <w:noProof/>
        </w:rPr>
      </w:pPr>
    </w:p>
    <w:p w14:paraId="3949B735" w14:textId="68B9D7D5" w:rsidR="00025543" w:rsidRDefault="007E3A2F">
      <w:pPr>
        <w:pStyle w:val="P68B1DB1-Normal3"/>
        <w:autoSpaceDE w:val="0"/>
        <w:autoSpaceDN w:val="0"/>
        <w:adjustRightInd w:val="0"/>
        <w:spacing w:line="259" w:lineRule="auto"/>
        <w:contextualSpacing/>
        <w:jc w:val="both"/>
        <w:rPr>
          <w:noProof/>
        </w:rPr>
      </w:pPr>
      <w:r>
        <w:rPr>
          <w:noProof/>
        </w:rPr>
        <w:t xml:space="preserve"> Au moins 15 projets de RDI dans le domaine de l’environnement seront soutenus.</w:t>
      </w:r>
    </w:p>
    <w:p w14:paraId="5C064C63" w14:textId="62303FDC" w:rsidR="00025543" w:rsidRDefault="007E3A2F">
      <w:pPr>
        <w:pStyle w:val="P68B1DB1-Normal3"/>
        <w:spacing w:line="240" w:lineRule="auto"/>
        <w:rPr>
          <w:noProof/>
          <w:sz w:val="22"/>
        </w:rPr>
      </w:pPr>
      <w:r>
        <w:rPr>
          <w:noProof/>
        </w:rPr>
        <w:t>L’investissement est mis en œuvre au plus tard le 31 mars 2026.</w:t>
      </w:r>
    </w:p>
    <w:p w14:paraId="78AD4D86" w14:textId="77777777" w:rsidR="00025543" w:rsidRDefault="007E3A2F">
      <w:pPr>
        <w:pStyle w:val="P68B1DB1-Normal26"/>
        <w:spacing w:line="240" w:lineRule="auto"/>
        <w:jc w:val="both"/>
        <w:rPr>
          <w:noProof/>
          <w:color w:val="000000"/>
          <w:sz w:val="23"/>
        </w:rPr>
      </w:pPr>
      <w:r>
        <w:rPr>
          <w:noProof/>
        </w:rPr>
        <w:t xml:space="preserve">Investissement 4: </w:t>
      </w:r>
      <w:r>
        <w:rPr>
          <w:noProof/>
          <w:color w:val="000000"/>
          <w:sz w:val="23"/>
        </w:rPr>
        <w:t>Soutien à la recherche et au développement en synergie avec le programme-cadre pour la recherche et l’innovation</w:t>
      </w:r>
    </w:p>
    <w:p w14:paraId="2B840C89" w14:textId="502BA790" w:rsidR="00025543" w:rsidRDefault="007E3A2F">
      <w:pPr>
        <w:pStyle w:val="P68B1DB1-Normal3"/>
        <w:autoSpaceDE w:val="0"/>
        <w:autoSpaceDN w:val="0"/>
        <w:adjustRightInd w:val="0"/>
        <w:spacing w:line="259" w:lineRule="auto"/>
        <w:contextualSpacing/>
        <w:jc w:val="both"/>
        <w:rPr>
          <w:noProof/>
          <w:sz w:val="22"/>
        </w:rPr>
      </w:pPr>
      <w:r>
        <w:rPr>
          <w:noProof/>
        </w:rPr>
        <w:t xml:space="preserve">La mesure vise à financer des projets portant le label d’excellence, en particulier les instruments de l’Accélérateur du Conseil européen de l’innovation (y compris le projet pilote relatif à l’Accélérateur du CEI), qui soutient les PME présentant le plus grand potentiel de croissance rapide, ainsi qu’à soutenir les cofinancements NET de l’Espace européen de la recherche (partenariats européens) qui répondent aux défis les plus urgents en matière de recherche et de développement dans le contexte international. </w:t>
      </w:r>
    </w:p>
    <w:p w14:paraId="03E1AB2E" w14:textId="77777777" w:rsidR="00025543" w:rsidRDefault="00025543">
      <w:pPr>
        <w:autoSpaceDE w:val="0"/>
        <w:autoSpaceDN w:val="0"/>
        <w:adjustRightInd w:val="0"/>
        <w:spacing w:line="259" w:lineRule="auto"/>
        <w:contextualSpacing/>
        <w:jc w:val="both"/>
        <w:rPr>
          <w:rFonts w:eastAsia="Times New Roman"/>
          <w:noProof/>
        </w:rPr>
      </w:pPr>
    </w:p>
    <w:p w14:paraId="0370BB29" w14:textId="77777777" w:rsidR="00025543" w:rsidRDefault="007E3A2F">
      <w:pPr>
        <w:pStyle w:val="P68B1DB1-Normal3"/>
        <w:autoSpaceDE w:val="0"/>
        <w:autoSpaceDN w:val="0"/>
        <w:adjustRightInd w:val="0"/>
        <w:spacing w:line="259" w:lineRule="auto"/>
        <w:contextualSpacing/>
        <w:jc w:val="both"/>
        <w:rPr>
          <w:noProof/>
          <w:sz w:val="22"/>
        </w:rPr>
      </w:pPr>
      <w:r>
        <w:rPr>
          <w:noProof/>
        </w:rPr>
        <w:t>Au moins 16 entreprises participant aux cofonds NET de l’Espace européen de la recherche et au moins 8 entreprises présentant des projets ayant reçu le label d’excellence bénéficieront d’un soutien.</w:t>
      </w:r>
    </w:p>
    <w:p w14:paraId="2FC08420" w14:textId="37C528D3" w:rsidR="00025543" w:rsidRDefault="007E3A2F">
      <w:pPr>
        <w:pStyle w:val="P68B1DB1-Normal3"/>
        <w:spacing w:line="240" w:lineRule="auto"/>
        <w:rPr>
          <w:noProof/>
        </w:rPr>
      </w:pPr>
      <w:r>
        <w:rPr>
          <w:noProof/>
        </w:rPr>
        <w:t xml:space="preserve">L’investissement est mis en œuvre au plus tard le 31 mars 2026. </w:t>
      </w:r>
    </w:p>
    <w:p w14:paraId="5E422004" w14:textId="397ACEFC" w:rsidR="00025543" w:rsidRDefault="007E3A2F">
      <w:pPr>
        <w:pStyle w:val="P68B1DB1-Normal26"/>
        <w:spacing w:line="257" w:lineRule="auto"/>
        <w:jc w:val="both"/>
        <w:rPr>
          <w:noProof/>
        </w:rPr>
      </w:pPr>
      <w:r>
        <w:rPr>
          <w:noProof/>
        </w:rPr>
        <w:t>Investissement 5: Aides à la recherche et au développement dans les entreprises conformément à la stratégie nationale RIS3</w:t>
      </w:r>
    </w:p>
    <w:p w14:paraId="3EB8E3CB" w14:textId="21BC0331" w:rsidR="00025543" w:rsidRDefault="007E3A2F">
      <w:pPr>
        <w:pStyle w:val="P68B1DB1-Normal3"/>
        <w:spacing w:line="257" w:lineRule="auto"/>
        <w:jc w:val="both"/>
        <w:rPr>
          <w:noProof/>
        </w:rPr>
      </w:pPr>
      <w:r>
        <w:rPr>
          <w:noProof/>
        </w:rPr>
        <w:t>La mesure vise à soutenir les projets de recherche industrielle et de développement expérimental présentés par les entreprises conformément à la stratégie nationale RIS3.</w:t>
      </w:r>
    </w:p>
    <w:p w14:paraId="7DF72562" w14:textId="335EBCF5" w:rsidR="00025543" w:rsidRDefault="007E3A2F">
      <w:pPr>
        <w:pStyle w:val="P68B1DB1-Normal3"/>
        <w:spacing w:line="257" w:lineRule="auto"/>
        <w:jc w:val="both"/>
        <w:rPr>
          <w:noProof/>
        </w:rPr>
      </w:pPr>
      <w:r>
        <w:rPr>
          <w:noProof/>
        </w:rPr>
        <w:t xml:space="preserve">L’appel d’offres vise à soutenir des projets de recherche industrielle et de développement expérimental visant à mettre en pratique les résultats, notamment en ce qui concerne la production industrielle et la fourniture de produits sur le marché, les projets visant à développer de nouveaux services, technologies et matériaux, le renforcement de l’automatisation et de la robotisation et l’utilisation des technologies numériques. </w:t>
      </w:r>
    </w:p>
    <w:p w14:paraId="1EF88FE4" w14:textId="74B6D9DD" w:rsidR="00025543" w:rsidRDefault="007E3A2F">
      <w:pPr>
        <w:pStyle w:val="P68B1DB1-Normal3"/>
        <w:spacing w:line="259" w:lineRule="auto"/>
        <w:contextualSpacing/>
        <w:jc w:val="both"/>
        <w:rPr>
          <w:noProof/>
        </w:rPr>
      </w:pPr>
      <w:r>
        <w:rPr>
          <w:noProof/>
        </w:rPr>
        <w:t xml:space="preserve">Les projets sélectionnés pour bénéficier d’un soutien seront conformes à un domaine de spécialisation de la R &amp;DI-I de la stratégie nationale RIS3. </w:t>
      </w:r>
    </w:p>
    <w:p w14:paraId="31F6BDC5" w14:textId="372EA4ED" w:rsidR="00025543" w:rsidRDefault="007E3A2F">
      <w:pPr>
        <w:pStyle w:val="P68B1DB1-Normal3"/>
        <w:autoSpaceDE w:val="0"/>
        <w:autoSpaceDN w:val="0"/>
        <w:adjustRightInd w:val="0"/>
        <w:spacing w:line="240" w:lineRule="auto"/>
        <w:jc w:val="both"/>
        <w:rPr>
          <w:noProof/>
        </w:rPr>
      </w:pPr>
      <w:r>
        <w:rPr>
          <w:noProof/>
        </w:rPr>
        <w:t>Des conventions de subvention sont signées pour soutenir au moins 68 projets. Le budget total engagé dans les conventions de subvention pour tous les projets et pour l’ensemble de la période de mise en œuvre s’élève à au moins 53.9 millions d’euros.</w:t>
      </w:r>
    </w:p>
    <w:p w14:paraId="35D6E949" w14:textId="25D0F55D" w:rsidR="00025543" w:rsidRDefault="007E3A2F">
      <w:pPr>
        <w:pStyle w:val="P68B1DB1-Normal3"/>
        <w:spacing w:line="240" w:lineRule="auto"/>
        <w:jc w:val="both"/>
        <w:rPr>
          <w:noProof/>
        </w:rPr>
      </w:pPr>
      <w:r>
        <w:rPr>
          <w:noProof/>
        </w:rPr>
        <w:t xml:space="preserve">L’investissement est mis </w:t>
      </w:r>
      <w:r>
        <w:rPr>
          <w:noProof/>
          <w:color w:val="000000" w:themeColor="text1"/>
        </w:rPr>
        <w:t>en œuvre</w:t>
      </w:r>
      <w:r>
        <w:rPr>
          <w:noProof/>
        </w:rPr>
        <w:t xml:space="preserve"> au plus tard le 31 mars 2026.</w:t>
      </w:r>
    </w:p>
    <w:p w14:paraId="49F0BDB1" w14:textId="77777777" w:rsidR="00025543" w:rsidRDefault="007E3A2F">
      <w:pPr>
        <w:pStyle w:val="P68B1DB1-Normal26"/>
        <w:spacing w:line="257" w:lineRule="auto"/>
        <w:jc w:val="both"/>
        <w:rPr>
          <w:noProof/>
        </w:rPr>
      </w:pPr>
      <w:r>
        <w:rPr>
          <w:noProof/>
        </w:rPr>
        <w:t>Investissement 6: Aides à la recherche et au développement dans le domaine des transports</w:t>
      </w:r>
    </w:p>
    <w:p w14:paraId="57E7B48A" w14:textId="3ADCF6B1" w:rsidR="00025543" w:rsidRDefault="007E3A2F">
      <w:pPr>
        <w:pStyle w:val="P68B1DB1-Normal3"/>
        <w:spacing w:line="257" w:lineRule="auto"/>
        <w:jc w:val="both"/>
        <w:rPr>
          <w:noProof/>
        </w:rPr>
      </w:pPr>
      <w:r>
        <w:rPr>
          <w:noProof/>
        </w:rPr>
        <w:t xml:space="preserve">La mesure vise à soutenir les projets de R &amp;D&amp;Idans le domaine des transports. </w:t>
      </w:r>
    </w:p>
    <w:p w14:paraId="37A33338" w14:textId="7D40FBE0" w:rsidR="00025543" w:rsidRDefault="007E3A2F">
      <w:pPr>
        <w:pStyle w:val="P68B1DB1-Normal3"/>
        <w:spacing w:line="257" w:lineRule="auto"/>
        <w:jc w:val="both"/>
        <w:rPr>
          <w:noProof/>
        </w:rPr>
      </w:pPr>
      <w:r>
        <w:rPr>
          <w:noProof/>
        </w:rPr>
        <w:t>L’appel d’offres vise à soutenir des projets de recherche appliquée, de développement expérimental et d’innovation dans l’un des domaines suivants: I) des transports durables, accessibles et sûrs, ii) l’automatisation, la numérisation et les transports technologiquement avancés, iii) les transports à émissions nulles.</w:t>
      </w:r>
    </w:p>
    <w:p w14:paraId="3C3CDB8D" w14:textId="77777777" w:rsidR="00025543" w:rsidRDefault="007E3A2F">
      <w:pPr>
        <w:pStyle w:val="P68B1DB1-Normal3"/>
        <w:spacing w:line="257" w:lineRule="auto"/>
        <w:jc w:val="both"/>
        <w:rPr>
          <w:noProof/>
        </w:rPr>
      </w:pPr>
      <w:r>
        <w:rPr>
          <w:noProof/>
        </w:rPr>
        <w:t xml:space="preserve">Les projets sélectionnés pour bénéficier d’un soutien doivent également être conformes à l’un des deux domaines de spécialisation suivants de la stratégie nationale RIS3: I) les transports verts; et ii) des transports technologiquement avancés et sûrs. </w:t>
      </w:r>
    </w:p>
    <w:p w14:paraId="6E1641A7" w14:textId="05D2FBBE" w:rsidR="00025543" w:rsidRDefault="007E3A2F">
      <w:pPr>
        <w:pStyle w:val="P68B1DB1-Normal3"/>
        <w:spacing w:line="257" w:lineRule="auto"/>
        <w:jc w:val="both"/>
        <w:rPr>
          <w:noProof/>
        </w:rPr>
      </w:pPr>
      <w:r>
        <w:rPr>
          <w:noProof/>
        </w:rPr>
        <w:t xml:space="preserve">Des conventions de subvention sont signées pour soutenir au moins 16 projets. Le budget total engagé dans les conventions de subvention pour l’ensemble de la période de mise en œuvre des projets s’élève à au moins 8 millions d’euros. </w:t>
      </w:r>
    </w:p>
    <w:p w14:paraId="663F9404" w14:textId="07980576" w:rsidR="00025543" w:rsidRDefault="007E3A2F">
      <w:pPr>
        <w:pStyle w:val="P68B1DB1-Normal3"/>
        <w:spacing w:line="257" w:lineRule="auto"/>
        <w:jc w:val="both"/>
        <w:rPr>
          <w:noProof/>
        </w:rPr>
      </w:pPr>
      <w:r>
        <w:rPr>
          <w:noProof/>
        </w:rPr>
        <w:t>L’investissement est mis en œuvre au plus tard le 31 mars 2026.</w:t>
      </w:r>
    </w:p>
    <w:p w14:paraId="22CD6A86" w14:textId="44082350" w:rsidR="00025543" w:rsidRDefault="007E3A2F">
      <w:pPr>
        <w:pStyle w:val="P68B1DB1-Normal26"/>
        <w:spacing w:line="259" w:lineRule="auto"/>
        <w:jc w:val="both"/>
        <w:rPr>
          <w:noProof/>
        </w:rPr>
      </w:pPr>
      <w:r>
        <w:rPr>
          <w:noProof/>
        </w:rPr>
        <w:t>Investissement 7: Aides à la recherche et au développement dans le domaine de l’environnement</w:t>
      </w:r>
    </w:p>
    <w:p w14:paraId="0CC67BBF" w14:textId="3661DD03" w:rsidR="00025543" w:rsidRDefault="007E3A2F">
      <w:pPr>
        <w:pStyle w:val="P68B1DB1-Normal3"/>
        <w:spacing w:line="257" w:lineRule="auto"/>
        <w:jc w:val="both"/>
        <w:rPr>
          <w:noProof/>
        </w:rPr>
      </w:pPr>
      <w:r>
        <w:rPr>
          <w:noProof/>
        </w:rPr>
        <w:t>La mesure vise à soutenir les projets de RDI industriels présentés par des organismes de recherche et des entreprises, y compris des projets collaboratifs, visant à relever les défis recensés dans le cadre de la «politique environnementale de la République tchèque en 2030 avec une perspective à l’horizon 2050» et de la stratégie sectorielle de soutien à la recherche.</w:t>
      </w:r>
    </w:p>
    <w:p w14:paraId="4A7CEF28" w14:textId="1307D426" w:rsidR="00025543" w:rsidRDefault="007E3A2F">
      <w:pPr>
        <w:pStyle w:val="P68B1DB1-Normal3"/>
        <w:spacing w:line="257" w:lineRule="auto"/>
        <w:jc w:val="both"/>
        <w:rPr>
          <w:noProof/>
        </w:rPr>
      </w:pPr>
      <w:r>
        <w:rPr>
          <w:noProof/>
        </w:rPr>
        <w:t>Les projets sélectionnés pour bénéficier d’un soutien seront conformes à un domaine de spécialisation de la R &amp;DI-I de la stratégie nationale RIS3.</w:t>
      </w:r>
    </w:p>
    <w:p w14:paraId="76BA9A8B" w14:textId="0AE2F9C9" w:rsidR="00025543" w:rsidRDefault="007E3A2F">
      <w:pPr>
        <w:pStyle w:val="P68B1DB1-Normal3"/>
        <w:spacing w:line="257" w:lineRule="auto"/>
        <w:jc w:val="both"/>
        <w:rPr>
          <w:noProof/>
        </w:rPr>
      </w:pPr>
      <w:r>
        <w:rPr>
          <w:noProof/>
        </w:rPr>
        <w:t>Des conventions de subvention sont signées pour soutenir au moins 35 projets dans le domaine de l’environnement. Le budget total engagé dans les conventions de subvention pour l’ensemble de la période de mise en œuvre des projets s’élève à au moins 17.9 millions d’euros.</w:t>
      </w:r>
    </w:p>
    <w:p w14:paraId="099F648A" w14:textId="2E6CCEFC" w:rsidR="00025543" w:rsidRDefault="007E3A2F">
      <w:pPr>
        <w:pStyle w:val="P68B1DB1-Normal3"/>
        <w:spacing w:line="240" w:lineRule="auto"/>
        <w:jc w:val="both"/>
        <w:rPr>
          <w:noProof/>
        </w:rPr>
        <w:sectPr w:rsidR="00025543" w:rsidSect="00997F50">
          <w:headerReference w:type="even" r:id="rId390"/>
          <w:headerReference w:type="default" r:id="rId391"/>
          <w:footerReference w:type="even" r:id="rId392"/>
          <w:footerReference w:type="default" r:id="rId393"/>
          <w:headerReference w:type="first" r:id="rId394"/>
          <w:footerReference w:type="first" r:id="rId395"/>
          <w:pgSz w:w="11907" w:h="16839"/>
          <w:pgMar w:top="1134" w:right="1134" w:bottom="1134" w:left="1134" w:header="567" w:footer="567" w:gutter="0"/>
          <w:cols w:space="720"/>
          <w:docGrid w:linePitch="360"/>
        </w:sectPr>
      </w:pPr>
      <w:r>
        <w:rPr>
          <w:noProof/>
        </w:rPr>
        <w:t>L’investissement est mis en œuvre au plus tard le 31 mars 2026.</w:t>
      </w:r>
    </w:p>
    <w:p w14:paraId="265AC372" w14:textId="176BA373" w:rsidR="00025543" w:rsidRDefault="007E3A2F">
      <w:pPr>
        <w:pStyle w:val="P68B1DB1-Normal5"/>
        <w:tabs>
          <w:tab w:val="left" w:pos="993"/>
        </w:tabs>
        <w:spacing w:line="240" w:lineRule="auto"/>
        <w:jc w:val="both"/>
        <w:rPr>
          <w:noProof/>
        </w:rPr>
      </w:pPr>
      <w:r>
        <w:rPr>
          <w:noProof/>
        </w:rPr>
        <w:t xml:space="preserve">AA.2. Jalons, cibles, indicateurs et calendrier de suivi et de mise en œuvre en vue du soutien financier non remboursable </w:t>
      </w:r>
    </w:p>
    <w:tbl>
      <w:tblPr>
        <w:tblW w:w="0" w:type="auto"/>
        <w:tblLayout w:type="fixed"/>
        <w:tblLook w:val="04A0" w:firstRow="1" w:lastRow="0" w:firstColumn="1" w:lastColumn="0" w:noHBand="0" w:noVBand="1"/>
      </w:tblPr>
      <w:tblGrid>
        <w:gridCol w:w="675"/>
        <w:gridCol w:w="1276"/>
        <w:gridCol w:w="1077"/>
        <w:gridCol w:w="1418"/>
        <w:gridCol w:w="1134"/>
        <w:gridCol w:w="1417"/>
        <w:gridCol w:w="1134"/>
        <w:gridCol w:w="709"/>
        <w:gridCol w:w="850"/>
        <w:gridCol w:w="639"/>
        <w:gridCol w:w="4745"/>
      </w:tblGrid>
      <w:tr w:rsidR="00025543" w14:paraId="0234ED61" w14:textId="77777777">
        <w:trPr>
          <w:trHeight w:val="75"/>
          <w:tblHeader/>
        </w:trPr>
        <w:tc>
          <w:tcPr>
            <w:tcW w:w="675"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0308A67D" w14:textId="77777777" w:rsidR="00025543" w:rsidRDefault="007E3A2F">
            <w:pPr>
              <w:pStyle w:val="P68B1DB1-Normal9"/>
              <w:spacing w:line="240" w:lineRule="auto"/>
              <w:jc w:val="center"/>
              <w:rPr>
                <w:noProof/>
              </w:rPr>
            </w:pPr>
            <w:r>
              <w:rPr>
                <w:noProof/>
              </w:rPr>
              <w:t xml:space="preserve">Séquence NUM.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7DE7B41E" w14:textId="77777777" w:rsidR="00025543" w:rsidRDefault="007E3A2F">
            <w:pPr>
              <w:pStyle w:val="P68B1DB1-Normal9"/>
              <w:spacing w:line="240" w:lineRule="auto"/>
              <w:jc w:val="center"/>
              <w:rPr>
                <w:noProof/>
              </w:rPr>
            </w:pPr>
            <w:r>
              <w:rPr>
                <w:noProof/>
              </w:rPr>
              <w:t xml:space="preserve">Mesure connexe (réforme ou investissement) </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3CF5D145" w14:textId="77777777" w:rsidR="00025543" w:rsidRDefault="007E3A2F">
            <w:pPr>
              <w:pStyle w:val="P68B1DB1-Normal9"/>
              <w:spacing w:line="240" w:lineRule="auto"/>
              <w:jc w:val="center"/>
              <w:rPr>
                <w:noProof/>
              </w:rPr>
            </w:pPr>
            <w:r>
              <w:rPr>
                <w:noProof/>
              </w:rPr>
              <w:t xml:space="preserve">Jalon/cible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3D6A23E6" w14:textId="77777777" w:rsidR="00025543" w:rsidRDefault="007E3A2F">
            <w:pPr>
              <w:pStyle w:val="P68B1DB1-Normal9"/>
              <w:spacing w:line="240" w:lineRule="auto"/>
              <w:jc w:val="center"/>
              <w:rPr>
                <w:noProof/>
              </w:rPr>
            </w:pPr>
            <w:r>
              <w:rPr>
                <w:noProof/>
              </w:rPr>
              <w:t xml:space="preserve">Nom </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BDD7EE"/>
            <w:vAlign w:val="center"/>
          </w:tcPr>
          <w:p w14:paraId="2BF0149C" w14:textId="77777777" w:rsidR="00025543" w:rsidRDefault="007E3A2F">
            <w:pPr>
              <w:pStyle w:val="P68B1DB1-Normal12"/>
              <w:spacing w:line="240" w:lineRule="auto"/>
              <w:jc w:val="center"/>
              <w:rPr>
                <w:noProof/>
              </w:rPr>
            </w:pPr>
            <w:r>
              <w:rPr>
                <w:rFonts w:eastAsia="Times New Roman"/>
                <w:b/>
                <w:noProof/>
              </w:rPr>
              <w:t>Qualitatifs</w:t>
            </w:r>
            <w:r>
              <w:rPr>
                <w:noProof/>
              </w:rPr>
              <w:br/>
            </w:r>
            <w:r>
              <w:rPr>
                <w:rFonts w:eastAsia="Times New Roman"/>
                <w:b/>
                <w:noProof/>
              </w:rPr>
              <w:t xml:space="preserve"> (pour les jalons) </w:t>
            </w:r>
          </w:p>
        </w:tc>
        <w:tc>
          <w:tcPr>
            <w:tcW w:w="2835" w:type="dxa"/>
            <w:gridSpan w:val="3"/>
            <w:tcBorders>
              <w:top w:val="single" w:sz="8" w:space="0" w:color="auto"/>
              <w:left w:val="single" w:sz="4" w:space="0" w:color="auto"/>
              <w:bottom w:val="single" w:sz="8" w:space="0" w:color="auto"/>
              <w:right w:val="single" w:sz="8" w:space="0" w:color="000000" w:themeColor="text1"/>
            </w:tcBorders>
            <w:shd w:val="clear" w:color="auto" w:fill="BDD7EE"/>
            <w:vAlign w:val="center"/>
          </w:tcPr>
          <w:p w14:paraId="34536749" w14:textId="77777777" w:rsidR="00025543" w:rsidRDefault="007E3A2F">
            <w:pPr>
              <w:pStyle w:val="P68B1DB1-Normal12"/>
              <w:spacing w:line="240" w:lineRule="auto"/>
              <w:jc w:val="center"/>
              <w:rPr>
                <w:noProof/>
              </w:rPr>
            </w:pPr>
            <w:r>
              <w:rPr>
                <w:rFonts w:eastAsia="Times New Roman"/>
                <w:b/>
                <w:noProof/>
              </w:rPr>
              <w:t>Indicateurs quantitatifs</w:t>
            </w:r>
            <w:r>
              <w:rPr>
                <w:noProof/>
              </w:rPr>
              <w:br/>
            </w:r>
            <w:r>
              <w:rPr>
                <w:rFonts w:eastAsia="Times New Roman"/>
                <w:b/>
                <w:noProof/>
              </w:rPr>
              <w:t xml:space="preserve"> (pour les objectifs)</w:t>
            </w:r>
          </w:p>
        </w:tc>
        <w:tc>
          <w:tcPr>
            <w:tcW w:w="1489" w:type="dxa"/>
            <w:gridSpan w:val="2"/>
            <w:tcBorders>
              <w:top w:val="single" w:sz="8" w:space="0" w:color="auto"/>
              <w:left w:val="nil"/>
              <w:bottom w:val="single" w:sz="8" w:space="0" w:color="auto"/>
              <w:right w:val="single" w:sz="4" w:space="0" w:color="auto"/>
            </w:tcBorders>
            <w:shd w:val="clear" w:color="auto" w:fill="BDD7EE"/>
            <w:vAlign w:val="center"/>
          </w:tcPr>
          <w:p w14:paraId="7EAE2159" w14:textId="77777777" w:rsidR="00025543" w:rsidRDefault="007E3A2F">
            <w:pPr>
              <w:pStyle w:val="P68B1DB1-Normal9"/>
              <w:spacing w:line="240" w:lineRule="auto"/>
              <w:jc w:val="center"/>
              <w:rPr>
                <w:noProof/>
              </w:rPr>
            </w:pPr>
            <w:r>
              <w:rPr>
                <w:noProof/>
              </w:rPr>
              <w:t xml:space="preserve">Calendrier indicatif de réalisation </w:t>
            </w:r>
          </w:p>
        </w:tc>
        <w:tc>
          <w:tcPr>
            <w:tcW w:w="4745"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79425E9F" w14:textId="77777777" w:rsidR="00025543" w:rsidRDefault="007E3A2F">
            <w:pPr>
              <w:pStyle w:val="P68B1DB1-Normal9"/>
              <w:spacing w:line="240" w:lineRule="auto"/>
              <w:jc w:val="center"/>
              <w:rPr>
                <w:noProof/>
              </w:rPr>
            </w:pPr>
            <w:r>
              <w:rPr>
                <w:noProof/>
              </w:rPr>
              <w:t xml:space="preserve">Description et définition claire de chaque jalon et cible </w:t>
            </w:r>
          </w:p>
        </w:tc>
      </w:tr>
      <w:tr w:rsidR="00025543" w14:paraId="7503DE19" w14:textId="77777777">
        <w:trPr>
          <w:trHeight w:val="600"/>
          <w:tblHeader/>
        </w:trPr>
        <w:tc>
          <w:tcPr>
            <w:tcW w:w="675" w:type="dxa"/>
            <w:vMerge/>
            <w:tcBorders>
              <w:top w:val="single" w:sz="4" w:space="0" w:color="auto"/>
              <w:left w:val="single" w:sz="4" w:space="0" w:color="auto"/>
              <w:right w:val="single" w:sz="4" w:space="0" w:color="auto"/>
            </w:tcBorders>
            <w:vAlign w:val="center"/>
          </w:tcPr>
          <w:p w14:paraId="43836034" w14:textId="77777777" w:rsidR="00025543" w:rsidRDefault="00025543">
            <w:pPr>
              <w:spacing w:line="240" w:lineRule="auto"/>
              <w:jc w:val="center"/>
              <w:rPr>
                <w:noProof/>
                <w:sz w:val="16"/>
              </w:rPr>
            </w:pPr>
          </w:p>
        </w:tc>
        <w:tc>
          <w:tcPr>
            <w:tcW w:w="1276" w:type="dxa"/>
            <w:vMerge/>
            <w:tcBorders>
              <w:top w:val="single" w:sz="4" w:space="0" w:color="auto"/>
              <w:left w:val="single" w:sz="4" w:space="0" w:color="auto"/>
              <w:right w:val="single" w:sz="4" w:space="0" w:color="auto"/>
            </w:tcBorders>
            <w:vAlign w:val="center"/>
          </w:tcPr>
          <w:p w14:paraId="220E8D0D" w14:textId="77777777" w:rsidR="00025543" w:rsidRDefault="00025543">
            <w:pPr>
              <w:spacing w:line="240" w:lineRule="auto"/>
              <w:jc w:val="center"/>
              <w:rPr>
                <w:noProof/>
                <w:sz w:val="16"/>
              </w:rPr>
            </w:pPr>
          </w:p>
        </w:tc>
        <w:tc>
          <w:tcPr>
            <w:tcW w:w="1077" w:type="dxa"/>
            <w:vMerge/>
            <w:tcBorders>
              <w:top w:val="single" w:sz="4" w:space="0" w:color="auto"/>
              <w:left w:val="single" w:sz="4" w:space="0" w:color="auto"/>
              <w:right w:val="single" w:sz="4" w:space="0" w:color="auto"/>
            </w:tcBorders>
            <w:vAlign w:val="center"/>
          </w:tcPr>
          <w:p w14:paraId="2345F441" w14:textId="77777777" w:rsidR="00025543" w:rsidRDefault="00025543">
            <w:pPr>
              <w:spacing w:line="240" w:lineRule="auto"/>
              <w:jc w:val="center"/>
              <w:rPr>
                <w:noProof/>
                <w:sz w:val="16"/>
              </w:rPr>
            </w:pPr>
          </w:p>
        </w:tc>
        <w:tc>
          <w:tcPr>
            <w:tcW w:w="1418" w:type="dxa"/>
            <w:vMerge/>
            <w:tcBorders>
              <w:top w:val="single" w:sz="4" w:space="0" w:color="auto"/>
              <w:left w:val="single" w:sz="4" w:space="0" w:color="auto"/>
              <w:right w:val="single" w:sz="4" w:space="0" w:color="auto"/>
            </w:tcBorders>
            <w:vAlign w:val="center"/>
          </w:tcPr>
          <w:p w14:paraId="4DB834DC" w14:textId="77777777" w:rsidR="00025543" w:rsidRDefault="00025543">
            <w:pPr>
              <w:spacing w:line="240" w:lineRule="auto"/>
              <w:jc w:val="center"/>
              <w:rPr>
                <w:noProof/>
                <w:sz w:val="16"/>
              </w:rPr>
            </w:pPr>
          </w:p>
        </w:tc>
        <w:tc>
          <w:tcPr>
            <w:tcW w:w="1134" w:type="dxa"/>
            <w:vMerge/>
            <w:tcBorders>
              <w:top w:val="single" w:sz="4" w:space="0" w:color="auto"/>
              <w:left w:val="single" w:sz="4" w:space="0" w:color="auto"/>
              <w:bottom w:val="single" w:sz="8" w:space="0" w:color="auto"/>
              <w:right w:val="single" w:sz="4" w:space="0" w:color="auto"/>
            </w:tcBorders>
            <w:vAlign w:val="center"/>
          </w:tcPr>
          <w:p w14:paraId="2ED0AE32" w14:textId="77777777" w:rsidR="00025543" w:rsidRDefault="00025543">
            <w:pPr>
              <w:spacing w:line="240" w:lineRule="auto"/>
              <w:jc w:val="center"/>
              <w:rPr>
                <w:noProof/>
                <w:sz w:val="16"/>
              </w:rPr>
            </w:pPr>
          </w:p>
        </w:tc>
        <w:tc>
          <w:tcPr>
            <w:tcW w:w="1417" w:type="dxa"/>
            <w:tcBorders>
              <w:top w:val="single" w:sz="8" w:space="0" w:color="auto"/>
              <w:left w:val="single" w:sz="4" w:space="0" w:color="auto"/>
              <w:bottom w:val="single" w:sz="8" w:space="0" w:color="auto"/>
              <w:right w:val="single" w:sz="8" w:space="0" w:color="000000" w:themeColor="text1"/>
            </w:tcBorders>
            <w:shd w:val="clear" w:color="auto" w:fill="BDD7EE"/>
            <w:vAlign w:val="center"/>
          </w:tcPr>
          <w:p w14:paraId="16B77894" w14:textId="77777777" w:rsidR="00025543" w:rsidRDefault="007E3A2F">
            <w:pPr>
              <w:pStyle w:val="P68B1DB1-Normal9"/>
              <w:spacing w:line="240" w:lineRule="auto"/>
              <w:jc w:val="center"/>
              <w:rPr>
                <w:noProof/>
              </w:rPr>
            </w:pPr>
            <w:r>
              <w:rPr>
                <w:noProof/>
              </w:rPr>
              <w:t>Unité de mesure</w:t>
            </w:r>
          </w:p>
        </w:tc>
        <w:tc>
          <w:tcPr>
            <w:tcW w:w="1134" w:type="dxa"/>
            <w:tcBorders>
              <w:top w:val="nil"/>
              <w:left w:val="single" w:sz="8" w:space="0" w:color="auto"/>
              <w:bottom w:val="single" w:sz="8" w:space="0" w:color="auto"/>
              <w:right w:val="single" w:sz="8" w:space="0" w:color="auto"/>
            </w:tcBorders>
            <w:shd w:val="clear" w:color="auto" w:fill="BDD7EE"/>
            <w:vAlign w:val="center"/>
          </w:tcPr>
          <w:p w14:paraId="17997306" w14:textId="77777777" w:rsidR="00025543" w:rsidRDefault="007E3A2F">
            <w:pPr>
              <w:pStyle w:val="P68B1DB1-Normal9"/>
              <w:spacing w:line="240" w:lineRule="auto"/>
              <w:jc w:val="center"/>
              <w:rPr>
                <w:noProof/>
              </w:rPr>
            </w:pPr>
            <w:r>
              <w:rPr>
                <w:noProof/>
              </w:rPr>
              <w:t>Scénario de référence</w:t>
            </w:r>
          </w:p>
        </w:tc>
        <w:tc>
          <w:tcPr>
            <w:tcW w:w="709" w:type="dxa"/>
            <w:tcBorders>
              <w:top w:val="nil"/>
              <w:left w:val="single" w:sz="8" w:space="0" w:color="auto"/>
              <w:bottom w:val="single" w:sz="8" w:space="0" w:color="auto"/>
              <w:right w:val="single" w:sz="8" w:space="0" w:color="000000" w:themeColor="text1"/>
            </w:tcBorders>
            <w:shd w:val="clear" w:color="auto" w:fill="BDD7EE"/>
            <w:vAlign w:val="center"/>
          </w:tcPr>
          <w:p w14:paraId="74DE7BED" w14:textId="77777777" w:rsidR="00025543" w:rsidRDefault="007E3A2F">
            <w:pPr>
              <w:pStyle w:val="P68B1DB1-Normal9"/>
              <w:spacing w:line="240" w:lineRule="auto"/>
              <w:jc w:val="center"/>
              <w:rPr>
                <w:noProof/>
              </w:rPr>
            </w:pPr>
            <w:r>
              <w:rPr>
                <w:noProof/>
              </w:rPr>
              <w:t>Objectif</w:t>
            </w:r>
          </w:p>
        </w:tc>
        <w:tc>
          <w:tcPr>
            <w:tcW w:w="850" w:type="dxa"/>
            <w:tcBorders>
              <w:top w:val="single" w:sz="8" w:space="0" w:color="auto"/>
              <w:left w:val="single" w:sz="8" w:space="0" w:color="auto"/>
              <w:bottom w:val="single" w:sz="8" w:space="0" w:color="auto"/>
              <w:right w:val="single" w:sz="8" w:space="0" w:color="000000" w:themeColor="text1"/>
            </w:tcBorders>
            <w:shd w:val="clear" w:color="auto" w:fill="BDD7EE"/>
            <w:vAlign w:val="center"/>
          </w:tcPr>
          <w:p w14:paraId="16452FA2" w14:textId="77777777" w:rsidR="00025543" w:rsidRDefault="007E3A2F">
            <w:pPr>
              <w:pStyle w:val="P68B1DB1-Normal9"/>
              <w:spacing w:line="240" w:lineRule="auto"/>
              <w:jc w:val="center"/>
              <w:rPr>
                <w:noProof/>
              </w:rPr>
            </w:pPr>
            <w:r>
              <w:rPr>
                <w:noProof/>
              </w:rPr>
              <w:t>Trimestre</w:t>
            </w:r>
          </w:p>
        </w:tc>
        <w:tc>
          <w:tcPr>
            <w:tcW w:w="639" w:type="dxa"/>
            <w:tcBorders>
              <w:top w:val="nil"/>
              <w:left w:val="single" w:sz="8" w:space="0" w:color="auto"/>
              <w:bottom w:val="single" w:sz="8" w:space="0" w:color="auto"/>
              <w:right w:val="single" w:sz="4" w:space="0" w:color="auto"/>
            </w:tcBorders>
            <w:shd w:val="clear" w:color="auto" w:fill="BDD7EE"/>
            <w:vAlign w:val="center"/>
          </w:tcPr>
          <w:p w14:paraId="77410921" w14:textId="77777777" w:rsidR="00025543" w:rsidRDefault="007E3A2F">
            <w:pPr>
              <w:pStyle w:val="P68B1DB1-Normal9"/>
              <w:spacing w:line="240" w:lineRule="auto"/>
              <w:jc w:val="center"/>
              <w:rPr>
                <w:noProof/>
              </w:rPr>
            </w:pPr>
            <w:r>
              <w:rPr>
                <w:noProof/>
              </w:rPr>
              <w:t>Année</w:t>
            </w:r>
          </w:p>
        </w:tc>
        <w:tc>
          <w:tcPr>
            <w:tcW w:w="4745" w:type="dxa"/>
            <w:vMerge/>
            <w:tcBorders>
              <w:bottom w:val="single" w:sz="4" w:space="0" w:color="auto"/>
              <w:right w:val="single" w:sz="4" w:space="0" w:color="auto"/>
            </w:tcBorders>
            <w:vAlign w:val="center"/>
          </w:tcPr>
          <w:p w14:paraId="1508286F" w14:textId="77777777" w:rsidR="00025543" w:rsidRDefault="00025543">
            <w:pPr>
              <w:spacing w:line="240" w:lineRule="auto"/>
              <w:jc w:val="center"/>
              <w:rPr>
                <w:noProof/>
                <w:sz w:val="16"/>
              </w:rPr>
            </w:pPr>
          </w:p>
        </w:tc>
      </w:tr>
      <w:tr w:rsidR="00025543" w14:paraId="0A61EED3" w14:textId="77777777">
        <w:trPr>
          <w:trHeight w:val="945"/>
        </w:trPr>
        <w:tc>
          <w:tcPr>
            <w:tcW w:w="675" w:type="dxa"/>
            <w:tcBorders>
              <w:top w:val="single" w:sz="4" w:space="0" w:color="auto"/>
              <w:left w:val="single" w:sz="8" w:space="0" w:color="auto"/>
              <w:bottom w:val="single" w:sz="8" w:space="0" w:color="auto"/>
              <w:right w:val="single" w:sz="8" w:space="0" w:color="auto"/>
            </w:tcBorders>
            <w:shd w:val="clear" w:color="auto" w:fill="C6EFCE"/>
            <w:vAlign w:val="center"/>
          </w:tcPr>
          <w:p w14:paraId="306C52A1" w14:textId="77777777" w:rsidR="00025543" w:rsidRDefault="007E3A2F">
            <w:pPr>
              <w:pStyle w:val="P68B1DB1-Normal28"/>
              <w:spacing w:line="240" w:lineRule="auto"/>
              <w:jc w:val="center"/>
              <w:rPr>
                <w:noProof/>
              </w:rPr>
            </w:pPr>
            <w:r>
              <w:rPr>
                <w:noProof/>
              </w:rPr>
              <w:t>226</w:t>
            </w:r>
          </w:p>
        </w:tc>
        <w:tc>
          <w:tcPr>
            <w:tcW w:w="1276" w:type="dxa"/>
            <w:tcBorders>
              <w:top w:val="single" w:sz="4" w:space="0" w:color="auto"/>
              <w:left w:val="single" w:sz="8" w:space="0" w:color="auto"/>
              <w:bottom w:val="single" w:sz="8" w:space="0" w:color="auto"/>
              <w:right w:val="single" w:sz="8" w:space="0" w:color="auto"/>
            </w:tcBorders>
            <w:shd w:val="clear" w:color="auto" w:fill="C6EFCE"/>
            <w:vAlign w:val="center"/>
          </w:tcPr>
          <w:p w14:paraId="46AAB38B" w14:textId="77777777" w:rsidR="00025543" w:rsidRDefault="007E3A2F">
            <w:pPr>
              <w:pStyle w:val="P68B1DB1-Normal28"/>
              <w:spacing w:line="240" w:lineRule="auto"/>
              <w:rPr>
                <w:noProof/>
              </w:rPr>
            </w:pPr>
            <w:r>
              <w:rPr>
                <w:noProof/>
              </w:rPr>
              <w:t>Réforme 1: Création d’un groupe national de coordination pour le soutien à la recherche industrielle</w:t>
            </w:r>
          </w:p>
        </w:tc>
        <w:tc>
          <w:tcPr>
            <w:tcW w:w="1077" w:type="dxa"/>
            <w:tcBorders>
              <w:top w:val="single" w:sz="4" w:space="0" w:color="auto"/>
              <w:left w:val="single" w:sz="8" w:space="0" w:color="auto"/>
              <w:bottom w:val="single" w:sz="8" w:space="0" w:color="auto"/>
              <w:right w:val="single" w:sz="8" w:space="0" w:color="auto"/>
            </w:tcBorders>
            <w:shd w:val="clear" w:color="auto" w:fill="C6EFCE"/>
            <w:vAlign w:val="center"/>
          </w:tcPr>
          <w:p w14:paraId="1DB6B929" w14:textId="77777777" w:rsidR="00025543" w:rsidRDefault="007E3A2F">
            <w:pPr>
              <w:pStyle w:val="P68B1DB1-Normal28"/>
              <w:spacing w:line="240" w:lineRule="auto"/>
              <w:rPr>
                <w:noProof/>
              </w:rPr>
            </w:pPr>
            <w:r>
              <w:rPr>
                <w:noProof/>
              </w:rPr>
              <w:t>Étapes</w:t>
            </w:r>
          </w:p>
        </w:tc>
        <w:tc>
          <w:tcPr>
            <w:tcW w:w="1418" w:type="dxa"/>
            <w:tcBorders>
              <w:top w:val="single" w:sz="4" w:space="0" w:color="auto"/>
              <w:left w:val="single" w:sz="8" w:space="0" w:color="auto"/>
              <w:bottom w:val="single" w:sz="8" w:space="0" w:color="auto"/>
              <w:right w:val="single" w:sz="8" w:space="0" w:color="auto"/>
            </w:tcBorders>
            <w:shd w:val="clear" w:color="auto" w:fill="C6EFCE"/>
            <w:vAlign w:val="center"/>
          </w:tcPr>
          <w:p w14:paraId="05EA0F53" w14:textId="77777777" w:rsidR="00025543" w:rsidRDefault="007E3A2F">
            <w:pPr>
              <w:pStyle w:val="P68B1DB1-Normal28"/>
              <w:spacing w:line="240" w:lineRule="auto"/>
              <w:rPr>
                <w:noProof/>
              </w:rPr>
            </w:pPr>
            <w:r>
              <w:rPr>
                <w:noProof/>
              </w:rPr>
              <w:t>Création d’un groupe national de coordination pour le soutien à la recherche industrielle</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7F5A83D1" w14:textId="77777777" w:rsidR="00025543" w:rsidRDefault="007E3A2F">
            <w:pPr>
              <w:pStyle w:val="P68B1DB1-Normal28"/>
              <w:spacing w:line="240" w:lineRule="auto"/>
              <w:rPr>
                <w:noProof/>
              </w:rPr>
            </w:pPr>
            <w:r>
              <w:rPr>
                <w:noProof/>
              </w:rPr>
              <w:t>Début de fonctionnement du groupe</w:t>
            </w: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14:paraId="4E7FF09F" w14:textId="77777777" w:rsidR="00025543" w:rsidRDefault="00025543">
            <w:pPr>
              <w:spacing w:line="240" w:lineRule="auto"/>
              <w:rPr>
                <w:noProof/>
                <w:color w:val="006100"/>
                <w:sz w:val="18"/>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1D3EDBCE" w14:textId="77777777" w:rsidR="00025543" w:rsidRDefault="00025543">
            <w:pPr>
              <w:spacing w:line="240" w:lineRule="auto"/>
              <w:jc w:val="center"/>
              <w:rPr>
                <w:noProof/>
                <w:color w:val="006100"/>
                <w:sz w:val="18"/>
              </w:rPr>
            </w:pP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0F8331B9" w14:textId="77777777" w:rsidR="00025543" w:rsidRDefault="00025543">
            <w:pPr>
              <w:spacing w:line="240" w:lineRule="auto"/>
              <w:jc w:val="center"/>
              <w:rPr>
                <w:noProof/>
                <w:color w:val="006100"/>
                <w:sz w:val="18"/>
              </w:rPr>
            </w:pP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37174F6A" w14:textId="77777777" w:rsidR="00025543" w:rsidRDefault="007E3A2F">
            <w:pPr>
              <w:pStyle w:val="P68B1DB1-Normal28"/>
              <w:spacing w:line="240" w:lineRule="auto"/>
              <w:jc w:val="center"/>
              <w:rPr>
                <w:noProof/>
              </w:rPr>
            </w:pPr>
            <w:r>
              <w:rPr>
                <w:noProof/>
              </w:rPr>
              <w:t>TRIMESTRE 4</w:t>
            </w:r>
          </w:p>
        </w:tc>
        <w:tc>
          <w:tcPr>
            <w:tcW w:w="639" w:type="dxa"/>
            <w:tcBorders>
              <w:top w:val="single" w:sz="8" w:space="0" w:color="auto"/>
              <w:left w:val="single" w:sz="8" w:space="0" w:color="auto"/>
              <w:bottom w:val="single" w:sz="8" w:space="0" w:color="auto"/>
              <w:right w:val="single" w:sz="8" w:space="0" w:color="auto"/>
            </w:tcBorders>
            <w:shd w:val="clear" w:color="auto" w:fill="C6EFCE"/>
            <w:vAlign w:val="center"/>
          </w:tcPr>
          <w:p w14:paraId="144E5ABF" w14:textId="77777777" w:rsidR="00025543" w:rsidRDefault="007E3A2F">
            <w:pPr>
              <w:pStyle w:val="P68B1DB1-Normal28"/>
              <w:spacing w:line="240" w:lineRule="auto"/>
              <w:jc w:val="center"/>
              <w:rPr>
                <w:noProof/>
              </w:rPr>
            </w:pPr>
            <w:r>
              <w:rPr>
                <w:noProof/>
              </w:rPr>
              <w:t>2021</w:t>
            </w:r>
          </w:p>
        </w:tc>
        <w:tc>
          <w:tcPr>
            <w:tcW w:w="4745" w:type="dxa"/>
            <w:tcBorders>
              <w:top w:val="single" w:sz="4" w:space="0" w:color="auto"/>
              <w:left w:val="single" w:sz="8" w:space="0" w:color="auto"/>
              <w:bottom w:val="single" w:sz="8" w:space="0" w:color="auto"/>
              <w:right w:val="single" w:sz="8" w:space="0" w:color="auto"/>
            </w:tcBorders>
            <w:shd w:val="clear" w:color="auto" w:fill="C6EFCE"/>
            <w:vAlign w:val="center"/>
          </w:tcPr>
          <w:p w14:paraId="1CFBFE92" w14:textId="77777777" w:rsidR="00025543" w:rsidRDefault="007E3A2F">
            <w:pPr>
              <w:pStyle w:val="P68B1DB1-Normal28"/>
              <w:spacing w:line="240" w:lineRule="auto"/>
              <w:rPr>
                <w:noProof/>
              </w:rPr>
            </w:pPr>
            <w:r>
              <w:rPr>
                <w:noProof/>
              </w:rPr>
              <w:t>Un groupe national de coordination pour le soutien à la recherche industrielle est créé et mis en service. Le groupe de coordination harmonise les politiques de soutien à la R &amp;DD industrielle entre les décideurs politiques, les fournisseurs d’aide à la RDI existants et le Conseil gouvernemental pour la RDI, les conditions d’octroi de l’aide, et concentre tous les programmes pertinents relevant de la compétence de l’Agence des technologies de la République tchèque.</w:t>
            </w:r>
          </w:p>
        </w:tc>
      </w:tr>
      <w:tr w:rsidR="00025543" w14:paraId="26825995" w14:textId="77777777">
        <w:trPr>
          <w:trHeight w:val="945"/>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6A13C893" w14:textId="77777777" w:rsidR="00025543" w:rsidRDefault="007E3A2F">
            <w:pPr>
              <w:pStyle w:val="P68B1DB1-Normal28"/>
              <w:spacing w:line="240" w:lineRule="auto"/>
              <w:jc w:val="center"/>
              <w:rPr>
                <w:noProof/>
              </w:rPr>
            </w:pPr>
            <w:r>
              <w:rPr>
                <w:noProof/>
              </w:rPr>
              <w:t>227</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1402AAE3" w14:textId="77777777" w:rsidR="00025543" w:rsidRDefault="007E3A2F">
            <w:pPr>
              <w:pStyle w:val="P68B1DB1-Normal28"/>
              <w:spacing w:line="240" w:lineRule="auto"/>
              <w:rPr>
                <w:noProof/>
              </w:rPr>
            </w:pPr>
            <w:r>
              <w:rPr>
                <w:noProof/>
              </w:rPr>
              <w:t>Investissement 1: Soutenir l’adoption de l’innovation dans la pratique des entreprises</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45628721" w14:textId="77777777" w:rsidR="00025543" w:rsidRDefault="007E3A2F">
            <w:pPr>
              <w:pStyle w:val="P68B1DB1-Normal28"/>
              <w:spacing w:line="240" w:lineRule="auto"/>
              <w:rPr>
                <w:noProof/>
              </w:rPr>
            </w:pPr>
            <w:r>
              <w:rPr>
                <w:noProof/>
              </w:rPr>
              <w:t>Cible</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6FE6CD75" w14:textId="77777777" w:rsidR="00025543" w:rsidRDefault="007E3A2F">
            <w:pPr>
              <w:pStyle w:val="P68B1DB1-Normal28"/>
              <w:spacing w:line="240" w:lineRule="auto"/>
              <w:rPr>
                <w:noProof/>
              </w:rPr>
            </w:pPr>
            <w:r>
              <w:rPr>
                <w:noProof/>
              </w:rPr>
              <w:t>Introduction d’innovations de produit, de procédé ou d’organisation</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046504DB" w14:textId="77777777" w:rsidR="00025543" w:rsidRDefault="00025543">
            <w:pPr>
              <w:spacing w:line="240" w:lineRule="auto"/>
              <w:rPr>
                <w:noProof/>
                <w:color w:val="006100"/>
                <w:sz w:val="18"/>
              </w:rPr>
            </w:pP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14:paraId="32780912" w14:textId="77777777" w:rsidR="00025543" w:rsidRDefault="007E3A2F">
            <w:pPr>
              <w:pStyle w:val="P68B1DB1-Normal28"/>
              <w:spacing w:line="240" w:lineRule="auto"/>
              <w:rPr>
                <w:noProof/>
              </w:rPr>
            </w:pPr>
            <w:r>
              <w:rPr>
                <w:noProof/>
              </w:rPr>
              <w:t>Nombre d’innovations individuelles (processus, produit, organisation) mises en œuvre à la suite du projet soutenu</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4200C444" w14:textId="77777777" w:rsidR="00025543" w:rsidRDefault="007E3A2F">
            <w:pPr>
              <w:pStyle w:val="P68B1DB1-Normal28"/>
              <w:spacing w:line="240" w:lineRule="auto"/>
              <w:jc w:val="center"/>
              <w:rPr>
                <w:noProof/>
              </w:rPr>
            </w:pPr>
            <w:r>
              <w:rPr>
                <w:noProof/>
              </w:rPr>
              <w:t>72</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32763E8B" w14:textId="77777777" w:rsidR="00025543" w:rsidRDefault="007E3A2F">
            <w:pPr>
              <w:pStyle w:val="P68B1DB1-Normal28"/>
              <w:spacing w:line="240" w:lineRule="auto"/>
              <w:jc w:val="center"/>
              <w:rPr>
                <w:noProof/>
              </w:rPr>
            </w:pPr>
            <w:r>
              <w:rPr>
                <w:noProof/>
              </w:rPr>
              <w:t>162</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7D4A2C2A" w14:textId="77777777" w:rsidR="00025543" w:rsidRDefault="007E3A2F">
            <w:pPr>
              <w:pStyle w:val="P68B1DB1-Normal28"/>
              <w:spacing w:line="240" w:lineRule="auto"/>
              <w:jc w:val="center"/>
              <w:rPr>
                <w:noProof/>
              </w:rPr>
            </w:pPr>
            <w:r>
              <w:rPr>
                <w:noProof/>
              </w:rPr>
              <w:t>TRIMESTRE 1</w:t>
            </w:r>
          </w:p>
        </w:tc>
        <w:tc>
          <w:tcPr>
            <w:tcW w:w="639" w:type="dxa"/>
            <w:tcBorders>
              <w:top w:val="single" w:sz="8" w:space="0" w:color="auto"/>
              <w:left w:val="single" w:sz="8" w:space="0" w:color="auto"/>
              <w:bottom w:val="single" w:sz="8" w:space="0" w:color="auto"/>
              <w:right w:val="single" w:sz="8" w:space="0" w:color="auto"/>
            </w:tcBorders>
            <w:shd w:val="clear" w:color="auto" w:fill="C6EFCE"/>
            <w:vAlign w:val="center"/>
          </w:tcPr>
          <w:p w14:paraId="218D4703" w14:textId="77777777" w:rsidR="00025543" w:rsidRDefault="007E3A2F">
            <w:pPr>
              <w:pStyle w:val="P68B1DB1-Normal28"/>
              <w:spacing w:line="240" w:lineRule="auto"/>
              <w:jc w:val="center"/>
              <w:rPr>
                <w:noProof/>
              </w:rPr>
            </w:pPr>
            <w:r>
              <w:rPr>
                <w:noProof/>
              </w:rPr>
              <w:t>2026</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43EA0C64" w14:textId="77777777" w:rsidR="00025543" w:rsidRDefault="007E3A2F">
            <w:pPr>
              <w:pStyle w:val="P68B1DB1-Normal12"/>
              <w:spacing w:line="240" w:lineRule="auto"/>
              <w:rPr>
                <w:noProof/>
              </w:rPr>
            </w:pPr>
            <w:r>
              <w:rPr>
                <w:noProof/>
                <w:color w:val="006100"/>
              </w:rPr>
              <w:t>90 des innovations individuelles (processus, produit, organisation) doivent être mises en œuvre à la suite du projet soutenu.</w:t>
            </w:r>
            <w:r>
              <w:rPr>
                <w:noProof/>
              </w:rPr>
              <w:t xml:space="preserve"> </w:t>
            </w:r>
          </w:p>
          <w:p w14:paraId="04EA2B0E" w14:textId="77777777" w:rsidR="00025543" w:rsidRDefault="007E3A2F">
            <w:pPr>
              <w:pStyle w:val="P68B1DB1-Normal28"/>
              <w:spacing w:line="240" w:lineRule="auto"/>
              <w:rPr>
                <w:noProof/>
              </w:rPr>
            </w:pPr>
            <w:r>
              <w:rPr>
                <w:noProof/>
              </w:rPr>
              <w:t>Le budget total exécuté à cette fin s’élève au moins à 39 000 000 EUR.</w:t>
            </w:r>
          </w:p>
        </w:tc>
      </w:tr>
      <w:tr w:rsidR="00025543" w14:paraId="6D0774D8" w14:textId="77777777">
        <w:trPr>
          <w:trHeight w:val="945"/>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71B36405" w14:textId="77777777" w:rsidR="00025543" w:rsidRDefault="007E3A2F">
            <w:pPr>
              <w:pStyle w:val="P68B1DB1-Normal28"/>
              <w:spacing w:line="240" w:lineRule="auto"/>
              <w:jc w:val="center"/>
              <w:rPr>
                <w:noProof/>
              </w:rPr>
            </w:pPr>
            <w:r>
              <w:rPr>
                <w:noProof/>
              </w:rPr>
              <w:t>228</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0A110B2E" w14:textId="77777777" w:rsidR="00025543" w:rsidRDefault="007E3A2F">
            <w:pPr>
              <w:pStyle w:val="P68B1DB1-Normal28"/>
              <w:spacing w:line="240" w:lineRule="auto"/>
              <w:rPr>
                <w:noProof/>
              </w:rPr>
            </w:pPr>
            <w:r>
              <w:rPr>
                <w:noProof/>
              </w:rPr>
              <w:t>Investissement 2: Soutien à la coopération en matière de recherche et de développement (conformément à la stratégie de spécialisation intelligente)</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4AE6A4D3" w14:textId="77777777" w:rsidR="00025543" w:rsidRDefault="007E3A2F">
            <w:pPr>
              <w:pStyle w:val="P68B1DB1-Normal28"/>
              <w:spacing w:line="240" w:lineRule="auto"/>
              <w:rPr>
                <w:noProof/>
              </w:rPr>
            </w:pPr>
            <w:r>
              <w:rPr>
                <w:noProof/>
              </w:rPr>
              <w:t>Cible</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0D4E0693" w14:textId="77777777" w:rsidR="00025543" w:rsidRDefault="007E3A2F">
            <w:pPr>
              <w:pStyle w:val="P68B1DB1-Normal28"/>
              <w:spacing w:line="240" w:lineRule="auto"/>
              <w:rPr>
                <w:noProof/>
              </w:rPr>
            </w:pPr>
            <w:r>
              <w:rPr>
                <w:noProof/>
              </w:rPr>
              <w:t>Coopération des PME avec un organisme public de recherche dans le cadre des centres nationaux de compétences</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055EF9AA" w14:textId="77777777" w:rsidR="00025543" w:rsidRDefault="00025543">
            <w:pPr>
              <w:spacing w:line="240" w:lineRule="auto"/>
              <w:rPr>
                <w:noProof/>
                <w:color w:val="006100"/>
                <w:sz w:val="18"/>
              </w:rPr>
            </w:pP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14:paraId="279CB471" w14:textId="51804C9E" w:rsidR="00025543" w:rsidRDefault="007E3A2F">
            <w:pPr>
              <w:pStyle w:val="P68B1DB1-Normal28"/>
              <w:spacing w:line="240" w:lineRule="auto"/>
              <w:rPr>
                <w:noProof/>
              </w:rPr>
            </w:pPr>
            <w:r>
              <w:rPr>
                <w:noProof/>
              </w:rPr>
              <w:t>Nombre de PME soutenues participant à des projets de coopération</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41C32A0B" w14:textId="77777777" w:rsidR="00025543" w:rsidRDefault="007E3A2F">
            <w:pPr>
              <w:pStyle w:val="P68B1DB1-Normal28"/>
              <w:spacing w:line="240" w:lineRule="auto"/>
              <w:jc w:val="center"/>
              <w:rPr>
                <w:noProof/>
              </w:rPr>
            </w:pPr>
            <w:r>
              <w:rPr>
                <w:noProof/>
              </w:rPr>
              <w:t>0</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7730BD69" w14:textId="1615AC5A" w:rsidR="00025543" w:rsidRDefault="007E3A2F">
            <w:pPr>
              <w:pStyle w:val="P68B1DB1-Normal28"/>
              <w:spacing w:line="240" w:lineRule="auto"/>
              <w:jc w:val="center"/>
              <w:rPr>
                <w:noProof/>
              </w:rPr>
            </w:pPr>
            <w:r>
              <w:rPr>
                <w:noProof/>
              </w:rPr>
              <w:t>60</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23DF680C" w14:textId="77777777" w:rsidR="00025543" w:rsidRDefault="007E3A2F">
            <w:pPr>
              <w:pStyle w:val="P68B1DB1-Normal28"/>
              <w:spacing w:line="240" w:lineRule="auto"/>
              <w:jc w:val="center"/>
              <w:rPr>
                <w:noProof/>
              </w:rPr>
            </w:pPr>
            <w:r>
              <w:rPr>
                <w:noProof/>
              </w:rPr>
              <w:t>TRIMESTRE 4</w:t>
            </w:r>
          </w:p>
        </w:tc>
        <w:tc>
          <w:tcPr>
            <w:tcW w:w="639" w:type="dxa"/>
            <w:tcBorders>
              <w:top w:val="single" w:sz="8" w:space="0" w:color="auto"/>
              <w:left w:val="single" w:sz="8" w:space="0" w:color="auto"/>
              <w:bottom w:val="single" w:sz="8" w:space="0" w:color="auto"/>
              <w:right w:val="single" w:sz="8" w:space="0" w:color="auto"/>
            </w:tcBorders>
            <w:shd w:val="clear" w:color="auto" w:fill="C6EFCE"/>
            <w:vAlign w:val="center"/>
          </w:tcPr>
          <w:p w14:paraId="4CA7546C" w14:textId="77777777" w:rsidR="00025543" w:rsidRDefault="007E3A2F">
            <w:pPr>
              <w:pStyle w:val="P68B1DB1-Normal28"/>
              <w:spacing w:line="240" w:lineRule="auto"/>
              <w:jc w:val="center"/>
              <w:rPr>
                <w:noProof/>
              </w:rPr>
            </w:pPr>
            <w:r>
              <w:rPr>
                <w:noProof/>
              </w:rPr>
              <w:t>2022</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4A5E98B0" w14:textId="05888781" w:rsidR="00025543" w:rsidRDefault="007E3A2F">
            <w:pPr>
              <w:pStyle w:val="P68B1DB1-Normal12"/>
              <w:spacing w:line="240" w:lineRule="auto"/>
              <w:rPr>
                <w:noProof/>
              </w:rPr>
            </w:pPr>
            <w:r>
              <w:rPr>
                <w:noProof/>
                <w:color w:val="006100"/>
              </w:rPr>
              <w:t>Des conventions de subvention sont signées pour soutenir des projets de coopération associant au moins 60 PME et un organisme public de recherche dans le cadre de centres de compétences nationaux nouvellement créés.</w:t>
            </w:r>
            <w:r>
              <w:rPr>
                <w:noProof/>
              </w:rPr>
              <w:t xml:space="preserve"> </w:t>
            </w:r>
          </w:p>
          <w:p w14:paraId="2A146F88" w14:textId="29F2037E" w:rsidR="00025543" w:rsidRDefault="00025543">
            <w:pPr>
              <w:spacing w:line="240" w:lineRule="auto"/>
              <w:rPr>
                <w:noProof/>
                <w:color w:val="006100"/>
                <w:sz w:val="18"/>
              </w:rPr>
            </w:pPr>
          </w:p>
        </w:tc>
      </w:tr>
      <w:tr w:rsidR="00025543" w14:paraId="3365C70C" w14:textId="77777777">
        <w:trPr>
          <w:trHeight w:val="945"/>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74CD9439" w14:textId="430CD79E" w:rsidR="00025543" w:rsidRDefault="007E3A2F">
            <w:pPr>
              <w:pStyle w:val="P68B1DB1-Normal28"/>
              <w:spacing w:line="240" w:lineRule="auto"/>
              <w:jc w:val="center"/>
              <w:rPr>
                <w:noProof/>
              </w:rPr>
            </w:pPr>
            <w:r>
              <w:rPr>
                <w:noProof/>
              </w:rPr>
              <w:t>290</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2E13A57A" w14:textId="77777777" w:rsidR="00025543" w:rsidRDefault="007E3A2F">
            <w:pPr>
              <w:pStyle w:val="P68B1DB1-Normal28"/>
              <w:spacing w:line="240" w:lineRule="auto"/>
              <w:rPr>
                <w:noProof/>
              </w:rPr>
            </w:pPr>
            <w:r>
              <w:rPr>
                <w:noProof/>
              </w:rPr>
              <w:t>Investissement 2: Soutien à la coopération en matière de recherche et de développement (conformément à la stratégie de spécialisation intelligente)</w:t>
            </w:r>
          </w:p>
          <w:p w14:paraId="0890529E" w14:textId="6F8FCC50" w:rsidR="00025543" w:rsidRDefault="00025543">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A503A48" w14:textId="43C48BCA" w:rsidR="00025543" w:rsidRDefault="007E3A2F">
            <w:pPr>
              <w:pStyle w:val="P68B1DB1-Normal28"/>
              <w:spacing w:line="240" w:lineRule="auto"/>
              <w:rPr>
                <w:noProof/>
              </w:rPr>
            </w:pPr>
            <w:r>
              <w:rPr>
                <w:noProof/>
              </w:rPr>
              <w:t>Cible</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7E60F829" w14:textId="77777777" w:rsidR="00025543" w:rsidRDefault="007E3A2F">
            <w:pPr>
              <w:pStyle w:val="P68B1DB1-Normal28"/>
              <w:spacing w:line="240" w:lineRule="auto"/>
              <w:rPr>
                <w:noProof/>
              </w:rPr>
            </w:pPr>
            <w:r>
              <w:rPr>
                <w:noProof/>
              </w:rPr>
              <w:t>Coopération des PME avec un organisme public de recherche dans le cadre des centres nationaux de compétences</w:t>
            </w:r>
          </w:p>
          <w:p w14:paraId="6FB42BEE" w14:textId="0B44F78E" w:rsidR="00025543" w:rsidRDefault="00025543">
            <w:pPr>
              <w:spacing w:line="240" w:lineRule="auto"/>
              <w:rPr>
                <w:noProof/>
                <w:color w:val="006100"/>
                <w:sz w:val="18"/>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22D164B8" w14:textId="5F73DA8B" w:rsidR="00025543" w:rsidRDefault="00025543">
            <w:pPr>
              <w:spacing w:line="240" w:lineRule="auto"/>
              <w:rPr>
                <w:noProof/>
                <w:color w:val="006100"/>
                <w:sz w:val="18"/>
              </w:rPr>
            </w:pP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14:paraId="772206D6" w14:textId="18F1DE96" w:rsidR="00025543" w:rsidRDefault="007E3A2F">
            <w:pPr>
              <w:pStyle w:val="P68B1DB1-Normal28"/>
              <w:spacing w:line="240" w:lineRule="auto"/>
              <w:rPr>
                <w:noProof/>
              </w:rPr>
            </w:pPr>
            <w:r>
              <w:rPr>
                <w:noProof/>
              </w:rPr>
              <w:t>Millions d’euros</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22590319" w14:textId="4A894E0F" w:rsidR="00025543" w:rsidRDefault="007E3A2F">
            <w:pPr>
              <w:pStyle w:val="P68B1DB1-Normal28"/>
              <w:spacing w:line="240" w:lineRule="auto"/>
              <w:jc w:val="center"/>
              <w:rPr>
                <w:noProof/>
              </w:rPr>
            </w:pPr>
            <w:r>
              <w:rPr>
                <w:noProof/>
              </w:rPr>
              <w:t>0</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21CE88CB" w14:textId="76DAD1E3" w:rsidR="00025543" w:rsidRDefault="007E3A2F">
            <w:pPr>
              <w:pStyle w:val="P68B1DB1-Normal28"/>
              <w:spacing w:line="240" w:lineRule="auto"/>
              <w:jc w:val="center"/>
              <w:rPr>
                <w:noProof/>
              </w:rPr>
            </w:pPr>
            <w:r>
              <w:rPr>
                <w:noProof/>
              </w:rPr>
              <w:t>58</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6AE9EB2C" w14:textId="6F701577" w:rsidR="00025543" w:rsidRDefault="007E3A2F">
            <w:pPr>
              <w:pStyle w:val="P68B1DB1-Normal28"/>
              <w:spacing w:line="240" w:lineRule="auto"/>
              <w:jc w:val="center"/>
              <w:rPr>
                <w:noProof/>
              </w:rPr>
            </w:pPr>
            <w:r>
              <w:rPr>
                <w:noProof/>
              </w:rPr>
              <w:t>TRIMESTRE 1</w:t>
            </w:r>
          </w:p>
        </w:tc>
        <w:tc>
          <w:tcPr>
            <w:tcW w:w="639" w:type="dxa"/>
            <w:tcBorders>
              <w:top w:val="single" w:sz="8" w:space="0" w:color="auto"/>
              <w:left w:val="single" w:sz="8" w:space="0" w:color="auto"/>
              <w:bottom w:val="single" w:sz="8" w:space="0" w:color="auto"/>
              <w:right w:val="single" w:sz="8" w:space="0" w:color="auto"/>
            </w:tcBorders>
            <w:shd w:val="clear" w:color="auto" w:fill="C6EFCE"/>
            <w:vAlign w:val="center"/>
          </w:tcPr>
          <w:p w14:paraId="3824171A" w14:textId="05111C97" w:rsidR="00025543" w:rsidRDefault="007E3A2F">
            <w:pPr>
              <w:pStyle w:val="P68B1DB1-Normal28"/>
              <w:spacing w:line="240" w:lineRule="auto"/>
              <w:jc w:val="center"/>
              <w:rPr>
                <w:noProof/>
              </w:rPr>
            </w:pPr>
            <w:r>
              <w:rPr>
                <w:noProof/>
              </w:rPr>
              <w:t>2026</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6C1866F7" w14:textId="027C16D4" w:rsidR="00025543" w:rsidRDefault="007E3A2F">
            <w:pPr>
              <w:pStyle w:val="P68B1DB1-Normal28"/>
              <w:spacing w:line="240" w:lineRule="auto"/>
              <w:rPr>
                <w:noProof/>
              </w:rPr>
            </w:pPr>
            <w:r>
              <w:rPr>
                <w:noProof/>
              </w:rPr>
              <w:t>Le budget total exécuté pour soutenir les projets de coopération au titre de l’objectif 228 s’élève à au moins 58 000 000 EUR.</w:t>
            </w:r>
          </w:p>
        </w:tc>
      </w:tr>
      <w:tr w:rsidR="00025543" w14:paraId="6D28832E" w14:textId="77777777">
        <w:trPr>
          <w:trHeight w:val="945"/>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521A6466" w14:textId="77777777" w:rsidR="00025543" w:rsidRDefault="007E3A2F">
            <w:pPr>
              <w:pStyle w:val="P68B1DB1-Normal28"/>
              <w:spacing w:line="240" w:lineRule="auto"/>
              <w:jc w:val="center"/>
              <w:rPr>
                <w:noProof/>
              </w:rPr>
            </w:pPr>
            <w:r>
              <w:rPr>
                <w:noProof/>
              </w:rPr>
              <w:t>229</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598A867A" w14:textId="77777777" w:rsidR="00025543" w:rsidRDefault="007E3A2F">
            <w:pPr>
              <w:pStyle w:val="P68B1DB1-Normal28"/>
              <w:spacing w:line="240" w:lineRule="auto"/>
              <w:rPr>
                <w:noProof/>
              </w:rPr>
            </w:pPr>
            <w:r>
              <w:rPr>
                <w:noProof/>
              </w:rPr>
              <w:t>Investissement 3: Aides à la recherche et au développement dans le domaine de l’environnement</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255E5F7" w14:textId="77777777" w:rsidR="00025543" w:rsidRDefault="007E3A2F">
            <w:pPr>
              <w:pStyle w:val="P68B1DB1-Normal28"/>
              <w:spacing w:line="240" w:lineRule="auto"/>
              <w:rPr>
                <w:noProof/>
              </w:rPr>
            </w:pPr>
            <w:r>
              <w:rPr>
                <w:noProof/>
              </w:rPr>
              <w:t>Cible</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246400EF" w14:textId="77777777" w:rsidR="00025543" w:rsidRDefault="007E3A2F">
            <w:pPr>
              <w:pStyle w:val="P68B1DB1-Normal28"/>
              <w:spacing w:line="240" w:lineRule="auto"/>
              <w:rPr>
                <w:noProof/>
              </w:rPr>
            </w:pPr>
            <w:r>
              <w:rPr>
                <w:noProof/>
              </w:rPr>
              <w:t>recherche et développement dans le domaine de l’environnement</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2B84A040" w14:textId="77777777" w:rsidR="00025543" w:rsidRDefault="00025543">
            <w:pPr>
              <w:spacing w:line="240" w:lineRule="auto"/>
              <w:rPr>
                <w:noProof/>
                <w:color w:val="006100"/>
                <w:sz w:val="18"/>
              </w:rPr>
            </w:pP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14:paraId="1A047F69" w14:textId="77777777" w:rsidR="00025543" w:rsidRDefault="007E3A2F">
            <w:pPr>
              <w:pStyle w:val="P68B1DB1-Normal28"/>
              <w:spacing w:line="240" w:lineRule="auto"/>
              <w:rPr>
                <w:noProof/>
              </w:rPr>
            </w:pPr>
            <w:r>
              <w:rPr>
                <w:noProof/>
              </w:rPr>
              <w:t>Nombre de projets soutenus dans le domaine de l’environnement</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39988F8D" w14:textId="77777777" w:rsidR="00025543" w:rsidRDefault="007E3A2F">
            <w:pPr>
              <w:pStyle w:val="P68B1DB1-Normal28"/>
              <w:spacing w:line="240" w:lineRule="auto"/>
              <w:jc w:val="center"/>
              <w:rPr>
                <w:noProof/>
              </w:rPr>
            </w:pPr>
            <w:r>
              <w:rPr>
                <w:noProof/>
              </w:rPr>
              <w:t>43</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2CC7D4BD" w14:textId="03D98083" w:rsidR="00025543" w:rsidRDefault="007E3A2F">
            <w:pPr>
              <w:pStyle w:val="P68B1DB1-Normal28"/>
              <w:spacing w:line="240" w:lineRule="auto"/>
              <w:jc w:val="center"/>
              <w:rPr>
                <w:noProof/>
              </w:rPr>
            </w:pPr>
            <w:r>
              <w:rPr>
                <w:noProof/>
              </w:rPr>
              <w:t>58</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09391933" w14:textId="77777777" w:rsidR="00025543" w:rsidRDefault="007E3A2F">
            <w:pPr>
              <w:pStyle w:val="P68B1DB1-Normal28"/>
              <w:spacing w:line="240" w:lineRule="auto"/>
              <w:jc w:val="center"/>
              <w:rPr>
                <w:noProof/>
              </w:rPr>
            </w:pPr>
            <w:r>
              <w:rPr>
                <w:noProof/>
              </w:rPr>
              <w:t>TRIMESTRE 3</w:t>
            </w:r>
          </w:p>
        </w:tc>
        <w:tc>
          <w:tcPr>
            <w:tcW w:w="639" w:type="dxa"/>
            <w:tcBorders>
              <w:top w:val="single" w:sz="8" w:space="0" w:color="auto"/>
              <w:left w:val="single" w:sz="8" w:space="0" w:color="auto"/>
              <w:bottom w:val="single" w:sz="8" w:space="0" w:color="auto"/>
              <w:right w:val="single" w:sz="8" w:space="0" w:color="auto"/>
            </w:tcBorders>
            <w:shd w:val="clear" w:color="auto" w:fill="C6EFCE"/>
            <w:vAlign w:val="center"/>
          </w:tcPr>
          <w:p w14:paraId="6E887864" w14:textId="77777777" w:rsidR="00025543" w:rsidRDefault="007E3A2F">
            <w:pPr>
              <w:pStyle w:val="P68B1DB1-Normal28"/>
              <w:spacing w:line="240" w:lineRule="auto"/>
              <w:jc w:val="center"/>
              <w:rPr>
                <w:noProof/>
              </w:rPr>
            </w:pPr>
            <w:r>
              <w:rPr>
                <w:noProof/>
              </w:rPr>
              <w:t>2022</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30F67DB9" w14:textId="4216ADC3" w:rsidR="00025543" w:rsidRDefault="007E3A2F">
            <w:pPr>
              <w:pStyle w:val="P68B1DB1-Normal28"/>
              <w:spacing w:line="259" w:lineRule="auto"/>
              <w:rPr>
                <w:noProof/>
              </w:rPr>
            </w:pPr>
            <w:r>
              <w:rPr>
                <w:noProof/>
              </w:rPr>
              <w:t>Des conventions de subvention sont signées pour soutenir au moins quinze projets de RDI dans le domaine de l’environnement. Les projets se concentrent sur des domaines thématiques prioritaires tels que la protection et l’utilisation durable des ressources naturelles, la protection du climat et l’amélioration de la qualité de l’air, la gestion et la réutilisation des déchets, la protection de la nature et du paysage ou un environnement sûr et résilient, y compris la prévention et la réduction des conséquences des risques naturels et anthropiques.</w:t>
            </w:r>
          </w:p>
          <w:p w14:paraId="29F9BF31" w14:textId="7B14EC33" w:rsidR="00025543" w:rsidRDefault="00025543">
            <w:pPr>
              <w:spacing w:line="259" w:lineRule="auto"/>
              <w:rPr>
                <w:noProof/>
                <w:color w:val="006100"/>
                <w:sz w:val="18"/>
              </w:rPr>
            </w:pPr>
          </w:p>
        </w:tc>
      </w:tr>
      <w:tr w:rsidR="00025543" w14:paraId="0F33856C" w14:textId="77777777">
        <w:trPr>
          <w:trHeight w:val="945"/>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14082F82" w14:textId="4881011C" w:rsidR="00025543" w:rsidRDefault="007E3A2F">
            <w:pPr>
              <w:pStyle w:val="P68B1DB1-Normal28"/>
              <w:spacing w:line="240" w:lineRule="auto"/>
              <w:jc w:val="center"/>
              <w:rPr>
                <w:noProof/>
              </w:rPr>
            </w:pPr>
            <w:r>
              <w:rPr>
                <w:noProof/>
              </w:rPr>
              <w:t>291</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20979283" w14:textId="68E90CAD" w:rsidR="00025543" w:rsidRDefault="007E3A2F">
            <w:pPr>
              <w:pStyle w:val="P68B1DB1-Normal28"/>
              <w:spacing w:line="240" w:lineRule="auto"/>
              <w:rPr>
                <w:noProof/>
              </w:rPr>
            </w:pPr>
            <w:r>
              <w:rPr>
                <w:noProof/>
              </w:rPr>
              <w:t>Investissement 3: Aides à la recherche et au développement dans le domaine de l’environnement</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CA4F1B9" w14:textId="77777777" w:rsidR="00025543" w:rsidRDefault="007E3A2F">
            <w:pPr>
              <w:pStyle w:val="P68B1DB1-Normal28"/>
              <w:spacing w:line="240" w:lineRule="auto"/>
              <w:rPr>
                <w:noProof/>
              </w:rPr>
            </w:pPr>
            <w:r>
              <w:rPr>
                <w:noProof/>
              </w:rPr>
              <w:t>Cible</w:t>
            </w:r>
          </w:p>
          <w:p w14:paraId="6D6F07BA" w14:textId="46ADF87A" w:rsidR="00025543" w:rsidRDefault="00025543">
            <w:pPr>
              <w:spacing w:line="240" w:lineRule="auto"/>
              <w:rPr>
                <w:noProof/>
                <w:color w:val="006100"/>
                <w:sz w:val="18"/>
              </w:rPr>
            </w:pP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7DE9FE5D" w14:textId="091EEB71" w:rsidR="00025543" w:rsidRDefault="007E3A2F">
            <w:pPr>
              <w:pStyle w:val="P68B1DB1-Normal28"/>
              <w:spacing w:line="240" w:lineRule="auto"/>
              <w:rPr>
                <w:noProof/>
              </w:rPr>
            </w:pPr>
            <w:r>
              <w:rPr>
                <w:noProof/>
              </w:rPr>
              <w:t>Recherche et développement dans le domaine de l’environnement</w:t>
            </w:r>
          </w:p>
          <w:p w14:paraId="1240CF06" w14:textId="34FECE21" w:rsidR="00025543" w:rsidRDefault="00025543">
            <w:pPr>
              <w:spacing w:line="240" w:lineRule="auto"/>
              <w:rPr>
                <w:noProof/>
                <w:color w:val="006100"/>
                <w:sz w:val="18"/>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75796B69" w14:textId="624E186B" w:rsidR="00025543" w:rsidRDefault="00025543">
            <w:pPr>
              <w:spacing w:line="240" w:lineRule="auto"/>
              <w:rPr>
                <w:noProof/>
                <w:color w:val="006100"/>
                <w:sz w:val="18"/>
              </w:rPr>
            </w:pP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14:paraId="7D091CCB" w14:textId="77777777" w:rsidR="00025543" w:rsidRDefault="00025543">
            <w:pPr>
              <w:spacing w:line="240" w:lineRule="auto"/>
              <w:rPr>
                <w:noProof/>
                <w:color w:val="006100"/>
                <w:sz w:val="18"/>
              </w:rPr>
            </w:pPr>
          </w:p>
          <w:p w14:paraId="033C7497" w14:textId="455F889F" w:rsidR="00025543" w:rsidRDefault="007E3A2F">
            <w:pPr>
              <w:pStyle w:val="P68B1DB1-Normal28"/>
              <w:spacing w:line="240" w:lineRule="auto"/>
              <w:rPr>
                <w:noProof/>
              </w:rPr>
            </w:pPr>
            <w:r>
              <w:rPr>
                <w:noProof/>
              </w:rPr>
              <w:t>Millions d’euros</w:t>
            </w:r>
          </w:p>
          <w:p w14:paraId="4CA68FAC" w14:textId="405815FA" w:rsidR="00025543" w:rsidRDefault="00025543">
            <w:pPr>
              <w:spacing w:line="240" w:lineRule="auto"/>
              <w:rPr>
                <w:noProof/>
                <w:color w:val="006100"/>
                <w:sz w:val="18"/>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3F776B81" w14:textId="2D8ED9FF" w:rsidR="00025543" w:rsidRDefault="007E3A2F">
            <w:pPr>
              <w:pStyle w:val="P68B1DB1-Normal28"/>
              <w:spacing w:line="240" w:lineRule="auto"/>
              <w:jc w:val="center"/>
              <w:rPr>
                <w:noProof/>
              </w:rPr>
            </w:pPr>
            <w:r>
              <w:rPr>
                <w:noProof/>
              </w:rPr>
              <w:t>0</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78D59A86" w14:textId="432D3DE8" w:rsidR="00025543" w:rsidRDefault="007E3A2F">
            <w:pPr>
              <w:pStyle w:val="P68B1DB1-Normal28"/>
              <w:spacing w:line="240" w:lineRule="auto"/>
              <w:jc w:val="center"/>
              <w:rPr>
                <w:noProof/>
              </w:rPr>
            </w:pPr>
            <w:r>
              <w:rPr>
                <w:noProof/>
              </w:rPr>
              <w:t>7</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25A3E2A5" w14:textId="223B330E" w:rsidR="00025543" w:rsidRDefault="007E3A2F">
            <w:pPr>
              <w:pStyle w:val="P68B1DB1-Normal28"/>
              <w:spacing w:line="240" w:lineRule="auto"/>
              <w:jc w:val="center"/>
              <w:rPr>
                <w:noProof/>
              </w:rPr>
            </w:pPr>
            <w:r>
              <w:rPr>
                <w:noProof/>
              </w:rPr>
              <w:t>TRIMESTRE 1</w:t>
            </w:r>
          </w:p>
        </w:tc>
        <w:tc>
          <w:tcPr>
            <w:tcW w:w="639" w:type="dxa"/>
            <w:tcBorders>
              <w:top w:val="single" w:sz="8" w:space="0" w:color="auto"/>
              <w:left w:val="single" w:sz="8" w:space="0" w:color="auto"/>
              <w:bottom w:val="single" w:sz="8" w:space="0" w:color="auto"/>
              <w:right w:val="single" w:sz="8" w:space="0" w:color="auto"/>
            </w:tcBorders>
            <w:shd w:val="clear" w:color="auto" w:fill="C6EFCE"/>
            <w:vAlign w:val="center"/>
          </w:tcPr>
          <w:p w14:paraId="7EAC0976" w14:textId="16446090" w:rsidR="00025543" w:rsidRDefault="007E3A2F">
            <w:pPr>
              <w:pStyle w:val="P68B1DB1-Normal28"/>
              <w:spacing w:line="240" w:lineRule="auto"/>
              <w:jc w:val="center"/>
              <w:rPr>
                <w:noProof/>
              </w:rPr>
            </w:pPr>
            <w:r>
              <w:rPr>
                <w:noProof/>
              </w:rPr>
              <w:t>2026</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750BB064" w14:textId="1F360D9E" w:rsidR="00025543" w:rsidRDefault="007E3A2F">
            <w:pPr>
              <w:pStyle w:val="P68B1DB1-Normal28"/>
              <w:spacing w:line="259" w:lineRule="auto"/>
              <w:rPr>
                <w:noProof/>
              </w:rPr>
            </w:pPr>
            <w:r>
              <w:rPr>
                <w:noProof/>
              </w:rPr>
              <w:t>Le budget total exécuté pour soutenir des projets au titre de l’objectif 229 s’élève à au moins 7 000 000 EUR.</w:t>
            </w:r>
          </w:p>
        </w:tc>
      </w:tr>
      <w:tr w:rsidR="00025543" w14:paraId="51366422" w14:textId="77777777">
        <w:trPr>
          <w:trHeight w:val="945"/>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463D6762" w14:textId="77777777" w:rsidR="00025543" w:rsidRDefault="007E3A2F">
            <w:pPr>
              <w:pStyle w:val="P68B1DB1-Normal28"/>
              <w:spacing w:line="240" w:lineRule="auto"/>
              <w:jc w:val="center"/>
              <w:rPr>
                <w:noProof/>
              </w:rPr>
            </w:pPr>
            <w:r>
              <w:rPr>
                <w:noProof/>
              </w:rPr>
              <w:t>230</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3CB3F531" w14:textId="77777777" w:rsidR="00025543" w:rsidRDefault="007E3A2F">
            <w:pPr>
              <w:pStyle w:val="P68B1DB1-Normal28"/>
              <w:spacing w:line="240" w:lineRule="auto"/>
              <w:rPr>
                <w:noProof/>
              </w:rPr>
            </w:pPr>
            <w:r>
              <w:rPr>
                <w:noProof/>
              </w:rPr>
              <w:t>Investissement 4: Aides à la recherche et au développement en synergie avec le programme-cadre pour la recherche et l’innovation</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ED2236E" w14:textId="77777777" w:rsidR="00025543" w:rsidRDefault="007E3A2F">
            <w:pPr>
              <w:pStyle w:val="P68B1DB1-Normal28"/>
              <w:spacing w:line="240" w:lineRule="auto"/>
              <w:rPr>
                <w:noProof/>
              </w:rPr>
            </w:pPr>
            <w:r>
              <w:rPr>
                <w:noProof/>
              </w:rPr>
              <w:t>Cible</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3EA60981" w14:textId="77777777" w:rsidR="00025543" w:rsidRDefault="007E3A2F">
            <w:pPr>
              <w:pStyle w:val="P68B1DB1-Normal28"/>
              <w:spacing w:line="240" w:lineRule="auto"/>
              <w:rPr>
                <w:noProof/>
              </w:rPr>
            </w:pPr>
            <w:r>
              <w:rPr>
                <w:noProof/>
              </w:rPr>
              <w:t>Recherche et développement en synergie avec le programme-cadre pour la recherche et l’innovation</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02C76BD7" w14:textId="77777777" w:rsidR="00025543" w:rsidRDefault="00025543">
            <w:pPr>
              <w:spacing w:line="240" w:lineRule="auto"/>
              <w:rPr>
                <w:noProof/>
                <w:color w:val="006100"/>
                <w:sz w:val="18"/>
              </w:rPr>
            </w:pP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14:paraId="3780BFA4" w14:textId="77777777" w:rsidR="00025543" w:rsidRDefault="007E3A2F">
            <w:pPr>
              <w:pStyle w:val="P68B1DB1-Normal28"/>
              <w:spacing w:line="240" w:lineRule="auto"/>
              <w:rPr>
                <w:noProof/>
              </w:rPr>
            </w:pPr>
            <w:r>
              <w:rPr>
                <w:noProof/>
              </w:rPr>
              <w:t>Nombre de projets participant aux cofinancements NET de l’Espace européen de la recherche et de projets ayant reçu le label d’excellence</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6144DAAF" w14:textId="77777777" w:rsidR="00025543" w:rsidRDefault="007E3A2F">
            <w:pPr>
              <w:pStyle w:val="P68B1DB1-Normal28"/>
              <w:spacing w:line="240" w:lineRule="auto"/>
              <w:jc w:val="center"/>
              <w:rPr>
                <w:noProof/>
              </w:rPr>
            </w:pPr>
            <w:r>
              <w:rPr>
                <w:noProof/>
              </w:rPr>
              <w:t>53</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29864FD4" w14:textId="77777777" w:rsidR="00025543" w:rsidRDefault="007E3A2F">
            <w:pPr>
              <w:pStyle w:val="P68B1DB1-Normal28"/>
              <w:spacing w:line="240" w:lineRule="auto"/>
              <w:jc w:val="center"/>
              <w:rPr>
                <w:noProof/>
              </w:rPr>
            </w:pPr>
            <w:r>
              <w:rPr>
                <w:noProof/>
              </w:rPr>
              <w:t>79</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20B15335" w14:textId="6CB662FA" w:rsidR="00025543" w:rsidRDefault="007E3A2F">
            <w:pPr>
              <w:pStyle w:val="P68B1DB1-Normal28"/>
              <w:spacing w:line="240" w:lineRule="auto"/>
              <w:jc w:val="center"/>
              <w:rPr>
                <w:noProof/>
              </w:rPr>
            </w:pPr>
            <w:r>
              <w:rPr>
                <w:noProof/>
              </w:rPr>
              <w:t>TRIMESTRE 1</w:t>
            </w:r>
          </w:p>
        </w:tc>
        <w:tc>
          <w:tcPr>
            <w:tcW w:w="639" w:type="dxa"/>
            <w:tcBorders>
              <w:top w:val="single" w:sz="8" w:space="0" w:color="auto"/>
              <w:left w:val="single" w:sz="8" w:space="0" w:color="auto"/>
              <w:bottom w:val="single" w:sz="8" w:space="0" w:color="auto"/>
              <w:right w:val="single" w:sz="8" w:space="0" w:color="auto"/>
            </w:tcBorders>
            <w:shd w:val="clear" w:color="auto" w:fill="C6EFCE"/>
            <w:vAlign w:val="center"/>
          </w:tcPr>
          <w:p w14:paraId="4DD1CDE7" w14:textId="2BFFF3CD" w:rsidR="00025543" w:rsidRDefault="007E3A2F">
            <w:pPr>
              <w:pStyle w:val="P68B1DB1-Normal28"/>
              <w:spacing w:line="240" w:lineRule="auto"/>
              <w:jc w:val="center"/>
              <w:rPr>
                <w:noProof/>
              </w:rPr>
            </w:pPr>
            <w:r>
              <w:rPr>
                <w:noProof/>
              </w:rPr>
              <w:t>2026</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04D4F2DC" w14:textId="545ADB3E" w:rsidR="00025543" w:rsidRDefault="007E3A2F">
            <w:pPr>
              <w:pStyle w:val="P68B1DB1-Normal12"/>
              <w:spacing w:line="240" w:lineRule="auto"/>
              <w:rPr>
                <w:noProof/>
              </w:rPr>
            </w:pPr>
            <w:r>
              <w:rPr>
                <w:noProof/>
                <w:color w:val="006100"/>
              </w:rPr>
              <w:t>26</w:t>
            </w:r>
            <w:r>
              <w:rPr>
                <w:noProof/>
              </w:rPr>
              <w:t xml:space="preserve"> </w:t>
            </w:r>
            <w:r>
              <w:rPr>
                <w:noProof/>
                <w:color w:val="006100"/>
              </w:rPr>
              <w:t>projets participant à des cofinancements NET de l’Espace européen de la recherche et des projets ayant reçu le label d’excellence (y compris dans le cadre du projet pilote de l’Accélérateur du CEI), dont 18 projets participant aux cofonds NET de l’Espace européen de la recherche et 8 projets ayant reçu le label d’excellence, bénéficieront d’un soutien.</w:t>
            </w:r>
            <w:r>
              <w:rPr>
                <w:noProof/>
              </w:rPr>
              <w:t xml:space="preserve"> </w:t>
            </w:r>
          </w:p>
          <w:p w14:paraId="78759086" w14:textId="40AAE719" w:rsidR="00025543" w:rsidRDefault="007E3A2F">
            <w:pPr>
              <w:pStyle w:val="P68B1DB1-Normal28"/>
              <w:spacing w:line="240" w:lineRule="auto"/>
              <w:rPr>
                <w:noProof/>
              </w:rPr>
            </w:pPr>
            <w:r>
              <w:rPr>
                <w:noProof/>
              </w:rPr>
              <w:t xml:space="preserve">Le budget total exécuté à cette fin s’élève au moins à 19 000 000 EUR. </w:t>
            </w:r>
          </w:p>
        </w:tc>
      </w:tr>
      <w:tr w:rsidR="00025543" w14:paraId="004042F6" w14:textId="77777777">
        <w:trPr>
          <w:trHeight w:val="945"/>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238987A2" w14:textId="68E8C445" w:rsidR="00025543" w:rsidRDefault="007E3A2F">
            <w:pPr>
              <w:pStyle w:val="P68B1DB1-Normal28"/>
              <w:spacing w:line="240" w:lineRule="auto"/>
              <w:jc w:val="center"/>
              <w:rPr>
                <w:noProof/>
                <w:highlight w:val="yellow"/>
              </w:rPr>
            </w:pPr>
            <w:r>
              <w:rPr>
                <w:noProof/>
              </w:rPr>
              <w:t>292</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6C6AC594" w14:textId="77707B87" w:rsidR="00025543" w:rsidRDefault="007E3A2F">
            <w:pPr>
              <w:pStyle w:val="P68B1DB1-Normal28"/>
              <w:spacing w:line="240" w:lineRule="auto"/>
              <w:rPr>
                <w:noProof/>
              </w:rPr>
            </w:pPr>
            <w:r>
              <w:rPr>
                <w:noProof/>
              </w:rPr>
              <w:t>Investissement 5: Aides à la recherche et au développement dans les entreprises conformément à la stratégie nationale RIS3</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6DCE8CE" w14:textId="1B732F1D" w:rsidR="00025543" w:rsidRDefault="007E3A2F">
            <w:pPr>
              <w:pStyle w:val="P68B1DB1-Normal28"/>
              <w:spacing w:line="240" w:lineRule="auto"/>
              <w:rPr>
                <w:noProof/>
              </w:rPr>
            </w:pPr>
            <w:r>
              <w:rPr>
                <w:noProof/>
              </w:rPr>
              <w:t>Cible</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083D9377" w14:textId="1B4D4251" w:rsidR="00025543" w:rsidRDefault="007E3A2F">
            <w:pPr>
              <w:pStyle w:val="P68B1DB1-Normal28"/>
              <w:spacing w:line="240" w:lineRule="auto"/>
              <w:rPr>
                <w:noProof/>
              </w:rPr>
            </w:pPr>
            <w:r>
              <w:rPr>
                <w:noProof/>
              </w:rPr>
              <w:t>Recherche et développement conformément à la stratégie RIS3</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0DEFB7F4" w14:textId="7BE7D182" w:rsidR="00025543" w:rsidRDefault="00025543">
            <w:pPr>
              <w:spacing w:line="240" w:lineRule="auto"/>
              <w:rPr>
                <w:noProof/>
                <w:color w:val="006100"/>
                <w:sz w:val="18"/>
              </w:rPr>
            </w:pP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14:paraId="393868B5" w14:textId="313FD4E4" w:rsidR="00025543" w:rsidRDefault="007E3A2F">
            <w:pPr>
              <w:pStyle w:val="P68B1DB1-Normal28"/>
              <w:spacing w:line="240" w:lineRule="auto"/>
              <w:rPr>
                <w:noProof/>
              </w:rPr>
            </w:pPr>
            <w:r>
              <w:rPr>
                <w:noProof/>
              </w:rPr>
              <w:t>Nombre de projets conformes à la stratégie RIS3 pour lesquels une convention de subvention a été signée</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4EA13204" w14:textId="5B8646C3" w:rsidR="00025543" w:rsidRDefault="007E3A2F">
            <w:pPr>
              <w:pStyle w:val="P68B1DB1-Normal28"/>
              <w:spacing w:line="240" w:lineRule="auto"/>
              <w:jc w:val="center"/>
              <w:rPr>
                <w:noProof/>
              </w:rPr>
            </w:pPr>
            <w:r>
              <w:rPr>
                <w:noProof/>
              </w:rPr>
              <w:t>0</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2980E410" w14:textId="44363708" w:rsidR="00025543" w:rsidRDefault="007E3A2F">
            <w:pPr>
              <w:pStyle w:val="P68B1DB1-Normal28"/>
              <w:spacing w:line="240" w:lineRule="auto"/>
              <w:jc w:val="center"/>
              <w:rPr>
                <w:noProof/>
                <w:highlight w:val="yellow"/>
              </w:rPr>
            </w:pPr>
            <w:r>
              <w:rPr>
                <w:noProof/>
              </w:rPr>
              <w:t>68</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15C14A06" w14:textId="0AF415AA" w:rsidR="00025543" w:rsidRDefault="007E3A2F">
            <w:pPr>
              <w:pStyle w:val="P68B1DB1-Normal28"/>
              <w:spacing w:line="240" w:lineRule="auto"/>
              <w:jc w:val="center"/>
              <w:rPr>
                <w:noProof/>
              </w:rPr>
            </w:pPr>
            <w:r>
              <w:rPr>
                <w:noProof/>
              </w:rPr>
              <w:t>TRIMESTRE 2</w:t>
            </w:r>
          </w:p>
        </w:tc>
        <w:tc>
          <w:tcPr>
            <w:tcW w:w="639" w:type="dxa"/>
            <w:tcBorders>
              <w:top w:val="single" w:sz="8" w:space="0" w:color="auto"/>
              <w:left w:val="single" w:sz="8" w:space="0" w:color="auto"/>
              <w:bottom w:val="single" w:sz="8" w:space="0" w:color="auto"/>
              <w:right w:val="single" w:sz="8" w:space="0" w:color="auto"/>
            </w:tcBorders>
            <w:shd w:val="clear" w:color="auto" w:fill="C6EFCE"/>
            <w:vAlign w:val="center"/>
          </w:tcPr>
          <w:p w14:paraId="544D6F04" w14:textId="6204586D" w:rsidR="00025543" w:rsidRDefault="007E3A2F">
            <w:pPr>
              <w:pStyle w:val="P68B1DB1-Normal28"/>
              <w:spacing w:line="240" w:lineRule="auto"/>
              <w:jc w:val="center"/>
              <w:rPr>
                <w:noProof/>
              </w:rPr>
            </w:pPr>
            <w:r>
              <w:rPr>
                <w:noProof/>
              </w:rPr>
              <w:t>2024</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24FCCBDA" w14:textId="140BDF4E" w:rsidR="00025543" w:rsidRDefault="007E3A2F">
            <w:pPr>
              <w:pStyle w:val="P68B1DB1-Normal28"/>
              <w:spacing w:line="240" w:lineRule="auto"/>
              <w:rPr>
                <w:noProof/>
              </w:rPr>
            </w:pPr>
            <w:r>
              <w:rPr>
                <w:noProof/>
              </w:rPr>
              <w:t xml:space="preserve">Des conventions de subvention seront signées pour soutenir au moins 68 projets conformément à la stratégie nationale RIS3. L’appel d’offres vise à soutenir des projets de recherche industrielle et de développement expérimental visant à mettre en pratique les résultats, notamment en ce qui concerne la production industrielle et la fourniture de produits sur le marché, les projets visant à développer de nouveaux services, technologies et matériaux, le renforcement de l’automatisation et de la robotisation et l’utilisation des technologies numériques.  </w:t>
            </w:r>
          </w:p>
          <w:p w14:paraId="124FF063" w14:textId="26827AAB" w:rsidR="00025543" w:rsidRDefault="007E3A2F">
            <w:pPr>
              <w:pStyle w:val="P68B1DB1-Normal28"/>
              <w:spacing w:line="240" w:lineRule="auto"/>
              <w:rPr>
                <w:noProof/>
              </w:rPr>
            </w:pPr>
            <w:r>
              <w:rPr>
                <w:noProof/>
              </w:rPr>
              <w:t xml:space="preserve">Les projets sélectionnés pour bénéficier d’un soutien seront conformes à un domaine de spécialisation de la R &amp;DI-I de la stratégie nationale RIS3. </w:t>
            </w:r>
          </w:p>
          <w:p w14:paraId="0B115252" w14:textId="44327336" w:rsidR="00025543" w:rsidRDefault="007E3A2F">
            <w:pPr>
              <w:pStyle w:val="P68B1DB1-Normal28"/>
              <w:spacing w:line="240" w:lineRule="auto"/>
              <w:rPr>
                <w:noProof/>
              </w:rPr>
            </w:pPr>
            <w:r>
              <w:rPr>
                <w:noProof/>
              </w:rPr>
              <w:t>Le budget total engagé dans les conventions de subvention pour tous les projets et pour l’ensemble de la période de mise en œuvre s’élève à au moins 53.9 millions d’euros.</w:t>
            </w:r>
          </w:p>
        </w:tc>
      </w:tr>
      <w:tr w:rsidR="00025543" w14:paraId="476996DC" w14:textId="77777777">
        <w:trPr>
          <w:trHeight w:val="945"/>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6A996C89" w14:textId="4CCC2928" w:rsidR="00025543" w:rsidRDefault="007E3A2F">
            <w:pPr>
              <w:pStyle w:val="P68B1DB1-Normal28"/>
              <w:spacing w:line="240" w:lineRule="auto"/>
              <w:jc w:val="center"/>
              <w:rPr>
                <w:noProof/>
                <w:highlight w:val="yellow"/>
              </w:rPr>
            </w:pPr>
            <w:r>
              <w:rPr>
                <w:noProof/>
              </w:rPr>
              <w:t>293</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72905298" w14:textId="4B3E0952" w:rsidR="00025543" w:rsidRDefault="007E3A2F">
            <w:pPr>
              <w:pStyle w:val="P68B1DB1-Normal28"/>
              <w:spacing w:line="240" w:lineRule="auto"/>
              <w:rPr>
                <w:noProof/>
              </w:rPr>
            </w:pPr>
            <w:r>
              <w:rPr>
                <w:noProof/>
              </w:rPr>
              <w:t>Investissement 5: Aides à la recherche et au développement dans les entreprises conformément à la stratégie nationale RIS3</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EF729B6" w14:textId="13D67050" w:rsidR="00025543" w:rsidRDefault="007E3A2F">
            <w:pPr>
              <w:pStyle w:val="P68B1DB1-Normal28"/>
              <w:spacing w:line="240" w:lineRule="auto"/>
              <w:rPr>
                <w:noProof/>
              </w:rPr>
            </w:pPr>
            <w:r>
              <w:rPr>
                <w:noProof/>
              </w:rPr>
              <w:t>Cible</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5D36C675" w14:textId="77777777" w:rsidR="00025543" w:rsidRDefault="00025543">
            <w:pPr>
              <w:spacing w:line="240" w:lineRule="auto"/>
              <w:rPr>
                <w:noProof/>
                <w:color w:val="006100"/>
                <w:sz w:val="18"/>
              </w:rPr>
            </w:pPr>
          </w:p>
          <w:p w14:paraId="62ACDB0B" w14:textId="4D33F47A" w:rsidR="00025543" w:rsidRDefault="007E3A2F">
            <w:pPr>
              <w:pStyle w:val="P68B1DB1-Normal28"/>
              <w:spacing w:line="240" w:lineRule="auto"/>
              <w:rPr>
                <w:noProof/>
              </w:rPr>
            </w:pPr>
            <w:r>
              <w:rPr>
                <w:noProof/>
              </w:rPr>
              <w:t>Recherche et développement conformément à la stratégie RIS3</w:t>
            </w:r>
          </w:p>
          <w:p w14:paraId="7EDED1DA" w14:textId="017FF2E6" w:rsidR="00025543" w:rsidRDefault="00025543">
            <w:pPr>
              <w:spacing w:line="240" w:lineRule="auto"/>
              <w:rPr>
                <w:noProof/>
                <w:color w:val="006100"/>
                <w:sz w:val="18"/>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06953B01" w14:textId="012A7AB8" w:rsidR="00025543" w:rsidRDefault="00025543">
            <w:pPr>
              <w:spacing w:line="240" w:lineRule="auto"/>
              <w:rPr>
                <w:noProof/>
                <w:color w:val="006100"/>
                <w:sz w:val="18"/>
              </w:rPr>
            </w:pP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14:paraId="43B32A5F" w14:textId="353CC67D" w:rsidR="00025543" w:rsidRDefault="007E3A2F">
            <w:pPr>
              <w:pStyle w:val="P68B1DB1-Normal28"/>
              <w:spacing w:line="240" w:lineRule="auto"/>
              <w:rPr>
                <w:noProof/>
              </w:rPr>
            </w:pPr>
            <w:r>
              <w:rPr>
                <w:noProof/>
              </w:rPr>
              <w:t>%</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1A0127A4" w14:textId="7BC503A4" w:rsidR="00025543" w:rsidRDefault="007E3A2F">
            <w:pPr>
              <w:pStyle w:val="P68B1DB1-Normal28"/>
              <w:spacing w:line="240" w:lineRule="auto"/>
              <w:jc w:val="center"/>
              <w:rPr>
                <w:noProof/>
              </w:rPr>
            </w:pPr>
            <w:r>
              <w:rPr>
                <w:noProof/>
              </w:rPr>
              <w:t>0</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23AA6C78" w14:textId="507C06CC" w:rsidR="00025543" w:rsidRDefault="007E3A2F">
            <w:pPr>
              <w:pStyle w:val="P68B1DB1-Normal28"/>
              <w:spacing w:line="240" w:lineRule="auto"/>
              <w:jc w:val="center"/>
              <w:rPr>
                <w:noProof/>
                <w:highlight w:val="yellow"/>
              </w:rPr>
            </w:pPr>
            <w:r>
              <w:rPr>
                <w:noProof/>
              </w:rPr>
              <w:t>90</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712B8762" w14:textId="4E51FB98" w:rsidR="00025543" w:rsidRDefault="007E3A2F">
            <w:pPr>
              <w:pStyle w:val="P68B1DB1-Normal28"/>
              <w:spacing w:line="240" w:lineRule="auto"/>
              <w:jc w:val="center"/>
              <w:rPr>
                <w:noProof/>
              </w:rPr>
            </w:pPr>
            <w:r>
              <w:rPr>
                <w:noProof/>
              </w:rPr>
              <w:t>TRIMESTRE 1</w:t>
            </w:r>
          </w:p>
        </w:tc>
        <w:tc>
          <w:tcPr>
            <w:tcW w:w="639" w:type="dxa"/>
            <w:tcBorders>
              <w:top w:val="single" w:sz="8" w:space="0" w:color="auto"/>
              <w:left w:val="single" w:sz="8" w:space="0" w:color="auto"/>
              <w:bottom w:val="single" w:sz="8" w:space="0" w:color="auto"/>
              <w:right w:val="single" w:sz="8" w:space="0" w:color="auto"/>
            </w:tcBorders>
            <w:shd w:val="clear" w:color="auto" w:fill="C6EFCE"/>
            <w:vAlign w:val="center"/>
          </w:tcPr>
          <w:p w14:paraId="2E78A904" w14:textId="62C4021F" w:rsidR="00025543" w:rsidRDefault="007E3A2F">
            <w:pPr>
              <w:pStyle w:val="P68B1DB1-Normal28"/>
              <w:spacing w:line="240" w:lineRule="auto"/>
              <w:jc w:val="center"/>
              <w:rPr>
                <w:noProof/>
              </w:rPr>
            </w:pPr>
            <w:r>
              <w:rPr>
                <w:noProof/>
              </w:rPr>
              <w:t>2026</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3F96DFDA" w14:textId="475DF98E" w:rsidR="00025543" w:rsidRDefault="007E3A2F">
            <w:pPr>
              <w:pStyle w:val="P68B1DB1-Normal28"/>
              <w:spacing w:line="240" w:lineRule="auto"/>
              <w:rPr>
                <w:noProof/>
              </w:rPr>
            </w:pPr>
            <w:r>
              <w:rPr>
                <w:noProof/>
              </w:rPr>
              <w:t>Au moins 90 % du budget engagé pour les projets relevant de l’objectif 292 ont été décaissés.</w:t>
            </w:r>
          </w:p>
        </w:tc>
      </w:tr>
      <w:tr w:rsidR="00025543" w14:paraId="17E98F63" w14:textId="77777777">
        <w:trPr>
          <w:trHeight w:val="945"/>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2944D1C3" w14:textId="376A3F75" w:rsidR="00025543" w:rsidRDefault="007E3A2F">
            <w:pPr>
              <w:pStyle w:val="P68B1DB1-Normal28"/>
              <w:spacing w:line="240" w:lineRule="auto"/>
              <w:jc w:val="center"/>
              <w:rPr>
                <w:noProof/>
                <w:highlight w:val="yellow"/>
              </w:rPr>
            </w:pPr>
            <w:r>
              <w:rPr>
                <w:noProof/>
              </w:rPr>
              <w:t>294</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60EF9ED7" w14:textId="5A6ACC08" w:rsidR="00025543" w:rsidRDefault="007E3A2F">
            <w:pPr>
              <w:pStyle w:val="P68B1DB1-Normal28"/>
              <w:spacing w:line="240" w:lineRule="auto"/>
              <w:rPr>
                <w:noProof/>
              </w:rPr>
            </w:pPr>
            <w:r>
              <w:rPr>
                <w:noProof/>
              </w:rPr>
              <w:t>Investissement 6: Aides à la recherche et au développement dans le domaine des transports</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D8639E0" w14:textId="4F47D3CA" w:rsidR="00025543" w:rsidRDefault="007E3A2F">
            <w:pPr>
              <w:pStyle w:val="P68B1DB1-Normal28"/>
              <w:spacing w:line="240" w:lineRule="auto"/>
              <w:rPr>
                <w:noProof/>
              </w:rPr>
            </w:pPr>
            <w:r>
              <w:rPr>
                <w:noProof/>
              </w:rPr>
              <w:t>Cible</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722D66DB" w14:textId="0C162D67" w:rsidR="00025543" w:rsidRDefault="007E3A2F">
            <w:pPr>
              <w:pStyle w:val="P68B1DB1-Normal28"/>
              <w:spacing w:line="240" w:lineRule="auto"/>
              <w:rPr>
                <w:noProof/>
              </w:rPr>
            </w:pPr>
            <w:r>
              <w:rPr>
                <w:noProof/>
              </w:rPr>
              <w:t>Recherche et développement dans le secteur des transports</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7984F358" w14:textId="1F075AAE" w:rsidR="00025543" w:rsidRDefault="00025543">
            <w:pPr>
              <w:spacing w:line="240" w:lineRule="auto"/>
              <w:rPr>
                <w:noProof/>
                <w:color w:val="006100"/>
                <w:sz w:val="18"/>
              </w:rPr>
            </w:pP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14:paraId="1EE98CDB" w14:textId="325FC007" w:rsidR="00025543" w:rsidRDefault="007E3A2F">
            <w:pPr>
              <w:pStyle w:val="P68B1DB1-Normal28"/>
              <w:spacing w:line="240" w:lineRule="auto"/>
              <w:rPr>
                <w:noProof/>
              </w:rPr>
            </w:pPr>
            <w:r>
              <w:rPr>
                <w:noProof/>
              </w:rPr>
              <w:t>Nombre de projets dans le domaine des transports pour lesquels une convention de subvention a été signée</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6D0A9B89" w14:textId="39DB4720" w:rsidR="00025543" w:rsidRDefault="007E3A2F">
            <w:pPr>
              <w:pStyle w:val="P68B1DB1-Normal28"/>
              <w:spacing w:line="240" w:lineRule="auto"/>
              <w:jc w:val="center"/>
              <w:rPr>
                <w:noProof/>
              </w:rPr>
            </w:pPr>
            <w:r>
              <w:rPr>
                <w:noProof/>
              </w:rPr>
              <w:t>0</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15EEDA92" w14:textId="1BA68A61" w:rsidR="00025543" w:rsidRDefault="007E3A2F">
            <w:pPr>
              <w:pStyle w:val="P68B1DB1-Normal28"/>
              <w:spacing w:line="240" w:lineRule="auto"/>
              <w:jc w:val="center"/>
              <w:rPr>
                <w:noProof/>
                <w:highlight w:val="yellow"/>
              </w:rPr>
            </w:pPr>
            <w:r>
              <w:rPr>
                <w:noProof/>
              </w:rPr>
              <w:t>16</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4DE37E44" w14:textId="155B7D18" w:rsidR="00025543" w:rsidRDefault="007E3A2F">
            <w:pPr>
              <w:pStyle w:val="P68B1DB1-Normal28"/>
              <w:spacing w:line="240" w:lineRule="auto"/>
              <w:jc w:val="center"/>
              <w:rPr>
                <w:noProof/>
              </w:rPr>
            </w:pPr>
            <w:r>
              <w:rPr>
                <w:noProof/>
              </w:rPr>
              <w:t>TRIMESTRE 2</w:t>
            </w:r>
          </w:p>
        </w:tc>
        <w:tc>
          <w:tcPr>
            <w:tcW w:w="639" w:type="dxa"/>
            <w:tcBorders>
              <w:top w:val="single" w:sz="8" w:space="0" w:color="auto"/>
              <w:left w:val="single" w:sz="8" w:space="0" w:color="auto"/>
              <w:bottom w:val="single" w:sz="8" w:space="0" w:color="auto"/>
              <w:right w:val="single" w:sz="8" w:space="0" w:color="auto"/>
            </w:tcBorders>
            <w:shd w:val="clear" w:color="auto" w:fill="C6EFCE"/>
            <w:vAlign w:val="center"/>
          </w:tcPr>
          <w:p w14:paraId="4F8B3804" w14:textId="5AEBAA29" w:rsidR="00025543" w:rsidRDefault="007E3A2F">
            <w:pPr>
              <w:pStyle w:val="P68B1DB1-Normal28"/>
              <w:spacing w:line="240" w:lineRule="auto"/>
              <w:jc w:val="center"/>
              <w:rPr>
                <w:noProof/>
              </w:rPr>
            </w:pPr>
            <w:r>
              <w:rPr>
                <w:noProof/>
              </w:rPr>
              <w:t>2024</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054ADA98" w14:textId="38D87BD4" w:rsidR="00025543" w:rsidRDefault="007E3A2F">
            <w:pPr>
              <w:pStyle w:val="P68B1DB1-Normal28"/>
              <w:spacing w:line="240" w:lineRule="auto"/>
              <w:rPr>
                <w:noProof/>
              </w:rPr>
            </w:pPr>
            <w:r>
              <w:rPr>
                <w:noProof/>
              </w:rPr>
              <w:t xml:space="preserve">Des conventions de subvention sont signées pour soutenir au moins 16 projets de R &amp;D; dans le domaine des transports. L’appel d’offres vise à soutenir des projets de recherche appliquée, de développement expérimental et d’innovation dans l’un des domaines suivants: I) des transports durables, accessibles et sûrs, ii) l’automatisation, la numérisation et les transports technologiquement avancés, iii) les transports à émissions nulles.  </w:t>
            </w:r>
          </w:p>
          <w:p w14:paraId="142376A4" w14:textId="3F61DB21" w:rsidR="00025543" w:rsidRDefault="007E3A2F">
            <w:pPr>
              <w:pStyle w:val="P68B1DB1-Normal28"/>
              <w:spacing w:line="240" w:lineRule="auto"/>
              <w:rPr>
                <w:noProof/>
              </w:rPr>
            </w:pPr>
            <w:r>
              <w:rPr>
                <w:noProof/>
              </w:rPr>
              <w:t xml:space="preserve">Les projets sélectionnés pour bénéficier d’un soutien seront également conformes à l’un des deux domaines de spécialisation suivants de la stratégie nationale RIS3: I) les transports verts; et ii) des transports technologiquement avancés et sûrs. </w:t>
            </w:r>
          </w:p>
          <w:p w14:paraId="51EBAC07" w14:textId="54791267" w:rsidR="00025543" w:rsidRDefault="007E3A2F">
            <w:pPr>
              <w:pStyle w:val="P68B1DB1-Normal28"/>
              <w:spacing w:line="240" w:lineRule="auto"/>
              <w:rPr>
                <w:noProof/>
              </w:rPr>
            </w:pPr>
            <w:r>
              <w:rPr>
                <w:noProof/>
              </w:rPr>
              <w:t>Le budget total engagé dans les conventions de subvention pour tous les projets et pour l’ensemble de la période de mise en œuvre s’élève à au moins 8 millions d’euros.</w:t>
            </w:r>
          </w:p>
          <w:p w14:paraId="0D57BB3D" w14:textId="633FAE85" w:rsidR="00025543" w:rsidRDefault="00025543">
            <w:pPr>
              <w:spacing w:line="240" w:lineRule="auto"/>
              <w:rPr>
                <w:noProof/>
                <w:color w:val="006100"/>
                <w:sz w:val="18"/>
              </w:rPr>
            </w:pPr>
          </w:p>
        </w:tc>
      </w:tr>
      <w:tr w:rsidR="00025543" w14:paraId="35DAE04E" w14:textId="77777777">
        <w:trPr>
          <w:trHeight w:val="945"/>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4F08B30A" w14:textId="3E74EFC8" w:rsidR="00025543" w:rsidRDefault="007E3A2F">
            <w:pPr>
              <w:pStyle w:val="P68B1DB1-Normal28"/>
              <w:spacing w:line="240" w:lineRule="auto"/>
              <w:jc w:val="center"/>
              <w:rPr>
                <w:noProof/>
                <w:highlight w:val="yellow"/>
              </w:rPr>
            </w:pPr>
            <w:r>
              <w:rPr>
                <w:noProof/>
              </w:rPr>
              <w:t>295</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718D63F9" w14:textId="07C7BA21" w:rsidR="00025543" w:rsidRDefault="007E3A2F">
            <w:pPr>
              <w:pStyle w:val="P68B1DB1-Normal28"/>
              <w:spacing w:line="240" w:lineRule="auto"/>
              <w:rPr>
                <w:noProof/>
              </w:rPr>
            </w:pPr>
            <w:r>
              <w:rPr>
                <w:noProof/>
              </w:rPr>
              <w:t>Investissement 6: Aides à la recherche et au développement dans le domaine des transports</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8B12FF3" w14:textId="3B2E6748" w:rsidR="00025543" w:rsidRDefault="007E3A2F">
            <w:pPr>
              <w:pStyle w:val="P68B1DB1-Normal28"/>
              <w:spacing w:line="240" w:lineRule="auto"/>
              <w:rPr>
                <w:noProof/>
              </w:rPr>
            </w:pPr>
            <w:r>
              <w:rPr>
                <w:noProof/>
              </w:rPr>
              <w:t>Cible</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5E4789E7" w14:textId="12704697" w:rsidR="00025543" w:rsidRDefault="007E3A2F">
            <w:pPr>
              <w:pStyle w:val="P68B1DB1-Normal28"/>
              <w:spacing w:line="240" w:lineRule="auto"/>
              <w:rPr>
                <w:noProof/>
              </w:rPr>
            </w:pPr>
            <w:r>
              <w:rPr>
                <w:noProof/>
              </w:rPr>
              <w:t>Recherche et développement dans le secteur des transports</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0A20F8AD" w14:textId="7DD35FB6" w:rsidR="00025543" w:rsidRDefault="00025543">
            <w:pPr>
              <w:spacing w:line="240" w:lineRule="auto"/>
              <w:rPr>
                <w:noProof/>
                <w:color w:val="006100"/>
                <w:sz w:val="18"/>
              </w:rPr>
            </w:pP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14:paraId="3671822C" w14:textId="056FC46D" w:rsidR="00025543" w:rsidRDefault="007E3A2F">
            <w:pPr>
              <w:pStyle w:val="P68B1DB1-Normal28"/>
              <w:spacing w:line="240" w:lineRule="auto"/>
              <w:rPr>
                <w:noProof/>
              </w:rPr>
            </w:pPr>
            <w:r>
              <w:rPr>
                <w:noProof/>
              </w:rPr>
              <w:t>%</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1B2960DD" w14:textId="6806A555" w:rsidR="00025543" w:rsidRDefault="007E3A2F">
            <w:pPr>
              <w:pStyle w:val="P68B1DB1-Normal28"/>
              <w:spacing w:line="240" w:lineRule="auto"/>
              <w:jc w:val="center"/>
              <w:rPr>
                <w:noProof/>
              </w:rPr>
            </w:pPr>
            <w:r>
              <w:rPr>
                <w:noProof/>
              </w:rPr>
              <w:t>0</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0F7B31EF" w14:textId="656006A5" w:rsidR="00025543" w:rsidRDefault="007E3A2F">
            <w:pPr>
              <w:pStyle w:val="P68B1DB1-Normal28"/>
              <w:spacing w:line="240" w:lineRule="auto"/>
              <w:jc w:val="center"/>
              <w:rPr>
                <w:noProof/>
                <w:highlight w:val="yellow"/>
              </w:rPr>
            </w:pPr>
            <w:r>
              <w:rPr>
                <w:noProof/>
              </w:rPr>
              <w:t>90</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14516A5B" w14:textId="516DDE51" w:rsidR="00025543" w:rsidRDefault="007E3A2F">
            <w:pPr>
              <w:pStyle w:val="P68B1DB1-Normal28"/>
              <w:spacing w:line="240" w:lineRule="auto"/>
              <w:jc w:val="center"/>
              <w:rPr>
                <w:noProof/>
              </w:rPr>
            </w:pPr>
            <w:r>
              <w:rPr>
                <w:noProof/>
              </w:rPr>
              <w:t>TRIMESTRE 1</w:t>
            </w:r>
          </w:p>
        </w:tc>
        <w:tc>
          <w:tcPr>
            <w:tcW w:w="639" w:type="dxa"/>
            <w:tcBorders>
              <w:top w:val="single" w:sz="8" w:space="0" w:color="auto"/>
              <w:left w:val="single" w:sz="8" w:space="0" w:color="auto"/>
              <w:bottom w:val="single" w:sz="8" w:space="0" w:color="auto"/>
              <w:right w:val="single" w:sz="8" w:space="0" w:color="auto"/>
            </w:tcBorders>
            <w:shd w:val="clear" w:color="auto" w:fill="C6EFCE"/>
            <w:vAlign w:val="center"/>
          </w:tcPr>
          <w:p w14:paraId="029B037C" w14:textId="741D03B1" w:rsidR="00025543" w:rsidRDefault="007E3A2F">
            <w:pPr>
              <w:pStyle w:val="P68B1DB1-Normal28"/>
              <w:spacing w:line="240" w:lineRule="auto"/>
              <w:jc w:val="center"/>
              <w:rPr>
                <w:noProof/>
              </w:rPr>
            </w:pPr>
            <w:r>
              <w:rPr>
                <w:noProof/>
              </w:rPr>
              <w:t>2026</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524DDB94" w14:textId="4109EB89" w:rsidR="00025543" w:rsidRDefault="007E3A2F">
            <w:pPr>
              <w:pStyle w:val="P68B1DB1-Normal28"/>
              <w:spacing w:line="240" w:lineRule="auto"/>
              <w:rPr>
                <w:noProof/>
              </w:rPr>
            </w:pPr>
            <w:r>
              <w:rPr>
                <w:noProof/>
              </w:rPr>
              <w:t>Au moins 90 % du budget engagé pour les projets relevant de l’objectif 294 ont été décaissés.</w:t>
            </w:r>
          </w:p>
        </w:tc>
      </w:tr>
      <w:tr w:rsidR="00025543" w14:paraId="6647E826" w14:textId="77777777">
        <w:trPr>
          <w:trHeight w:val="945"/>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2CAA34B2" w14:textId="43869105" w:rsidR="00025543" w:rsidRDefault="007E3A2F">
            <w:pPr>
              <w:pStyle w:val="P68B1DB1-Normal28"/>
              <w:spacing w:line="240" w:lineRule="auto"/>
              <w:jc w:val="center"/>
              <w:rPr>
                <w:noProof/>
                <w:highlight w:val="yellow"/>
              </w:rPr>
            </w:pPr>
            <w:r>
              <w:rPr>
                <w:noProof/>
              </w:rPr>
              <w:t>296</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0DF339C5" w14:textId="3000EEDE" w:rsidR="00025543" w:rsidRDefault="007E3A2F">
            <w:pPr>
              <w:pStyle w:val="P68B1DB1-Normal28"/>
              <w:spacing w:line="240" w:lineRule="auto"/>
              <w:rPr>
                <w:noProof/>
              </w:rPr>
            </w:pPr>
            <w:r>
              <w:rPr>
                <w:noProof/>
              </w:rPr>
              <w:t>Investissement 7: Aides à la recherche et au développement dans le domaine de l’environnement</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5A9BE64" w14:textId="0FAC4A08" w:rsidR="00025543" w:rsidRDefault="007E3A2F">
            <w:pPr>
              <w:pStyle w:val="P68B1DB1-Normal28"/>
              <w:spacing w:line="240" w:lineRule="auto"/>
              <w:rPr>
                <w:noProof/>
              </w:rPr>
            </w:pPr>
            <w:r>
              <w:rPr>
                <w:noProof/>
              </w:rPr>
              <w:t>Cible</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3FAB1897" w14:textId="37B726BA" w:rsidR="00025543" w:rsidRDefault="007E3A2F">
            <w:pPr>
              <w:pStyle w:val="P68B1DB1-Normal28"/>
              <w:spacing w:line="240" w:lineRule="auto"/>
              <w:rPr>
                <w:noProof/>
              </w:rPr>
            </w:pPr>
            <w:r>
              <w:rPr>
                <w:noProof/>
              </w:rPr>
              <w:t>Recherche et développement dans le domaine de l’environnement</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54ED64A5" w14:textId="52010FB3" w:rsidR="00025543" w:rsidRDefault="00025543">
            <w:pPr>
              <w:spacing w:line="240" w:lineRule="auto"/>
              <w:rPr>
                <w:noProof/>
                <w:color w:val="006100"/>
                <w:sz w:val="18"/>
              </w:rPr>
            </w:pP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14:paraId="67B5E260" w14:textId="3015E3F9" w:rsidR="00025543" w:rsidRDefault="007E3A2F">
            <w:pPr>
              <w:pStyle w:val="P68B1DB1-Normal28"/>
              <w:spacing w:line="240" w:lineRule="auto"/>
              <w:rPr>
                <w:noProof/>
              </w:rPr>
            </w:pPr>
            <w:r>
              <w:rPr>
                <w:noProof/>
              </w:rPr>
              <w:t>Nombre de projets pour lesquels une convention de subvention a été signée</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6612DCCA" w14:textId="03184C62" w:rsidR="00025543" w:rsidRDefault="007E3A2F">
            <w:pPr>
              <w:pStyle w:val="P68B1DB1-Normal28"/>
              <w:spacing w:line="240" w:lineRule="auto"/>
              <w:jc w:val="center"/>
              <w:rPr>
                <w:noProof/>
              </w:rPr>
            </w:pPr>
            <w:r>
              <w:rPr>
                <w:noProof/>
              </w:rPr>
              <w:t>0</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5A530FE3" w14:textId="650691CD" w:rsidR="00025543" w:rsidRDefault="007E3A2F">
            <w:pPr>
              <w:pStyle w:val="P68B1DB1-Normal28"/>
              <w:spacing w:line="240" w:lineRule="auto"/>
              <w:jc w:val="center"/>
              <w:rPr>
                <w:noProof/>
                <w:highlight w:val="yellow"/>
              </w:rPr>
            </w:pPr>
            <w:r>
              <w:rPr>
                <w:noProof/>
              </w:rPr>
              <w:t>35</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13CC8B32" w14:textId="2BCEAE75" w:rsidR="00025543" w:rsidRDefault="007E3A2F">
            <w:pPr>
              <w:pStyle w:val="P68B1DB1-Normal28"/>
              <w:spacing w:line="240" w:lineRule="auto"/>
              <w:jc w:val="center"/>
              <w:rPr>
                <w:noProof/>
              </w:rPr>
            </w:pPr>
            <w:r>
              <w:rPr>
                <w:noProof/>
              </w:rPr>
              <w:t>TRIMESTRE 2</w:t>
            </w:r>
          </w:p>
        </w:tc>
        <w:tc>
          <w:tcPr>
            <w:tcW w:w="639" w:type="dxa"/>
            <w:tcBorders>
              <w:top w:val="single" w:sz="8" w:space="0" w:color="auto"/>
              <w:left w:val="single" w:sz="8" w:space="0" w:color="auto"/>
              <w:bottom w:val="single" w:sz="8" w:space="0" w:color="auto"/>
              <w:right w:val="single" w:sz="8" w:space="0" w:color="auto"/>
            </w:tcBorders>
            <w:shd w:val="clear" w:color="auto" w:fill="C6EFCE"/>
            <w:vAlign w:val="center"/>
          </w:tcPr>
          <w:p w14:paraId="284AB98F" w14:textId="0F77FD2A" w:rsidR="00025543" w:rsidRDefault="007E3A2F">
            <w:pPr>
              <w:pStyle w:val="P68B1DB1-Normal28"/>
              <w:spacing w:line="240" w:lineRule="auto"/>
              <w:jc w:val="center"/>
              <w:rPr>
                <w:noProof/>
              </w:rPr>
            </w:pPr>
            <w:r>
              <w:rPr>
                <w:noProof/>
              </w:rPr>
              <w:t>2024</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67079A68" w14:textId="25BB8748" w:rsidR="00025543" w:rsidRDefault="007E3A2F">
            <w:pPr>
              <w:pStyle w:val="P68B1DB1-Normal28"/>
              <w:spacing w:line="259" w:lineRule="auto"/>
              <w:rPr>
                <w:noProof/>
              </w:rPr>
            </w:pPr>
            <w:r>
              <w:rPr>
                <w:noProof/>
              </w:rPr>
              <w:t>Des conventions de subvention sont signées pour soutenir au moins 35 projets de R &amp;DI-I dans le domaine de l’environnement. Les projets sélectionnés pour bénéficier d’un soutien seront également conformes à un domaine de spécialisation en R &amp;II de la stratégie nationale RIS3.</w:t>
            </w:r>
          </w:p>
          <w:p w14:paraId="2F69AAB3" w14:textId="3B2C2023" w:rsidR="00025543" w:rsidRDefault="007E3A2F">
            <w:pPr>
              <w:pStyle w:val="P68B1DB1-Normal28"/>
              <w:spacing w:line="259" w:lineRule="auto"/>
              <w:rPr>
                <w:noProof/>
              </w:rPr>
            </w:pPr>
            <w:r>
              <w:rPr>
                <w:noProof/>
              </w:rPr>
              <w:t>Le budget total engagé dans les conventions de subvention pour tous les projets et pour l’ensemble de la période de mise en œuvre s’élève à au moins 17.9 millions d’euros.</w:t>
            </w:r>
          </w:p>
          <w:p w14:paraId="4AC0EE38" w14:textId="11963A50" w:rsidR="00025543" w:rsidRDefault="00025543">
            <w:pPr>
              <w:spacing w:line="240" w:lineRule="auto"/>
              <w:rPr>
                <w:noProof/>
                <w:color w:val="006100"/>
                <w:sz w:val="18"/>
              </w:rPr>
            </w:pPr>
          </w:p>
        </w:tc>
      </w:tr>
      <w:tr w:rsidR="00025543" w14:paraId="752F8DBB" w14:textId="77777777">
        <w:trPr>
          <w:trHeight w:val="945"/>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6AEEB109" w14:textId="293DAE2C" w:rsidR="00025543" w:rsidRDefault="007E3A2F">
            <w:pPr>
              <w:pStyle w:val="P68B1DB1-Normal28"/>
              <w:spacing w:line="240" w:lineRule="auto"/>
              <w:jc w:val="center"/>
              <w:rPr>
                <w:noProof/>
                <w:highlight w:val="yellow"/>
              </w:rPr>
            </w:pPr>
            <w:r>
              <w:rPr>
                <w:noProof/>
              </w:rPr>
              <w:t>297</w:t>
            </w:r>
          </w:p>
        </w:tc>
        <w:tc>
          <w:tcPr>
            <w:tcW w:w="1276" w:type="dxa"/>
            <w:tcBorders>
              <w:top w:val="single" w:sz="8" w:space="0" w:color="auto"/>
              <w:left w:val="single" w:sz="8" w:space="0" w:color="auto"/>
              <w:bottom w:val="single" w:sz="8" w:space="0" w:color="auto"/>
              <w:right w:val="single" w:sz="8" w:space="0" w:color="auto"/>
            </w:tcBorders>
            <w:shd w:val="clear" w:color="auto" w:fill="C6EFCE"/>
            <w:vAlign w:val="center"/>
          </w:tcPr>
          <w:p w14:paraId="17138B80" w14:textId="1E959B11" w:rsidR="00025543" w:rsidRDefault="007E3A2F">
            <w:pPr>
              <w:pStyle w:val="P68B1DB1-Normal28"/>
              <w:spacing w:line="240" w:lineRule="auto"/>
              <w:rPr>
                <w:noProof/>
              </w:rPr>
            </w:pPr>
            <w:r>
              <w:rPr>
                <w:noProof/>
              </w:rPr>
              <w:t>Investissement 7: Aides à la recherche et au développement dans le domaine de l’environnement</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07C86BA" w14:textId="2A022E04" w:rsidR="00025543" w:rsidRDefault="007E3A2F">
            <w:pPr>
              <w:pStyle w:val="P68B1DB1-Normal28"/>
              <w:spacing w:line="240" w:lineRule="auto"/>
              <w:rPr>
                <w:noProof/>
              </w:rPr>
            </w:pPr>
            <w:r>
              <w:rPr>
                <w:noProof/>
              </w:rPr>
              <w:t>Cible</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783D422E" w14:textId="37B726BA" w:rsidR="00025543" w:rsidRDefault="007E3A2F">
            <w:pPr>
              <w:pStyle w:val="P68B1DB1-Normal28"/>
              <w:spacing w:line="240" w:lineRule="auto"/>
              <w:rPr>
                <w:noProof/>
              </w:rPr>
            </w:pPr>
            <w:r>
              <w:rPr>
                <w:noProof/>
              </w:rPr>
              <w:t>Recherche et développement dans le domaine de l’environnement</w:t>
            </w:r>
          </w:p>
          <w:p w14:paraId="1527BCBA" w14:textId="42BCDE6C" w:rsidR="00025543" w:rsidRDefault="00025543">
            <w:pPr>
              <w:spacing w:line="240" w:lineRule="auto"/>
              <w:rPr>
                <w:noProof/>
                <w:color w:val="006100"/>
                <w:sz w:val="18"/>
              </w:rPr>
            </w:pP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4CFA813E" w14:textId="36C1D00C" w:rsidR="00025543" w:rsidRDefault="00025543">
            <w:pPr>
              <w:spacing w:line="240" w:lineRule="auto"/>
              <w:rPr>
                <w:noProof/>
                <w:color w:val="006100"/>
                <w:sz w:val="18"/>
              </w:rPr>
            </w:pPr>
          </w:p>
        </w:tc>
        <w:tc>
          <w:tcPr>
            <w:tcW w:w="1417" w:type="dxa"/>
            <w:tcBorders>
              <w:top w:val="single" w:sz="8" w:space="0" w:color="auto"/>
              <w:left w:val="single" w:sz="8" w:space="0" w:color="auto"/>
              <w:bottom w:val="single" w:sz="8" w:space="0" w:color="auto"/>
              <w:right w:val="single" w:sz="8" w:space="0" w:color="auto"/>
            </w:tcBorders>
            <w:shd w:val="clear" w:color="auto" w:fill="C6EFCE"/>
            <w:vAlign w:val="center"/>
          </w:tcPr>
          <w:p w14:paraId="29AC1B1E" w14:textId="00553110" w:rsidR="00025543" w:rsidRDefault="007E3A2F">
            <w:pPr>
              <w:pStyle w:val="P68B1DB1-Normal28"/>
              <w:spacing w:line="240" w:lineRule="auto"/>
              <w:rPr>
                <w:noProof/>
              </w:rPr>
            </w:pPr>
            <w:r>
              <w:rPr>
                <w:noProof/>
              </w:rPr>
              <w:t>%</w:t>
            </w:r>
          </w:p>
        </w:tc>
        <w:tc>
          <w:tcPr>
            <w:tcW w:w="1134" w:type="dxa"/>
            <w:tcBorders>
              <w:top w:val="single" w:sz="8" w:space="0" w:color="auto"/>
              <w:left w:val="single" w:sz="8" w:space="0" w:color="auto"/>
              <w:bottom w:val="single" w:sz="8" w:space="0" w:color="auto"/>
              <w:right w:val="single" w:sz="8" w:space="0" w:color="auto"/>
            </w:tcBorders>
            <w:shd w:val="clear" w:color="auto" w:fill="C6EFCE"/>
            <w:vAlign w:val="center"/>
          </w:tcPr>
          <w:p w14:paraId="0F1E999D" w14:textId="077652A9" w:rsidR="00025543" w:rsidRDefault="007E3A2F">
            <w:pPr>
              <w:pStyle w:val="P68B1DB1-Normal28"/>
              <w:spacing w:line="240" w:lineRule="auto"/>
              <w:jc w:val="center"/>
              <w:rPr>
                <w:noProof/>
              </w:rPr>
            </w:pPr>
            <w:r>
              <w:rPr>
                <w:noProof/>
              </w:rPr>
              <w:t>0</w:t>
            </w:r>
          </w:p>
        </w:tc>
        <w:tc>
          <w:tcPr>
            <w:tcW w:w="709" w:type="dxa"/>
            <w:tcBorders>
              <w:top w:val="single" w:sz="8" w:space="0" w:color="auto"/>
              <w:left w:val="single" w:sz="8" w:space="0" w:color="auto"/>
              <w:bottom w:val="single" w:sz="8" w:space="0" w:color="auto"/>
              <w:right w:val="single" w:sz="8" w:space="0" w:color="auto"/>
            </w:tcBorders>
            <w:shd w:val="clear" w:color="auto" w:fill="C6EFCE"/>
            <w:vAlign w:val="center"/>
          </w:tcPr>
          <w:p w14:paraId="25DA2640" w14:textId="38EBFBB5" w:rsidR="00025543" w:rsidRDefault="007E3A2F">
            <w:pPr>
              <w:pStyle w:val="P68B1DB1-Normal28"/>
              <w:spacing w:line="240" w:lineRule="auto"/>
              <w:jc w:val="center"/>
              <w:rPr>
                <w:noProof/>
              </w:rPr>
            </w:pPr>
            <w:r>
              <w:rPr>
                <w:noProof/>
              </w:rPr>
              <w:t>90</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13AF7910" w14:textId="7FEFAF56" w:rsidR="00025543" w:rsidRDefault="007E3A2F">
            <w:pPr>
              <w:pStyle w:val="P68B1DB1-Normal28"/>
              <w:spacing w:line="240" w:lineRule="auto"/>
              <w:jc w:val="center"/>
              <w:rPr>
                <w:noProof/>
              </w:rPr>
            </w:pPr>
            <w:r>
              <w:rPr>
                <w:noProof/>
              </w:rPr>
              <w:t>TRIMESTRE 1</w:t>
            </w:r>
          </w:p>
        </w:tc>
        <w:tc>
          <w:tcPr>
            <w:tcW w:w="639" w:type="dxa"/>
            <w:tcBorders>
              <w:top w:val="single" w:sz="8" w:space="0" w:color="auto"/>
              <w:left w:val="single" w:sz="8" w:space="0" w:color="auto"/>
              <w:bottom w:val="single" w:sz="8" w:space="0" w:color="auto"/>
              <w:right w:val="single" w:sz="8" w:space="0" w:color="auto"/>
            </w:tcBorders>
            <w:shd w:val="clear" w:color="auto" w:fill="C6EFCE"/>
            <w:vAlign w:val="center"/>
          </w:tcPr>
          <w:p w14:paraId="55514DBD" w14:textId="0DB6C768" w:rsidR="00025543" w:rsidRDefault="007E3A2F">
            <w:pPr>
              <w:pStyle w:val="P68B1DB1-Normal28"/>
              <w:spacing w:line="240" w:lineRule="auto"/>
              <w:jc w:val="center"/>
              <w:rPr>
                <w:noProof/>
              </w:rPr>
            </w:pPr>
            <w:r>
              <w:rPr>
                <w:noProof/>
              </w:rPr>
              <w:t>2026</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484CD560" w14:textId="26D9ABBE" w:rsidR="00025543" w:rsidRDefault="007E3A2F">
            <w:pPr>
              <w:pStyle w:val="P68B1DB1-Normal28"/>
              <w:spacing w:line="240" w:lineRule="auto"/>
              <w:rPr>
                <w:noProof/>
              </w:rPr>
            </w:pPr>
            <w:r>
              <w:rPr>
                <w:noProof/>
              </w:rPr>
              <w:t>Au moins 90 % du budget engagé pour les projets relevant de l’objectif cible [296] ont été décaissés.</w:t>
            </w:r>
          </w:p>
          <w:p w14:paraId="1273F249" w14:textId="31EA74C1" w:rsidR="00025543" w:rsidRDefault="00025543">
            <w:pPr>
              <w:spacing w:line="240" w:lineRule="auto"/>
              <w:rPr>
                <w:noProof/>
                <w:color w:val="006100"/>
                <w:sz w:val="18"/>
              </w:rPr>
            </w:pPr>
          </w:p>
        </w:tc>
      </w:tr>
    </w:tbl>
    <w:p w14:paraId="2EAC4525" w14:textId="77777777" w:rsidR="00025543" w:rsidRDefault="00025543">
      <w:pPr>
        <w:spacing w:line="240" w:lineRule="auto"/>
        <w:rPr>
          <w:b/>
          <w:smallCaps/>
          <w:noProof/>
        </w:rPr>
        <w:sectPr w:rsidR="00025543" w:rsidSect="00997F50">
          <w:headerReference w:type="even" r:id="rId396"/>
          <w:headerReference w:type="default" r:id="rId397"/>
          <w:footerReference w:type="even" r:id="rId398"/>
          <w:footerReference w:type="default" r:id="rId399"/>
          <w:headerReference w:type="first" r:id="rId400"/>
          <w:footerReference w:type="first" r:id="rId401"/>
          <w:pgSz w:w="16839" w:h="11907" w:orient="landscape"/>
          <w:pgMar w:top="1134" w:right="1134" w:bottom="1134" w:left="1134" w:header="567" w:footer="567" w:gutter="0"/>
          <w:cols w:space="708"/>
          <w:docGrid w:linePitch="326"/>
        </w:sectPr>
      </w:pPr>
    </w:p>
    <w:p w14:paraId="01A21B35" w14:textId="2FF313B4" w:rsidR="00025543" w:rsidRDefault="007E3A2F">
      <w:pPr>
        <w:pStyle w:val="P68B1DB1-Normal36"/>
        <w:keepNext/>
        <w:spacing w:line="240" w:lineRule="auto"/>
        <w:jc w:val="both"/>
        <w:outlineLvl w:val="0"/>
        <w:rPr>
          <w:noProof/>
        </w:rPr>
      </w:pPr>
      <w:r>
        <w:rPr>
          <w:noProof/>
        </w:rPr>
        <w:t>BB. ÉLÉMENT 5.3: Un écosystème de R &amp;D&amp;I- Une gestion stratégique et une compétitivité internationale</w:t>
      </w:r>
    </w:p>
    <w:p w14:paraId="498640C1" w14:textId="4E94894F" w:rsidR="00025543" w:rsidRDefault="007E3A2F">
      <w:pPr>
        <w:pStyle w:val="P68B1DB1-Normal3"/>
        <w:spacing w:line="240" w:lineRule="auto"/>
        <w:jc w:val="both"/>
        <w:rPr>
          <w:noProof/>
        </w:rPr>
      </w:pPr>
      <w:r>
        <w:rPr>
          <w:noProof/>
        </w:rPr>
        <w:t>Ce volet du plan pour la reprise et la résilience de la République tchèque vise à accroître la compétitivité ainsi que les avantages socio-économiques et les effets de la R &amp;DI-I en promouvant l’excellence, en renforçant la coopération internationale et le développement stratégique du capital humain. Cet objectif est atteint par l’amélioration du processus de développement, de mise en œuvre, de suivi et d’évaluation de la politique de R &amp;D &amp;I, par l’harmonisation de l’environnement méthodologique du soutien public à la R &amp;D &amp;Iet par le soutien aux équipes compétitives au niveau international qui assurent l’excellence dans la R &amp;DI-I.</w:t>
      </w:r>
    </w:p>
    <w:p w14:paraId="39D2B3CD" w14:textId="0B651A61" w:rsidR="00025543" w:rsidRDefault="007E3A2F">
      <w:pPr>
        <w:pStyle w:val="P68B1DB1-Normal3"/>
        <w:spacing w:line="240" w:lineRule="auto"/>
        <w:jc w:val="both"/>
        <w:rPr>
          <w:noProof/>
        </w:rPr>
      </w:pPr>
      <w:r>
        <w:rPr>
          <w:noProof/>
        </w:rPr>
        <w:t>Le volet soutient la mise en œuvre de la recommandation par pays no 3 2019, selon laquelle la Tchéquie supprime les obstacles au développement d’un écosystème d’innovation pleinement opérationnel.</w:t>
      </w:r>
    </w:p>
    <w:p w14:paraId="3A0DF967" w14:textId="77777777" w:rsidR="00025543" w:rsidRDefault="00025543">
      <w:pPr>
        <w:spacing w:line="240" w:lineRule="auto"/>
        <w:jc w:val="both"/>
        <w:rPr>
          <w:rFonts w:eastAsia="Times New Roman"/>
          <w:noProof/>
          <w:color w:val="000000" w:themeColor="text1"/>
        </w:rPr>
      </w:pPr>
    </w:p>
    <w:p w14:paraId="0B880527" w14:textId="4ECF638F" w:rsidR="00025543" w:rsidRDefault="007E3A2F">
      <w:pPr>
        <w:pStyle w:val="P68B1DB1-Normal33"/>
        <w:spacing w:line="240" w:lineRule="auto"/>
        <w:jc w:val="both"/>
        <w:rPr>
          <w:noProof/>
        </w:rPr>
      </w:pPr>
      <w:r>
        <w:rPr>
          <w:noProof/>
        </w:rPr>
        <w:t>BB1. Description des réformes et des investissements en vue du soutien financier non remboursable</w:t>
      </w:r>
    </w:p>
    <w:p w14:paraId="6ED92B98" w14:textId="56351E33" w:rsidR="00025543" w:rsidRDefault="007E3A2F">
      <w:pPr>
        <w:pStyle w:val="P68B1DB1-Normal26"/>
        <w:spacing w:line="240" w:lineRule="auto"/>
        <w:jc w:val="both"/>
        <w:rPr>
          <w:noProof/>
        </w:rPr>
      </w:pPr>
      <w:r>
        <w:rPr>
          <w:noProof/>
        </w:rPr>
        <w:t>Réforme 1: Un écosystème de R &amp;I-I géré stratégiquement et compétitif au niveau international</w:t>
      </w:r>
    </w:p>
    <w:p w14:paraId="58678E5C" w14:textId="130844BD" w:rsidR="00025543" w:rsidRDefault="007E3A2F">
      <w:pPr>
        <w:pStyle w:val="P68B1DB1-Normal3"/>
        <w:spacing w:line="240" w:lineRule="auto"/>
        <w:jc w:val="both"/>
        <w:rPr>
          <w:noProof/>
        </w:rPr>
      </w:pPr>
      <w:r>
        <w:rPr>
          <w:noProof/>
        </w:rPr>
        <w:t xml:space="preserve">La réforme implique le renforcement des capacités de renseignement stratégique pour la politique de R &amp;I- en Tchéquie, la création d’un programme d’excellence et l’harmonisation des règles de procédure pour l’octroi d’un soutien public à la R &amp;D &amp;I. </w:t>
      </w:r>
    </w:p>
    <w:p w14:paraId="17B72C1A" w14:textId="6DFAF408" w:rsidR="00025543" w:rsidRDefault="007E3A2F">
      <w:pPr>
        <w:pStyle w:val="P68B1DB1-Normal3"/>
        <w:spacing w:line="240" w:lineRule="auto"/>
        <w:jc w:val="both"/>
        <w:rPr>
          <w:noProof/>
        </w:rPr>
        <w:sectPr w:rsidR="00025543" w:rsidSect="00997F50">
          <w:headerReference w:type="even" r:id="rId402"/>
          <w:headerReference w:type="default" r:id="rId403"/>
          <w:footerReference w:type="even" r:id="rId404"/>
          <w:footerReference w:type="default" r:id="rId405"/>
          <w:headerReference w:type="first" r:id="rId406"/>
          <w:footerReference w:type="first" r:id="rId407"/>
          <w:pgSz w:w="11907" w:h="16839"/>
          <w:pgMar w:top="1134" w:right="1134" w:bottom="1134" w:left="1134" w:header="567" w:footer="567" w:gutter="0"/>
          <w:cols w:space="708"/>
          <w:docGrid w:linePitch="326"/>
        </w:sectPr>
      </w:pPr>
      <w:r>
        <w:rPr>
          <w:noProof/>
        </w:rPr>
        <w:t>La réforme est mise en œuvre au plus tard le 30 juin 2025.</w:t>
      </w:r>
    </w:p>
    <w:p w14:paraId="2CDEFAA2" w14:textId="340AD3C2" w:rsidR="00025543" w:rsidRDefault="007E3A2F">
      <w:pPr>
        <w:pStyle w:val="P68B1DB1-Normal5"/>
        <w:tabs>
          <w:tab w:val="left" w:pos="993"/>
        </w:tabs>
        <w:spacing w:line="240" w:lineRule="auto"/>
        <w:jc w:val="both"/>
        <w:rPr>
          <w:noProof/>
        </w:rPr>
      </w:pPr>
      <w:r>
        <w:rPr>
          <w:noProof/>
        </w:rPr>
        <w:t>BB.2. Jalons, cibles, indicateurs et calendrier de suivi et de mise en œuvre en vue du soutien financier non remboursable</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7"/>
        <w:gridCol w:w="1565"/>
        <w:gridCol w:w="1095"/>
        <w:gridCol w:w="1489"/>
        <w:gridCol w:w="1731"/>
        <w:gridCol w:w="955"/>
        <w:gridCol w:w="955"/>
        <w:gridCol w:w="955"/>
        <w:gridCol w:w="961"/>
        <w:gridCol w:w="719"/>
        <w:gridCol w:w="3959"/>
      </w:tblGrid>
      <w:tr w:rsidR="00025543" w14:paraId="340426A6" w14:textId="77777777">
        <w:trPr>
          <w:trHeight w:val="672"/>
          <w:tblHeader/>
          <w:jc w:val="center"/>
        </w:trPr>
        <w:tc>
          <w:tcPr>
            <w:tcW w:w="637" w:type="dxa"/>
            <w:vMerge w:val="restart"/>
            <w:shd w:val="clear" w:color="auto" w:fill="BDD7EE"/>
            <w:vAlign w:val="center"/>
            <w:hideMark/>
          </w:tcPr>
          <w:p w14:paraId="13ACF413" w14:textId="77777777" w:rsidR="00025543" w:rsidRDefault="007E3A2F">
            <w:pPr>
              <w:pStyle w:val="P68B1DB1-Normal9"/>
              <w:spacing w:before="0" w:after="0" w:line="240" w:lineRule="auto"/>
              <w:jc w:val="center"/>
              <w:rPr>
                <w:noProof/>
              </w:rPr>
            </w:pPr>
            <w:r>
              <w:rPr>
                <w:noProof/>
              </w:rPr>
              <w:t>Séquence NUM.</w:t>
            </w:r>
          </w:p>
        </w:tc>
        <w:tc>
          <w:tcPr>
            <w:tcW w:w="1565" w:type="dxa"/>
            <w:vMerge w:val="restart"/>
            <w:shd w:val="clear" w:color="auto" w:fill="BDD7EE"/>
            <w:vAlign w:val="center"/>
            <w:hideMark/>
          </w:tcPr>
          <w:p w14:paraId="6D1C46C7" w14:textId="77777777" w:rsidR="00025543" w:rsidRDefault="007E3A2F">
            <w:pPr>
              <w:pStyle w:val="P68B1DB1-Normal9"/>
              <w:spacing w:before="0" w:after="0" w:line="240" w:lineRule="auto"/>
              <w:jc w:val="center"/>
              <w:rPr>
                <w:noProof/>
              </w:rPr>
            </w:pPr>
            <w:r>
              <w:rPr>
                <w:noProof/>
              </w:rPr>
              <w:t>Mesure connexe (réforme ou investissement)</w:t>
            </w:r>
          </w:p>
        </w:tc>
        <w:tc>
          <w:tcPr>
            <w:tcW w:w="1095" w:type="dxa"/>
            <w:vMerge w:val="restart"/>
            <w:shd w:val="clear" w:color="auto" w:fill="BDD7EE"/>
            <w:vAlign w:val="center"/>
            <w:hideMark/>
          </w:tcPr>
          <w:p w14:paraId="70D4443D" w14:textId="77777777" w:rsidR="00025543" w:rsidRDefault="007E3A2F">
            <w:pPr>
              <w:pStyle w:val="P68B1DB1-Normal9"/>
              <w:spacing w:before="0" w:after="0" w:line="240" w:lineRule="auto"/>
              <w:jc w:val="center"/>
              <w:rPr>
                <w:noProof/>
              </w:rPr>
            </w:pPr>
            <w:r>
              <w:rPr>
                <w:noProof/>
              </w:rPr>
              <w:t>Jalon/cible</w:t>
            </w:r>
          </w:p>
        </w:tc>
        <w:tc>
          <w:tcPr>
            <w:tcW w:w="1489" w:type="dxa"/>
            <w:vMerge w:val="restart"/>
            <w:shd w:val="clear" w:color="auto" w:fill="BDD7EE"/>
            <w:vAlign w:val="center"/>
            <w:hideMark/>
          </w:tcPr>
          <w:p w14:paraId="1A4AD36B" w14:textId="77777777" w:rsidR="00025543" w:rsidRDefault="007E3A2F">
            <w:pPr>
              <w:pStyle w:val="P68B1DB1-Normal9"/>
              <w:spacing w:before="0" w:after="0" w:line="240" w:lineRule="auto"/>
              <w:jc w:val="center"/>
              <w:rPr>
                <w:noProof/>
              </w:rPr>
            </w:pPr>
            <w:r>
              <w:rPr>
                <w:noProof/>
              </w:rPr>
              <w:t>Nom</w:t>
            </w:r>
          </w:p>
        </w:tc>
        <w:tc>
          <w:tcPr>
            <w:tcW w:w="1731" w:type="dxa"/>
            <w:vMerge w:val="restart"/>
            <w:shd w:val="clear" w:color="auto" w:fill="BDD7EE"/>
            <w:vAlign w:val="center"/>
            <w:hideMark/>
          </w:tcPr>
          <w:p w14:paraId="439D8211" w14:textId="77777777" w:rsidR="00025543" w:rsidRDefault="007E3A2F">
            <w:pPr>
              <w:pStyle w:val="P68B1DB1-Normal9"/>
              <w:spacing w:before="0" w:after="0" w:line="240" w:lineRule="auto"/>
              <w:jc w:val="center"/>
              <w:rPr>
                <w:noProof/>
              </w:rPr>
            </w:pPr>
            <w:r>
              <w:rPr>
                <w:noProof/>
              </w:rPr>
              <w:t xml:space="preserve">Qualitatifs </w:t>
            </w:r>
            <w:r>
              <w:rPr>
                <w:noProof/>
              </w:rPr>
              <w:br/>
              <w:t>(pour les jalons)</w:t>
            </w:r>
          </w:p>
        </w:tc>
        <w:tc>
          <w:tcPr>
            <w:tcW w:w="2865" w:type="dxa"/>
            <w:gridSpan w:val="3"/>
            <w:shd w:val="clear" w:color="auto" w:fill="BDD7EE"/>
            <w:vAlign w:val="center"/>
            <w:hideMark/>
          </w:tcPr>
          <w:p w14:paraId="0C93A9FC" w14:textId="77777777" w:rsidR="00025543" w:rsidRDefault="007E3A2F">
            <w:pPr>
              <w:pStyle w:val="P68B1DB1-Normal9"/>
              <w:spacing w:before="0" w:after="0" w:line="240" w:lineRule="auto"/>
              <w:jc w:val="center"/>
              <w:rPr>
                <w:noProof/>
              </w:rPr>
            </w:pPr>
            <w:r>
              <w:rPr>
                <w:noProof/>
              </w:rPr>
              <w:t xml:space="preserve">Indicateurs quantitatifs </w:t>
            </w:r>
            <w:r>
              <w:rPr>
                <w:noProof/>
              </w:rPr>
              <w:br/>
              <w:t>(pour les objectifs)</w:t>
            </w:r>
          </w:p>
        </w:tc>
        <w:tc>
          <w:tcPr>
            <w:tcW w:w="1680" w:type="dxa"/>
            <w:gridSpan w:val="2"/>
            <w:shd w:val="clear" w:color="auto" w:fill="BDD7EE"/>
            <w:vAlign w:val="center"/>
            <w:hideMark/>
          </w:tcPr>
          <w:p w14:paraId="17ECD9ED" w14:textId="77777777" w:rsidR="00025543" w:rsidRDefault="007E3A2F">
            <w:pPr>
              <w:pStyle w:val="P68B1DB1-Normal9"/>
              <w:spacing w:before="0" w:after="0" w:line="240" w:lineRule="auto"/>
              <w:jc w:val="center"/>
              <w:rPr>
                <w:noProof/>
              </w:rPr>
            </w:pPr>
            <w:r>
              <w:rPr>
                <w:noProof/>
              </w:rPr>
              <w:t xml:space="preserve">Calendrier indicatif de réalisation </w:t>
            </w:r>
          </w:p>
        </w:tc>
        <w:tc>
          <w:tcPr>
            <w:tcW w:w="3959" w:type="dxa"/>
            <w:vMerge w:val="restart"/>
            <w:shd w:val="clear" w:color="auto" w:fill="BDD7EE"/>
            <w:vAlign w:val="center"/>
            <w:hideMark/>
          </w:tcPr>
          <w:p w14:paraId="74712778" w14:textId="77777777" w:rsidR="00025543" w:rsidRDefault="007E3A2F">
            <w:pPr>
              <w:pStyle w:val="P68B1DB1-Normal9"/>
              <w:spacing w:before="0" w:after="0" w:line="240" w:lineRule="auto"/>
              <w:jc w:val="center"/>
              <w:rPr>
                <w:noProof/>
              </w:rPr>
            </w:pPr>
            <w:r>
              <w:rPr>
                <w:noProof/>
              </w:rPr>
              <w:t>Description de chaque jalon et cible</w:t>
            </w:r>
          </w:p>
        </w:tc>
      </w:tr>
      <w:tr w:rsidR="00025543" w14:paraId="7289764F" w14:textId="77777777">
        <w:trPr>
          <w:trHeight w:val="458"/>
          <w:tblHeader/>
          <w:jc w:val="center"/>
        </w:trPr>
        <w:tc>
          <w:tcPr>
            <w:tcW w:w="637" w:type="dxa"/>
            <w:vMerge/>
            <w:vAlign w:val="center"/>
            <w:hideMark/>
          </w:tcPr>
          <w:p w14:paraId="1E4B721E" w14:textId="77777777" w:rsidR="00025543" w:rsidRDefault="00025543">
            <w:pPr>
              <w:spacing w:before="0" w:after="0" w:line="240" w:lineRule="auto"/>
              <w:rPr>
                <w:rFonts w:eastAsia="Times New Roman"/>
                <w:b/>
                <w:noProof/>
                <w:sz w:val="18"/>
              </w:rPr>
            </w:pPr>
          </w:p>
        </w:tc>
        <w:tc>
          <w:tcPr>
            <w:tcW w:w="1565" w:type="dxa"/>
            <w:vMerge/>
            <w:vAlign w:val="center"/>
            <w:hideMark/>
          </w:tcPr>
          <w:p w14:paraId="4F65AB22" w14:textId="77777777" w:rsidR="00025543" w:rsidRDefault="00025543">
            <w:pPr>
              <w:spacing w:before="0" w:after="0" w:line="240" w:lineRule="auto"/>
              <w:rPr>
                <w:rFonts w:eastAsia="Times New Roman"/>
                <w:b/>
                <w:noProof/>
                <w:sz w:val="18"/>
              </w:rPr>
            </w:pPr>
          </w:p>
        </w:tc>
        <w:tc>
          <w:tcPr>
            <w:tcW w:w="1095" w:type="dxa"/>
            <w:vMerge/>
            <w:vAlign w:val="center"/>
            <w:hideMark/>
          </w:tcPr>
          <w:p w14:paraId="0A632713" w14:textId="77777777" w:rsidR="00025543" w:rsidRDefault="00025543">
            <w:pPr>
              <w:spacing w:before="0" w:after="0" w:line="240" w:lineRule="auto"/>
              <w:rPr>
                <w:rFonts w:eastAsia="Times New Roman"/>
                <w:b/>
                <w:noProof/>
                <w:sz w:val="18"/>
              </w:rPr>
            </w:pPr>
          </w:p>
        </w:tc>
        <w:tc>
          <w:tcPr>
            <w:tcW w:w="1489" w:type="dxa"/>
            <w:vMerge/>
            <w:vAlign w:val="center"/>
            <w:hideMark/>
          </w:tcPr>
          <w:p w14:paraId="18DEB0B6" w14:textId="77777777" w:rsidR="00025543" w:rsidRDefault="00025543">
            <w:pPr>
              <w:spacing w:before="0" w:after="0" w:line="240" w:lineRule="auto"/>
              <w:rPr>
                <w:rFonts w:eastAsia="Times New Roman"/>
                <w:b/>
                <w:noProof/>
                <w:sz w:val="18"/>
              </w:rPr>
            </w:pPr>
          </w:p>
        </w:tc>
        <w:tc>
          <w:tcPr>
            <w:tcW w:w="1731" w:type="dxa"/>
            <w:vMerge/>
            <w:vAlign w:val="center"/>
            <w:hideMark/>
          </w:tcPr>
          <w:p w14:paraId="322E016C" w14:textId="77777777" w:rsidR="00025543" w:rsidRDefault="00025543">
            <w:pPr>
              <w:spacing w:before="0" w:after="0" w:line="240" w:lineRule="auto"/>
              <w:rPr>
                <w:rFonts w:eastAsia="Times New Roman"/>
                <w:b/>
                <w:noProof/>
                <w:sz w:val="18"/>
              </w:rPr>
            </w:pPr>
          </w:p>
        </w:tc>
        <w:tc>
          <w:tcPr>
            <w:tcW w:w="955" w:type="dxa"/>
            <w:shd w:val="clear" w:color="auto" w:fill="BDD7EE"/>
            <w:vAlign w:val="center"/>
            <w:hideMark/>
          </w:tcPr>
          <w:p w14:paraId="29F954C4" w14:textId="77777777" w:rsidR="00025543" w:rsidRDefault="007E3A2F">
            <w:pPr>
              <w:pStyle w:val="P68B1DB1-Normal9"/>
              <w:spacing w:before="0" w:after="0" w:line="240" w:lineRule="auto"/>
              <w:jc w:val="center"/>
              <w:rPr>
                <w:noProof/>
              </w:rPr>
            </w:pPr>
            <w:r>
              <w:rPr>
                <w:noProof/>
              </w:rPr>
              <w:t>Unité de mesure</w:t>
            </w:r>
          </w:p>
        </w:tc>
        <w:tc>
          <w:tcPr>
            <w:tcW w:w="955" w:type="dxa"/>
            <w:shd w:val="clear" w:color="auto" w:fill="BDD7EE"/>
            <w:vAlign w:val="center"/>
            <w:hideMark/>
          </w:tcPr>
          <w:p w14:paraId="5D35B672" w14:textId="77777777" w:rsidR="00025543" w:rsidRDefault="007E3A2F">
            <w:pPr>
              <w:pStyle w:val="P68B1DB1-Normal9"/>
              <w:spacing w:before="0" w:after="0" w:line="240" w:lineRule="auto"/>
              <w:jc w:val="center"/>
              <w:rPr>
                <w:noProof/>
              </w:rPr>
            </w:pPr>
            <w:r>
              <w:rPr>
                <w:noProof/>
              </w:rPr>
              <w:t xml:space="preserve">Scénario de référence </w:t>
            </w:r>
          </w:p>
        </w:tc>
        <w:tc>
          <w:tcPr>
            <w:tcW w:w="955" w:type="dxa"/>
            <w:shd w:val="clear" w:color="auto" w:fill="BDD7EE"/>
            <w:vAlign w:val="center"/>
            <w:hideMark/>
          </w:tcPr>
          <w:p w14:paraId="70A52C0C" w14:textId="77777777" w:rsidR="00025543" w:rsidRDefault="007E3A2F">
            <w:pPr>
              <w:pStyle w:val="P68B1DB1-Normal9"/>
              <w:spacing w:before="0" w:after="0" w:line="240" w:lineRule="auto"/>
              <w:jc w:val="center"/>
              <w:rPr>
                <w:noProof/>
              </w:rPr>
            </w:pPr>
            <w:r>
              <w:rPr>
                <w:noProof/>
              </w:rPr>
              <w:t xml:space="preserve">Objectif </w:t>
            </w:r>
          </w:p>
        </w:tc>
        <w:tc>
          <w:tcPr>
            <w:tcW w:w="961" w:type="dxa"/>
            <w:shd w:val="clear" w:color="auto" w:fill="BDD7EE"/>
            <w:vAlign w:val="center"/>
            <w:hideMark/>
          </w:tcPr>
          <w:p w14:paraId="0B97B323" w14:textId="77777777" w:rsidR="00025543" w:rsidRDefault="007E3A2F">
            <w:pPr>
              <w:pStyle w:val="P68B1DB1-Normal9"/>
              <w:spacing w:before="0" w:after="0" w:line="240" w:lineRule="auto"/>
              <w:jc w:val="center"/>
              <w:rPr>
                <w:noProof/>
              </w:rPr>
            </w:pPr>
            <w:r>
              <w:rPr>
                <w:noProof/>
              </w:rPr>
              <w:t>Trimestre</w:t>
            </w:r>
          </w:p>
        </w:tc>
        <w:tc>
          <w:tcPr>
            <w:tcW w:w="719" w:type="dxa"/>
            <w:shd w:val="clear" w:color="auto" w:fill="BDD7EE"/>
            <w:vAlign w:val="center"/>
            <w:hideMark/>
          </w:tcPr>
          <w:p w14:paraId="55BFF30C" w14:textId="77777777" w:rsidR="00025543" w:rsidRDefault="007E3A2F">
            <w:pPr>
              <w:pStyle w:val="P68B1DB1-Normal9"/>
              <w:spacing w:before="0" w:after="0" w:line="240" w:lineRule="auto"/>
              <w:jc w:val="center"/>
              <w:rPr>
                <w:noProof/>
              </w:rPr>
            </w:pPr>
            <w:r>
              <w:rPr>
                <w:noProof/>
              </w:rPr>
              <w:t>Année</w:t>
            </w:r>
          </w:p>
        </w:tc>
        <w:tc>
          <w:tcPr>
            <w:tcW w:w="3959" w:type="dxa"/>
            <w:vMerge/>
            <w:vAlign w:val="center"/>
            <w:hideMark/>
          </w:tcPr>
          <w:p w14:paraId="3FDBE914" w14:textId="77777777" w:rsidR="00025543" w:rsidRDefault="00025543">
            <w:pPr>
              <w:spacing w:before="0" w:after="0" w:line="240" w:lineRule="auto"/>
              <w:rPr>
                <w:rFonts w:eastAsia="Times New Roman"/>
                <w:b/>
                <w:noProof/>
                <w:sz w:val="18"/>
              </w:rPr>
            </w:pPr>
          </w:p>
        </w:tc>
      </w:tr>
      <w:tr w:rsidR="00025543" w14:paraId="771549EE" w14:textId="77777777">
        <w:trPr>
          <w:trHeight w:val="309"/>
          <w:jc w:val="center"/>
        </w:trPr>
        <w:tc>
          <w:tcPr>
            <w:tcW w:w="637" w:type="dxa"/>
            <w:shd w:val="clear" w:color="auto" w:fill="C6EFCE"/>
            <w:vAlign w:val="center"/>
            <w:hideMark/>
          </w:tcPr>
          <w:p w14:paraId="1E8CB0EF" w14:textId="2032DBCE" w:rsidR="00025543" w:rsidRDefault="007E3A2F">
            <w:pPr>
              <w:pStyle w:val="P68B1DB1-Normal11"/>
              <w:spacing w:before="0" w:after="0" w:line="240" w:lineRule="auto"/>
              <w:jc w:val="center"/>
              <w:rPr>
                <w:noProof/>
              </w:rPr>
            </w:pPr>
            <w:r>
              <w:rPr>
                <w:noProof/>
              </w:rPr>
              <w:t>298</w:t>
            </w:r>
          </w:p>
        </w:tc>
        <w:tc>
          <w:tcPr>
            <w:tcW w:w="1565" w:type="dxa"/>
            <w:shd w:val="clear" w:color="auto" w:fill="C6EFCE"/>
            <w:vAlign w:val="center"/>
            <w:hideMark/>
          </w:tcPr>
          <w:p w14:paraId="42B6D3BF" w14:textId="77777777" w:rsidR="00025543" w:rsidRDefault="007E3A2F">
            <w:pPr>
              <w:pStyle w:val="P68B1DB1-Normal11"/>
              <w:spacing w:before="0" w:after="0" w:line="240" w:lineRule="auto"/>
              <w:rPr>
                <w:noProof/>
              </w:rPr>
            </w:pPr>
            <w:r>
              <w:rPr>
                <w:noProof/>
              </w:rPr>
              <w:t xml:space="preserve">Réforme 1: </w:t>
            </w:r>
          </w:p>
          <w:p w14:paraId="166C7A99" w14:textId="5461B057" w:rsidR="00025543" w:rsidRDefault="007E3A2F">
            <w:pPr>
              <w:pStyle w:val="P68B1DB1-Normal11"/>
              <w:spacing w:before="0" w:after="0" w:line="240" w:lineRule="auto"/>
              <w:rPr>
                <w:noProof/>
                <w:color w:val="004300"/>
              </w:rPr>
            </w:pPr>
            <w:r>
              <w:rPr>
                <w:noProof/>
              </w:rPr>
              <w:t>Un écosystème de R &amp;I-I géré stratégiquement et compétitif au niveau international</w:t>
            </w:r>
          </w:p>
        </w:tc>
        <w:tc>
          <w:tcPr>
            <w:tcW w:w="1095" w:type="dxa"/>
            <w:shd w:val="clear" w:color="auto" w:fill="C6EFCE"/>
            <w:vAlign w:val="center"/>
            <w:hideMark/>
          </w:tcPr>
          <w:p w14:paraId="5AA7F4C8" w14:textId="3D4A52CF" w:rsidR="00025543" w:rsidRDefault="007E3A2F">
            <w:pPr>
              <w:pStyle w:val="P68B1DB1-Normal11"/>
              <w:spacing w:before="0" w:after="0" w:line="240" w:lineRule="auto"/>
              <w:rPr>
                <w:noProof/>
                <w:color w:val="004300"/>
              </w:rPr>
            </w:pPr>
            <w:r>
              <w:rPr>
                <w:noProof/>
              </w:rPr>
              <w:t xml:space="preserve">Étapes </w:t>
            </w:r>
          </w:p>
        </w:tc>
        <w:tc>
          <w:tcPr>
            <w:tcW w:w="1489" w:type="dxa"/>
            <w:shd w:val="clear" w:color="auto" w:fill="C6EFCE"/>
            <w:vAlign w:val="center"/>
            <w:hideMark/>
          </w:tcPr>
          <w:p w14:paraId="78667525" w14:textId="259E5D1B" w:rsidR="00025543" w:rsidRDefault="007E3A2F">
            <w:pPr>
              <w:pStyle w:val="P68B1DB1-Normal11"/>
              <w:spacing w:before="0" w:after="0" w:line="240" w:lineRule="auto"/>
              <w:rPr>
                <w:noProof/>
              </w:rPr>
            </w:pPr>
            <w:r>
              <w:rPr>
                <w:noProof/>
              </w:rPr>
              <w:t>Renforcement des capacités de renseignement stratégique, création d’un programme d’excellence et adoption d’une ligne directrice méthodologique pour les prestataires de services d’appui</w:t>
            </w:r>
          </w:p>
        </w:tc>
        <w:tc>
          <w:tcPr>
            <w:tcW w:w="1731" w:type="dxa"/>
            <w:shd w:val="clear" w:color="auto" w:fill="C6EFCE"/>
            <w:vAlign w:val="center"/>
            <w:hideMark/>
          </w:tcPr>
          <w:p w14:paraId="0DA8FA24" w14:textId="44C35BF7" w:rsidR="00025543" w:rsidRDefault="007E3A2F">
            <w:pPr>
              <w:pStyle w:val="P68B1DB1-Normal11"/>
              <w:spacing w:before="0" w:after="0" w:line="240" w:lineRule="auto"/>
              <w:rPr>
                <w:noProof/>
                <w:color w:val="004300"/>
              </w:rPr>
            </w:pPr>
            <w:r>
              <w:rPr>
                <w:noProof/>
              </w:rPr>
              <w:t>Adoption de résolutions gouvernementales et d’une ligne directrice méthodologique</w:t>
            </w:r>
          </w:p>
        </w:tc>
        <w:tc>
          <w:tcPr>
            <w:tcW w:w="955" w:type="dxa"/>
            <w:shd w:val="clear" w:color="auto" w:fill="C6EFCE"/>
            <w:vAlign w:val="center"/>
          </w:tcPr>
          <w:p w14:paraId="2690E78F" w14:textId="15ABF32B" w:rsidR="00025543" w:rsidRDefault="007E3A2F">
            <w:pPr>
              <w:pStyle w:val="P68B1DB1-Normal11"/>
              <w:spacing w:before="0" w:after="0" w:line="240" w:lineRule="auto"/>
              <w:rPr>
                <w:noProof/>
                <w:color w:val="004300"/>
              </w:rPr>
            </w:pPr>
            <w:r>
              <w:rPr>
                <w:noProof/>
              </w:rPr>
              <w:t xml:space="preserve"> </w:t>
            </w:r>
          </w:p>
        </w:tc>
        <w:tc>
          <w:tcPr>
            <w:tcW w:w="955" w:type="dxa"/>
            <w:shd w:val="clear" w:color="auto" w:fill="C6EFCE"/>
            <w:vAlign w:val="center"/>
          </w:tcPr>
          <w:p w14:paraId="2010206F" w14:textId="009C6356" w:rsidR="00025543" w:rsidRDefault="007E3A2F">
            <w:pPr>
              <w:pStyle w:val="P68B1DB1-Normal11"/>
              <w:spacing w:before="0" w:after="0" w:line="240" w:lineRule="auto"/>
              <w:jc w:val="center"/>
              <w:rPr>
                <w:noProof/>
                <w:color w:val="004300"/>
              </w:rPr>
            </w:pPr>
            <w:r>
              <w:rPr>
                <w:noProof/>
              </w:rPr>
              <w:t xml:space="preserve"> </w:t>
            </w:r>
          </w:p>
        </w:tc>
        <w:tc>
          <w:tcPr>
            <w:tcW w:w="955" w:type="dxa"/>
            <w:shd w:val="clear" w:color="auto" w:fill="C6EFCE"/>
            <w:vAlign w:val="center"/>
          </w:tcPr>
          <w:p w14:paraId="25B900BE" w14:textId="0A9B7BE3" w:rsidR="00025543" w:rsidRDefault="007E3A2F">
            <w:pPr>
              <w:pStyle w:val="P68B1DB1-Normal11"/>
              <w:spacing w:before="0" w:after="0" w:line="240" w:lineRule="auto"/>
              <w:jc w:val="center"/>
              <w:rPr>
                <w:noProof/>
                <w:color w:val="004300"/>
              </w:rPr>
            </w:pPr>
            <w:r>
              <w:rPr>
                <w:noProof/>
              </w:rPr>
              <w:t xml:space="preserve"> </w:t>
            </w:r>
          </w:p>
        </w:tc>
        <w:tc>
          <w:tcPr>
            <w:tcW w:w="961" w:type="dxa"/>
            <w:shd w:val="clear" w:color="auto" w:fill="C6EFCE"/>
            <w:vAlign w:val="center"/>
            <w:hideMark/>
          </w:tcPr>
          <w:p w14:paraId="455E3843" w14:textId="715D6C15" w:rsidR="00025543" w:rsidRDefault="007E3A2F">
            <w:pPr>
              <w:pStyle w:val="P68B1DB1-Normal11"/>
              <w:spacing w:before="0" w:after="0" w:line="240" w:lineRule="auto"/>
              <w:jc w:val="center"/>
              <w:rPr>
                <w:noProof/>
                <w:color w:val="004300"/>
              </w:rPr>
            </w:pPr>
            <w:r>
              <w:rPr>
                <w:noProof/>
              </w:rPr>
              <w:t>TRIMESTRE 2</w:t>
            </w:r>
          </w:p>
        </w:tc>
        <w:tc>
          <w:tcPr>
            <w:tcW w:w="719" w:type="dxa"/>
            <w:shd w:val="clear" w:color="auto" w:fill="C6EFCE"/>
            <w:vAlign w:val="center"/>
            <w:hideMark/>
          </w:tcPr>
          <w:p w14:paraId="4AA147DE" w14:textId="2DCA6864" w:rsidR="00025543" w:rsidRDefault="007E3A2F">
            <w:pPr>
              <w:pStyle w:val="P68B1DB1-Normal11"/>
              <w:spacing w:before="0" w:after="0" w:line="240" w:lineRule="auto"/>
              <w:jc w:val="center"/>
              <w:rPr>
                <w:noProof/>
                <w:color w:val="004300"/>
              </w:rPr>
            </w:pPr>
            <w:r>
              <w:rPr>
                <w:noProof/>
              </w:rPr>
              <w:t>2025</w:t>
            </w:r>
          </w:p>
        </w:tc>
        <w:tc>
          <w:tcPr>
            <w:tcW w:w="3959" w:type="dxa"/>
            <w:shd w:val="clear" w:color="auto" w:fill="C6EFCE"/>
            <w:vAlign w:val="center"/>
            <w:hideMark/>
          </w:tcPr>
          <w:p w14:paraId="65BC6B5A" w14:textId="77777777" w:rsidR="00025543" w:rsidRDefault="007E3A2F">
            <w:pPr>
              <w:pStyle w:val="P68B1DB1-Normal11"/>
              <w:spacing w:after="160" w:line="257" w:lineRule="auto"/>
              <w:rPr>
                <w:noProof/>
              </w:rPr>
            </w:pPr>
            <w:r>
              <w:rPr>
                <w:noProof/>
              </w:rPr>
              <w:t>La réforme comprend les actions suivantes:</w:t>
            </w:r>
          </w:p>
          <w:p w14:paraId="086F438D" w14:textId="06641187" w:rsidR="00025543" w:rsidRDefault="007E3A2F">
            <w:pPr>
              <w:pStyle w:val="P68B1DB1-ListParagraph31"/>
              <w:numPr>
                <w:ilvl w:val="0"/>
                <w:numId w:val="115"/>
              </w:numPr>
              <w:spacing w:before="0" w:after="0"/>
              <w:rPr>
                <w:noProof/>
              </w:rPr>
            </w:pPr>
            <w:r>
              <w:rPr>
                <w:noProof/>
              </w:rPr>
              <w:t xml:space="preserve">Adoption d’une résolution du gouvernement, créant un nouveau projet d’activités communes visant à renforcer les capacités de renseignement stratégique dans le cadre de la politique de R &amp;I; La résolution du gouvernement établit que le projet permet la publication régulière des résultats des analyses et que la portée analytique du projet permet d’analyser les éléments suivants: </w:t>
            </w:r>
          </w:p>
          <w:p w14:paraId="2F7F2242" w14:textId="77777777" w:rsidR="00025543" w:rsidRDefault="00025543">
            <w:pPr>
              <w:spacing w:after="0" w:line="257" w:lineRule="auto"/>
              <w:rPr>
                <w:rFonts w:eastAsia="Times New Roman"/>
                <w:noProof/>
                <w:color w:val="006100"/>
                <w:sz w:val="18"/>
              </w:rPr>
            </w:pPr>
          </w:p>
          <w:p w14:paraId="3B5213FF" w14:textId="77777777" w:rsidR="00025543" w:rsidRDefault="007E3A2F">
            <w:pPr>
              <w:pStyle w:val="P68B1DB1-ListParagraph31"/>
              <w:numPr>
                <w:ilvl w:val="0"/>
                <w:numId w:val="114"/>
              </w:numPr>
              <w:spacing w:before="0" w:after="0"/>
              <w:rPr>
                <w:noProof/>
              </w:rPr>
            </w:pPr>
            <w:r>
              <w:rPr>
                <w:noProof/>
              </w:rPr>
              <w:t>La coopération internationale de la Tchéquie dans le domaine de la R &amp;D&amp;I;</w:t>
            </w:r>
          </w:p>
          <w:p w14:paraId="56D5E531" w14:textId="77777777" w:rsidR="00025543" w:rsidRDefault="007E3A2F">
            <w:pPr>
              <w:pStyle w:val="P68B1DB1-ListParagraph31"/>
              <w:numPr>
                <w:ilvl w:val="0"/>
                <w:numId w:val="114"/>
              </w:numPr>
              <w:spacing w:before="0" w:after="0"/>
              <w:rPr>
                <w:noProof/>
              </w:rPr>
            </w:pPr>
            <w:r>
              <w:rPr>
                <w:noProof/>
              </w:rPr>
              <w:t>Le rôle et l’impact socio-économique des grandes infrastructures de recherche;</w:t>
            </w:r>
          </w:p>
          <w:p w14:paraId="66C6748C" w14:textId="77777777" w:rsidR="00025543" w:rsidRDefault="007E3A2F">
            <w:pPr>
              <w:pStyle w:val="P68B1DB1-ListParagraph31"/>
              <w:numPr>
                <w:ilvl w:val="0"/>
                <w:numId w:val="114"/>
              </w:numPr>
              <w:spacing w:before="0" w:after="0"/>
              <w:rPr>
                <w:noProof/>
              </w:rPr>
            </w:pPr>
            <w:r>
              <w:rPr>
                <w:noProof/>
              </w:rPr>
              <w:t>Stratégies nationales de recherche et d’innovation pour une spécialisation intelligente;</w:t>
            </w:r>
          </w:p>
          <w:p w14:paraId="66720057" w14:textId="486C253F" w:rsidR="00025543" w:rsidRDefault="007E3A2F">
            <w:pPr>
              <w:pStyle w:val="P68B1DB1-ListParagraph31"/>
              <w:numPr>
                <w:ilvl w:val="0"/>
                <w:numId w:val="114"/>
              </w:numPr>
              <w:spacing w:before="0" w:after="0"/>
              <w:rPr>
                <w:noProof/>
              </w:rPr>
            </w:pPr>
            <w:r>
              <w:rPr>
                <w:noProof/>
              </w:rPr>
              <w:t>Le développement des ressources humaines dans la R &amp;D, y compris les conditions de participation des femmes à la R &amp;D;</w:t>
            </w:r>
          </w:p>
          <w:p w14:paraId="3E83EF82" w14:textId="77777777" w:rsidR="00025543" w:rsidRDefault="007E3A2F">
            <w:pPr>
              <w:pStyle w:val="P68B1DB1-ListParagraph31"/>
              <w:numPr>
                <w:ilvl w:val="0"/>
                <w:numId w:val="114"/>
              </w:numPr>
              <w:spacing w:before="0" w:after="0"/>
              <w:rPr>
                <w:noProof/>
              </w:rPr>
            </w:pPr>
            <w:r>
              <w:rPr>
                <w:noProof/>
              </w:rPr>
              <w:t>Le système d’octroi d’aides aux entreprises innovantes.</w:t>
            </w:r>
          </w:p>
          <w:p w14:paraId="0B99D723" w14:textId="77777777" w:rsidR="00025543" w:rsidRDefault="00025543">
            <w:pPr>
              <w:pStyle w:val="ListParagraph"/>
              <w:spacing w:before="0" w:after="0"/>
              <w:rPr>
                <w:rFonts w:ascii="Times New Roman" w:eastAsia="Times New Roman" w:hAnsi="Times New Roman"/>
                <w:noProof/>
                <w:color w:val="006100"/>
                <w:sz w:val="18"/>
              </w:rPr>
            </w:pPr>
          </w:p>
          <w:p w14:paraId="5FA284E6" w14:textId="49AD048C" w:rsidR="00025543" w:rsidRDefault="007E3A2F">
            <w:pPr>
              <w:pStyle w:val="P68B1DB1-ListParagraph31"/>
              <w:spacing w:line="257" w:lineRule="auto"/>
              <w:rPr>
                <w:noProof/>
              </w:rPr>
            </w:pPr>
            <w:r>
              <w:rPr>
                <w:noProof/>
              </w:rPr>
              <w:t>La résolution du gouvernement établit également que les capacités et les résultats analytiques sont mis à disposition de tous les prestataires de soutien.</w:t>
            </w:r>
          </w:p>
          <w:p w14:paraId="309F14DD" w14:textId="77777777" w:rsidR="00025543" w:rsidRDefault="00025543">
            <w:pPr>
              <w:pStyle w:val="ListParagraph"/>
              <w:spacing w:line="257" w:lineRule="auto"/>
              <w:rPr>
                <w:rFonts w:eastAsia="Times New Roman"/>
                <w:noProof/>
                <w:color w:val="006100"/>
                <w:sz w:val="18"/>
              </w:rPr>
            </w:pPr>
          </w:p>
          <w:p w14:paraId="1BF0046F" w14:textId="08802027" w:rsidR="00025543" w:rsidRDefault="007E3A2F">
            <w:pPr>
              <w:pStyle w:val="P68B1DB1-ListParagraph31"/>
              <w:numPr>
                <w:ilvl w:val="0"/>
                <w:numId w:val="115"/>
              </w:numPr>
              <w:spacing w:before="0" w:after="0"/>
              <w:rPr>
                <w:noProof/>
              </w:rPr>
            </w:pPr>
            <w:r>
              <w:rPr>
                <w:noProof/>
              </w:rPr>
              <w:t>Adoption d’une résolution du gouvernement portant création d’un nouveau programme d’excellence. Ce nouveau programme d’excellence introduira un titre de subvention supplémentaire pour les candidats qui:</w:t>
            </w:r>
          </w:p>
          <w:p w14:paraId="1A22CB70" w14:textId="77777777" w:rsidR="00025543" w:rsidRDefault="007E3A2F">
            <w:pPr>
              <w:pStyle w:val="P68B1DB1-ListParagraph31"/>
              <w:numPr>
                <w:ilvl w:val="0"/>
                <w:numId w:val="359"/>
              </w:numPr>
              <w:spacing w:before="0" w:after="0"/>
              <w:rPr>
                <w:noProof/>
              </w:rPr>
            </w:pPr>
            <w:r>
              <w:rPr>
                <w:noProof/>
              </w:rPr>
              <w:t xml:space="preserve">ont bénéficié d’un soutien financier au titre de subventions internationales, </w:t>
            </w:r>
          </w:p>
          <w:p w14:paraId="27CC74F0" w14:textId="5A66F9FA" w:rsidR="00025543" w:rsidRDefault="007E3A2F">
            <w:pPr>
              <w:pStyle w:val="P68B1DB1-ListParagraph31"/>
              <w:numPr>
                <w:ilvl w:val="0"/>
                <w:numId w:val="359"/>
              </w:numPr>
              <w:spacing w:before="0" w:after="0"/>
              <w:rPr>
                <w:noProof/>
              </w:rPr>
            </w:pPr>
            <w:r>
              <w:rPr>
                <w:noProof/>
              </w:rPr>
              <w:t>ont reçu une aide nationale après avoir demandé une subvention internationale, ou</w:t>
            </w:r>
          </w:p>
          <w:p w14:paraId="10A3E3C8" w14:textId="27DF34D6" w:rsidR="00025543" w:rsidRDefault="007E3A2F">
            <w:pPr>
              <w:pStyle w:val="P68B1DB1-ListParagraph31"/>
              <w:numPr>
                <w:ilvl w:val="0"/>
                <w:numId w:val="359"/>
              </w:numPr>
              <w:spacing w:before="0" w:after="0"/>
              <w:rPr>
                <w:noProof/>
              </w:rPr>
            </w:pPr>
            <w:r>
              <w:rPr>
                <w:noProof/>
              </w:rPr>
              <w:t>ont reçu un soutien financier au titre de la subvention nationale EXPRO.</w:t>
            </w:r>
          </w:p>
          <w:p w14:paraId="7A662D78" w14:textId="77777777" w:rsidR="00025543" w:rsidRDefault="007E3A2F">
            <w:pPr>
              <w:pStyle w:val="P68B1DB1-Normal11"/>
              <w:spacing w:before="0" w:after="0" w:line="257" w:lineRule="auto"/>
              <w:rPr>
                <w:noProof/>
              </w:rPr>
            </w:pPr>
            <w:r>
              <w:rPr>
                <w:noProof/>
              </w:rPr>
              <w:t xml:space="preserve"> </w:t>
            </w:r>
          </w:p>
          <w:p w14:paraId="1AF846A7" w14:textId="4801136D" w:rsidR="00025543" w:rsidRDefault="007E3A2F">
            <w:pPr>
              <w:pStyle w:val="P68B1DB1-Normal11"/>
              <w:spacing w:before="0" w:after="0" w:line="257" w:lineRule="auto"/>
              <w:rPr>
                <w:noProof/>
              </w:rPr>
            </w:pPr>
            <w:r>
              <w:rPr>
                <w:noProof/>
              </w:rPr>
              <w:t>Avant l’adoption du programme, les représentants du secteur de la recherche sont consultés.</w:t>
            </w:r>
          </w:p>
          <w:p w14:paraId="2A49517B" w14:textId="6C531CF4" w:rsidR="00025543" w:rsidRDefault="00025543">
            <w:pPr>
              <w:spacing w:before="0" w:after="0" w:line="257" w:lineRule="auto"/>
              <w:rPr>
                <w:rFonts w:eastAsia="Times New Roman"/>
                <w:noProof/>
                <w:color w:val="006100"/>
                <w:sz w:val="18"/>
              </w:rPr>
            </w:pPr>
          </w:p>
          <w:p w14:paraId="59C7B73F" w14:textId="77777777" w:rsidR="00025543" w:rsidRDefault="007E3A2F">
            <w:pPr>
              <w:pStyle w:val="P68B1DB1-ListParagraph31"/>
              <w:numPr>
                <w:ilvl w:val="0"/>
                <w:numId w:val="115"/>
              </w:numPr>
              <w:spacing w:before="0" w:after="0"/>
              <w:rPr>
                <w:noProof/>
              </w:rPr>
            </w:pPr>
            <w:r>
              <w:rPr>
                <w:noProof/>
              </w:rPr>
              <w:t xml:space="preserve">Adoption d’une ligne directrice méthodologique qui: </w:t>
            </w:r>
          </w:p>
          <w:p w14:paraId="5DCDC460" w14:textId="365E383C" w:rsidR="00025543" w:rsidRDefault="007E3A2F">
            <w:pPr>
              <w:pStyle w:val="P68B1DB1-ListParagraph31"/>
              <w:numPr>
                <w:ilvl w:val="0"/>
                <w:numId w:val="104"/>
              </w:numPr>
              <w:spacing w:before="0" w:after="0"/>
              <w:rPr>
                <w:noProof/>
              </w:rPr>
            </w:pPr>
            <w:r>
              <w:rPr>
                <w:noProof/>
              </w:rPr>
              <w:t>Harmoniser les règles de procédure pour la fourniture d’un soutien à la R &amp;DI-I entre tous les prestataires de soutien. Il comprend également un calendrier pour la mise en œuvre des mesures pertinentes.</w:t>
            </w:r>
          </w:p>
          <w:p w14:paraId="39F38492" w14:textId="1B47A135" w:rsidR="00025543" w:rsidRDefault="007E3A2F">
            <w:pPr>
              <w:pStyle w:val="P68B1DB1-ListParagraph31"/>
              <w:numPr>
                <w:ilvl w:val="0"/>
                <w:numId w:val="104"/>
              </w:numPr>
              <w:spacing w:before="0" w:after="0"/>
              <w:rPr>
                <w:noProof/>
              </w:rPr>
            </w:pPr>
            <w:r>
              <w:rPr>
                <w:noProof/>
              </w:rPr>
              <w:t>Aligner les critères de soutien aux projets du budget national sur les critères standard de participation aux projets relevant du programme-cadre de l’UE pour la recherche et l’innovation.</w:t>
            </w:r>
          </w:p>
          <w:p w14:paraId="4E31ABE1" w14:textId="77777777" w:rsidR="00025543" w:rsidRDefault="007E3A2F">
            <w:pPr>
              <w:pStyle w:val="P68B1DB1-Normal11"/>
              <w:spacing w:before="0" w:after="0" w:line="257" w:lineRule="auto"/>
              <w:rPr>
                <w:noProof/>
              </w:rPr>
            </w:pPr>
            <w:r>
              <w:rPr>
                <w:noProof/>
              </w:rPr>
              <w:t xml:space="preserve"> </w:t>
            </w:r>
          </w:p>
          <w:p w14:paraId="284EEE36" w14:textId="629BC495" w:rsidR="00025543" w:rsidRDefault="007E3A2F">
            <w:pPr>
              <w:pStyle w:val="P68B1DB1-Normal11"/>
              <w:spacing w:before="0" w:after="0" w:line="240" w:lineRule="auto"/>
              <w:rPr>
                <w:noProof/>
                <w:color w:val="004300"/>
              </w:rPr>
            </w:pPr>
            <w:r>
              <w:rPr>
                <w:noProof/>
              </w:rPr>
              <w:t>Les prestataires de soutien et les représentants des bénéficiaires de l’aide sont associés à l’élaboration de la ligne directrice méthodologique.</w:t>
            </w:r>
          </w:p>
        </w:tc>
      </w:tr>
    </w:tbl>
    <w:p w14:paraId="4C4B9752" w14:textId="6604049C" w:rsidR="00025543" w:rsidRDefault="00025543">
      <w:pPr>
        <w:tabs>
          <w:tab w:val="left" w:pos="993"/>
        </w:tabs>
        <w:spacing w:line="240" w:lineRule="auto"/>
        <w:jc w:val="both"/>
        <w:rPr>
          <w:b/>
          <w:noProof/>
          <w:u w:val="single"/>
        </w:rPr>
      </w:pPr>
    </w:p>
    <w:p w14:paraId="66746E98" w14:textId="77777777" w:rsidR="00025543" w:rsidRDefault="00025543">
      <w:pPr>
        <w:tabs>
          <w:tab w:val="left" w:pos="993"/>
        </w:tabs>
        <w:spacing w:line="240" w:lineRule="auto"/>
        <w:jc w:val="both"/>
        <w:rPr>
          <w:b/>
          <w:noProof/>
          <w:u w:val="single"/>
        </w:rPr>
      </w:pPr>
    </w:p>
    <w:p w14:paraId="3BF3B22E" w14:textId="77777777" w:rsidR="00025543" w:rsidRDefault="00025543">
      <w:pPr>
        <w:rPr>
          <w:noProof/>
        </w:rPr>
        <w:sectPr w:rsidR="00025543" w:rsidSect="00997F50">
          <w:headerReference w:type="even" r:id="rId408"/>
          <w:headerReference w:type="default" r:id="rId409"/>
          <w:footerReference w:type="even" r:id="rId410"/>
          <w:footerReference w:type="default" r:id="rId411"/>
          <w:headerReference w:type="first" r:id="rId412"/>
          <w:footerReference w:type="first" r:id="rId413"/>
          <w:pgSz w:w="16839" w:h="11907" w:orient="landscape"/>
          <w:pgMar w:top="1134" w:right="1134" w:bottom="1134" w:left="1134" w:header="567" w:footer="567" w:gutter="0"/>
          <w:cols w:space="708"/>
          <w:docGrid w:linePitch="326"/>
        </w:sectPr>
      </w:pPr>
    </w:p>
    <w:p w14:paraId="21E55949" w14:textId="4EB88C50" w:rsidR="00025543" w:rsidRDefault="007E3A2F">
      <w:pPr>
        <w:pStyle w:val="P68B1DB1-Normal36"/>
        <w:keepNext/>
        <w:spacing w:line="240" w:lineRule="auto"/>
        <w:jc w:val="both"/>
        <w:outlineLvl w:val="0"/>
        <w:rPr>
          <w:noProof/>
        </w:rPr>
      </w:pPr>
      <w:r>
        <w:rPr>
          <w:noProof/>
        </w:rPr>
        <w:t xml:space="preserve">CC. ÉLÉMENT 6.1: Accroître la résilience du système de santé </w:t>
      </w:r>
    </w:p>
    <w:p w14:paraId="769F0BE0" w14:textId="77777777" w:rsidR="00025543" w:rsidRDefault="007E3A2F">
      <w:pPr>
        <w:spacing w:line="240" w:lineRule="auto"/>
        <w:jc w:val="both"/>
        <w:rPr>
          <w:noProof/>
        </w:rPr>
      </w:pPr>
      <w:r>
        <w:rPr>
          <w:noProof/>
        </w:rPr>
        <w:t xml:space="preserve">Ce volet </w:t>
      </w:r>
      <w:r>
        <w:rPr>
          <w:rFonts w:eastAsia="Times New Roman"/>
          <w:noProof/>
        </w:rPr>
        <w:t xml:space="preserve">du plan pour la reprise et la résilience de la République tchèque </w:t>
      </w:r>
      <w:r>
        <w:rPr>
          <w:noProof/>
        </w:rPr>
        <w:t xml:space="preserve">répond au défi du renforcement de la résilience du système de santé en investissant dans les infrastructures de soins de santé et en améliorant l’éducation des professionnels de la santé dans le domaine des soins aigus. En ce qui concerne les infrastructures de soins de santé, l’objectif est d’accroître la disponibilité et la qualité des soins de réadaptation pour les patients guérissant des affections critiques </w:t>
      </w:r>
      <w:r>
        <w:rPr>
          <w:rFonts w:eastAsia="Times New Roman"/>
          <w:noProof/>
        </w:rPr>
        <w:t>(affections médicales aiguës)</w:t>
      </w:r>
      <w:r>
        <w:rPr>
          <w:noProof/>
        </w:rPr>
        <w:t>, qui se sont révélées insuffisantes pendant la pandémie. En outre, ce volet vise à remédier au manque d’outils de diagnostic et de traitement hautement spécialisés des maladies cardiovasculaires graves, y compris la médecine de transplantation. En ce qui concerne l’éducation du personnel de santé, des mesures systémiques et des investissements sont prévus pour remédier à la pénurie croissante de professionnels de la santé.</w:t>
      </w:r>
    </w:p>
    <w:p w14:paraId="4E977FB8" w14:textId="77777777" w:rsidR="00025543" w:rsidRDefault="007E3A2F">
      <w:pPr>
        <w:spacing w:line="240" w:lineRule="auto"/>
        <w:jc w:val="both"/>
        <w:rPr>
          <w:noProof/>
        </w:rPr>
      </w:pPr>
      <w:r>
        <w:rPr>
          <w:noProof/>
        </w:rPr>
        <w:t>Ce volet contribue à la mise en œuvre de la recommandation par pays no 1 et no 2020, selon laquelle la Tchéquie garantit la résilience du système de santé, renforce la disponibilité des professionnels de la santé, les soins primaires et l’intégration des soins, ainsi que le déploiement des services de santé en ligne.</w:t>
      </w:r>
    </w:p>
    <w:p w14:paraId="250B8CB0" w14:textId="77777777" w:rsidR="00025543" w:rsidRDefault="007E3A2F">
      <w:pPr>
        <w:spacing w:line="240" w:lineRule="auto"/>
        <w:jc w:val="both"/>
        <w:rPr>
          <w:noProof/>
        </w:rPr>
      </w:pPr>
      <w:r>
        <w:rPr>
          <w:noProof/>
        </w:rPr>
        <w:t>Aucune mesure relevant de ce volet ne devrait causer de préjudice important aux objectifs environnementaux au sens de l’article 17 du règlement (UE) 2020/852, compte tenu de la description des mesures et des mesures d’atténuation prévues dans le plan conformément aux orientations techniques DNSH (2021/C58/01).</w:t>
      </w:r>
    </w:p>
    <w:p w14:paraId="4721036B" w14:textId="77777777" w:rsidR="00025543" w:rsidRDefault="00025543">
      <w:pPr>
        <w:spacing w:line="240" w:lineRule="auto"/>
        <w:jc w:val="both"/>
        <w:rPr>
          <w:i/>
          <w:noProof/>
        </w:rPr>
      </w:pPr>
    </w:p>
    <w:p w14:paraId="588D04A6" w14:textId="19386D41" w:rsidR="00025543" w:rsidRDefault="007E3A2F">
      <w:pPr>
        <w:pStyle w:val="P68B1DB1-Normal5"/>
        <w:spacing w:line="240" w:lineRule="auto"/>
        <w:jc w:val="both"/>
        <w:rPr>
          <w:noProof/>
        </w:rPr>
      </w:pPr>
      <w:r>
        <w:rPr>
          <w:noProof/>
        </w:rPr>
        <w:t>CC.1. Description des réformes et des investissements en vue du soutien financier non remboursable</w:t>
      </w:r>
    </w:p>
    <w:p w14:paraId="34F839E9" w14:textId="77777777" w:rsidR="00025543" w:rsidRDefault="007E3A2F">
      <w:pPr>
        <w:pStyle w:val="P68B1DB1-Normal7"/>
        <w:spacing w:line="240" w:lineRule="auto"/>
        <w:jc w:val="both"/>
        <w:rPr>
          <w:noProof/>
        </w:rPr>
      </w:pPr>
      <w:r>
        <w:rPr>
          <w:noProof/>
        </w:rPr>
        <w:t>Réforme 1: Amélioration de l’éducation des professionnels de la santé</w:t>
      </w:r>
    </w:p>
    <w:p w14:paraId="31D25ECF" w14:textId="77777777" w:rsidR="00025543" w:rsidRDefault="007E3A2F">
      <w:pPr>
        <w:spacing w:line="240" w:lineRule="auto"/>
        <w:jc w:val="both"/>
        <w:rPr>
          <w:noProof/>
        </w:rPr>
      </w:pPr>
      <w:r>
        <w:rPr>
          <w:noProof/>
        </w:rPr>
        <w:t xml:space="preserve">La formation et l’éducation des professionnels de la santé sont adaptées dans le but d’améliorer la disponibilité de professionnels de la santé hautement spécialisés. La planification du personnel de santé aux niveaux national et régional sera améliorée grâce à la création d’un système électronique (reliant les bases de données existantes des professionnels de la santé) pour la gestion, l’administration et l’évaluation des besoins de formation des professionnels de la santé. L’amélioration de l’organisation de la formation post-universitaire des professionnels de la santé contribue à réduire la durée de la formation spécialisée et à permettre aux jeunes médecins de commencer à fournir des soins plus tôt, améliorant ainsi l’accès aux soins. </w:t>
      </w:r>
    </w:p>
    <w:p w14:paraId="6E8C09C2" w14:textId="77777777" w:rsidR="00025543" w:rsidRDefault="007E3A2F">
      <w:pPr>
        <w:spacing w:line="240" w:lineRule="auto"/>
        <w:jc w:val="both"/>
        <w:rPr>
          <w:noProof/>
        </w:rPr>
      </w:pPr>
      <w:r>
        <w:rPr>
          <w:noProof/>
        </w:rPr>
        <w:t xml:space="preserve">L’investissement est achevé au plus tard le 30 juin 2024. </w:t>
      </w:r>
    </w:p>
    <w:p w14:paraId="0D5F3A29" w14:textId="77777777" w:rsidR="00025543" w:rsidRDefault="007E3A2F">
      <w:pPr>
        <w:pStyle w:val="P68B1DB1-Normal7"/>
        <w:spacing w:line="240" w:lineRule="auto"/>
        <w:jc w:val="both"/>
        <w:rPr>
          <w:noProof/>
        </w:rPr>
      </w:pPr>
      <w:r>
        <w:rPr>
          <w:noProof/>
        </w:rPr>
        <w:t xml:space="preserve">Investissement 1: Création du centre de simulation de médicaments intensifs </w:t>
      </w:r>
    </w:p>
    <w:p w14:paraId="1946F2EA" w14:textId="77777777" w:rsidR="00025543" w:rsidRDefault="007E3A2F">
      <w:pPr>
        <w:spacing w:line="240" w:lineRule="auto"/>
        <w:jc w:val="both"/>
        <w:rPr>
          <w:rFonts w:eastAsia="Times New Roman"/>
          <w:noProof/>
        </w:rPr>
      </w:pPr>
      <w:r>
        <w:rPr>
          <w:noProof/>
        </w:rPr>
        <w:t>L’investissement consiste à construire un centre intensif de simulation en médecine qui élargira les infrastructures de formation post-universitaire et d’apprentissage tout au long de la vie des professionnels de la santé. Le centre dispense une formation sur les technologies et équipements de pointe, en imitant des situations réelles, y compris en utilisant la réalité virtuelle. Cela permettra de former des tâches cliniques complexes dans un environnement sûr sans avoir d’incidence sur la sécurité des patients, le transfert effectif des compétences acquises dans la pratique clinique et l’amélioration de la coopération entre les disciplines médicales. La formation à la simulation couvre un large éventail d’activités, allant des traitements simples aux soins complets prodigués aux patients par des équipes médicales spécialisées dans les soins préhospitaliers, les unités de soins intensifs ou les salles d’exploitation. En outre, un système de formation du personnel médical en médecine intensive doit être mis au point.</w:t>
      </w:r>
    </w:p>
    <w:p w14:paraId="51E1C171" w14:textId="77777777" w:rsidR="00025543" w:rsidRDefault="007E3A2F">
      <w:pPr>
        <w:spacing w:line="240" w:lineRule="auto"/>
        <w:jc w:val="both"/>
        <w:rPr>
          <w:noProof/>
        </w:rPr>
      </w:pPr>
      <w:r>
        <w:rPr>
          <w:noProof/>
        </w:rPr>
        <w:t xml:space="preserve">L’investissement est achevé au plus tard le 31 décembre 2025. </w:t>
      </w:r>
    </w:p>
    <w:p w14:paraId="5CC6DBFF" w14:textId="77777777" w:rsidR="00025543" w:rsidRDefault="007E3A2F">
      <w:pPr>
        <w:pStyle w:val="P68B1DB1-Normal7"/>
        <w:keepNext/>
        <w:spacing w:line="240" w:lineRule="auto"/>
        <w:jc w:val="both"/>
        <w:rPr>
          <w:noProof/>
        </w:rPr>
      </w:pPr>
      <w:r>
        <w:rPr>
          <w:noProof/>
        </w:rPr>
        <w:t>Investissement 2: Soins de réadaptation pour les patients se rétablissant d’une affection critique</w:t>
      </w:r>
    </w:p>
    <w:p w14:paraId="53F2BE92" w14:textId="33204B21" w:rsidR="00025543" w:rsidRDefault="007E3A2F">
      <w:pPr>
        <w:spacing w:line="240" w:lineRule="auto"/>
        <w:jc w:val="both"/>
        <w:rPr>
          <w:noProof/>
        </w:rPr>
      </w:pPr>
      <w:r>
        <w:rPr>
          <w:noProof/>
        </w:rPr>
        <w:t xml:space="preserve">L’objectif de l’investissement est de répondre à la nécessité de renforcer les soins de réadaptation des patients qui se rétablissent des affections critiques, qui se sont multipliées en raison de la pandémie de COVID-19. Cet objectif sera atteint par la rénovation et la modernisation des équipements des services de réadaptation ainsi que par l’amélioration de l’organisation des soins de réadaptation. L’acquisition d’équipements de pointe pour des soins complets de réadaptation réduira les besoins en personnel, augmentant ainsi la disponibilité de soins de réadaptation pour les patients. L’aide est acheminée par l’intermédiaire d’un programme de subventions doté d’une enveloppe totale de 61 660 000 EUR. Une aide est accordée à au moins 19 hôpitaux publics qui dispensent des soins hospitaliers aigus dans des unités de soins intensifs et des soins de réadaptation de suivi. La sélection des projets reflète les besoins accrus en soins de réadaptation après la pandémie de COVID-19. L’objectif est d’augmenter de 10 % le nombre de traitements infligés aux patients après des affections critiques dans les unités de soins de rééducation. </w:t>
      </w:r>
    </w:p>
    <w:p w14:paraId="2285C753" w14:textId="77777777" w:rsidR="00025543" w:rsidRDefault="007E3A2F">
      <w:pPr>
        <w:spacing w:line="240" w:lineRule="auto"/>
        <w:jc w:val="both"/>
        <w:rPr>
          <w:noProof/>
        </w:rPr>
      </w:pPr>
      <w:r>
        <w:rPr>
          <w:noProof/>
        </w:rPr>
        <w:t>L’investissement est achevé au plus tard le 31 décembre 2025.</w:t>
      </w:r>
    </w:p>
    <w:p w14:paraId="013C7E4B" w14:textId="77777777" w:rsidR="00025543" w:rsidRDefault="007E3A2F">
      <w:pPr>
        <w:pStyle w:val="P68B1DB1-Normal7"/>
        <w:spacing w:line="240" w:lineRule="auto"/>
        <w:jc w:val="both"/>
        <w:rPr>
          <w:noProof/>
        </w:rPr>
      </w:pPr>
      <w:r>
        <w:rPr>
          <w:noProof/>
        </w:rPr>
        <w:t>Investissement 3: Construction d’un centre de médecine cardiovasculaire et de transplantation</w:t>
      </w:r>
    </w:p>
    <w:p w14:paraId="08C5AD22" w14:textId="77777777" w:rsidR="00025543" w:rsidRDefault="007E3A2F">
      <w:pPr>
        <w:spacing w:line="240" w:lineRule="auto"/>
        <w:jc w:val="both"/>
        <w:rPr>
          <w:noProof/>
        </w:rPr>
      </w:pPr>
      <w:r>
        <w:rPr>
          <w:noProof/>
        </w:rPr>
        <w:t xml:space="preserve">L’investissement vise à améliorer l’accessibilité des soins hautement spécialisés en médecine cardiovasculaire et transvégétale dans la région de Moravie du Sud. La construction de nouvelles installations du Centre de chirurgie cardio-vasculaire et transplantaire à Brno est prévue afin d’accroître la capacité actuelle et de moderniser les équipements afin de tenir compte des méthodes de traitement modernes, en vue de remédier au manque d’installations adéquates dans la région de Moravie. L’investissement portera le nombre de lits du Centre actuel de chirurgie cardiaque et transplantaire de 90 à au moins 125 lits. </w:t>
      </w:r>
    </w:p>
    <w:p w14:paraId="228FB970" w14:textId="77777777" w:rsidR="00025543" w:rsidRDefault="007E3A2F">
      <w:pPr>
        <w:spacing w:line="240" w:lineRule="auto"/>
        <w:jc w:val="both"/>
        <w:rPr>
          <w:noProof/>
        </w:rPr>
      </w:pPr>
      <w:r>
        <w:rPr>
          <w:noProof/>
        </w:rPr>
        <w:t xml:space="preserve">L’investissement est achevé au plus tard le 31 décembre 2025. </w:t>
      </w:r>
    </w:p>
    <w:p w14:paraId="7EC9B29F" w14:textId="77777777" w:rsidR="00025543" w:rsidRDefault="007E3A2F">
      <w:pPr>
        <w:pStyle w:val="P68B1DB1-Normal34"/>
        <w:spacing w:line="240" w:lineRule="auto"/>
        <w:rPr>
          <w:noProof/>
        </w:rPr>
      </w:pPr>
      <w:r>
        <w:rPr>
          <w:noProof/>
        </w:rPr>
        <w:t xml:space="preserve"> </w:t>
      </w:r>
    </w:p>
    <w:p w14:paraId="1AD67769" w14:textId="77777777" w:rsidR="00025543" w:rsidRDefault="00025543">
      <w:pPr>
        <w:spacing w:line="240" w:lineRule="auto"/>
        <w:rPr>
          <w:rFonts w:ascii="Calibri" w:hAnsi="Calibri"/>
          <w:noProof/>
          <w:sz w:val="22"/>
        </w:rPr>
        <w:sectPr w:rsidR="00025543" w:rsidSect="00997F50">
          <w:headerReference w:type="even" r:id="rId414"/>
          <w:headerReference w:type="default" r:id="rId415"/>
          <w:footerReference w:type="even" r:id="rId416"/>
          <w:footerReference w:type="default" r:id="rId417"/>
          <w:headerReference w:type="first" r:id="rId418"/>
          <w:footerReference w:type="first" r:id="rId419"/>
          <w:pgSz w:w="11907" w:h="16839"/>
          <w:pgMar w:top="1134" w:right="1134" w:bottom="1134" w:left="1134" w:header="567" w:footer="567" w:gutter="0"/>
          <w:cols w:space="708"/>
          <w:docGrid w:linePitch="326"/>
        </w:sectPr>
      </w:pPr>
    </w:p>
    <w:p w14:paraId="60760D4F" w14:textId="3C208CAA" w:rsidR="00025543" w:rsidRDefault="007E3A2F">
      <w:pPr>
        <w:pStyle w:val="P68B1DB1-Normal8"/>
        <w:pBdr>
          <w:top w:val="nil"/>
          <w:left w:val="nil"/>
          <w:bottom w:val="nil"/>
          <w:right w:val="nil"/>
          <w:between w:val="nil"/>
        </w:pBdr>
        <w:tabs>
          <w:tab w:val="left" w:pos="993"/>
        </w:tabs>
        <w:spacing w:line="240" w:lineRule="auto"/>
        <w:rPr>
          <w:noProof/>
        </w:rPr>
      </w:pPr>
      <w:r>
        <w:rPr>
          <w:noProof/>
        </w:rPr>
        <w:t xml:space="preserve">CC.2. Jalons, cibles, indicateurs et calendrier de suivi et de mise en œuvre en vue du soutien financier non remboursable </w:t>
      </w:r>
    </w:p>
    <w:tbl>
      <w:tblPr>
        <w:tblW w:w="0" w:type="auto"/>
        <w:jc w:val="center"/>
        <w:tblLayout w:type="fixed"/>
        <w:tblLook w:val="04A0" w:firstRow="1" w:lastRow="0" w:firstColumn="1" w:lastColumn="0" w:noHBand="0" w:noVBand="1"/>
      </w:tblPr>
      <w:tblGrid>
        <w:gridCol w:w="675"/>
        <w:gridCol w:w="1418"/>
        <w:gridCol w:w="1077"/>
        <w:gridCol w:w="1307"/>
        <w:gridCol w:w="1701"/>
        <w:gridCol w:w="1077"/>
        <w:gridCol w:w="1077"/>
        <w:gridCol w:w="1077"/>
        <w:gridCol w:w="850"/>
        <w:gridCol w:w="608"/>
        <w:gridCol w:w="4745"/>
      </w:tblGrid>
      <w:tr w:rsidR="00025543" w14:paraId="79916E4A" w14:textId="77777777">
        <w:trPr>
          <w:trHeight w:val="107"/>
          <w:tblHeader/>
          <w:jc w:val="center"/>
        </w:trPr>
        <w:tc>
          <w:tcPr>
            <w:tcW w:w="675"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2BE974A1" w14:textId="77777777" w:rsidR="00025543" w:rsidRDefault="007E3A2F">
            <w:pPr>
              <w:pStyle w:val="P68B1DB1-Normal27"/>
              <w:spacing w:line="240" w:lineRule="auto"/>
              <w:jc w:val="center"/>
              <w:rPr>
                <w:noProof/>
              </w:rPr>
            </w:pPr>
            <w:r>
              <w:rPr>
                <w:noProof/>
              </w:rPr>
              <w:t>Séquence NUM.</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362C11AA" w14:textId="77777777" w:rsidR="00025543" w:rsidRDefault="007E3A2F">
            <w:pPr>
              <w:pStyle w:val="P68B1DB1-Normal9"/>
              <w:spacing w:line="240" w:lineRule="auto"/>
              <w:jc w:val="center"/>
              <w:rPr>
                <w:noProof/>
              </w:rPr>
            </w:pPr>
            <w:r>
              <w:rPr>
                <w:noProof/>
              </w:rPr>
              <w:t xml:space="preserve">Mesure connexe (réforme ou investissement) </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53AE840B" w14:textId="77777777" w:rsidR="00025543" w:rsidRDefault="007E3A2F">
            <w:pPr>
              <w:pStyle w:val="P68B1DB1-Normal9"/>
              <w:spacing w:line="240" w:lineRule="auto"/>
              <w:jc w:val="center"/>
              <w:rPr>
                <w:noProof/>
              </w:rPr>
            </w:pPr>
            <w:r>
              <w:rPr>
                <w:noProof/>
              </w:rPr>
              <w:t xml:space="preserve">Jalon/cible </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690C794D" w14:textId="77777777" w:rsidR="00025543" w:rsidRDefault="007E3A2F">
            <w:pPr>
              <w:pStyle w:val="P68B1DB1-Normal9"/>
              <w:spacing w:line="240" w:lineRule="auto"/>
              <w:jc w:val="center"/>
              <w:rPr>
                <w:noProof/>
              </w:rPr>
            </w:pPr>
            <w:r>
              <w:rPr>
                <w:noProof/>
              </w:rPr>
              <w:t xml:space="preserve">Nom </w:t>
            </w:r>
          </w:p>
        </w:tc>
        <w:tc>
          <w:tcPr>
            <w:tcW w:w="1701" w:type="dxa"/>
            <w:vMerge w:val="restart"/>
            <w:tcBorders>
              <w:top w:val="single" w:sz="8" w:space="0" w:color="auto"/>
              <w:left w:val="single" w:sz="4" w:space="0" w:color="auto"/>
              <w:right w:val="single" w:sz="8" w:space="0" w:color="auto"/>
            </w:tcBorders>
            <w:shd w:val="clear" w:color="auto" w:fill="BDD7EE"/>
            <w:vAlign w:val="center"/>
          </w:tcPr>
          <w:p w14:paraId="1E9680FA" w14:textId="77777777" w:rsidR="00025543" w:rsidRDefault="007E3A2F">
            <w:pPr>
              <w:pStyle w:val="P68B1DB1-Normal12"/>
              <w:spacing w:line="240" w:lineRule="auto"/>
              <w:jc w:val="center"/>
              <w:rPr>
                <w:noProof/>
              </w:rPr>
            </w:pPr>
            <w:r>
              <w:rPr>
                <w:rFonts w:eastAsia="Times New Roman"/>
                <w:b/>
                <w:noProof/>
              </w:rPr>
              <w:t>Qualitatifs</w:t>
            </w:r>
            <w:r>
              <w:rPr>
                <w:noProof/>
              </w:rPr>
              <w:br/>
            </w:r>
            <w:r>
              <w:rPr>
                <w:rFonts w:eastAsia="Times New Roman"/>
                <w:b/>
                <w:noProof/>
              </w:rPr>
              <w:t xml:space="preserve"> (pour les jalons) </w:t>
            </w:r>
          </w:p>
        </w:tc>
        <w:tc>
          <w:tcPr>
            <w:tcW w:w="1077" w:type="dxa"/>
            <w:gridSpan w:val="3"/>
            <w:tcBorders>
              <w:top w:val="single" w:sz="8" w:space="0" w:color="auto"/>
              <w:left w:val="single" w:sz="8" w:space="0" w:color="auto"/>
              <w:bottom w:val="single" w:sz="8" w:space="0" w:color="auto"/>
              <w:right w:val="single" w:sz="8" w:space="0" w:color="000000" w:themeColor="text1"/>
            </w:tcBorders>
            <w:shd w:val="clear" w:color="auto" w:fill="BDD7EE"/>
            <w:vAlign w:val="center"/>
          </w:tcPr>
          <w:p w14:paraId="0EDEAFEB" w14:textId="77777777" w:rsidR="00025543" w:rsidRDefault="007E3A2F">
            <w:pPr>
              <w:pStyle w:val="P68B1DB1-Normal12"/>
              <w:spacing w:line="240" w:lineRule="auto"/>
              <w:jc w:val="center"/>
              <w:rPr>
                <w:noProof/>
              </w:rPr>
            </w:pPr>
            <w:r>
              <w:rPr>
                <w:rFonts w:eastAsia="Times New Roman"/>
                <w:b/>
                <w:noProof/>
              </w:rPr>
              <w:t>Indicateurs quantitatifs</w:t>
            </w:r>
            <w:r>
              <w:rPr>
                <w:noProof/>
              </w:rPr>
              <w:br/>
            </w:r>
            <w:r>
              <w:rPr>
                <w:rFonts w:eastAsia="Times New Roman"/>
                <w:b/>
                <w:noProof/>
              </w:rPr>
              <w:t xml:space="preserve"> (pour les objectifs)</w:t>
            </w:r>
          </w:p>
        </w:tc>
        <w:tc>
          <w:tcPr>
            <w:tcW w:w="1458" w:type="dxa"/>
            <w:gridSpan w:val="2"/>
            <w:tcBorders>
              <w:top w:val="single" w:sz="8" w:space="0" w:color="auto"/>
              <w:left w:val="nil"/>
              <w:bottom w:val="single" w:sz="8" w:space="0" w:color="auto"/>
              <w:right w:val="single" w:sz="4" w:space="0" w:color="auto"/>
            </w:tcBorders>
            <w:shd w:val="clear" w:color="auto" w:fill="BDD7EE"/>
            <w:vAlign w:val="center"/>
          </w:tcPr>
          <w:p w14:paraId="100F8D96" w14:textId="77777777" w:rsidR="00025543" w:rsidRDefault="007E3A2F">
            <w:pPr>
              <w:pStyle w:val="P68B1DB1-Normal9"/>
              <w:spacing w:line="240" w:lineRule="auto"/>
              <w:jc w:val="center"/>
              <w:rPr>
                <w:noProof/>
              </w:rPr>
            </w:pPr>
            <w:r>
              <w:rPr>
                <w:noProof/>
              </w:rPr>
              <w:t xml:space="preserve">Calendrier indicatif de réalisation </w:t>
            </w:r>
          </w:p>
        </w:tc>
        <w:tc>
          <w:tcPr>
            <w:tcW w:w="4745" w:type="dxa"/>
            <w:vMerge w:val="restart"/>
            <w:tcBorders>
              <w:top w:val="single" w:sz="4" w:space="0" w:color="auto"/>
              <w:left w:val="single" w:sz="4" w:space="0" w:color="auto"/>
              <w:bottom w:val="single" w:sz="4" w:space="0" w:color="auto"/>
              <w:right w:val="single" w:sz="4" w:space="0" w:color="auto"/>
            </w:tcBorders>
            <w:shd w:val="clear" w:color="auto" w:fill="BDD7EE"/>
            <w:vAlign w:val="center"/>
          </w:tcPr>
          <w:p w14:paraId="3FB76459" w14:textId="77777777" w:rsidR="00025543" w:rsidRDefault="007E3A2F">
            <w:pPr>
              <w:pStyle w:val="P68B1DB1-Normal9"/>
              <w:spacing w:line="240" w:lineRule="auto"/>
              <w:jc w:val="center"/>
              <w:rPr>
                <w:noProof/>
              </w:rPr>
            </w:pPr>
            <w:r>
              <w:rPr>
                <w:noProof/>
              </w:rPr>
              <w:t>Description et définition claire de chaque jalon et cible</w:t>
            </w:r>
          </w:p>
        </w:tc>
      </w:tr>
      <w:tr w:rsidR="00025543" w14:paraId="5315719D" w14:textId="77777777">
        <w:trPr>
          <w:trHeight w:val="173"/>
          <w:tblHeader/>
          <w:jc w:val="center"/>
        </w:trPr>
        <w:tc>
          <w:tcPr>
            <w:tcW w:w="675" w:type="dxa"/>
            <w:vMerge/>
            <w:tcBorders>
              <w:top w:val="single" w:sz="4" w:space="0" w:color="auto"/>
              <w:left w:val="single" w:sz="4" w:space="0" w:color="auto"/>
              <w:bottom w:val="single" w:sz="4" w:space="0" w:color="auto"/>
              <w:right w:val="single" w:sz="4" w:space="0" w:color="auto"/>
            </w:tcBorders>
            <w:vAlign w:val="center"/>
          </w:tcPr>
          <w:p w14:paraId="5B41036B" w14:textId="77777777" w:rsidR="00025543" w:rsidRDefault="00025543">
            <w:pPr>
              <w:spacing w:line="240" w:lineRule="auto"/>
              <w:jc w:val="center"/>
              <w:rPr>
                <w:noProof/>
                <w:sz w:val="16"/>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682D077F" w14:textId="77777777" w:rsidR="00025543" w:rsidRDefault="00025543">
            <w:pPr>
              <w:spacing w:line="240" w:lineRule="auto"/>
              <w:jc w:val="center"/>
              <w:rPr>
                <w:noProof/>
                <w:sz w:val="16"/>
              </w:rPr>
            </w:pPr>
          </w:p>
        </w:tc>
        <w:tc>
          <w:tcPr>
            <w:tcW w:w="1077" w:type="dxa"/>
            <w:vMerge/>
            <w:tcBorders>
              <w:left w:val="single" w:sz="4" w:space="0" w:color="auto"/>
              <w:right w:val="single" w:sz="4" w:space="0" w:color="auto"/>
            </w:tcBorders>
            <w:vAlign w:val="center"/>
          </w:tcPr>
          <w:p w14:paraId="228574FF" w14:textId="77777777" w:rsidR="00025543" w:rsidRDefault="00025543">
            <w:pPr>
              <w:spacing w:line="240" w:lineRule="auto"/>
              <w:jc w:val="center"/>
              <w:rPr>
                <w:noProof/>
                <w:sz w:val="16"/>
              </w:rPr>
            </w:pPr>
          </w:p>
        </w:tc>
        <w:tc>
          <w:tcPr>
            <w:tcW w:w="1307" w:type="dxa"/>
            <w:vMerge/>
            <w:tcBorders>
              <w:top w:val="single" w:sz="4" w:space="0" w:color="auto"/>
              <w:left w:val="single" w:sz="4" w:space="0" w:color="auto"/>
              <w:bottom w:val="single" w:sz="4" w:space="0" w:color="auto"/>
              <w:right w:val="single" w:sz="4" w:space="0" w:color="auto"/>
            </w:tcBorders>
            <w:vAlign w:val="center"/>
          </w:tcPr>
          <w:p w14:paraId="74E616A7" w14:textId="77777777" w:rsidR="00025543" w:rsidRDefault="00025543">
            <w:pPr>
              <w:spacing w:line="240" w:lineRule="auto"/>
              <w:jc w:val="center"/>
              <w:rPr>
                <w:noProof/>
                <w:sz w:val="16"/>
              </w:rPr>
            </w:pPr>
          </w:p>
        </w:tc>
        <w:tc>
          <w:tcPr>
            <w:tcW w:w="1701" w:type="dxa"/>
            <w:vMerge/>
            <w:tcBorders>
              <w:left w:val="single" w:sz="4" w:space="0" w:color="auto"/>
            </w:tcBorders>
            <w:vAlign w:val="center"/>
          </w:tcPr>
          <w:p w14:paraId="39FFF177" w14:textId="77777777" w:rsidR="00025543" w:rsidRDefault="00025543">
            <w:pPr>
              <w:spacing w:line="240" w:lineRule="auto"/>
              <w:jc w:val="center"/>
              <w:rPr>
                <w:noProof/>
                <w:sz w:val="16"/>
              </w:rPr>
            </w:pPr>
          </w:p>
        </w:tc>
        <w:tc>
          <w:tcPr>
            <w:tcW w:w="1077" w:type="dxa"/>
            <w:tcBorders>
              <w:top w:val="single" w:sz="8" w:space="0" w:color="auto"/>
              <w:left w:val="single" w:sz="8" w:space="0" w:color="auto"/>
              <w:bottom w:val="single" w:sz="8" w:space="0" w:color="auto"/>
              <w:right w:val="single" w:sz="8" w:space="0" w:color="000000" w:themeColor="text1"/>
            </w:tcBorders>
            <w:shd w:val="clear" w:color="auto" w:fill="BDD7EE"/>
            <w:vAlign w:val="center"/>
          </w:tcPr>
          <w:p w14:paraId="2ADF322E" w14:textId="77777777" w:rsidR="00025543" w:rsidRDefault="007E3A2F">
            <w:pPr>
              <w:pStyle w:val="P68B1DB1-Normal9"/>
              <w:spacing w:line="240" w:lineRule="auto"/>
              <w:jc w:val="center"/>
              <w:rPr>
                <w:noProof/>
              </w:rPr>
            </w:pPr>
            <w:r>
              <w:rPr>
                <w:noProof/>
              </w:rPr>
              <w:t>Unité de mesure</w:t>
            </w:r>
          </w:p>
        </w:tc>
        <w:tc>
          <w:tcPr>
            <w:tcW w:w="1077" w:type="dxa"/>
            <w:tcBorders>
              <w:top w:val="nil"/>
              <w:left w:val="single" w:sz="8" w:space="0" w:color="auto"/>
              <w:bottom w:val="single" w:sz="8" w:space="0" w:color="auto"/>
              <w:right w:val="single" w:sz="8" w:space="0" w:color="auto"/>
            </w:tcBorders>
            <w:shd w:val="clear" w:color="auto" w:fill="BDD7EE"/>
            <w:vAlign w:val="center"/>
          </w:tcPr>
          <w:p w14:paraId="4F94E148" w14:textId="77777777" w:rsidR="00025543" w:rsidRDefault="007E3A2F">
            <w:pPr>
              <w:pStyle w:val="P68B1DB1-Normal9"/>
              <w:spacing w:line="240" w:lineRule="auto"/>
              <w:jc w:val="center"/>
              <w:rPr>
                <w:noProof/>
              </w:rPr>
            </w:pPr>
            <w:r>
              <w:rPr>
                <w:noProof/>
              </w:rPr>
              <w:t>Scénario de référence</w:t>
            </w:r>
          </w:p>
        </w:tc>
        <w:tc>
          <w:tcPr>
            <w:tcW w:w="1077" w:type="dxa"/>
            <w:tcBorders>
              <w:top w:val="nil"/>
              <w:left w:val="single" w:sz="8" w:space="0" w:color="auto"/>
              <w:bottom w:val="single" w:sz="8" w:space="0" w:color="auto"/>
              <w:right w:val="single" w:sz="8" w:space="0" w:color="000000" w:themeColor="text1"/>
            </w:tcBorders>
            <w:shd w:val="clear" w:color="auto" w:fill="BDD7EE"/>
            <w:vAlign w:val="center"/>
          </w:tcPr>
          <w:p w14:paraId="1D936771" w14:textId="77777777" w:rsidR="00025543" w:rsidRDefault="007E3A2F">
            <w:pPr>
              <w:pStyle w:val="P68B1DB1-Normal9"/>
              <w:spacing w:line="240" w:lineRule="auto"/>
              <w:jc w:val="center"/>
              <w:rPr>
                <w:noProof/>
              </w:rPr>
            </w:pPr>
            <w:r>
              <w:rPr>
                <w:noProof/>
              </w:rPr>
              <w:t>Objectif</w:t>
            </w:r>
          </w:p>
        </w:tc>
        <w:tc>
          <w:tcPr>
            <w:tcW w:w="850" w:type="dxa"/>
            <w:tcBorders>
              <w:top w:val="single" w:sz="8" w:space="0" w:color="auto"/>
              <w:left w:val="single" w:sz="8" w:space="0" w:color="auto"/>
              <w:bottom w:val="single" w:sz="8" w:space="0" w:color="auto"/>
              <w:right w:val="single" w:sz="8" w:space="0" w:color="000000" w:themeColor="text1"/>
            </w:tcBorders>
            <w:shd w:val="clear" w:color="auto" w:fill="BDD7EE"/>
            <w:vAlign w:val="center"/>
          </w:tcPr>
          <w:p w14:paraId="3AF41D30" w14:textId="77777777" w:rsidR="00025543" w:rsidRDefault="007E3A2F">
            <w:pPr>
              <w:pStyle w:val="P68B1DB1-Normal9"/>
              <w:spacing w:line="240" w:lineRule="auto"/>
              <w:jc w:val="center"/>
              <w:rPr>
                <w:noProof/>
              </w:rPr>
            </w:pPr>
            <w:r>
              <w:rPr>
                <w:noProof/>
              </w:rPr>
              <w:t>Trimestre</w:t>
            </w:r>
          </w:p>
        </w:tc>
        <w:tc>
          <w:tcPr>
            <w:tcW w:w="608" w:type="dxa"/>
            <w:tcBorders>
              <w:top w:val="nil"/>
              <w:left w:val="single" w:sz="8" w:space="0" w:color="auto"/>
              <w:bottom w:val="single" w:sz="8" w:space="0" w:color="auto"/>
              <w:right w:val="single" w:sz="4" w:space="0" w:color="auto"/>
            </w:tcBorders>
            <w:shd w:val="clear" w:color="auto" w:fill="BDD7EE"/>
            <w:vAlign w:val="center"/>
          </w:tcPr>
          <w:p w14:paraId="42108AB0" w14:textId="77777777" w:rsidR="00025543" w:rsidRDefault="007E3A2F">
            <w:pPr>
              <w:pStyle w:val="P68B1DB1-Normal9"/>
              <w:spacing w:line="240" w:lineRule="auto"/>
              <w:jc w:val="center"/>
              <w:rPr>
                <w:noProof/>
              </w:rPr>
            </w:pPr>
            <w:r>
              <w:rPr>
                <w:noProof/>
              </w:rPr>
              <w:t>Année</w:t>
            </w:r>
          </w:p>
        </w:tc>
        <w:tc>
          <w:tcPr>
            <w:tcW w:w="4745" w:type="dxa"/>
            <w:vMerge/>
            <w:tcBorders>
              <w:bottom w:val="single" w:sz="4" w:space="0" w:color="auto"/>
              <w:right w:val="single" w:sz="4" w:space="0" w:color="auto"/>
            </w:tcBorders>
            <w:vAlign w:val="center"/>
          </w:tcPr>
          <w:p w14:paraId="0FA54A06" w14:textId="77777777" w:rsidR="00025543" w:rsidRDefault="00025543">
            <w:pPr>
              <w:spacing w:line="240" w:lineRule="auto"/>
              <w:jc w:val="center"/>
              <w:rPr>
                <w:noProof/>
                <w:sz w:val="16"/>
              </w:rPr>
            </w:pPr>
          </w:p>
        </w:tc>
      </w:tr>
      <w:tr w:rsidR="00025543" w14:paraId="7147F639" w14:textId="77777777">
        <w:trPr>
          <w:trHeight w:val="1845"/>
          <w:jc w:val="center"/>
        </w:trPr>
        <w:tc>
          <w:tcPr>
            <w:tcW w:w="675" w:type="dxa"/>
            <w:tcBorders>
              <w:top w:val="single" w:sz="4" w:space="0" w:color="auto"/>
              <w:left w:val="single" w:sz="8" w:space="0" w:color="auto"/>
              <w:bottom w:val="single" w:sz="8" w:space="0" w:color="auto"/>
              <w:right w:val="single" w:sz="8" w:space="0" w:color="auto"/>
            </w:tcBorders>
            <w:shd w:val="clear" w:color="auto" w:fill="C6EFCE"/>
            <w:vAlign w:val="center"/>
          </w:tcPr>
          <w:p w14:paraId="78B47F08" w14:textId="77777777" w:rsidR="00025543" w:rsidRDefault="007E3A2F">
            <w:pPr>
              <w:pStyle w:val="P68B1DB1-Normal28"/>
              <w:spacing w:line="240" w:lineRule="auto"/>
              <w:jc w:val="center"/>
              <w:rPr>
                <w:noProof/>
              </w:rPr>
            </w:pPr>
            <w:r>
              <w:rPr>
                <w:noProof/>
              </w:rPr>
              <w:t>231</w:t>
            </w:r>
          </w:p>
        </w:tc>
        <w:tc>
          <w:tcPr>
            <w:tcW w:w="1418" w:type="dxa"/>
            <w:tcBorders>
              <w:top w:val="single" w:sz="4" w:space="0" w:color="auto"/>
              <w:left w:val="single" w:sz="8" w:space="0" w:color="auto"/>
              <w:bottom w:val="single" w:sz="8" w:space="0" w:color="auto"/>
              <w:right w:val="single" w:sz="8" w:space="0" w:color="auto"/>
            </w:tcBorders>
            <w:shd w:val="clear" w:color="auto" w:fill="C6EFCE"/>
            <w:vAlign w:val="center"/>
          </w:tcPr>
          <w:p w14:paraId="3F7A3E6E" w14:textId="77777777" w:rsidR="00025543" w:rsidRDefault="007E3A2F">
            <w:pPr>
              <w:pStyle w:val="P68B1DB1-Normal28"/>
              <w:spacing w:line="240" w:lineRule="auto"/>
              <w:rPr>
                <w:noProof/>
              </w:rPr>
            </w:pPr>
            <w:r>
              <w:rPr>
                <w:noProof/>
              </w:rPr>
              <w:t xml:space="preserve">Réforme 1: Amélioration de l’éducation des professionnels de la santé </w:t>
            </w:r>
          </w:p>
        </w:tc>
        <w:tc>
          <w:tcPr>
            <w:tcW w:w="1077" w:type="dxa"/>
            <w:tcBorders>
              <w:top w:val="single" w:sz="4" w:space="0" w:color="auto"/>
              <w:left w:val="single" w:sz="8" w:space="0" w:color="auto"/>
              <w:bottom w:val="single" w:sz="8" w:space="0" w:color="auto"/>
              <w:right w:val="single" w:sz="8" w:space="0" w:color="auto"/>
            </w:tcBorders>
            <w:shd w:val="clear" w:color="auto" w:fill="C6EFCE"/>
            <w:vAlign w:val="center"/>
          </w:tcPr>
          <w:p w14:paraId="4FB9EAC9" w14:textId="77777777" w:rsidR="00025543" w:rsidRDefault="007E3A2F">
            <w:pPr>
              <w:pStyle w:val="P68B1DB1-Normal28"/>
              <w:spacing w:line="240" w:lineRule="auto"/>
              <w:rPr>
                <w:noProof/>
              </w:rPr>
            </w:pPr>
            <w:r>
              <w:rPr>
                <w:noProof/>
              </w:rPr>
              <w:t>Étapes</w:t>
            </w:r>
          </w:p>
        </w:tc>
        <w:tc>
          <w:tcPr>
            <w:tcW w:w="1307" w:type="dxa"/>
            <w:tcBorders>
              <w:top w:val="single" w:sz="4" w:space="0" w:color="auto"/>
              <w:left w:val="single" w:sz="8" w:space="0" w:color="auto"/>
              <w:bottom w:val="single" w:sz="8" w:space="0" w:color="auto"/>
              <w:right w:val="single" w:sz="8" w:space="0" w:color="auto"/>
            </w:tcBorders>
            <w:shd w:val="clear" w:color="auto" w:fill="C6EFCE"/>
            <w:vAlign w:val="center"/>
          </w:tcPr>
          <w:p w14:paraId="2A70FF48" w14:textId="77777777" w:rsidR="00025543" w:rsidRDefault="007E3A2F">
            <w:pPr>
              <w:pStyle w:val="P68B1DB1-Normal28"/>
              <w:spacing w:line="240" w:lineRule="auto"/>
              <w:rPr>
                <w:noProof/>
              </w:rPr>
            </w:pPr>
            <w:r>
              <w:rPr>
                <w:noProof/>
              </w:rPr>
              <w:t>Système électronique de gestion, d’administration et d’évaluation de la formation des professionnels de la santé</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bottom"/>
          </w:tcPr>
          <w:p w14:paraId="4BFE33F7" w14:textId="77777777" w:rsidR="00025543" w:rsidRDefault="007E3A2F">
            <w:pPr>
              <w:pStyle w:val="P68B1DB1-Normal28"/>
              <w:spacing w:line="240" w:lineRule="auto"/>
              <w:rPr>
                <w:noProof/>
              </w:rPr>
            </w:pPr>
            <w:r>
              <w:rPr>
                <w:noProof/>
              </w:rPr>
              <w:t xml:space="preserve">Mise en place d’une plateforme de base pour le système électronique de gestion, d’administration et d’évaluation de l’éducation des professionnels de la santé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721C5728" w14:textId="77777777" w:rsidR="00025543" w:rsidRDefault="00025543">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44487DDC" w14:textId="77777777" w:rsidR="00025543" w:rsidRDefault="00025543">
            <w:pPr>
              <w:spacing w:line="240" w:lineRule="auto"/>
              <w:jc w:val="center"/>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C114328" w14:textId="77777777" w:rsidR="00025543" w:rsidRDefault="00025543">
            <w:pPr>
              <w:spacing w:line="240" w:lineRule="auto"/>
              <w:jc w:val="center"/>
              <w:rPr>
                <w:noProof/>
                <w:color w:val="006100"/>
                <w:sz w:val="18"/>
              </w:rPr>
            </w:pP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2D4A0E07" w14:textId="77777777" w:rsidR="00025543" w:rsidRDefault="007E3A2F">
            <w:pPr>
              <w:pStyle w:val="P68B1DB1-Normal28"/>
              <w:spacing w:line="240" w:lineRule="auto"/>
              <w:jc w:val="center"/>
              <w:rPr>
                <w:noProof/>
              </w:rPr>
            </w:pPr>
            <w:r>
              <w:rPr>
                <w:noProof/>
              </w:rPr>
              <w:t>TRIMESTRE 2</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0D08FABD" w14:textId="77777777" w:rsidR="00025543" w:rsidRDefault="007E3A2F">
            <w:pPr>
              <w:pStyle w:val="P68B1DB1-Normal28"/>
              <w:spacing w:line="240" w:lineRule="auto"/>
              <w:jc w:val="center"/>
              <w:rPr>
                <w:noProof/>
              </w:rPr>
            </w:pPr>
            <w:r>
              <w:rPr>
                <w:noProof/>
              </w:rPr>
              <w:t>2024</w:t>
            </w:r>
          </w:p>
        </w:tc>
        <w:tc>
          <w:tcPr>
            <w:tcW w:w="4745" w:type="dxa"/>
            <w:tcBorders>
              <w:top w:val="single" w:sz="4" w:space="0" w:color="auto"/>
              <w:left w:val="single" w:sz="8" w:space="0" w:color="auto"/>
              <w:bottom w:val="single" w:sz="8" w:space="0" w:color="auto"/>
              <w:right w:val="single" w:sz="8" w:space="0" w:color="auto"/>
            </w:tcBorders>
            <w:shd w:val="clear" w:color="auto" w:fill="C6EFCE"/>
            <w:vAlign w:val="center"/>
          </w:tcPr>
          <w:p w14:paraId="2C87D01F" w14:textId="77777777" w:rsidR="00025543" w:rsidRDefault="007E3A2F">
            <w:pPr>
              <w:pStyle w:val="P68B1DB1-Normal28"/>
              <w:spacing w:after="0" w:line="259" w:lineRule="auto"/>
              <w:contextualSpacing/>
              <w:rPr>
                <w:noProof/>
              </w:rPr>
            </w:pPr>
            <w:r>
              <w:rPr>
                <w:noProof/>
              </w:rPr>
              <w:t xml:space="preserve">Création d’une plateforme de base par le ministère de la santé pour le nouveau système électronique de gestion, d’administration et d’évaluation de l’éducation des professionnels de la santé. Le système électronique sera développé et complété par des modules en fonction des besoins en matière d’éducation. </w:t>
            </w:r>
          </w:p>
        </w:tc>
      </w:tr>
      <w:tr w:rsidR="00025543" w14:paraId="40E2CB0E"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70BDD50D" w14:textId="77777777" w:rsidR="00025543" w:rsidRDefault="007E3A2F">
            <w:pPr>
              <w:pStyle w:val="P68B1DB1-Normal28"/>
              <w:spacing w:line="240" w:lineRule="auto"/>
              <w:jc w:val="center"/>
              <w:rPr>
                <w:noProof/>
              </w:rPr>
            </w:pPr>
            <w:r>
              <w:rPr>
                <w:noProof/>
              </w:rPr>
              <w:t>232</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3DA346BD" w14:textId="77777777" w:rsidR="00025543" w:rsidRDefault="007E3A2F">
            <w:pPr>
              <w:pStyle w:val="P68B1DB1-Normal28"/>
              <w:spacing w:line="240" w:lineRule="auto"/>
              <w:rPr>
                <w:noProof/>
              </w:rPr>
            </w:pPr>
            <w:r>
              <w:rPr>
                <w:noProof/>
              </w:rPr>
              <w:t>Investissement 1: Création du centre intensif de simulation de médicaments et optimisation du système éducatif</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BDD939B" w14:textId="77777777" w:rsidR="00025543" w:rsidRDefault="007E3A2F">
            <w:pPr>
              <w:pStyle w:val="P68B1DB1-Normal28"/>
              <w:spacing w:line="240" w:lineRule="auto"/>
              <w:rPr>
                <w:noProof/>
              </w:rPr>
            </w:pPr>
            <w:r>
              <w:rPr>
                <w:noProof/>
              </w:rPr>
              <w:t>Étapes</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3E747E12" w14:textId="77777777" w:rsidR="00025543" w:rsidRDefault="007E3A2F">
            <w:pPr>
              <w:pStyle w:val="P68B1DB1-Normal11"/>
              <w:spacing w:line="240" w:lineRule="auto"/>
              <w:rPr>
                <w:noProof/>
              </w:rPr>
            </w:pPr>
            <w:r>
              <w:rPr>
                <w:noProof/>
              </w:rPr>
              <w:t xml:space="preserve">Appel d’offres pour la construction du centre de simulation de médicaments intensifs </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14:paraId="16154D70" w14:textId="77777777" w:rsidR="00025543" w:rsidRDefault="007E3A2F">
            <w:pPr>
              <w:pStyle w:val="P68B1DB1-Normal11"/>
              <w:spacing w:line="240" w:lineRule="auto"/>
              <w:rPr>
                <w:noProof/>
              </w:rPr>
            </w:pPr>
            <w:r>
              <w:rPr>
                <w:noProof/>
              </w:rPr>
              <w:t>Notification de l’attribution de l’appel d’offres ouvert et public au contractant</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4A486D72" w14:textId="77777777" w:rsidR="00025543" w:rsidRDefault="00025543">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79B8B40" w14:textId="77777777" w:rsidR="00025543" w:rsidRDefault="00025543">
            <w:pPr>
              <w:spacing w:line="240" w:lineRule="auto"/>
              <w:jc w:val="center"/>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539F21E" w14:textId="77777777" w:rsidR="00025543" w:rsidRDefault="00025543">
            <w:pPr>
              <w:spacing w:line="240" w:lineRule="auto"/>
              <w:jc w:val="center"/>
              <w:rPr>
                <w:noProof/>
                <w:color w:val="006100"/>
                <w:sz w:val="18"/>
              </w:rPr>
            </w:pP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1B0A108A" w14:textId="77777777" w:rsidR="00025543" w:rsidRDefault="007E3A2F">
            <w:pPr>
              <w:pStyle w:val="P68B1DB1-Normal28"/>
              <w:spacing w:line="240" w:lineRule="auto"/>
              <w:jc w:val="center"/>
              <w:rPr>
                <w:noProof/>
              </w:rPr>
            </w:pPr>
            <w:r>
              <w:rPr>
                <w:noProof/>
              </w:rPr>
              <w:t>TRIMESTRE 4</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6C2934FA" w14:textId="77777777" w:rsidR="00025543" w:rsidRDefault="007E3A2F">
            <w:pPr>
              <w:pStyle w:val="P68B1DB1-Normal28"/>
              <w:spacing w:line="240" w:lineRule="auto"/>
              <w:jc w:val="center"/>
              <w:rPr>
                <w:noProof/>
              </w:rPr>
            </w:pPr>
            <w:r>
              <w:rPr>
                <w:noProof/>
              </w:rPr>
              <w:t>2022</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03E25987" w14:textId="77777777" w:rsidR="00025543" w:rsidRDefault="007E3A2F">
            <w:pPr>
              <w:pStyle w:val="P68B1DB1-Normal28"/>
              <w:spacing w:line="240" w:lineRule="auto"/>
              <w:rPr>
                <w:noProof/>
              </w:rPr>
            </w:pPr>
            <w:r>
              <w:rPr>
                <w:noProof/>
              </w:rPr>
              <w:t xml:space="preserve">Notification de l’attribution du marché public pour la construction du centre de simulation de médecine intensive, qui fournira une formation aux professionnels de la santé dans un large éventail de domaines médicaux: </w:t>
            </w:r>
          </w:p>
          <w:p w14:paraId="1D914984" w14:textId="77777777" w:rsidR="00025543" w:rsidRDefault="007E3A2F">
            <w:pPr>
              <w:pStyle w:val="P68B1DB1-Normal28"/>
              <w:numPr>
                <w:ilvl w:val="0"/>
                <w:numId w:val="192"/>
              </w:numPr>
              <w:spacing w:before="0" w:after="0" w:line="240" w:lineRule="auto"/>
              <w:contextualSpacing/>
              <w:rPr>
                <w:noProof/>
              </w:rPr>
            </w:pPr>
            <w:r>
              <w:rPr>
                <w:noProof/>
              </w:rPr>
              <w:t xml:space="preserve">Anesthésiologie et réanimation </w:t>
            </w:r>
          </w:p>
          <w:p w14:paraId="69BE0CA4" w14:textId="77777777" w:rsidR="00025543" w:rsidRDefault="007E3A2F">
            <w:pPr>
              <w:pStyle w:val="P68B1DB1-Normal28"/>
              <w:numPr>
                <w:ilvl w:val="0"/>
                <w:numId w:val="192"/>
              </w:numPr>
              <w:spacing w:before="0" w:after="0" w:line="240" w:lineRule="auto"/>
              <w:contextualSpacing/>
              <w:rPr>
                <w:noProof/>
              </w:rPr>
            </w:pPr>
            <w:r>
              <w:rPr>
                <w:noProof/>
              </w:rPr>
              <w:t>Autres formations aux compétences médicales et non médicales liées aux situations d’urgence</w:t>
            </w:r>
          </w:p>
          <w:p w14:paraId="3AF7D88E" w14:textId="77777777" w:rsidR="00025543" w:rsidRDefault="007E3A2F">
            <w:pPr>
              <w:pStyle w:val="P68B1DB1-Normal28"/>
              <w:numPr>
                <w:ilvl w:val="0"/>
                <w:numId w:val="192"/>
              </w:numPr>
              <w:spacing w:before="0" w:after="0" w:line="240" w:lineRule="auto"/>
              <w:contextualSpacing/>
              <w:rPr>
                <w:noProof/>
              </w:rPr>
            </w:pPr>
            <w:r>
              <w:rPr>
                <w:noProof/>
              </w:rPr>
              <w:t xml:space="preserve">Soins préhospitaliers et ambulances </w:t>
            </w:r>
          </w:p>
          <w:p w14:paraId="513B856B" w14:textId="77777777" w:rsidR="00025543" w:rsidRDefault="007E3A2F">
            <w:pPr>
              <w:pStyle w:val="P68B1DB1-Normal28"/>
              <w:numPr>
                <w:ilvl w:val="0"/>
                <w:numId w:val="192"/>
              </w:numPr>
              <w:spacing w:before="0" w:after="0" w:line="240" w:lineRule="auto"/>
              <w:contextualSpacing/>
              <w:rPr>
                <w:noProof/>
              </w:rPr>
            </w:pPr>
            <w:r>
              <w:rPr>
                <w:noProof/>
              </w:rPr>
              <w:t xml:space="preserve">Admission urgente </w:t>
            </w:r>
          </w:p>
          <w:p w14:paraId="737A3ECC" w14:textId="77777777" w:rsidR="00025543" w:rsidRDefault="007E3A2F">
            <w:pPr>
              <w:pStyle w:val="P68B1DB1-Normal28"/>
              <w:numPr>
                <w:ilvl w:val="0"/>
                <w:numId w:val="192"/>
              </w:numPr>
              <w:spacing w:before="0" w:after="0" w:line="240" w:lineRule="auto"/>
              <w:contextualSpacing/>
              <w:rPr>
                <w:noProof/>
              </w:rPr>
            </w:pPr>
            <w:r>
              <w:rPr>
                <w:noProof/>
              </w:rPr>
              <w:t>Unités de soins intensifs et salle opérationnelle polyvalente</w:t>
            </w:r>
          </w:p>
          <w:p w14:paraId="33C80BA6" w14:textId="77777777" w:rsidR="00025543" w:rsidRDefault="007E3A2F">
            <w:pPr>
              <w:pStyle w:val="P68B1DB1-Normal28"/>
              <w:numPr>
                <w:ilvl w:val="0"/>
                <w:numId w:val="192"/>
              </w:numPr>
              <w:spacing w:before="0" w:after="0" w:line="240" w:lineRule="auto"/>
              <w:contextualSpacing/>
              <w:rPr>
                <w:noProof/>
              </w:rPr>
            </w:pPr>
            <w:r>
              <w:rPr>
                <w:noProof/>
              </w:rPr>
              <w:t xml:space="preserve">Système de secours intégré </w:t>
            </w:r>
          </w:p>
          <w:p w14:paraId="1C73BCBE" w14:textId="77777777" w:rsidR="00025543" w:rsidRDefault="007E3A2F">
            <w:pPr>
              <w:pStyle w:val="P68B1DB1-Normal28"/>
              <w:numPr>
                <w:ilvl w:val="0"/>
                <w:numId w:val="192"/>
              </w:numPr>
              <w:spacing w:before="0" w:after="0" w:line="240" w:lineRule="auto"/>
              <w:contextualSpacing/>
              <w:rPr>
                <w:noProof/>
              </w:rPr>
            </w:pPr>
            <w:r>
              <w:rPr>
                <w:noProof/>
              </w:rPr>
              <w:t>Compétences non techniques — communication en équipe, communication de crise, leadership.</w:t>
            </w:r>
          </w:p>
          <w:p w14:paraId="1F1C8BE8" w14:textId="77777777" w:rsidR="00025543" w:rsidRDefault="00025543">
            <w:pPr>
              <w:spacing w:before="0" w:after="0" w:line="259" w:lineRule="auto"/>
              <w:rPr>
                <w:noProof/>
                <w:color w:val="006100"/>
                <w:sz w:val="18"/>
              </w:rPr>
            </w:pPr>
          </w:p>
          <w:p w14:paraId="253016AE" w14:textId="77777777" w:rsidR="00025543" w:rsidRDefault="007E3A2F">
            <w:pPr>
              <w:pStyle w:val="P68B1DB1-Normal28"/>
              <w:spacing w:before="0" w:after="0" w:line="259" w:lineRule="auto"/>
              <w:rPr>
                <w:noProof/>
              </w:rPr>
            </w:pPr>
            <w:r>
              <w:rPr>
                <w:noProof/>
              </w:rPr>
              <w:t xml:space="preserve">Le contractant est sélectionné par voie d’appels d’offres ouverts et publics. Une évaluation des besoins est effectuée avant le lancement de l’appel d’offres. </w:t>
            </w:r>
          </w:p>
        </w:tc>
      </w:tr>
      <w:tr w:rsidR="00025543" w14:paraId="44DCBEF2" w14:textId="77777777">
        <w:trPr>
          <w:trHeight w:val="461"/>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5794BA9E" w14:textId="77777777" w:rsidR="00025543" w:rsidRDefault="007E3A2F">
            <w:pPr>
              <w:pStyle w:val="P68B1DB1-Normal28"/>
              <w:spacing w:line="240" w:lineRule="auto"/>
              <w:jc w:val="center"/>
              <w:rPr>
                <w:noProof/>
              </w:rPr>
            </w:pPr>
            <w:r>
              <w:rPr>
                <w:noProof/>
              </w:rPr>
              <w:t>233</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7FC813C4" w14:textId="77777777" w:rsidR="00025543" w:rsidRDefault="007E3A2F">
            <w:pPr>
              <w:pStyle w:val="P68B1DB1-Normal28"/>
              <w:spacing w:line="240" w:lineRule="auto"/>
              <w:rPr>
                <w:noProof/>
              </w:rPr>
            </w:pPr>
            <w:r>
              <w:rPr>
                <w:noProof/>
              </w:rPr>
              <w:t>Investissement 1: Création du centre intensif de simulation de médicaments et optimisation du système éducatif</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9AB3446" w14:textId="77777777" w:rsidR="00025543" w:rsidRDefault="007E3A2F">
            <w:pPr>
              <w:pStyle w:val="P68B1DB1-Normal28"/>
              <w:spacing w:line="240" w:lineRule="auto"/>
              <w:rPr>
                <w:noProof/>
              </w:rPr>
            </w:pPr>
            <w:r>
              <w:rPr>
                <w:noProof/>
              </w:rPr>
              <w:t>Étapes</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780134D2" w14:textId="77777777" w:rsidR="00025543" w:rsidRDefault="007E3A2F">
            <w:pPr>
              <w:pStyle w:val="P68B1DB1-Normal28"/>
              <w:spacing w:line="240" w:lineRule="auto"/>
              <w:rPr>
                <w:noProof/>
              </w:rPr>
            </w:pPr>
            <w:r>
              <w:rPr>
                <w:noProof/>
              </w:rPr>
              <w:t xml:space="preserve">Centre de simulation de médecine intensive mis en service </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14:paraId="615462DC" w14:textId="77777777" w:rsidR="00025543" w:rsidRDefault="007E3A2F">
            <w:pPr>
              <w:pStyle w:val="P68B1DB1-Normal28"/>
              <w:spacing w:line="240" w:lineRule="auto"/>
              <w:rPr>
                <w:noProof/>
              </w:rPr>
            </w:pPr>
            <w:r>
              <w:rPr>
                <w:noProof/>
              </w:rPr>
              <w:t>Centre de simulation de médecine intensive construit, entièrement équipé et mis en service</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7D617473" w14:textId="77777777" w:rsidR="00025543" w:rsidRDefault="00025543">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1EBD5A83" w14:textId="77777777" w:rsidR="00025543" w:rsidRDefault="00025543">
            <w:pPr>
              <w:spacing w:line="240" w:lineRule="auto"/>
              <w:jc w:val="center"/>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61461B72" w14:textId="77777777" w:rsidR="00025543" w:rsidRDefault="00025543">
            <w:pPr>
              <w:spacing w:line="240" w:lineRule="auto"/>
              <w:jc w:val="center"/>
              <w:rPr>
                <w:noProof/>
                <w:color w:val="006100"/>
                <w:sz w:val="18"/>
              </w:rPr>
            </w:pP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5997C5AB" w14:textId="77777777" w:rsidR="00025543" w:rsidRDefault="007E3A2F">
            <w:pPr>
              <w:pStyle w:val="P68B1DB1-Normal28"/>
              <w:spacing w:line="240" w:lineRule="auto"/>
              <w:jc w:val="center"/>
              <w:rPr>
                <w:noProof/>
              </w:rPr>
            </w:pPr>
            <w:r>
              <w:rPr>
                <w:noProof/>
              </w:rPr>
              <w:t>TRIMESTRE 4</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2E87287C" w14:textId="77777777" w:rsidR="00025543" w:rsidRDefault="007E3A2F">
            <w:pPr>
              <w:pStyle w:val="P68B1DB1-Normal28"/>
              <w:spacing w:line="240" w:lineRule="auto"/>
              <w:jc w:val="center"/>
              <w:rPr>
                <w:noProof/>
              </w:rPr>
            </w:pPr>
            <w:r>
              <w:rPr>
                <w:noProof/>
              </w:rPr>
              <w:t>2025</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1228DE16" w14:textId="3AD853F2" w:rsidR="00025543" w:rsidRDefault="007E3A2F">
            <w:pPr>
              <w:pStyle w:val="P68B1DB1-Normal28"/>
              <w:spacing w:line="240" w:lineRule="auto"/>
              <w:rPr>
                <w:noProof/>
              </w:rPr>
            </w:pPr>
            <w:r>
              <w:rPr>
                <w:noProof/>
              </w:rPr>
              <w:t xml:space="preserve">Le centre de simulation en médecine intensive doit être construit, entièrement équipé et mis en service. La capacité devrait être suffisante pour garantir qu’au moins 1 500 professionnels de la santé soient formés dans le centre par an. </w:t>
            </w:r>
          </w:p>
        </w:tc>
      </w:tr>
      <w:tr w:rsidR="00025543" w14:paraId="2E31AB52"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6396124B" w14:textId="77777777" w:rsidR="00025543" w:rsidRDefault="007E3A2F">
            <w:pPr>
              <w:pStyle w:val="P68B1DB1-Normal28"/>
              <w:spacing w:line="240" w:lineRule="auto"/>
              <w:jc w:val="center"/>
              <w:rPr>
                <w:noProof/>
              </w:rPr>
            </w:pPr>
            <w:r>
              <w:rPr>
                <w:noProof/>
              </w:rPr>
              <w:t>234</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0F48B2EC" w14:textId="77777777" w:rsidR="00025543" w:rsidRDefault="007E3A2F">
            <w:pPr>
              <w:pStyle w:val="P68B1DB1-Normal28"/>
              <w:spacing w:line="240" w:lineRule="auto"/>
              <w:rPr>
                <w:noProof/>
              </w:rPr>
            </w:pPr>
            <w:r>
              <w:rPr>
                <w:noProof/>
              </w:rPr>
              <w:t>Investissement 2: Soins de réadaptation pour les patients qui se rétablit d’affections critiques</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7304BBE2" w14:textId="77777777" w:rsidR="00025543" w:rsidRDefault="007E3A2F">
            <w:pPr>
              <w:pStyle w:val="P68B1DB1-Normal28"/>
              <w:spacing w:line="240" w:lineRule="auto"/>
              <w:rPr>
                <w:noProof/>
              </w:rPr>
            </w:pPr>
            <w:r>
              <w:rPr>
                <w:noProof/>
              </w:rPr>
              <w:t>Cible</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17A8B721" w14:textId="77777777" w:rsidR="00025543" w:rsidRDefault="007E3A2F">
            <w:pPr>
              <w:pStyle w:val="P68B1DB1-Normal28"/>
              <w:spacing w:line="240" w:lineRule="auto"/>
              <w:rPr>
                <w:noProof/>
              </w:rPr>
            </w:pPr>
            <w:r>
              <w:rPr>
                <w:noProof/>
              </w:rPr>
              <w:t xml:space="preserve">Soutien aux soins de réadaptation </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bottom"/>
          </w:tcPr>
          <w:p w14:paraId="3E86215D" w14:textId="77777777" w:rsidR="00025543" w:rsidRDefault="00025543">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3ABAC55A" w14:textId="77777777" w:rsidR="00025543" w:rsidRDefault="007E3A2F">
            <w:pPr>
              <w:pStyle w:val="P68B1DB1-Normal28"/>
              <w:spacing w:line="240" w:lineRule="auto"/>
              <w:rPr>
                <w:noProof/>
              </w:rPr>
            </w:pPr>
            <w:r>
              <w:rPr>
                <w:noProof/>
              </w:rPr>
              <w:t xml:space="preserve"> Numéro</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A31DBFF" w14:textId="77777777" w:rsidR="00025543" w:rsidRDefault="007E3A2F">
            <w:pPr>
              <w:pStyle w:val="P68B1DB1-Normal28"/>
              <w:spacing w:line="240" w:lineRule="auto"/>
              <w:jc w:val="center"/>
              <w:rPr>
                <w:noProof/>
              </w:rPr>
            </w:pPr>
            <w:r>
              <w:rPr>
                <w:noProof/>
              </w:rPr>
              <w:t>0</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5D1985B" w14:textId="77777777" w:rsidR="00025543" w:rsidRDefault="007E3A2F">
            <w:pPr>
              <w:pStyle w:val="P68B1DB1-Normal28"/>
              <w:spacing w:line="240" w:lineRule="auto"/>
              <w:jc w:val="center"/>
              <w:rPr>
                <w:noProof/>
              </w:rPr>
            </w:pPr>
            <w:r>
              <w:rPr>
                <w:noProof/>
              </w:rPr>
              <w:t>19</w:t>
            </w: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64CEC947" w14:textId="77777777" w:rsidR="00025543" w:rsidRDefault="007E3A2F">
            <w:pPr>
              <w:pStyle w:val="P68B1DB1-Normal28"/>
              <w:spacing w:line="240" w:lineRule="auto"/>
              <w:jc w:val="center"/>
              <w:rPr>
                <w:noProof/>
              </w:rPr>
            </w:pPr>
            <w:r>
              <w:rPr>
                <w:noProof/>
              </w:rPr>
              <w:t>TRIMESTRE 4</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6C0C8A0C" w14:textId="77777777" w:rsidR="00025543" w:rsidRDefault="007E3A2F">
            <w:pPr>
              <w:pStyle w:val="P68B1DB1-Normal28"/>
              <w:spacing w:line="240" w:lineRule="auto"/>
              <w:jc w:val="center"/>
              <w:rPr>
                <w:noProof/>
              </w:rPr>
            </w:pPr>
            <w:r>
              <w:rPr>
                <w:noProof/>
              </w:rPr>
              <w:t>2024</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3818E5B9" w14:textId="64EAE799" w:rsidR="00025543" w:rsidRDefault="007E3A2F">
            <w:pPr>
              <w:pStyle w:val="P68B1DB1-Normal28"/>
              <w:pBdr>
                <w:top w:val="nil"/>
                <w:left w:val="nil"/>
                <w:bottom w:val="nil"/>
                <w:right w:val="nil"/>
                <w:between w:val="nil"/>
              </w:pBdr>
              <w:spacing w:after="0" w:line="259" w:lineRule="auto"/>
              <w:rPr>
                <w:noProof/>
              </w:rPr>
            </w:pPr>
            <w:r>
              <w:rPr>
                <w:noProof/>
              </w:rPr>
              <w:t>L’aide est acheminée par l’intermédiaire d’un programme de subventions doté d’une enveloppe totale de 61 660 000 EUR. Au moins 19 projets seront soutenus pour accroître la capacité de prise en charge de réadaptation des patients après des affections critiques dans les hôpitaux publics.</w:t>
            </w:r>
          </w:p>
        </w:tc>
      </w:tr>
      <w:tr w:rsidR="00025543" w14:paraId="013C7FB6" w14:textId="77777777">
        <w:trPr>
          <w:trHeight w:val="945"/>
          <w:jc w:val="center"/>
        </w:trPr>
        <w:tc>
          <w:tcPr>
            <w:tcW w:w="675" w:type="dxa"/>
            <w:tcBorders>
              <w:top w:val="single" w:sz="8" w:space="0" w:color="auto"/>
              <w:left w:val="single" w:sz="8" w:space="0" w:color="auto"/>
              <w:bottom w:val="single" w:sz="8" w:space="0" w:color="auto"/>
              <w:right w:val="single" w:sz="8" w:space="0" w:color="auto"/>
            </w:tcBorders>
            <w:shd w:val="clear" w:color="auto" w:fill="C6EFCE"/>
            <w:vAlign w:val="center"/>
          </w:tcPr>
          <w:p w14:paraId="42863CB5" w14:textId="77777777" w:rsidR="00025543" w:rsidRDefault="007E3A2F">
            <w:pPr>
              <w:pStyle w:val="P68B1DB1-Normal28"/>
              <w:spacing w:line="240" w:lineRule="auto"/>
              <w:jc w:val="center"/>
              <w:rPr>
                <w:noProof/>
              </w:rPr>
            </w:pPr>
            <w:r>
              <w:rPr>
                <w:noProof/>
              </w:rPr>
              <w:t>235</w:t>
            </w:r>
          </w:p>
        </w:tc>
        <w:tc>
          <w:tcPr>
            <w:tcW w:w="1418" w:type="dxa"/>
            <w:tcBorders>
              <w:top w:val="single" w:sz="8" w:space="0" w:color="auto"/>
              <w:left w:val="single" w:sz="8" w:space="0" w:color="auto"/>
              <w:bottom w:val="single" w:sz="8" w:space="0" w:color="auto"/>
              <w:right w:val="single" w:sz="8" w:space="0" w:color="auto"/>
            </w:tcBorders>
            <w:shd w:val="clear" w:color="auto" w:fill="C6EFCE"/>
            <w:vAlign w:val="center"/>
          </w:tcPr>
          <w:p w14:paraId="32D3D661" w14:textId="77777777" w:rsidR="00025543" w:rsidRDefault="007E3A2F">
            <w:pPr>
              <w:pStyle w:val="P68B1DB1-Normal28"/>
              <w:spacing w:line="240" w:lineRule="auto"/>
              <w:rPr>
                <w:noProof/>
              </w:rPr>
            </w:pPr>
            <w:r>
              <w:rPr>
                <w:noProof/>
              </w:rPr>
              <w:t>Investissement 3: Construction d’un centre de médecine cardiovasculaire et de transplantation</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03D40CED" w14:textId="77777777" w:rsidR="00025543" w:rsidRDefault="007E3A2F">
            <w:pPr>
              <w:pStyle w:val="P68B1DB1-Normal28"/>
              <w:spacing w:line="240" w:lineRule="auto"/>
              <w:rPr>
                <w:noProof/>
              </w:rPr>
            </w:pPr>
            <w:r>
              <w:rPr>
                <w:noProof/>
              </w:rPr>
              <w:t>Étapes</w:t>
            </w:r>
          </w:p>
        </w:tc>
        <w:tc>
          <w:tcPr>
            <w:tcW w:w="1307" w:type="dxa"/>
            <w:tcBorders>
              <w:top w:val="single" w:sz="8" w:space="0" w:color="auto"/>
              <w:left w:val="single" w:sz="8" w:space="0" w:color="auto"/>
              <w:bottom w:val="single" w:sz="8" w:space="0" w:color="auto"/>
              <w:right w:val="single" w:sz="8" w:space="0" w:color="auto"/>
            </w:tcBorders>
            <w:shd w:val="clear" w:color="auto" w:fill="C6EFCE"/>
            <w:vAlign w:val="center"/>
          </w:tcPr>
          <w:p w14:paraId="790090B9" w14:textId="77777777" w:rsidR="00025543" w:rsidRDefault="007E3A2F">
            <w:pPr>
              <w:pStyle w:val="P68B1DB1-Normal28"/>
              <w:spacing w:line="240" w:lineRule="auto"/>
              <w:rPr>
                <w:noProof/>
              </w:rPr>
            </w:pPr>
            <w:r>
              <w:rPr>
                <w:noProof/>
              </w:rPr>
              <w:t>Centre de médecine cardio-vasculaire et de transplantation pleinement opérationnel</w:t>
            </w:r>
          </w:p>
        </w:tc>
        <w:tc>
          <w:tcPr>
            <w:tcW w:w="1701" w:type="dxa"/>
            <w:tcBorders>
              <w:top w:val="single" w:sz="8" w:space="0" w:color="auto"/>
              <w:left w:val="single" w:sz="8" w:space="0" w:color="auto"/>
              <w:bottom w:val="single" w:sz="8" w:space="0" w:color="auto"/>
              <w:right w:val="single" w:sz="8" w:space="0" w:color="auto"/>
            </w:tcBorders>
            <w:shd w:val="clear" w:color="auto" w:fill="C6EFCE"/>
            <w:vAlign w:val="center"/>
          </w:tcPr>
          <w:p w14:paraId="25BD04FE" w14:textId="77777777" w:rsidR="00025543" w:rsidRDefault="007E3A2F">
            <w:pPr>
              <w:pStyle w:val="P68B1DB1-Normal28"/>
              <w:spacing w:line="240" w:lineRule="auto"/>
              <w:rPr>
                <w:noProof/>
              </w:rPr>
            </w:pPr>
            <w:r>
              <w:rPr>
                <w:noProof/>
              </w:rPr>
              <w:t xml:space="preserve">Centre de médecine cardio-vasculaire et de transplantation pleinement opérationnel </w:t>
            </w: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5F753A72" w14:textId="77777777" w:rsidR="00025543" w:rsidRDefault="00025543">
            <w:pPr>
              <w:spacing w:line="240" w:lineRule="auto"/>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F500DC4" w14:textId="77777777" w:rsidR="00025543" w:rsidRDefault="00025543">
            <w:pPr>
              <w:spacing w:line="240" w:lineRule="auto"/>
              <w:jc w:val="center"/>
              <w:rPr>
                <w:noProof/>
                <w:color w:val="006100"/>
                <w:sz w:val="18"/>
              </w:rPr>
            </w:pPr>
          </w:p>
        </w:tc>
        <w:tc>
          <w:tcPr>
            <w:tcW w:w="1077" w:type="dxa"/>
            <w:tcBorders>
              <w:top w:val="single" w:sz="8" w:space="0" w:color="auto"/>
              <w:left w:val="single" w:sz="8" w:space="0" w:color="auto"/>
              <w:bottom w:val="single" w:sz="8" w:space="0" w:color="auto"/>
              <w:right w:val="single" w:sz="8" w:space="0" w:color="auto"/>
            </w:tcBorders>
            <w:shd w:val="clear" w:color="auto" w:fill="C6EFCE"/>
            <w:vAlign w:val="center"/>
          </w:tcPr>
          <w:p w14:paraId="2D2CF6B0" w14:textId="77777777" w:rsidR="00025543" w:rsidRDefault="00025543">
            <w:pPr>
              <w:spacing w:line="240" w:lineRule="auto"/>
              <w:jc w:val="center"/>
              <w:rPr>
                <w:noProof/>
                <w:color w:val="006100"/>
                <w:sz w:val="18"/>
              </w:rPr>
            </w:pPr>
          </w:p>
        </w:tc>
        <w:tc>
          <w:tcPr>
            <w:tcW w:w="850" w:type="dxa"/>
            <w:tcBorders>
              <w:top w:val="single" w:sz="8" w:space="0" w:color="auto"/>
              <w:left w:val="single" w:sz="8" w:space="0" w:color="auto"/>
              <w:bottom w:val="single" w:sz="8" w:space="0" w:color="auto"/>
              <w:right w:val="single" w:sz="8" w:space="0" w:color="auto"/>
            </w:tcBorders>
            <w:shd w:val="clear" w:color="auto" w:fill="C6EFCE"/>
            <w:vAlign w:val="center"/>
          </w:tcPr>
          <w:p w14:paraId="310099A7" w14:textId="77777777" w:rsidR="00025543" w:rsidRDefault="007E3A2F">
            <w:pPr>
              <w:pStyle w:val="P68B1DB1-Normal28"/>
              <w:spacing w:line="240" w:lineRule="auto"/>
              <w:jc w:val="center"/>
              <w:rPr>
                <w:rFonts w:eastAsia="Times New Roman"/>
                <w:noProof/>
              </w:rPr>
            </w:pPr>
            <w:r>
              <w:rPr>
                <w:noProof/>
              </w:rPr>
              <w:t>TRIMESTRE 4</w:t>
            </w:r>
          </w:p>
        </w:tc>
        <w:tc>
          <w:tcPr>
            <w:tcW w:w="608" w:type="dxa"/>
            <w:tcBorders>
              <w:top w:val="single" w:sz="8" w:space="0" w:color="auto"/>
              <w:left w:val="single" w:sz="8" w:space="0" w:color="auto"/>
              <w:bottom w:val="single" w:sz="8" w:space="0" w:color="auto"/>
              <w:right w:val="single" w:sz="8" w:space="0" w:color="auto"/>
            </w:tcBorders>
            <w:shd w:val="clear" w:color="auto" w:fill="C6EFCE"/>
            <w:vAlign w:val="center"/>
          </w:tcPr>
          <w:p w14:paraId="7F135BBA" w14:textId="77777777" w:rsidR="00025543" w:rsidRDefault="007E3A2F">
            <w:pPr>
              <w:pStyle w:val="P68B1DB1-Normal28"/>
              <w:spacing w:line="240" w:lineRule="auto"/>
              <w:jc w:val="center"/>
              <w:rPr>
                <w:noProof/>
              </w:rPr>
            </w:pPr>
            <w:r>
              <w:rPr>
                <w:noProof/>
              </w:rPr>
              <w:t>2025</w:t>
            </w:r>
          </w:p>
        </w:tc>
        <w:tc>
          <w:tcPr>
            <w:tcW w:w="4745" w:type="dxa"/>
            <w:tcBorders>
              <w:top w:val="single" w:sz="8" w:space="0" w:color="auto"/>
              <w:left w:val="single" w:sz="8" w:space="0" w:color="auto"/>
              <w:bottom w:val="single" w:sz="8" w:space="0" w:color="auto"/>
              <w:right w:val="single" w:sz="8" w:space="0" w:color="auto"/>
            </w:tcBorders>
            <w:shd w:val="clear" w:color="auto" w:fill="C6EFCE"/>
            <w:vAlign w:val="center"/>
          </w:tcPr>
          <w:p w14:paraId="24B2FA63" w14:textId="77777777" w:rsidR="00025543" w:rsidRDefault="007E3A2F">
            <w:pPr>
              <w:pStyle w:val="P68B1DB1-Normal16"/>
              <w:spacing w:line="240" w:lineRule="auto"/>
              <w:rPr>
                <w:rFonts w:eastAsia="Times New Roman"/>
                <w:noProof/>
              </w:rPr>
            </w:pPr>
            <w:r>
              <w:rPr>
                <w:noProof/>
              </w:rPr>
              <w:t xml:space="preserve">Nouvelles installations du Centre de médecine cardio-vasculaire et de transplantation pleinement opérationnelles. La construction de la nouvelle installation permettra de créer au moins 35 nouveaux lits au Centre de médecine cardiaque et de transplantation. </w:t>
            </w:r>
            <w:r>
              <w:rPr>
                <w:rFonts w:eastAsia="Times New Roman"/>
                <w:noProof/>
              </w:rPr>
              <w:t>La construction fait l’objet de procédures d’appel d’offres ouvertes et publiques. Une évaluation des besoins est effectuée avant le lancement de l’appel d’offres.</w:t>
            </w:r>
          </w:p>
        </w:tc>
      </w:tr>
    </w:tbl>
    <w:p w14:paraId="08FC1122" w14:textId="77777777" w:rsidR="00025543" w:rsidRDefault="00025543">
      <w:pPr>
        <w:pBdr>
          <w:top w:val="nil"/>
          <w:left w:val="nil"/>
          <w:bottom w:val="nil"/>
          <w:right w:val="nil"/>
          <w:between w:val="nil"/>
        </w:pBdr>
        <w:spacing w:line="240" w:lineRule="auto"/>
        <w:rPr>
          <w:rFonts w:ascii="Calibri" w:hAnsi="Calibri"/>
          <w:noProof/>
          <w:color w:val="000000"/>
          <w:sz w:val="22"/>
        </w:rPr>
        <w:sectPr w:rsidR="00025543" w:rsidSect="00997F50">
          <w:headerReference w:type="even" r:id="rId420"/>
          <w:headerReference w:type="default" r:id="rId421"/>
          <w:footerReference w:type="even" r:id="rId422"/>
          <w:footerReference w:type="default" r:id="rId423"/>
          <w:headerReference w:type="first" r:id="rId424"/>
          <w:footerReference w:type="first" r:id="rId425"/>
          <w:pgSz w:w="16839" w:h="11907" w:orient="landscape"/>
          <w:pgMar w:top="1134" w:right="1134" w:bottom="1134" w:left="1134" w:header="567" w:footer="567" w:gutter="0"/>
          <w:cols w:space="708"/>
          <w:docGrid w:linePitch="326"/>
        </w:sectPr>
      </w:pPr>
    </w:p>
    <w:p w14:paraId="4929F8AE" w14:textId="59EDD5DD" w:rsidR="00025543" w:rsidRDefault="007E3A2F">
      <w:pPr>
        <w:pStyle w:val="P68B1DB1-Normal2"/>
        <w:keepNext/>
        <w:tabs>
          <w:tab w:val="left" w:pos="850"/>
        </w:tabs>
        <w:spacing w:line="240" w:lineRule="auto"/>
        <w:jc w:val="both"/>
        <w:outlineLvl w:val="0"/>
        <w:rPr>
          <w:noProof/>
        </w:rPr>
      </w:pPr>
      <w:r>
        <w:rPr>
          <w:noProof/>
        </w:rPr>
        <w:t>JJ. ÉLÉMENT 6.2: Le plan national de renforcement de la prévention et des soins oncologiques</w:t>
      </w:r>
    </w:p>
    <w:p w14:paraId="6A35FA72" w14:textId="77777777" w:rsidR="00025543" w:rsidRDefault="007E3A2F">
      <w:pPr>
        <w:pStyle w:val="P68B1DB1-Normal3"/>
        <w:spacing w:line="240" w:lineRule="auto"/>
        <w:jc w:val="both"/>
        <w:rPr>
          <w:noProof/>
        </w:rPr>
      </w:pPr>
      <w:r>
        <w:rPr>
          <w:noProof/>
        </w:rPr>
        <w:t xml:space="preserve">Ce volet du plan pour la reprise et la résilience de la République tchèque répond au défi consistant à accroître la résilience du système de prévention et de soins du cancer, qui a été touché par les effets négatifs à long terme de la pandémie de COVID-19. </w:t>
      </w:r>
    </w:p>
    <w:p w14:paraId="33D5D7A8" w14:textId="77777777" w:rsidR="00025543" w:rsidRDefault="007E3A2F">
      <w:pPr>
        <w:pStyle w:val="P68B1DB1-Normal3"/>
        <w:spacing w:line="240" w:lineRule="auto"/>
        <w:jc w:val="both"/>
        <w:rPr>
          <w:noProof/>
        </w:rPr>
      </w:pPr>
      <w:r>
        <w:rPr>
          <w:noProof/>
        </w:rPr>
        <w:t>En ce qui concerne les réformes, un nouveau programme oncologique national pour la République tchèque pour la période 2022-2030 est mis en place et la portée et la qualité des programmes de dépistage de la prévention du cancer sont renforcées.</w:t>
      </w:r>
    </w:p>
    <w:p w14:paraId="2DBF259E" w14:textId="2D278D63" w:rsidR="00025543" w:rsidRDefault="007E3A2F">
      <w:pPr>
        <w:pStyle w:val="P68B1DB1-Normal3"/>
        <w:spacing w:line="240" w:lineRule="auto"/>
        <w:jc w:val="both"/>
        <w:rPr>
          <w:noProof/>
        </w:rPr>
      </w:pPr>
      <w:r>
        <w:rPr>
          <w:noProof/>
        </w:rPr>
        <w:t xml:space="preserve">En ce qui concerne les infrastructures de soins de santé, l’objectif est de soutenir la construction de l’Institut tchèque d’oncologie à Prague et du Centre de prévention oncologique. En outre, les établissements de soins oncologiques et hématoncologiques doivent également bénéficier d’un soutien, ainsi que de nouvelles installations au Masaryk Memorial Cancer Institute à Brno afin de renforcer la prévention du cancer. </w:t>
      </w:r>
    </w:p>
    <w:p w14:paraId="1912F338" w14:textId="77777777" w:rsidR="00025543" w:rsidRDefault="007E3A2F">
      <w:pPr>
        <w:pStyle w:val="P68B1DB1-Normal3"/>
        <w:spacing w:line="240" w:lineRule="auto"/>
        <w:jc w:val="both"/>
        <w:rPr>
          <w:noProof/>
        </w:rPr>
      </w:pPr>
      <w:r>
        <w:rPr>
          <w:noProof/>
        </w:rPr>
        <w:t>Ce volet contribue à la mise en œuvre de la recommandation par pays no 1 et no 2020, selon laquelle la Tchéquie garantit la résilience du système de santé, renforce la disponibilité des professionnels de la santé, les soins primaires et l’intégration des soins, ainsi que le déploiement des services de santé en ligne.</w:t>
      </w:r>
    </w:p>
    <w:p w14:paraId="07097680" w14:textId="77777777" w:rsidR="00025543" w:rsidRDefault="007E3A2F">
      <w:pPr>
        <w:pStyle w:val="P68B1DB1-Normal3"/>
        <w:spacing w:line="240" w:lineRule="auto"/>
        <w:jc w:val="both"/>
        <w:rPr>
          <w:noProof/>
        </w:rPr>
      </w:pPr>
      <w:r>
        <w:rPr>
          <w:noProof/>
        </w:rPr>
        <w:t xml:space="preserve">Aucune mesure relevant de ce volet ne devrait causer de préjudice important aux objectifs environnementaux au sens de l’article 17 du règlement (UE) 2020/852, compte tenu de la description des mesures et des mesures d’atténuation prévues dans le plan conformément aux orientations techniques DNSH (2021/C58/01). </w:t>
      </w:r>
    </w:p>
    <w:p w14:paraId="1113C719" w14:textId="77777777" w:rsidR="00025543" w:rsidRDefault="00025543">
      <w:pPr>
        <w:spacing w:line="240" w:lineRule="auto"/>
        <w:jc w:val="both"/>
        <w:rPr>
          <w:rFonts w:eastAsia="Times New Roman"/>
          <w:noProof/>
          <w:highlight w:val="yellow"/>
        </w:rPr>
      </w:pPr>
    </w:p>
    <w:p w14:paraId="3EC9BF35" w14:textId="3EBCFF68" w:rsidR="00025543" w:rsidRDefault="007E3A2F">
      <w:pPr>
        <w:pStyle w:val="P68B1DB1-Normal32"/>
        <w:spacing w:line="240" w:lineRule="auto"/>
        <w:jc w:val="both"/>
        <w:rPr>
          <w:noProof/>
        </w:rPr>
      </w:pPr>
      <w:r>
        <w:rPr>
          <w:noProof/>
        </w:rPr>
        <w:t>DD.1. Description des réformes et des investissements en vue du soutien financier non remboursable</w:t>
      </w:r>
    </w:p>
    <w:p w14:paraId="5CB925C6" w14:textId="77777777" w:rsidR="00025543" w:rsidRDefault="007E3A2F">
      <w:pPr>
        <w:pStyle w:val="P68B1DB1-Normal26"/>
        <w:spacing w:line="240" w:lineRule="auto"/>
        <w:rPr>
          <w:noProof/>
        </w:rPr>
      </w:pPr>
      <w:r>
        <w:rPr>
          <w:noProof/>
        </w:rPr>
        <w:t>Réforme 1: Programme oncologique national de la République tchèque — NOP CZ 2030</w:t>
      </w:r>
    </w:p>
    <w:p w14:paraId="45EB0EBF" w14:textId="2AC70DEF" w:rsidR="00025543" w:rsidRDefault="007E3A2F">
      <w:pPr>
        <w:pStyle w:val="P68B1DB1-Normal3"/>
        <w:spacing w:line="240" w:lineRule="auto"/>
        <w:jc w:val="both"/>
        <w:rPr>
          <w:noProof/>
        </w:rPr>
      </w:pPr>
      <w:r>
        <w:rPr>
          <w:noProof/>
        </w:rPr>
        <w:t>La réforme vise à établir le programme oncologique national de la République tchèque pour la période 2022-2030 (NOP CR 2030). Le PON 2022-2030 reflète les priorités définies dans le plan européen pour vaincre le cancer, y compris les principes de la culture des soins contre le cancer centrée sur le patient</w:t>
      </w:r>
      <w:r w:rsidRPr="007E3A2F">
        <w:rPr>
          <w:noProof/>
          <w:vertAlign w:val="superscript"/>
        </w:rPr>
        <w:footnoteReference w:id="26"/>
      </w:r>
      <w:r>
        <w:rPr>
          <w:noProof/>
        </w:rPr>
        <w:t>. La préparation du programme relève de la responsabilité de la société oncologique tchèque. Le ministère de la santé met en place un conseil national pour la mise en œuvre du PON, qui joue un rôle de coordination dans les phases de préparation, de mise en œuvre et d’évaluation.</w:t>
      </w:r>
    </w:p>
    <w:p w14:paraId="65A18BDA" w14:textId="77777777" w:rsidR="00025543" w:rsidRDefault="007E3A2F">
      <w:pPr>
        <w:pStyle w:val="P68B1DB1-Normal3"/>
        <w:spacing w:line="240" w:lineRule="auto"/>
        <w:jc w:val="both"/>
        <w:rPr>
          <w:noProof/>
        </w:rPr>
      </w:pPr>
      <w:r>
        <w:rPr>
          <w:noProof/>
        </w:rPr>
        <w:t>La réforme doit être achevée au plus tard le 31 décembre 2025.</w:t>
      </w:r>
    </w:p>
    <w:p w14:paraId="017F1B91" w14:textId="77777777" w:rsidR="00025543" w:rsidRDefault="007E3A2F">
      <w:pPr>
        <w:pStyle w:val="P68B1DB1-Normal26"/>
        <w:spacing w:line="240" w:lineRule="auto"/>
        <w:rPr>
          <w:noProof/>
        </w:rPr>
      </w:pPr>
      <w:r>
        <w:rPr>
          <w:noProof/>
        </w:rPr>
        <w:t>Réforme 2: Soutenir et améliorer la qualité des programmes de dépistage préventif</w:t>
      </w:r>
    </w:p>
    <w:p w14:paraId="04513656" w14:textId="77777777" w:rsidR="00025543" w:rsidRDefault="007E3A2F">
      <w:pPr>
        <w:pStyle w:val="P68B1DB1-Normal3"/>
        <w:spacing w:line="240" w:lineRule="auto"/>
        <w:jc w:val="both"/>
        <w:rPr>
          <w:noProof/>
        </w:rPr>
      </w:pPr>
      <w:r>
        <w:rPr>
          <w:noProof/>
        </w:rPr>
        <w:t>La réforme se concentre sur l’amélioration de la portée et de la qualité des programmes de prévention du cancer dans le but de réduire la morbidité et la mortalité des cas de cancer, de limiter les coûts du traitement aux stades avancés de la maladie et d’accroître l’espérance de vie et la qualité de vie. Les mesures prévoient:</w:t>
      </w:r>
    </w:p>
    <w:p w14:paraId="3A9E3E9C" w14:textId="77777777" w:rsidR="00025543" w:rsidRDefault="007E3A2F">
      <w:pPr>
        <w:pStyle w:val="P68B1DB1-Normal3"/>
        <w:numPr>
          <w:ilvl w:val="0"/>
          <w:numId w:val="163"/>
        </w:numPr>
        <w:spacing w:line="259" w:lineRule="auto"/>
        <w:ind w:left="360"/>
        <w:contextualSpacing/>
        <w:jc w:val="both"/>
        <w:rPr>
          <w:rFonts w:ascii="Calibri" w:hAnsi="Calibri" w:cs="Calibri"/>
          <w:noProof/>
          <w:sz w:val="22"/>
        </w:rPr>
      </w:pPr>
      <w:r>
        <w:rPr>
          <w:noProof/>
        </w:rPr>
        <w:t>nomination du centre national de dépistage, au plus tard le 30 juin 2025, en tant qu’organe responsable de la coordination des programmes de dépistage du cancer en République tchèque;</w:t>
      </w:r>
    </w:p>
    <w:p w14:paraId="63D4C2F1" w14:textId="77777777" w:rsidR="00025543" w:rsidRDefault="007E3A2F">
      <w:pPr>
        <w:pStyle w:val="P68B1DB1-Normal3"/>
        <w:numPr>
          <w:ilvl w:val="0"/>
          <w:numId w:val="163"/>
        </w:numPr>
        <w:spacing w:line="259" w:lineRule="auto"/>
        <w:ind w:left="360"/>
        <w:contextualSpacing/>
        <w:jc w:val="both"/>
        <w:rPr>
          <w:noProof/>
        </w:rPr>
      </w:pPr>
      <w:r>
        <w:rPr>
          <w:noProof/>
        </w:rPr>
        <w:t>améliorer la portée, l’accessibilité, la performance et l’impact des programmes de dépistage existants, notamment en augmentant la couverture de la population cible. Par exemple, la couverture de la population cible par le programme de dépistage du cancer colorectal est portée à au moins 40 % d’ici au 30 juin 2026;</w:t>
      </w:r>
    </w:p>
    <w:p w14:paraId="74477116" w14:textId="77777777" w:rsidR="00025543" w:rsidRDefault="007E3A2F">
      <w:pPr>
        <w:pStyle w:val="P68B1DB1-Normal3"/>
        <w:numPr>
          <w:ilvl w:val="0"/>
          <w:numId w:val="163"/>
        </w:numPr>
        <w:spacing w:line="259" w:lineRule="auto"/>
        <w:ind w:left="360"/>
        <w:contextualSpacing/>
        <w:jc w:val="both"/>
        <w:rPr>
          <w:noProof/>
        </w:rPr>
      </w:pPr>
      <w:r>
        <w:rPr>
          <w:noProof/>
        </w:rPr>
        <w:t xml:space="preserve">pilotage de nouveaux programmes de dépistage, y compris leur vérification au moyen d’études démographiques et cliniques. En particulier, un programme de détection précoce du cancer du poumon est lancé et au moins 20 000 participants de la population cible y participent au plus tard le 30 juin 2026. </w:t>
      </w:r>
    </w:p>
    <w:p w14:paraId="73CA5B84" w14:textId="77777777" w:rsidR="00025543" w:rsidRDefault="007E3A2F">
      <w:pPr>
        <w:pStyle w:val="P68B1DB1-Normal3"/>
        <w:numPr>
          <w:ilvl w:val="0"/>
          <w:numId w:val="163"/>
        </w:numPr>
        <w:spacing w:line="259" w:lineRule="auto"/>
        <w:ind w:left="360"/>
        <w:contextualSpacing/>
        <w:jc w:val="both"/>
        <w:rPr>
          <w:noProof/>
        </w:rPr>
      </w:pPr>
      <w:r>
        <w:rPr>
          <w:noProof/>
        </w:rPr>
        <w:t>la mise en place d’un système de planification des nouveaux programmes de prévention et d’estimation de leur rapport coût-efficacité et de leur impact dans le système public d’assurance-maladie;</w:t>
      </w:r>
    </w:p>
    <w:p w14:paraId="3525C0FA" w14:textId="77777777" w:rsidR="00025543" w:rsidRDefault="007E3A2F">
      <w:pPr>
        <w:pStyle w:val="P68B1DB1-Normal3"/>
        <w:numPr>
          <w:ilvl w:val="0"/>
          <w:numId w:val="163"/>
        </w:numPr>
        <w:spacing w:line="259" w:lineRule="auto"/>
        <w:ind w:left="360"/>
        <w:contextualSpacing/>
        <w:jc w:val="both"/>
        <w:rPr>
          <w:noProof/>
        </w:rPr>
      </w:pPr>
      <w:r>
        <w:rPr>
          <w:noProof/>
        </w:rPr>
        <w:t>création d’une base de données pour le suivi et l’évaluation généraux des programmes de dépistage, comprenant un large panel d’indicateurs de qualité et une évaluation de l’efficacité.</w:t>
      </w:r>
    </w:p>
    <w:p w14:paraId="04691190" w14:textId="77777777" w:rsidR="00025543" w:rsidRDefault="007E3A2F">
      <w:pPr>
        <w:pStyle w:val="P68B1DB1-Normal3"/>
        <w:spacing w:line="240" w:lineRule="auto"/>
        <w:jc w:val="both"/>
        <w:rPr>
          <w:noProof/>
        </w:rPr>
      </w:pPr>
      <w:r>
        <w:rPr>
          <w:noProof/>
        </w:rPr>
        <w:t xml:space="preserve">La mesure est achevée au plus tard le 30 juin 2026. </w:t>
      </w:r>
    </w:p>
    <w:p w14:paraId="4DD37384" w14:textId="77777777" w:rsidR="00025543" w:rsidRDefault="007E3A2F">
      <w:pPr>
        <w:pStyle w:val="P68B1DB1-Normal26"/>
        <w:spacing w:line="240" w:lineRule="auto"/>
        <w:rPr>
          <w:noProof/>
        </w:rPr>
      </w:pPr>
      <w:r>
        <w:rPr>
          <w:noProof/>
        </w:rPr>
        <w:t>Investissement 1: Création de l’Institut tchèque d’oncologie</w:t>
      </w:r>
    </w:p>
    <w:p w14:paraId="44035D41" w14:textId="65A68379" w:rsidR="00025543" w:rsidRDefault="007E3A2F">
      <w:pPr>
        <w:pStyle w:val="P68B1DB1-Normal3"/>
        <w:spacing w:line="240" w:lineRule="auto"/>
        <w:jc w:val="both"/>
        <w:rPr>
          <w:noProof/>
        </w:rPr>
      </w:pPr>
      <w:r>
        <w:rPr>
          <w:noProof/>
        </w:rPr>
        <w:t>L’investissement est axé sur la construction de l’Institut tchèque d’oncologie à Prague dans le but de fournir la prévention du cancer, le diagnostic et toutes les modalités de traitement, en un seul point de soins. L’investissement comprend la construction d’un nouveau bâtiment et l’acquisition d’équipements (y compris, entre autres, les équipements cliniques et les équipements des technologies de l’information et de la communication et les équipements de sécurité). L’objectif est également de mettre en place un centre de lutte contre le cancer de portée internationale dans la région d’Europe centrale et orientale. Il s’agit d’une capacité de 8500 à 11200 patients hospitalisés par an.</w:t>
      </w:r>
    </w:p>
    <w:p w14:paraId="501D5955" w14:textId="77777777" w:rsidR="00025543" w:rsidRDefault="007E3A2F">
      <w:pPr>
        <w:pStyle w:val="P68B1DB1-Normal3"/>
        <w:spacing w:line="240" w:lineRule="auto"/>
        <w:jc w:val="both"/>
        <w:rPr>
          <w:noProof/>
        </w:rPr>
      </w:pPr>
      <w:r>
        <w:rPr>
          <w:noProof/>
        </w:rPr>
        <w:t>Le ministère de la santé présente, au plus tard le 15 mars 2022, un ensemble de documents nécessaires, notamment:</w:t>
      </w:r>
    </w:p>
    <w:p w14:paraId="10F9001A" w14:textId="77777777" w:rsidR="00025543" w:rsidRDefault="007E3A2F">
      <w:pPr>
        <w:numPr>
          <w:ilvl w:val="0"/>
          <w:numId w:val="200"/>
        </w:numPr>
        <w:spacing w:line="240" w:lineRule="auto"/>
        <w:rPr>
          <w:noProof/>
        </w:rPr>
      </w:pPr>
      <w:r>
        <w:rPr>
          <w:noProof/>
        </w:rPr>
        <w:t xml:space="preserve">Programme médical/plan fonctionnel et projet de conception adapté à la conception et à l’acquisition de capacités, </w:t>
      </w:r>
    </w:p>
    <w:p w14:paraId="3B85A057" w14:textId="77777777" w:rsidR="00025543" w:rsidRDefault="007E3A2F">
      <w:pPr>
        <w:numPr>
          <w:ilvl w:val="0"/>
          <w:numId w:val="200"/>
        </w:numPr>
        <w:spacing w:line="240" w:lineRule="auto"/>
        <w:rPr>
          <w:noProof/>
        </w:rPr>
      </w:pPr>
      <w:r>
        <w:rPr>
          <w:noProof/>
        </w:rPr>
        <w:t>Étude de faisabilité, y compris évaluation des besoins dans le contexte de la stratégie en matière de santé au sens large, faisabilité technique, opérationnelle et économique, viabilité financière et en termes de personnel, incidence sur la fourniture de soins oncologiques aux niveaux régional et national, y compris sur le délai de route et les compétences professionnelles.</w:t>
      </w:r>
    </w:p>
    <w:p w14:paraId="1064FA9B" w14:textId="77777777" w:rsidR="00025543" w:rsidRDefault="007E3A2F">
      <w:pPr>
        <w:pStyle w:val="P68B1DB1-Normal3"/>
        <w:spacing w:line="240" w:lineRule="auto"/>
        <w:jc w:val="both"/>
        <w:rPr>
          <w:noProof/>
        </w:rPr>
      </w:pPr>
      <w:r>
        <w:rPr>
          <w:noProof/>
        </w:rPr>
        <w:t xml:space="preserve">Ces documents sont validés par une autorité indépendante au plus tard le 31 décembre 2022. </w:t>
      </w:r>
    </w:p>
    <w:p w14:paraId="0CEECD5A" w14:textId="77777777" w:rsidR="00025543" w:rsidRDefault="007E3A2F">
      <w:pPr>
        <w:pStyle w:val="P68B1DB1-Normal3"/>
        <w:spacing w:line="240" w:lineRule="auto"/>
        <w:jc w:val="both"/>
        <w:rPr>
          <w:noProof/>
        </w:rPr>
      </w:pPr>
      <w:r>
        <w:rPr>
          <w:noProof/>
        </w:rPr>
        <w:t xml:space="preserve">L’investissement est achevé au plus tard le 30 juin 2026. </w:t>
      </w:r>
    </w:p>
    <w:p w14:paraId="40489C49" w14:textId="77777777" w:rsidR="00025543" w:rsidRDefault="007E3A2F">
      <w:pPr>
        <w:pStyle w:val="P68B1DB1-Normal26"/>
        <w:spacing w:line="240" w:lineRule="auto"/>
        <w:jc w:val="both"/>
        <w:rPr>
          <w:noProof/>
        </w:rPr>
      </w:pPr>
      <w:r>
        <w:rPr>
          <w:noProof/>
        </w:rPr>
        <w:t>Investissement 2: Développement de soins oncologiques et hématoncologiques hautement spécialisés</w:t>
      </w:r>
    </w:p>
    <w:p w14:paraId="3CA064E7" w14:textId="400EA920" w:rsidR="00025543" w:rsidRDefault="007E3A2F">
      <w:pPr>
        <w:pStyle w:val="P68B1DB1-Normal3"/>
        <w:spacing w:line="240" w:lineRule="auto"/>
        <w:jc w:val="both"/>
        <w:rPr>
          <w:noProof/>
          <w:sz w:val="23"/>
        </w:rPr>
      </w:pPr>
      <w:r>
        <w:rPr>
          <w:noProof/>
        </w:rPr>
        <w:t>L’investissement vise à renforcer les soins hautement spécialisés contre le cancer dans les centres d’oncologie complexe et les centres d’hématoncologie hautement spécialisés, par l’acquisition de technologies et d’équipements de pointe. L’investissement permet aux centres d’oncologie de fournir un diagnostic et un traitement du cancer sur la base des principes de précision et de médecine personnalisée, ce qui améliorerait le diagnostic et le traitement, en particulier des types de cancer rares. Le concept de médecine de précision couvre en particulier les theranostiques, les méthodes de visualisation avancées, les thérapies cellulaires et géniques individualisées et la radiothérapie moderne. Au moins dix centres d’oncologie complexe et centres d’hématoncologie hautement spécialisée doivent bénéficier d’un soutien.</w:t>
      </w:r>
    </w:p>
    <w:p w14:paraId="704BB739" w14:textId="77777777" w:rsidR="00025543" w:rsidRDefault="007E3A2F">
      <w:pPr>
        <w:pStyle w:val="P68B1DB1-Normal3"/>
        <w:spacing w:line="240" w:lineRule="auto"/>
        <w:jc w:val="both"/>
        <w:rPr>
          <w:noProof/>
        </w:rPr>
      </w:pPr>
      <w:r>
        <w:rPr>
          <w:noProof/>
        </w:rPr>
        <w:t xml:space="preserve">L’investissement est achevé au plus tard le 30 juin 2026. </w:t>
      </w:r>
    </w:p>
    <w:p w14:paraId="23C10696" w14:textId="4B7E7C47" w:rsidR="00025543" w:rsidRDefault="007E3A2F">
      <w:pPr>
        <w:pStyle w:val="P68B1DB1-Normal26"/>
        <w:keepNext/>
        <w:spacing w:line="240" w:lineRule="auto"/>
        <w:jc w:val="both"/>
        <w:rPr>
          <w:noProof/>
        </w:rPr>
      </w:pPr>
      <w:r>
        <w:rPr>
          <w:noProof/>
        </w:rPr>
        <w:t>Investissement 3: Création et développement du Centre pour la prévention du cancer et l’infrastructure pour les soins innovants et supportifs à l’Institut de lutte contre le cancer du mémorial Masaryk</w:t>
      </w:r>
    </w:p>
    <w:p w14:paraId="3F266C27" w14:textId="0B8A2127" w:rsidR="00025543" w:rsidRDefault="007E3A2F">
      <w:pPr>
        <w:pStyle w:val="P68B1DB1-Normal13"/>
        <w:autoSpaceDE w:val="0"/>
        <w:autoSpaceDN w:val="0"/>
        <w:adjustRightInd w:val="0"/>
        <w:spacing w:line="240" w:lineRule="auto"/>
        <w:jc w:val="both"/>
        <w:rPr>
          <w:b/>
          <w:noProof/>
          <w:sz w:val="23"/>
        </w:rPr>
      </w:pPr>
      <w:r>
        <w:rPr>
          <w:noProof/>
        </w:rPr>
        <w:t>L’investissement vise à accroître les capacités et à développer une prévention et des soins innovants contre le cancer au sein de l’Institut Mémorial du cancer Masaryk à Brno. Premièrement, l’investissement comprend la construction d’une nouvelle installation du Centre pour la prévention du cancer, qui augmentera le nombre de programmes de prévention du cancer (primaire, secondaire et tertiaire) et dissociera les soins préventifs des établissements de soins (pour faire face aux aspects anti-épidémies et psychosociaux). L’objectif est que le nombre annuel d’interventions au Centre de prévention du cancer augmente de 30 % par rapport à 2019. Deuxièmement, de nouvelles installations seront créées pour les soins innovants et de soutien au cancer, à savoir le premier centre de contact, le centre d’essais cliniques, le centre de soins de soutien et le centre d’éducation. Le centre de soutien permettra de piloter un nouveau programme de soutien aux personnes ayant survécu à un cancer, dont les résultats pourront ensuite être transférés à d’autres centres de lutte contre le cancer en République tchèque. L’objectif est que le nombre annuel de clients des soins innovants et supportifs au Masaryk Memorial Cancer Institute augmente de 20 % par rapport à 2019.</w:t>
      </w:r>
    </w:p>
    <w:p w14:paraId="400FEED5" w14:textId="77777777" w:rsidR="00025543" w:rsidRDefault="007E3A2F">
      <w:pPr>
        <w:pStyle w:val="P68B1DB1-Normal3"/>
        <w:spacing w:line="240" w:lineRule="auto"/>
        <w:rPr>
          <w:noProof/>
        </w:rPr>
      </w:pPr>
      <w:r>
        <w:rPr>
          <w:noProof/>
        </w:rPr>
        <w:t xml:space="preserve">L’investissement est achevé au plus tard le 31 décembre 2025. </w:t>
      </w:r>
    </w:p>
    <w:p w14:paraId="3E4A32FA" w14:textId="77777777" w:rsidR="00025543" w:rsidRDefault="00025543">
      <w:pPr>
        <w:spacing w:line="240" w:lineRule="auto"/>
        <w:rPr>
          <w:rFonts w:eastAsia="Times New Roman"/>
          <w:b/>
          <w:noProof/>
          <w:color w:val="000000"/>
          <w:u w:val="single"/>
        </w:rPr>
        <w:sectPr w:rsidR="00025543" w:rsidSect="00997F50">
          <w:headerReference w:type="even" r:id="rId426"/>
          <w:headerReference w:type="default" r:id="rId427"/>
          <w:footerReference w:type="even" r:id="rId428"/>
          <w:footerReference w:type="default" r:id="rId429"/>
          <w:headerReference w:type="first" r:id="rId430"/>
          <w:footerReference w:type="first" r:id="rId431"/>
          <w:pgSz w:w="11907" w:h="16839"/>
          <w:pgMar w:top="1134" w:right="1134" w:bottom="1134" w:left="1134" w:header="567" w:footer="567" w:gutter="0"/>
          <w:cols w:space="720"/>
          <w:docGrid w:linePitch="360"/>
        </w:sectPr>
      </w:pPr>
    </w:p>
    <w:p w14:paraId="705BE3DE" w14:textId="104D740A" w:rsidR="00025543" w:rsidRDefault="007E3A2F">
      <w:pPr>
        <w:pStyle w:val="P68B1DB1-Normal33"/>
        <w:spacing w:line="240" w:lineRule="auto"/>
        <w:rPr>
          <w:noProof/>
          <w:color w:val="000000"/>
        </w:rPr>
      </w:pPr>
      <w:r>
        <w:rPr>
          <w:noProof/>
        </w:rPr>
        <w:t xml:space="preserve">DD.2. Jalons, cibles, indicateurs et calendrier de suivi et de mise en œuvre en vue du soutien financier non remboursable </w:t>
      </w:r>
    </w:p>
    <w:tbl>
      <w:tblPr>
        <w:tblW w:w="14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1459"/>
        <w:gridCol w:w="1115"/>
        <w:gridCol w:w="1045"/>
        <w:gridCol w:w="1302"/>
        <w:gridCol w:w="994"/>
        <w:gridCol w:w="994"/>
        <w:gridCol w:w="791"/>
        <w:gridCol w:w="948"/>
        <w:gridCol w:w="945"/>
        <w:gridCol w:w="4338"/>
      </w:tblGrid>
      <w:tr w:rsidR="00025543" w14:paraId="0AC1F365" w14:textId="77777777">
        <w:trPr>
          <w:trHeight w:val="107"/>
          <w:tblHeader/>
          <w:jc w:val="center"/>
        </w:trPr>
        <w:tc>
          <w:tcPr>
            <w:tcW w:w="641" w:type="dxa"/>
            <w:vMerge w:val="restart"/>
            <w:shd w:val="clear" w:color="auto" w:fill="BDD7EE"/>
            <w:vAlign w:val="center"/>
          </w:tcPr>
          <w:p w14:paraId="1041AD65" w14:textId="77777777" w:rsidR="00025543" w:rsidRDefault="007E3A2F">
            <w:pPr>
              <w:pStyle w:val="P68B1DB1-Normal27"/>
              <w:spacing w:line="240" w:lineRule="auto"/>
              <w:jc w:val="center"/>
              <w:rPr>
                <w:noProof/>
              </w:rPr>
            </w:pPr>
            <w:r>
              <w:rPr>
                <w:noProof/>
              </w:rPr>
              <w:t>Séquence NUM.</w:t>
            </w:r>
          </w:p>
        </w:tc>
        <w:tc>
          <w:tcPr>
            <w:tcW w:w="1485" w:type="dxa"/>
            <w:vMerge w:val="restart"/>
            <w:shd w:val="clear" w:color="auto" w:fill="BDD7EE"/>
            <w:vAlign w:val="center"/>
          </w:tcPr>
          <w:p w14:paraId="42A5A4FA" w14:textId="77777777" w:rsidR="00025543" w:rsidRDefault="007E3A2F">
            <w:pPr>
              <w:pStyle w:val="P68B1DB1-Normal9"/>
              <w:spacing w:line="240" w:lineRule="auto"/>
              <w:jc w:val="center"/>
              <w:rPr>
                <w:noProof/>
              </w:rPr>
            </w:pPr>
            <w:r>
              <w:rPr>
                <w:noProof/>
              </w:rPr>
              <w:t xml:space="preserve">Mesure connexe (réforme ou investissement) </w:t>
            </w:r>
          </w:p>
        </w:tc>
        <w:tc>
          <w:tcPr>
            <w:tcW w:w="1134" w:type="dxa"/>
            <w:vMerge w:val="restart"/>
            <w:shd w:val="clear" w:color="auto" w:fill="BDD7EE"/>
            <w:vAlign w:val="center"/>
          </w:tcPr>
          <w:p w14:paraId="67B6E7E1" w14:textId="77777777" w:rsidR="00025543" w:rsidRDefault="007E3A2F">
            <w:pPr>
              <w:pStyle w:val="P68B1DB1-Normal9"/>
              <w:spacing w:line="240" w:lineRule="auto"/>
              <w:jc w:val="center"/>
              <w:rPr>
                <w:noProof/>
              </w:rPr>
            </w:pPr>
            <w:r>
              <w:rPr>
                <w:noProof/>
              </w:rPr>
              <w:t xml:space="preserve">Jalon/cible </w:t>
            </w:r>
          </w:p>
        </w:tc>
        <w:tc>
          <w:tcPr>
            <w:tcW w:w="1063" w:type="dxa"/>
            <w:vMerge w:val="restart"/>
            <w:shd w:val="clear" w:color="auto" w:fill="BDD7EE"/>
            <w:vAlign w:val="center"/>
          </w:tcPr>
          <w:p w14:paraId="6EEA9381" w14:textId="77777777" w:rsidR="00025543" w:rsidRDefault="007E3A2F">
            <w:pPr>
              <w:pStyle w:val="P68B1DB1-Normal9"/>
              <w:spacing w:line="240" w:lineRule="auto"/>
              <w:jc w:val="center"/>
              <w:rPr>
                <w:noProof/>
              </w:rPr>
            </w:pPr>
            <w:r>
              <w:rPr>
                <w:noProof/>
              </w:rPr>
              <w:t xml:space="preserve">Nom </w:t>
            </w:r>
          </w:p>
        </w:tc>
        <w:tc>
          <w:tcPr>
            <w:tcW w:w="1325" w:type="dxa"/>
            <w:vMerge w:val="restart"/>
            <w:shd w:val="clear" w:color="auto" w:fill="BDD7EE"/>
            <w:vAlign w:val="center"/>
          </w:tcPr>
          <w:p w14:paraId="3829A3DD" w14:textId="77777777" w:rsidR="00025543" w:rsidRDefault="007E3A2F">
            <w:pPr>
              <w:pStyle w:val="P68B1DB1-Normal12"/>
              <w:spacing w:line="240" w:lineRule="auto"/>
              <w:jc w:val="center"/>
              <w:rPr>
                <w:noProof/>
              </w:rPr>
            </w:pPr>
            <w:r>
              <w:rPr>
                <w:rFonts w:eastAsia="Times New Roman"/>
                <w:b/>
                <w:noProof/>
              </w:rPr>
              <w:t>Qualitatifs</w:t>
            </w:r>
            <w:r>
              <w:rPr>
                <w:noProof/>
              </w:rPr>
              <w:br/>
            </w:r>
            <w:r>
              <w:rPr>
                <w:rFonts w:eastAsia="Times New Roman"/>
                <w:b/>
                <w:noProof/>
              </w:rPr>
              <w:t xml:space="preserve"> (pour les jalons) </w:t>
            </w:r>
          </w:p>
        </w:tc>
        <w:tc>
          <w:tcPr>
            <w:tcW w:w="2825" w:type="dxa"/>
            <w:gridSpan w:val="3"/>
            <w:shd w:val="clear" w:color="auto" w:fill="BDD7EE"/>
            <w:vAlign w:val="center"/>
          </w:tcPr>
          <w:p w14:paraId="3080339F" w14:textId="77777777" w:rsidR="00025543" w:rsidRDefault="007E3A2F">
            <w:pPr>
              <w:pStyle w:val="P68B1DB1-Normal12"/>
              <w:spacing w:line="240" w:lineRule="auto"/>
              <w:jc w:val="center"/>
              <w:rPr>
                <w:noProof/>
              </w:rPr>
            </w:pPr>
            <w:r>
              <w:rPr>
                <w:rFonts w:eastAsia="Times New Roman"/>
                <w:b/>
                <w:noProof/>
              </w:rPr>
              <w:t>Indicateurs quantitatifs</w:t>
            </w:r>
            <w:r>
              <w:rPr>
                <w:noProof/>
              </w:rPr>
              <w:br/>
            </w:r>
            <w:r>
              <w:rPr>
                <w:rFonts w:eastAsia="Times New Roman"/>
                <w:b/>
                <w:noProof/>
              </w:rPr>
              <w:t xml:space="preserve"> (pour les objectifs)</w:t>
            </w:r>
          </w:p>
        </w:tc>
        <w:tc>
          <w:tcPr>
            <w:tcW w:w="1734" w:type="dxa"/>
            <w:gridSpan w:val="2"/>
            <w:shd w:val="clear" w:color="auto" w:fill="BDD7EE"/>
            <w:vAlign w:val="center"/>
          </w:tcPr>
          <w:p w14:paraId="4149288A" w14:textId="77777777" w:rsidR="00025543" w:rsidRDefault="007E3A2F">
            <w:pPr>
              <w:pStyle w:val="P68B1DB1-Normal9"/>
              <w:spacing w:line="240" w:lineRule="auto"/>
              <w:jc w:val="center"/>
              <w:rPr>
                <w:noProof/>
              </w:rPr>
            </w:pPr>
            <w:r>
              <w:rPr>
                <w:noProof/>
              </w:rPr>
              <w:t xml:space="preserve">Calendrier indicatif de réalisation </w:t>
            </w:r>
          </w:p>
        </w:tc>
        <w:tc>
          <w:tcPr>
            <w:tcW w:w="4428" w:type="dxa"/>
            <w:vMerge w:val="restart"/>
            <w:shd w:val="clear" w:color="auto" w:fill="BDD7EE"/>
            <w:vAlign w:val="center"/>
          </w:tcPr>
          <w:p w14:paraId="2EA4FE71" w14:textId="77777777" w:rsidR="00025543" w:rsidRDefault="007E3A2F">
            <w:pPr>
              <w:pStyle w:val="P68B1DB1-Normal9"/>
              <w:spacing w:line="240" w:lineRule="auto"/>
              <w:jc w:val="center"/>
              <w:rPr>
                <w:noProof/>
              </w:rPr>
            </w:pPr>
            <w:r>
              <w:rPr>
                <w:noProof/>
              </w:rPr>
              <w:t>Description et définition claire de chaque jalon et cible</w:t>
            </w:r>
          </w:p>
        </w:tc>
      </w:tr>
      <w:tr w:rsidR="00025543" w14:paraId="42AFDFDF" w14:textId="77777777">
        <w:trPr>
          <w:trHeight w:val="173"/>
          <w:tblHeader/>
          <w:jc w:val="center"/>
        </w:trPr>
        <w:tc>
          <w:tcPr>
            <w:tcW w:w="641" w:type="dxa"/>
            <w:vMerge/>
            <w:vAlign w:val="center"/>
          </w:tcPr>
          <w:p w14:paraId="4DA321F6" w14:textId="77777777" w:rsidR="00025543" w:rsidRDefault="00025543">
            <w:pPr>
              <w:spacing w:line="240" w:lineRule="auto"/>
              <w:jc w:val="center"/>
              <w:rPr>
                <w:noProof/>
                <w:sz w:val="16"/>
              </w:rPr>
            </w:pPr>
          </w:p>
        </w:tc>
        <w:tc>
          <w:tcPr>
            <w:tcW w:w="1485" w:type="dxa"/>
            <w:vMerge/>
            <w:vAlign w:val="center"/>
          </w:tcPr>
          <w:p w14:paraId="065AC405" w14:textId="77777777" w:rsidR="00025543" w:rsidRDefault="00025543">
            <w:pPr>
              <w:spacing w:line="240" w:lineRule="auto"/>
              <w:jc w:val="center"/>
              <w:rPr>
                <w:noProof/>
                <w:sz w:val="16"/>
              </w:rPr>
            </w:pPr>
          </w:p>
        </w:tc>
        <w:tc>
          <w:tcPr>
            <w:tcW w:w="1134" w:type="dxa"/>
            <w:vMerge/>
            <w:vAlign w:val="center"/>
          </w:tcPr>
          <w:p w14:paraId="631EABA3" w14:textId="77777777" w:rsidR="00025543" w:rsidRDefault="00025543">
            <w:pPr>
              <w:spacing w:line="240" w:lineRule="auto"/>
              <w:jc w:val="center"/>
              <w:rPr>
                <w:noProof/>
                <w:sz w:val="16"/>
              </w:rPr>
            </w:pPr>
          </w:p>
        </w:tc>
        <w:tc>
          <w:tcPr>
            <w:tcW w:w="1063" w:type="dxa"/>
            <w:vMerge/>
            <w:vAlign w:val="center"/>
          </w:tcPr>
          <w:p w14:paraId="2AAB726B" w14:textId="77777777" w:rsidR="00025543" w:rsidRDefault="00025543">
            <w:pPr>
              <w:spacing w:line="240" w:lineRule="auto"/>
              <w:jc w:val="center"/>
              <w:rPr>
                <w:noProof/>
                <w:sz w:val="16"/>
              </w:rPr>
            </w:pPr>
          </w:p>
        </w:tc>
        <w:tc>
          <w:tcPr>
            <w:tcW w:w="1325" w:type="dxa"/>
            <w:vMerge/>
            <w:vAlign w:val="center"/>
          </w:tcPr>
          <w:p w14:paraId="0E51436C" w14:textId="77777777" w:rsidR="00025543" w:rsidRDefault="00025543">
            <w:pPr>
              <w:spacing w:line="240" w:lineRule="auto"/>
              <w:jc w:val="center"/>
              <w:rPr>
                <w:noProof/>
                <w:sz w:val="16"/>
              </w:rPr>
            </w:pPr>
          </w:p>
        </w:tc>
        <w:tc>
          <w:tcPr>
            <w:tcW w:w="1011" w:type="dxa"/>
            <w:shd w:val="clear" w:color="auto" w:fill="BDD7EE"/>
            <w:vAlign w:val="center"/>
          </w:tcPr>
          <w:p w14:paraId="5E9443D3" w14:textId="77777777" w:rsidR="00025543" w:rsidRDefault="007E3A2F">
            <w:pPr>
              <w:pStyle w:val="P68B1DB1-Normal9"/>
              <w:spacing w:line="240" w:lineRule="auto"/>
              <w:jc w:val="center"/>
              <w:rPr>
                <w:noProof/>
              </w:rPr>
            </w:pPr>
            <w:r>
              <w:rPr>
                <w:noProof/>
              </w:rPr>
              <w:t>Unité de mesure</w:t>
            </w:r>
          </w:p>
        </w:tc>
        <w:tc>
          <w:tcPr>
            <w:tcW w:w="1011" w:type="dxa"/>
            <w:shd w:val="clear" w:color="auto" w:fill="BDD7EE"/>
            <w:vAlign w:val="center"/>
          </w:tcPr>
          <w:p w14:paraId="78FADB54" w14:textId="77777777" w:rsidR="00025543" w:rsidRDefault="007E3A2F">
            <w:pPr>
              <w:pStyle w:val="P68B1DB1-Normal9"/>
              <w:spacing w:line="240" w:lineRule="auto"/>
              <w:jc w:val="center"/>
              <w:rPr>
                <w:noProof/>
              </w:rPr>
            </w:pPr>
            <w:r>
              <w:rPr>
                <w:noProof/>
              </w:rPr>
              <w:t>Scénario de référence</w:t>
            </w:r>
          </w:p>
        </w:tc>
        <w:tc>
          <w:tcPr>
            <w:tcW w:w="803" w:type="dxa"/>
            <w:shd w:val="clear" w:color="auto" w:fill="BDD7EE"/>
            <w:vAlign w:val="center"/>
          </w:tcPr>
          <w:p w14:paraId="4ABD1203" w14:textId="77777777" w:rsidR="00025543" w:rsidRDefault="007E3A2F">
            <w:pPr>
              <w:pStyle w:val="P68B1DB1-Normal9"/>
              <w:spacing w:line="240" w:lineRule="auto"/>
              <w:jc w:val="center"/>
              <w:rPr>
                <w:noProof/>
              </w:rPr>
            </w:pPr>
            <w:r>
              <w:rPr>
                <w:noProof/>
              </w:rPr>
              <w:t>Objectif</w:t>
            </w:r>
          </w:p>
        </w:tc>
        <w:tc>
          <w:tcPr>
            <w:tcW w:w="964" w:type="dxa"/>
            <w:shd w:val="clear" w:color="auto" w:fill="BDD7EE"/>
            <w:vAlign w:val="center"/>
          </w:tcPr>
          <w:p w14:paraId="5268D787" w14:textId="77777777" w:rsidR="00025543" w:rsidRDefault="007E3A2F">
            <w:pPr>
              <w:pStyle w:val="P68B1DB1-Normal9"/>
              <w:spacing w:line="240" w:lineRule="auto"/>
              <w:jc w:val="center"/>
              <w:rPr>
                <w:noProof/>
              </w:rPr>
            </w:pPr>
            <w:r>
              <w:rPr>
                <w:noProof/>
              </w:rPr>
              <w:t>Trimestre</w:t>
            </w:r>
          </w:p>
        </w:tc>
        <w:tc>
          <w:tcPr>
            <w:tcW w:w="961" w:type="dxa"/>
            <w:shd w:val="clear" w:color="auto" w:fill="BDD7EE"/>
            <w:vAlign w:val="center"/>
          </w:tcPr>
          <w:p w14:paraId="1B21391A" w14:textId="77777777" w:rsidR="00025543" w:rsidRDefault="007E3A2F">
            <w:pPr>
              <w:pStyle w:val="P68B1DB1-Normal9"/>
              <w:spacing w:line="240" w:lineRule="auto"/>
              <w:jc w:val="center"/>
              <w:rPr>
                <w:noProof/>
              </w:rPr>
            </w:pPr>
            <w:r>
              <w:rPr>
                <w:noProof/>
              </w:rPr>
              <w:t>Année</w:t>
            </w:r>
          </w:p>
        </w:tc>
        <w:tc>
          <w:tcPr>
            <w:tcW w:w="4428" w:type="dxa"/>
            <w:vMerge/>
            <w:vAlign w:val="center"/>
          </w:tcPr>
          <w:p w14:paraId="649852DD" w14:textId="77777777" w:rsidR="00025543" w:rsidRDefault="00025543">
            <w:pPr>
              <w:spacing w:line="240" w:lineRule="auto"/>
              <w:jc w:val="center"/>
              <w:rPr>
                <w:noProof/>
                <w:sz w:val="16"/>
              </w:rPr>
            </w:pPr>
          </w:p>
        </w:tc>
      </w:tr>
      <w:tr w:rsidR="00025543" w14:paraId="0F5FD51B" w14:textId="77777777">
        <w:trPr>
          <w:trHeight w:val="945"/>
          <w:jc w:val="center"/>
        </w:trPr>
        <w:tc>
          <w:tcPr>
            <w:tcW w:w="641" w:type="dxa"/>
            <w:tcBorders>
              <w:top w:val="single" w:sz="4" w:space="0" w:color="auto"/>
              <w:left w:val="single" w:sz="4" w:space="0" w:color="auto"/>
              <w:bottom w:val="single" w:sz="4" w:space="0" w:color="auto"/>
              <w:right w:val="single" w:sz="4" w:space="0" w:color="auto"/>
            </w:tcBorders>
            <w:shd w:val="clear" w:color="auto" w:fill="C6EFCE"/>
            <w:vAlign w:val="center"/>
          </w:tcPr>
          <w:p w14:paraId="702C43F4" w14:textId="77777777" w:rsidR="00025543" w:rsidRDefault="007E3A2F">
            <w:pPr>
              <w:pStyle w:val="P68B1DB1-Normal16"/>
              <w:spacing w:line="240" w:lineRule="auto"/>
              <w:jc w:val="center"/>
              <w:rPr>
                <w:noProof/>
              </w:rPr>
            </w:pPr>
            <w:r>
              <w:rPr>
                <w:noProof/>
              </w:rPr>
              <w:t>236</w:t>
            </w:r>
          </w:p>
        </w:tc>
        <w:tc>
          <w:tcPr>
            <w:tcW w:w="1485" w:type="dxa"/>
            <w:tcBorders>
              <w:top w:val="single" w:sz="4" w:space="0" w:color="auto"/>
              <w:left w:val="single" w:sz="4" w:space="0" w:color="auto"/>
              <w:bottom w:val="single" w:sz="4" w:space="0" w:color="auto"/>
              <w:right w:val="single" w:sz="4" w:space="0" w:color="auto"/>
            </w:tcBorders>
            <w:shd w:val="clear" w:color="auto" w:fill="C6EFCE"/>
            <w:vAlign w:val="center"/>
          </w:tcPr>
          <w:p w14:paraId="6D37CE97" w14:textId="77777777" w:rsidR="00025543" w:rsidRDefault="007E3A2F">
            <w:pPr>
              <w:pStyle w:val="P68B1DB1-Normal16"/>
              <w:spacing w:line="240" w:lineRule="auto"/>
              <w:rPr>
                <w:noProof/>
              </w:rPr>
            </w:pPr>
            <w:r>
              <w:rPr>
                <w:noProof/>
              </w:rPr>
              <w:t xml:space="preserve">Réforme 1: Programme oncologique national </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10FD66E0" w14:textId="77777777" w:rsidR="00025543" w:rsidRDefault="007E3A2F">
            <w:pPr>
              <w:pStyle w:val="P68B1DB1-Normal16"/>
              <w:spacing w:line="240" w:lineRule="auto"/>
              <w:rPr>
                <w:noProof/>
              </w:rPr>
            </w:pPr>
            <w:r>
              <w:rPr>
                <w:noProof/>
              </w:rPr>
              <w:t>Étapes</w:t>
            </w:r>
          </w:p>
        </w:tc>
        <w:tc>
          <w:tcPr>
            <w:tcW w:w="1063" w:type="dxa"/>
            <w:tcBorders>
              <w:top w:val="single" w:sz="4" w:space="0" w:color="auto"/>
              <w:left w:val="single" w:sz="4" w:space="0" w:color="auto"/>
              <w:bottom w:val="single" w:sz="4" w:space="0" w:color="auto"/>
              <w:right w:val="single" w:sz="4" w:space="0" w:color="auto"/>
            </w:tcBorders>
            <w:shd w:val="clear" w:color="auto" w:fill="C6EFCE"/>
            <w:vAlign w:val="center"/>
          </w:tcPr>
          <w:p w14:paraId="64606821" w14:textId="77777777" w:rsidR="00025543" w:rsidRDefault="007E3A2F">
            <w:pPr>
              <w:pStyle w:val="P68B1DB1-Normal16"/>
              <w:spacing w:line="240" w:lineRule="auto"/>
              <w:rPr>
                <w:noProof/>
              </w:rPr>
            </w:pPr>
            <w:r>
              <w:rPr>
                <w:noProof/>
              </w:rPr>
              <w:t xml:space="preserve"> Programme oncologique national de la République tchèque 2022-2030</w:t>
            </w:r>
          </w:p>
        </w:tc>
        <w:tc>
          <w:tcPr>
            <w:tcW w:w="1325" w:type="dxa"/>
            <w:tcBorders>
              <w:top w:val="single" w:sz="4" w:space="0" w:color="auto"/>
              <w:left w:val="single" w:sz="4" w:space="0" w:color="auto"/>
              <w:bottom w:val="single" w:sz="4" w:space="0" w:color="auto"/>
              <w:right w:val="single" w:sz="4" w:space="0" w:color="auto"/>
            </w:tcBorders>
            <w:shd w:val="clear" w:color="auto" w:fill="C6EFCE"/>
            <w:vAlign w:val="center"/>
          </w:tcPr>
          <w:p w14:paraId="6187A223" w14:textId="77777777" w:rsidR="00025543" w:rsidRDefault="007E3A2F">
            <w:pPr>
              <w:pStyle w:val="P68B1DB1-Normal16"/>
              <w:spacing w:line="240" w:lineRule="auto"/>
              <w:rPr>
                <w:noProof/>
              </w:rPr>
            </w:pPr>
            <w:r>
              <w:rPr>
                <w:noProof/>
              </w:rPr>
              <w:t xml:space="preserve">Approbation du programme oncologique national 2022-2030 par le gouvernement </w:t>
            </w:r>
          </w:p>
        </w:tc>
        <w:tc>
          <w:tcPr>
            <w:tcW w:w="1011" w:type="dxa"/>
            <w:tcBorders>
              <w:top w:val="single" w:sz="4" w:space="0" w:color="auto"/>
              <w:left w:val="single" w:sz="4" w:space="0" w:color="auto"/>
              <w:bottom w:val="single" w:sz="4" w:space="0" w:color="auto"/>
              <w:right w:val="single" w:sz="4" w:space="0" w:color="auto"/>
            </w:tcBorders>
            <w:shd w:val="clear" w:color="auto" w:fill="C6EFCE"/>
            <w:vAlign w:val="center"/>
          </w:tcPr>
          <w:p w14:paraId="2B6404FD" w14:textId="77777777" w:rsidR="00025543" w:rsidRDefault="00025543">
            <w:pPr>
              <w:spacing w:line="240" w:lineRule="auto"/>
              <w:rPr>
                <w:noProof/>
                <w:color w:val="004300"/>
                <w:sz w:val="18"/>
              </w:rPr>
            </w:pPr>
          </w:p>
        </w:tc>
        <w:tc>
          <w:tcPr>
            <w:tcW w:w="1011" w:type="dxa"/>
            <w:tcBorders>
              <w:top w:val="single" w:sz="4" w:space="0" w:color="auto"/>
              <w:left w:val="single" w:sz="4" w:space="0" w:color="auto"/>
              <w:bottom w:val="single" w:sz="4" w:space="0" w:color="auto"/>
              <w:right w:val="single" w:sz="4" w:space="0" w:color="auto"/>
            </w:tcBorders>
            <w:shd w:val="clear" w:color="auto" w:fill="C6EFCE"/>
            <w:vAlign w:val="center"/>
          </w:tcPr>
          <w:p w14:paraId="37202372" w14:textId="77777777" w:rsidR="00025543" w:rsidRDefault="00025543">
            <w:pPr>
              <w:spacing w:line="240" w:lineRule="auto"/>
              <w:jc w:val="center"/>
              <w:rPr>
                <w:noProof/>
                <w:color w:val="004300"/>
                <w:sz w:val="18"/>
              </w:rPr>
            </w:pPr>
          </w:p>
        </w:tc>
        <w:tc>
          <w:tcPr>
            <w:tcW w:w="803" w:type="dxa"/>
            <w:tcBorders>
              <w:top w:val="single" w:sz="4" w:space="0" w:color="auto"/>
              <w:left w:val="single" w:sz="4" w:space="0" w:color="auto"/>
              <w:bottom w:val="single" w:sz="4" w:space="0" w:color="auto"/>
              <w:right w:val="single" w:sz="4" w:space="0" w:color="auto"/>
            </w:tcBorders>
            <w:shd w:val="clear" w:color="auto" w:fill="C6EFCE"/>
            <w:vAlign w:val="center"/>
          </w:tcPr>
          <w:p w14:paraId="66FC9578" w14:textId="77777777" w:rsidR="00025543" w:rsidRDefault="00025543">
            <w:pPr>
              <w:spacing w:line="240" w:lineRule="auto"/>
              <w:jc w:val="center"/>
              <w:rPr>
                <w:noProof/>
                <w:color w:val="004300"/>
                <w:sz w:val="18"/>
              </w:rPr>
            </w:pPr>
          </w:p>
        </w:tc>
        <w:tc>
          <w:tcPr>
            <w:tcW w:w="964" w:type="dxa"/>
            <w:tcBorders>
              <w:top w:val="single" w:sz="4" w:space="0" w:color="auto"/>
              <w:left w:val="single" w:sz="4" w:space="0" w:color="auto"/>
              <w:bottom w:val="single" w:sz="4" w:space="0" w:color="auto"/>
              <w:right w:val="single" w:sz="4" w:space="0" w:color="auto"/>
            </w:tcBorders>
            <w:shd w:val="clear" w:color="auto" w:fill="C6EFCE"/>
            <w:vAlign w:val="center"/>
          </w:tcPr>
          <w:p w14:paraId="02FEFA42" w14:textId="77777777" w:rsidR="00025543" w:rsidRDefault="007E3A2F">
            <w:pPr>
              <w:pStyle w:val="P68B1DB1-Normal16"/>
              <w:spacing w:line="240" w:lineRule="auto"/>
              <w:jc w:val="center"/>
              <w:rPr>
                <w:noProof/>
              </w:rPr>
            </w:pPr>
            <w:r>
              <w:rPr>
                <w:noProof/>
              </w:rPr>
              <w:t>TRIMESTRE 4</w:t>
            </w:r>
          </w:p>
        </w:tc>
        <w:tc>
          <w:tcPr>
            <w:tcW w:w="961" w:type="dxa"/>
            <w:tcBorders>
              <w:top w:val="single" w:sz="4" w:space="0" w:color="auto"/>
              <w:left w:val="single" w:sz="4" w:space="0" w:color="auto"/>
              <w:bottom w:val="single" w:sz="4" w:space="0" w:color="auto"/>
              <w:right w:val="single" w:sz="4" w:space="0" w:color="auto"/>
            </w:tcBorders>
            <w:shd w:val="clear" w:color="auto" w:fill="C6EFCE"/>
            <w:vAlign w:val="center"/>
          </w:tcPr>
          <w:p w14:paraId="0AD36B67" w14:textId="77777777" w:rsidR="00025543" w:rsidRDefault="007E3A2F">
            <w:pPr>
              <w:pStyle w:val="P68B1DB1-Normal16"/>
              <w:spacing w:line="240" w:lineRule="auto"/>
              <w:jc w:val="center"/>
              <w:rPr>
                <w:noProof/>
              </w:rPr>
            </w:pPr>
            <w:r>
              <w:rPr>
                <w:noProof/>
              </w:rPr>
              <w:t>2021</w:t>
            </w:r>
          </w:p>
        </w:tc>
        <w:tc>
          <w:tcPr>
            <w:tcW w:w="4428" w:type="dxa"/>
            <w:tcBorders>
              <w:top w:val="single" w:sz="4" w:space="0" w:color="auto"/>
              <w:left w:val="single" w:sz="4" w:space="0" w:color="auto"/>
              <w:bottom w:val="single" w:sz="4" w:space="0" w:color="auto"/>
              <w:right w:val="single" w:sz="4" w:space="0" w:color="auto"/>
            </w:tcBorders>
            <w:shd w:val="clear" w:color="auto" w:fill="C6EFCE"/>
            <w:vAlign w:val="center"/>
          </w:tcPr>
          <w:p w14:paraId="6BCC1573" w14:textId="77777777" w:rsidR="00025543" w:rsidRDefault="007E3A2F">
            <w:pPr>
              <w:pStyle w:val="P68B1DB1-Normal16"/>
              <w:spacing w:after="0" w:line="259" w:lineRule="auto"/>
              <w:contextualSpacing/>
              <w:rPr>
                <w:noProof/>
              </w:rPr>
            </w:pPr>
            <w:r>
              <w:rPr>
                <w:noProof/>
              </w:rPr>
              <w:t xml:space="preserve">Le programme oncologique national est élaboré sous la responsabilité de la société tchèque d’oncologie en consultation avec les principaux acteurs et parties prenantes, en particulier le ministère de la santé, les centres nationaux d’oncologie, les centres de soins de cancer et d’hématologie hautement spécialisés, l’Institut d’information et de statistiques sur la santé, les représentants des prestataires de soins de santé, les compagnies d’assurance maladie et les associations de patients. </w:t>
            </w:r>
          </w:p>
        </w:tc>
      </w:tr>
      <w:tr w:rsidR="00025543" w14:paraId="4F85D084" w14:textId="77777777">
        <w:trPr>
          <w:trHeight w:val="2508"/>
          <w:jc w:val="center"/>
        </w:trPr>
        <w:tc>
          <w:tcPr>
            <w:tcW w:w="641" w:type="dxa"/>
            <w:tcBorders>
              <w:top w:val="single" w:sz="4" w:space="0" w:color="auto"/>
              <w:left w:val="single" w:sz="4" w:space="0" w:color="auto"/>
              <w:bottom w:val="single" w:sz="4" w:space="0" w:color="auto"/>
              <w:right w:val="single" w:sz="4" w:space="0" w:color="auto"/>
            </w:tcBorders>
            <w:shd w:val="clear" w:color="auto" w:fill="C6EFCE"/>
            <w:vAlign w:val="center"/>
          </w:tcPr>
          <w:p w14:paraId="6A7F2C92" w14:textId="77777777" w:rsidR="00025543" w:rsidRDefault="007E3A2F">
            <w:pPr>
              <w:pStyle w:val="P68B1DB1-Normal16"/>
              <w:spacing w:line="240" w:lineRule="auto"/>
              <w:jc w:val="center"/>
              <w:rPr>
                <w:noProof/>
              </w:rPr>
            </w:pPr>
            <w:r>
              <w:rPr>
                <w:noProof/>
              </w:rPr>
              <w:t>237</w:t>
            </w:r>
          </w:p>
        </w:tc>
        <w:tc>
          <w:tcPr>
            <w:tcW w:w="1485" w:type="dxa"/>
            <w:tcBorders>
              <w:top w:val="single" w:sz="4" w:space="0" w:color="auto"/>
              <w:left w:val="single" w:sz="4" w:space="0" w:color="auto"/>
              <w:bottom w:val="single" w:sz="4" w:space="0" w:color="auto"/>
              <w:right w:val="single" w:sz="4" w:space="0" w:color="auto"/>
            </w:tcBorders>
            <w:shd w:val="clear" w:color="auto" w:fill="C6EFCE"/>
            <w:vAlign w:val="center"/>
          </w:tcPr>
          <w:p w14:paraId="2BDDCCFC" w14:textId="77777777" w:rsidR="00025543" w:rsidRDefault="007E3A2F">
            <w:pPr>
              <w:pStyle w:val="P68B1DB1-Normal16"/>
              <w:spacing w:line="240" w:lineRule="auto"/>
              <w:rPr>
                <w:noProof/>
              </w:rPr>
            </w:pPr>
            <w:r>
              <w:rPr>
                <w:noProof/>
              </w:rPr>
              <w:t>Réforme 2: Soutenir et améliorer la qualité des programmes de dépistage préventif</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770DA142" w14:textId="77777777" w:rsidR="00025543" w:rsidRDefault="007E3A2F">
            <w:pPr>
              <w:pStyle w:val="P68B1DB1-Normal16"/>
              <w:spacing w:line="240" w:lineRule="auto"/>
              <w:rPr>
                <w:noProof/>
              </w:rPr>
            </w:pPr>
            <w:r>
              <w:rPr>
                <w:noProof/>
              </w:rPr>
              <w:t>Étapes</w:t>
            </w:r>
          </w:p>
        </w:tc>
        <w:tc>
          <w:tcPr>
            <w:tcW w:w="1063" w:type="dxa"/>
            <w:tcBorders>
              <w:top w:val="single" w:sz="4" w:space="0" w:color="auto"/>
              <w:left w:val="single" w:sz="4" w:space="0" w:color="auto"/>
              <w:bottom w:val="single" w:sz="4" w:space="0" w:color="auto"/>
              <w:right w:val="single" w:sz="4" w:space="0" w:color="auto"/>
            </w:tcBorders>
            <w:shd w:val="clear" w:color="auto" w:fill="C6EFCE"/>
            <w:vAlign w:val="center"/>
          </w:tcPr>
          <w:p w14:paraId="60F04647" w14:textId="77777777" w:rsidR="00025543" w:rsidRDefault="007E3A2F">
            <w:pPr>
              <w:pStyle w:val="P68B1DB1-Normal15"/>
              <w:spacing w:line="240" w:lineRule="auto"/>
              <w:rPr>
                <w:noProof/>
              </w:rPr>
            </w:pPr>
            <w:r>
              <w:rPr>
                <w:noProof/>
              </w:rPr>
              <w:t xml:space="preserve">Désignation d’une institution chargée de la coordination des programmes de dépistage oncologique </w:t>
            </w:r>
          </w:p>
        </w:tc>
        <w:tc>
          <w:tcPr>
            <w:tcW w:w="1325" w:type="dxa"/>
            <w:tcBorders>
              <w:top w:val="single" w:sz="4" w:space="0" w:color="auto"/>
              <w:left w:val="single" w:sz="4" w:space="0" w:color="auto"/>
              <w:bottom w:val="single" w:sz="4" w:space="0" w:color="auto"/>
              <w:right w:val="single" w:sz="4" w:space="0" w:color="auto"/>
            </w:tcBorders>
            <w:shd w:val="clear" w:color="auto" w:fill="C6EFCE"/>
            <w:vAlign w:val="center"/>
          </w:tcPr>
          <w:p w14:paraId="7CC501CF" w14:textId="77777777" w:rsidR="00025543" w:rsidRDefault="007E3A2F">
            <w:pPr>
              <w:pStyle w:val="P68B1DB1-Normal16"/>
              <w:spacing w:line="240" w:lineRule="auto"/>
              <w:rPr>
                <w:noProof/>
              </w:rPr>
            </w:pPr>
            <w:r>
              <w:rPr>
                <w:noProof/>
              </w:rPr>
              <w:t xml:space="preserve">Centre national de dépistage désigné par le gouvernement en tant qu’organisme responsable de la coordination des programmes de dépistage du cancer </w:t>
            </w:r>
          </w:p>
        </w:tc>
        <w:tc>
          <w:tcPr>
            <w:tcW w:w="1011" w:type="dxa"/>
            <w:tcBorders>
              <w:top w:val="single" w:sz="4" w:space="0" w:color="auto"/>
              <w:left w:val="single" w:sz="4" w:space="0" w:color="auto"/>
              <w:bottom w:val="single" w:sz="4" w:space="0" w:color="auto"/>
              <w:right w:val="single" w:sz="4" w:space="0" w:color="auto"/>
            </w:tcBorders>
            <w:shd w:val="clear" w:color="auto" w:fill="C6EFCE"/>
            <w:vAlign w:val="center"/>
          </w:tcPr>
          <w:p w14:paraId="2CE3513F" w14:textId="77777777" w:rsidR="00025543" w:rsidRDefault="00025543">
            <w:pPr>
              <w:spacing w:line="240" w:lineRule="auto"/>
              <w:rPr>
                <w:noProof/>
                <w:color w:val="004300"/>
                <w:sz w:val="18"/>
              </w:rPr>
            </w:pPr>
          </w:p>
        </w:tc>
        <w:tc>
          <w:tcPr>
            <w:tcW w:w="1011" w:type="dxa"/>
            <w:tcBorders>
              <w:top w:val="single" w:sz="4" w:space="0" w:color="auto"/>
              <w:left w:val="single" w:sz="4" w:space="0" w:color="auto"/>
              <w:bottom w:val="single" w:sz="4" w:space="0" w:color="auto"/>
              <w:right w:val="single" w:sz="4" w:space="0" w:color="auto"/>
            </w:tcBorders>
            <w:shd w:val="clear" w:color="auto" w:fill="C6EFCE"/>
            <w:vAlign w:val="center"/>
          </w:tcPr>
          <w:p w14:paraId="27B098DB" w14:textId="77777777" w:rsidR="00025543" w:rsidRDefault="00025543">
            <w:pPr>
              <w:spacing w:line="240" w:lineRule="auto"/>
              <w:jc w:val="center"/>
              <w:rPr>
                <w:noProof/>
                <w:color w:val="004300"/>
                <w:sz w:val="18"/>
              </w:rPr>
            </w:pPr>
          </w:p>
        </w:tc>
        <w:tc>
          <w:tcPr>
            <w:tcW w:w="803" w:type="dxa"/>
            <w:tcBorders>
              <w:top w:val="single" w:sz="4" w:space="0" w:color="auto"/>
              <w:left w:val="single" w:sz="4" w:space="0" w:color="auto"/>
              <w:bottom w:val="single" w:sz="4" w:space="0" w:color="auto"/>
              <w:right w:val="single" w:sz="4" w:space="0" w:color="auto"/>
            </w:tcBorders>
            <w:shd w:val="clear" w:color="auto" w:fill="C6EFCE"/>
            <w:vAlign w:val="center"/>
          </w:tcPr>
          <w:p w14:paraId="3CE4E186" w14:textId="77777777" w:rsidR="00025543" w:rsidRDefault="00025543">
            <w:pPr>
              <w:spacing w:line="240" w:lineRule="auto"/>
              <w:jc w:val="center"/>
              <w:rPr>
                <w:noProof/>
                <w:color w:val="004300"/>
                <w:sz w:val="18"/>
              </w:rPr>
            </w:pPr>
          </w:p>
        </w:tc>
        <w:tc>
          <w:tcPr>
            <w:tcW w:w="964" w:type="dxa"/>
            <w:tcBorders>
              <w:top w:val="single" w:sz="4" w:space="0" w:color="auto"/>
              <w:left w:val="single" w:sz="4" w:space="0" w:color="auto"/>
              <w:bottom w:val="single" w:sz="4" w:space="0" w:color="auto"/>
              <w:right w:val="single" w:sz="4" w:space="0" w:color="auto"/>
            </w:tcBorders>
            <w:shd w:val="clear" w:color="auto" w:fill="C6EFCE"/>
            <w:vAlign w:val="center"/>
          </w:tcPr>
          <w:p w14:paraId="33ACB4F6" w14:textId="77777777" w:rsidR="00025543" w:rsidRDefault="007E3A2F">
            <w:pPr>
              <w:pStyle w:val="P68B1DB1-Normal16"/>
              <w:spacing w:line="240" w:lineRule="auto"/>
              <w:jc w:val="center"/>
              <w:rPr>
                <w:noProof/>
                <w:highlight w:val="yellow"/>
              </w:rPr>
            </w:pPr>
            <w:r>
              <w:rPr>
                <w:noProof/>
              </w:rPr>
              <w:t>TRIMESTRE 2</w:t>
            </w:r>
          </w:p>
        </w:tc>
        <w:tc>
          <w:tcPr>
            <w:tcW w:w="961" w:type="dxa"/>
            <w:tcBorders>
              <w:top w:val="single" w:sz="4" w:space="0" w:color="auto"/>
              <w:left w:val="single" w:sz="4" w:space="0" w:color="auto"/>
              <w:bottom w:val="single" w:sz="4" w:space="0" w:color="auto"/>
              <w:right w:val="single" w:sz="4" w:space="0" w:color="auto"/>
            </w:tcBorders>
            <w:shd w:val="clear" w:color="auto" w:fill="C6EFCE"/>
            <w:vAlign w:val="center"/>
          </w:tcPr>
          <w:p w14:paraId="03A70EB2" w14:textId="77777777" w:rsidR="00025543" w:rsidRDefault="007E3A2F">
            <w:pPr>
              <w:pStyle w:val="P68B1DB1-Normal16"/>
              <w:spacing w:line="240" w:lineRule="auto"/>
              <w:jc w:val="center"/>
              <w:rPr>
                <w:noProof/>
                <w:highlight w:val="yellow"/>
              </w:rPr>
            </w:pPr>
            <w:r>
              <w:rPr>
                <w:noProof/>
              </w:rPr>
              <w:t>2025</w:t>
            </w:r>
          </w:p>
        </w:tc>
        <w:tc>
          <w:tcPr>
            <w:tcW w:w="4428" w:type="dxa"/>
            <w:tcBorders>
              <w:top w:val="single" w:sz="4" w:space="0" w:color="auto"/>
              <w:left w:val="single" w:sz="4" w:space="0" w:color="auto"/>
              <w:bottom w:val="single" w:sz="4" w:space="0" w:color="auto"/>
              <w:right w:val="single" w:sz="4" w:space="0" w:color="auto"/>
            </w:tcBorders>
            <w:shd w:val="clear" w:color="auto" w:fill="C6EFCE"/>
            <w:vAlign w:val="center"/>
          </w:tcPr>
          <w:p w14:paraId="3AEB8786" w14:textId="77777777" w:rsidR="00025543" w:rsidRDefault="007E3A2F">
            <w:pPr>
              <w:pStyle w:val="P68B1DB1-Normal16"/>
              <w:spacing w:line="240" w:lineRule="auto"/>
              <w:rPr>
                <w:noProof/>
              </w:rPr>
            </w:pPr>
            <w:r>
              <w:rPr>
                <w:noProof/>
              </w:rPr>
              <w:t xml:space="preserve">Le centre national de filtrage est chargé: </w:t>
            </w:r>
          </w:p>
          <w:p w14:paraId="78BAF6BE" w14:textId="77777777" w:rsidR="00025543" w:rsidRDefault="007E3A2F">
            <w:pPr>
              <w:pStyle w:val="P68B1DB1-Normal16"/>
              <w:numPr>
                <w:ilvl w:val="0"/>
                <w:numId w:val="193"/>
              </w:numPr>
              <w:spacing w:after="0" w:line="259" w:lineRule="auto"/>
              <w:contextualSpacing/>
              <w:jc w:val="both"/>
              <w:rPr>
                <w:rFonts w:eastAsia="Times New Roman"/>
                <w:noProof/>
              </w:rPr>
            </w:pPr>
            <w:r>
              <w:rPr>
                <w:noProof/>
              </w:rPr>
              <w:t xml:space="preserve">coordination, planification, suivi et évaluation des programmes de dépistage </w:t>
            </w:r>
          </w:p>
          <w:p w14:paraId="3798D9C6" w14:textId="77777777" w:rsidR="00025543" w:rsidRDefault="007E3A2F">
            <w:pPr>
              <w:pStyle w:val="P68B1DB1-Normal16"/>
              <w:numPr>
                <w:ilvl w:val="0"/>
                <w:numId w:val="193"/>
              </w:numPr>
              <w:spacing w:after="0" w:line="259" w:lineRule="auto"/>
              <w:contextualSpacing/>
              <w:jc w:val="both"/>
              <w:rPr>
                <w:rFonts w:eastAsia="Times New Roman"/>
                <w:noProof/>
              </w:rPr>
            </w:pPr>
            <w:r>
              <w:rPr>
                <w:noProof/>
              </w:rPr>
              <w:t xml:space="preserve">la mise en place d’un système prédictif permettant de planifier de nouveaux programmes de prévention et d’estimer leur rapport coût-efficacité et leur impact dans le système public d’assurance-maladie; </w:t>
            </w:r>
          </w:p>
          <w:p w14:paraId="7DE7596B" w14:textId="77777777" w:rsidR="00025543" w:rsidRDefault="007E3A2F">
            <w:pPr>
              <w:pStyle w:val="P68B1DB1-Normal16"/>
              <w:numPr>
                <w:ilvl w:val="0"/>
                <w:numId w:val="193"/>
              </w:numPr>
              <w:spacing w:after="0" w:line="259" w:lineRule="auto"/>
              <w:contextualSpacing/>
              <w:jc w:val="both"/>
              <w:rPr>
                <w:rFonts w:eastAsia="Times New Roman"/>
                <w:noProof/>
              </w:rPr>
            </w:pPr>
            <w:r>
              <w:rPr>
                <w:noProof/>
              </w:rPr>
              <w:t>création d’une base de données pour le suivi et l’évaluation des programmes de dépistage, y compris la mise en place d’un tableau de bord d’indicateurs de qualité</w:t>
            </w:r>
          </w:p>
          <w:p w14:paraId="2F5E4B91" w14:textId="77777777" w:rsidR="00025543" w:rsidRDefault="007E3A2F">
            <w:pPr>
              <w:pStyle w:val="P68B1DB1-Normal16"/>
              <w:numPr>
                <w:ilvl w:val="0"/>
                <w:numId w:val="193"/>
              </w:numPr>
              <w:spacing w:after="0" w:line="259" w:lineRule="auto"/>
              <w:contextualSpacing/>
              <w:jc w:val="both"/>
              <w:rPr>
                <w:noProof/>
              </w:rPr>
            </w:pPr>
            <w:r>
              <w:rPr>
                <w:noProof/>
              </w:rPr>
              <w:t xml:space="preserve">piloter de nouveaux programmes de dépistage </w:t>
            </w:r>
          </w:p>
        </w:tc>
      </w:tr>
      <w:tr w:rsidR="00025543" w14:paraId="3729637B" w14:textId="77777777">
        <w:trPr>
          <w:trHeight w:val="389"/>
          <w:jc w:val="center"/>
        </w:trPr>
        <w:tc>
          <w:tcPr>
            <w:tcW w:w="641" w:type="dxa"/>
            <w:tcBorders>
              <w:top w:val="single" w:sz="4" w:space="0" w:color="auto"/>
              <w:left w:val="single" w:sz="4" w:space="0" w:color="auto"/>
              <w:bottom w:val="single" w:sz="4" w:space="0" w:color="auto"/>
              <w:right w:val="single" w:sz="4" w:space="0" w:color="auto"/>
            </w:tcBorders>
            <w:shd w:val="clear" w:color="auto" w:fill="C6EFCE"/>
            <w:vAlign w:val="center"/>
          </w:tcPr>
          <w:p w14:paraId="5B9D45CC" w14:textId="77777777" w:rsidR="00025543" w:rsidRDefault="007E3A2F">
            <w:pPr>
              <w:pStyle w:val="P68B1DB1-Normal16"/>
              <w:spacing w:line="240" w:lineRule="auto"/>
              <w:jc w:val="center"/>
              <w:rPr>
                <w:noProof/>
              </w:rPr>
            </w:pPr>
            <w:r>
              <w:rPr>
                <w:noProof/>
              </w:rPr>
              <w:t>238</w:t>
            </w:r>
          </w:p>
        </w:tc>
        <w:tc>
          <w:tcPr>
            <w:tcW w:w="1485" w:type="dxa"/>
            <w:tcBorders>
              <w:top w:val="single" w:sz="4" w:space="0" w:color="auto"/>
              <w:left w:val="single" w:sz="4" w:space="0" w:color="auto"/>
              <w:bottom w:val="single" w:sz="4" w:space="0" w:color="auto"/>
              <w:right w:val="single" w:sz="4" w:space="0" w:color="auto"/>
            </w:tcBorders>
            <w:shd w:val="clear" w:color="auto" w:fill="C6EFCE"/>
            <w:vAlign w:val="center"/>
          </w:tcPr>
          <w:p w14:paraId="3B8B87E3" w14:textId="77777777" w:rsidR="00025543" w:rsidRDefault="007E3A2F">
            <w:pPr>
              <w:pStyle w:val="P68B1DB1-Normal16"/>
              <w:spacing w:line="240" w:lineRule="auto"/>
              <w:rPr>
                <w:noProof/>
              </w:rPr>
            </w:pPr>
            <w:r>
              <w:rPr>
                <w:noProof/>
              </w:rPr>
              <w:t>Réforme 2: Soutenir et améliorer la qualité des programmes de dépistage préventif</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72E8F511" w14:textId="77777777" w:rsidR="00025543" w:rsidRDefault="007E3A2F">
            <w:pPr>
              <w:pStyle w:val="P68B1DB1-Normal16"/>
              <w:spacing w:line="240" w:lineRule="auto"/>
              <w:rPr>
                <w:noProof/>
              </w:rPr>
            </w:pPr>
            <w:r>
              <w:rPr>
                <w:noProof/>
              </w:rPr>
              <w:t>Cible</w:t>
            </w:r>
          </w:p>
        </w:tc>
        <w:tc>
          <w:tcPr>
            <w:tcW w:w="1063" w:type="dxa"/>
            <w:tcBorders>
              <w:top w:val="single" w:sz="4" w:space="0" w:color="auto"/>
              <w:left w:val="single" w:sz="4" w:space="0" w:color="auto"/>
              <w:bottom w:val="single" w:sz="4" w:space="0" w:color="auto"/>
              <w:right w:val="single" w:sz="4" w:space="0" w:color="auto"/>
            </w:tcBorders>
            <w:shd w:val="clear" w:color="auto" w:fill="C6EFCE"/>
            <w:vAlign w:val="center"/>
          </w:tcPr>
          <w:p w14:paraId="6E0E72B3" w14:textId="77777777" w:rsidR="00025543" w:rsidRDefault="007E3A2F">
            <w:pPr>
              <w:pStyle w:val="P68B1DB1-Normal15"/>
              <w:spacing w:line="240" w:lineRule="auto"/>
              <w:rPr>
                <w:noProof/>
              </w:rPr>
            </w:pPr>
            <w:r>
              <w:rPr>
                <w:noProof/>
              </w:rPr>
              <w:t>Augmentation de la couverture de la population cible par le programme de dépistage du cancer colorectal</w:t>
            </w:r>
          </w:p>
        </w:tc>
        <w:tc>
          <w:tcPr>
            <w:tcW w:w="1325" w:type="dxa"/>
            <w:tcBorders>
              <w:top w:val="single" w:sz="4" w:space="0" w:color="auto"/>
              <w:left w:val="single" w:sz="4" w:space="0" w:color="auto"/>
              <w:bottom w:val="single" w:sz="4" w:space="0" w:color="auto"/>
              <w:right w:val="single" w:sz="4" w:space="0" w:color="auto"/>
            </w:tcBorders>
            <w:shd w:val="clear" w:color="auto" w:fill="C6EFCE"/>
            <w:vAlign w:val="bottom"/>
          </w:tcPr>
          <w:p w14:paraId="3B534207" w14:textId="77777777" w:rsidR="00025543" w:rsidRDefault="00025543">
            <w:pPr>
              <w:spacing w:line="240" w:lineRule="auto"/>
              <w:rPr>
                <w:noProof/>
                <w:color w:val="004300"/>
                <w:sz w:val="18"/>
              </w:rPr>
            </w:pPr>
          </w:p>
        </w:tc>
        <w:tc>
          <w:tcPr>
            <w:tcW w:w="1011" w:type="dxa"/>
            <w:tcBorders>
              <w:top w:val="single" w:sz="4" w:space="0" w:color="auto"/>
              <w:left w:val="single" w:sz="4" w:space="0" w:color="auto"/>
              <w:bottom w:val="single" w:sz="4" w:space="0" w:color="auto"/>
              <w:right w:val="single" w:sz="4" w:space="0" w:color="auto"/>
            </w:tcBorders>
            <w:shd w:val="clear" w:color="auto" w:fill="C6EFCE"/>
            <w:vAlign w:val="center"/>
          </w:tcPr>
          <w:p w14:paraId="0418C9E8" w14:textId="77777777" w:rsidR="00025543" w:rsidRDefault="007E3A2F">
            <w:pPr>
              <w:pStyle w:val="P68B1DB1-Normal16"/>
              <w:spacing w:line="240" w:lineRule="auto"/>
              <w:jc w:val="center"/>
              <w:rPr>
                <w:noProof/>
              </w:rPr>
            </w:pPr>
            <w:r>
              <w:rPr>
                <w:noProof/>
              </w:rPr>
              <w:t>%</w:t>
            </w:r>
          </w:p>
        </w:tc>
        <w:tc>
          <w:tcPr>
            <w:tcW w:w="1011" w:type="dxa"/>
            <w:tcBorders>
              <w:top w:val="single" w:sz="4" w:space="0" w:color="auto"/>
              <w:left w:val="single" w:sz="4" w:space="0" w:color="auto"/>
              <w:bottom w:val="single" w:sz="4" w:space="0" w:color="auto"/>
              <w:right w:val="single" w:sz="4" w:space="0" w:color="auto"/>
            </w:tcBorders>
            <w:shd w:val="clear" w:color="auto" w:fill="C6EFCE"/>
            <w:vAlign w:val="center"/>
          </w:tcPr>
          <w:p w14:paraId="46068812" w14:textId="77777777" w:rsidR="00025543" w:rsidRDefault="007E3A2F">
            <w:pPr>
              <w:pStyle w:val="P68B1DB1-Normal16"/>
              <w:spacing w:line="240" w:lineRule="auto"/>
              <w:jc w:val="center"/>
              <w:rPr>
                <w:noProof/>
              </w:rPr>
            </w:pPr>
            <w:r>
              <w:rPr>
                <w:noProof/>
              </w:rPr>
              <w:t>34</w:t>
            </w:r>
          </w:p>
        </w:tc>
        <w:tc>
          <w:tcPr>
            <w:tcW w:w="803" w:type="dxa"/>
            <w:tcBorders>
              <w:top w:val="single" w:sz="4" w:space="0" w:color="auto"/>
              <w:left w:val="single" w:sz="4" w:space="0" w:color="auto"/>
              <w:bottom w:val="single" w:sz="4" w:space="0" w:color="auto"/>
              <w:right w:val="single" w:sz="4" w:space="0" w:color="auto"/>
            </w:tcBorders>
            <w:shd w:val="clear" w:color="auto" w:fill="C6EFCE"/>
            <w:vAlign w:val="center"/>
          </w:tcPr>
          <w:p w14:paraId="039EFCA0" w14:textId="77777777" w:rsidR="00025543" w:rsidRDefault="007E3A2F">
            <w:pPr>
              <w:pStyle w:val="P68B1DB1-Normal16"/>
              <w:spacing w:line="240" w:lineRule="auto"/>
              <w:jc w:val="center"/>
              <w:rPr>
                <w:noProof/>
              </w:rPr>
            </w:pPr>
            <w:r>
              <w:rPr>
                <w:noProof/>
              </w:rPr>
              <w:t>40</w:t>
            </w:r>
          </w:p>
        </w:tc>
        <w:tc>
          <w:tcPr>
            <w:tcW w:w="964" w:type="dxa"/>
            <w:tcBorders>
              <w:top w:val="single" w:sz="4" w:space="0" w:color="auto"/>
              <w:left w:val="single" w:sz="4" w:space="0" w:color="auto"/>
              <w:bottom w:val="single" w:sz="4" w:space="0" w:color="auto"/>
              <w:right w:val="single" w:sz="4" w:space="0" w:color="auto"/>
            </w:tcBorders>
            <w:shd w:val="clear" w:color="auto" w:fill="C6EFCE"/>
            <w:vAlign w:val="center"/>
          </w:tcPr>
          <w:p w14:paraId="054E30B0" w14:textId="77777777" w:rsidR="00025543" w:rsidRDefault="007E3A2F">
            <w:pPr>
              <w:pStyle w:val="P68B1DB1-Normal16"/>
              <w:spacing w:line="240" w:lineRule="auto"/>
              <w:jc w:val="center"/>
              <w:rPr>
                <w:noProof/>
              </w:rPr>
            </w:pPr>
            <w:r>
              <w:rPr>
                <w:noProof/>
              </w:rPr>
              <w:t>TRIMESTRE 2</w:t>
            </w:r>
          </w:p>
        </w:tc>
        <w:tc>
          <w:tcPr>
            <w:tcW w:w="961" w:type="dxa"/>
            <w:tcBorders>
              <w:top w:val="single" w:sz="4" w:space="0" w:color="auto"/>
              <w:left w:val="single" w:sz="4" w:space="0" w:color="auto"/>
              <w:bottom w:val="single" w:sz="4" w:space="0" w:color="auto"/>
              <w:right w:val="single" w:sz="4" w:space="0" w:color="auto"/>
            </w:tcBorders>
            <w:shd w:val="clear" w:color="auto" w:fill="C6EFCE"/>
            <w:vAlign w:val="center"/>
          </w:tcPr>
          <w:p w14:paraId="23AE8A02" w14:textId="77777777" w:rsidR="00025543" w:rsidRDefault="007E3A2F">
            <w:pPr>
              <w:pStyle w:val="P68B1DB1-Normal16"/>
              <w:spacing w:line="240" w:lineRule="auto"/>
              <w:jc w:val="center"/>
              <w:rPr>
                <w:noProof/>
              </w:rPr>
            </w:pPr>
            <w:r>
              <w:rPr>
                <w:noProof/>
              </w:rPr>
              <w:t>2026</w:t>
            </w:r>
          </w:p>
        </w:tc>
        <w:tc>
          <w:tcPr>
            <w:tcW w:w="4428" w:type="dxa"/>
            <w:tcBorders>
              <w:top w:val="single" w:sz="4" w:space="0" w:color="auto"/>
              <w:left w:val="single" w:sz="4" w:space="0" w:color="auto"/>
              <w:bottom w:val="single" w:sz="4" w:space="0" w:color="auto"/>
              <w:right w:val="single" w:sz="4" w:space="0" w:color="auto"/>
            </w:tcBorders>
            <w:shd w:val="clear" w:color="auto" w:fill="C6EFCE"/>
            <w:vAlign w:val="center"/>
          </w:tcPr>
          <w:p w14:paraId="79F13FCC" w14:textId="6B58EB79" w:rsidR="00025543" w:rsidRDefault="007E3A2F">
            <w:pPr>
              <w:pStyle w:val="P68B1DB1-Normal16"/>
              <w:spacing w:line="240" w:lineRule="auto"/>
              <w:rPr>
                <w:noProof/>
              </w:rPr>
            </w:pPr>
            <w:r>
              <w:rPr>
                <w:noProof/>
              </w:rPr>
              <w:t>La participation de la population cible au test de dépistage approprié (par exemple, l’essai bisannuel sur le sang occulte de la faune) doit atteindre au moins 40 %.</w:t>
            </w:r>
          </w:p>
          <w:p w14:paraId="4D4E5E64" w14:textId="160936BF" w:rsidR="00025543" w:rsidRDefault="00025543">
            <w:pPr>
              <w:rPr>
                <w:noProof/>
                <w:sz w:val="18"/>
              </w:rPr>
            </w:pPr>
          </w:p>
          <w:p w14:paraId="7A86077D" w14:textId="77777777" w:rsidR="00025543" w:rsidRDefault="00025543">
            <w:pPr>
              <w:rPr>
                <w:noProof/>
                <w:sz w:val="18"/>
              </w:rPr>
            </w:pPr>
          </w:p>
        </w:tc>
      </w:tr>
      <w:tr w:rsidR="00025543" w14:paraId="20F8864B" w14:textId="77777777">
        <w:trPr>
          <w:trHeight w:val="603"/>
          <w:jc w:val="center"/>
        </w:trPr>
        <w:tc>
          <w:tcPr>
            <w:tcW w:w="641" w:type="dxa"/>
            <w:tcBorders>
              <w:top w:val="single" w:sz="4" w:space="0" w:color="auto"/>
              <w:left w:val="single" w:sz="4" w:space="0" w:color="auto"/>
              <w:bottom w:val="single" w:sz="4" w:space="0" w:color="auto"/>
              <w:right w:val="single" w:sz="4" w:space="0" w:color="auto"/>
            </w:tcBorders>
            <w:shd w:val="clear" w:color="auto" w:fill="C6EFCE"/>
            <w:vAlign w:val="center"/>
          </w:tcPr>
          <w:p w14:paraId="49DA2E97" w14:textId="77777777" w:rsidR="00025543" w:rsidRDefault="007E3A2F">
            <w:pPr>
              <w:pStyle w:val="P68B1DB1-Normal16"/>
              <w:spacing w:line="240" w:lineRule="auto"/>
              <w:jc w:val="center"/>
              <w:rPr>
                <w:noProof/>
              </w:rPr>
            </w:pPr>
            <w:r>
              <w:rPr>
                <w:noProof/>
              </w:rPr>
              <w:t>239</w:t>
            </w:r>
          </w:p>
        </w:tc>
        <w:tc>
          <w:tcPr>
            <w:tcW w:w="1485" w:type="dxa"/>
            <w:tcBorders>
              <w:top w:val="single" w:sz="4" w:space="0" w:color="auto"/>
              <w:left w:val="single" w:sz="4" w:space="0" w:color="auto"/>
              <w:bottom w:val="single" w:sz="4" w:space="0" w:color="auto"/>
              <w:right w:val="single" w:sz="4" w:space="0" w:color="auto"/>
            </w:tcBorders>
            <w:shd w:val="clear" w:color="auto" w:fill="C6EFCE"/>
            <w:vAlign w:val="center"/>
          </w:tcPr>
          <w:p w14:paraId="523A2694" w14:textId="77777777" w:rsidR="00025543" w:rsidRDefault="007E3A2F">
            <w:pPr>
              <w:pStyle w:val="P68B1DB1-Normal16"/>
              <w:spacing w:line="240" w:lineRule="auto"/>
              <w:rPr>
                <w:noProof/>
              </w:rPr>
            </w:pPr>
            <w:r>
              <w:rPr>
                <w:noProof/>
              </w:rPr>
              <w:t>Réforme 2: Soutenir et améliorer la qualité des programmes de dépistage préventif</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1BE6DFCC" w14:textId="77777777" w:rsidR="00025543" w:rsidRDefault="007E3A2F">
            <w:pPr>
              <w:pStyle w:val="P68B1DB1-Normal16"/>
              <w:spacing w:line="240" w:lineRule="auto"/>
              <w:rPr>
                <w:noProof/>
              </w:rPr>
            </w:pPr>
            <w:r>
              <w:rPr>
                <w:noProof/>
              </w:rPr>
              <w:t>Cible</w:t>
            </w:r>
          </w:p>
        </w:tc>
        <w:tc>
          <w:tcPr>
            <w:tcW w:w="1063" w:type="dxa"/>
            <w:tcBorders>
              <w:top w:val="single" w:sz="4" w:space="0" w:color="auto"/>
              <w:left w:val="single" w:sz="4" w:space="0" w:color="auto"/>
              <w:bottom w:val="single" w:sz="4" w:space="0" w:color="auto"/>
              <w:right w:val="single" w:sz="4" w:space="0" w:color="auto"/>
            </w:tcBorders>
            <w:shd w:val="clear" w:color="auto" w:fill="C6EFCE"/>
            <w:vAlign w:val="center"/>
          </w:tcPr>
          <w:p w14:paraId="03245B65" w14:textId="77777777" w:rsidR="00025543" w:rsidRDefault="007E3A2F">
            <w:pPr>
              <w:pStyle w:val="P68B1DB1-Normal15"/>
              <w:spacing w:line="240" w:lineRule="auto"/>
              <w:rPr>
                <w:noProof/>
              </w:rPr>
            </w:pPr>
            <w:r>
              <w:rPr>
                <w:noProof/>
              </w:rPr>
              <w:t>Nombre de participants au nouveau programme de détection précoce du cancer du poumon</w:t>
            </w:r>
          </w:p>
        </w:tc>
        <w:tc>
          <w:tcPr>
            <w:tcW w:w="1325" w:type="dxa"/>
            <w:tcBorders>
              <w:top w:val="single" w:sz="4" w:space="0" w:color="auto"/>
              <w:left w:val="single" w:sz="4" w:space="0" w:color="auto"/>
              <w:bottom w:val="single" w:sz="4" w:space="0" w:color="auto"/>
              <w:right w:val="single" w:sz="4" w:space="0" w:color="auto"/>
            </w:tcBorders>
            <w:shd w:val="clear" w:color="auto" w:fill="C6EFCE"/>
            <w:vAlign w:val="bottom"/>
          </w:tcPr>
          <w:p w14:paraId="24D2F3B5" w14:textId="77777777" w:rsidR="00025543" w:rsidRDefault="00025543">
            <w:pPr>
              <w:spacing w:line="240" w:lineRule="auto"/>
              <w:rPr>
                <w:noProof/>
                <w:color w:val="004300"/>
                <w:sz w:val="18"/>
              </w:rPr>
            </w:pPr>
          </w:p>
        </w:tc>
        <w:tc>
          <w:tcPr>
            <w:tcW w:w="1011" w:type="dxa"/>
            <w:tcBorders>
              <w:top w:val="single" w:sz="4" w:space="0" w:color="auto"/>
              <w:left w:val="single" w:sz="4" w:space="0" w:color="auto"/>
              <w:bottom w:val="single" w:sz="4" w:space="0" w:color="auto"/>
              <w:right w:val="single" w:sz="4" w:space="0" w:color="auto"/>
            </w:tcBorders>
            <w:shd w:val="clear" w:color="auto" w:fill="C6EFCE"/>
            <w:vAlign w:val="center"/>
          </w:tcPr>
          <w:p w14:paraId="4BDC1B35" w14:textId="77777777" w:rsidR="00025543" w:rsidRDefault="007E3A2F">
            <w:pPr>
              <w:pStyle w:val="P68B1DB1-Normal16"/>
              <w:spacing w:line="240" w:lineRule="auto"/>
              <w:rPr>
                <w:noProof/>
              </w:rPr>
            </w:pPr>
            <w:r>
              <w:rPr>
                <w:noProof/>
              </w:rPr>
              <w:t xml:space="preserve">Numéro </w:t>
            </w:r>
          </w:p>
        </w:tc>
        <w:tc>
          <w:tcPr>
            <w:tcW w:w="1011" w:type="dxa"/>
            <w:tcBorders>
              <w:top w:val="single" w:sz="4" w:space="0" w:color="auto"/>
              <w:left w:val="single" w:sz="4" w:space="0" w:color="auto"/>
              <w:bottom w:val="single" w:sz="4" w:space="0" w:color="auto"/>
              <w:right w:val="single" w:sz="4" w:space="0" w:color="auto"/>
            </w:tcBorders>
            <w:shd w:val="clear" w:color="auto" w:fill="C6EFCE"/>
            <w:vAlign w:val="center"/>
          </w:tcPr>
          <w:p w14:paraId="560C906D" w14:textId="77777777" w:rsidR="00025543" w:rsidRDefault="007E3A2F">
            <w:pPr>
              <w:pStyle w:val="P68B1DB1-Normal16"/>
              <w:spacing w:line="240" w:lineRule="auto"/>
              <w:jc w:val="center"/>
              <w:rPr>
                <w:noProof/>
              </w:rPr>
            </w:pPr>
            <w:r>
              <w:rPr>
                <w:noProof/>
              </w:rPr>
              <w:t>0</w:t>
            </w:r>
          </w:p>
        </w:tc>
        <w:tc>
          <w:tcPr>
            <w:tcW w:w="803" w:type="dxa"/>
            <w:tcBorders>
              <w:top w:val="single" w:sz="4" w:space="0" w:color="auto"/>
              <w:left w:val="single" w:sz="4" w:space="0" w:color="auto"/>
              <w:bottom w:val="single" w:sz="4" w:space="0" w:color="auto"/>
              <w:right w:val="single" w:sz="4" w:space="0" w:color="auto"/>
            </w:tcBorders>
            <w:shd w:val="clear" w:color="auto" w:fill="C6EFCE"/>
            <w:vAlign w:val="center"/>
          </w:tcPr>
          <w:p w14:paraId="3B0D8D13" w14:textId="77777777" w:rsidR="00025543" w:rsidRDefault="007E3A2F">
            <w:pPr>
              <w:pStyle w:val="P68B1DB1-Normal16"/>
              <w:spacing w:line="240" w:lineRule="auto"/>
              <w:jc w:val="center"/>
              <w:rPr>
                <w:noProof/>
              </w:rPr>
            </w:pPr>
            <w:r>
              <w:rPr>
                <w:noProof/>
              </w:rPr>
              <w:t>20 000</w:t>
            </w:r>
          </w:p>
        </w:tc>
        <w:tc>
          <w:tcPr>
            <w:tcW w:w="964" w:type="dxa"/>
            <w:tcBorders>
              <w:top w:val="single" w:sz="4" w:space="0" w:color="auto"/>
              <w:left w:val="single" w:sz="4" w:space="0" w:color="auto"/>
              <w:bottom w:val="single" w:sz="4" w:space="0" w:color="auto"/>
              <w:right w:val="single" w:sz="4" w:space="0" w:color="auto"/>
            </w:tcBorders>
            <w:shd w:val="clear" w:color="auto" w:fill="C6EFCE"/>
            <w:vAlign w:val="center"/>
          </w:tcPr>
          <w:p w14:paraId="11E9E5D3" w14:textId="77777777" w:rsidR="00025543" w:rsidRDefault="007E3A2F">
            <w:pPr>
              <w:pStyle w:val="P68B1DB1-Normal16"/>
              <w:spacing w:line="240" w:lineRule="auto"/>
              <w:jc w:val="center"/>
              <w:rPr>
                <w:noProof/>
              </w:rPr>
            </w:pPr>
            <w:r>
              <w:rPr>
                <w:noProof/>
              </w:rPr>
              <w:t>TRIMESTRE 2</w:t>
            </w:r>
          </w:p>
        </w:tc>
        <w:tc>
          <w:tcPr>
            <w:tcW w:w="961" w:type="dxa"/>
            <w:tcBorders>
              <w:top w:val="single" w:sz="4" w:space="0" w:color="auto"/>
              <w:left w:val="single" w:sz="4" w:space="0" w:color="auto"/>
              <w:bottom w:val="single" w:sz="4" w:space="0" w:color="auto"/>
              <w:right w:val="single" w:sz="4" w:space="0" w:color="auto"/>
            </w:tcBorders>
            <w:shd w:val="clear" w:color="auto" w:fill="C6EFCE"/>
            <w:vAlign w:val="center"/>
          </w:tcPr>
          <w:p w14:paraId="552293E9" w14:textId="77777777" w:rsidR="00025543" w:rsidRDefault="007E3A2F">
            <w:pPr>
              <w:pStyle w:val="P68B1DB1-Normal16"/>
              <w:spacing w:line="240" w:lineRule="auto"/>
              <w:jc w:val="center"/>
              <w:rPr>
                <w:noProof/>
              </w:rPr>
            </w:pPr>
            <w:r>
              <w:rPr>
                <w:noProof/>
              </w:rPr>
              <w:t>2026</w:t>
            </w:r>
          </w:p>
        </w:tc>
        <w:tc>
          <w:tcPr>
            <w:tcW w:w="4428" w:type="dxa"/>
            <w:tcBorders>
              <w:top w:val="single" w:sz="4" w:space="0" w:color="auto"/>
              <w:left w:val="single" w:sz="4" w:space="0" w:color="auto"/>
              <w:bottom w:val="single" w:sz="4" w:space="0" w:color="auto"/>
              <w:right w:val="single" w:sz="4" w:space="0" w:color="auto"/>
            </w:tcBorders>
            <w:shd w:val="clear" w:color="auto" w:fill="C6EFCE"/>
            <w:vAlign w:val="center"/>
          </w:tcPr>
          <w:p w14:paraId="2A913DB1" w14:textId="77777777" w:rsidR="00025543" w:rsidRDefault="007E3A2F">
            <w:pPr>
              <w:pStyle w:val="P68B1DB1-Normal16"/>
              <w:pBdr>
                <w:top w:val="nil"/>
                <w:left w:val="nil"/>
                <w:bottom w:val="nil"/>
                <w:right w:val="nil"/>
                <w:between w:val="nil"/>
              </w:pBdr>
              <w:spacing w:after="0" w:line="259" w:lineRule="auto"/>
              <w:rPr>
                <w:noProof/>
              </w:rPr>
            </w:pPr>
            <w:r>
              <w:rPr>
                <w:noProof/>
              </w:rPr>
              <w:t xml:space="preserve">Un programme de détection précoce du cancer du poumon est lancé et au moins 20 000 participants de la population cible y participent. </w:t>
            </w:r>
          </w:p>
        </w:tc>
      </w:tr>
      <w:tr w:rsidR="00025543" w14:paraId="3DCA6D83" w14:textId="77777777">
        <w:trPr>
          <w:trHeight w:val="945"/>
          <w:jc w:val="center"/>
        </w:trPr>
        <w:tc>
          <w:tcPr>
            <w:tcW w:w="641" w:type="dxa"/>
            <w:tcBorders>
              <w:top w:val="single" w:sz="4" w:space="0" w:color="auto"/>
              <w:left w:val="single" w:sz="4" w:space="0" w:color="auto"/>
              <w:bottom w:val="single" w:sz="4" w:space="0" w:color="auto"/>
              <w:right w:val="single" w:sz="4" w:space="0" w:color="auto"/>
            </w:tcBorders>
            <w:shd w:val="clear" w:color="auto" w:fill="C6EFCE"/>
            <w:vAlign w:val="center"/>
          </w:tcPr>
          <w:p w14:paraId="7944C0A9" w14:textId="77777777" w:rsidR="00025543" w:rsidRDefault="007E3A2F">
            <w:pPr>
              <w:pStyle w:val="P68B1DB1-Normal16"/>
              <w:spacing w:line="240" w:lineRule="auto"/>
              <w:jc w:val="center"/>
              <w:rPr>
                <w:noProof/>
              </w:rPr>
            </w:pPr>
            <w:r>
              <w:rPr>
                <w:noProof/>
              </w:rPr>
              <w:t>240</w:t>
            </w:r>
          </w:p>
        </w:tc>
        <w:tc>
          <w:tcPr>
            <w:tcW w:w="1485" w:type="dxa"/>
            <w:tcBorders>
              <w:top w:val="single" w:sz="4" w:space="0" w:color="auto"/>
              <w:left w:val="single" w:sz="4" w:space="0" w:color="auto"/>
              <w:bottom w:val="single" w:sz="4" w:space="0" w:color="auto"/>
              <w:right w:val="single" w:sz="4" w:space="0" w:color="auto"/>
            </w:tcBorders>
            <w:shd w:val="clear" w:color="auto" w:fill="C6EFCE"/>
            <w:vAlign w:val="center"/>
          </w:tcPr>
          <w:p w14:paraId="5DA0164B" w14:textId="77777777" w:rsidR="00025543" w:rsidRDefault="007E3A2F">
            <w:pPr>
              <w:pStyle w:val="P68B1DB1-Normal16"/>
              <w:spacing w:line="240" w:lineRule="auto"/>
              <w:rPr>
                <w:noProof/>
              </w:rPr>
            </w:pPr>
            <w:r>
              <w:rPr>
                <w:noProof/>
              </w:rPr>
              <w:t>Investissement 1: Construction et mise en place de l’Institut oncologique tchèque</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618421AC" w14:textId="77777777" w:rsidR="00025543" w:rsidRDefault="007E3A2F">
            <w:pPr>
              <w:pStyle w:val="P68B1DB1-Normal16"/>
              <w:spacing w:line="240" w:lineRule="auto"/>
              <w:rPr>
                <w:noProof/>
              </w:rPr>
            </w:pPr>
            <w:r>
              <w:rPr>
                <w:noProof/>
              </w:rPr>
              <w:t>Étapes</w:t>
            </w:r>
          </w:p>
        </w:tc>
        <w:tc>
          <w:tcPr>
            <w:tcW w:w="1063" w:type="dxa"/>
            <w:tcBorders>
              <w:top w:val="single" w:sz="4" w:space="0" w:color="auto"/>
              <w:left w:val="single" w:sz="4" w:space="0" w:color="auto"/>
              <w:bottom w:val="single" w:sz="4" w:space="0" w:color="auto"/>
              <w:right w:val="single" w:sz="4" w:space="0" w:color="auto"/>
            </w:tcBorders>
            <w:shd w:val="clear" w:color="auto" w:fill="C6EFCE"/>
            <w:vAlign w:val="center"/>
          </w:tcPr>
          <w:p w14:paraId="250CA8F0" w14:textId="77777777" w:rsidR="00025543" w:rsidRDefault="007E3A2F">
            <w:pPr>
              <w:pStyle w:val="P68B1DB1-Normal15"/>
              <w:spacing w:line="240" w:lineRule="auto"/>
              <w:rPr>
                <w:noProof/>
              </w:rPr>
            </w:pPr>
            <w:r>
              <w:rPr>
                <w:noProof/>
              </w:rPr>
              <w:t xml:space="preserve">Étude de faisabilité validée par une autorité indépendante </w:t>
            </w:r>
          </w:p>
        </w:tc>
        <w:tc>
          <w:tcPr>
            <w:tcW w:w="1325" w:type="dxa"/>
            <w:tcBorders>
              <w:top w:val="single" w:sz="4" w:space="0" w:color="auto"/>
              <w:left w:val="single" w:sz="4" w:space="0" w:color="auto"/>
              <w:bottom w:val="single" w:sz="4" w:space="0" w:color="auto"/>
              <w:right w:val="single" w:sz="4" w:space="0" w:color="auto"/>
            </w:tcBorders>
            <w:shd w:val="clear" w:color="auto" w:fill="C6EFCE"/>
            <w:vAlign w:val="center"/>
          </w:tcPr>
          <w:p w14:paraId="71B9D6C7" w14:textId="77777777" w:rsidR="00025543" w:rsidRDefault="007E3A2F">
            <w:pPr>
              <w:pStyle w:val="P68B1DB1-Normal15"/>
              <w:spacing w:line="259" w:lineRule="auto"/>
              <w:rPr>
                <w:noProof/>
              </w:rPr>
            </w:pPr>
            <w:r>
              <w:rPr>
                <w:noProof/>
              </w:rPr>
              <w:t xml:space="preserve">Validation d’une étude de faisabilité par une autorité indépendante </w:t>
            </w:r>
          </w:p>
        </w:tc>
        <w:tc>
          <w:tcPr>
            <w:tcW w:w="1011" w:type="dxa"/>
            <w:tcBorders>
              <w:top w:val="single" w:sz="4" w:space="0" w:color="auto"/>
              <w:left w:val="single" w:sz="4" w:space="0" w:color="auto"/>
              <w:bottom w:val="single" w:sz="4" w:space="0" w:color="auto"/>
              <w:right w:val="single" w:sz="4" w:space="0" w:color="auto"/>
            </w:tcBorders>
            <w:shd w:val="clear" w:color="auto" w:fill="C6EFCE"/>
            <w:vAlign w:val="center"/>
          </w:tcPr>
          <w:p w14:paraId="01717719" w14:textId="77777777" w:rsidR="00025543" w:rsidRDefault="00025543">
            <w:pPr>
              <w:spacing w:line="240" w:lineRule="auto"/>
              <w:rPr>
                <w:noProof/>
                <w:color w:val="004300"/>
                <w:sz w:val="18"/>
              </w:rPr>
            </w:pPr>
          </w:p>
        </w:tc>
        <w:tc>
          <w:tcPr>
            <w:tcW w:w="1011" w:type="dxa"/>
            <w:tcBorders>
              <w:top w:val="single" w:sz="4" w:space="0" w:color="auto"/>
              <w:left w:val="single" w:sz="4" w:space="0" w:color="auto"/>
              <w:bottom w:val="single" w:sz="4" w:space="0" w:color="auto"/>
              <w:right w:val="single" w:sz="4" w:space="0" w:color="auto"/>
            </w:tcBorders>
            <w:shd w:val="clear" w:color="auto" w:fill="C6EFCE"/>
            <w:vAlign w:val="center"/>
          </w:tcPr>
          <w:p w14:paraId="78F2B5A6" w14:textId="77777777" w:rsidR="00025543" w:rsidRDefault="00025543">
            <w:pPr>
              <w:spacing w:line="240" w:lineRule="auto"/>
              <w:jc w:val="center"/>
              <w:rPr>
                <w:noProof/>
                <w:color w:val="004300"/>
                <w:sz w:val="18"/>
              </w:rPr>
            </w:pPr>
          </w:p>
        </w:tc>
        <w:tc>
          <w:tcPr>
            <w:tcW w:w="803" w:type="dxa"/>
            <w:tcBorders>
              <w:top w:val="single" w:sz="4" w:space="0" w:color="auto"/>
              <w:left w:val="single" w:sz="4" w:space="0" w:color="auto"/>
              <w:bottom w:val="single" w:sz="4" w:space="0" w:color="auto"/>
              <w:right w:val="single" w:sz="4" w:space="0" w:color="auto"/>
            </w:tcBorders>
            <w:shd w:val="clear" w:color="auto" w:fill="C6EFCE"/>
            <w:vAlign w:val="center"/>
          </w:tcPr>
          <w:p w14:paraId="122F8AA8" w14:textId="77777777" w:rsidR="00025543" w:rsidRDefault="00025543">
            <w:pPr>
              <w:spacing w:line="240" w:lineRule="auto"/>
              <w:jc w:val="center"/>
              <w:rPr>
                <w:noProof/>
                <w:color w:val="004300"/>
                <w:sz w:val="18"/>
              </w:rPr>
            </w:pPr>
          </w:p>
        </w:tc>
        <w:tc>
          <w:tcPr>
            <w:tcW w:w="964" w:type="dxa"/>
            <w:tcBorders>
              <w:top w:val="single" w:sz="4" w:space="0" w:color="auto"/>
              <w:left w:val="single" w:sz="4" w:space="0" w:color="auto"/>
              <w:bottom w:val="single" w:sz="4" w:space="0" w:color="auto"/>
              <w:right w:val="single" w:sz="4" w:space="0" w:color="auto"/>
            </w:tcBorders>
            <w:shd w:val="clear" w:color="auto" w:fill="C6EFCE"/>
            <w:vAlign w:val="center"/>
          </w:tcPr>
          <w:p w14:paraId="44E71CE2" w14:textId="77777777" w:rsidR="00025543" w:rsidRDefault="007E3A2F">
            <w:pPr>
              <w:pStyle w:val="P68B1DB1-Normal16"/>
              <w:spacing w:line="240" w:lineRule="auto"/>
              <w:jc w:val="center"/>
              <w:rPr>
                <w:noProof/>
              </w:rPr>
            </w:pPr>
            <w:r>
              <w:rPr>
                <w:noProof/>
              </w:rPr>
              <w:t>TRIMESTRE 4</w:t>
            </w:r>
          </w:p>
        </w:tc>
        <w:tc>
          <w:tcPr>
            <w:tcW w:w="961" w:type="dxa"/>
            <w:tcBorders>
              <w:top w:val="single" w:sz="4" w:space="0" w:color="auto"/>
              <w:left w:val="single" w:sz="4" w:space="0" w:color="auto"/>
              <w:bottom w:val="single" w:sz="4" w:space="0" w:color="auto"/>
              <w:right w:val="single" w:sz="4" w:space="0" w:color="auto"/>
            </w:tcBorders>
            <w:shd w:val="clear" w:color="auto" w:fill="C6EFCE"/>
            <w:vAlign w:val="center"/>
          </w:tcPr>
          <w:p w14:paraId="714BD95F" w14:textId="77777777" w:rsidR="00025543" w:rsidRDefault="007E3A2F">
            <w:pPr>
              <w:pStyle w:val="P68B1DB1-Normal16"/>
              <w:spacing w:line="240" w:lineRule="auto"/>
              <w:jc w:val="center"/>
              <w:rPr>
                <w:noProof/>
              </w:rPr>
            </w:pPr>
            <w:r>
              <w:rPr>
                <w:noProof/>
              </w:rPr>
              <w:t>2022</w:t>
            </w:r>
          </w:p>
        </w:tc>
        <w:tc>
          <w:tcPr>
            <w:tcW w:w="4428" w:type="dxa"/>
            <w:tcBorders>
              <w:top w:val="single" w:sz="4" w:space="0" w:color="auto"/>
              <w:left w:val="single" w:sz="4" w:space="0" w:color="auto"/>
              <w:bottom w:val="single" w:sz="4" w:space="0" w:color="auto"/>
              <w:right w:val="single" w:sz="4" w:space="0" w:color="auto"/>
            </w:tcBorders>
            <w:shd w:val="clear" w:color="auto" w:fill="C6EFCE"/>
            <w:vAlign w:val="center"/>
          </w:tcPr>
          <w:p w14:paraId="05DF1876" w14:textId="77777777" w:rsidR="00025543" w:rsidRDefault="007E3A2F">
            <w:pPr>
              <w:pStyle w:val="P68B1DB1-Normal16"/>
              <w:spacing w:line="240" w:lineRule="auto"/>
              <w:rPr>
                <w:noProof/>
              </w:rPr>
            </w:pPr>
            <w:r>
              <w:rPr>
                <w:noProof/>
              </w:rPr>
              <w:t>Validation par une autorité indépendante:</w:t>
            </w:r>
          </w:p>
          <w:p w14:paraId="5ABA1F96" w14:textId="77777777" w:rsidR="00025543" w:rsidRDefault="007E3A2F">
            <w:pPr>
              <w:pStyle w:val="P68B1DB1-Normal16"/>
              <w:numPr>
                <w:ilvl w:val="0"/>
                <w:numId w:val="200"/>
              </w:numPr>
              <w:spacing w:line="240" w:lineRule="auto"/>
              <w:rPr>
                <w:noProof/>
              </w:rPr>
            </w:pPr>
            <w:r>
              <w:rPr>
                <w:noProof/>
              </w:rPr>
              <w:t xml:space="preserve">Programme médical/plan fonctionnel et projet de conception adapté à la conception et à l’acquisition de bâtiments, </w:t>
            </w:r>
          </w:p>
          <w:p w14:paraId="315AAA97" w14:textId="77777777" w:rsidR="00025543" w:rsidRDefault="007E3A2F">
            <w:pPr>
              <w:pStyle w:val="P68B1DB1-Normal16"/>
              <w:numPr>
                <w:ilvl w:val="0"/>
                <w:numId w:val="200"/>
              </w:numPr>
              <w:spacing w:line="240" w:lineRule="auto"/>
              <w:rPr>
                <w:noProof/>
              </w:rPr>
            </w:pPr>
            <w:r>
              <w:rPr>
                <w:noProof/>
              </w:rPr>
              <w:t xml:space="preserve">Étude de faisabilité, y compris évaluation des besoins dans le contexte de la stratégie en matière de santé au sens large, faisabilité technique, opérationnelle et économique, viabilité financière et en termes de personnel, incidence sur la fourniture de soins oncologiques aux niveaux régional et national, y compris sur le délai de route et les compétences professionnelles. </w:t>
            </w:r>
          </w:p>
          <w:p w14:paraId="7E4F284F" w14:textId="77777777" w:rsidR="00025543" w:rsidRDefault="007E3A2F">
            <w:pPr>
              <w:pStyle w:val="P68B1DB1-Normal16"/>
              <w:spacing w:line="240" w:lineRule="auto"/>
              <w:rPr>
                <w:noProof/>
              </w:rPr>
            </w:pPr>
            <w:r>
              <w:rPr>
                <w:noProof/>
              </w:rPr>
              <w:t>Les lignes directrices recommandées dans l’étude de faisabilité ont été présentées par la Commission européenne dans le guide de l’analyse coûts-avantages des projets d’investissement, décembre 2014.</w:t>
            </w:r>
          </w:p>
        </w:tc>
      </w:tr>
      <w:tr w:rsidR="00025543" w14:paraId="791D74FF" w14:textId="77777777">
        <w:trPr>
          <w:trHeight w:val="945"/>
          <w:jc w:val="center"/>
        </w:trPr>
        <w:tc>
          <w:tcPr>
            <w:tcW w:w="641" w:type="dxa"/>
            <w:tcBorders>
              <w:top w:val="single" w:sz="4" w:space="0" w:color="auto"/>
              <w:left w:val="single" w:sz="4" w:space="0" w:color="auto"/>
              <w:bottom w:val="single" w:sz="4" w:space="0" w:color="auto"/>
              <w:right w:val="single" w:sz="4" w:space="0" w:color="auto"/>
            </w:tcBorders>
            <w:shd w:val="clear" w:color="auto" w:fill="C6EFCE"/>
            <w:vAlign w:val="center"/>
          </w:tcPr>
          <w:p w14:paraId="19D81C86" w14:textId="77777777" w:rsidR="00025543" w:rsidRDefault="007E3A2F">
            <w:pPr>
              <w:pStyle w:val="P68B1DB1-Normal16"/>
              <w:spacing w:line="240" w:lineRule="auto"/>
              <w:jc w:val="center"/>
              <w:rPr>
                <w:noProof/>
              </w:rPr>
            </w:pPr>
            <w:r>
              <w:rPr>
                <w:noProof/>
              </w:rPr>
              <w:t>241</w:t>
            </w:r>
          </w:p>
        </w:tc>
        <w:tc>
          <w:tcPr>
            <w:tcW w:w="1485" w:type="dxa"/>
            <w:tcBorders>
              <w:top w:val="single" w:sz="4" w:space="0" w:color="auto"/>
              <w:left w:val="single" w:sz="4" w:space="0" w:color="auto"/>
              <w:bottom w:val="single" w:sz="4" w:space="0" w:color="auto"/>
              <w:right w:val="single" w:sz="4" w:space="0" w:color="auto"/>
            </w:tcBorders>
            <w:shd w:val="clear" w:color="auto" w:fill="C6EFCE"/>
            <w:vAlign w:val="center"/>
          </w:tcPr>
          <w:p w14:paraId="12CB03AB" w14:textId="77777777" w:rsidR="00025543" w:rsidRDefault="007E3A2F">
            <w:pPr>
              <w:pStyle w:val="P68B1DB1-Normal16"/>
              <w:spacing w:line="240" w:lineRule="auto"/>
              <w:rPr>
                <w:noProof/>
              </w:rPr>
            </w:pPr>
            <w:r>
              <w:rPr>
                <w:noProof/>
              </w:rPr>
              <w:t>Investissement 1: Construction et mise en place de l’Institut oncologique tchèque</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11587970" w14:textId="77777777" w:rsidR="00025543" w:rsidRDefault="007E3A2F">
            <w:pPr>
              <w:pStyle w:val="P68B1DB1-Normal16"/>
              <w:spacing w:line="240" w:lineRule="auto"/>
              <w:rPr>
                <w:noProof/>
              </w:rPr>
            </w:pPr>
            <w:r>
              <w:rPr>
                <w:noProof/>
              </w:rPr>
              <w:t>Étapes</w:t>
            </w:r>
          </w:p>
        </w:tc>
        <w:tc>
          <w:tcPr>
            <w:tcW w:w="1063" w:type="dxa"/>
            <w:tcBorders>
              <w:top w:val="single" w:sz="4" w:space="0" w:color="auto"/>
              <w:left w:val="single" w:sz="4" w:space="0" w:color="auto"/>
              <w:bottom w:val="single" w:sz="4" w:space="0" w:color="auto"/>
              <w:right w:val="single" w:sz="4" w:space="0" w:color="auto"/>
            </w:tcBorders>
            <w:shd w:val="clear" w:color="auto" w:fill="C6EFCE"/>
            <w:vAlign w:val="center"/>
          </w:tcPr>
          <w:p w14:paraId="0A3767A7" w14:textId="77777777" w:rsidR="00025543" w:rsidRDefault="007E3A2F">
            <w:pPr>
              <w:pStyle w:val="P68B1DB1-Normal15"/>
              <w:spacing w:line="240" w:lineRule="auto"/>
              <w:rPr>
                <w:noProof/>
              </w:rPr>
            </w:pPr>
            <w:r>
              <w:rPr>
                <w:noProof/>
              </w:rPr>
              <w:t xml:space="preserve">L’Institut tchèque d’oncologie mis en service </w:t>
            </w:r>
          </w:p>
        </w:tc>
        <w:tc>
          <w:tcPr>
            <w:tcW w:w="1325" w:type="dxa"/>
            <w:tcBorders>
              <w:top w:val="single" w:sz="4" w:space="0" w:color="auto"/>
              <w:left w:val="single" w:sz="4" w:space="0" w:color="auto"/>
              <w:bottom w:val="single" w:sz="4" w:space="0" w:color="auto"/>
              <w:right w:val="single" w:sz="4" w:space="0" w:color="auto"/>
            </w:tcBorders>
            <w:shd w:val="clear" w:color="auto" w:fill="C6EFCE"/>
            <w:vAlign w:val="center"/>
          </w:tcPr>
          <w:p w14:paraId="0A901A5C" w14:textId="77777777" w:rsidR="00025543" w:rsidRDefault="007E3A2F">
            <w:pPr>
              <w:pStyle w:val="P68B1DB1-Normal15"/>
              <w:spacing w:line="240" w:lineRule="auto"/>
              <w:rPr>
                <w:noProof/>
              </w:rPr>
            </w:pPr>
            <w:r>
              <w:rPr>
                <w:noProof/>
              </w:rPr>
              <w:t xml:space="preserve">Une licence d’exploitation délivrée par le ministère de la santé à l’Institut tchèque d’oncologie; </w:t>
            </w:r>
          </w:p>
        </w:tc>
        <w:tc>
          <w:tcPr>
            <w:tcW w:w="1011" w:type="dxa"/>
            <w:tcBorders>
              <w:top w:val="single" w:sz="4" w:space="0" w:color="auto"/>
              <w:left w:val="single" w:sz="4" w:space="0" w:color="auto"/>
              <w:bottom w:val="single" w:sz="4" w:space="0" w:color="auto"/>
              <w:right w:val="single" w:sz="4" w:space="0" w:color="auto"/>
            </w:tcBorders>
            <w:shd w:val="clear" w:color="auto" w:fill="C6EFCE"/>
            <w:vAlign w:val="center"/>
          </w:tcPr>
          <w:p w14:paraId="554FE0BC" w14:textId="77777777" w:rsidR="00025543" w:rsidRDefault="00025543">
            <w:pPr>
              <w:spacing w:line="240" w:lineRule="auto"/>
              <w:rPr>
                <w:noProof/>
                <w:color w:val="004300"/>
                <w:sz w:val="18"/>
              </w:rPr>
            </w:pPr>
          </w:p>
        </w:tc>
        <w:tc>
          <w:tcPr>
            <w:tcW w:w="1011" w:type="dxa"/>
            <w:tcBorders>
              <w:top w:val="single" w:sz="4" w:space="0" w:color="auto"/>
              <w:left w:val="single" w:sz="4" w:space="0" w:color="auto"/>
              <w:bottom w:val="single" w:sz="4" w:space="0" w:color="auto"/>
              <w:right w:val="single" w:sz="4" w:space="0" w:color="auto"/>
            </w:tcBorders>
            <w:shd w:val="clear" w:color="auto" w:fill="C6EFCE"/>
            <w:vAlign w:val="center"/>
          </w:tcPr>
          <w:p w14:paraId="746D77AB" w14:textId="77777777" w:rsidR="00025543" w:rsidRDefault="00025543">
            <w:pPr>
              <w:spacing w:line="240" w:lineRule="auto"/>
              <w:jc w:val="center"/>
              <w:rPr>
                <w:noProof/>
                <w:color w:val="004300"/>
                <w:sz w:val="18"/>
              </w:rPr>
            </w:pPr>
          </w:p>
        </w:tc>
        <w:tc>
          <w:tcPr>
            <w:tcW w:w="803" w:type="dxa"/>
            <w:tcBorders>
              <w:top w:val="single" w:sz="4" w:space="0" w:color="auto"/>
              <w:left w:val="single" w:sz="4" w:space="0" w:color="auto"/>
              <w:bottom w:val="single" w:sz="4" w:space="0" w:color="auto"/>
              <w:right w:val="single" w:sz="4" w:space="0" w:color="auto"/>
            </w:tcBorders>
            <w:shd w:val="clear" w:color="auto" w:fill="C6EFCE"/>
            <w:vAlign w:val="center"/>
          </w:tcPr>
          <w:p w14:paraId="2694C020" w14:textId="77777777" w:rsidR="00025543" w:rsidRDefault="00025543">
            <w:pPr>
              <w:spacing w:line="240" w:lineRule="auto"/>
              <w:jc w:val="center"/>
              <w:rPr>
                <w:noProof/>
                <w:color w:val="004300"/>
                <w:sz w:val="18"/>
              </w:rPr>
            </w:pPr>
          </w:p>
        </w:tc>
        <w:tc>
          <w:tcPr>
            <w:tcW w:w="964" w:type="dxa"/>
            <w:tcBorders>
              <w:top w:val="single" w:sz="4" w:space="0" w:color="auto"/>
              <w:left w:val="single" w:sz="4" w:space="0" w:color="auto"/>
              <w:bottom w:val="single" w:sz="4" w:space="0" w:color="auto"/>
              <w:right w:val="single" w:sz="4" w:space="0" w:color="auto"/>
            </w:tcBorders>
            <w:shd w:val="clear" w:color="auto" w:fill="C6EFCE"/>
            <w:vAlign w:val="center"/>
          </w:tcPr>
          <w:p w14:paraId="339B5FC5" w14:textId="77777777" w:rsidR="00025543" w:rsidRDefault="007E3A2F">
            <w:pPr>
              <w:pStyle w:val="P68B1DB1-Normal16"/>
              <w:spacing w:line="240" w:lineRule="auto"/>
              <w:jc w:val="center"/>
              <w:rPr>
                <w:rFonts w:eastAsia="Times New Roman"/>
                <w:noProof/>
              </w:rPr>
            </w:pPr>
            <w:r>
              <w:rPr>
                <w:noProof/>
              </w:rPr>
              <w:t>TRIMESTRE 2</w:t>
            </w:r>
          </w:p>
        </w:tc>
        <w:tc>
          <w:tcPr>
            <w:tcW w:w="961" w:type="dxa"/>
            <w:tcBorders>
              <w:top w:val="single" w:sz="4" w:space="0" w:color="auto"/>
              <w:left w:val="single" w:sz="4" w:space="0" w:color="auto"/>
              <w:bottom w:val="single" w:sz="4" w:space="0" w:color="auto"/>
              <w:right w:val="single" w:sz="4" w:space="0" w:color="auto"/>
            </w:tcBorders>
            <w:shd w:val="clear" w:color="auto" w:fill="C6EFCE"/>
            <w:vAlign w:val="center"/>
          </w:tcPr>
          <w:p w14:paraId="6AB5E1BB" w14:textId="77777777" w:rsidR="00025543" w:rsidRDefault="007E3A2F">
            <w:pPr>
              <w:pStyle w:val="P68B1DB1-Normal16"/>
              <w:spacing w:line="240" w:lineRule="auto"/>
              <w:jc w:val="center"/>
              <w:rPr>
                <w:noProof/>
              </w:rPr>
            </w:pPr>
            <w:r>
              <w:rPr>
                <w:noProof/>
              </w:rPr>
              <w:t>2026</w:t>
            </w:r>
          </w:p>
        </w:tc>
        <w:tc>
          <w:tcPr>
            <w:tcW w:w="4428" w:type="dxa"/>
            <w:tcBorders>
              <w:top w:val="single" w:sz="4" w:space="0" w:color="auto"/>
              <w:left w:val="single" w:sz="4" w:space="0" w:color="auto"/>
              <w:bottom w:val="single" w:sz="4" w:space="0" w:color="auto"/>
              <w:right w:val="single" w:sz="4" w:space="0" w:color="auto"/>
            </w:tcBorders>
            <w:shd w:val="clear" w:color="auto" w:fill="C6EFCE"/>
            <w:vAlign w:val="center"/>
          </w:tcPr>
          <w:p w14:paraId="5EA1A29E" w14:textId="77777777" w:rsidR="00025543" w:rsidRDefault="007E3A2F">
            <w:pPr>
              <w:pStyle w:val="P68B1DB1-Normal16"/>
              <w:spacing w:line="240" w:lineRule="auto"/>
              <w:jc w:val="both"/>
              <w:rPr>
                <w:noProof/>
              </w:rPr>
            </w:pPr>
            <w:r>
              <w:rPr>
                <w:noProof/>
              </w:rPr>
              <w:t xml:space="preserve">Travaux de construction achevés et obtention d’une licence d’exploitation. </w:t>
            </w:r>
          </w:p>
          <w:p w14:paraId="79E85F83" w14:textId="77777777" w:rsidR="00025543" w:rsidRDefault="007E3A2F">
            <w:pPr>
              <w:pStyle w:val="P68B1DB1-Normal16"/>
              <w:spacing w:after="160" w:line="259" w:lineRule="auto"/>
              <w:contextualSpacing/>
              <w:jc w:val="both"/>
              <w:rPr>
                <w:noProof/>
              </w:rPr>
            </w:pPr>
            <w:r>
              <w:rPr>
                <w:noProof/>
              </w:rPr>
              <w:t xml:space="preserve">La capacité doit être d’au moins 300 lits pour les soins hospitaliers (ce qui entraîne une augmentation du nombre de lits pour le traitement du cancer par le prestataire de soins de santé concerné d’au moins 50 lits). </w:t>
            </w:r>
          </w:p>
          <w:p w14:paraId="72426B5B" w14:textId="77777777" w:rsidR="00025543" w:rsidRDefault="007E3A2F">
            <w:pPr>
              <w:pStyle w:val="P68B1DB1-Normal15"/>
              <w:spacing w:line="240" w:lineRule="auto"/>
              <w:rPr>
                <w:noProof/>
              </w:rPr>
            </w:pPr>
            <w:r>
              <w:rPr>
                <w:noProof/>
              </w:rPr>
              <w:t xml:space="preserve">La construction fait l’objet de procédures d’appel d’offres ouvertes et publiques. </w:t>
            </w:r>
          </w:p>
        </w:tc>
      </w:tr>
      <w:tr w:rsidR="00025543" w14:paraId="7C03415F" w14:textId="77777777">
        <w:trPr>
          <w:trHeight w:val="603"/>
          <w:jc w:val="center"/>
        </w:trPr>
        <w:tc>
          <w:tcPr>
            <w:tcW w:w="641" w:type="dxa"/>
            <w:tcBorders>
              <w:top w:val="single" w:sz="4" w:space="0" w:color="auto"/>
              <w:left w:val="single" w:sz="4" w:space="0" w:color="auto"/>
              <w:bottom w:val="single" w:sz="4" w:space="0" w:color="auto"/>
              <w:right w:val="single" w:sz="4" w:space="0" w:color="auto"/>
            </w:tcBorders>
            <w:shd w:val="clear" w:color="auto" w:fill="C6EFCE"/>
            <w:vAlign w:val="center"/>
          </w:tcPr>
          <w:p w14:paraId="7A1E4D0D" w14:textId="77777777" w:rsidR="00025543" w:rsidRDefault="007E3A2F">
            <w:pPr>
              <w:pStyle w:val="P68B1DB1-Normal16"/>
              <w:spacing w:line="240" w:lineRule="auto"/>
              <w:jc w:val="center"/>
              <w:rPr>
                <w:noProof/>
              </w:rPr>
            </w:pPr>
            <w:r>
              <w:rPr>
                <w:noProof/>
              </w:rPr>
              <w:t>242</w:t>
            </w:r>
          </w:p>
        </w:tc>
        <w:tc>
          <w:tcPr>
            <w:tcW w:w="1485" w:type="dxa"/>
            <w:tcBorders>
              <w:top w:val="single" w:sz="4" w:space="0" w:color="auto"/>
              <w:left w:val="single" w:sz="4" w:space="0" w:color="auto"/>
              <w:bottom w:val="single" w:sz="4" w:space="0" w:color="auto"/>
              <w:right w:val="single" w:sz="4" w:space="0" w:color="auto"/>
            </w:tcBorders>
            <w:shd w:val="clear" w:color="auto" w:fill="C6EFCE"/>
            <w:vAlign w:val="center"/>
          </w:tcPr>
          <w:p w14:paraId="777ED3A5" w14:textId="77777777" w:rsidR="00025543" w:rsidRDefault="007E3A2F">
            <w:pPr>
              <w:pStyle w:val="P68B1DB1-Normal16"/>
              <w:spacing w:line="240" w:lineRule="auto"/>
              <w:rPr>
                <w:noProof/>
              </w:rPr>
            </w:pPr>
            <w:r>
              <w:rPr>
                <w:noProof/>
              </w:rPr>
              <w:t>Investissement 2: Développement de soins oncologiques et hématoncologiques hautement spécialisés</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578A5EBF" w14:textId="77777777" w:rsidR="00025543" w:rsidRDefault="007E3A2F">
            <w:pPr>
              <w:pStyle w:val="P68B1DB1-Normal16"/>
              <w:spacing w:line="240" w:lineRule="auto"/>
              <w:rPr>
                <w:noProof/>
              </w:rPr>
            </w:pPr>
            <w:r>
              <w:rPr>
                <w:noProof/>
              </w:rPr>
              <w:t>Cible</w:t>
            </w:r>
          </w:p>
        </w:tc>
        <w:tc>
          <w:tcPr>
            <w:tcW w:w="1063" w:type="dxa"/>
            <w:tcBorders>
              <w:top w:val="single" w:sz="4" w:space="0" w:color="auto"/>
              <w:left w:val="single" w:sz="4" w:space="0" w:color="auto"/>
              <w:bottom w:val="single" w:sz="4" w:space="0" w:color="auto"/>
              <w:right w:val="single" w:sz="4" w:space="0" w:color="auto"/>
            </w:tcBorders>
            <w:shd w:val="clear" w:color="auto" w:fill="C6EFCE"/>
            <w:vAlign w:val="center"/>
          </w:tcPr>
          <w:p w14:paraId="72619E53" w14:textId="77777777" w:rsidR="00025543" w:rsidRDefault="007E3A2F">
            <w:pPr>
              <w:pStyle w:val="P68B1DB1-Normal15"/>
              <w:spacing w:line="240" w:lineRule="auto"/>
              <w:rPr>
                <w:noProof/>
              </w:rPr>
            </w:pPr>
            <w:r>
              <w:rPr>
                <w:noProof/>
              </w:rPr>
              <w:t xml:space="preserve">Nombre d’établissements bénéficiant d’une aide fournissant des soins oncologiques et hématoncologiques </w:t>
            </w:r>
          </w:p>
        </w:tc>
        <w:tc>
          <w:tcPr>
            <w:tcW w:w="1325" w:type="dxa"/>
            <w:tcBorders>
              <w:top w:val="single" w:sz="4" w:space="0" w:color="auto"/>
              <w:left w:val="single" w:sz="4" w:space="0" w:color="auto"/>
              <w:bottom w:val="single" w:sz="4" w:space="0" w:color="auto"/>
              <w:right w:val="single" w:sz="4" w:space="0" w:color="auto"/>
            </w:tcBorders>
            <w:shd w:val="clear" w:color="auto" w:fill="C6EFCE"/>
            <w:vAlign w:val="bottom"/>
          </w:tcPr>
          <w:p w14:paraId="2603C74C" w14:textId="77777777" w:rsidR="00025543" w:rsidRDefault="00025543">
            <w:pPr>
              <w:spacing w:line="240" w:lineRule="auto"/>
              <w:rPr>
                <w:rFonts w:eastAsia="Times New Roman"/>
                <w:noProof/>
                <w:color w:val="004300"/>
                <w:sz w:val="18"/>
              </w:rPr>
            </w:pPr>
          </w:p>
        </w:tc>
        <w:tc>
          <w:tcPr>
            <w:tcW w:w="1011" w:type="dxa"/>
            <w:tcBorders>
              <w:top w:val="single" w:sz="4" w:space="0" w:color="auto"/>
              <w:left w:val="single" w:sz="4" w:space="0" w:color="auto"/>
              <w:bottom w:val="single" w:sz="4" w:space="0" w:color="auto"/>
              <w:right w:val="single" w:sz="4" w:space="0" w:color="auto"/>
            </w:tcBorders>
            <w:shd w:val="clear" w:color="auto" w:fill="C6EFCE"/>
            <w:vAlign w:val="center"/>
          </w:tcPr>
          <w:p w14:paraId="7A016CDF" w14:textId="77777777" w:rsidR="00025543" w:rsidRDefault="007E3A2F">
            <w:pPr>
              <w:pStyle w:val="P68B1DB1-Normal16"/>
              <w:spacing w:line="240" w:lineRule="auto"/>
              <w:rPr>
                <w:noProof/>
              </w:rPr>
            </w:pPr>
            <w:r>
              <w:rPr>
                <w:noProof/>
              </w:rPr>
              <w:t>Nombre d’établissements de santé bénéficiant d’une aide</w:t>
            </w:r>
          </w:p>
        </w:tc>
        <w:tc>
          <w:tcPr>
            <w:tcW w:w="1011" w:type="dxa"/>
            <w:tcBorders>
              <w:top w:val="single" w:sz="4" w:space="0" w:color="auto"/>
              <w:left w:val="single" w:sz="4" w:space="0" w:color="auto"/>
              <w:bottom w:val="single" w:sz="4" w:space="0" w:color="auto"/>
              <w:right w:val="single" w:sz="4" w:space="0" w:color="auto"/>
            </w:tcBorders>
            <w:shd w:val="clear" w:color="auto" w:fill="C6EFCE"/>
            <w:vAlign w:val="center"/>
          </w:tcPr>
          <w:p w14:paraId="23BAA50B" w14:textId="77777777" w:rsidR="00025543" w:rsidRDefault="007E3A2F">
            <w:pPr>
              <w:pStyle w:val="P68B1DB1-Normal16"/>
              <w:spacing w:line="240" w:lineRule="auto"/>
              <w:jc w:val="center"/>
              <w:rPr>
                <w:noProof/>
              </w:rPr>
            </w:pPr>
            <w:r>
              <w:rPr>
                <w:noProof/>
              </w:rPr>
              <w:t>0</w:t>
            </w:r>
          </w:p>
        </w:tc>
        <w:tc>
          <w:tcPr>
            <w:tcW w:w="803" w:type="dxa"/>
            <w:tcBorders>
              <w:top w:val="single" w:sz="4" w:space="0" w:color="auto"/>
              <w:left w:val="single" w:sz="4" w:space="0" w:color="auto"/>
              <w:bottom w:val="single" w:sz="4" w:space="0" w:color="auto"/>
              <w:right w:val="single" w:sz="4" w:space="0" w:color="auto"/>
            </w:tcBorders>
            <w:shd w:val="clear" w:color="auto" w:fill="C6EFCE"/>
            <w:vAlign w:val="center"/>
          </w:tcPr>
          <w:p w14:paraId="4A5A5E8D" w14:textId="77777777" w:rsidR="00025543" w:rsidRDefault="007E3A2F">
            <w:pPr>
              <w:pStyle w:val="P68B1DB1-Normal16"/>
              <w:spacing w:line="240" w:lineRule="auto"/>
              <w:jc w:val="center"/>
              <w:rPr>
                <w:noProof/>
              </w:rPr>
            </w:pPr>
            <w:r>
              <w:rPr>
                <w:noProof/>
              </w:rPr>
              <w:t>10</w:t>
            </w:r>
          </w:p>
        </w:tc>
        <w:tc>
          <w:tcPr>
            <w:tcW w:w="964" w:type="dxa"/>
            <w:tcBorders>
              <w:top w:val="single" w:sz="4" w:space="0" w:color="auto"/>
              <w:left w:val="single" w:sz="4" w:space="0" w:color="auto"/>
              <w:bottom w:val="single" w:sz="4" w:space="0" w:color="auto"/>
              <w:right w:val="single" w:sz="4" w:space="0" w:color="auto"/>
            </w:tcBorders>
            <w:shd w:val="clear" w:color="auto" w:fill="C6EFCE"/>
            <w:vAlign w:val="center"/>
          </w:tcPr>
          <w:p w14:paraId="07EA32F9" w14:textId="77777777" w:rsidR="00025543" w:rsidRDefault="007E3A2F">
            <w:pPr>
              <w:pStyle w:val="P68B1DB1-Normal16"/>
              <w:spacing w:line="240" w:lineRule="auto"/>
              <w:jc w:val="center"/>
              <w:rPr>
                <w:noProof/>
              </w:rPr>
            </w:pPr>
            <w:r>
              <w:rPr>
                <w:noProof/>
              </w:rPr>
              <w:t>TRIMESTRE 2</w:t>
            </w:r>
          </w:p>
        </w:tc>
        <w:tc>
          <w:tcPr>
            <w:tcW w:w="961" w:type="dxa"/>
            <w:tcBorders>
              <w:top w:val="single" w:sz="4" w:space="0" w:color="auto"/>
              <w:left w:val="single" w:sz="4" w:space="0" w:color="auto"/>
              <w:bottom w:val="single" w:sz="4" w:space="0" w:color="auto"/>
              <w:right w:val="single" w:sz="4" w:space="0" w:color="auto"/>
            </w:tcBorders>
            <w:shd w:val="clear" w:color="auto" w:fill="C6EFCE"/>
            <w:vAlign w:val="center"/>
          </w:tcPr>
          <w:p w14:paraId="3EB23593" w14:textId="77777777" w:rsidR="00025543" w:rsidRDefault="007E3A2F">
            <w:pPr>
              <w:pStyle w:val="P68B1DB1-Normal16"/>
              <w:spacing w:line="240" w:lineRule="auto"/>
              <w:jc w:val="center"/>
              <w:rPr>
                <w:noProof/>
              </w:rPr>
            </w:pPr>
            <w:r>
              <w:rPr>
                <w:noProof/>
              </w:rPr>
              <w:t>2026</w:t>
            </w:r>
          </w:p>
        </w:tc>
        <w:tc>
          <w:tcPr>
            <w:tcW w:w="4428" w:type="dxa"/>
            <w:tcBorders>
              <w:top w:val="single" w:sz="4" w:space="0" w:color="auto"/>
              <w:left w:val="single" w:sz="4" w:space="0" w:color="auto"/>
              <w:bottom w:val="single" w:sz="4" w:space="0" w:color="auto"/>
              <w:right w:val="single" w:sz="4" w:space="0" w:color="auto"/>
            </w:tcBorders>
            <w:shd w:val="clear" w:color="auto" w:fill="C6EFCE"/>
            <w:vAlign w:val="center"/>
          </w:tcPr>
          <w:p w14:paraId="55BE2E4E" w14:textId="61119761" w:rsidR="00025543" w:rsidRDefault="007E3A2F">
            <w:pPr>
              <w:pStyle w:val="P68B1DB1-Normal12"/>
              <w:spacing w:line="240" w:lineRule="auto"/>
              <w:rPr>
                <w:noProof/>
                <w:color w:val="004300"/>
              </w:rPr>
            </w:pPr>
            <w:r>
              <w:rPr>
                <w:noProof/>
                <w:color w:val="004300"/>
              </w:rPr>
              <w:t xml:space="preserve">Un soutien sera apporté aux centres d’oncologie complexe et aux centres de soins d’oncologie et d’hématoncologie hautement spécialisés dans le cadre d’un programme de subventions géré par le ministère de la santé, doté d’une enveloppe totale de 64 920 000 EUR.  Au moins dix centres bénéficient d’une aide pour l’acquisition de technologies et d’équipements de pointe permettant la médecine personnalisée. La sélection des projets à soutenir garantit une couverture géographique équilibrée. Seuls les prestataires de soins de santé publics bénéficient d’une aide. </w:t>
            </w:r>
          </w:p>
        </w:tc>
      </w:tr>
      <w:tr w:rsidR="00025543" w14:paraId="75CD5A7E" w14:textId="77777777">
        <w:trPr>
          <w:trHeight w:val="715"/>
          <w:jc w:val="center"/>
        </w:trPr>
        <w:tc>
          <w:tcPr>
            <w:tcW w:w="641" w:type="dxa"/>
            <w:tcBorders>
              <w:top w:val="single" w:sz="4" w:space="0" w:color="auto"/>
              <w:left w:val="single" w:sz="4" w:space="0" w:color="auto"/>
              <w:bottom w:val="single" w:sz="4" w:space="0" w:color="auto"/>
              <w:right w:val="single" w:sz="4" w:space="0" w:color="auto"/>
            </w:tcBorders>
            <w:shd w:val="clear" w:color="auto" w:fill="C6EFCE"/>
            <w:vAlign w:val="center"/>
          </w:tcPr>
          <w:p w14:paraId="23EFCDF4" w14:textId="77777777" w:rsidR="00025543" w:rsidRDefault="007E3A2F">
            <w:pPr>
              <w:pStyle w:val="P68B1DB1-Normal16"/>
              <w:spacing w:line="240" w:lineRule="auto"/>
              <w:jc w:val="center"/>
              <w:rPr>
                <w:noProof/>
              </w:rPr>
            </w:pPr>
            <w:r>
              <w:rPr>
                <w:noProof/>
              </w:rPr>
              <w:t>243</w:t>
            </w:r>
          </w:p>
        </w:tc>
        <w:tc>
          <w:tcPr>
            <w:tcW w:w="1485" w:type="dxa"/>
            <w:tcBorders>
              <w:top w:val="single" w:sz="4" w:space="0" w:color="auto"/>
              <w:left w:val="single" w:sz="4" w:space="0" w:color="auto"/>
              <w:bottom w:val="single" w:sz="4" w:space="0" w:color="auto"/>
              <w:right w:val="single" w:sz="4" w:space="0" w:color="auto"/>
            </w:tcBorders>
            <w:shd w:val="clear" w:color="auto" w:fill="C6EFCE"/>
            <w:vAlign w:val="center"/>
          </w:tcPr>
          <w:p w14:paraId="41BCC79B" w14:textId="7AE952E7" w:rsidR="00025543" w:rsidRDefault="007E3A2F">
            <w:pPr>
              <w:pStyle w:val="P68B1DB1-Normal16"/>
              <w:spacing w:line="240" w:lineRule="auto"/>
              <w:rPr>
                <w:noProof/>
              </w:rPr>
            </w:pPr>
            <w:r>
              <w:rPr>
                <w:noProof/>
              </w:rPr>
              <w:t>Investissement 3: Création et développement du Centre pour la prévention du cancer et l’infrastructure pour les soins innovants et supportifs à l’Institut de lutte contre le cancer du mémorial Masaryk</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02426778" w14:textId="77777777" w:rsidR="00025543" w:rsidRDefault="007E3A2F">
            <w:pPr>
              <w:pStyle w:val="P68B1DB1-Normal16"/>
              <w:spacing w:line="240" w:lineRule="auto"/>
              <w:rPr>
                <w:noProof/>
              </w:rPr>
            </w:pPr>
            <w:r>
              <w:rPr>
                <w:noProof/>
              </w:rPr>
              <w:t>Étapes</w:t>
            </w:r>
          </w:p>
        </w:tc>
        <w:tc>
          <w:tcPr>
            <w:tcW w:w="1063" w:type="dxa"/>
            <w:tcBorders>
              <w:top w:val="single" w:sz="4" w:space="0" w:color="auto"/>
              <w:left w:val="single" w:sz="4" w:space="0" w:color="auto"/>
              <w:bottom w:val="single" w:sz="4" w:space="0" w:color="auto"/>
              <w:right w:val="single" w:sz="4" w:space="0" w:color="auto"/>
            </w:tcBorders>
            <w:shd w:val="clear" w:color="auto" w:fill="C6EFCE"/>
            <w:vAlign w:val="center"/>
          </w:tcPr>
          <w:p w14:paraId="4888181F" w14:textId="641E72FC" w:rsidR="00025543" w:rsidRDefault="007E3A2F">
            <w:pPr>
              <w:pStyle w:val="P68B1DB1-Normal15"/>
              <w:spacing w:line="240" w:lineRule="auto"/>
              <w:rPr>
                <w:noProof/>
              </w:rPr>
            </w:pPr>
            <w:r>
              <w:rPr>
                <w:noProof/>
              </w:rPr>
              <w:t>Centre de prévention du cancer au Masaryk Memorial Cancer Institute</w:t>
            </w:r>
          </w:p>
        </w:tc>
        <w:tc>
          <w:tcPr>
            <w:tcW w:w="1325" w:type="dxa"/>
            <w:tcBorders>
              <w:top w:val="single" w:sz="4" w:space="0" w:color="auto"/>
              <w:left w:val="single" w:sz="4" w:space="0" w:color="auto"/>
              <w:bottom w:val="single" w:sz="4" w:space="0" w:color="auto"/>
              <w:right w:val="single" w:sz="4" w:space="0" w:color="auto"/>
            </w:tcBorders>
            <w:shd w:val="clear" w:color="auto" w:fill="C6EFCE"/>
            <w:vAlign w:val="center"/>
          </w:tcPr>
          <w:p w14:paraId="28123994" w14:textId="7F2E0C2E" w:rsidR="00025543" w:rsidRDefault="007E3A2F">
            <w:pPr>
              <w:pStyle w:val="P68B1DB1-Normal15"/>
              <w:spacing w:line="240" w:lineRule="auto"/>
              <w:rPr>
                <w:noProof/>
              </w:rPr>
            </w:pPr>
            <w:r>
              <w:rPr>
                <w:noProof/>
              </w:rPr>
              <w:t xml:space="preserve">Le nouveau centre de prévention du cancer du Masaryk Memorial Cancer Institute a été mis en service </w:t>
            </w:r>
          </w:p>
        </w:tc>
        <w:tc>
          <w:tcPr>
            <w:tcW w:w="1011" w:type="dxa"/>
            <w:tcBorders>
              <w:top w:val="single" w:sz="4" w:space="0" w:color="auto"/>
              <w:left w:val="single" w:sz="4" w:space="0" w:color="auto"/>
              <w:bottom w:val="single" w:sz="4" w:space="0" w:color="auto"/>
              <w:right w:val="single" w:sz="4" w:space="0" w:color="auto"/>
            </w:tcBorders>
            <w:shd w:val="clear" w:color="auto" w:fill="C6EFCE"/>
            <w:vAlign w:val="center"/>
          </w:tcPr>
          <w:p w14:paraId="5E37A4DA" w14:textId="77777777" w:rsidR="00025543" w:rsidRDefault="00025543">
            <w:pPr>
              <w:spacing w:line="240" w:lineRule="auto"/>
              <w:rPr>
                <w:noProof/>
                <w:color w:val="004300"/>
                <w:sz w:val="18"/>
              </w:rPr>
            </w:pPr>
          </w:p>
        </w:tc>
        <w:tc>
          <w:tcPr>
            <w:tcW w:w="1011" w:type="dxa"/>
            <w:tcBorders>
              <w:top w:val="single" w:sz="4" w:space="0" w:color="auto"/>
              <w:left w:val="single" w:sz="4" w:space="0" w:color="auto"/>
              <w:bottom w:val="single" w:sz="4" w:space="0" w:color="auto"/>
              <w:right w:val="single" w:sz="4" w:space="0" w:color="auto"/>
            </w:tcBorders>
            <w:shd w:val="clear" w:color="auto" w:fill="C6EFCE"/>
            <w:vAlign w:val="center"/>
          </w:tcPr>
          <w:p w14:paraId="17BC20FB" w14:textId="77777777" w:rsidR="00025543" w:rsidRDefault="00025543">
            <w:pPr>
              <w:spacing w:line="240" w:lineRule="auto"/>
              <w:jc w:val="center"/>
              <w:rPr>
                <w:noProof/>
                <w:color w:val="004300"/>
                <w:sz w:val="18"/>
              </w:rPr>
            </w:pPr>
          </w:p>
        </w:tc>
        <w:tc>
          <w:tcPr>
            <w:tcW w:w="803" w:type="dxa"/>
            <w:tcBorders>
              <w:top w:val="single" w:sz="4" w:space="0" w:color="auto"/>
              <w:left w:val="single" w:sz="4" w:space="0" w:color="auto"/>
              <w:bottom w:val="single" w:sz="4" w:space="0" w:color="auto"/>
              <w:right w:val="single" w:sz="4" w:space="0" w:color="auto"/>
            </w:tcBorders>
            <w:shd w:val="clear" w:color="auto" w:fill="C6EFCE"/>
            <w:vAlign w:val="center"/>
          </w:tcPr>
          <w:p w14:paraId="2749F23C" w14:textId="77777777" w:rsidR="00025543" w:rsidRDefault="00025543">
            <w:pPr>
              <w:spacing w:line="240" w:lineRule="auto"/>
              <w:jc w:val="center"/>
              <w:rPr>
                <w:noProof/>
                <w:color w:val="004300"/>
                <w:sz w:val="18"/>
              </w:rPr>
            </w:pPr>
          </w:p>
        </w:tc>
        <w:tc>
          <w:tcPr>
            <w:tcW w:w="964" w:type="dxa"/>
            <w:tcBorders>
              <w:top w:val="single" w:sz="4" w:space="0" w:color="auto"/>
              <w:left w:val="single" w:sz="4" w:space="0" w:color="auto"/>
              <w:bottom w:val="single" w:sz="4" w:space="0" w:color="auto"/>
              <w:right w:val="single" w:sz="4" w:space="0" w:color="auto"/>
            </w:tcBorders>
            <w:shd w:val="clear" w:color="auto" w:fill="C6EFCE"/>
            <w:vAlign w:val="center"/>
          </w:tcPr>
          <w:p w14:paraId="5ADEB259" w14:textId="77777777" w:rsidR="00025543" w:rsidRDefault="007E3A2F">
            <w:pPr>
              <w:pStyle w:val="P68B1DB1-Normal16"/>
              <w:spacing w:line="240" w:lineRule="auto"/>
              <w:jc w:val="center"/>
              <w:rPr>
                <w:noProof/>
              </w:rPr>
            </w:pPr>
            <w:r>
              <w:rPr>
                <w:noProof/>
              </w:rPr>
              <w:t>TRIMESTRE 4</w:t>
            </w:r>
          </w:p>
        </w:tc>
        <w:tc>
          <w:tcPr>
            <w:tcW w:w="961" w:type="dxa"/>
            <w:tcBorders>
              <w:top w:val="single" w:sz="4" w:space="0" w:color="auto"/>
              <w:left w:val="single" w:sz="4" w:space="0" w:color="auto"/>
              <w:bottom w:val="single" w:sz="4" w:space="0" w:color="auto"/>
              <w:right w:val="single" w:sz="4" w:space="0" w:color="auto"/>
            </w:tcBorders>
            <w:shd w:val="clear" w:color="auto" w:fill="C6EFCE"/>
            <w:vAlign w:val="center"/>
          </w:tcPr>
          <w:p w14:paraId="2C6CF645" w14:textId="77777777" w:rsidR="00025543" w:rsidRDefault="007E3A2F">
            <w:pPr>
              <w:pStyle w:val="P68B1DB1-Normal16"/>
              <w:spacing w:line="240" w:lineRule="auto"/>
              <w:jc w:val="center"/>
              <w:rPr>
                <w:noProof/>
              </w:rPr>
            </w:pPr>
            <w:r>
              <w:rPr>
                <w:noProof/>
              </w:rPr>
              <w:t>2025</w:t>
            </w:r>
          </w:p>
        </w:tc>
        <w:tc>
          <w:tcPr>
            <w:tcW w:w="4428" w:type="dxa"/>
            <w:tcBorders>
              <w:top w:val="single" w:sz="4" w:space="0" w:color="auto"/>
              <w:left w:val="single" w:sz="4" w:space="0" w:color="auto"/>
              <w:bottom w:val="single" w:sz="4" w:space="0" w:color="auto"/>
              <w:right w:val="single" w:sz="4" w:space="0" w:color="auto"/>
            </w:tcBorders>
            <w:shd w:val="clear" w:color="auto" w:fill="C6EFCE"/>
            <w:vAlign w:val="center"/>
          </w:tcPr>
          <w:p w14:paraId="6B308B28" w14:textId="228A540B" w:rsidR="00025543" w:rsidRDefault="007E3A2F">
            <w:pPr>
              <w:pStyle w:val="P68B1DB1-Normal16"/>
              <w:spacing w:line="240" w:lineRule="auto"/>
              <w:jc w:val="both"/>
              <w:rPr>
                <w:noProof/>
              </w:rPr>
            </w:pPr>
            <w:r>
              <w:rPr>
                <w:noProof/>
              </w:rPr>
              <w:t>Entrée en service de nouvelles installations du centre de prévention du cancer de l’Institut de lutte contre le cancer du Mémorial Masaryk. Achèvement du transfert des capacités existantes vers de nouveaux locaux.</w:t>
            </w:r>
          </w:p>
          <w:p w14:paraId="4057726B" w14:textId="77777777" w:rsidR="00025543" w:rsidRDefault="007E3A2F">
            <w:pPr>
              <w:pStyle w:val="P68B1DB1-Normal15"/>
              <w:spacing w:line="240" w:lineRule="auto"/>
              <w:jc w:val="both"/>
              <w:rPr>
                <w:noProof/>
              </w:rPr>
            </w:pPr>
            <w:r>
              <w:rPr>
                <w:noProof/>
              </w:rPr>
              <w:t>La construction fait l’objet de procédures d’appel d’offres ouvertes et publiques. Une évaluation des besoins est effectuée avant le lancement de l’appel d’offres.</w:t>
            </w:r>
          </w:p>
        </w:tc>
      </w:tr>
      <w:tr w:rsidR="00025543" w14:paraId="26272CF2" w14:textId="77777777">
        <w:trPr>
          <w:trHeight w:val="945"/>
          <w:jc w:val="center"/>
        </w:trPr>
        <w:tc>
          <w:tcPr>
            <w:tcW w:w="641" w:type="dxa"/>
            <w:tcBorders>
              <w:top w:val="single" w:sz="4" w:space="0" w:color="auto"/>
              <w:left w:val="single" w:sz="4" w:space="0" w:color="auto"/>
              <w:bottom w:val="single" w:sz="4" w:space="0" w:color="auto"/>
              <w:right w:val="single" w:sz="4" w:space="0" w:color="auto"/>
            </w:tcBorders>
            <w:shd w:val="clear" w:color="auto" w:fill="C6EFCE"/>
            <w:vAlign w:val="center"/>
          </w:tcPr>
          <w:p w14:paraId="62159BFE" w14:textId="77777777" w:rsidR="00025543" w:rsidRDefault="007E3A2F">
            <w:pPr>
              <w:pStyle w:val="P68B1DB1-Normal16"/>
              <w:spacing w:line="240" w:lineRule="auto"/>
              <w:jc w:val="center"/>
              <w:rPr>
                <w:noProof/>
              </w:rPr>
            </w:pPr>
            <w:r>
              <w:rPr>
                <w:noProof/>
              </w:rPr>
              <w:t>244</w:t>
            </w:r>
          </w:p>
        </w:tc>
        <w:tc>
          <w:tcPr>
            <w:tcW w:w="1485" w:type="dxa"/>
            <w:tcBorders>
              <w:top w:val="single" w:sz="4" w:space="0" w:color="auto"/>
              <w:left w:val="single" w:sz="4" w:space="0" w:color="auto"/>
              <w:bottom w:val="single" w:sz="4" w:space="0" w:color="auto"/>
              <w:right w:val="single" w:sz="4" w:space="0" w:color="auto"/>
            </w:tcBorders>
            <w:shd w:val="clear" w:color="auto" w:fill="C6EFCE"/>
            <w:vAlign w:val="center"/>
          </w:tcPr>
          <w:p w14:paraId="720E41CD" w14:textId="6483D6EB" w:rsidR="00025543" w:rsidRDefault="007E3A2F">
            <w:pPr>
              <w:pStyle w:val="P68B1DB1-Normal16"/>
              <w:spacing w:line="240" w:lineRule="auto"/>
              <w:rPr>
                <w:noProof/>
              </w:rPr>
            </w:pPr>
            <w:r>
              <w:rPr>
                <w:noProof/>
              </w:rPr>
              <w:t>Investissement 3: Création et développement du Centre pour la prévention du cancer et l’infrastructure pour les soins innovants et supportifs à l’Institut de lutte contre le cancer du mémorial Masaryk</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27FF5035" w14:textId="77777777" w:rsidR="00025543" w:rsidRDefault="007E3A2F">
            <w:pPr>
              <w:pStyle w:val="P68B1DB1-Normal16"/>
              <w:spacing w:line="240" w:lineRule="auto"/>
              <w:rPr>
                <w:noProof/>
              </w:rPr>
            </w:pPr>
            <w:r>
              <w:rPr>
                <w:noProof/>
              </w:rPr>
              <w:t>Étapes</w:t>
            </w:r>
          </w:p>
        </w:tc>
        <w:tc>
          <w:tcPr>
            <w:tcW w:w="1063" w:type="dxa"/>
            <w:tcBorders>
              <w:top w:val="single" w:sz="4" w:space="0" w:color="auto"/>
              <w:left w:val="single" w:sz="4" w:space="0" w:color="auto"/>
              <w:bottom w:val="single" w:sz="4" w:space="0" w:color="auto"/>
              <w:right w:val="single" w:sz="4" w:space="0" w:color="auto"/>
            </w:tcBorders>
            <w:shd w:val="clear" w:color="auto" w:fill="C6EFCE"/>
            <w:vAlign w:val="center"/>
          </w:tcPr>
          <w:p w14:paraId="08B4C91D" w14:textId="1C3F98AD" w:rsidR="00025543" w:rsidRDefault="007E3A2F">
            <w:pPr>
              <w:pStyle w:val="P68B1DB1-Normal16"/>
              <w:spacing w:line="240" w:lineRule="auto"/>
              <w:rPr>
                <w:rFonts w:eastAsia="Times New Roman"/>
                <w:noProof/>
              </w:rPr>
            </w:pPr>
            <w:r>
              <w:rPr>
                <w:rFonts w:eastAsia="Times New Roman"/>
                <w:noProof/>
              </w:rPr>
              <w:t>Extension des infrastructures de soins innovants et supportives à l’</w:t>
            </w:r>
            <w:r>
              <w:rPr>
                <w:rFonts w:eastAsia="Times New Roman"/>
                <w:noProof/>
                <w:u w:val="single"/>
              </w:rPr>
              <w:t xml:space="preserve"> Institut</w:t>
            </w:r>
            <w:r>
              <w:rPr>
                <w:noProof/>
                <w:u w:val="single"/>
              </w:rPr>
              <w:t>de cancer mémorial</w:t>
            </w:r>
            <w:r>
              <w:rPr>
                <w:rFonts w:eastAsia="Times New Roman"/>
                <w:noProof/>
              </w:rPr>
              <w:t xml:space="preserve"> </w:t>
            </w:r>
            <w:r>
              <w:rPr>
                <w:rFonts w:eastAsia="Times New Roman"/>
                <w:noProof/>
                <w:u w:val="single"/>
              </w:rPr>
              <w:t xml:space="preserve">Masaryk </w:t>
            </w:r>
          </w:p>
        </w:tc>
        <w:tc>
          <w:tcPr>
            <w:tcW w:w="1325" w:type="dxa"/>
            <w:tcBorders>
              <w:top w:val="single" w:sz="4" w:space="0" w:color="auto"/>
              <w:left w:val="single" w:sz="4" w:space="0" w:color="auto"/>
              <w:bottom w:val="single" w:sz="4" w:space="0" w:color="auto"/>
              <w:right w:val="single" w:sz="4" w:space="0" w:color="auto"/>
            </w:tcBorders>
            <w:shd w:val="clear" w:color="auto" w:fill="C6EFCE"/>
            <w:vAlign w:val="center"/>
          </w:tcPr>
          <w:p w14:paraId="1A94186E" w14:textId="77777777" w:rsidR="00025543" w:rsidRDefault="007E3A2F">
            <w:pPr>
              <w:pStyle w:val="P68B1DB1-Normal15"/>
              <w:spacing w:line="240" w:lineRule="auto"/>
              <w:rPr>
                <w:noProof/>
              </w:rPr>
            </w:pPr>
            <w:r>
              <w:rPr>
                <w:noProof/>
              </w:rPr>
              <w:t xml:space="preserve">Mise en service de nouvelles installations de soins de soutien et d’innovation </w:t>
            </w:r>
          </w:p>
        </w:tc>
        <w:tc>
          <w:tcPr>
            <w:tcW w:w="1011" w:type="dxa"/>
            <w:tcBorders>
              <w:top w:val="single" w:sz="4" w:space="0" w:color="auto"/>
              <w:left w:val="single" w:sz="4" w:space="0" w:color="auto"/>
              <w:bottom w:val="single" w:sz="4" w:space="0" w:color="auto"/>
              <w:right w:val="single" w:sz="4" w:space="0" w:color="auto"/>
            </w:tcBorders>
            <w:shd w:val="clear" w:color="auto" w:fill="C6EFCE"/>
            <w:vAlign w:val="center"/>
          </w:tcPr>
          <w:p w14:paraId="3E7A04F5" w14:textId="77777777" w:rsidR="00025543" w:rsidRDefault="00025543">
            <w:pPr>
              <w:spacing w:line="240" w:lineRule="auto"/>
              <w:rPr>
                <w:noProof/>
                <w:color w:val="004300"/>
                <w:sz w:val="18"/>
              </w:rPr>
            </w:pPr>
          </w:p>
        </w:tc>
        <w:tc>
          <w:tcPr>
            <w:tcW w:w="1011" w:type="dxa"/>
            <w:tcBorders>
              <w:top w:val="single" w:sz="4" w:space="0" w:color="auto"/>
              <w:left w:val="single" w:sz="4" w:space="0" w:color="auto"/>
              <w:bottom w:val="single" w:sz="4" w:space="0" w:color="auto"/>
              <w:right w:val="single" w:sz="4" w:space="0" w:color="auto"/>
            </w:tcBorders>
            <w:shd w:val="clear" w:color="auto" w:fill="C6EFCE"/>
            <w:vAlign w:val="center"/>
          </w:tcPr>
          <w:p w14:paraId="6A1D1267" w14:textId="77777777" w:rsidR="00025543" w:rsidRDefault="00025543">
            <w:pPr>
              <w:spacing w:line="240" w:lineRule="auto"/>
              <w:jc w:val="center"/>
              <w:rPr>
                <w:noProof/>
                <w:color w:val="004300"/>
                <w:sz w:val="18"/>
              </w:rPr>
            </w:pPr>
          </w:p>
        </w:tc>
        <w:tc>
          <w:tcPr>
            <w:tcW w:w="803" w:type="dxa"/>
            <w:tcBorders>
              <w:top w:val="single" w:sz="4" w:space="0" w:color="auto"/>
              <w:left w:val="single" w:sz="4" w:space="0" w:color="auto"/>
              <w:bottom w:val="single" w:sz="4" w:space="0" w:color="auto"/>
              <w:right w:val="single" w:sz="4" w:space="0" w:color="auto"/>
            </w:tcBorders>
            <w:shd w:val="clear" w:color="auto" w:fill="C6EFCE"/>
            <w:vAlign w:val="center"/>
          </w:tcPr>
          <w:p w14:paraId="7857ECBB" w14:textId="77777777" w:rsidR="00025543" w:rsidRDefault="00025543">
            <w:pPr>
              <w:spacing w:line="240" w:lineRule="auto"/>
              <w:jc w:val="center"/>
              <w:rPr>
                <w:noProof/>
                <w:color w:val="004300"/>
                <w:sz w:val="18"/>
              </w:rPr>
            </w:pPr>
          </w:p>
        </w:tc>
        <w:tc>
          <w:tcPr>
            <w:tcW w:w="964" w:type="dxa"/>
            <w:tcBorders>
              <w:top w:val="single" w:sz="4" w:space="0" w:color="auto"/>
              <w:left w:val="single" w:sz="4" w:space="0" w:color="auto"/>
              <w:bottom w:val="single" w:sz="4" w:space="0" w:color="auto"/>
              <w:right w:val="single" w:sz="4" w:space="0" w:color="auto"/>
            </w:tcBorders>
            <w:shd w:val="clear" w:color="auto" w:fill="C6EFCE"/>
            <w:vAlign w:val="center"/>
          </w:tcPr>
          <w:p w14:paraId="6021B0AD" w14:textId="77777777" w:rsidR="00025543" w:rsidRDefault="007E3A2F">
            <w:pPr>
              <w:pStyle w:val="P68B1DB1-Normal16"/>
              <w:spacing w:line="240" w:lineRule="auto"/>
              <w:jc w:val="center"/>
              <w:rPr>
                <w:noProof/>
              </w:rPr>
            </w:pPr>
            <w:r>
              <w:rPr>
                <w:noProof/>
              </w:rPr>
              <w:t>TRIMESTRE 4</w:t>
            </w:r>
          </w:p>
        </w:tc>
        <w:tc>
          <w:tcPr>
            <w:tcW w:w="961" w:type="dxa"/>
            <w:tcBorders>
              <w:top w:val="single" w:sz="4" w:space="0" w:color="auto"/>
              <w:left w:val="single" w:sz="4" w:space="0" w:color="auto"/>
              <w:bottom w:val="single" w:sz="4" w:space="0" w:color="auto"/>
              <w:right w:val="single" w:sz="4" w:space="0" w:color="auto"/>
            </w:tcBorders>
            <w:shd w:val="clear" w:color="auto" w:fill="C6EFCE"/>
            <w:vAlign w:val="center"/>
          </w:tcPr>
          <w:p w14:paraId="0783C8AC" w14:textId="77777777" w:rsidR="00025543" w:rsidRDefault="007E3A2F">
            <w:pPr>
              <w:pStyle w:val="P68B1DB1-Normal16"/>
              <w:spacing w:line="240" w:lineRule="auto"/>
              <w:jc w:val="center"/>
              <w:rPr>
                <w:noProof/>
              </w:rPr>
            </w:pPr>
            <w:r>
              <w:rPr>
                <w:noProof/>
              </w:rPr>
              <w:t>2025</w:t>
            </w:r>
          </w:p>
        </w:tc>
        <w:tc>
          <w:tcPr>
            <w:tcW w:w="4428" w:type="dxa"/>
            <w:tcBorders>
              <w:top w:val="single" w:sz="4" w:space="0" w:color="auto"/>
              <w:left w:val="single" w:sz="4" w:space="0" w:color="auto"/>
              <w:bottom w:val="single" w:sz="4" w:space="0" w:color="auto"/>
              <w:right w:val="single" w:sz="4" w:space="0" w:color="auto"/>
            </w:tcBorders>
            <w:shd w:val="clear" w:color="auto" w:fill="C6EFCE"/>
            <w:vAlign w:val="center"/>
          </w:tcPr>
          <w:p w14:paraId="65B63092" w14:textId="38A92FDD" w:rsidR="00025543" w:rsidRDefault="007E3A2F">
            <w:pPr>
              <w:pStyle w:val="P68B1DB1-Normal16"/>
              <w:spacing w:line="240" w:lineRule="auto"/>
              <w:jc w:val="both"/>
              <w:rPr>
                <w:noProof/>
              </w:rPr>
            </w:pPr>
            <w:r>
              <w:rPr>
                <w:noProof/>
              </w:rPr>
              <w:t>Mise en service des nouvelles installations du premier centre de contact, du centre d’essais cliniques, du centre de soins de soutien et du centre d’éducation.</w:t>
            </w:r>
          </w:p>
          <w:p w14:paraId="197232D3" w14:textId="77777777" w:rsidR="00025543" w:rsidRDefault="007E3A2F">
            <w:pPr>
              <w:pStyle w:val="P68B1DB1-Normal16"/>
              <w:spacing w:line="240" w:lineRule="auto"/>
              <w:jc w:val="both"/>
              <w:rPr>
                <w:noProof/>
              </w:rPr>
            </w:pPr>
            <w:r>
              <w:rPr>
                <w:rFonts w:eastAsia="Times New Roman"/>
                <w:noProof/>
              </w:rPr>
              <w:t>La construction fait l’objet de procédures d’appel d’offres ouvertes et publiques. Une évaluation des besoins est effectuée avant le lancement de l’appel d’offres.</w:t>
            </w:r>
            <w:r>
              <w:rPr>
                <w:noProof/>
              </w:rPr>
              <w:t xml:space="preserve"> </w:t>
            </w:r>
          </w:p>
          <w:p w14:paraId="4D147DB3" w14:textId="77777777" w:rsidR="00025543" w:rsidRDefault="007E3A2F">
            <w:pPr>
              <w:pStyle w:val="P68B1DB1-Normal16"/>
              <w:spacing w:line="240" w:lineRule="auto"/>
              <w:jc w:val="both"/>
              <w:rPr>
                <w:noProof/>
              </w:rPr>
            </w:pPr>
            <w:r>
              <w:rPr>
                <w:noProof/>
              </w:rPr>
              <w:t xml:space="preserve">Le projet pilote relatif au programme de lutte contre le cancer est achevé. </w:t>
            </w:r>
          </w:p>
        </w:tc>
      </w:tr>
    </w:tbl>
    <w:p w14:paraId="21FAC865" w14:textId="77777777" w:rsidR="00025543" w:rsidRDefault="00025543">
      <w:pPr>
        <w:pBdr>
          <w:top w:val="nil"/>
          <w:left w:val="nil"/>
          <w:bottom w:val="nil"/>
          <w:right w:val="nil"/>
          <w:between w:val="nil"/>
        </w:pBdr>
        <w:tabs>
          <w:tab w:val="left" w:pos="993"/>
        </w:tabs>
        <w:spacing w:line="240" w:lineRule="auto"/>
        <w:jc w:val="both"/>
        <w:rPr>
          <w:rFonts w:eastAsia="Times New Roman"/>
          <w:b/>
          <w:noProof/>
          <w:color w:val="000000"/>
          <w:sz w:val="16"/>
          <w:u w:val="single"/>
        </w:rPr>
        <w:sectPr w:rsidR="00025543" w:rsidSect="00997F50">
          <w:headerReference w:type="even" r:id="rId432"/>
          <w:headerReference w:type="default" r:id="rId433"/>
          <w:footerReference w:type="even" r:id="rId434"/>
          <w:footerReference w:type="default" r:id="rId435"/>
          <w:headerReference w:type="first" r:id="rId436"/>
          <w:footerReference w:type="first" r:id="rId437"/>
          <w:pgSz w:w="16839" w:h="11907" w:orient="landscape"/>
          <w:pgMar w:top="1134" w:right="1134" w:bottom="1134" w:left="1134" w:header="567" w:footer="567" w:gutter="0"/>
          <w:cols w:space="720"/>
          <w:docGrid w:linePitch="360"/>
        </w:sectPr>
      </w:pPr>
    </w:p>
    <w:p w14:paraId="368F47B5" w14:textId="5CDF576E" w:rsidR="00025543" w:rsidRDefault="007E3A2F">
      <w:pPr>
        <w:pStyle w:val="P68B1DB1-K-Text48"/>
        <w:rPr>
          <w:noProof/>
        </w:rPr>
      </w:pPr>
      <w:r>
        <w:rPr>
          <w:noProof/>
        </w:rPr>
        <w:t>Chapitre REPowerEU</w:t>
      </w:r>
    </w:p>
    <w:p w14:paraId="2003D654" w14:textId="391CEC16" w:rsidR="00025543" w:rsidRDefault="007E3A2F">
      <w:pPr>
        <w:pStyle w:val="P68B1DB1-Normal4"/>
        <w:spacing w:after="0" w:line="259" w:lineRule="auto"/>
        <w:jc w:val="both"/>
        <w:rPr>
          <w:noProof/>
          <w:color w:val="000000" w:themeColor="text1"/>
        </w:rPr>
      </w:pPr>
      <w:r>
        <w:rPr>
          <w:noProof/>
        </w:rPr>
        <w:t>L’objectif du chapitre REPowerEU du plan tchèque pour la reprise et la résilience est de soutenir le développement des sources d’énergie renouvelables en désignant des zones d’accélération des SER, en simplifiant les procédures en la matière, tout en préparant le réseau électrique à accroître sa capacité de connectivité. Ces mesures contribuent conjointement à encourager l’adoption des énergies renouvelables et à renforcer la sécurité énergétique. Le chapitre REPowerEU vise également à améliorer l’efficacité énergétique du parc immobilier, à décarboner le transport routier en réduisant la demande d’énergie et la dépendance à l’égard des combustibles fossiles, et à adapter les programmes universitaires à la demande de compétences vertes.</w:t>
      </w:r>
    </w:p>
    <w:p w14:paraId="7B0E6BBD" w14:textId="357F309A" w:rsidR="00025543" w:rsidRDefault="007E3A2F">
      <w:pPr>
        <w:pStyle w:val="P68B1DB1-Normal3"/>
        <w:spacing w:after="160" w:line="257" w:lineRule="auto"/>
        <w:jc w:val="both"/>
        <w:rPr>
          <w:noProof/>
        </w:rPr>
      </w:pPr>
      <w:r>
        <w:rPr>
          <w:noProof/>
        </w:rPr>
        <w:t>Sur les 20 mesures du chapitre REPowerEU tchèque, six ont une dimension transfrontière. Les investissements les plus importants ayant une dimension transfrontière concernent la construction, le renforcement, la reconstruction et la modernisation des réseaux de distribution d’électricité. D’autres mesures notables sont le développement du photovoltaïque et la réforme globale du système de conseil pour la vague de rénovations.</w:t>
      </w:r>
    </w:p>
    <w:p w14:paraId="2E83A47B" w14:textId="05C3D597" w:rsidR="00025543" w:rsidRDefault="007E3A2F">
      <w:pPr>
        <w:pStyle w:val="P68B1DB1-Normal4"/>
        <w:spacing w:after="0" w:line="259" w:lineRule="auto"/>
        <w:jc w:val="both"/>
        <w:rPr>
          <w:noProof/>
          <w:color w:val="000000" w:themeColor="text1"/>
        </w:rPr>
      </w:pPr>
      <w:r>
        <w:rPr>
          <w:noProof/>
        </w:rPr>
        <w:t>Le chapitre REPowerEU contribue à donner suite aux recommandations par pays visant à réduire la dépendance globale à l’égard des combustibles fossiles et leur consommation en accélérant le déploiement des énergies renouvelables et en facilitant leur intégration dans le système électrique, notamment en rationalisant davantage les procédures d’autorisation et en facilitant l’accès au réseau et en réduisant l’utilisation des combustibles fossiles dans le système de transport tchèque, et à accroître l’efficacité énergétique des systèmes de chauffage urbain et du parc immobilier en encourageant les rénovations en profondeur et les sources de chaleur renouvelables.</w:t>
      </w:r>
    </w:p>
    <w:p w14:paraId="2E2FDD61" w14:textId="0CBAE155" w:rsidR="00025543" w:rsidRDefault="007E3A2F">
      <w:pPr>
        <w:spacing w:after="0" w:line="259" w:lineRule="auto"/>
        <w:jc w:val="both"/>
        <w:rPr>
          <w:noProof/>
        </w:rPr>
      </w:pPr>
      <w:r>
        <w:rPr>
          <w:rFonts w:eastAsia="Times New Roman"/>
          <w:noProof/>
          <w:color w:val="000000" w:themeColor="text1"/>
        </w:rPr>
        <w:t>Aucune mesure du chapitre REPowerEU ne devrait causer de préjudice important aux objectifs environnementaux au sens de l’article 17 du règlement (UE) 2020/852, compte tenu de la description des mesures et des mesures d’atténuation prévues dans le plan pour la reprise et la résilience conformément aux orientations techniques DNSH (2021/C58/01).</w:t>
      </w:r>
      <w:r>
        <w:rPr>
          <w:noProof/>
        </w:rPr>
        <w:br w:type="page"/>
      </w:r>
    </w:p>
    <w:p w14:paraId="55362AD3" w14:textId="5A1D1C15" w:rsidR="00025543" w:rsidRDefault="007E3A2F">
      <w:pPr>
        <w:pStyle w:val="P68B1DB1-Normal2"/>
        <w:keepNext/>
        <w:tabs>
          <w:tab w:val="left" w:pos="850"/>
        </w:tabs>
        <w:spacing w:line="240" w:lineRule="auto"/>
        <w:jc w:val="both"/>
        <w:outlineLvl w:val="0"/>
        <w:rPr>
          <w:noProof/>
        </w:rPr>
      </w:pPr>
      <w:r>
        <w:rPr>
          <w:noProof/>
        </w:rPr>
        <w:t>EE. ÉLÉMENT 7.1:  Infrastructures pour les énergies renouvelables et l’électricité (REPowerEU)</w:t>
      </w:r>
    </w:p>
    <w:p w14:paraId="5A3DB042" w14:textId="2D79874B" w:rsidR="00025543" w:rsidRDefault="007E3A2F">
      <w:pPr>
        <w:pStyle w:val="P68B1DB1-Normal3"/>
        <w:spacing w:after="160" w:line="257" w:lineRule="auto"/>
        <w:jc w:val="both"/>
        <w:rPr>
          <w:noProof/>
        </w:rPr>
      </w:pPr>
      <w:r>
        <w:rPr>
          <w:noProof/>
        </w:rPr>
        <w:t>L’objectif de ce volet est de contribuer à la réalisation des objectifs en matière d’énergie et de climat à l’horizon 2030 pour la Tchéquie en facilitant l’augmentation des sources d’énergie renouvelables dans le bouquet énergétique tchèque et en déployant les infrastructures électriques adaptées.</w:t>
      </w:r>
    </w:p>
    <w:p w14:paraId="3A8548E3" w14:textId="7F29FAE9" w:rsidR="00025543" w:rsidRDefault="007E3A2F">
      <w:pPr>
        <w:pStyle w:val="P68B1DB1-Normal3"/>
        <w:spacing w:after="160" w:line="257" w:lineRule="auto"/>
        <w:jc w:val="both"/>
        <w:rPr>
          <w:noProof/>
        </w:rPr>
      </w:pPr>
      <w:r>
        <w:rPr>
          <w:noProof/>
        </w:rPr>
        <w:t>L’objectif des réformes est de soutenir le déploiement de projets dans le domaine des énergies renouvelables en rationalisant les procédures d’octroi des autorisations et les procédures administratives pour les sources d’énergie renouvelables, tout en simplifiant et en augmentant la transparence des procédures de raccordement au réseau.</w:t>
      </w:r>
    </w:p>
    <w:p w14:paraId="2BC87AC6" w14:textId="088BC8B0" w:rsidR="00025543" w:rsidRDefault="007E3A2F">
      <w:pPr>
        <w:pStyle w:val="P68B1DB1-Normal3"/>
        <w:spacing w:after="160" w:line="257" w:lineRule="auto"/>
        <w:jc w:val="both"/>
        <w:rPr>
          <w:noProof/>
        </w:rPr>
      </w:pPr>
      <w:r>
        <w:rPr>
          <w:noProof/>
        </w:rPr>
        <w:t xml:space="preserve">L’objectif des investissements est de moderniser et de développer les réseaux de distribution d’électricité afin de permettre au système électrique d’intégrer des sources d’énergie renouvelables à petite et grande échelle dans le réseau. </w:t>
      </w:r>
    </w:p>
    <w:p w14:paraId="1D20B869" w14:textId="0393ED12" w:rsidR="00025543" w:rsidRDefault="007E3A2F">
      <w:pPr>
        <w:pStyle w:val="P68B1DB1-Normal3"/>
        <w:spacing w:after="160" w:line="257" w:lineRule="auto"/>
        <w:jc w:val="both"/>
        <w:rPr>
          <w:noProof/>
        </w:rPr>
      </w:pPr>
      <w:r>
        <w:rPr>
          <w:noProof/>
        </w:rPr>
        <w:t>Le volet soutient la mise en œuvre de la recommandation par pays visant à réduire la dépendance globale à l’égard des combustibles fossiles et leur consommation en accélérant le déploiement des énergies renouvelables, notamment en rationalisant davantage les procédures d’autorisation et en facilitant l’accès au réseau (recommandations 4 et 2022).</w:t>
      </w:r>
    </w:p>
    <w:p w14:paraId="2EDFCC61" w14:textId="77777777" w:rsidR="00025543" w:rsidRDefault="00025543">
      <w:pPr>
        <w:pBdr>
          <w:top w:val="nil"/>
          <w:left w:val="nil"/>
          <w:bottom w:val="nil"/>
          <w:right w:val="nil"/>
          <w:between w:val="nil"/>
        </w:pBdr>
        <w:spacing w:line="240" w:lineRule="auto"/>
        <w:jc w:val="both"/>
        <w:rPr>
          <w:rFonts w:eastAsia="Times New Roman"/>
          <w:noProof/>
          <w:sz w:val="22"/>
          <w:shd w:val="clear" w:color="auto" w:fill="E6E6E6"/>
        </w:rPr>
      </w:pPr>
    </w:p>
    <w:p w14:paraId="5DB2581B" w14:textId="58307AF3" w:rsidR="00025543" w:rsidRDefault="007E3A2F">
      <w:pPr>
        <w:pStyle w:val="P68B1DB1-Normal8"/>
        <w:pBdr>
          <w:top w:val="nil"/>
          <w:left w:val="nil"/>
          <w:bottom w:val="nil"/>
          <w:right w:val="nil"/>
          <w:between w:val="nil"/>
        </w:pBdr>
        <w:spacing w:line="240" w:lineRule="auto"/>
        <w:jc w:val="both"/>
        <w:rPr>
          <w:i/>
          <w:noProof/>
        </w:rPr>
      </w:pPr>
      <w:r>
        <w:rPr>
          <w:noProof/>
        </w:rPr>
        <w:t>EE.1. Description des réformes et des investissements en vue du soutien financier non remboursable</w:t>
      </w:r>
    </w:p>
    <w:p w14:paraId="6B805BB3" w14:textId="759ECE24" w:rsidR="00025543" w:rsidRDefault="007E3A2F">
      <w:pPr>
        <w:pStyle w:val="P68B1DB1-Normal26"/>
        <w:spacing w:after="160" w:line="257" w:lineRule="auto"/>
        <w:jc w:val="both"/>
        <w:rPr>
          <w:noProof/>
        </w:rPr>
      </w:pPr>
      <w:r>
        <w:rPr>
          <w:noProof/>
        </w:rPr>
        <w:t>Investissement 1: Construction, rénovation et modernisation des réseaux de distribution</w:t>
      </w:r>
    </w:p>
    <w:p w14:paraId="71A389E9" w14:textId="11E51308" w:rsidR="00025543" w:rsidRDefault="007E3A2F">
      <w:pPr>
        <w:pStyle w:val="P68B1DB1-Normal4"/>
        <w:spacing w:after="0" w:line="259" w:lineRule="auto"/>
        <w:jc w:val="both"/>
        <w:rPr>
          <w:noProof/>
          <w:color w:val="000000" w:themeColor="text1"/>
        </w:rPr>
      </w:pPr>
      <w:r>
        <w:rPr>
          <w:noProof/>
        </w:rPr>
        <w:t xml:space="preserve">L’objectif de cette mesure est de répondre à l’augmentation attendue de la demande d’intégration des énergies renouvelables intermittentes dans le réseau de distribution.  Une capacité supplémentaire cumulée d’au moins 1 777 MW pour le raccordement de sources d’énergie renouvelables aux réseaux de distribution en Tchéquie est atteinte. Les interventions soutenues, telles que la construction de nouvelles lignes ou l’extension de lignes existantes (basse moyenne et haute tension), la construction de nouvelles stations électriques, le renouvellement et l’expansion de sous-stations existantes, y compris le déploiement d’un nouveau système de contrôle de la production augmentant le dimensionnement ou l’installation de nouveaux transformateurs, visent à contribuer à éliminer les goulets d’étranglement dans les réseaux en vue de maximiser la capacité technique supplémentaire d’intégration des nouvelles énergies renouvelables. </w:t>
      </w:r>
    </w:p>
    <w:p w14:paraId="0B84FEA2" w14:textId="1C17D4BA" w:rsidR="00025543" w:rsidRDefault="007E3A2F">
      <w:pPr>
        <w:pStyle w:val="P68B1DB1-Normal3"/>
        <w:spacing w:after="0" w:line="259" w:lineRule="auto"/>
        <w:jc w:val="both"/>
        <w:rPr>
          <w:noProof/>
          <w:color w:val="000000" w:themeColor="text1"/>
        </w:rPr>
      </w:pPr>
      <w:r>
        <w:rPr>
          <w:noProof/>
        </w:rPr>
        <w:t>L’investissement doit être achevé au plus tard le 31 mars 2026.</w:t>
      </w:r>
    </w:p>
    <w:p w14:paraId="31318809" w14:textId="6CC240CB" w:rsidR="00025543" w:rsidRDefault="007E3A2F">
      <w:pPr>
        <w:pStyle w:val="P68B1DB1-Normal7"/>
        <w:spacing w:after="160" w:line="257" w:lineRule="auto"/>
        <w:jc w:val="both"/>
        <w:rPr>
          <w:rFonts w:eastAsia="Times New Roman"/>
          <w:noProof/>
        </w:rPr>
      </w:pPr>
      <w:r>
        <w:rPr>
          <w:rFonts w:eastAsia="Times New Roman"/>
          <w:noProof/>
        </w:rPr>
        <w:t xml:space="preserve">Investissement 2: </w:t>
      </w:r>
      <w:r>
        <w:rPr>
          <w:noProof/>
        </w:rPr>
        <w:t xml:space="preserve">Volet 2.3 de la mesure renforcée (Transition vers des sources d’énergie plus propres) </w:t>
      </w:r>
      <w:r>
        <w:rPr>
          <w:rFonts w:eastAsia="Times New Roman"/>
          <w:noProof/>
        </w:rPr>
        <w:t xml:space="preserve">Déploiement des technologies photovoltaïques </w:t>
      </w:r>
    </w:p>
    <w:p w14:paraId="543C7C89" w14:textId="520E30B6" w:rsidR="00025543" w:rsidRDefault="007E3A2F">
      <w:pPr>
        <w:spacing w:line="240" w:lineRule="auto"/>
        <w:jc w:val="both"/>
        <w:rPr>
          <w:rFonts w:eastAsia="Times New Roman"/>
          <w:noProof/>
        </w:rPr>
      </w:pPr>
      <w:r>
        <w:rPr>
          <w:rFonts w:eastAsia="Times New Roman"/>
          <w:noProof/>
        </w:rPr>
        <w:t xml:space="preserve">L’objectif de cette mesure est d’accroître l’investissement 1: Déploiement du photovoltaïque dans le </w:t>
      </w:r>
      <w:r>
        <w:rPr>
          <w:noProof/>
        </w:rPr>
        <w:t>volet 2.3 (Transition vers des sources d’énergie plus propres)</w:t>
      </w:r>
      <w:r>
        <w:rPr>
          <w:rFonts w:eastAsia="Times New Roman"/>
          <w:noProof/>
        </w:rPr>
        <w:t xml:space="preserve">. </w:t>
      </w:r>
    </w:p>
    <w:p w14:paraId="2F82879C" w14:textId="2D79874B" w:rsidR="00025543" w:rsidRDefault="007E3A2F">
      <w:pPr>
        <w:pStyle w:val="P68B1DB1-Normal3"/>
        <w:spacing w:line="240" w:lineRule="auto"/>
        <w:jc w:val="both"/>
        <w:rPr>
          <w:noProof/>
        </w:rPr>
      </w:pPr>
      <w:r>
        <w:rPr>
          <w:noProof/>
        </w:rPr>
        <w:t xml:space="preserve">La partie renforcée de la mesure augmente la capacité installée des sources de centrales photovoltaïques sur le toit des bâtiments des entreprises. </w:t>
      </w:r>
    </w:p>
    <w:p w14:paraId="0139068D" w14:textId="65D88A78" w:rsidR="00025543" w:rsidRDefault="007E3A2F">
      <w:pPr>
        <w:pStyle w:val="P68B1DB1-Normal3"/>
        <w:spacing w:line="240" w:lineRule="auto"/>
        <w:jc w:val="both"/>
        <w:rPr>
          <w:noProof/>
        </w:rPr>
      </w:pPr>
      <w:r>
        <w:rPr>
          <w:noProof/>
        </w:rPr>
        <w:t>L’investissement est achevé au plus tard le 31 mars 2026.</w:t>
      </w:r>
    </w:p>
    <w:p w14:paraId="0303B2F2" w14:textId="55897FA3" w:rsidR="00025543" w:rsidRDefault="007E3A2F">
      <w:pPr>
        <w:pStyle w:val="P68B1DB1-Normal26"/>
        <w:spacing w:after="160" w:line="257" w:lineRule="auto"/>
        <w:jc w:val="both"/>
        <w:rPr>
          <w:noProof/>
        </w:rPr>
      </w:pPr>
      <w:r>
        <w:rPr>
          <w:noProof/>
        </w:rPr>
        <w:t xml:space="preserve">Réforme 1: Simplification des procédures d’autorisation pour les énergies renouvelables </w:t>
      </w:r>
    </w:p>
    <w:p w14:paraId="3FF4A9B5" w14:textId="68229317" w:rsidR="00025543" w:rsidRDefault="007E3A2F">
      <w:pPr>
        <w:pStyle w:val="P68B1DB1-Normal3"/>
        <w:spacing w:after="160" w:line="257" w:lineRule="auto"/>
        <w:jc w:val="both"/>
        <w:rPr>
          <w:noProof/>
        </w:rPr>
      </w:pPr>
      <w:r>
        <w:rPr>
          <w:noProof/>
        </w:rPr>
        <w:t xml:space="preserve">La réforme supprime l’obligation d’obtenir un permis de construire, une autorisation de production d’électricité et une décision d’autorisation de zonage pour les installations utilisant des sources d’énergie renouvelables d’une puissance installée totale inférieure ou égale à 50 kW, ainsi que l’autorisation de raccordement au réseau pour les installations d’une puissance inférieure ou égale à 10 kW. </w:t>
      </w:r>
    </w:p>
    <w:p w14:paraId="281F5CA6" w14:textId="77777777" w:rsidR="00025543" w:rsidRDefault="007E3A2F">
      <w:pPr>
        <w:pStyle w:val="P68B1DB1-Normal3"/>
        <w:spacing w:after="160" w:line="257" w:lineRule="auto"/>
        <w:jc w:val="both"/>
        <w:rPr>
          <w:noProof/>
        </w:rPr>
      </w:pPr>
      <w:r>
        <w:rPr>
          <w:noProof/>
        </w:rPr>
        <w:t>La réforme simplifie la procédure d’autorisation pour les installations d’énergie renouvelable d’une puissance installée supérieure à 1 MW. Ces installations sont considérées comme d’intérêt public et bénéficient d’un traitement préférentiel en ce qui concerne les permis de zonage et les permis de construire.</w:t>
      </w:r>
    </w:p>
    <w:p w14:paraId="56321941" w14:textId="4B8FD738" w:rsidR="00025543" w:rsidRDefault="007E3A2F">
      <w:pPr>
        <w:pStyle w:val="P68B1DB1-Normal3"/>
        <w:jc w:val="both"/>
        <w:rPr>
          <w:noProof/>
        </w:rPr>
      </w:pPr>
      <w:r>
        <w:rPr>
          <w:noProof/>
        </w:rPr>
        <w:t xml:space="preserve">La réforme est achevée au plus tard le 31 mars 2023. </w:t>
      </w:r>
    </w:p>
    <w:p w14:paraId="5AFFC15B" w14:textId="77E4E39F" w:rsidR="00025543" w:rsidRDefault="007E3A2F">
      <w:pPr>
        <w:pStyle w:val="P68B1DB1-Normal26"/>
        <w:spacing w:after="160" w:line="257" w:lineRule="auto"/>
        <w:jc w:val="both"/>
        <w:rPr>
          <w:noProof/>
        </w:rPr>
      </w:pPr>
      <w:r>
        <w:rPr>
          <w:noProof/>
        </w:rPr>
        <w:t xml:space="preserve">Réforme 2: Accélérer et numériser le processus d’autorisation pour les énergies renouvelables </w:t>
      </w:r>
    </w:p>
    <w:p w14:paraId="20A9ABBC" w14:textId="0ED9E712" w:rsidR="00025543" w:rsidRDefault="007E3A2F">
      <w:pPr>
        <w:pStyle w:val="P68B1DB1-Normal3"/>
        <w:spacing w:after="160" w:line="257" w:lineRule="auto"/>
        <w:jc w:val="both"/>
        <w:rPr>
          <w:noProof/>
          <w:color w:val="0070C0"/>
          <w:highlight w:val="yellow"/>
        </w:rPr>
      </w:pPr>
      <w:r>
        <w:rPr>
          <w:noProof/>
        </w:rPr>
        <w:t xml:space="preserve">La réforme fixe des délais maximaux différenciés et contraignants pour toutes les étapes pertinentes de la procédure en fonction de la capacité des installations d’énergie renouvelable. La durée de l’ensemble de la procédure d’octroi des autorisations (y compris le raccordement au réseau) ne dépasse pas 2 ans pour les installations à partir de 150 kW et un an pour les installations d’une puissance inférieure à 150 kW. Pour les installations solaires dans des structures artificielles, la procédure d’octroi des autorisations ne dépasse pas 1 mois. </w:t>
      </w:r>
    </w:p>
    <w:p w14:paraId="282DFF73" w14:textId="77777777" w:rsidR="00025543" w:rsidRDefault="007E3A2F">
      <w:pPr>
        <w:pStyle w:val="P68B1DB1-Normal3"/>
        <w:spacing w:after="160" w:line="257" w:lineRule="auto"/>
        <w:jc w:val="both"/>
        <w:rPr>
          <w:noProof/>
        </w:rPr>
      </w:pPr>
      <w:r>
        <w:rPr>
          <w:noProof/>
        </w:rPr>
        <w:t>La réforme met en place un guichet unique numérique, faisant office de point de contact unique pour aider les demandeurs tout au long de la procédure d’autorisation.  La réforme veille à ce que les différentes étapes de la procédure d’autorisation (par exemple, permis de construire, permis d’environnement, raccordement au réseau et licences) soient entièrement numérisées.</w:t>
      </w:r>
    </w:p>
    <w:p w14:paraId="07ADA271" w14:textId="373514EE" w:rsidR="00025543" w:rsidRDefault="007E3A2F">
      <w:pPr>
        <w:pStyle w:val="P68B1DB1-Normal3"/>
        <w:jc w:val="both"/>
        <w:rPr>
          <w:noProof/>
        </w:rPr>
      </w:pPr>
      <w:r>
        <w:rPr>
          <w:noProof/>
        </w:rPr>
        <w:t xml:space="preserve">La réforme est achevée au plus tard le 31 décembre 2024. </w:t>
      </w:r>
    </w:p>
    <w:p w14:paraId="2B3D7D5A" w14:textId="68BD7DC3" w:rsidR="00025543" w:rsidRDefault="007E3A2F">
      <w:pPr>
        <w:pStyle w:val="P68B1DB1-Normal26"/>
        <w:spacing w:after="160" w:line="257" w:lineRule="auto"/>
        <w:jc w:val="both"/>
        <w:rPr>
          <w:noProof/>
        </w:rPr>
      </w:pPr>
      <w:r>
        <w:rPr>
          <w:noProof/>
        </w:rPr>
        <w:t xml:space="preserve">Réforme 3: Améliorer la prévisibilité, la transparence et la disponibilité du processus de raccordement au réseau </w:t>
      </w:r>
    </w:p>
    <w:p w14:paraId="70FEB74A" w14:textId="77777777" w:rsidR="00025543" w:rsidRDefault="007E3A2F">
      <w:pPr>
        <w:pStyle w:val="P68B1DB1-Normal3"/>
        <w:spacing w:after="160" w:line="257" w:lineRule="auto"/>
        <w:jc w:val="both"/>
        <w:rPr>
          <w:noProof/>
        </w:rPr>
      </w:pPr>
      <w:r>
        <w:rPr>
          <w:noProof/>
          <w:color w:val="000000" w:themeColor="text1"/>
        </w:rPr>
        <w:t xml:space="preserve">L’objectif de la réforme est d’améliorer l’utilisation de la capacité disponible du réseau électrique et </w:t>
      </w:r>
      <w:r>
        <w:rPr>
          <w:noProof/>
        </w:rPr>
        <w:t xml:space="preserve">de faciliter le raccordement des sources d’énergie renouvelables au réseau et l’autoconsommation. </w:t>
      </w:r>
    </w:p>
    <w:p w14:paraId="76CA8AAA" w14:textId="6CBBAD1C" w:rsidR="00025543" w:rsidRDefault="007E3A2F">
      <w:pPr>
        <w:spacing w:after="160" w:line="257" w:lineRule="auto"/>
        <w:jc w:val="both"/>
        <w:rPr>
          <w:noProof/>
        </w:rPr>
      </w:pPr>
      <w:r>
        <w:rPr>
          <w:rFonts w:eastAsia="Times New Roman"/>
          <w:b/>
          <w:noProof/>
        </w:rPr>
        <w:t>Sous-mesure 1</w:t>
      </w:r>
      <w:r>
        <w:rPr>
          <w:noProof/>
        </w:rPr>
        <w:t xml:space="preserve">: </w:t>
      </w:r>
      <w:r>
        <w:rPr>
          <w:rFonts w:eastAsia="Times New Roman"/>
          <w:b/>
          <w:noProof/>
        </w:rPr>
        <w:t>Améliorer la transparence de la procédure de raccordement au réseau</w:t>
      </w:r>
    </w:p>
    <w:p w14:paraId="53369477" w14:textId="1F4707B1" w:rsidR="00025543" w:rsidRDefault="007E3A2F">
      <w:pPr>
        <w:pStyle w:val="P68B1DB1-Normal3"/>
        <w:spacing w:after="160" w:line="257" w:lineRule="auto"/>
        <w:jc w:val="both"/>
        <w:rPr>
          <w:noProof/>
        </w:rPr>
      </w:pPr>
      <w:r>
        <w:rPr>
          <w:noProof/>
        </w:rPr>
        <w:t xml:space="preserve"> La réforme vise à supprimer les obstacles au processus de raccordement au réseau en introduisant des délais contraignants pour les procédures de raccordement au réseau, en tenant compte des exigences relatives à la durée de la procédure d’octroi de permis en vertu du droit de l’Union; réduire la durée de l’évaluation et du contrat de 30 à 15 jours pour les gestionnaires de réseau de distribution (y compris à basse, moyenne et haute tension) et de 60 à 30 jours pour le gestionnaire de réseau de transport (GRT) (haute tension).</w:t>
      </w:r>
      <w:r>
        <w:rPr>
          <w:noProof/>
          <w:u w:val="single"/>
        </w:rPr>
        <w:t xml:space="preserve"> </w:t>
      </w:r>
    </w:p>
    <w:p w14:paraId="6FEA8B0B" w14:textId="3974D633" w:rsidR="00025543" w:rsidRDefault="007E3A2F">
      <w:pPr>
        <w:pStyle w:val="P68B1DB1-Normal3"/>
        <w:spacing w:after="160" w:line="257" w:lineRule="auto"/>
        <w:jc w:val="both"/>
        <w:rPr>
          <w:noProof/>
        </w:rPr>
      </w:pPr>
      <w:r>
        <w:rPr>
          <w:noProof/>
        </w:rPr>
        <w:t>L’objectif de la réforme est également de relever les défis liés à la surréservation des capacités disponibles tout en renforçant la responsabilité du GRD. Les nouvelles règles comprennent la spécification des délais de réservation des capacités du réseau, l’adaptation des règles de relibération des capacités inutilisées, les incitations financières décourageant la non-utilisation des capacités allouées et les conditions dans lesquelles les GRD peuvent annuler la réservation de capacités.</w:t>
      </w:r>
    </w:p>
    <w:p w14:paraId="13E521D4" w14:textId="5438B21A" w:rsidR="00025543" w:rsidRDefault="007E3A2F">
      <w:pPr>
        <w:pStyle w:val="P68B1DB1-Normal3"/>
        <w:spacing w:after="160" w:line="257" w:lineRule="auto"/>
        <w:jc w:val="both"/>
        <w:rPr>
          <w:noProof/>
        </w:rPr>
      </w:pPr>
      <w:r>
        <w:rPr>
          <w:noProof/>
        </w:rPr>
        <w:t xml:space="preserve">La réforme vise à accroître la transparence de la procédure de raccordement au réseau au moyen d’actions de sensibilisation et de visibilité pour les acteurs du marché et les clients du réseau. </w:t>
      </w:r>
    </w:p>
    <w:p w14:paraId="73CC2984" w14:textId="441A5842" w:rsidR="00025543" w:rsidRDefault="007E3A2F">
      <w:pPr>
        <w:spacing w:after="160" w:line="257" w:lineRule="auto"/>
        <w:jc w:val="both"/>
        <w:rPr>
          <w:noProof/>
        </w:rPr>
      </w:pPr>
      <w:r>
        <w:rPr>
          <w:noProof/>
        </w:rPr>
        <w:t>Chaque mois, les trois GRD régionaux publient sur leur site internet une carte de transparence comprenant, pour chacune de leurs zones d’exploitation respectives, des informations sur les capacités de raccordement au réseau disponibles pour les nouvelles connexions à tous les niveaux de tension, publient des exigences de raccordement anonymisées agrégées pour les demandes acceptées et rejetées.</w:t>
      </w:r>
    </w:p>
    <w:p w14:paraId="7EE78B93" w14:textId="436E77CD" w:rsidR="00025543" w:rsidRDefault="007E3A2F">
      <w:pPr>
        <w:pStyle w:val="P68B1DB1-Normal3"/>
        <w:spacing w:after="160" w:line="257" w:lineRule="auto"/>
        <w:jc w:val="both"/>
        <w:rPr>
          <w:noProof/>
          <w:color w:val="000000" w:themeColor="text1"/>
        </w:rPr>
      </w:pPr>
      <w:r>
        <w:rPr>
          <w:noProof/>
          <w:color w:val="000000" w:themeColor="text1"/>
        </w:rPr>
        <w:t xml:space="preserve">La réforme contribue à accroître la </w:t>
      </w:r>
      <w:r>
        <w:rPr>
          <w:noProof/>
        </w:rPr>
        <w:t xml:space="preserve">capacité de raccordement cumulée supplémentaire </w:t>
      </w:r>
      <w:r>
        <w:rPr>
          <w:noProof/>
          <w:color w:val="000000" w:themeColor="text1"/>
        </w:rPr>
        <w:t xml:space="preserve">d’au </w:t>
      </w:r>
      <w:r>
        <w:rPr>
          <w:noProof/>
        </w:rPr>
        <w:t>moins 8 000 MW de sources d’énergie en polyéthylène rène aux réseaux de distribution en Tchéquie au plus tard le 31 août 2026.</w:t>
      </w:r>
      <w:r>
        <w:rPr>
          <w:noProof/>
          <w:color w:val="000000" w:themeColor="text1"/>
        </w:rPr>
        <w:t xml:space="preserve"> </w:t>
      </w:r>
    </w:p>
    <w:p w14:paraId="13E28842" w14:textId="77777777" w:rsidR="00025543" w:rsidRDefault="007E3A2F">
      <w:pPr>
        <w:pStyle w:val="P68B1DB1-Normal26"/>
        <w:spacing w:after="160" w:line="257" w:lineRule="auto"/>
        <w:jc w:val="both"/>
        <w:rPr>
          <w:noProof/>
        </w:rPr>
      </w:pPr>
      <w:r>
        <w:rPr>
          <w:noProof/>
        </w:rPr>
        <w:t>Sous-mesure 2: Incitations réglementaires pour les gestionnaires de réseaux d’électricité afin d’accroître la flexibilité du réseau</w:t>
      </w:r>
    </w:p>
    <w:p w14:paraId="7491F735" w14:textId="595383E7" w:rsidR="00025543" w:rsidRDefault="007E3A2F">
      <w:pPr>
        <w:pStyle w:val="P68B1DB1-Normal3"/>
        <w:spacing w:after="160" w:line="257" w:lineRule="auto"/>
        <w:jc w:val="both"/>
        <w:rPr>
          <w:noProof/>
        </w:rPr>
      </w:pPr>
      <w:r>
        <w:rPr>
          <w:noProof/>
        </w:rPr>
        <w:t>La réforme vise à réviser le cadre réglementaire régissant les investissements et les tarifs des GRD/GRT, afin de garantir une intégration harmonieuse des sources d’énergie renouvelables supplémentaires dans le bouquet énergétique tchèque.</w:t>
      </w:r>
    </w:p>
    <w:p w14:paraId="12E013E2" w14:textId="1D866B25" w:rsidR="00025543" w:rsidRDefault="007E3A2F">
      <w:pPr>
        <w:pStyle w:val="P68B1DB1-Normal3"/>
        <w:spacing w:after="160" w:line="257" w:lineRule="auto"/>
        <w:jc w:val="both"/>
        <w:rPr>
          <w:noProof/>
        </w:rPr>
        <w:sectPr w:rsidR="00025543" w:rsidSect="00997F50">
          <w:headerReference w:type="even" r:id="rId438"/>
          <w:headerReference w:type="default" r:id="rId439"/>
          <w:footerReference w:type="even" r:id="rId440"/>
          <w:footerReference w:type="default" r:id="rId441"/>
          <w:headerReference w:type="first" r:id="rId442"/>
          <w:footerReference w:type="first" r:id="rId443"/>
          <w:pgSz w:w="11907" w:h="16839"/>
          <w:pgMar w:top="1134" w:right="1134" w:bottom="1134" w:left="1134" w:header="567" w:footer="567" w:gutter="0"/>
          <w:cols w:space="720"/>
          <w:docGrid w:linePitch="360"/>
        </w:sectPr>
      </w:pPr>
      <w:r>
        <w:rPr>
          <w:noProof/>
        </w:rPr>
        <w:t>La réforme est mise en œuvre au plus tard le 31 mars 2026.</w:t>
      </w:r>
    </w:p>
    <w:p w14:paraId="01E39537" w14:textId="52445F18" w:rsidR="00025543" w:rsidRDefault="007E3A2F">
      <w:pPr>
        <w:pStyle w:val="P68B1DB1-Normal33"/>
        <w:spacing w:after="100" w:afterAutospacing="1" w:line="259" w:lineRule="auto"/>
        <w:jc w:val="both"/>
        <w:rPr>
          <w:noProof/>
        </w:rPr>
      </w:pPr>
      <w:r>
        <w:rPr>
          <w:noProof/>
        </w:rPr>
        <w:t>EE.2. Jalons, cibles, indicateurs et calendrier de suivi et de mise en œuvre en vue du soutien financier non remboursable</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8"/>
        <w:gridCol w:w="1567"/>
        <w:gridCol w:w="1094"/>
        <w:gridCol w:w="1489"/>
        <w:gridCol w:w="1732"/>
        <w:gridCol w:w="955"/>
        <w:gridCol w:w="955"/>
        <w:gridCol w:w="1004"/>
        <w:gridCol w:w="986"/>
        <w:gridCol w:w="640"/>
        <w:gridCol w:w="3961"/>
      </w:tblGrid>
      <w:tr w:rsidR="00025543" w14:paraId="1FFD9098" w14:textId="77777777">
        <w:trPr>
          <w:trHeight w:val="672"/>
          <w:tblHeader/>
          <w:jc w:val="center"/>
        </w:trPr>
        <w:tc>
          <w:tcPr>
            <w:tcW w:w="656" w:type="dxa"/>
            <w:vMerge w:val="restart"/>
            <w:shd w:val="clear" w:color="auto" w:fill="BDD7EE"/>
            <w:vAlign w:val="center"/>
            <w:hideMark/>
          </w:tcPr>
          <w:p w14:paraId="3AB5BACA" w14:textId="77777777" w:rsidR="00025543" w:rsidRDefault="007E3A2F">
            <w:pPr>
              <w:pStyle w:val="P68B1DB1-Normal9"/>
              <w:spacing w:before="0" w:after="0" w:line="240" w:lineRule="auto"/>
              <w:jc w:val="center"/>
              <w:rPr>
                <w:noProof/>
              </w:rPr>
            </w:pPr>
            <w:r>
              <w:rPr>
                <w:noProof/>
              </w:rPr>
              <w:t>Séquence NUM.</w:t>
            </w:r>
          </w:p>
        </w:tc>
        <w:tc>
          <w:tcPr>
            <w:tcW w:w="1629" w:type="dxa"/>
            <w:vMerge w:val="restart"/>
            <w:shd w:val="clear" w:color="auto" w:fill="BDD7EE"/>
            <w:vAlign w:val="center"/>
            <w:hideMark/>
          </w:tcPr>
          <w:p w14:paraId="68CBB86A" w14:textId="77777777" w:rsidR="00025543" w:rsidRDefault="007E3A2F">
            <w:pPr>
              <w:pStyle w:val="P68B1DB1-Normal9"/>
              <w:spacing w:before="0" w:after="0" w:line="240" w:lineRule="auto"/>
              <w:jc w:val="center"/>
              <w:rPr>
                <w:noProof/>
              </w:rPr>
            </w:pPr>
            <w:r>
              <w:rPr>
                <w:noProof/>
              </w:rPr>
              <w:t>Mesure connexe (réforme ou investissement)</w:t>
            </w:r>
          </w:p>
        </w:tc>
        <w:tc>
          <w:tcPr>
            <w:tcW w:w="1134" w:type="dxa"/>
            <w:vMerge w:val="restart"/>
            <w:shd w:val="clear" w:color="auto" w:fill="BDD7EE"/>
            <w:vAlign w:val="center"/>
            <w:hideMark/>
          </w:tcPr>
          <w:p w14:paraId="6A6E9CF6" w14:textId="77777777" w:rsidR="00025543" w:rsidRDefault="007E3A2F">
            <w:pPr>
              <w:pStyle w:val="P68B1DB1-Normal9"/>
              <w:spacing w:before="0" w:after="0" w:line="240" w:lineRule="auto"/>
              <w:jc w:val="center"/>
              <w:rPr>
                <w:noProof/>
              </w:rPr>
            </w:pPr>
            <w:r>
              <w:rPr>
                <w:noProof/>
              </w:rPr>
              <w:t>Jalon/cible</w:t>
            </w:r>
          </w:p>
        </w:tc>
        <w:tc>
          <w:tcPr>
            <w:tcW w:w="1548" w:type="dxa"/>
            <w:vMerge w:val="restart"/>
            <w:shd w:val="clear" w:color="auto" w:fill="BDD7EE"/>
            <w:vAlign w:val="center"/>
            <w:hideMark/>
          </w:tcPr>
          <w:p w14:paraId="30887D22" w14:textId="77777777" w:rsidR="00025543" w:rsidRDefault="007E3A2F">
            <w:pPr>
              <w:pStyle w:val="P68B1DB1-Normal9"/>
              <w:spacing w:before="0" w:after="0" w:line="240" w:lineRule="auto"/>
              <w:jc w:val="center"/>
              <w:rPr>
                <w:noProof/>
              </w:rPr>
            </w:pPr>
            <w:r>
              <w:rPr>
                <w:noProof/>
              </w:rPr>
              <w:t>Nom</w:t>
            </w:r>
          </w:p>
        </w:tc>
        <w:tc>
          <w:tcPr>
            <w:tcW w:w="1802" w:type="dxa"/>
            <w:vMerge w:val="restart"/>
            <w:shd w:val="clear" w:color="auto" w:fill="BDD7EE"/>
            <w:vAlign w:val="center"/>
            <w:hideMark/>
          </w:tcPr>
          <w:p w14:paraId="7F354D2D" w14:textId="77777777" w:rsidR="00025543" w:rsidRDefault="007E3A2F">
            <w:pPr>
              <w:spacing w:before="0" w:after="0" w:line="240" w:lineRule="auto"/>
              <w:jc w:val="center"/>
              <w:rPr>
                <w:rFonts w:eastAsia="Times New Roman"/>
                <w:b/>
                <w:noProof/>
                <w:sz w:val="18"/>
              </w:rPr>
            </w:pPr>
            <w:r>
              <w:rPr>
                <w:rFonts w:eastAsia="Times New Roman"/>
                <w:b/>
                <w:noProof/>
                <w:sz w:val="18"/>
              </w:rPr>
              <w:t>Qualitatifs</w:t>
            </w:r>
            <w:r>
              <w:rPr>
                <w:noProof/>
              </w:rPr>
              <w:br/>
            </w:r>
            <w:r>
              <w:rPr>
                <w:rFonts w:eastAsia="Times New Roman"/>
                <w:b/>
                <w:noProof/>
                <w:sz w:val="18"/>
              </w:rPr>
              <w:t>(pour les jalons)</w:t>
            </w:r>
          </w:p>
        </w:tc>
        <w:tc>
          <w:tcPr>
            <w:tcW w:w="3018" w:type="dxa"/>
            <w:gridSpan w:val="3"/>
            <w:shd w:val="clear" w:color="auto" w:fill="BDD7EE"/>
            <w:vAlign w:val="center"/>
            <w:hideMark/>
          </w:tcPr>
          <w:p w14:paraId="3ADEB0A8" w14:textId="77777777" w:rsidR="00025543" w:rsidRDefault="007E3A2F">
            <w:pPr>
              <w:spacing w:before="0" w:after="0" w:line="240" w:lineRule="auto"/>
              <w:jc w:val="center"/>
              <w:rPr>
                <w:rFonts w:eastAsia="Times New Roman"/>
                <w:b/>
                <w:noProof/>
                <w:sz w:val="18"/>
              </w:rPr>
            </w:pPr>
            <w:r>
              <w:rPr>
                <w:rFonts w:eastAsia="Times New Roman"/>
                <w:b/>
                <w:noProof/>
                <w:sz w:val="18"/>
              </w:rPr>
              <w:t>Indicateurs quantitatifs</w:t>
            </w:r>
            <w:r>
              <w:rPr>
                <w:noProof/>
              </w:rPr>
              <w:br/>
            </w:r>
            <w:r>
              <w:rPr>
                <w:rFonts w:eastAsia="Times New Roman"/>
                <w:b/>
                <w:noProof/>
                <w:sz w:val="18"/>
              </w:rPr>
              <w:t>(pour les objectifs)</w:t>
            </w:r>
          </w:p>
        </w:tc>
        <w:tc>
          <w:tcPr>
            <w:tcW w:w="1319" w:type="dxa"/>
            <w:gridSpan w:val="2"/>
            <w:shd w:val="clear" w:color="auto" w:fill="BDD7EE"/>
            <w:vAlign w:val="center"/>
            <w:hideMark/>
          </w:tcPr>
          <w:p w14:paraId="0C2BF9DF" w14:textId="77777777" w:rsidR="00025543" w:rsidRDefault="007E3A2F">
            <w:pPr>
              <w:pStyle w:val="P68B1DB1-Normal9"/>
              <w:spacing w:before="0" w:after="0" w:line="240" w:lineRule="auto"/>
              <w:jc w:val="center"/>
              <w:rPr>
                <w:noProof/>
              </w:rPr>
            </w:pPr>
            <w:r>
              <w:rPr>
                <w:noProof/>
              </w:rPr>
              <w:t xml:space="preserve">Calendrier indicatif de réalisation </w:t>
            </w:r>
          </w:p>
        </w:tc>
        <w:tc>
          <w:tcPr>
            <w:tcW w:w="4135" w:type="dxa"/>
            <w:vMerge w:val="restart"/>
            <w:shd w:val="clear" w:color="auto" w:fill="BDD7EE"/>
            <w:vAlign w:val="center"/>
            <w:hideMark/>
          </w:tcPr>
          <w:p w14:paraId="0E1D9584" w14:textId="77777777" w:rsidR="00025543" w:rsidRDefault="007E3A2F">
            <w:pPr>
              <w:pStyle w:val="P68B1DB1-Normal9"/>
              <w:spacing w:before="0" w:after="0" w:line="240" w:lineRule="auto"/>
              <w:jc w:val="center"/>
              <w:rPr>
                <w:noProof/>
              </w:rPr>
            </w:pPr>
            <w:r>
              <w:rPr>
                <w:noProof/>
              </w:rPr>
              <w:t>Description de chaque jalon et cible</w:t>
            </w:r>
          </w:p>
        </w:tc>
      </w:tr>
      <w:tr w:rsidR="00025543" w14:paraId="49888BF3" w14:textId="77777777">
        <w:trPr>
          <w:trHeight w:val="458"/>
          <w:tblHeader/>
          <w:jc w:val="center"/>
        </w:trPr>
        <w:tc>
          <w:tcPr>
            <w:tcW w:w="656" w:type="dxa"/>
            <w:vMerge/>
            <w:vAlign w:val="center"/>
            <w:hideMark/>
          </w:tcPr>
          <w:p w14:paraId="5DA0CE11" w14:textId="77777777" w:rsidR="00025543" w:rsidRDefault="00025543">
            <w:pPr>
              <w:spacing w:before="0" w:after="0" w:line="240" w:lineRule="auto"/>
              <w:rPr>
                <w:rFonts w:eastAsia="Times New Roman"/>
                <w:b/>
                <w:noProof/>
                <w:sz w:val="18"/>
              </w:rPr>
            </w:pPr>
          </w:p>
        </w:tc>
        <w:tc>
          <w:tcPr>
            <w:tcW w:w="1629" w:type="dxa"/>
            <w:vMerge/>
            <w:vAlign w:val="center"/>
            <w:hideMark/>
          </w:tcPr>
          <w:p w14:paraId="7D0E3A83" w14:textId="77777777" w:rsidR="00025543" w:rsidRDefault="00025543">
            <w:pPr>
              <w:spacing w:before="0" w:after="0" w:line="240" w:lineRule="auto"/>
              <w:rPr>
                <w:rFonts w:eastAsia="Times New Roman"/>
                <w:b/>
                <w:noProof/>
                <w:sz w:val="18"/>
              </w:rPr>
            </w:pPr>
          </w:p>
        </w:tc>
        <w:tc>
          <w:tcPr>
            <w:tcW w:w="1134" w:type="dxa"/>
            <w:vMerge/>
            <w:vAlign w:val="center"/>
            <w:hideMark/>
          </w:tcPr>
          <w:p w14:paraId="25E7B9B7" w14:textId="77777777" w:rsidR="00025543" w:rsidRDefault="00025543">
            <w:pPr>
              <w:spacing w:before="0" w:after="0" w:line="240" w:lineRule="auto"/>
              <w:rPr>
                <w:rFonts w:eastAsia="Times New Roman"/>
                <w:b/>
                <w:noProof/>
                <w:sz w:val="18"/>
              </w:rPr>
            </w:pPr>
          </w:p>
        </w:tc>
        <w:tc>
          <w:tcPr>
            <w:tcW w:w="1548" w:type="dxa"/>
            <w:vMerge/>
            <w:vAlign w:val="center"/>
            <w:hideMark/>
          </w:tcPr>
          <w:p w14:paraId="45CC5A5A" w14:textId="77777777" w:rsidR="00025543" w:rsidRDefault="00025543">
            <w:pPr>
              <w:spacing w:before="0" w:after="0" w:line="240" w:lineRule="auto"/>
              <w:rPr>
                <w:rFonts w:eastAsia="Times New Roman"/>
                <w:b/>
                <w:noProof/>
                <w:sz w:val="18"/>
              </w:rPr>
            </w:pPr>
          </w:p>
        </w:tc>
        <w:tc>
          <w:tcPr>
            <w:tcW w:w="1802" w:type="dxa"/>
            <w:vMerge/>
            <w:vAlign w:val="center"/>
            <w:hideMark/>
          </w:tcPr>
          <w:p w14:paraId="4BB3035D" w14:textId="77777777" w:rsidR="00025543" w:rsidRDefault="00025543">
            <w:pPr>
              <w:spacing w:before="0" w:after="0" w:line="240" w:lineRule="auto"/>
              <w:rPr>
                <w:rFonts w:eastAsia="Times New Roman"/>
                <w:b/>
                <w:noProof/>
                <w:sz w:val="18"/>
              </w:rPr>
            </w:pPr>
          </w:p>
        </w:tc>
        <w:tc>
          <w:tcPr>
            <w:tcW w:w="989" w:type="dxa"/>
            <w:shd w:val="clear" w:color="auto" w:fill="BDD7EE"/>
            <w:vAlign w:val="center"/>
            <w:hideMark/>
          </w:tcPr>
          <w:p w14:paraId="2D94EA5E" w14:textId="77777777" w:rsidR="00025543" w:rsidRDefault="007E3A2F">
            <w:pPr>
              <w:pStyle w:val="P68B1DB1-Normal9"/>
              <w:spacing w:before="0" w:after="0" w:line="240" w:lineRule="auto"/>
              <w:jc w:val="center"/>
              <w:rPr>
                <w:noProof/>
              </w:rPr>
            </w:pPr>
            <w:r>
              <w:rPr>
                <w:noProof/>
              </w:rPr>
              <w:t>Unité de mesure</w:t>
            </w:r>
          </w:p>
        </w:tc>
        <w:tc>
          <w:tcPr>
            <w:tcW w:w="989" w:type="dxa"/>
            <w:shd w:val="clear" w:color="auto" w:fill="BDD7EE"/>
            <w:vAlign w:val="center"/>
            <w:hideMark/>
          </w:tcPr>
          <w:p w14:paraId="44EFDAFC" w14:textId="77777777" w:rsidR="00025543" w:rsidRDefault="007E3A2F">
            <w:pPr>
              <w:pStyle w:val="P68B1DB1-Normal9"/>
              <w:spacing w:before="0" w:after="0" w:line="240" w:lineRule="auto"/>
              <w:jc w:val="center"/>
              <w:rPr>
                <w:noProof/>
              </w:rPr>
            </w:pPr>
            <w:r>
              <w:rPr>
                <w:noProof/>
              </w:rPr>
              <w:t xml:space="preserve">Scénario de référence </w:t>
            </w:r>
          </w:p>
        </w:tc>
        <w:tc>
          <w:tcPr>
            <w:tcW w:w="1040" w:type="dxa"/>
            <w:shd w:val="clear" w:color="auto" w:fill="BDD7EE"/>
            <w:vAlign w:val="center"/>
            <w:hideMark/>
          </w:tcPr>
          <w:p w14:paraId="40B0D049" w14:textId="77777777" w:rsidR="00025543" w:rsidRDefault="007E3A2F">
            <w:pPr>
              <w:pStyle w:val="P68B1DB1-Normal9"/>
              <w:spacing w:before="0" w:after="0" w:line="240" w:lineRule="auto"/>
              <w:jc w:val="center"/>
              <w:rPr>
                <w:noProof/>
              </w:rPr>
            </w:pPr>
            <w:r>
              <w:rPr>
                <w:noProof/>
              </w:rPr>
              <w:t xml:space="preserve">Objectif </w:t>
            </w:r>
          </w:p>
        </w:tc>
        <w:tc>
          <w:tcPr>
            <w:tcW w:w="1021" w:type="dxa"/>
            <w:shd w:val="clear" w:color="auto" w:fill="BDD7EE"/>
            <w:vAlign w:val="center"/>
            <w:hideMark/>
          </w:tcPr>
          <w:p w14:paraId="5A335915" w14:textId="77777777" w:rsidR="00025543" w:rsidRDefault="007E3A2F">
            <w:pPr>
              <w:pStyle w:val="P68B1DB1-Normal9"/>
              <w:spacing w:before="0" w:after="0" w:line="240" w:lineRule="auto"/>
              <w:jc w:val="center"/>
              <w:rPr>
                <w:noProof/>
              </w:rPr>
            </w:pPr>
            <w:r>
              <w:rPr>
                <w:noProof/>
              </w:rPr>
              <w:t>Trimestre</w:t>
            </w:r>
          </w:p>
        </w:tc>
        <w:tc>
          <w:tcPr>
            <w:tcW w:w="659" w:type="dxa"/>
            <w:shd w:val="clear" w:color="auto" w:fill="BDD7EE"/>
            <w:vAlign w:val="center"/>
            <w:hideMark/>
          </w:tcPr>
          <w:p w14:paraId="7EED6F4A" w14:textId="77777777" w:rsidR="00025543" w:rsidRDefault="007E3A2F">
            <w:pPr>
              <w:pStyle w:val="P68B1DB1-Normal9"/>
              <w:spacing w:before="0" w:after="0" w:line="240" w:lineRule="auto"/>
              <w:jc w:val="center"/>
              <w:rPr>
                <w:noProof/>
              </w:rPr>
            </w:pPr>
            <w:r>
              <w:rPr>
                <w:noProof/>
              </w:rPr>
              <w:t>Année</w:t>
            </w:r>
          </w:p>
        </w:tc>
        <w:tc>
          <w:tcPr>
            <w:tcW w:w="4135" w:type="dxa"/>
            <w:vMerge/>
            <w:vAlign w:val="center"/>
            <w:hideMark/>
          </w:tcPr>
          <w:p w14:paraId="75D362F7" w14:textId="77777777" w:rsidR="00025543" w:rsidRDefault="00025543">
            <w:pPr>
              <w:spacing w:before="0" w:after="0" w:line="240" w:lineRule="auto"/>
              <w:rPr>
                <w:rFonts w:eastAsia="Times New Roman"/>
                <w:b/>
                <w:noProof/>
                <w:sz w:val="18"/>
              </w:rPr>
            </w:pPr>
          </w:p>
        </w:tc>
      </w:tr>
      <w:tr w:rsidR="00025543" w14:paraId="7CD6AA39" w14:textId="77777777">
        <w:trPr>
          <w:trHeight w:val="309"/>
          <w:jc w:val="center"/>
        </w:trPr>
        <w:tc>
          <w:tcPr>
            <w:tcW w:w="656" w:type="dxa"/>
            <w:shd w:val="clear" w:color="auto" w:fill="C6EFCE"/>
            <w:vAlign w:val="center"/>
            <w:hideMark/>
          </w:tcPr>
          <w:p w14:paraId="166DCA9D" w14:textId="02A7895B" w:rsidR="00025543" w:rsidRDefault="007E3A2F">
            <w:pPr>
              <w:pStyle w:val="P68B1DB1-Normal16"/>
              <w:spacing w:line="240" w:lineRule="auto"/>
              <w:jc w:val="center"/>
              <w:rPr>
                <w:noProof/>
                <w:color w:val="000000" w:themeColor="text1"/>
              </w:rPr>
            </w:pPr>
            <w:r>
              <w:rPr>
                <w:noProof/>
              </w:rPr>
              <w:t>299</w:t>
            </w:r>
          </w:p>
        </w:tc>
        <w:tc>
          <w:tcPr>
            <w:tcW w:w="1629" w:type="dxa"/>
            <w:shd w:val="clear" w:color="auto" w:fill="C6EFCE"/>
            <w:vAlign w:val="center"/>
            <w:hideMark/>
          </w:tcPr>
          <w:p w14:paraId="0D029AA4" w14:textId="7EEE7DFA" w:rsidR="00025543" w:rsidRDefault="007E3A2F">
            <w:pPr>
              <w:pStyle w:val="P68B1DB1-Normal11"/>
              <w:spacing w:before="0" w:after="0" w:line="240" w:lineRule="auto"/>
              <w:rPr>
                <w:noProof/>
                <w:color w:val="004300"/>
              </w:rPr>
            </w:pPr>
            <w:r>
              <w:rPr>
                <w:noProof/>
              </w:rPr>
              <w:t>Investissement 1: Modernisation et numérisation des systèmes de distribution régionaux —</w:t>
            </w:r>
          </w:p>
        </w:tc>
        <w:tc>
          <w:tcPr>
            <w:tcW w:w="1134" w:type="dxa"/>
            <w:shd w:val="clear" w:color="auto" w:fill="C6EFCE"/>
            <w:vAlign w:val="center"/>
            <w:hideMark/>
          </w:tcPr>
          <w:p w14:paraId="37F3427F" w14:textId="6A6E6629" w:rsidR="00025543" w:rsidRDefault="007E3A2F">
            <w:pPr>
              <w:pStyle w:val="P68B1DB1-Normal11"/>
              <w:spacing w:before="0" w:after="0" w:line="240" w:lineRule="auto"/>
              <w:rPr>
                <w:noProof/>
                <w:color w:val="004300"/>
              </w:rPr>
            </w:pPr>
            <w:r>
              <w:rPr>
                <w:noProof/>
              </w:rPr>
              <w:t>Cible</w:t>
            </w:r>
          </w:p>
        </w:tc>
        <w:tc>
          <w:tcPr>
            <w:tcW w:w="1548" w:type="dxa"/>
            <w:shd w:val="clear" w:color="auto" w:fill="C6EFCE"/>
            <w:vAlign w:val="center"/>
            <w:hideMark/>
          </w:tcPr>
          <w:p w14:paraId="0A4ACF77" w14:textId="71C7770C" w:rsidR="00025543" w:rsidRDefault="007E3A2F">
            <w:pPr>
              <w:pStyle w:val="P68B1DB1-Normal11"/>
              <w:spacing w:before="0" w:after="0" w:line="240" w:lineRule="auto"/>
              <w:rPr>
                <w:noProof/>
                <w:color w:val="004300"/>
              </w:rPr>
            </w:pPr>
            <w:r>
              <w:rPr>
                <w:noProof/>
              </w:rPr>
              <w:t xml:space="preserve">Achèvement des investissements dans la modernisation des réseaux de distribution en République tchèque  </w:t>
            </w:r>
          </w:p>
        </w:tc>
        <w:tc>
          <w:tcPr>
            <w:tcW w:w="1802" w:type="dxa"/>
            <w:shd w:val="clear" w:color="auto" w:fill="C6EFCE"/>
            <w:vAlign w:val="center"/>
            <w:hideMark/>
          </w:tcPr>
          <w:p w14:paraId="7305CD16" w14:textId="0C2F06F7" w:rsidR="00025543" w:rsidRDefault="007E3A2F">
            <w:pPr>
              <w:pStyle w:val="P68B1DB1-Normal11"/>
              <w:spacing w:before="0" w:after="0" w:line="240" w:lineRule="auto"/>
              <w:rPr>
                <w:noProof/>
                <w:color w:val="004300"/>
              </w:rPr>
            </w:pPr>
            <w:r>
              <w:rPr>
                <w:noProof/>
              </w:rPr>
              <w:t xml:space="preserve"> </w:t>
            </w:r>
          </w:p>
        </w:tc>
        <w:tc>
          <w:tcPr>
            <w:tcW w:w="989" w:type="dxa"/>
            <w:shd w:val="clear" w:color="auto" w:fill="C6EFCE"/>
            <w:vAlign w:val="center"/>
          </w:tcPr>
          <w:p w14:paraId="4099C26C" w14:textId="21965DAF" w:rsidR="00025543" w:rsidRDefault="007E3A2F">
            <w:pPr>
              <w:pStyle w:val="P68B1DB1-Normal11"/>
              <w:spacing w:before="0" w:after="0" w:line="240" w:lineRule="auto"/>
              <w:rPr>
                <w:noProof/>
                <w:color w:val="004300"/>
              </w:rPr>
            </w:pPr>
            <w:r>
              <w:rPr>
                <w:noProof/>
              </w:rPr>
              <w:t xml:space="preserve"> MW</w:t>
            </w:r>
          </w:p>
        </w:tc>
        <w:tc>
          <w:tcPr>
            <w:tcW w:w="989" w:type="dxa"/>
            <w:shd w:val="clear" w:color="auto" w:fill="C6EFCE"/>
            <w:vAlign w:val="center"/>
          </w:tcPr>
          <w:p w14:paraId="65C485C5" w14:textId="070A1785" w:rsidR="00025543" w:rsidRDefault="007E3A2F">
            <w:pPr>
              <w:pStyle w:val="P68B1DB1-Normal11"/>
              <w:spacing w:before="0" w:after="0" w:line="240" w:lineRule="auto"/>
              <w:jc w:val="center"/>
              <w:rPr>
                <w:noProof/>
                <w:color w:val="004300"/>
              </w:rPr>
            </w:pPr>
            <w:r>
              <w:rPr>
                <w:noProof/>
              </w:rPr>
              <w:t xml:space="preserve"> 0</w:t>
            </w:r>
          </w:p>
        </w:tc>
        <w:tc>
          <w:tcPr>
            <w:tcW w:w="1040" w:type="dxa"/>
            <w:shd w:val="clear" w:color="auto" w:fill="C6EFCE"/>
            <w:vAlign w:val="center"/>
          </w:tcPr>
          <w:p w14:paraId="3F4CBCEB" w14:textId="708A141D" w:rsidR="00025543" w:rsidRDefault="007E3A2F">
            <w:pPr>
              <w:pStyle w:val="P68B1DB1-Normal11"/>
              <w:spacing w:before="0" w:after="0" w:line="240" w:lineRule="auto"/>
              <w:jc w:val="center"/>
              <w:rPr>
                <w:noProof/>
                <w:color w:val="004300"/>
              </w:rPr>
            </w:pPr>
            <w:r>
              <w:rPr>
                <w:noProof/>
              </w:rPr>
              <w:t>[1777]</w:t>
            </w:r>
          </w:p>
        </w:tc>
        <w:tc>
          <w:tcPr>
            <w:tcW w:w="1021" w:type="dxa"/>
            <w:shd w:val="clear" w:color="auto" w:fill="C6EFCE"/>
            <w:vAlign w:val="center"/>
            <w:hideMark/>
          </w:tcPr>
          <w:p w14:paraId="7DF861DA" w14:textId="4893F072" w:rsidR="00025543" w:rsidRDefault="007E3A2F">
            <w:pPr>
              <w:pStyle w:val="P68B1DB1-Normal11"/>
              <w:spacing w:line="240" w:lineRule="auto"/>
              <w:jc w:val="center"/>
              <w:rPr>
                <w:noProof/>
                <w:color w:val="004300"/>
              </w:rPr>
            </w:pPr>
            <w:r>
              <w:rPr>
                <w:noProof/>
              </w:rPr>
              <w:t>TRIMESTRE 1</w:t>
            </w:r>
          </w:p>
        </w:tc>
        <w:tc>
          <w:tcPr>
            <w:tcW w:w="659" w:type="dxa"/>
            <w:shd w:val="clear" w:color="auto" w:fill="C6EFCE"/>
            <w:vAlign w:val="center"/>
            <w:hideMark/>
          </w:tcPr>
          <w:p w14:paraId="0E7CC985" w14:textId="77777777" w:rsidR="00025543" w:rsidRDefault="007E3A2F">
            <w:pPr>
              <w:pStyle w:val="P68B1DB1-Normal11"/>
              <w:spacing w:line="240" w:lineRule="auto"/>
              <w:rPr>
                <w:noProof/>
              </w:rPr>
            </w:pPr>
            <w:r>
              <w:rPr>
                <w:noProof/>
              </w:rPr>
              <w:t xml:space="preserve"> 2026</w:t>
            </w:r>
          </w:p>
          <w:p w14:paraId="3CCEEA45" w14:textId="644B9ABA" w:rsidR="00025543" w:rsidRDefault="007E3A2F">
            <w:pPr>
              <w:pStyle w:val="P68B1DB1-Normal11"/>
              <w:spacing w:before="0" w:after="0" w:line="240" w:lineRule="auto"/>
              <w:jc w:val="center"/>
              <w:rPr>
                <w:noProof/>
                <w:color w:val="004300"/>
              </w:rPr>
            </w:pPr>
            <w:r>
              <w:rPr>
                <w:noProof/>
              </w:rPr>
              <w:t xml:space="preserve"> </w:t>
            </w:r>
          </w:p>
        </w:tc>
        <w:tc>
          <w:tcPr>
            <w:tcW w:w="4135" w:type="dxa"/>
            <w:shd w:val="clear" w:color="auto" w:fill="C6EFCE"/>
            <w:vAlign w:val="center"/>
            <w:hideMark/>
          </w:tcPr>
          <w:p w14:paraId="5048A4EB" w14:textId="7C32A0A1" w:rsidR="00025543" w:rsidRDefault="007E3A2F">
            <w:pPr>
              <w:pStyle w:val="P68B1DB1-Normal11"/>
              <w:spacing w:after="0" w:line="240" w:lineRule="auto"/>
              <w:rPr>
                <w:noProof/>
              </w:rPr>
            </w:pPr>
            <w:r>
              <w:rPr>
                <w:noProof/>
              </w:rPr>
              <w:t>Au moins [1777] MW de capacité supplémentaire cumulée pour le raccordement de sources d’énergie renouvelables aux réseaux de distribution en Tchéquie sont atteints. Les projets contribuent à supprimer les goulets d’étranglement dans les réseaux et à maximiser la capacité technique supplémentaire d’intégration des nouvelles énergies renouvelables.</w:t>
            </w:r>
          </w:p>
          <w:p w14:paraId="0DEBB519" w14:textId="77777777" w:rsidR="00025543" w:rsidRDefault="00025543">
            <w:pPr>
              <w:spacing w:after="0" w:line="240" w:lineRule="auto"/>
              <w:rPr>
                <w:rFonts w:eastAsia="Times New Roman"/>
                <w:noProof/>
                <w:color w:val="006100"/>
                <w:sz w:val="18"/>
              </w:rPr>
            </w:pPr>
          </w:p>
          <w:p w14:paraId="268F3EE0" w14:textId="77777777" w:rsidR="00025543" w:rsidRDefault="007E3A2F">
            <w:pPr>
              <w:pStyle w:val="P68B1DB1-Normal11"/>
              <w:spacing w:after="0" w:line="240" w:lineRule="auto"/>
              <w:rPr>
                <w:noProof/>
              </w:rPr>
            </w:pPr>
            <w:r>
              <w:rPr>
                <w:noProof/>
              </w:rPr>
              <w:t>Pour démontrer la conformité avec les exigences de capacité susmentionnées, un rapport technique établi par un ingénieur indépendant doit être fourni.</w:t>
            </w:r>
          </w:p>
          <w:p w14:paraId="68FE3F7E" w14:textId="7D8AC8DC" w:rsidR="00025543" w:rsidRDefault="00025543">
            <w:pPr>
              <w:spacing w:before="0" w:after="0" w:line="240" w:lineRule="auto"/>
              <w:rPr>
                <w:rFonts w:eastAsia="Times New Roman"/>
                <w:noProof/>
                <w:color w:val="004300"/>
                <w:sz w:val="18"/>
              </w:rPr>
            </w:pPr>
          </w:p>
        </w:tc>
      </w:tr>
      <w:tr w:rsidR="00025543" w14:paraId="1F46F24B" w14:textId="77777777">
        <w:trPr>
          <w:trHeight w:val="309"/>
          <w:jc w:val="center"/>
        </w:trPr>
        <w:tc>
          <w:tcPr>
            <w:tcW w:w="656" w:type="dxa"/>
            <w:shd w:val="clear" w:color="auto" w:fill="C6EFCE"/>
            <w:vAlign w:val="center"/>
          </w:tcPr>
          <w:p w14:paraId="3F8CCFCA" w14:textId="5867546F" w:rsidR="00025543" w:rsidRDefault="007E3A2F">
            <w:pPr>
              <w:pStyle w:val="P68B1DB1-Normal16"/>
              <w:spacing w:line="240" w:lineRule="auto"/>
              <w:jc w:val="center"/>
              <w:rPr>
                <w:noProof/>
              </w:rPr>
            </w:pPr>
            <w:r>
              <w:rPr>
                <w:noProof/>
              </w:rPr>
              <w:t>300</w:t>
            </w:r>
          </w:p>
        </w:tc>
        <w:tc>
          <w:tcPr>
            <w:tcW w:w="1629" w:type="dxa"/>
            <w:shd w:val="clear" w:color="auto" w:fill="C6EFCE"/>
            <w:vAlign w:val="center"/>
          </w:tcPr>
          <w:p w14:paraId="180C5AD7" w14:textId="4F11345A" w:rsidR="00025543" w:rsidRDefault="007E3A2F">
            <w:pPr>
              <w:pStyle w:val="P68B1DB1-Normal11"/>
              <w:spacing w:before="0" w:after="0" w:line="240" w:lineRule="auto"/>
              <w:rPr>
                <w:noProof/>
                <w:color w:val="004300"/>
              </w:rPr>
            </w:pPr>
            <w:r>
              <w:rPr>
                <w:noProof/>
              </w:rPr>
              <w:t>Investissement 2: Mesure à plus grande échelle: Développement de nouvelles sources d’énergie photovoltaïque</w:t>
            </w:r>
          </w:p>
        </w:tc>
        <w:tc>
          <w:tcPr>
            <w:tcW w:w="1134" w:type="dxa"/>
            <w:shd w:val="clear" w:color="auto" w:fill="C6EFCE"/>
            <w:vAlign w:val="center"/>
          </w:tcPr>
          <w:p w14:paraId="2D05B782" w14:textId="433AF82A" w:rsidR="00025543" w:rsidRDefault="007E3A2F">
            <w:pPr>
              <w:pStyle w:val="P68B1DB1-Normal11"/>
              <w:spacing w:before="0" w:after="0" w:line="240" w:lineRule="auto"/>
              <w:rPr>
                <w:noProof/>
                <w:color w:val="004300"/>
              </w:rPr>
            </w:pPr>
            <w:r>
              <w:rPr>
                <w:noProof/>
              </w:rPr>
              <w:t>Cible</w:t>
            </w:r>
          </w:p>
        </w:tc>
        <w:tc>
          <w:tcPr>
            <w:tcW w:w="1548" w:type="dxa"/>
            <w:shd w:val="clear" w:color="auto" w:fill="C6EFCE"/>
            <w:vAlign w:val="center"/>
          </w:tcPr>
          <w:p w14:paraId="4F5DC20E" w14:textId="3D4949AF" w:rsidR="00025543" w:rsidRDefault="007E3A2F">
            <w:pPr>
              <w:pStyle w:val="P68B1DB1-Normal11"/>
              <w:spacing w:before="0" w:after="0" w:line="240" w:lineRule="auto"/>
              <w:rPr>
                <w:noProof/>
                <w:color w:val="004300"/>
              </w:rPr>
            </w:pPr>
            <w:r>
              <w:rPr>
                <w:noProof/>
              </w:rPr>
              <w:t>Achèvement d’une capacité installée supplémentaire de 224,7 MW pour les sources FVE</w:t>
            </w:r>
          </w:p>
        </w:tc>
        <w:tc>
          <w:tcPr>
            <w:tcW w:w="1802" w:type="dxa"/>
            <w:shd w:val="clear" w:color="auto" w:fill="C6EFCE"/>
            <w:vAlign w:val="center"/>
          </w:tcPr>
          <w:p w14:paraId="5AEA6608" w14:textId="203B9889" w:rsidR="00025543" w:rsidRDefault="007E3A2F">
            <w:pPr>
              <w:pStyle w:val="P68B1DB1-Normal11"/>
              <w:spacing w:before="0" w:after="0" w:line="240" w:lineRule="auto"/>
              <w:rPr>
                <w:noProof/>
                <w:color w:val="004300"/>
              </w:rPr>
            </w:pPr>
            <w:r>
              <w:rPr>
                <w:noProof/>
              </w:rPr>
              <w:t xml:space="preserve"> </w:t>
            </w:r>
          </w:p>
        </w:tc>
        <w:tc>
          <w:tcPr>
            <w:tcW w:w="989" w:type="dxa"/>
            <w:shd w:val="clear" w:color="auto" w:fill="C6EFCE"/>
            <w:vAlign w:val="center"/>
          </w:tcPr>
          <w:p w14:paraId="6D591DAA" w14:textId="29578887" w:rsidR="00025543" w:rsidRDefault="007E3A2F">
            <w:pPr>
              <w:pStyle w:val="P68B1DB1-Normal11"/>
              <w:spacing w:before="0" w:after="0" w:line="240" w:lineRule="auto"/>
              <w:rPr>
                <w:noProof/>
                <w:color w:val="004300"/>
              </w:rPr>
            </w:pPr>
            <w:r>
              <w:rPr>
                <w:noProof/>
              </w:rPr>
              <w:t>MW</w:t>
            </w:r>
          </w:p>
        </w:tc>
        <w:tc>
          <w:tcPr>
            <w:tcW w:w="989" w:type="dxa"/>
            <w:shd w:val="clear" w:color="auto" w:fill="C6EFCE"/>
            <w:vAlign w:val="center"/>
          </w:tcPr>
          <w:p w14:paraId="0ED3FE05" w14:textId="1E1D64D5" w:rsidR="00025543" w:rsidRDefault="007E3A2F">
            <w:pPr>
              <w:pStyle w:val="P68B1DB1-Normal11"/>
              <w:spacing w:before="0" w:after="0" w:line="240" w:lineRule="auto"/>
              <w:jc w:val="center"/>
              <w:rPr>
                <w:noProof/>
                <w:color w:val="004300"/>
              </w:rPr>
            </w:pPr>
            <w:r>
              <w:rPr>
                <w:noProof/>
              </w:rPr>
              <w:t>270</w:t>
            </w:r>
          </w:p>
        </w:tc>
        <w:tc>
          <w:tcPr>
            <w:tcW w:w="1040" w:type="dxa"/>
            <w:shd w:val="clear" w:color="auto" w:fill="C6EFCE"/>
            <w:vAlign w:val="center"/>
          </w:tcPr>
          <w:p w14:paraId="75C4B1A6" w14:textId="5B14C947" w:rsidR="00025543" w:rsidRDefault="007E3A2F">
            <w:pPr>
              <w:pStyle w:val="P68B1DB1-Normal11"/>
              <w:spacing w:before="0" w:after="0" w:line="240" w:lineRule="auto"/>
              <w:jc w:val="center"/>
              <w:rPr>
                <w:noProof/>
                <w:color w:val="004300"/>
              </w:rPr>
            </w:pPr>
            <w:r>
              <w:rPr>
                <w:noProof/>
              </w:rPr>
              <w:t>494,7</w:t>
            </w:r>
          </w:p>
        </w:tc>
        <w:tc>
          <w:tcPr>
            <w:tcW w:w="1021" w:type="dxa"/>
            <w:shd w:val="clear" w:color="auto" w:fill="C6EFCE"/>
            <w:vAlign w:val="center"/>
          </w:tcPr>
          <w:p w14:paraId="15E0111D" w14:textId="1081AD6B" w:rsidR="00025543" w:rsidRDefault="007E3A2F">
            <w:pPr>
              <w:pStyle w:val="P68B1DB1-Normal11"/>
              <w:spacing w:before="0" w:after="0" w:line="240" w:lineRule="auto"/>
              <w:jc w:val="center"/>
              <w:rPr>
                <w:noProof/>
                <w:color w:val="004300"/>
              </w:rPr>
            </w:pPr>
            <w:r>
              <w:rPr>
                <w:noProof/>
              </w:rPr>
              <w:t>TRIMESTRE 1</w:t>
            </w:r>
          </w:p>
        </w:tc>
        <w:tc>
          <w:tcPr>
            <w:tcW w:w="659" w:type="dxa"/>
            <w:shd w:val="clear" w:color="auto" w:fill="C6EFCE"/>
            <w:vAlign w:val="center"/>
          </w:tcPr>
          <w:p w14:paraId="4FFD36EA" w14:textId="59E6AAED" w:rsidR="00025543" w:rsidRDefault="007E3A2F">
            <w:pPr>
              <w:pStyle w:val="P68B1DB1-Normal11"/>
              <w:spacing w:before="0" w:after="0" w:line="240" w:lineRule="auto"/>
              <w:jc w:val="center"/>
              <w:rPr>
                <w:noProof/>
                <w:color w:val="004300"/>
              </w:rPr>
            </w:pPr>
            <w:r>
              <w:rPr>
                <w:noProof/>
              </w:rPr>
              <w:t>2026</w:t>
            </w:r>
          </w:p>
        </w:tc>
        <w:tc>
          <w:tcPr>
            <w:tcW w:w="4135" w:type="dxa"/>
            <w:shd w:val="clear" w:color="auto" w:fill="C6EFCE"/>
            <w:vAlign w:val="center"/>
          </w:tcPr>
          <w:p w14:paraId="40307D62" w14:textId="3CE5E8DD" w:rsidR="00025543" w:rsidRDefault="007E3A2F">
            <w:pPr>
              <w:pStyle w:val="P68B1DB1-Normal11"/>
              <w:spacing w:before="0" w:after="0" w:line="240" w:lineRule="auto"/>
              <w:rPr>
                <w:noProof/>
                <w:color w:val="004300"/>
              </w:rPr>
            </w:pPr>
            <w:r>
              <w:rPr>
                <w:noProof/>
              </w:rPr>
              <w:t>Une nouvelle capacité de 494,7 MW de sources d’énergie photovoltaïques est installée et mise en service.</w:t>
            </w:r>
          </w:p>
        </w:tc>
      </w:tr>
      <w:tr w:rsidR="00025543" w14:paraId="09676247" w14:textId="77777777">
        <w:trPr>
          <w:trHeight w:val="309"/>
          <w:jc w:val="center"/>
        </w:trPr>
        <w:tc>
          <w:tcPr>
            <w:tcW w:w="656" w:type="dxa"/>
            <w:shd w:val="clear" w:color="auto" w:fill="C6EFCE"/>
            <w:vAlign w:val="center"/>
          </w:tcPr>
          <w:p w14:paraId="5990C51F" w14:textId="7F97D650" w:rsidR="00025543" w:rsidRDefault="007E3A2F">
            <w:pPr>
              <w:pStyle w:val="P68B1DB1-Normal16"/>
              <w:spacing w:line="240" w:lineRule="auto"/>
              <w:jc w:val="center"/>
              <w:rPr>
                <w:noProof/>
              </w:rPr>
            </w:pPr>
            <w:r>
              <w:rPr>
                <w:noProof/>
              </w:rPr>
              <w:t>301</w:t>
            </w:r>
          </w:p>
        </w:tc>
        <w:tc>
          <w:tcPr>
            <w:tcW w:w="1629" w:type="dxa"/>
            <w:shd w:val="clear" w:color="auto" w:fill="C6EFCE"/>
            <w:vAlign w:val="center"/>
          </w:tcPr>
          <w:p w14:paraId="21E7198B" w14:textId="3E7A44CC" w:rsidR="00025543" w:rsidRDefault="007E3A2F">
            <w:pPr>
              <w:pStyle w:val="P68B1DB1-Normal11"/>
              <w:spacing w:before="0" w:after="0" w:line="240" w:lineRule="auto"/>
              <w:rPr>
                <w:noProof/>
              </w:rPr>
            </w:pPr>
            <w:r>
              <w:rPr>
                <w:noProof/>
              </w:rPr>
              <w:t>Réforme 1: Simplification des procédures d’autorisation pour les énergies renouvelables</w:t>
            </w:r>
          </w:p>
        </w:tc>
        <w:tc>
          <w:tcPr>
            <w:tcW w:w="1134" w:type="dxa"/>
            <w:shd w:val="clear" w:color="auto" w:fill="C6EFCE"/>
            <w:vAlign w:val="center"/>
          </w:tcPr>
          <w:p w14:paraId="39CBB6D3" w14:textId="73AE1CB9" w:rsidR="00025543" w:rsidRDefault="007E3A2F">
            <w:pPr>
              <w:pStyle w:val="P68B1DB1-Normal11"/>
              <w:spacing w:before="0" w:after="0" w:line="240" w:lineRule="auto"/>
              <w:rPr>
                <w:noProof/>
              </w:rPr>
            </w:pPr>
            <w:r>
              <w:rPr>
                <w:noProof/>
              </w:rPr>
              <w:t>Étapes</w:t>
            </w:r>
          </w:p>
        </w:tc>
        <w:tc>
          <w:tcPr>
            <w:tcW w:w="1548" w:type="dxa"/>
            <w:shd w:val="clear" w:color="auto" w:fill="C6EFCE"/>
            <w:vAlign w:val="center"/>
          </w:tcPr>
          <w:p w14:paraId="7990E482" w14:textId="77777777" w:rsidR="00025543" w:rsidRDefault="007E3A2F">
            <w:pPr>
              <w:pStyle w:val="P68B1DB1-Normal11"/>
              <w:spacing w:line="240" w:lineRule="auto"/>
              <w:jc w:val="both"/>
              <w:rPr>
                <w:noProof/>
              </w:rPr>
            </w:pPr>
            <w:r>
              <w:rPr>
                <w:noProof/>
              </w:rPr>
              <w:t>Entrée en vigueur de la législation modifiée</w:t>
            </w:r>
          </w:p>
          <w:p w14:paraId="57318183" w14:textId="77777777" w:rsidR="00025543" w:rsidRDefault="00025543">
            <w:pPr>
              <w:spacing w:before="0" w:after="0" w:line="240" w:lineRule="auto"/>
              <w:rPr>
                <w:rFonts w:eastAsia="Times New Roman"/>
                <w:noProof/>
                <w:color w:val="006100"/>
                <w:sz w:val="18"/>
              </w:rPr>
            </w:pPr>
          </w:p>
        </w:tc>
        <w:tc>
          <w:tcPr>
            <w:tcW w:w="1802" w:type="dxa"/>
            <w:shd w:val="clear" w:color="auto" w:fill="C6EFCE"/>
            <w:vAlign w:val="center"/>
          </w:tcPr>
          <w:p w14:paraId="469B4071" w14:textId="77777777" w:rsidR="00025543" w:rsidRDefault="007E3A2F">
            <w:pPr>
              <w:pStyle w:val="P68B1DB1-Normal11"/>
              <w:spacing w:line="240" w:lineRule="auto"/>
              <w:jc w:val="both"/>
              <w:rPr>
                <w:noProof/>
              </w:rPr>
            </w:pPr>
            <w:r>
              <w:rPr>
                <w:noProof/>
              </w:rPr>
              <w:t>Disposition de la loi indiquant l’entrée en vigueur</w:t>
            </w:r>
          </w:p>
          <w:p w14:paraId="214255A9" w14:textId="77777777" w:rsidR="00025543" w:rsidRDefault="00025543">
            <w:pPr>
              <w:spacing w:before="0" w:after="0" w:line="240" w:lineRule="auto"/>
              <w:rPr>
                <w:rFonts w:eastAsia="Times New Roman"/>
                <w:noProof/>
                <w:color w:val="006100"/>
                <w:sz w:val="18"/>
              </w:rPr>
            </w:pPr>
          </w:p>
        </w:tc>
        <w:tc>
          <w:tcPr>
            <w:tcW w:w="989" w:type="dxa"/>
            <w:shd w:val="clear" w:color="auto" w:fill="C6EFCE"/>
            <w:vAlign w:val="center"/>
          </w:tcPr>
          <w:p w14:paraId="08DCEA6C" w14:textId="4D041A93" w:rsidR="00025543" w:rsidRDefault="007E3A2F">
            <w:pPr>
              <w:pStyle w:val="P68B1DB1-Normal11"/>
              <w:spacing w:before="0" w:after="0" w:line="240" w:lineRule="auto"/>
              <w:rPr>
                <w:noProof/>
              </w:rPr>
            </w:pPr>
            <w:r>
              <w:rPr>
                <w:noProof/>
              </w:rPr>
              <w:t xml:space="preserve"> </w:t>
            </w:r>
          </w:p>
        </w:tc>
        <w:tc>
          <w:tcPr>
            <w:tcW w:w="989" w:type="dxa"/>
            <w:shd w:val="clear" w:color="auto" w:fill="C6EFCE"/>
            <w:vAlign w:val="center"/>
          </w:tcPr>
          <w:p w14:paraId="1E19E34A" w14:textId="317C45FB" w:rsidR="00025543" w:rsidRDefault="007E3A2F">
            <w:pPr>
              <w:pStyle w:val="P68B1DB1-Normal11"/>
              <w:spacing w:before="0" w:after="0" w:line="240" w:lineRule="auto"/>
              <w:jc w:val="center"/>
              <w:rPr>
                <w:noProof/>
              </w:rPr>
            </w:pPr>
            <w:r>
              <w:rPr>
                <w:noProof/>
              </w:rPr>
              <w:t xml:space="preserve"> </w:t>
            </w:r>
          </w:p>
        </w:tc>
        <w:tc>
          <w:tcPr>
            <w:tcW w:w="1040" w:type="dxa"/>
            <w:shd w:val="clear" w:color="auto" w:fill="C6EFCE"/>
            <w:vAlign w:val="center"/>
          </w:tcPr>
          <w:p w14:paraId="62314E3F" w14:textId="07957A17" w:rsidR="00025543" w:rsidRDefault="007E3A2F">
            <w:pPr>
              <w:pStyle w:val="P68B1DB1-Normal11"/>
              <w:spacing w:before="0" w:after="0" w:line="240" w:lineRule="auto"/>
              <w:jc w:val="center"/>
              <w:rPr>
                <w:noProof/>
              </w:rPr>
            </w:pPr>
            <w:r>
              <w:rPr>
                <w:noProof/>
              </w:rPr>
              <w:t xml:space="preserve"> </w:t>
            </w:r>
          </w:p>
        </w:tc>
        <w:tc>
          <w:tcPr>
            <w:tcW w:w="1021" w:type="dxa"/>
            <w:shd w:val="clear" w:color="auto" w:fill="C6EFCE"/>
            <w:vAlign w:val="center"/>
          </w:tcPr>
          <w:p w14:paraId="1893A1DA" w14:textId="717707C5" w:rsidR="00025543" w:rsidRDefault="007E3A2F">
            <w:pPr>
              <w:pStyle w:val="P68B1DB1-Normal11"/>
              <w:spacing w:before="0" w:after="0" w:line="240" w:lineRule="auto"/>
              <w:jc w:val="center"/>
              <w:rPr>
                <w:noProof/>
              </w:rPr>
            </w:pPr>
            <w:r>
              <w:rPr>
                <w:noProof/>
              </w:rPr>
              <w:t>TRIMESTRE 3</w:t>
            </w:r>
          </w:p>
        </w:tc>
        <w:tc>
          <w:tcPr>
            <w:tcW w:w="659" w:type="dxa"/>
            <w:shd w:val="clear" w:color="auto" w:fill="C6EFCE"/>
            <w:vAlign w:val="center"/>
          </w:tcPr>
          <w:p w14:paraId="72B4EF4D" w14:textId="2AF9D7EC" w:rsidR="00025543" w:rsidRDefault="007E3A2F">
            <w:pPr>
              <w:pStyle w:val="P68B1DB1-Normal11"/>
              <w:spacing w:before="0" w:after="0" w:line="240" w:lineRule="auto"/>
              <w:jc w:val="center"/>
              <w:rPr>
                <w:noProof/>
              </w:rPr>
            </w:pPr>
            <w:r>
              <w:rPr>
                <w:noProof/>
              </w:rPr>
              <w:t>2023</w:t>
            </w:r>
          </w:p>
        </w:tc>
        <w:tc>
          <w:tcPr>
            <w:tcW w:w="4135" w:type="dxa"/>
            <w:shd w:val="clear" w:color="auto" w:fill="C6EFCE"/>
            <w:vAlign w:val="center"/>
          </w:tcPr>
          <w:p w14:paraId="4DDD4E01" w14:textId="77777777" w:rsidR="00025543" w:rsidRDefault="007E3A2F">
            <w:pPr>
              <w:pStyle w:val="P68B1DB1-Normal11"/>
              <w:spacing w:line="240" w:lineRule="auto"/>
              <w:jc w:val="both"/>
              <w:rPr>
                <w:noProof/>
              </w:rPr>
            </w:pPr>
            <w:r>
              <w:rPr>
                <w:noProof/>
              </w:rPr>
              <w:t xml:space="preserve"> La législation est modifiée de manière à:</w:t>
            </w:r>
          </w:p>
          <w:p w14:paraId="3E064AF7" w14:textId="63AC04DE" w:rsidR="00025543" w:rsidRDefault="007E3A2F">
            <w:pPr>
              <w:pStyle w:val="P68B1DB1-ListParagraph31"/>
              <w:numPr>
                <w:ilvl w:val="0"/>
                <w:numId w:val="274"/>
              </w:numPr>
              <w:spacing w:before="0" w:line="240" w:lineRule="auto"/>
              <w:jc w:val="both"/>
              <w:rPr>
                <w:noProof/>
              </w:rPr>
            </w:pPr>
            <w:r>
              <w:rPr>
                <w:noProof/>
              </w:rPr>
              <w:t>supprimer l’obligation d’obtenir un permis de construire, une autorisation de production d’électricité et une autorisation de zonage/autorisation de zonage pour les installations utilisant des sources d’énergie renouvelables d’une puissance installée totale inférieure ou égale à 50 kW, et supprimer l’autorisation de raccordement au réseau pour les installations d’une puissance maximale de 10 kW.</w:t>
            </w:r>
          </w:p>
          <w:p w14:paraId="224D4546" w14:textId="135D35D9" w:rsidR="00025543" w:rsidRDefault="007E3A2F">
            <w:pPr>
              <w:pStyle w:val="P68B1DB1-ListParagraph31"/>
              <w:numPr>
                <w:ilvl w:val="0"/>
                <w:numId w:val="274"/>
              </w:numPr>
              <w:spacing w:before="0" w:line="240" w:lineRule="auto"/>
              <w:jc w:val="both"/>
              <w:rPr>
                <w:noProof/>
              </w:rPr>
            </w:pPr>
            <w:r>
              <w:rPr>
                <w:noProof/>
              </w:rPr>
              <w:t>Accélérer et simplifier la procédure d’autorisation (permis de construire, permis de zonage) et le raccordement au réseau pour les installations de plus de 1 MW</w:t>
            </w:r>
          </w:p>
        </w:tc>
      </w:tr>
      <w:tr w:rsidR="00025543" w14:paraId="0163A691" w14:textId="77777777">
        <w:trPr>
          <w:trHeight w:val="309"/>
          <w:jc w:val="center"/>
        </w:trPr>
        <w:tc>
          <w:tcPr>
            <w:tcW w:w="656" w:type="dxa"/>
            <w:shd w:val="clear" w:color="auto" w:fill="C6EFCE"/>
            <w:vAlign w:val="center"/>
          </w:tcPr>
          <w:p w14:paraId="474E0EEE" w14:textId="08337241" w:rsidR="00025543" w:rsidRDefault="007E3A2F">
            <w:pPr>
              <w:pStyle w:val="P68B1DB1-Normal16"/>
              <w:spacing w:line="240" w:lineRule="auto"/>
              <w:jc w:val="center"/>
              <w:rPr>
                <w:noProof/>
              </w:rPr>
            </w:pPr>
            <w:r>
              <w:rPr>
                <w:noProof/>
              </w:rPr>
              <w:t>302</w:t>
            </w:r>
          </w:p>
        </w:tc>
        <w:tc>
          <w:tcPr>
            <w:tcW w:w="1629" w:type="dxa"/>
            <w:shd w:val="clear" w:color="auto" w:fill="C6EFCE"/>
            <w:vAlign w:val="center"/>
          </w:tcPr>
          <w:p w14:paraId="189F8E04" w14:textId="13C58C17" w:rsidR="00025543" w:rsidRDefault="007E3A2F">
            <w:pPr>
              <w:pStyle w:val="P68B1DB1-Normal11"/>
              <w:spacing w:before="0" w:after="0" w:line="240" w:lineRule="auto"/>
              <w:rPr>
                <w:noProof/>
              </w:rPr>
            </w:pPr>
            <w:r>
              <w:rPr>
                <w:noProof/>
              </w:rPr>
              <w:t>Réforme 2: Accélérer et numériser le processus d’autorisation pour les énergies renouvelables</w:t>
            </w:r>
          </w:p>
        </w:tc>
        <w:tc>
          <w:tcPr>
            <w:tcW w:w="1134" w:type="dxa"/>
            <w:shd w:val="clear" w:color="auto" w:fill="C6EFCE"/>
            <w:vAlign w:val="center"/>
          </w:tcPr>
          <w:p w14:paraId="3C17E2DB" w14:textId="1C9BF8C4" w:rsidR="00025543" w:rsidRDefault="007E3A2F">
            <w:pPr>
              <w:pStyle w:val="P68B1DB1-Normal11"/>
              <w:spacing w:before="0" w:after="0" w:line="240" w:lineRule="auto"/>
              <w:rPr>
                <w:noProof/>
              </w:rPr>
            </w:pPr>
            <w:r>
              <w:rPr>
                <w:noProof/>
              </w:rPr>
              <w:t>Étapes</w:t>
            </w:r>
          </w:p>
        </w:tc>
        <w:tc>
          <w:tcPr>
            <w:tcW w:w="1548" w:type="dxa"/>
            <w:shd w:val="clear" w:color="auto" w:fill="C6EFCE"/>
            <w:vAlign w:val="center"/>
          </w:tcPr>
          <w:p w14:paraId="26A349B3" w14:textId="77777777" w:rsidR="00025543" w:rsidRDefault="007E3A2F">
            <w:pPr>
              <w:pStyle w:val="P68B1DB1-Normal11"/>
              <w:spacing w:line="240" w:lineRule="auto"/>
              <w:jc w:val="both"/>
              <w:rPr>
                <w:noProof/>
              </w:rPr>
            </w:pPr>
            <w:r>
              <w:rPr>
                <w:noProof/>
              </w:rPr>
              <w:t>Entrée en vigueur de la législation modifiée</w:t>
            </w:r>
          </w:p>
          <w:p w14:paraId="7B66B642" w14:textId="77777777" w:rsidR="00025543" w:rsidRDefault="00025543">
            <w:pPr>
              <w:spacing w:line="240" w:lineRule="auto"/>
              <w:jc w:val="both"/>
              <w:rPr>
                <w:rFonts w:eastAsia="Times New Roman"/>
                <w:noProof/>
                <w:color w:val="006100"/>
                <w:sz w:val="18"/>
              </w:rPr>
            </w:pPr>
          </w:p>
        </w:tc>
        <w:tc>
          <w:tcPr>
            <w:tcW w:w="1802" w:type="dxa"/>
            <w:shd w:val="clear" w:color="auto" w:fill="C6EFCE"/>
            <w:vAlign w:val="center"/>
          </w:tcPr>
          <w:p w14:paraId="614F3157" w14:textId="77777777" w:rsidR="00025543" w:rsidRDefault="007E3A2F">
            <w:pPr>
              <w:pStyle w:val="P68B1DB1-Normal11"/>
              <w:spacing w:line="240" w:lineRule="auto"/>
              <w:jc w:val="both"/>
              <w:rPr>
                <w:noProof/>
              </w:rPr>
            </w:pPr>
            <w:r>
              <w:rPr>
                <w:noProof/>
              </w:rPr>
              <w:t>Disposition de la loi indiquant l’entrée en vigueur</w:t>
            </w:r>
          </w:p>
          <w:p w14:paraId="2E6B05DA" w14:textId="77777777" w:rsidR="00025543" w:rsidRDefault="00025543">
            <w:pPr>
              <w:spacing w:line="240" w:lineRule="auto"/>
              <w:jc w:val="both"/>
              <w:rPr>
                <w:rFonts w:eastAsia="Times New Roman"/>
                <w:noProof/>
                <w:color w:val="006100"/>
                <w:sz w:val="18"/>
              </w:rPr>
            </w:pPr>
          </w:p>
        </w:tc>
        <w:tc>
          <w:tcPr>
            <w:tcW w:w="989" w:type="dxa"/>
            <w:shd w:val="clear" w:color="auto" w:fill="C6EFCE"/>
            <w:vAlign w:val="center"/>
          </w:tcPr>
          <w:p w14:paraId="5ACC4A0B" w14:textId="77777777" w:rsidR="00025543" w:rsidRDefault="00025543">
            <w:pPr>
              <w:spacing w:before="0" w:after="0" w:line="240" w:lineRule="auto"/>
              <w:rPr>
                <w:rFonts w:eastAsia="Times New Roman"/>
                <w:noProof/>
                <w:color w:val="006100"/>
                <w:sz w:val="18"/>
              </w:rPr>
            </w:pPr>
          </w:p>
        </w:tc>
        <w:tc>
          <w:tcPr>
            <w:tcW w:w="989" w:type="dxa"/>
            <w:shd w:val="clear" w:color="auto" w:fill="C6EFCE"/>
            <w:vAlign w:val="center"/>
          </w:tcPr>
          <w:p w14:paraId="6A417DA2" w14:textId="77777777" w:rsidR="00025543" w:rsidRDefault="00025543">
            <w:pPr>
              <w:spacing w:before="0" w:after="0" w:line="240" w:lineRule="auto"/>
              <w:jc w:val="center"/>
              <w:rPr>
                <w:rFonts w:eastAsia="Times New Roman"/>
                <w:noProof/>
                <w:color w:val="006100"/>
                <w:sz w:val="18"/>
              </w:rPr>
            </w:pPr>
          </w:p>
        </w:tc>
        <w:tc>
          <w:tcPr>
            <w:tcW w:w="1040" w:type="dxa"/>
            <w:shd w:val="clear" w:color="auto" w:fill="C6EFCE"/>
            <w:vAlign w:val="center"/>
          </w:tcPr>
          <w:p w14:paraId="6D7D906F" w14:textId="77777777" w:rsidR="00025543" w:rsidRDefault="00025543">
            <w:pPr>
              <w:spacing w:before="0" w:after="0" w:line="240" w:lineRule="auto"/>
              <w:jc w:val="center"/>
              <w:rPr>
                <w:rFonts w:eastAsia="Times New Roman"/>
                <w:noProof/>
                <w:color w:val="006100"/>
                <w:sz w:val="18"/>
              </w:rPr>
            </w:pPr>
          </w:p>
        </w:tc>
        <w:tc>
          <w:tcPr>
            <w:tcW w:w="1021" w:type="dxa"/>
            <w:shd w:val="clear" w:color="auto" w:fill="C6EFCE"/>
            <w:vAlign w:val="center"/>
          </w:tcPr>
          <w:p w14:paraId="051AD156" w14:textId="77311BCC" w:rsidR="00025543" w:rsidRDefault="007E3A2F">
            <w:pPr>
              <w:pStyle w:val="P68B1DB1-Normal11"/>
              <w:spacing w:before="0" w:after="0" w:line="240" w:lineRule="auto"/>
              <w:jc w:val="center"/>
              <w:rPr>
                <w:noProof/>
              </w:rPr>
            </w:pPr>
            <w:r>
              <w:rPr>
                <w:noProof/>
              </w:rPr>
              <w:t>TRIMESTRE 3</w:t>
            </w:r>
          </w:p>
        </w:tc>
        <w:tc>
          <w:tcPr>
            <w:tcW w:w="659" w:type="dxa"/>
            <w:shd w:val="clear" w:color="auto" w:fill="C6EFCE"/>
            <w:vAlign w:val="center"/>
          </w:tcPr>
          <w:p w14:paraId="70DD9001" w14:textId="3B88B4F2" w:rsidR="00025543" w:rsidRDefault="007E3A2F">
            <w:pPr>
              <w:pStyle w:val="P68B1DB1-Normal11"/>
              <w:spacing w:before="0" w:after="0" w:line="240" w:lineRule="auto"/>
              <w:jc w:val="center"/>
              <w:rPr>
                <w:noProof/>
              </w:rPr>
            </w:pPr>
            <w:r>
              <w:rPr>
                <w:noProof/>
              </w:rPr>
              <w:t>2024</w:t>
            </w:r>
          </w:p>
        </w:tc>
        <w:tc>
          <w:tcPr>
            <w:tcW w:w="4135" w:type="dxa"/>
            <w:shd w:val="clear" w:color="auto" w:fill="C6EFCE"/>
            <w:vAlign w:val="center"/>
          </w:tcPr>
          <w:p w14:paraId="06927385" w14:textId="77777777" w:rsidR="00025543" w:rsidRDefault="007E3A2F">
            <w:pPr>
              <w:pStyle w:val="P68B1DB1-ListParagraph31"/>
              <w:spacing w:line="240" w:lineRule="auto"/>
              <w:jc w:val="both"/>
              <w:rPr>
                <w:noProof/>
              </w:rPr>
            </w:pPr>
            <w:r>
              <w:rPr>
                <w:noProof/>
              </w:rPr>
              <w:t>La législation est modifiée de manière à:</w:t>
            </w:r>
          </w:p>
          <w:p w14:paraId="3B66735C" w14:textId="77777777" w:rsidR="00025543" w:rsidRDefault="007E3A2F">
            <w:pPr>
              <w:pStyle w:val="P68B1DB1-ListParagraph31"/>
              <w:spacing w:before="0" w:line="240" w:lineRule="auto"/>
              <w:jc w:val="both"/>
              <w:rPr>
                <w:noProof/>
              </w:rPr>
            </w:pPr>
            <w:r>
              <w:rPr>
                <w:noProof/>
              </w:rPr>
              <w:t xml:space="preserve">Fixer des délais maximaux différenciés et contraignants pour toutes les étapes pertinentes de la procédure en fonction de la capacité. La durée de l’ensemble de la procédure d’octroi des autorisations (y compris le raccordement au réseau) ne dépasse pas 2 ans pour les installations renouvelables à partir de 150 kW et un an pour les installations renouvelables d’une puissance inférieure à 150 kW. Pour les installations solaires dans des structures artificielles d’une capacité égale ou inférieure à 100 kW, la procédure d’octroi des autorisations ne dépasse pas 1 mois.  </w:t>
            </w:r>
          </w:p>
          <w:p w14:paraId="7EEA664D" w14:textId="1B5D392A" w:rsidR="00025543" w:rsidRDefault="007E3A2F">
            <w:pPr>
              <w:pStyle w:val="P68B1DB1-ListParagraph31"/>
              <w:numPr>
                <w:ilvl w:val="0"/>
                <w:numId w:val="274"/>
              </w:numPr>
              <w:spacing w:before="0" w:line="240" w:lineRule="auto"/>
              <w:jc w:val="both"/>
              <w:rPr>
                <w:noProof/>
              </w:rPr>
            </w:pPr>
            <w:r>
              <w:rPr>
                <w:noProof/>
              </w:rPr>
              <w:t>Mettre en place un suivi de la part de l’autorité de régulation de l’énergie sur la longueur des différentes procédures d’autorisation.</w:t>
            </w:r>
          </w:p>
        </w:tc>
      </w:tr>
      <w:tr w:rsidR="00025543" w14:paraId="4D8DE64E" w14:textId="77777777">
        <w:trPr>
          <w:trHeight w:val="309"/>
          <w:jc w:val="center"/>
        </w:trPr>
        <w:tc>
          <w:tcPr>
            <w:tcW w:w="656" w:type="dxa"/>
            <w:shd w:val="clear" w:color="auto" w:fill="C6EFCE"/>
            <w:vAlign w:val="center"/>
          </w:tcPr>
          <w:p w14:paraId="2FB3F3BB" w14:textId="01558919" w:rsidR="00025543" w:rsidRDefault="007E3A2F">
            <w:pPr>
              <w:pStyle w:val="P68B1DB1-Normal16"/>
              <w:spacing w:line="240" w:lineRule="auto"/>
              <w:jc w:val="center"/>
              <w:rPr>
                <w:noProof/>
              </w:rPr>
            </w:pPr>
            <w:r>
              <w:rPr>
                <w:noProof/>
              </w:rPr>
              <w:t>303</w:t>
            </w:r>
          </w:p>
        </w:tc>
        <w:tc>
          <w:tcPr>
            <w:tcW w:w="1629" w:type="dxa"/>
            <w:shd w:val="clear" w:color="auto" w:fill="C6EFCE"/>
            <w:vAlign w:val="center"/>
          </w:tcPr>
          <w:p w14:paraId="259A1CCF" w14:textId="57C920A4" w:rsidR="00025543" w:rsidRDefault="007E3A2F">
            <w:pPr>
              <w:pStyle w:val="P68B1DB1-Normal11"/>
              <w:spacing w:before="0" w:after="0" w:line="240" w:lineRule="auto"/>
              <w:rPr>
                <w:noProof/>
              </w:rPr>
            </w:pPr>
            <w:r>
              <w:rPr>
                <w:noProof/>
              </w:rPr>
              <w:t>Réforme 2: Accélérer et numériser le processus d’autorisation pour les énergies renouvelables</w:t>
            </w:r>
          </w:p>
        </w:tc>
        <w:tc>
          <w:tcPr>
            <w:tcW w:w="1134" w:type="dxa"/>
            <w:shd w:val="clear" w:color="auto" w:fill="C6EFCE"/>
            <w:vAlign w:val="center"/>
          </w:tcPr>
          <w:p w14:paraId="244FFCCE" w14:textId="59F61968" w:rsidR="00025543" w:rsidRDefault="007E3A2F">
            <w:pPr>
              <w:pStyle w:val="P68B1DB1-Normal11"/>
              <w:spacing w:before="0" w:after="0" w:line="240" w:lineRule="auto"/>
              <w:rPr>
                <w:noProof/>
              </w:rPr>
            </w:pPr>
            <w:r>
              <w:rPr>
                <w:noProof/>
              </w:rPr>
              <w:t>Étapes</w:t>
            </w:r>
          </w:p>
        </w:tc>
        <w:tc>
          <w:tcPr>
            <w:tcW w:w="1548" w:type="dxa"/>
            <w:shd w:val="clear" w:color="auto" w:fill="C6EFCE"/>
            <w:vAlign w:val="center"/>
          </w:tcPr>
          <w:p w14:paraId="2BA228E1" w14:textId="53230DEE" w:rsidR="00025543" w:rsidRDefault="007E3A2F">
            <w:pPr>
              <w:pStyle w:val="P68B1DB1-Normal11"/>
              <w:spacing w:line="240" w:lineRule="auto"/>
              <w:jc w:val="both"/>
              <w:rPr>
                <w:noProof/>
              </w:rPr>
            </w:pPr>
            <w:r>
              <w:rPr>
                <w:noProof/>
              </w:rPr>
              <w:t>Guichet unique numérique</w:t>
            </w:r>
          </w:p>
        </w:tc>
        <w:tc>
          <w:tcPr>
            <w:tcW w:w="1802" w:type="dxa"/>
            <w:shd w:val="clear" w:color="auto" w:fill="C6EFCE"/>
            <w:vAlign w:val="center"/>
          </w:tcPr>
          <w:p w14:paraId="07070281" w14:textId="51397EDA" w:rsidR="00025543" w:rsidRDefault="007E3A2F">
            <w:pPr>
              <w:pStyle w:val="P68B1DB1-Normal11"/>
              <w:spacing w:line="240" w:lineRule="auto"/>
              <w:jc w:val="both"/>
              <w:rPr>
                <w:noProof/>
              </w:rPr>
            </w:pPr>
            <w:r>
              <w:rPr>
                <w:noProof/>
              </w:rPr>
              <w:t xml:space="preserve">Mise en service du portail web </w:t>
            </w:r>
          </w:p>
        </w:tc>
        <w:tc>
          <w:tcPr>
            <w:tcW w:w="989" w:type="dxa"/>
            <w:shd w:val="clear" w:color="auto" w:fill="C6EFCE"/>
            <w:vAlign w:val="center"/>
          </w:tcPr>
          <w:p w14:paraId="32F7BC45" w14:textId="77777777" w:rsidR="00025543" w:rsidRDefault="00025543">
            <w:pPr>
              <w:spacing w:before="0" w:after="0" w:line="240" w:lineRule="auto"/>
              <w:rPr>
                <w:rFonts w:eastAsia="Times New Roman"/>
                <w:noProof/>
                <w:color w:val="006100"/>
                <w:sz w:val="18"/>
              </w:rPr>
            </w:pPr>
          </w:p>
        </w:tc>
        <w:tc>
          <w:tcPr>
            <w:tcW w:w="989" w:type="dxa"/>
            <w:shd w:val="clear" w:color="auto" w:fill="C6EFCE"/>
            <w:vAlign w:val="center"/>
          </w:tcPr>
          <w:p w14:paraId="64FE7FC0" w14:textId="77777777" w:rsidR="00025543" w:rsidRDefault="00025543">
            <w:pPr>
              <w:spacing w:before="0" w:after="0" w:line="240" w:lineRule="auto"/>
              <w:jc w:val="center"/>
              <w:rPr>
                <w:rFonts w:eastAsia="Times New Roman"/>
                <w:noProof/>
                <w:color w:val="006100"/>
                <w:sz w:val="18"/>
              </w:rPr>
            </w:pPr>
          </w:p>
        </w:tc>
        <w:tc>
          <w:tcPr>
            <w:tcW w:w="1040" w:type="dxa"/>
            <w:shd w:val="clear" w:color="auto" w:fill="C6EFCE"/>
            <w:vAlign w:val="center"/>
          </w:tcPr>
          <w:p w14:paraId="1277DD0B" w14:textId="77777777" w:rsidR="00025543" w:rsidRDefault="00025543">
            <w:pPr>
              <w:spacing w:before="0" w:after="0" w:line="240" w:lineRule="auto"/>
              <w:jc w:val="center"/>
              <w:rPr>
                <w:rFonts w:eastAsia="Times New Roman"/>
                <w:noProof/>
                <w:color w:val="006100"/>
                <w:sz w:val="18"/>
              </w:rPr>
            </w:pPr>
          </w:p>
        </w:tc>
        <w:tc>
          <w:tcPr>
            <w:tcW w:w="1021" w:type="dxa"/>
            <w:shd w:val="clear" w:color="auto" w:fill="C6EFCE"/>
            <w:vAlign w:val="center"/>
          </w:tcPr>
          <w:p w14:paraId="1B679EE1" w14:textId="25C44365" w:rsidR="00025543" w:rsidRDefault="007E3A2F">
            <w:pPr>
              <w:pStyle w:val="P68B1DB1-Normal11"/>
              <w:spacing w:before="0" w:after="0" w:line="240" w:lineRule="auto"/>
              <w:jc w:val="center"/>
              <w:rPr>
                <w:noProof/>
              </w:rPr>
            </w:pPr>
            <w:r>
              <w:rPr>
                <w:noProof/>
              </w:rPr>
              <w:t>TRIMESTRE 4</w:t>
            </w:r>
          </w:p>
        </w:tc>
        <w:tc>
          <w:tcPr>
            <w:tcW w:w="659" w:type="dxa"/>
            <w:shd w:val="clear" w:color="auto" w:fill="C6EFCE"/>
            <w:vAlign w:val="center"/>
          </w:tcPr>
          <w:p w14:paraId="7146D3D5" w14:textId="755A3721" w:rsidR="00025543" w:rsidRDefault="007E3A2F">
            <w:pPr>
              <w:pStyle w:val="P68B1DB1-Normal11"/>
              <w:spacing w:before="0" w:after="0" w:line="240" w:lineRule="auto"/>
              <w:jc w:val="center"/>
              <w:rPr>
                <w:noProof/>
              </w:rPr>
            </w:pPr>
            <w:r>
              <w:rPr>
                <w:noProof/>
              </w:rPr>
              <w:t>2024</w:t>
            </w:r>
          </w:p>
        </w:tc>
        <w:tc>
          <w:tcPr>
            <w:tcW w:w="4135" w:type="dxa"/>
            <w:shd w:val="clear" w:color="auto" w:fill="C6EFCE"/>
            <w:vAlign w:val="center"/>
          </w:tcPr>
          <w:p w14:paraId="2101EB18" w14:textId="77777777" w:rsidR="00025543" w:rsidRDefault="007E3A2F">
            <w:pPr>
              <w:pStyle w:val="P68B1DB1-Normal11"/>
              <w:spacing w:line="240" w:lineRule="auto"/>
              <w:jc w:val="both"/>
              <w:rPr>
                <w:noProof/>
              </w:rPr>
            </w:pPr>
            <w:r>
              <w:rPr>
                <w:noProof/>
              </w:rPr>
              <w:t>Un guichet unique numérique (portail web) est opérationnel et a commencé à offrir des services et des informations guidant le demandeur tout au long de la procédure administrative de demande de permis. Le guichet unique fait office de point de contact unique pour les investisseurs/demandeurs pour le traitement et la délivrance des permis et fait intervenir, le cas échéant, d’autres autorités administratives.</w:t>
            </w:r>
          </w:p>
          <w:p w14:paraId="61A4C62B" w14:textId="7A0FE911" w:rsidR="00025543" w:rsidRDefault="007E3A2F">
            <w:pPr>
              <w:pStyle w:val="P68B1DB1-Normal11"/>
              <w:spacing w:after="160" w:line="240" w:lineRule="auto"/>
              <w:jc w:val="both"/>
              <w:rPr>
                <w:noProof/>
              </w:rPr>
            </w:pPr>
            <w:r>
              <w:rPr>
                <w:noProof/>
              </w:rPr>
              <w:t>Le portail web permet aux citoyens et aux entreprises d’introduire une demande numérique pour les différents types de permis (construction, licences, permis environnementaux) et les procédures de raccordement au réseau. Le portail web intègre toutes les étapes des procédures ainsi que la fonctionnalité permettant aux demandeurs de suivre en ligne le statut des permis, d’échanger numériquement les documents requis et de modifier la demande jusqu’à la délivrance du permis.</w:t>
            </w:r>
          </w:p>
          <w:p w14:paraId="45399820" w14:textId="19A1160E" w:rsidR="00025543" w:rsidRDefault="007E3A2F">
            <w:pPr>
              <w:pStyle w:val="P68B1DB1-Normal11"/>
              <w:spacing w:line="240" w:lineRule="auto"/>
              <w:jc w:val="both"/>
              <w:rPr>
                <w:noProof/>
              </w:rPr>
            </w:pPr>
            <w:r>
              <w:rPr>
                <w:noProof/>
              </w:rPr>
              <w:t>Les différentes étapes de la procédure d’autorisation (par exemple, permis de construire, permis d’environnement, raccordement au réseau et licences) sont entièrement numérisées.</w:t>
            </w:r>
          </w:p>
        </w:tc>
      </w:tr>
      <w:tr w:rsidR="00025543" w14:paraId="5115FB2E" w14:textId="77777777">
        <w:trPr>
          <w:trHeight w:val="309"/>
          <w:jc w:val="center"/>
        </w:trPr>
        <w:tc>
          <w:tcPr>
            <w:tcW w:w="656" w:type="dxa"/>
            <w:shd w:val="clear" w:color="auto" w:fill="C6EFCE"/>
            <w:vAlign w:val="center"/>
          </w:tcPr>
          <w:p w14:paraId="1C5BD0BE" w14:textId="773B324F" w:rsidR="00025543" w:rsidRDefault="007E3A2F">
            <w:pPr>
              <w:pStyle w:val="P68B1DB1-Normal16"/>
              <w:spacing w:line="240" w:lineRule="auto"/>
              <w:jc w:val="center"/>
              <w:rPr>
                <w:noProof/>
              </w:rPr>
            </w:pPr>
            <w:r>
              <w:rPr>
                <w:noProof/>
              </w:rPr>
              <w:t xml:space="preserve"> 304</w:t>
            </w:r>
          </w:p>
        </w:tc>
        <w:tc>
          <w:tcPr>
            <w:tcW w:w="1629" w:type="dxa"/>
            <w:shd w:val="clear" w:color="auto" w:fill="C6EFCE"/>
            <w:vAlign w:val="center"/>
          </w:tcPr>
          <w:p w14:paraId="0B2F7396" w14:textId="32046403" w:rsidR="00025543" w:rsidRDefault="007E3A2F">
            <w:pPr>
              <w:pStyle w:val="P68B1DB1-Normal11"/>
              <w:spacing w:after="160" w:line="240" w:lineRule="auto"/>
              <w:rPr>
                <w:noProof/>
              </w:rPr>
            </w:pPr>
            <w:r>
              <w:rPr>
                <w:noProof/>
              </w:rPr>
              <w:t>Réforme 3 — Sous-mesure 1</w:t>
            </w:r>
          </w:p>
          <w:p w14:paraId="0963DAD9" w14:textId="3671ED07" w:rsidR="00025543" w:rsidRDefault="007E3A2F">
            <w:pPr>
              <w:pStyle w:val="P68B1DB1-Normal11"/>
              <w:spacing w:before="0" w:after="0" w:line="240" w:lineRule="auto"/>
              <w:rPr>
                <w:noProof/>
              </w:rPr>
            </w:pPr>
            <w:r>
              <w:rPr>
                <w:noProof/>
              </w:rPr>
              <w:t xml:space="preserve">Améliorer la transparence de la procédure de raccordement au réseau </w:t>
            </w:r>
          </w:p>
        </w:tc>
        <w:tc>
          <w:tcPr>
            <w:tcW w:w="1134" w:type="dxa"/>
            <w:shd w:val="clear" w:color="auto" w:fill="C6EFCE"/>
            <w:vAlign w:val="center"/>
          </w:tcPr>
          <w:p w14:paraId="56CF77CB" w14:textId="4B9EED79" w:rsidR="00025543" w:rsidRDefault="007E3A2F">
            <w:pPr>
              <w:pStyle w:val="P68B1DB1-Normal11"/>
              <w:spacing w:before="0" w:after="0" w:line="240" w:lineRule="auto"/>
              <w:rPr>
                <w:noProof/>
              </w:rPr>
            </w:pPr>
            <w:r>
              <w:rPr>
                <w:noProof/>
              </w:rPr>
              <w:t>Étapes</w:t>
            </w:r>
          </w:p>
        </w:tc>
        <w:tc>
          <w:tcPr>
            <w:tcW w:w="1548" w:type="dxa"/>
            <w:shd w:val="clear" w:color="auto" w:fill="C6EFCE"/>
            <w:vAlign w:val="center"/>
          </w:tcPr>
          <w:p w14:paraId="2B09232F" w14:textId="77777777" w:rsidR="00025543" w:rsidRDefault="007E3A2F">
            <w:pPr>
              <w:pStyle w:val="P68B1DB1-Normal11"/>
              <w:spacing w:after="160" w:line="240" w:lineRule="auto"/>
              <w:rPr>
                <w:noProof/>
              </w:rPr>
            </w:pPr>
            <w:r>
              <w:rPr>
                <w:noProof/>
              </w:rPr>
              <w:t xml:space="preserve">Entrée en vigueur des modifications législatives et procédurales  </w:t>
            </w:r>
          </w:p>
          <w:p w14:paraId="70339317" w14:textId="77777777" w:rsidR="00025543" w:rsidRDefault="00025543">
            <w:pPr>
              <w:spacing w:line="240" w:lineRule="auto"/>
              <w:jc w:val="both"/>
              <w:rPr>
                <w:rFonts w:eastAsia="Times New Roman"/>
                <w:noProof/>
                <w:color w:val="006100"/>
                <w:sz w:val="18"/>
              </w:rPr>
            </w:pPr>
          </w:p>
        </w:tc>
        <w:tc>
          <w:tcPr>
            <w:tcW w:w="1802" w:type="dxa"/>
            <w:shd w:val="clear" w:color="auto" w:fill="C6EFCE"/>
            <w:vAlign w:val="center"/>
          </w:tcPr>
          <w:p w14:paraId="059ECC39" w14:textId="18978EF4" w:rsidR="00025543" w:rsidRDefault="007E3A2F">
            <w:pPr>
              <w:pStyle w:val="P68B1DB1-Normal11"/>
              <w:spacing w:line="240" w:lineRule="auto"/>
              <w:jc w:val="both"/>
              <w:rPr>
                <w:noProof/>
              </w:rPr>
            </w:pPr>
            <w:r>
              <w:rPr>
                <w:noProof/>
              </w:rPr>
              <w:t>Disposition de la loi et des décrets indiquant l’entrée en vigueur de la loi ou du décret</w:t>
            </w:r>
          </w:p>
        </w:tc>
        <w:tc>
          <w:tcPr>
            <w:tcW w:w="989" w:type="dxa"/>
            <w:shd w:val="clear" w:color="auto" w:fill="C6EFCE"/>
            <w:vAlign w:val="center"/>
          </w:tcPr>
          <w:p w14:paraId="380D6BB8" w14:textId="0953E80F" w:rsidR="00025543" w:rsidRDefault="007E3A2F">
            <w:pPr>
              <w:pStyle w:val="P68B1DB1-Normal11"/>
              <w:spacing w:before="0" w:after="0" w:line="240" w:lineRule="auto"/>
              <w:rPr>
                <w:noProof/>
              </w:rPr>
            </w:pPr>
            <w:r>
              <w:rPr>
                <w:noProof/>
              </w:rPr>
              <w:t xml:space="preserve"> </w:t>
            </w:r>
          </w:p>
        </w:tc>
        <w:tc>
          <w:tcPr>
            <w:tcW w:w="989" w:type="dxa"/>
            <w:shd w:val="clear" w:color="auto" w:fill="C6EFCE"/>
            <w:vAlign w:val="center"/>
          </w:tcPr>
          <w:p w14:paraId="75EA307B" w14:textId="72FA2A83" w:rsidR="00025543" w:rsidRDefault="007E3A2F">
            <w:pPr>
              <w:pStyle w:val="P68B1DB1-Normal11"/>
              <w:spacing w:before="0" w:after="0" w:line="240" w:lineRule="auto"/>
              <w:jc w:val="center"/>
              <w:rPr>
                <w:noProof/>
              </w:rPr>
            </w:pPr>
            <w:r>
              <w:rPr>
                <w:noProof/>
              </w:rPr>
              <w:t xml:space="preserve"> </w:t>
            </w:r>
          </w:p>
        </w:tc>
        <w:tc>
          <w:tcPr>
            <w:tcW w:w="1040" w:type="dxa"/>
            <w:shd w:val="clear" w:color="auto" w:fill="C6EFCE"/>
            <w:vAlign w:val="center"/>
          </w:tcPr>
          <w:p w14:paraId="3452D931" w14:textId="023DE419" w:rsidR="00025543" w:rsidRDefault="007E3A2F">
            <w:pPr>
              <w:pStyle w:val="P68B1DB1-Normal11"/>
              <w:spacing w:before="0" w:after="0" w:line="240" w:lineRule="auto"/>
              <w:jc w:val="center"/>
              <w:rPr>
                <w:noProof/>
              </w:rPr>
            </w:pPr>
            <w:r>
              <w:rPr>
                <w:noProof/>
              </w:rPr>
              <w:t xml:space="preserve"> </w:t>
            </w:r>
          </w:p>
        </w:tc>
        <w:tc>
          <w:tcPr>
            <w:tcW w:w="1021" w:type="dxa"/>
            <w:shd w:val="clear" w:color="auto" w:fill="C6EFCE"/>
            <w:vAlign w:val="center"/>
          </w:tcPr>
          <w:p w14:paraId="6963060A" w14:textId="1B6433FA" w:rsidR="00025543" w:rsidRDefault="007E3A2F">
            <w:pPr>
              <w:pStyle w:val="P68B1DB1-Normal11"/>
              <w:spacing w:before="0" w:after="0" w:line="240" w:lineRule="auto"/>
              <w:jc w:val="center"/>
              <w:rPr>
                <w:noProof/>
              </w:rPr>
            </w:pPr>
            <w:r>
              <w:rPr>
                <w:noProof/>
              </w:rPr>
              <w:t>TRIMESTRE 1</w:t>
            </w:r>
          </w:p>
        </w:tc>
        <w:tc>
          <w:tcPr>
            <w:tcW w:w="659" w:type="dxa"/>
            <w:shd w:val="clear" w:color="auto" w:fill="C6EFCE"/>
            <w:vAlign w:val="center"/>
          </w:tcPr>
          <w:p w14:paraId="16EB944A" w14:textId="6E2ACDB2" w:rsidR="00025543" w:rsidRDefault="007E3A2F">
            <w:pPr>
              <w:pStyle w:val="P68B1DB1-Normal11"/>
              <w:spacing w:before="0" w:after="0" w:line="240" w:lineRule="auto"/>
              <w:jc w:val="center"/>
              <w:rPr>
                <w:noProof/>
              </w:rPr>
            </w:pPr>
            <w:r>
              <w:rPr>
                <w:noProof/>
              </w:rPr>
              <w:t>2024</w:t>
            </w:r>
          </w:p>
        </w:tc>
        <w:tc>
          <w:tcPr>
            <w:tcW w:w="4135" w:type="dxa"/>
            <w:shd w:val="clear" w:color="auto" w:fill="C6EFCE"/>
            <w:vAlign w:val="center"/>
          </w:tcPr>
          <w:p w14:paraId="7B220844" w14:textId="77777777" w:rsidR="00025543" w:rsidRDefault="007E3A2F">
            <w:pPr>
              <w:pStyle w:val="P68B1DB1-Normal11"/>
              <w:spacing w:after="160" w:line="240" w:lineRule="auto"/>
              <w:jc w:val="both"/>
              <w:rPr>
                <w:noProof/>
              </w:rPr>
            </w:pPr>
            <w:r>
              <w:rPr>
                <w:noProof/>
              </w:rPr>
              <w:t>La législation est modifiée de manière à:</w:t>
            </w:r>
          </w:p>
          <w:p w14:paraId="63A41A67" w14:textId="77777777" w:rsidR="00025543" w:rsidRDefault="007E3A2F">
            <w:pPr>
              <w:pStyle w:val="P68B1DB1-ListParagraph31"/>
              <w:numPr>
                <w:ilvl w:val="0"/>
                <w:numId w:val="126"/>
              </w:numPr>
              <w:spacing w:before="0" w:after="0" w:line="240" w:lineRule="auto"/>
              <w:rPr>
                <w:noProof/>
              </w:rPr>
            </w:pPr>
            <w:r>
              <w:rPr>
                <w:noProof/>
              </w:rPr>
              <w:t>Habiliter le GRD à annuler la réservation de capacités du réseau uniquement sur la base de critères techniques et après avoir démontré la non-utilisation des capacités.</w:t>
            </w:r>
          </w:p>
          <w:p w14:paraId="2995CB71" w14:textId="6D7D8727" w:rsidR="00025543" w:rsidRDefault="007E3A2F">
            <w:pPr>
              <w:pStyle w:val="P68B1DB1-ListParagraph31"/>
              <w:numPr>
                <w:ilvl w:val="0"/>
                <w:numId w:val="126"/>
              </w:numPr>
              <w:spacing w:before="0" w:after="0" w:line="240" w:lineRule="auto"/>
              <w:rPr>
                <w:noProof/>
              </w:rPr>
            </w:pPr>
            <w:r>
              <w:rPr>
                <w:noProof/>
              </w:rPr>
              <w:t>Obligation du gestionnaire de réseau de distribution de fournir au demandeur de raccordement une justification écrite de l’absence de capacité de raccordement et d’indiquer la date et les conditions de raccordement futur</w:t>
            </w:r>
          </w:p>
          <w:p w14:paraId="72AA88B6" w14:textId="03B6C8A0" w:rsidR="00025543" w:rsidRDefault="007E3A2F">
            <w:pPr>
              <w:pStyle w:val="P68B1DB1-ListParagraph31"/>
              <w:numPr>
                <w:ilvl w:val="0"/>
                <w:numId w:val="126"/>
              </w:numPr>
              <w:spacing w:before="0" w:after="0" w:line="240" w:lineRule="auto"/>
              <w:rPr>
                <w:noProof/>
              </w:rPr>
            </w:pPr>
            <w:r>
              <w:rPr>
                <w:noProof/>
              </w:rPr>
              <w:t xml:space="preserve">Fixer des règles pour la remise à disposition des capacités inutilisées, des incitations financières décourageant la non-utilisation des capacités allouées en temps utile et les conditions dans lesquelles les GRD peuvent annuler la réservation de capacités.  </w:t>
            </w:r>
          </w:p>
          <w:p w14:paraId="134BA615" w14:textId="7CFF4A3C" w:rsidR="00025543" w:rsidRDefault="007E3A2F">
            <w:pPr>
              <w:pStyle w:val="P68B1DB1-ListParagraph31"/>
              <w:numPr>
                <w:ilvl w:val="0"/>
                <w:numId w:val="126"/>
              </w:numPr>
              <w:spacing w:before="0" w:after="0" w:line="240" w:lineRule="auto"/>
              <w:rPr>
                <w:noProof/>
              </w:rPr>
            </w:pPr>
            <w:r>
              <w:rPr>
                <w:noProof/>
              </w:rPr>
              <w:t>Le régulateur tchèque de l’énergie réexamine au moins tous les six mois, dans chaque région, l’adéquation d’une décision prise par le GRD d’annuler la capacité.</w:t>
            </w:r>
          </w:p>
          <w:p w14:paraId="582F1FC3" w14:textId="09CB7202" w:rsidR="00025543" w:rsidRDefault="007E3A2F">
            <w:pPr>
              <w:pStyle w:val="P68B1DB1-ListParagraph31"/>
              <w:numPr>
                <w:ilvl w:val="0"/>
                <w:numId w:val="126"/>
              </w:numPr>
              <w:spacing w:before="0" w:after="0" w:line="240" w:lineRule="auto"/>
              <w:rPr>
                <w:noProof/>
              </w:rPr>
            </w:pPr>
            <w:r>
              <w:rPr>
                <w:noProof/>
              </w:rPr>
              <w:t xml:space="preserve">Introduire un délai maximal contraignant pour le raccordement au réseau à préciser dans les contrats d’accord de raccordement au réseau </w:t>
            </w:r>
          </w:p>
          <w:p w14:paraId="22E25528" w14:textId="77777777" w:rsidR="00025543" w:rsidRDefault="007E3A2F">
            <w:pPr>
              <w:pStyle w:val="P68B1DB1-ListParagraph31"/>
              <w:numPr>
                <w:ilvl w:val="0"/>
                <w:numId w:val="126"/>
              </w:numPr>
              <w:spacing w:before="0" w:after="0" w:line="240" w:lineRule="auto"/>
              <w:rPr>
                <w:noProof/>
              </w:rPr>
            </w:pPr>
            <w:r>
              <w:rPr>
                <w:noProof/>
              </w:rPr>
              <w:t>Réduire les délais de recours devant les organes de conciliation entre les demandeurs et les GRD</w:t>
            </w:r>
          </w:p>
          <w:p w14:paraId="5FE9A6C9" w14:textId="77777777" w:rsidR="00025543" w:rsidRDefault="007E3A2F">
            <w:pPr>
              <w:pStyle w:val="P68B1DB1-ListParagraph31"/>
              <w:numPr>
                <w:ilvl w:val="0"/>
                <w:numId w:val="126"/>
              </w:numPr>
              <w:spacing w:before="0" w:after="0" w:line="240" w:lineRule="auto"/>
              <w:rPr>
                <w:noProof/>
              </w:rPr>
            </w:pPr>
            <w:r>
              <w:rPr>
                <w:noProof/>
              </w:rPr>
              <w:t xml:space="preserve">Renforcer la transparence et la responsabilité de la procédure de raccordement au réseau. </w:t>
            </w:r>
          </w:p>
          <w:p w14:paraId="21B06342" w14:textId="39440FE9" w:rsidR="00025543" w:rsidRDefault="007E3A2F">
            <w:pPr>
              <w:pStyle w:val="P68B1DB1-ListParagraph31"/>
              <w:numPr>
                <w:ilvl w:val="0"/>
                <w:numId w:val="126"/>
              </w:numPr>
              <w:spacing w:before="0" w:after="0" w:line="240" w:lineRule="auto"/>
              <w:rPr>
                <w:noProof/>
              </w:rPr>
            </w:pPr>
            <w:r>
              <w:rPr>
                <w:noProof/>
              </w:rPr>
              <w:t>au moins tous les mois, les GRD (ČEZdi, Predi, EG.D) publient des informations en ligne sur les capacités de raccordement au réseau disponibles pour les nouvelles connexions dans leurs zones d’exploitation respectives, ainsi que les exigences de connexion anonymisées agrégées des demandes acceptées et rejetées.</w:t>
            </w:r>
          </w:p>
          <w:p w14:paraId="66A48883" w14:textId="06DCA695" w:rsidR="00025543" w:rsidRDefault="007E3A2F">
            <w:pPr>
              <w:pStyle w:val="P68B1DB1-Normal11"/>
              <w:spacing w:line="240" w:lineRule="auto"/>
              <w:jc w:val="both"/>
              <w:rPr>
                <w:noProof/>
              </w:rPr>
            </w:pPr>
            <w:r>
              <w:rPr>
                <w:noProof/>
              </w:rPr>
              <w:t>Les GRD/GRT fournissent également aux utilisateurs du réseau des informations claires et transparentes sur l’état d’avancement et le traitement de leurs demandes de raccordement.</w:t>
            </w:r>
          </w:p>
        </w:tc>
      </w:tr>
      <w:tr w:rsidR="00025543" w14:paraId="42F9E368" w14:textId="77777777">
        <w:trPr>
          <w:trHeight w:val="309"/>
          <w:jc w:val="center"/>
        </w:trPr>
        <w:tc>
          <w:tcPr>
            <w:tcW w:w="656" w:type="dxa"/>
            <w:shd w:val="clear" w:color="auto" w:fill="C6EFCE"/>
            <w:vAlign w:val="center"/>
          </w:tcPr>
          <w:p w14:paraId="3AE20D7D" w14:textId="581822C9" w:rsidR="00025543" w:rsidRDefault="007E3A2F">
            <w:pPr>
              <w:pStyle w:val="P68B1DB1-Normal16"/>
              <w:spacing w:line="240" w:lineRule="auto"/>
              <w:jc w:val="center"/>
              <w:rPr>
                <w:noProof/>
              </w:rPr>
            </w:pPr>
            <w:r>
              <w:rPr>
                <w:noProof/>
              </w:rPr>
              <w:t>305</w:t>
            </w:r>
          </w:p>
        </w:tc>
        <w:tc>
          <w:tcPr>
            <w:tcW w:w="1629" w:type="dxa"/>
            <w:shd w:val="clear" w:color="auto" w:fill="C6EFCE"/>
            <w:vAlign w:val="center"/>
          </w:tcPr>
          <w:p w14:paraId="0795F60F" w14:textId="2B88B0ED" w:rsidR="00025543" w:rsidRDefault="007E3A2F">
            <w:pPr>
              <w:pStyle w:val="P68B1DB1-Normal11"/>
              <w:spacing w:after="160" w:line="240" w:lineRule="auto"/>
              <w:rPr>
                <w:noProof/>
              </w:rPr>
            </w:pPr>
            <w:r>
              <w:rPr>
                <w:noProof/>
              </w:rPr>
              <w:t>Réforme 3 — Sous-mesure 1</w:t>
            </w:r>
          </w:p>
          <w:p w14:paraId="1F0D58CB" w14:textId="77777777" w:rsidR="00025543" w:rsidRDefault="007E3A2F">
            <w:pPr>
              <w:pStyle w:val="P68B1DB1-Normal11"/>
              <w:spacing w:after="160" w:line="240" w:lineRule="auto"/>
              <w:rPr>
                <w:noProof/>
              </w:rPr>
            </w:pPr>
            <w:r>
              <w:rPr>
                <w:noProof/>
              </w:rPr>
              <w:t>Améliorer la transparence de la procédure de raccordement au réseau</w:t>
            </w:r>
          </w:p>
          <w:p w14:paraId="0D2C4A22" w14:textId="77777777" w:rsidR="00025543" w:rsidRDefault="00025543">
            <w:pPr>
              <w:spacing w:after="160" w:line="240" w:lineRule="auto"/>
              <w:rPr>
                <w:rFonts w:eastAsia="Times New Roman"/>
                <w:noProof/>
                <w:color w:val="006100"/>
                <w:sz w:val="18"/>
              </w:rPr>
            </w:pPr>
          </w:p>
        </w:tc>
        <w:tc>
          <w:tcPr>
            <w:tcW w:w="1134" w:type="dxa"/>
            <w:shd w:val="clear" w:color="auto" w:fill="C6EFCE"/>
            <w:vAlign w:val="center"/>
          </w:tcPr>
          <w:p w14:paraId="7724A608" w14:textId="5E143830" w:rsidR="00025543" w:rsidRDefault="007E3A2F">
            <w:pPr>
              <w:pStyle w:val="P68B1DB1-Normal11"/>
              <w:spacing w:before="0" w:after="0" w:line="240" w:lineRule="auto"/>
              <w:rPr>
                <w:noProof/>
              </w:rPr>
            </w:pPr>
            <w:r>
              <w:rPr>
                <w:noProof/>
              </w:rPr>
              <w:t>Étapes</w:t>
            </w:r>
          </w:p>
        </w:tc>
        <w:tc>
          <w:tcPr>
            <w:tcW w:w="1548" w:type="dxa"/>
            <w:shd w:val="clear" w:color="auto" w:fill="C6EFCE"/>
            <w:vAlign w:val="center"/>
          </w:tcPr>
          <w:p w14:paraId="48BC7E7A" w14:textId="77777777" w:rsidR="00025543" w:rsidRDefault="007E3A2F">
            <w:pPr>
              <w:pStyle w:val="P68B1DB1-Normal11"/>
              <w:spacing w:after="0" w:line="240" w:lineRule="auto"/>
              <w:rPr>
                <w:noProof/>
              </w:rPr>
            </w:pPr>
            <w:r>
              <w:rPr>
                <w:noProof/>
              </w:rPr>
              <w:t>Publication d’informations sur les demandes de raccordement au réseau et les capacités</w:t>
            </w:r>
          </w:p>
          <w:p w14:paraId="54027D23" w14:textId="024CDD86" w:rsidR="00025543" w:rsidRDefault="007E3A2F">
            <w:pPr>
              <w:pStyle w:val="P68B1DB1-Normal11"/>
              <w:spacing w:after="160" w:line="240" w:lineRule="auto"/>
              <w:rPr>
                <w:noProof/>
              </w:rPr>
            </w:pPr>
            <w:r>
              <w:rPr>
                <w:noProof/>
              </w:rPr>
              <w:t xml:space="preserve"> </w:t>
            </w:r>
          </w:p>
        </w:tc>
        <w:tc>
          <w:tcPr>
            <w:tcW w:w="1802" w:type="dxa"/>
            <w:shd w:val="clear" w:color="auto" w:fill="C6EFCE"/>
            <w:vAlign w:val="center"/>
          </w:tcPr>
          <w:p w14:paraId="7E8787D8" w14:textId="59DB10EE" w:rsidR="00025543" w:rsidRDefault="007E3A2F">
            <w:pPr>
              <w:pStyle w:val="P68B1DB1-Normal11"/>
              <w:spacing w:line="240" w:lineRule="auto"/>
              <w:jc w:val="both"/>
              <w:rPr>
                <w:noProof/>
              </w:rPr>
            </w:pPr>
            <w:r>
              <w:rPr>
                <w:noProof/>
              </w:rPr>
              <w:t>Mise en service de la carte interactive</w:t>
            </w:r>
          </w:p>
        </w:tc>
        <w:tc>
          <w:tcPr>
            <w:tcW w:w="989" w:type="dxa"/>
            <w:shd w:val="clear" w:color="auto" w:fill="C6EFCE"/>
            <w:vAlign w:val="center"/>
          </w:tcPr>
          <w:p w14:paraId="30736B65" w14:textId="44255D98" w:rsidR="00025543" w:rsidRDefault="007E3A2F">
            <w:pPr>
              <w:pStyle w:val="P68B1DB1-Normal11"/>
              <w:spacing w:before="0" w:after="0" w:line="240" w:lineRule="auto"/>
              <w:rPr>
                <w:noProof/>
              </w:rPr>
            </w:pPr>
            <w:r>
              <w:rPr>
                <w:noProof/>
              </w:rPr>
              <w:t xml:space="preserve"> </w:t>
            </w:r>
          </w:p>
        </w:tc>
        <w:tc>
          <w:tcPr>
            <w:tcW w:w="989" w:type="dxa"/>
            <w:shd w:val="clear" w:color="auto" w:fill="C6EFCE"/>
            <w:vAlign w:val="center"/>
          </w:tcPr>
          <w:p w14:paraId="56EBDA55" w14:textId="6884669C" w:rsidR="00025543" w:rsidRDefault="007E3A2F">
            <w:pPr>
              <w:pStyle w:val="P68B1DB1-Normal11"/>
              <w:spacing w:before="0" w:after="0" w:line="240" w:lineRule="auto"/>
              <w:jc w:val="center"/>
              <w:rPr>
                <w:noProof/>
              </w:rPr>
            </w:pPr>
            <w:r>
              <w:rPr>
                <w:noProof/>
              </w:rPr>
              <w:t xml:space="preserve"> </w:t>
            </w:r>
          </w:p>
        </w:tc>
        <w:tc>
          <w:tcPr>
            <w:tcW w:w="1040" w:type="dxa"/>
            <w:shd w:val="clear" w:color="auto" w:fill="C6EFCE"/>
            <w:vAlign w:val="center"/>
          </w:tcPr>
          <w:p w14:paraId="3123C426" w14:textId="3A615912" w:rsidR="00025543" w:rsidRDefault="007E3A2F">
            <w:pPr>
              <w:pStyle w:val="P68B1DB1-Normal11"/>
              <w:spacing w:before="0" w:after="0" w:line="240" w:lineRule="auto"/>
              <w:jc w:val="center"/>
              <w:rPr>
                <w:noProof/>
              </w:rPr>
            </w:pPr>
            <w:r>
              <w:rPr>
                <w:noProof/>
              </w:rPr>
              <w:t xml:space="preserve"> </w:t>
            </w:r>
          </w:p>
        </w:tc>
        <w:tc>
          <w:tcPr>
            <w:tcW w:w="1021" w:type="dxa"/>
            <w:shd w:val="clear" w:color="auto" w:fill="C6EFCE"/>
            <w:vAlign w:val="center"/>
          </w:tcPr>
          <w:p w14:paraId="4428B468" w14:textId="43A2DEAE" w:rsidR="00025543" w:rsidRDefault="007E3A2F">
            <w:pPr>
              <w:pStyle w:val="P68B1DB1-Normal11"/>
              <w:spacing w:before="0" w:after="0" w:line="240" w:lineRule="auto"/>
              <w:jc w:val="center"/>
              <w:rPr>
                <w:noProof/>
              </w:rPr>
            </w:pPr>
            <w:r>
              <w:rPr>
                <w:noProof/>
              </w:rPr>
              <w:t>TRIMESTRE 1</w:t>
            </w:r>
          </w:p>
        </w:tc>
        <w:tc>
          <w:tcPr>
            <w:tcW w:w="659" w:type="dxa"/>
            <w:shd w:val="clear" w:color="auto" w:fill="C6EFCE"/>
            <w:vAlign w:val="center"/>
          </w:tcPr>
          <w:p w14:paraId="689DC203" w14:textId="5A459C91" w:rsidR="00025543" w:rsidRDefault="007E3A2F">
            <w:pPr>
              <w:pStyle w:val="P68B1DB1-Normal11"/>
              <w:spacing w:before="0" w:after="0" w:line="240" w:lineRule="auto"/>
              <w:jc w:val="center"/>
              <w:rPr>
                <w:noProof/>
              </w:rPr>
            </w:pPr>
            <w:r>
              <w:rPr>
                <w:noProof/>
              </w:rPr>
              <w:t>2024</w:t>
            </w:r>
          </w:p>
        </w:tc>
        <w:tc>
          <w:tcPr>
            <w:tcW w:w="4135" w:type="dxa"/>
            <w:shd w:val="clear" w:color="auto" w:fill="C6EFCE"/>
            <w:vAlign w:val="center"/>
          </w:tcPr>
          <w:p w14:paraId="696333EE" w14:textId="23871CAD" w:rsidR="00025543" w:rsidRDefault="007E3A2F">
            <w:pPr>
              <w:pStyle w:val="P68B1DB1-Normal11"/>
              <w:spacing w:before="0" w:after="0" w:line="240" w:lineRule="auto"/>
              <w:rPr>
                <w:noProof/>
              </w:rPr>
            </w:pPr>
            <w:r>
              <w:rPr>
                <w:noProof/>
              </w:rPr>
              <w:t xml:space="preserve">Une carte interactive est publiée sur les sites web des trois GRD régionaux (E.GD, CEZ et PRE) et affiche les informations suivantes: </w:t>
            </w:r>
          </w:p>
          <w:p w14:paraId="1657D91F" w14:textId="06E56D64" w:rsidR="00025543" w:rsidRDefault="007E3A2F">
            <w:pPr>
              <w:pStyle w:val="P68B1DB1-ListParagraph31"/>
              <w:numPr>
                <w:ilvl w:val="0"/>
                <w:numId w:val="126"/>
              </w:numPr>
              <w:spacing w:before="0" w:after="0" w:line="240" w:lineRule="auto"/>
              <w:rPr>
                <w:noProof/>
              </w:rPr>
            </w:pPr>
            <w:r>
              <w:rPr>
                <w:noProof/>
              </w:rPr>
              <w:t xml:space="preserve">pour chaque zone d’exploitation, des informations sur la capacité du réseau disponible aux niveaux de moyenne et haute tension. </w:t>
            </w:r>
          </w:p>
          <w:p w14:paraId="0728CAD4" w14:textId="6CA7A7B5" w:rsidR="00025543" w:rsidRDefault="007E3A2F">
            <w:pPr>
              <w:pStyle w:val="P68B1DB1-ListParagraph31"/>
              <w:numPr>
                <w:ilvl w:val="0"/>
                <w:numId w:val="126"/>
              </w:numPr>
              <w:spacing w:before="0" w:after="0" w:line="240" w:lineRule="auto"/>
              <w:rPr>
                <w:noProof/>
              </w:rPr>
            </w:pPr>
            <w:r>
              <w:rPr>
                <w:noProof/>
              </w:rPr>
              <w:t xml:space="preserve">Pour le niveau basse tension, des informations au niveau du transformateur, des informations anonymisées agrégées sur les demandes acceptées et rejetées (y compris le nombre d’autres accords de connexion) et des exigences de connexion anonymisées pour les demandes acceptées et rejetées. </w:t>
            </w:r>
          </w:p>
        </w:tc>
      </w:tr>
      <w:tr w:rsidR="00025543" w14:paraId="034F50B4" w14:textId="77777777">
        <w:trPr>
          <w:trHeight w:val="309"/>
          <w:jc w:val="center"/>
        </w:trPr>
        <w:tc>
          <w:tcPr>
            <w:tcW w:w="656" w:type="dxa"/>
            <w:shd w:val="clear" w:color="auto" w:fill="C6EFCE"/>
            <w:vAlign w:val="center"/>
          </w:tcPr>
          <w:p w14:paraId="2AFA991C" w14:textId="5BFFDA2B" w:rsidR="00025543" w:rsidRDefault="00025543">
            <w:pPr>
              <w:spacing w:line="240" w:lineRule="auto"/>
              <w:jc w:val="center"/>
              <w:rPr>
                <w:noProof/>
                <w:color w:val="004300"/>
                <w:sz w:val="18"/>
              </w:rPr>
            </w:pPr>
          </w:p>
          <w:p w14:paraId="3AAFBA9F" w14:textId="704AA284" w:rsidR="00025543" w:rsidRDefault="007E3A2F">
            <w:pPr>
              <w:pStyle w:val="P68B1DB1-Normal16"/>
              <w:spacing w:line="240" w:lineRule="auto"/>
              <w:jc w:val="center"/>
              <w:rPr>
                <w:noProof/>
              </w:rPr>
            </w:pPr>
            <w:r>
              <w:rPr>
                <w:noProof/>
              </w:rPr>
              <w:t>306</w:t>
            </w:r>
          </w:p>
        </w:tc>
        <w:tc>
          <w:tcPr>
            <w:tcW w:w="1629" w:type="dxa"/>
            <w:shd w:val="clear" w:color="auto" w:fill="C6EFCE"/>
            <w:vAlign w:val="center"/>
          </w:tcPr>
          <w:p w14:paraId="17CF5ABD" w14:textId="77777777" w:rsidR="00025543" w:rsidRDefault="007E3A2F">
            <w:pPr>
              <w:pStyle w:val="P68B1DB1-Normal11"/>
              <w:spacing w:after="160" w:line="240" w:lineRule="auto"/>
              <w:rPr>
                <w:noProof/>
              </w:rPr>
            </w:pPr>
            <w:r>
              <w:rPr>
                <w:noProof/>
              </w:rPr>
              <w:t>Réforme 3 — Sous-mesure 1</w:t>
            </w:r>
          </w:p>
          <w:p w14:paraId="08D8C387" w14:textId="77777777" w:rsidR="00025543" w:rsidRDefault="007E3A2F">
            <w:pPr>
              <w:pStyle w:val="P68B1DB1-Normal11"/>
              <w:spacing w:after="160" w:line="240" w:lineRule="auto"/>
              <w:rPr>
                <w:noProof/>
              </w:rPr>
            </w:pPr>
            <w:r>
              <w:rPr>
                <w:noProof/>
              </w:rPr>
              <w:t>Améliorer la transparence de la procédure de raccordement au réseau</w:t>
            </w:r>
          </w:p>
          <w:p w14:paraId="0297435A" w14:textId="77777777" w:rsidR="00025543" w:rsidRDefault="00025543">
            <w:pPr>
              <w:spacing w:after="160" w:line="240" w:lineRule="auto"/>
              <w:rPr>
                <w:rFonts w:eastAsia="Times New Roman"/>
                <w:noProof/>
                <w:color w:val="006100"/>
                <w:sz w:val="18"/>
              </w:rPr>
            </w:pPr>
          </w:p>
        </w:tc>
        <w:tc>
          <w:tcPr>
            <w:tcW w:w="1134" w:type="dxa"/>
            <w:shd w:val="clear" w:color="auto" w:fill="C6EFCE"/>
            <w:vAlign w:val="center"/>
          </w:tcPr>
          <w:p w14:paraId="7FFF8226" w14:textId="4BDBDD7D" w:rsidR="00025543" w:rsidRDefault="007E3A2F">
            <w:pPr>
              <w:pStyle w:val="P68B1DB1-Normal11"/>
              <w:spacing w:before="0" w:after="0" w:line="240" w:lineRule="auto"/>
              <w:rPr>
                <w:noProof/>
              </w:rPr>
            </w:pPr>
            <w:r>
              <w:rPr>
                <w:noProof/>
              </w:rPr>
              <w:t>Étapes</w:t>
            </w:r>
          </w:p>
        </w:tc>
        <w:tc>
          <w:tcPr>
            <w:tcW w:w="1548" w:type="dxa"/>
            <w:shd w:val="clear" w:color="auto" w:fill="C6EFCE"/>
            <w:vAlign w:val="center"/>
          </w:tcPr>
          <w:p w14:paraId="0F8D6B34" w14:textId="77777777" w:rsidR="00025543" w:rsidRDefault="007E3A2F">
            <w:pPr>
              <w:pStyle w:val="P68B1DB1-Normal11"/>
              <w:spacing w:after="0" w:line="240" w:lineRule="auto"/>
              <w:rPr>
                <w:noProof/>
              </w:rPr>
            </w:pPr>
            <w:r>
              <w:rPr>
                <w:noProof/>
              </w:rPr>
              <w:t>Publication d’informations sur les demandes de raccordement au réseau et les capacités</w:t>
            </w:r>
          </w:p>
          <w:p w14:paraId="0830DD54" w14:textId="77777777" w:rsidR="00025543" w:rsidRDefault="00025543">
            <w:pPr>
              <w:spacing w:after="0" w:line="240" w:lineRule="auto"/>
              <w:rPr>
                <w:rFonts w:eastAsia="Times New Roman"/>
                <w:noProof/>
                <w:color w:val="006100"/>
                <w:sz w:val="18"/>
              </w:rPr>
            </w:pPr>
          </w:p>
        </w:tc>
        <w:tc>
          <w:tcPr>
            <w:tcW w:w="1802" w:type="dxa"/>
            <w:shd w:val="clear" w:color="auto" w:fill="C6EFCE"/>
            <w:vAlign w:val="center"/>
          </w:tcPr>
          <w:p w14:paraId="55A78AC0" w14:textId="4B86DB4F" w:rsidR="00025543" w:rsidRDefault="007E3A2F">
            <w:pPr>
              <w:pStyle w:val="P68B1DB1-Normal11"/>
              <w:spacing w:line="240" w:lineRule="auto"/>
              <w:jc w:val="both"/>
              <w:rPr>
                <w:noProof/>
              </w:rPr>
            </w:pPr>
            <w:r>
              <w:rPr>
                <w:noProof/>
              </w:rPr>
              <w:t>Publication d’informations sur la capacité du réseau à tous les niveaux de tension</w:t>
            </w:r>
          </w:p>
        </w:tc>
        <w:tc>
          <w:tcPr>
            <w:tcW w:w="989" w:type="dxa"/>
            <w:shd w:val="clear" w:color="auto" w:fill="C6EFCE"/>
            <w:vAlign w:val="center"/>
          </w:tcPr>
          <w:p w14:paraId="1782BA2D" w14:textId="77777777" w:rsidR="00025543" w:rsidRDefault="00025543">
            <w:pPr>
              <w:spacing w:before="0" w:after="0" w:line="240" w:lineRule="auto"/>
              <w:rPr>
                <w:rFonts w:eastAsia="Times New Roman"/>
                <w:noProof/>
                <w:color w:val="006100"/>
                <w:sz w:val="18"/>
              </w:rPr>
            </w:pPr>
          </w:p>
        </w:tc>
        <w:tc>
          <w:tcPr>
            <w:tcW w:w="989" w:type="dxa"/>
            <w:shd w:val="clear" w:color="auto" w:fill="C6EFCE"/>
            <w:vAlign w:val="center"/>
          </w:tcPr>
          <w:p w14:paraId="0D2CFC56" w14:textId="77777777" w:rsidR="00025543" w:rsidRDefault="00025543">
            <w:pPr>
              <w:spacing w:before="0" w:after="0" w:line="240" w:lineRule="auto"/>
              <w:jc w:val="center"/>
              <w:rPr>
                <w:rFonts w:eastAsia="Times New Roman"/>
                <w:noProof/>
                <w:color w:val="006100"/>
                <w:sz w:val="18"/>
              </w:rPr>
            </w:pPr>
          </w:p>
        </w:tc>
        <w:tc>
          <w:tcPr>
            <w:tcW w:w="1040" w:type="dxa"/>
            <w:shd w:val="clear" w:color="auto" w:fill="C6EFCE"/>
            <w:vAlign w:val="center"/>
          </w:tcPr>
          <w:p w14:paraId="11D91443" w14:textId="77777777" w:rsidR="00025543" w:rsidRDefault="00025543">
            <w:pPr>
              <w:spacing w:before="0" w:after="0" w:line="240" w:lineRule="auto"/>
              <w:jc w:val="center"/>
              <w:rPr>
                <w:rFonts w:eastAsia="Times New Roman"/>
                <w:noProof/>
                <w:color w:val="006100"/>
                <w:sz w:val="18"/>
              </w:rPr>
            </w:pPr>
          </w:p>
        </w:tc>
        <w:tc>
          <w:tcPr>
            <w:tcW w:w="1021" w:type="dxa"/>
            <w:shd w:val="clear" w:color="auto" w:fill="C6EFCE"/>
            <w:vAlign w:val="center"/>
          </w:tcPr>
          <w:p w14:paraId="4FEAF77A" w14:textId="0F983A4C" w:rsidR="00025543" w:rsidRDefault="007E3A2F">
            <w:pPr>
              <w:pStyle w:val="P68B1DB1-Normal11"/>
              <w:spacing w:before="0" w:after="0" w:line="240" w:lineRule="auto"/>
              <w:jc w:val="center"/>
              <w:rPr>
                <w:noProof/>
              </w:rPr>
            </w:pPr>
            <w:r>
              <w:rPr>
                <w:noProof/>
              </w:rPr>
              <w:t>TRIMESTRE 1</w:t>
            </w:r>
          </w:p>
        </w:tc>
        <w:tc>
          <w:tcPr>
            <w:tcW w:w="659" w:type="dxa"/>
            <w:shd w:val="clear" w:color="auto" w:fill="C6EFCE"/>
            <w:vAlign w:val="center"/>
          </w:tcPr>
          <w:p w14:paraId="1BE32E70" w14:textId="5E012BDB" w:rsidR="00025543" w:rsidRDefault="00025543">
            <w:pPr>
              <w:spacing w:before="0" w:after="0" w:line="240" w:lineRule="auto"/>
              <w:jc w:val="center"/>
              <w:rPr>
                <w:rFonts w:eastAsia="Times New Roman"/>
                <w:noProof/>
                <w:sz w:val="18"/>
              </w:rPr>
            </w:pPr>
          </w:p>
          <w:p w14:paraId="0424D273" w14:textId="362D4D0F" w:rsidR="00025543" w:rsidRDefault="007E3A2F">
            <w:pPr>
              <w:pStyle w:val="P68B1DB1-Normal11"/>
              <w:spacing w:before="0" w:after="0" w:line="240" w:lineRule="auto"/>
              <w:jc w:val="center"/>
              <w:rPr>
                <w:noProof/>
              </w:rPr>
            </w:pPr>
            <w:r>
              <w:rPr>
                <w:noProof/>
              </w:rPr>
              <w:t>2025</w:t>
            </w:r>
          </w:p>
        </w:tc>
        <w:tc>
          <w:tcPr>
            <w:tcW w:w="4135" w:type="dxa"/>
            <w:shd w:val="clear" w:color="auto" w:fill="C6EFCE"/>
            <w:vAlign w:val="center"/>
          </w:tcPr>
          <w:p w14:paraId="74403550" w14:textId="0361B19F" w:rsidR="00025543" w:rsidRDefault="007E3A2F">
            <w:pPr>
              <w:pStyle w:val="P68B1DB1-Normal11"/>
              <w:spacing w:before="0" w:after="0" w:line="240" w:lineRule="auto"/>
              <w:rPr>
                <w:noProof/>
              </w:rPr>
            </w:pPr>
            <w:r>
              <w:rPr>
                <w:noProof/>
              </w:rPr>
              <w:t>La carte numérique contient des informations sur les capacités du réseau disponibles à tous les niveaux de tension exploités par les GRD, y compris à basse tension.</w:t>
            </w:r>
          </w:p>
          <w:p w14:paraId="13AA3210" w14:textId="61B26154" w:rsidR="00025543" w:rsidRDefault="00025543">
            <w:pPr>
              <w:spacing w:before="0" w:after="0" w:line="240" w:lineRule="auto"/>
              <w:rPr>
                <w:rFonts w:eastAsia="Times New Roman"/>
                <w:noProof/>
                <w:color w:val="006100"/>
                <w:sz w:val="18"/>
              </w:rPr>
            </w:pPr>
          </w:p>
        </w:tc>
      </w:tr>
      <w:tr w:rsidR="00025543" w14:paraId="4AC7F8FB" w14:textId="77777777">
        <w:trPr>
          <w:trHeight w:val="309"/>
          <w:jc w:val="center"/>
        </w:trPr>
        <w:tc>
          <w:tcPr>
            <w:tcW w:w="656" w:type="dxa"/>
            <w:shd w:val="clear" w:color="auto" w:fill="C6EFCE"/>
            <w:vAlign w:val="center"/>
          </w:tcPr>
          <w:p w14:paraId="25790909" w14:textId="4DD2BD6A" w:rsidR="00025543" w:rsidRDefault="007E3A2F">
            <w:pPr>
              <w:pStyle w:val="P68B1DB1-Normal16"/>
              <w:spacing w:line="240" w:lineRule="auto"/>
              <w:jc w:val="center"/>
              <w:rPr>
                <w:noProof/>
              </w:rPr>
            </w:pPr>
            <w:r>
              <w:rPr>
                <w:noProof/>
              </w:rPr>
              <w:t>307</w:t>
            </w:r>
          </w:p>
        </w:tc>
        <w:tc>
          <w:tcPr>
            <w:tcW w:w="1629" w:type="dxa"/>
            <w:shd w:val="clear" w:color="auto" w:fill="C6EFCE"/>
            <w:vAlign w:val="center"/>
          </w:tcPr>
          <w:p w14:paraId="74A7917E" w14:textId="69FEC1D3" w:rsidR="00025543" w:rsidRDefault="007E3A2F">
            <w:pPr>
              <w:pStyle w:val="P68B1DB1-Normal11"/>
              <w:spacing w:after="160" w:line="240" w:lineRule="auto"/>
              <w:rPr>
                <w:noProof/>
              </w:rPr>
            </w:pPr>
            <w:r>
              <w:rPr>
                <w:noProof/>
              </w:rPr>
              <w:t>Réforme 3 — Sous-mesure 1</w:t>
            </w:r>
          </w:p>
          <w:p w14:paraId="2F5C5BC9" w14:textId="7AB6310F" w:rsidR="00025543" w:rsidRDefault="007E3A2F">
            <w:pPr>
              <w:pStyle w:val="P68B1DB1-Normal11"/>
              <w:spacing w:after="160" w:line="240" w:lineRule="auto"/>
              <w:rPr>
                <w:noProof/>
              </w:rPr>
            </w:pPr>
            <w:r>
              <w:rPr>
                <w:noProof/>
              </w:rPr>
              <w:t xml:space="preserve">Améliorer la transparence de la procédure de raccordement au réseau </w:t>
            </w:r>
          </w:p>
        </w:tc>
        <w:tc>
          <w:tcPr>
            <w:tcW w:w="1134" w:type="dxa"/>
            <w:shd w:val="clear" w:color="auto" w:fill="C6EFCE"/>
            <w:vAlign w:val="center"/>
          </w:tcPr>
          <w:p w14:paraId="053A0CBC" w14:textId="1BFAED48" w:rsidR="00025543" w:rsidRDefault="007E3A2F">
            <w:pPr>
              <w:pStyle w:val="P68B1DB1-Normal11"/>
              <w:spacing w:before="0" w:after="0" w:line="240" w:lineRule="auto"/>
              <w:rPr>
                <w:noProof/>
              </w:rPr>
            </w:pPr>
            <w:r>
              <w:rPr>
                <w:noProof/>
              </w:rPr>
              <w:t>Cible</w:t>
            </w:r>
          </w:p>
        </w:tc>
        <w:tc>
          <w:tcPr>
            <w:tcW w:w="1548" w:type="dxa"/>
            <w:shd w:val="clear" w:color="auto" w:fill="C6EFCE"/>
            <w:vAlign w:val="center"/>
          </w:tcPr>
          <w:p w14:paraId="1F072C31" w14:textId="046DA9AB" w:rsidR="00025543" w:rsidRDefault="007E3A2F">
            <w:pPr>
              <w:pStyle w:val="P68B1DB1-Normal11"/>
              <w:spacing w:after="0" w:line="240" w:lineRule="auto"/>
              <w:rPr>
                <w:noProof/>
              </w:rPr>
            </w:pPr>
            <w:r>
              <w:rPr>
                <w:noProof/>
              </w:rPr>
              <w:t>Autorisation de raccordement au réseau pour la capacité des centrales électriques renouvelables</w:t>
            </w:r>
          </w:p>
        </w:tc>
        <w:tc>
          <w:tcPr>
            <w:tcW w:w="1802" w:type="dxa"/>
            <w:shd w:val="clear" w:color="auto" w:fill="C6EFCE"/>
            <w:vAlign w:val="center"/>
          </w:tcPr>
          <w:p w14:paraId="71370780" w14:textId="7E12B5AC" w:rsidR="00025543" w:rsidRDefault="007E3A2F">
            <w:pPr>
              <w:pStyle w:val="P68B1DB1-Normal11"/>
              <w:spacing w:line="240" w:lineRule="auto"/>
              <w:jc w:val="both"/>
              <w:rPr>
                <w:noProof/>
              </w:rPr>
            </w:pPr>
            <w:r>
              <w:rPr>
                <w:noProof/>
              </w:rPr>
              <w:t xml:space="preserve">Capacité totale d’énergie renouvelable connectée </w:t>
            </w:r>
          </w:p>
        </w:tc>
        <w:tc>
          <w:tcPr>
            <w:tcW w:w="989" w:type="dxa"/>
            <w:shd w:val="clear" w:color="auto" w:fill="C6EFCE"/>
            <w:vAlign w:val="center"/>
          </w:tcPr>
          <w:p w14:paraId="6727A013" w14:textId="2ED07C4D" w:rsidR="00025543" w:rsidRDefault="007E3A2F">
            <w:pPr>
              <w:pStyle w:val="P68B1DB1-Normal11"/>
              <w:spacing w:before="0" w:after="0" w:line="240" w:lineRule="auto"/>
              <w:rPr>
                <w:noProof/>
              </w:rPr>
            </w:pPr>
            <w:r>
              <w:rPr>
                <w:noProof/>
              </w:rPr>
              <w:t>MW</w:t>
            </w:r>
          </w:p>
        </w:tc>
        <w:tc>
          <w:tcPr>
            <w:tcW w:w="989" w:type="dxa"/>
            <w:shd w:val="clear" w:color="auto" w:fill="C6EFCE"/>
            <w:vAlign w:val="center"/>
          </w:tcPr>
          <w:p w14:paraId="7634EC5D" w14:textId="1A9EF441" w:rsidR="00025543" w:rsidRDefault="007E3A2F">
            <w:pPr>
              <w:pStyle w:val="P68B1DB1-Normal11"/>
              <w:spacing w:before="0" w:after="0" w:line="240" w:lineRule="auto"/>
              <w:jc w:val="center"/>
              <w:rPr>
                <w:noProof/>
              </w:rPr>
            </w:pPr>
            <w:r>
              <w:rPr>
                <w:noProof/>
              </w:rPr>
              <w:t>0</w:t>
            </w:r>
          </w:p>
        </w:tc>
        <w:tc>
          <w:tcPr>
            <w:tcW w:w="1040" w:type="dxa"/>
            <w:shd w:val="clear" w:color="auto" w:fill="C6EFCE"/>
            <w:vAlign w:val="center"/>
          </w:tcPr>
          <w:p w14:paraId="675CA877" w14:textId="2E333EBC" w:rsidR="00025543" w:rsidRDefault="007E3A2F">
            <w:pPr>
              <w:pStyle w:val="P68B1DB1-Normal11"/>
              <w:spacing w:before="0" w:after="0" w:line="240" w:lineRule="auto"/>
              <w:jc w:val="center"/>
              <w:rPr>
                <w:noProof/>
              </w:rPr>
            </w:pPr>
            <w:r>
              <w:rPr>
                <w:noProof/>
              </w:rPr>
              <w:t>8000</w:t>
            </w:r>
          </w:p>
        </w:tc>
        <w:tc>
          <w:tcPr>
            <w:tcW w:w="1021" w:type="dxa"/>
            <w:shd w:val="clear" w:color="auto" w:fill="C6EFCE"/>
            <w:vAlign w:val="center"/>
          </w:tcPr>
          <w:p w14:paraId="68B7C0A8" w14:textId="069917DE" w:rsidR="00025543" w:rsidRDefault="007E3A2F">
            <w:pPr>
              <w:pStyle w:val="P68B1DB1-Normal11"/>
              <w:spacing w:before="0" w:after="0" w:line="240" w:lineRule="auto"/>
              <w:jc w:val="center"/>
              <w:rPr>
                <w:noProof/>
              </w:rPr>
            </w:pPr>
            <w:r>
              <w:rPr>
                <w:noProof/>
              </w:rPr>
              <w:t xml:space="preserve">TRIMESTRE 2 </w:t>
            </w:r>
          </w:p>
        </w:tc>
        <w:tc>
          <w:tcPr>
            <w:tcW w:w="659" w:type="dxa"/>
            <w:shd w:val="clear" w:color="auto" w:fill="C6EFCE"/>
            <w:vAlign w:val="center"/>
          </w:tcPr>
          <w:p w14:paraId="6C66EEA8" w14:textId="20F75581" w:rsidR="00025543" w:rsidRDefault="007E3A2F">
            <w:pPr>
              <w:pStyle w:val="P68B1DB1-Normal11"/>
              <w:spacing w:before="0" w:after="0" w:line="240" w:lineRule="auto"/>
              <w:jc w:val="center"/>
              <w:rPr>
                <w:noProof/>
              </w:rPr>
            </w:pPr>
            <w:r>
              <w:rPr>
                <w:noProof/>
              </w:rPr>
              <w:t>2026</w:t>
            </w:r>
          </w:p>
        </w:tc>
        <w:tc>
          <w:tcPr>
            <w:tcW w:w="4135" w:type="dxa"/>
            <w:shd w:val="clear" w:color="auto" w:fill="C6EFCE"/>
            <w:vAlign w:val="center"/>
          </w:tcPr>
          <w:p w14:paraId="43DE8603" w14:textId="05AA5B1B" w:rsidR="00025543" w:rsidRDefault="007E3A2F">
            <w:pPr>
              <w:pStyle w:val="P68B1DB1-Normal11"/>
              <w:spacing w:before="0" w:after="0" w:line="240" w:lineRule="auto"/>
              <w:rPr>
                <w:noProof/>
              </w:rPr>
            </w:pPr>
            <w:r>
              <w:rPr>
                <w:noProof/>
              </w:rPr>
              <w:t>Au moins 8 000 MW de capacité supplémentaire cumulée du réseau pour le raccordement aux sources d’énergie renouvelables ont été atteints. L’objectif couvre toutes les catégories de centrales solaires et éoliennes. Une base de données gouvernementale surveille les progrès accomplis dans la réalisation des objectifs correspondants.</w:t>
            </w:r>
          </w:p>
        </w:tc>
      </w:tr>
      <w:tr w:rsidR="00025543" w14:paraId="1590BAE0" w14:textId="77777777">
        <w:trPr>
          <w:trHeight w:val="309"/>
          <w:jc w:val="center"/>
        </w:trPr>
        <w:tc>
          <w:tcPr>
            <w:tcW w:w="656" w:type="dxa"/>
            <w:shd w:val="clear" w:color="auto" w:fill="C6EFCE"/>
            <w:vAlign w:val="center"/>
          </w:tcPr>
          <w:p w14:paraId="2C6AD841" w14:textId="7E3AC518" w:rsidR="00025543" w:rsidRDefault="007E3A2F">
            <w:pPr>
              <w:pStyle w:val="P68B1DB1-Normal16"/>
              <w:spacing w:line="240" w:lineRule="auto"/>
              <w:jc w:val="center"/>
              <w:rPr>
                <w:noProof/>
              </w:rPr>
            </w:pPr>
            <w:r>
              <w:rPr>
                <w:noProof/>
              </w:rPr>
              <w:t>308</w:t>
            </w:r>
          </w:p>
        </w:tc>
        <w:tc>
          <w:tcPr>
            <w:tcW w:w="1629" w:type="dxa"/>
            <w:shd w:val="clear" w:color="auto" w:fill="C6EFCE"/>
            <w:vAlign w:val="center"/>
          </w:tcPr>
          <w:p w14:paraId="19F6F229" w14:textId="566D4C6A" w:rsidR="00025543" w:rsidRDefault="007E3A2F">
            <w:pPr>
              <w:pStyle w:val="P68B1DB1-Normal11"/>
              <w:spacing w:after="160" w:line="240" w:lineRule="auto"/>
              <w:rPr>
                <w:noProof/>
              </w:rPr>
            </w:pPr>
            <w:r>
              <w:rPr>
                <w:noProof/>
              </w:rPr>
              <w:t>Réforme 3 — Sous-mesure 2: Incitations réglementaires pour les gestionnaires de réseaux d’électricité afin d’accroître la flexibilité du réseau</w:t>
            </w:r>
          </w:p>
        </w:tc>
        <w:tc>
          <w:tcPr>
            <w:tcW w:w="1134" w:type="dxa"/>
            <w:shd w:val="clear" w:color="auto" w:fill="C6EFCE"/>
            <w:vAlign w:val="center"/>
          </w:tcPr>
          <w:p w14:paraId="31B4C4E2" w14:textId="6907E3D8" w:rsidR="00025543" w:rsidRDefault="007E3A2F">
            <w:pPr>
              <w:pStyle w:val="P68B1DB1-Normal11"/>
              <w:spacing w:before="0" w:after="0" w:line="240" w:lineRule="auto"/>
              <w:rPr>
                <w:noProof/>
              </w:rPr>
            </w:pPr>
            <w:r>
              <w:rPr>
                <w:noProof/>
              </w:rPr>
              <w:t>Étapes</w:t>
            </w:r>
          </w:p>
        </w:tc>
        <w:tc>
          <w:tcPr>
            <w:tcW w:w="1548" w:type="dxa"/>
            <w:shd w:val="clear" w:color="auto" w:fill="C6EFCE"/>
            <w:vAlign w:val="center"/>
          </w:tcPr>
          <w:p w14:paraId="7EF1D3D9" w14:textId="1373FFE9" w:rsidR="00025543" w:rsidRDefault="007E3A2F">
            <w:pPr>
              <w:pStyle w:val="P68B1DB1-Normal11"/>
              <w:spacing w:after="0" w:line="240" w:lineRule="auto"/>
              <w:rPr>
                <w:noProof/>
              </w:rPr>
            </w:pPr>
            <w:r>
              <w:rPr>
                <w:noProof/>
              </w:rPr>
              <w:t>Publication des nouvelles méthodes de tarification des GRT et des GRD sur le site web de l’autorité de régulation de l’énergie</w:t>
            </w:r>
          </w:p>
        </w:tc>
        <w:tc>
          <w:tcPr>
            <w:tcW w:w="1802" w:type="dxa"/>
            <w:shd w:val="clear" w:color="auto" w:fill="C6EFCE"/>
            <w:vAlign w:val="center"/>
          </w:tcPr>
          <w:p w14:paraId="1E5927CE" w14:textId="5C9A81F3" w:rsidR="00025543" w:rsidRDefault="007E3A2F">
            <w:pPr>
              <w:pStyle w:val="P68B1DB1-Normal11"/>
              <w:spacing w:line="240" w:lineRule="auto"/>
              <w:jc w:val="both"/>
              <w:rPr>
                <w:noProof/>
              </w:rPr>
            </w:pPr>
            <w:r>
              <w:rPr>
                <w:noProof/>
              </w:rPr>
              <w:t xml:space="preserve"> </w:t>
            </w:r>
          </w:p>
        </w:tc>
        <w:tc>
          <w:tcPr>
            <w:tcW w:w="989" w:type="dxa"/>
            <w:shd w:val="clear" w:color="auto" w:fill="C6EFCE"/>
            <w:vAlign w:val="center"/>
          </w:tcPr>
          <w:p w14:paraId="5D58BE5C" w14:textId="2E782C82" w:rsidR="00025543" w:rsidRDefault="007E3A2F">
            <w:pPr>
              <w:pStyle w:val="P68B1DB1-Normal11"/>
              <w:spacing w:before="0" w:after="0" w:line="240" w:lineRule="auto"/>
              <w:rPr>
                <w:noProof/>
              </w:rPr>
            </w:pPr>
            <w:r>
              <w:rPr>
                <w:noProof/>
              </w:rPr>
              <w:t xml:space="preserve"> </w:t>
            </w:r>
          </w:p>
        </w:tc>
        <w:tc>
          <w:tcPr>
            <w:tcW w:w="989" w:type="dxa"/>
            <w:shd w:val="clear" w:color="auto" w:fill="C6EFCE"/>
            <w:vAlign w:val="center"/>
          </w:tcPr>
          <w:p w14:paraId="308BB5ED" w14:textId="535039E9" w:rsidR="00025543" w:rsidRDefault="007E3A2F">
            <w:pPr>
              <w:pStyle w:val="P68B1DB1-Normal11"/>
              <w:spacing w:before="0" w:after="0" w:line="240" w:lineRule="auto"/>
              <w:jc w:val="center"/>
              <w:rPr>
                <w:noProof/>
              </w:rPr>
            </w:pPr>
            <w:r>
              <w:rPr>
                <w:noProof/>
              </w:rPr>
              <w:t xml:space="preserve"> </w:t>
            </w:r>
          </w:p>
        </w:tc>
        <w:tc>
          <w:tcPr>
            <w:tcW w:w="1040" w:type="dxa"/>
            <w:shd w:val="clear" w:color="auto" w:fill="C6EFCE"/>
            <w:vAlign w:val="center"/>
          </w:tcPr>
          <w:p w14:paraId="7ACF0B27" w14:textId="47CA92CF" w:rsidR="00025543" w:rsidRDefault="007E3A2F">
            <w:pPr>
              <w:pStyle w:val="P68B1DB1-Normal11"/>
              <w:spacing w:before="0" w:after="0" w:line="240" w:lineRule="auto"/>
              <w:jc w:val="center"/>
              <w:rPr>
                <w:noProof/>
              </w:rPr>
            </w:pPr>
            <w:r>
              <w:rPr>
                <w:noProof/>
              </w:rPr>
              <w:t xml:space="preserve"> </w:t>
            </w:r>
          </w:p>
        </w:tc>
        <w:tc>
          <w:tcPr>
            <w:tcW w:w="1021" w:type="dxa"/>
            <w:shd w:val="clear" w:color="auto" w:fill="C6EFCE"/>
            <w:vAlign w:val="center"/>
          </w:tcPr>
          <w:p w14:paraId="73EBD100" w14:textId="416EF002" w:rsidR="00025543" w:rsidRDefault="007E3A2F">
            <w:pPr>
              <w:pStyle w:val="P68B1DB1-Normal11"/>
              <w:spacing w:before="0" w:after="0" w:line="240" w:lineRule="auto"/>
              <w:jc w:val="center"/>
              <w:rPr>
                <w:noProof/>
              </w:rPr>
            </w:pPr>
            <w:r>
              <w:rPr>
                <w:noProof/>
              </w:rPr>
              <w:t>TRIMESTRE 1</w:t>
            </w:r>
          </w:p>
        </w:tc>
        <w:tc>
          <w:tcPr>
            <w:tcW w:w="659" w:type="dxa"/>
            <w:shd w:val="clear" w:color="auto" w:fill="C6EFCE"/>
            <w:vAlign w:val="center"/>
          </w:tcPr>
          <w:p w14:paraId="43E7AD0D" w14:textId="14E3A5D8" w:rsidR="00025543" w:rsidRDefault="00025543">
            <w:pPr>
              <w:spacing w:before="0" w:after="0" w:line="240" w:lineRule="auto"/>
              <w:jc w:val="center"/>
              <w:rPr>
                <w:rFonts w:eastAsia="Times New Roman"/>
                <w:noProof/>
                <w:color w:val="006100"/>
                <w:sz w:val="18"/>
              </w:rPr>
            </w:pPr>
          </w:p>
          <w:p w14:paraId="38BDD454" w14:textId="04978576" w:rsidR="00025543" w:rsidRDefault="007E3A2F">
            <w:pPr>
              <w:pStyle w:val="P68B1DB1-Normal11"/>
              <w:spacing w:before="0" w:after="0" w:line="240" w:lineRule="auto"/>
              <w:jc w:val="center"/>
              <w:rPr>
                <w:noProof/>
              </w:rPr>
            </w:pPr>
            <w:r>
              <w:rPr>
                <w:noProof/>
              </w:rPr>
              <w:t>2026</w:t>
            </w:r>
          </w:p>
        </w:tc>
        <w:tc>
          <w:tcPr>
            <w:tcW w:w="4135" w:type="dxa"/>
            <w:shd w:val="clear" w:color="auto" w:fill="C6EFCE"/>
            <w:vAlign w:val="center"/>
          </w:tcPr>
          <w:p w14:paraId="38005F8F" w14:textId="78F821C7" w:rsidR="00025543" w:rsidRDefault="007E3A2F">
            <w:pPr>
              <w:pStyle w:val="P68B1DB1-Normal11"/>
              <w:spacing w:after="160" w:line="240" w:lineRule="auto"/>
              <w:jc w:val="both"/>
              <w:rPr>
                <w:noProof/>
              </w:rPr>
            </w:pPr>
            <w:r>
              <w:rPr>
                <w:noProof/>
              </w:rPr>
              <w:t>La nouvelle méthodologie tarifaire tient compte des coûts fixes et des coûts d’exploitation des GRT et des GRD et tient compte à la fois des dépenses en capital et des dépenses d’exploitation. Il prévoit des incitations pour les GRT et les GRD à investir dans l’efficacité énergétique, dans l’intégration des énergies renouvelables, dans des solutions visant à optimiser le réseau existant et à faciliter la participation active de la demande et le stockage de l’énergie. Il prévoit des incitations pour soutenir l’utilisation des services de flexibilité et des incitations visant à faciliter l’innovation dans des domaines tels que la numérisation, les services de flexibilité et l’interconnexion.</w:t>
            </w:r>
          </w:p>
          <w:p w14:paraId="65876092" w14:textId="01164F2D" w:rsidR="00025543" w:rsidRDefault="007E3A2F">
            <w:pPr>
              <w:pStyle w:val="P68B1DB1-Normal11"/>
              <w:spacing w:after="160" w:line="240" w:lineRule="auto"/>
              <w:jc w:val="both"/>
              <w:rPr>
                <w:noProof/>
              </w:rPr>
            </w:pPr>
            <w:r>
              <w:rPr>
                <w:noProof/>
              </w:rPr>
              <w:t>Les GRT et les GRD sont encouragés, au moyen de la méthode tarifaire, à obtenir un rendement plus élevé lorsqu’ils investissent dans l’efficacité du réseau, le renforcement de la flexibilité ou le raccordement des énergies renouvelables.</w:t>
            </w:r>
          </w:p>
        </w:tc>
      </w:tr>
    </w:tbl>
    <w:p w14:paraId="52809B31" w14:textId="77777777" w:rsidR="00025543" w:rsidRDefault="00025543">
      <w:pPr>
        <w:spacing w:after="0" w:line="259" w:lineRule="auto"/>
        <w:jc w:val="both"/>
        <w:rPr>
          <w:rFonts w:eastAsia="Times New Roman"/>
          <w:b/>
          <w:noProof/>
          <w:color w:val="000000" w:themeColor="text1"/>
          <w:u w:val="single"/>
        </w:rPr>
      </w:pPr>
    </w:p>
    <w:p w14:paraId="69A1D242" w14:textId="3BCE66EA" w:rsidR="00025543" w:rsidRDefault="00025543">
      <w:pPr>
        <w:spacing w:line="257" w:lineRule="auto"/>
        <w:jc w:val="center"/>
        <w:rPr>
          <w:rFonts w:eastAsia="Times New Roman"/>
          <w:b/>
          <w:noProof/>
          <w:color w:val="000000" w:themeColor="text1"/>
          <w:sz w:val="18"/>
        </w:rPr>
        <w:sectPr w:rsidR="00025543" w:rsidSect="00997F50">
          <w:headerReference w:type="even" r:id="rId444"/>
          <w:headerReference w:type="default" r:id="rId445"/>
          <w:footerReference w:type="even" r:id="rId446"/>
          <w:footerReference w:type="default" r:id="rId447"/>
          <w:headerReference w:type="first" r:id="rId448"/>
          <w:footerReference w:type="first" r:id="rId449"/>
          <w:pgSz w:w="16839" w:h="11907" w:orient="landscape"/>
          <w:pgMar w:top="1134" w:right="1134" w:bottom="1134" w:left="1134" w:header="567" w:footer="567" w:gutter="0"/>
          <w:cols w:space="720"/>
          <w:docGrid w:linePitch="360"/>
        </w:sectPr>
      </w:pPr>
    </w:p>
    <w:p w14:paraId="58BFE4FC" w14:textId="772A6E55" w:rsidR="00025543" w:rsidRDefault="007E3A2F">
      <w:pPr>
        <w:pStyle w:val="P68B1DB1-Normal2"/>
        <w:keepNext/>
        <w:tabs>
          <w:tab w:val="left" w:pos="850"/>
        </w:tabs>
        <w:spacing w:line="240" w:lineRule="auto"/>
        <w:jc w:val="both"/>
        <w:outlineLvl w:val="0"/>
        <w:rPr>
          <w:noProof/>
        </w:rPr>
      </w:pPr>
      <w:r>
        <w:rPr>
          <w:noProof/>
        </w:rPr>
        <w:t>FF. Volet 7.2 Soutenir la décentralisation et la numérisation du secteur de l’énergie (REPOWER EU)</w:t>
      </w:r>
    </w:p>
    <w:p w14:paraId="0D434C08" w14:textId="44E2479E" w:rsidR="00025543" w:rsidRDefault="007E3A2F">
      <w:pPr>
        <w:pStyle w:val="P68B1DB1-Normal4"/>
        <w:pBdr>
          <w:top w:val="nil"/>
          <w:left w:val="nil"/>
          <w:bottom w:val="nil"/>
          <w:right w:val="nil"/>
          <w:between w:val="nil"/>
        </w:pBdr>
        <w:tabs>
          <w:tab w:val="left" w:pos="993"/>
        </w:tabs>
        <w:spacing w:line="240" w:lineRule="auto"/>
        <w:jc w:val="both"/>
        <w:rPr>
          <w:noProof/>
          <w:color w:val="000000" w:themeColor="text1"/>
        </w:rPr>
      </w:pPr>
      <w:r>
        <w:rPr>
          <w:noProof/>
        </w:rPr>
        <w:t xml:space="preserve">L’objectif de ce volet est de soutenir la transition vers un nouveau système énergétique fondé sur la production décentralisée d’énergie renouvelable, la numérisation et une participation accrue des citoyens. Ce volet contribue à faciliter l’adoption de nouvelles activités dans le secteur de l’électricité, telles que le stockage, l’agrégation, le partage de l’énergie et de nouvelles utilisations qui favorisent la flexibilité et la décarbonation de l’ensemble du système électrique. </w:t>
      </w:r>
    </w:p>
    <w:p w14:paraId="5A09068C" w14:textId="45ED7AC5" w:rsidR="00025543" w:rsidRDefault="007E3A2F">
      <w:pPr>
        <w:pStyle w:val="P68B1DB1-Normal3"/>
        <w:tabs>
          <w:tab w:val="left" w:pos="993"/>
        </w:tabs>
        <w:spacing w:line="240" w:lineRule="auto"/>
        <w:jc w:val="both"/>
        <w:rPr>
          <w:noProof/>
          <w:color w:val="000000" w:themeColor="text1"/>
        </w:rPr>
      </w:pPr>
      <w:r>
        <w:rPr>
          <w:noProof/>
        </w:rPr>
        <w:t>Le volet soutient la mise en œuvre de la recommandation par pays visant à</w:t>
      </w:r>
      <w:r>
        <w:rPr>
          <w:noProof/>
          <w:color w:val="000000" w:themeColor="text1"/>
        </w:rPr>
        <w:t xml:space="preserve"> réduire la dépendance globale à l’égard des combustibles fossiles et leur consommation en accélérant le déploiement des énergies renouvelables et en facilitant leur intégration dans le système électrique (recommandations par pays 4 et 2022).</w:t>
      </w:r>
    </w:p>
    <w:p w14:paraId="675D1AF2" w14:textId="77777777" w:rsidR="00025543" w:rsidRDefault="00025543">
      <w:pPr>
        <w:tabs>
          <w:tab w:val="left" w:pos="993"/>
        </w:tabs>
        <w:spacing w:line="240" w:lineRule="auto"/>
        <w:jc w:val="both"/>
        <w:rPr>
          <w:rFonts w:eastAsia="Times New Roman"/>
          <w:noProof/>
          <w:color w:val="000000" w:themeColor="text1"/>
        </w:rPr>
      </w:pPr>
    </w:p>
    <w:p w14:paraId="72EBD46D" w14:textId="650A174F" w:rsidR="00025543" w:rsidRDefault="007E3A2F">
      <w:pPr>
        <w:pStyle w:val="P68B1DB1-Normal8"/>
        <w:tabs>
          <w:tab w:val="left" w:pos="993"/>
        </w:tabs>
        <w:spacing w:line="240" w:lineRule="auto"/>
        <w:jc w:val="both"/>
        <w:rPr>
          <w:rFonts w:eastAsia="Times New Roman"/>
          <w:noProof/>
          <w:color w:val="000000" w:themeColor="text1"/>
        </w:rPr>
      </w:pPr>
      <w:r>
        <w:rPr>
          <w:noProof/>
        </w:rPr>
        <w:t>FF.1. Description des réformes et des investissements en vue du soutien financier non remboursable</w:t>
      </w:r>
    </w:p>
    <w:p w14:paraId="208FB53D" w14:textId="7E394A42" w:rsidR="00025543" w:rsidRDefault="007E3A2F">
      <w:pPr>
        <w:pStyle w:val="P68B1DB1-Normal18"/>
        <w:pBdr>
          <w:top w:val="nil"/>
          <w:left w:val="nil"/>
          <w:bottom w:val="nil"/>
          <w:right w:val="nil"/>
          <w:between w:val="nil"/>
        </w:pBdr>
        <w:tabs>
          <w:tab w:val="left" w:pos="993"/>
        </w:tabs>
        <w:spacing w:line="240" w:lineRule="auto"/>
        <w:jc w:val="both"/>
        <w:rPr>
          <w:noProof/>
        </w:rPr>
      </w:pPr>
      <w:r>
        <w:rPr>
          <w:noProof/>
        </w:rPr>
        <w:t>Investissement 1: Centre de données sur l’électricité</w:t>
      </w:r>
    </w:p>
    <w:p w14:paraId="4428B7A8" w14:textId="705D971A" w:rsidR="00025543" w:rsidRDefault="007E3A2F">
      <w:pPr>
        <w:pStyle w:val="P68B1DB1-Normal4"/>
        <w:spacing w:after="0" w:line="240" w:lineRule="auto"/>
        <w:jc w:val="both"/>
        <w:rPr>
          <w:noProof/>
          <w:color w:val="000000" w:themeColor="text1"/>
        </w:rPr>
      </w:pPr>
      <w:r>
        <w:rPr>
          <w:noProof/>
        </w:rPr>
        <w:t>L’objectif de la mesure est de créer un centre de données sur l’électricité (EDC). L’EDC gère une plateforme informatique numérique collectant des données sur la production, la consommation et la flexibilité en un lieu central et fournissant des services techniques visant à renforcer la sécurité et la fiabilité du fonctionnement du système électrique de la République tchèque au profit de tous les acteurs du marché (y compris les clients finals). La création du CDE vise à soutenir la création de nouveaux marchés et activités et à permettre le partage de l’énergie.</w:t>
      </w:r>
    </w:p>
    <w:p w14:paraId="691A8158" w14:textId="517AB99B" w:rsidR="00025543" w:rsidRDefault="007E3A2F">
      <w:pPr>
        <w:pStyle w:val="P68B1DB1-Normal4"/>
        <w:spacing w:after="0" w:line="240" w:lineRule="auto"/>
        <w:jc w:val="both"/>
        <w:rPr>
          <w:noProof/>
          <w:color w:val="000000" w:themeColor="text1"/>
        </w:rPr>
      </w:pPr>
      <w:r>
        <w:rPr>
          <w:noProof/>
        </w:rPr>
        <w:t>Le CDE assure la coordination, le partage et l’échange de données mesurées ainsi que la mise en correspondance et le traitement des données liées à la flexibilité, à l’agrégation de la flexibilité et au stockage de l’électricité. Il fournit également des services dans les domaines suivants: collecte et fourniture de données de mesure, évaluation des données aux fins du stockage de l’énergie, du partage de l’énergie, de l’agrégation de la flexibilité, de l’équilibrage, de la programmation du réseau, de l’enregistrement du marché, de la transmission des données de mesure, d’un système de circulation lumineuse du réseau et de l’enregistrement des données de référence. L’accès aux fonctionnalités techniques fournies par le système d’information EDC est non discriminatoire et ouvert à tous les acteurs du marché. Les clients, les gestionnaires de réseau de distribution, les fournisseurs d’électricité et les opérateurs du marché de l’électricité sont en mesure d’accéder aux données auxquelles ils ont droit en vertu de la législation applicable applicable.</w:t>
      </w:r>
    </w:p>
    <w:p w14:paraId="38E0FA97" w14:textId="07A10AAE" w:rsidR="00025543" w:rsidRDefault="007E3A2F">
      <w:pPr>
        <w:pStyle w:val="P68B1DB1-Normal3"/>
        <w:spacing w:line="240" w:lineRule="auto"/>
        <w:jc w:val="both"/>
        <w:rPr>
          <w:noProof/>
        </w:rPr>
      </w:pPr>
      <w:r>
        <w:rPr>
          <w:noProof/>
        </w:rPr>
        <w:t>L’investissement est achevé au plus tard le 31 mars 2026.</w:t>
      </w:r>
    </w:p>
    <w:p w14:paraId="4E9D1B7A" w14:textId="24B145AB" w:rsidR="00025543" w:rsidRDefault="007E3A2F">
      <w:pPr>
        <w:pStyle w:val="P68B1DB1-Normal18"/>
        <w:tabs>
          <w:tab w:val="left" w:pos="993"/>
        </w:tabs>
        <w:spacing w:line="240" w:lineRule="auto"/>
        <w:jc w:val="both"/>
        <w:rPr>
          <w:noProof/>
        </w:rPr>
      </w:pPr>
      <w:r>
        <w:rPr>
          <w:noProof/>
        </w:rPr>
        <w:t>Réforme 1: Communautés énergétiques</w:t>
      </w:r>
    </w:p>
    <w:p w14:paraId="26F57CE1" w14:textId="6FECEF34" w:rsidR="00025543" w:rsidRDefault="007E3A2F">
      <w:pPr>
        <w:pStyle w:val="P68B1DB1-Normal3"/>
        <w:spacing w:after="160" w:line="240" w:lineRule="auto"/>
        <w:jc w:val="both"/>
        <w:rPr>
          <w:noProof/>
        </w:rPr>
      </w:pPr>
      <w:r>
        <w:rPr>
          <w:noProof/>
        </w:rPr>
        <w:t xml:space="preserve">L’objectif de la réforme est d’établir un cadre réglementaire en vue d’encourager et de faciliter le développement des citoyens et des communautés d’énergie renouvelable. </w:t>
      </w:r>
    </w:p>
    <w:p w14:paraId="1B99870F" w14:textId="5840FB1E" w:rsidR="00025543" w:rsidRDefault="007E3A2F">
      <w:pPr>
        <w:pStyle w:val="P68B1DB1-Normal3"/>
        <w:spacing w:after="160" w:line="240" w:lineRule="auto"/>
        <w:jc w:val="both"/>
        <w:rPr>
          <w:noProof/>
        </w:rPr>
      </w:pPr>
      <w:r>
        <w:rPr>
          <w:noProof/>
        </w:rPr>
        <w:t xml:space="preserve">La réforme vise à introduire des incitations au développement des communautés énergétiques et à encourager leur participation à des activités telles que la production et la consommation collectives dans le cadre des communautés énergétiques. </w:t>
      </w:r>
    </w:p>
    <w:p w14:paraId="01E6AF43" w14:textId="6C2F3E35" w:rsidR="00025543" w:rsidRDefault="007E3A2F">
      <w:pPr>
        <w:pStyle w:val="P68B1DB1-Normal3"/>
        <w:spacing w:after="160" w:line="240" w:lineRule="auto"/>
        <w:jc w:val="both"/>
        <w:rPr>
          <w:noProof/>
        </w:rPr>
      </w:pPr>
      <w:r>
        <w:rPr>
          <w:noProof/>
        </w:rPr>
        <w:t>Les règles modifiées mettent en œuvre le principe de participation ouverte, ne restreignent pas indûment l’autoconsommation et la production collectives, ni n’introduisent de restrictions de quelque nature que ce soit en fonction de la taille ou de la géographie. Les communautés énergétiques devraient être autorisées à opérer également dans le secteur du chauffage renouvelable, et pas seulement sur le marché de l’électricité.</w:t>
      </w:r>
    </w:p>
    <w:p w14:paraId="15BFC26F" w14:textId="6B725B5B" w:rsidR="00025543" w:rsidRDefault="007E3A2F">
      <w:pPr>
        <w:pStyle w:val="P68B1DB1-Normal3"/>
        <w:spacing w:after="160" w:line="240" w:lineRule="auto"/>
        <w:jc w:val="both"/>
        <w:rPr>
          <w:noProof/>
        </w:rPr>
      </w:pPr>
      <w:r>
        <w:rPr>
          <w:noProof/>
        </w:rPr>
        <w:t>La réforme doit être achevée au plus tard le 31 décembre 2026.</w:t>
      </w:r>
    </w:p>
    <w:p w14:paraId="7525359D" w14:textId="3D18349E" w:rsidR="00025543" w:rsidRDefault="007E3A2F">
      <w:pPr>
        <w:pStyle w:val="P68B1DB1-Normal18"/>
        <w:pBdr>
          <w:top w:val="nil"/>
          <w:left w:val="nil"/>
          <w:bottom w:val="nil"/>
          <w:right w:val="nil"/>
          <w:between w:val="nil"/>
        </w:pBdr>
        <w:tabs>
          <w:tab w:val="left" w:pos="993"/>
        </w:tabs>
        <w:spacing w:line="240" w:lineRule="auto"/>
        <w:jc w:val="both"/>
        <w:rPr>
          <w:noProof/>
        </w:rPr>
      </w:pPr>
      <w:r>
        <w:rPr>
          <w:noProof/>
        </w:rPr>
        <w:t>Réforme 2: Cadre pour le stockage de l’énergie et la flexibilité non fossile</w:t>
      </w:r>
    </w:p>
    <w:p w14:paraId="2F86D0EE" w14:textId="77777777" w:rsidR="00025543" w:rsidRDefault="007E3A2F">
      <w:pPr>
        <w:pStyle w:val="P68B1DB1-Normal3"/>
        <w:spacing w:line="240" w:lineRule="auto"/>
        <w:jc w:val="both"/>
        <w:rPr>
          <w:noProof/>
        </w:rPr>
      </w:pPr>
      <w:r>
        <w:rPr>
          <w:noProof/>
        </w:rPr>
        <w:t xml:space="preserve">Cette mesure vise à établir un cadre réglementaire de compréhension pour les services de flexibilité tels que le stockage de l’énergie, la participation active de la demande et l’agrégation. L’objectif est de promouvoir le développement de solutions techniques, technologiques et logicielles innovantes pour l’optimisation des flux d’énergie afin de garantir l’intégration des sources d’énergie renouvelables dans le réseau et de permettre au système électrique de s’adapter à la variabilité de la production et de la consommation d’électricité à différents horizons temporels.  </w:t>
      </w:r>
    </w:p>
    <w:p w14:paraId="620A0EE7" w14:textId="3729B345" w:rsidR="00025543" w:rsidRDefault="007E3A2F">
      <w:pPr>
        <w:pStyle w:val="P68B1DB1-Normal3"/>
        <w:spacing w:after="160" w:line="240" w:lineRule="auto"/>
        <w:jc w:val="both"/>
        <w:rPr>
          <w:noProof/>
        </w:rPr>
      </w:pPr>
      <w:r>
        <w:rPr>
          <w:noProof/>
        </w:rPr>
        <w:t xml:space="preserve">En outre, la réforme vise à garantir la participation des communautés énergétiques, des agrégateurs, des autoconsommateurs, des clients actifs, des actifs de stockage de l’énergie, des acteurs de la participation active de la demande industrielle au marché de l’électricité, tout en augmentant la flexibilité globale du système électrique et en réduisant l’utilisation des combustibles fossiles. </w:t>
      </w:r>
    </w:p>
    <w:p w14:paraId="36EAA8F5" w14:textId="537FADEF" w:rsidR="00025543" w:rsidRDefault="007E3A2F">
      <w:pPr>
        <w:pStyle w:val="P68B1DB1-Normal3"/>
        <w:spacing w:after="160" w:line="240" w:lineRule="auto"/>
        <w:jc w:val="both"/>
        <w:rPr>
          <w:noProof/>
        </w:rPr>
      </w:pPr>
      <w:r>
        <w:rPr>
          <w:noProof/>
        </w:rPr>
        <w:t xml:space="preserve">La réforme garantit que le marché des solutions de flexibilité non fossile est ouvert à tous les participants provenant d’autres États membres et élimine tout obstacle à cette participation. La réforme devrait mettre en place un régime réglementaire propice à l’intégration de la flexibilité non fossile dans les marchés de l’énergie, des capacités et des services auxiliaires. La réforme introduit des incitations au développement de communautés énergétiques et encourage l’agrégation de la demande, le stockage de l’électricité et la flexibilité dans le cadre des communautés énergétiques. </w:t>
      </w:r>
    </w:p>
    <w:p w14:paraId="0C182832" w14:textId="150B9BD1" w:rsidR="00025543" w:rsidRDefault="007E3A2F">
      <w:pPr>
        <w:pStyle w:val="P68B1DB1-Normal3"/>
        <w:spacing w:line="240" w:lineRule="auto"/>
        <w:jc w:val="both"/>
        <w:rPr>
          <w:noProof/>
        </w:rPr>
      </w:pPr>
      <w:r>
        <w:rPr>
          <w:noProof/>
        </w:rPr>
        <w:t>La législation facilite les investissements commerciaux de stockage de l’énergie fondés sur le marché et vise à s’accompagner de régimes de soutien financier supplémentaires pour accroître les installations de stockage d’énergie.</w:t>
      </w:r>
    </w:p>
    <w:p w14:paraId="39F8996B" w14:textId="4214C6AF" w:rsidR="00025543" w:rsidRDefault="007E3A2F">
      <w:pPr>
        <w:pStyle w:val="P68B1DB1-Normal3"/>
        <w:spacing w:line="240" w:lineRule="auto"/>
        <w:jc w:val="both"/>
        <w:rPr>
          <w:noProof/>
        </w:rPr>
      </w:pPr>
      <w:r>
        <w:rPr>
          <w:noProof/>
        </w:rPr>
        <w:t>La réforme est mise en œuvre au plus tard le 30 septembre 2025.</w:t>
      </w:r>
    </w:p>
    <w:p w14:paraId="2262D760" w14:textId="77777777" w:rsidR="00025543" w:rsidRDefault="00025543">
      <w:pPr>
        <w:spacing w:after="0" w:line="259" w:lineRule="auto"/>
        <w:jc w:val="both"/>
        <w:rPr>
          <w:rFonts w:eastAsia="Times New Roman"/>
          <w:b/>
          <w:noProof/>
          <w:sz w:val="22"/>
          <w:highlight w:val="yellow"/>
        </w:rPr>
        <w:sectPr w:rsidR="00025543" w:rsidSect="00997F50">
          <w:headerReference w:type="even" r:id="rId450"/>
          <w:headerReference w:type="default" r:id="rId451"/>
          <w:footerReference w:type="even" r:id="rId452"/>
          <w:footerReference w:type="default" r:id="rId453"/>
          <w:headerReference w:type="first" r:id="rId454"/>
          <w:footerReference w:type="first" r:id="rId455"/>
          <w:pgSz w:w="11907" w:h="16839"/>
          <w:pgMar w:top="1134" w:right="1134" w:bottom="1134" w:left="1134" w:header="567" w:footer="567" w:gutter="0"/>
          <w:cols w:space="720"/>
          <w:docGrid w:linePitch="360"/>
        </w:sectPr>
      </w:pPr>
    </w:p>
    <w:p w14:paraId="1307D5EF" w14:textId="032CAF75" w:rsidR="00025543" w:rsidRDefault="007E3A2F">
      <w:pPr>
        <w:pStyle w:val="P68B1DB1-Normal33"/>
        <w:spacing w:line="259" w:lineRule="auto"/>
        <w:jc w:val="both"/>
        <w:rPr>
          <w:noProof/>
        </w:rPr>
      </w:pPr>
      <w:r>
        <w:rPr>
          <w:noProof/>
        </w:rPr>
        <w:t>FF.2. Jalons, cibles, indicateurs et calendrier de suivi et de mise en œuvre en vue du soutien financier non remboursable</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7"/>
        <w:gridCol w:w="1565"/>
        <w:gridCol w:w="1095"/>
        <w:gridCol w:w="1489"/>
        <w:gridCol w:w="1731"/>
        <w:gridCol w:w="955"/>
        <w:gridCol w:w="955"/>
        <w:gridCol w:w="955"/>
        <w:gridCol w:w="1040"/>
        <w:gridCol w:w="640"/>
        <w:gridCol w:w="3959"/>
      </w:tblGrid>
      <w:tr w:rsidR="00025543" w14:paraId="632723C4" w14:textId="77777777">
        <w:trPr>
          <w:trHeight w:val="672"/>
          <w:tblHeader/>
          <w:jc w:val="center"/>
        </w:trPr>
        <w:tc>
          <w:tcPr>
            <w:tcW w:w="654" w:type="dxa"/>
            <w:vMerge w:val="restart"/>
            <w:shd w:val="clear" w:color="auto" w:fill="BDD7EE"/>
            <w:vAlign w:val="center"/>
            <w:hideMark/>
          </w:tcPr>
          <w:p w14:paraId="1CF7337E" w14:textId="77777777" w:rsidR="00025543" w:rsidRDefault="007E3A2F">
            <w:pPr>
              <w:pStyle w:val="P68B1DB1-Normal9"/>
              <w:spacing w:before="0" w:after="0" w:line="240" w:lineRule="auto"/>
              <w:jc w:val="center"/>
              <w:rPr>
                <w:noProof/>
              </w:rPr>
            </w:pPr>
            <w:r>
              <w:rPr>
                <w:noProof/>
              </w:rPr>
              <w:t>Séquence NUM.</w:t>
            </w:r>
          </w:p>
        </w:tc>
        <w:tc>
          <w:tcPr>
            <w:tcW w:w="1625" w:type="dxa"/>
            <w:vMerge w:val="restart"/>
            <w:shd w:val="clear" w:color="auto" w:fill="BDD7EE"/>
            <w:vAlign w:val="center"/>
            <w:hideMark/>
          </w:tcPr>
          <w:p w14:paraId="527F228B" w14:textId="77777777" w:rsidR="00025543" w:rsidRDefault="007E3A2F">
            <w:pPr>
              <w:pStyle w:val="P68B1DB1-Normal9"/>
              <w:spacing w:before="0" w:after="0" w:line="240" w:lineRule="auto"/>
              <w:jc w:val="center"/>
              <w:rPr>
                <w:noProof/>
              </w:rPr>
            </w:pPr>
            <w:r>
              <w:rPr>
                <w:noProof/>
              </w:rPr>
              <w:t>Mesure connexe (réforme ou investissement)</w:t>
            </w:r>
          </w:p>
        </w:tc>
        <w:tc>
          <w:tcPr>
            <w:tcW w:w="1134" w:type="dxa"/>
            <w:vMerge w:val="restart"/>
            <w:shd w:val="clear" w:color="auto" w:fill="BDD7EE"/>
            <w:vAlign w:val="center"/>
            <w:hideMark/>
          </w:tcPr>
          <w:p w14:paraId="725D0A0E" w14:textId="77777777" w:rsidR="00025543" w:rsidRDefault="007E3A2F">
            <w:pPr>
              <w:pStyle w:val="P68B1DB1-Normal9"/>
              <w:spacing w:before="0" w:after="0" w:line="240" w:lineRule="auto"/>
              <w:jc w:val="center"/>
              <w:rPr>
                <w:noProof/>
              </w:rPr>
            </w:pPr>
            <w:r>
              <w:rPr>
                <w:noProof/>
              </w:rPr>
              <w:t>Jalon/cible</w:t>
            </w:r>
          </w:p>
        </w:tc>
        <w:tc>
          <w:tcPr>
            <w:tcW w:w="1546" w:type="dxa"/>
            <w:vMerge w:val="restart"/>
            <w:shd w:val="clear" w:color="auto" w:fill="BDD7EE"/>
            <w:vAlign w:val="center"/>
            <w:hideMark/>
          </w:tcPr>
          <w:p w14:paraId="7657B9F0" w14:textId="77777777" w:rsidR="00025543" w:rsidRDefault="007E3A2F">
            <w:pPr>
              <w:pStyle w:val="P68B1DB1-Normal9"/>
              <w:spacing w:before="0" w:after="0" w:line="240" w:lineRule="auto"/>
              <w:jc w:val="center"/>
              <w:rPr>
                <w:noProof/>
              </w:rPr>
            </w:pPr>
            <w:r>
              <w:rPr>
                <w:noProof/>
              </w:rPr>
              <w:t>Nom</w:t>
            </w:r>
          </w:p>
        </w:tc>
        <w:tc>
          <w:tcPr>
            <w:tcW w:w="1799" w:type="dxa"/>
            <w:vMerge w:val="restart"/>
            <w:shd w:val="clear" w:color="auto" w:fill="BDD7EE"/>
            <w:vAlign w:val="center"/>
            <w:hideMark/>
          </w:tcPr>
          <w:p w14:paraId="1E8519F6" w14:textId="77777777" w:rsidR="00025543" w:rsidRDefault="007E3A2F">
            <w:pPr>
              <w:pStyle w:val="P68B1DB1-Normal9"/>
              <w:spacing w:before="0" w:after="0" w:line="240" w:lineRule="auto"/>
              <w:jc w:val="center"/>
              <w:rPr>
                <w:noProof/>
              </w:rPr>
            </w:pPr>
            <w:r>
              <w:rPr>
                <w:noProof/>
              </w:rPr>
              <w:t xml:space="preserve">Qualitatifs </w:t>
            </w:r>
            <w:r>
              <w:rPr>
                <w:noProof/>
              </w:rPr>
              <w:br/>
              <w:t>(pour les jalons)</w:t>
            </w:r>
          </w:p>
        </w:tc>
        <w:tc>
          <w:tcPr>
            <w:tcW w:w="2964" w:type="dxa"/>
            <w:gridSpan w:val="3"/>
            <w:shd w:val="clear" w:color="auto" w:fill="BDD7EE"/>
            <w:vAlign w:val="center"/>
            <w:hideMark/>
          </w:tcPr>
          <w:p w14:paraId="7341A9E3" w14:textId="77777777" w:rsidR="00025543" w:rsidRDefault="007E3A2F">
            <w:pPr>
              <w:pStyle w:val="P68B1DB1-Normal9"/>
              <w:spacing w:before="0" w:after="0" w:line="240" w:lineRule="auto"/>
              <w:jc w:val="center"/>
              <w:rPr>
                <w:noProof/>
              </w:rPr>
            </w:pPr>
            <w:r>
              <w:rPr>
                <w:noProof/>
              </w:rPr>
              <w:t xml:space="preserve">Indicateurs quantitatifs </w:t>
            </w:r>
            <w:r>
              <w:rPr>
                <w:noProof/>
              </w:rPr>
              <w:br/>
              <w:t>(pour les objectifs)</w:t>
            </w:r>
          </w:p>
        </w:tc>
        <w:tc>
          <w:tcPr>
            <w:tcW w:w="1317" w:type="dxa"/>
            <w:gridSpan w:val="2"/>
            <w:shd w:val="clear" w:color="auto" w:fill="BDD7EE"/>
            <w:vAlign w:val="center"/>
            <w:hideMark/>
          </w:tcPr>
          <w:p w14:paraId="391F5A28" w14:textId="77777777" w:rsidR="00025543" w:rsidRDefault="007E3A2F">
            <w:pPr>
              <w:pStyle w:val="P68B1DB1-Normal9"/>
              <w:spacing w:before="0" w:after="0" w:line="240" w:lineRule="auto"/>
              <w:jc w:val="center"/>
              <w:rPr>
                <w:noProof/>
              </w:rPr>
            </w:pPr>
            <w:r>
              <w:rPr>
                <w:noProof/>
              </w:rPr>
              <w:t xml:space="preserve">Calendrier indicatif de réalisation </w:t>
            </w:r>
          </w:p>
        </w:tc>
        <w:tc>
          <w:tcPr>
            <w:tcW w:w="4128" w:type="dxa"/>
            <w:vMerge w:val="restart"/>
            <w:shd w:val="clear" w:color="auto" w:fill="BDD7EE"/>
            <w:vAlign w:val="center"/>
            <w:hideMark/>
          </w:tcPr>
          <w:p w14:paraId="02D29191" w14:textId="77777777" w:rsidR="00025543" w:rsidRDefault="007E3A2F">
            <w:pPr>
              <w:pStyle w:val="P68B1DB1-Normal9"/>
              <w:spacing w:before="0" w:after="0" w:line="240" w:lineRule="auto"/>
              <w:jc w:val="center"/>
              <w:rPr>
                <w:noProof/>
              </w:rPr>
            </w:pPr>
            <w:r>
              <w:rPr>
                <w:noProof/>
              </w:rPr>
              <w:t>Description de chaque jalon et cible</w:t>
            </w:r>
          </w:p>
        </w:tc>
      </w:tr>
      <w:tr w:rsidR="00025543" w14:paraId="55D1377B" w14:textId="77777777">
        <w:trPr>
          <w:trHeight w:val="458"/>
          <w:tblHeader/>
          <w:jc w:val="center"/>
        </w:trPr>
        <w:tc>
          <w:tcPr>
            <w:tcW w:w="654" w:type="dxa"/>
            <w:vMerge/>
            <w:vAlign w:val="center"/>
            <w:hideMark/>
          </w:tcPr>
          <w:p w14:paraId="6F9409F8" w14:textId="77777777" w:rsidR="00025543" w:rsidRDefault="00025543">
            <w:pPr>
              <w:spacing w:before="0" w:after="0" w:line="240" w:lineRule="auto"/>
              <w:rPr>
                <w:rFonts w:eastAsia="Times New Roman"/>
                <w:b/>
                <w:noProof/>
                <w:sz w:val="18"/>
              </w:rPr>
            </w:pPr>
          </w:p>
        </w:tc>
        <w:tc>
          <w:tcPr>
            <w:tcW w:w="1625" w:type="dxa"/>
            <w:vMerge/>
            <w:vAlign w:val="center"/>
            <w:hideMark/>
          </w:tcPr>
          <w:p w14:paraId="1D4F51ED" w14:textId="77777777" w:rsidR="00025543" w:rsidRDefault="00025543">
            <w:pPr>
              <w:spacing w:before="0" w:after="0" w:line="240" w:lineRule="auto"/>
              <w:rPr>
                <w:rFonts w:eastAsia="Times New Roman"/>
                <w:b/>
                <w:noProof/>
                <w:sz w:val="18"/>
              </w:rPr>
            </w:pPr>
          </w:p>
        </w:tc>
        <w:tc>
          <w:tcPr>
            <w:tcW w:w="1134" w:type="dxa"/>
            <w:vMerge/>
            <w:vAlign w:val="center"/>
            <w:hideMark/>
          </w:tcPr>
          <w:p w14:paraId="0706BB0E" w14:textId="77777777" w:rsidR="00025543" w:rsidRDefault="00025543">
            <w:pPr>
              <w:spacing w:before="0" w:after="0" w:line="240" w:lineRule="auto"/>
              <w:rPr>
                <w:rFonts w:eastAsia="Times New Roman"/>
                <w:b/>
                <w:noProof/>
                <w:sz w:val="18"/>
              </w:rPr>
            </w:pPr>
          </w:p>
        </w:tc>
        <w:tc>
          <w:tcPr>
            <w:tcW w:w="1546" w:type="dxa"/>
            <w:vMerge/>
            <w:vAlign w:val="center"/>
            <w:hideMark/>
          </w:tcPr>
          <w:p w14:paraId="2842C647" w14:textId="77777777" w:rsidR="00025543" w:rsidRDefault="00025543">
            <w:pPr>
              <w:spacing w:before="0" w:after="0" w:line="240" w:lineRule="auto"/>
              <w:rPr>
                <w:rFonts w:eastAsia="Times New Roman"/>
                <w:b/>
                <w:noProof/>
                <w:sz w:val="18"/>
              </w:rPr>
            </w:pPr>
          </w:p>
        </w:tc>
        <w:tc>
          <w:tcPr>
            <w:tcW w:w="1799" w:type="dxa"/>
            <w:vMerge/>
            <w:vAlign w:val="center"/>
            <w:hideMark/>
          </w:tcPr>
          <w:p w14:paraId="24BD627E" w14:textId="77777777" w:rsidR="00025543" w:rsidRDefault="00025543">
            <w:pPr>
              <w:spacing w:before="0" w:after="0" w:line="240" w:lineRule="auto"/>
              <w:rPr>
                <w:rFonts w:eastAsia="Times New Roman"/>
                <w:b/>
                <w:noProof/>
                <w:sz w:val="18"/>
              </w:rPr>
            </w:pPr>
          </w:p>
        </w:tc>
        <w:tc>
          <w:tcPr>
            <w:tcW w:w="988" w:type="dxa"/>
            <w:shd w:val="clear" w:color="auto" w:fill="BDD7EE"/>
            <w:vAlign w:val="center"/>
            <w:hideMark/>
          </w:tcPr>
          <w:p w14:paraId="1078474E" w14:textId="77777777" w:rsidR="00025543" w:rsidRDefault="007E3A2F">
            <w:pPr>
              <w:pStyle w:val="P68B1DB1-Normal9"/>
              <w:spacing w:before="0" w:after="0" w:line="240" w:lineRule="auto"/>
              <w:jc w:val="center"/>
              <w:rPr>
                <w:noProof/>
              </w:rPr>
            </w:pPr>
            <w:r>
              <w:rPr>
                <w:noProof/>
              </w:rPr>
              <w:t>Unité de mesure</w:t>
            </w:r>
          </w:p>
        </w:tc>
        <w:tc>
          <w:tcPr>
            <w:tcW w:w="988" w:type="dxa"/>
            <w:shd w:val="clear" w:color="auto" w:fill="BDD7EE"/>
            <w:vAlign w:val="center"/>
            <w:hideMark/>
          </w:tcPr>
          <w:p w14:paraId="71543268" w14:textId="77777777" w:rsidR="00025543" w:rsidRDefault="007E3A2F">
            <w:pPr>
              <w:pStyle w:val="P68B1DB1-Normal9"/>
              <w:spacing w:before="0" w:after="0" w:line="240" w:lineRule="auto"/>
              <w:jc w:val="center"/>
              <w:rPr>
                <w:noProof/>
              </w:rPr>
            </w:pPr>
            <w:r>
              <w:rPr>
                <w:noProof/>
              </w:rPr>
              <w:t xml:space="preserve">Scénario de référence </w:t>
            </w:r>
          </w:p>
        </w:tc>
        <w:tc>
          <w:tcPr>
            <w:tcW w:w="988" w:type="dxa"/>
            <w:shd w:val="clear" w:color="auto" w:fill="BDD7EE"/>
            <w:vAlign w:val="center"/>
            <w:hideMark/>
          </w:tcPr>
          <w:p w14:paraId="461EAD07" w14:textId="77777777" w:rsidR="00025543" w:rsidRDefault="007E3A2F">
            <w:pPr>
              <w:pStyle w:val="P68B1DB1-Normal9"/>
              <w:spacing w:before="0" w:after="0" w:line="240" w:lineRule="auto"/>
              <w:jc w:val="center"/>
              <w:rPr>
                <w:noProof/>
              </w:rPr>
            </w:pPr>
            <w:r>
              <w:rPr>
                <w:noProof/>
              </w:rPr>
              <w:t xml:space="preserve">Objectif </w:t>
            </w:r>
          </w:p>
        </w:tc>
        <w:tc>
          <w:tcPr>
            <w:tcW w:w="1077" w:type="dxa"/>
            <w:shd w:val="clear" w:color="auto" w:fill="BDD7EE"/>
            <w:vAlign w:val="center"/>
            <w:hideMark/>
          </w:tcPr>
          <w:p w14:paraId="21E0B917" w14:textId="77777777" w:rsidR="00025543" w:rsidRDefault="007E3A2F">
            <w:pPr>
              <w:pStyle w:val="P68B1DB1-Normal9"/>
              <w:spacing w:before="0" w:after="0" w:line="240" w:lineRule="auto"/>
              <w:jc w:val="center"/>
              <w:rPr>
                <w:noProof/>
              </w:rPr>
            </w:pPr>
            <w:r>
              <w:rPr>
                <w:noProof/>
              </w:rPr>
              <w:t>Trimestre</w:t>
            </w:r>
          </w:p>
        </w:tc>
        <w:tc>
          <w:tcPr>
            <w:tcW w:w="658" w:type="dxa"/>
            <w:shd w:val="clear" w:color="auto" w:fill="BDD7EE"/>
            <w:vAlign w:val="center"/>
            <w:hideMark/>
          </w:tcPr>
          <w:p w14:paraId="45296F23" w14:textId="77777777" w:rsidR="00025543" w:rsidRDefault="007E3A2F">
            <w:pPr>
              <w:pStyle w:val="P68B1DB1-Normal9"/>
              <w:spacing w:before="0" w:after="0" w:line="240" w:lineRule="auto"/>
              <w:jc w:val="center"/>
              <w:rPr>
                <w:noProof/>
              </w:rPr>
            </w:pPr>
            <w:r>
              <w:rPr>
                <w:noProof/>
              </w:rPr>
              <w:t>Année</w:t>
            </w:r>
          </w:p>
        </w:tc>
        <w:tc>
          <w:tcPr>
            <w:tcW w:w="4128" w:type="dxa"/>
            <w:vMerge/>
            <w:vAlign w:val="center"/>
            <w:hideMark/>
          </w:tcPr>
          <w:p w14:paraId="61996C00" w14:textId="77777777" w:rsidR="00025543" w:rsidRDefault="00025543">
            <w:pPr>
              <w:spacing w:before="0" w:after="0" w:line="240" w:lineRule="auto"/>
              <w:rPr>
                <w:rFonts w:eastAsia="Times New Roman"/>
                <w:b/>
                <w:noProof/>
                <w:sz w:val="18"/>
              </w:rPr>
            </w:pPr>
          </w:p>
        </w:tc>
      </w:tr>
      <w:tr w:rsidR="00025543" w14:paraId="222A45A3" w14:textId="77777777">
        <w:trPr>
          <w:trHeight w:val="309"/>
          <w:jc w:val="center"/>
        </w:trPr>
        <w:tc>
          <w:tcPr>
            <w:tcW w:w="654" w:type="dxa"/>
            <w:shd w:val="clear" w:color="auto" w:fill="C6EFCE"/>
            <w:vAlign w:val="center"/>
            <w:hideMark/>
          </w:tcPr>
          <w:p w14:paraId="564A50B5" w14:textId="423C5CB8" w:rsidR="00025543" w:rsidRDefault="007E3A2F">
            <w:pPr>
              <w:pStyle w:val="P68B1DB1-Normal15"/>
              <w:spacing w:before="0" w:after="0" w:line="240" w:lineRule="auto"/>
              <w:jc w:val="center"/>
              <w:rPr>
                <w:noProof/>
              </w:rPr>
            </w:pPr>
            <w:r>
              <w:rPr>
                <w:noProof/>
              </w:rPr>
              <w:t>309</w:t>
            </w:r>
          </w:p>
        </w:tc>
        <w:tc>
          <w:tcPr>
            <w:tcW w:w="1625" w:type="dxa"/>
            <w:shd w:val="clear" w:color="auto" w:fill="C6EFCE"/>
            <w:vAlign w:val="center"/>
            <w:hideMark/>
          </w:tcPr>
          <w:p w14:paraId="6791C1C5" w14:textId="77777777" w:rsidR="00025543" w:rsidRDefault="007E3A2F">
            <w:pPr>
              <w:pStyle w:val="P68B1DB1-Normal11"/>
              <w:spacing w:line="240" w:lineRule="auto"/>
              <w:rPr>
                <w:noProof/>
              </w:rPr>
            </w:pPr>
            <w:r>
              <w:rPr>
                <w:noProof/>
              </w:rPr>
              <w:t>Investissement 1:  Centre de données sur l’électricité</w:t>
            </w:r>
          </w:p>
          <w:p w14:paraId="7C072696" w14:textId="483D0265" w:rsidR="00025543" w:rsidRDefault="00025543">
            <w:pPr>
              <w:spacing w:before="0" w:after="0" w:line="240" w:lineRule="auto"/>
              <w:rPr>
                <w:rFonts w:eastAsia="Times New Roman"/>
                <w:noProof/>
                <w:color w:val="004300"/>
                <w:sz w:val="18"/>
              </w:rPr>
            </w:pPr>
          </w:p>
        </w:tc>
        <w:tc>
          <w:tcPr>
            <w:tcW w:w="1134" w:type="dxa"/>
            <w:shd w:val="clear" w:color="auto" w:fill="C6EFCE"/>
            <w:vAlign w:val="center"/>
            <w:hideMark/>
          </w:tcPr>
          <w:p w14:paraId="39604BD8" w14:textId="2FB95142" w:rsidR="00025543" w:rsidRDefault="007E3A2F">
            <w:pPr>
              <w:pStyle w:val="P68B1DB1-Normal11"/>
              <w:spacing w:before="0" w:after="0" w:line="240" w:lineRule="auto"/>
              <w:rPr>
                <w:noProof/>
                <w:color w:val="004300"/>
              </w:rPr>
            </w:pPr>
            <w:r>
              <w:rPr>
                <w:noProof/>
              </w:rPr>
              <w:t>Étapes</w:t>
            </w:r>
          </w:p>
        </w:tc>
        <w:tc>
          <w:tcPr>
            <w:tcW w:w="1546" w:type="dxa"/>
            <w:shd w:val="clear" w:color="auto" w:fill="C6EFCE"/>
            <w:vAlign w:val="center"/>
            <w:hideMark/>
          </w:tcPr>
          <w:p w14:paraId="3E4A60FB" w14:textId="05F93D15" w:rsidR="00025543" w:rsidRDefault="007E3A2F">
            <w:pPr>
              <w:pStyle w:val="P68B1DB1-Normal11"/>
              <w:spacing w:before="0" w:after="0" w:line="240" w:lineRule="auto"/>
              <w:rPr>
                <w:noProof/>
                <w:color w:val="004300"/>
              </w:rPr>
            </w:pPr>
            <w:r>
              <w:rPr>
                <w:noProof/>
              </w:rPr>
              <w:t>Entrée en vigueur de la législation portant création du centre de données sur l’électricité</w:t>
            </w:r>
          </w:p>
        </w:tc>
        <w:tc>
          <w:tcPr>
            <w:tcW w:w="1799" w:type="dxa"/>
            <w:shd w:val="clear" w:color="auto" w:fill="C6EFCE"/>
            <w:vAlign w:val="center"/>
            <w:hideMark/>
          </w:tcPr>
          <w:p w14:paraId="467749E9" w14:textId="45A904F4" w:rsidR="00025543" w:rsidRDefault="007E3A2F">
            <w:pPr>
              <w:pStyle w:val="P68B1DB1-Normal11"/>
              <w:spacing w:before="0" w:after="0" w:line="240" w:lineRule="auto"/>
              <w:rPr>
                <w:noProof/>
                <w:color w:val="004300"/>
              </w:rPr>
            </w:pPr>
            <w:r>
              <w:rPr>
                <w:noProof/>
              </w:rPr>
              <w:t>Disposition de la loi indiquant l’entrée en vigueur du centre de données sur l’électricité</w:t>
            </w:r>
          </w:p>
        </w:tc>
        <w:tc>
          <w:tcPr>
            <w:tcW w:w="988" w:type="dxa"/>
            <w:shd w:val="clear" w:color="auto" w:fill="C6EFCE"/>
            <w:vAlign w:val="center"/>
          </w:tcPr>
          <w:p w14:paraId="695B497B" w14:textId="002FD292" w:rsidR="00025543" w:rsidRDefault="00025543">
            <w:pPr>
              <w:spacing w:before="0" w:after="0" w:line="240" w:lineRule="auto"/>
              <w:rPr>
                <w:rFonts w:eastAsia="Times New Roman"/>
                <w:noProof/>
                <w:color w:val="004300"/>
                <w:sz w:val="18"/>
              </w:rPr>
            </w:pPr>
          </w:p>
        </w:tc>
        <w:tc>
          <w:tcPr>
            <w:tcW w:w="988" w:type="dxa"/>
            <w:shd w:val="clear" w:color="auto" w:fill="C6EFCE"/>
            <w:vAlign w:val="center"/>
          </w:tcPr>
          <w:p w14:paraId="6E1EEBB7" w14:textId="45ADDAEB" w:rsidR="00025543" w:rsidRDefault="00025543">
            <w:pPr>
              <w:spacing w:before="0" w:after="0" w:line="240" w:lineRule="auto"/>
              <w:jc w:val="center"/>
              <w:rPr>
                <w:rFonts w:eastAsia="Times New Roman"/>
                <w:noProof/>
                <w:color w:val="004300"/>
                <w:sz w:val="18"/>
              </w:rPr>
            </w:pPr>
          </w:p>
        </w:tc>
        <w:tc>
          <w:tcPr>
            <w:tcW w:w="988" w:type="dxa"/>
            <w:shd w:val="clear" w:color="auto" w:fill="C6EFCE"/>
            <w:vAlign w:val="center"/>
          </w:tcPr>
          <w:p w14:paraId="3345CB3C" w14:textId="39B445D6" w:rsidR="00025543" w:rsidRDefault="00025543">
            <w:pPr>
              <w:spacing w:before="0" w:after="0" w:line="240" w:lineRule="auto"/>
              <w:jc w:val="center"/>
              <w:rPr>
                <w:rFonts w:eastAsia="Times New Roman"/>
                <w:noProof/>
                <w:color w:val="004300"/>
                <w:sz w:val="18"/>
              </w:rPr>
            </w:pPr>
          </w:p>
        </w:tc>
        <w:tc>
          <w:tcPr>
            <w:tcW w:w="1077" w:type="dxa"/>
            <w:shd w:val="clear" w:color="auto" w:fill="C6EFCE"/>
            <w:vAlign w:val="center"/>
            <w:hideMark/>
          </w:tcPr>
          <w:p w14:paraId="17928B1A" w14:textId="030E919E" w:rsidR="00025543" w:rsidRDefault="007E3A2F">
            <w:pPr>
              <w:pStyle w:val="P68B1DB1-Normal11"/>
              <w:spacing w:before="0" w:after="0" w:line="240" w:lineRule="auto"/>
              <w:jc w:val="center"/>
              <w:rPr>
                <w:noProof/>
                <w:color w:val="004300"/>
              </w:rPr>
            </w:pPr>
            <w:r>
              <w:rPr>
                <w:noProof/>
              </w:rPr>
              <w:t xml:space="preserve">TRIMESTRE 1 </w:t>
            </w:r>
          </w:p>
        </w:tc>
        <w:tc>
          <w:tcPr>
            <w:tcW w:w="658" w:type="dxa"/>
            <w:shd w:val="clear" w:color="auto" w:fill="C6EFCE"/>
            <w:vAlign w:val="center"/>
            <w:hideMark/>
          </w:tcPr>
          <w:p w14:paraId="6BEF10CD" w14:textId="368380A2" w:rsidR="00025543" w:rsidRDefault="007E3A2F">
            <w:pPr>
              <w:pStyle w:val="P68B1DB1-Normal11"/>
              <w:spacing w:before="0" w:after="0" w:line="240" w:lineRule="auto"/>
              <w:jc w:val="center"/>
              <w:rPr>
                <w:noProof/>
                <w:color w:val="004300"/>
              </w:rPr>
            </w:pPr>
            <w:r>
              <w:rPr>
                <w:noProof/>
              </w:rPr>
              <w:t>2024</w:t>
            </w:r>
          </w:p>
        </w:tc>
        <w:tc>
          <w:tcPr>
            <w:tcW w:w="4128" w:type="dxa"/>
            <w:shd w:val="clear" w:color="auto" w:fill="C6EFCE"/>
            <w:vAlign w:val="center"/>
            <w:hideMark/>
          </w:tcPr>
          <w:p w14:paraId="5C126442" w14:textId="376773A3" w:rsidR="00025543" w:rsidRDefault="007E3A2F">
            <w:pPr>
              <w:pStyle w:val="P68B1DB1-Normal11"/>
              <w:spacing w:after="0" w:line="240" w:lineRule="auto"/>
              <w:rPr>
                <w:noProof/>
              </w:rPr>
            </w:pPr>
            <w:r>
              <w:rPr>
                <w:noProof/>
              </w:rPr>
              <w:t>Le centre de données sur l’électricité est établi par la loi et ses fonctionnalités et obligations sont définies par la loi. En particulier, le CDE:</w:t>
            </w:r>
          </w:p>
          <w:p w14:paraId="489D194F" w14:textId="77777777" w:rsidR="00025543" w:rsidRDefault="007E3A2F">
            <w:pPr>
              <w:pStyle w:val="P68B1DB1-Normal11"/>
              <w:spacing w:after="0" w:line="240" w:lineRule="auto"/>
              <w:rPr>
                <w:noProof/>
              </w:rPr>
            </w:pPr>
            <w:r>
              <w:rPr>
                <w:noProof/>
              </w:rPr>
              <w:t xml:space="preserve">— enregistre, à la demande de l’acteur du marché, le drapeau ou tout autre repérage des points de transfert impliqués dans le partage d’électricité et les points de transfert concernés par l’enlèvement à un autre point d’enlèvement du centre de données et transmet les informations relatives à l’enregistrement à l’opérateur du marché, </w:t>
            </w:r>
          </w:p>
          <w:p w14:paraId="4DE0C3AA" w14:textId="77777777" w:rsidR="00025543" w:rsidRDefault="007E3A2F">
            <w:pPr>
              <w:pStyle w:val="P68B1DB1-Normal11"/>
              <w:spacing w:after="0" w:line="240" w:lineRule="auto"/>
              <w:rPr>
                <w:noProof/>
              </w:rPr>
            </w:pPr>
            <w:r>
              <w:rPr>
                <w:noProof/>
              </w:rPr>
              <w:t xml:space="preserve">— attribuer, à la demande de l’acteur du marché, la part d’électricité partagée à l’intérieur des points de transfert et attribuer la part de l’électricité produite par elle-même au point de consommation d’un autre acteur du marché,   </w:t>
            </w:r>
          </w:p>
          <w:p w14:paraId="42BF340A" w14:textId="77777777" w:rsidR="00025543" w:rsidRDefault="007E3A2F">
            <w:pPr>
              <w:pStyle w:val="P68B1DB1-Normal11"/>
              <w:spacing w:after="0" w:line="240" w:lineRule="auto"/>
              <w:rPr>
                <w:noProof/>
              </w:rPr>
            </w:pPr>
            <w:r>
              <w:rPr>
                <w:noProof/>
              </w:rPr>
              <w:t>— les données de comptage de l’électricité de procédé pour inclure le partage de l’électricité dans l’évaluation des écarts et dans la quantité d’électricité pour laquelle des prix réglementés et non réglementés sont payés sur le marché de l’électricité,</w:t>
            </w:r>
          </w:p>
          <w:p w14:paraId="3C3C30F6" w14:textId="77777777" w:rsidR="00025543" w:rsidRDefault="007E3A2F">
            <w:pPr>
              <w:pStyle w:val="P68B1DB1-Normal11"/>
              <w:spacing w:after="0" w:line="240" w:lineRule="auto"/>
              <w:rPr>
                <w:noProof/>
              </w:rPr>
            </w:pPr>
            <w:r>
              <w:rPr>
                <w:noProof/>
              </w:rPr>
              <w:t xml:space="preserve">— fournir aux commerçants des données anonymisées enregistrées par le centre de données avec les points de transfert des points de consommation d’électricité et des installations de production, y compris d’autres données relatives au partage de l’électricité,  </w:t>
            </w:r>
          </w:p>
          <w:p w14:paraId="6C2F1239" w14:textId="77777777" w:rsidR="00025543" w:rsidRDefault="007E3A2F">
            <w:pPr>
              <w:pStyle w:val="P68B1DB1-Normal11"/>
              <w:spacing w:after="0" w:line="240" w:lineRule="auto"/>
              <w:rPr>
                <w:noProof/>
              </w:rPr>
            </w:pPr>
            <w:r>
              <w:rPr>
                <w:noProof/>
              </w:rPr>
              <w:t>— fournir aux opérateurs du marché et aux gestionnaires de réseau de distribution des données de comptage en tenant compte de l’électricité partagée.</w:t>
            </w:r>
          </w:p>
          <w:p w14:paraId="4D6476B1" w14:textId="16CC0F2E" w:rsidR="00025543" w:rsidRDefault="007E3A2F">
            <w:pPr>
              <w:pStyle w:val="P68B1DB1-Normal11"/>
              <w:spacing w:before="0" w:after="0" w:line="240" w:lineRule="auto"/>
              <w:rPr>
                <w:noProof/>
                <w:color w:val="004300"/>
              </w:rPr>
            </w:pPr>
            <w:r>
              <w:rPr>
                <w:noProof/>
              </w:rPr>
              <w:t>L’accès aux fonctionnalités techniques fournies par l’EDC est non discriminatoire et ouvert à tous les acteurs du marché. Les clients, les gestionnaires de réseau de distribution, les fournisseurs d’électricité et les opérateurs du marché de l’électricité sont en mesure d’accéder aux données auxquelles ils ont droit en vertu de la législation applicable applicable.</w:t>
            </w:r>
          </w:p>
        </w:tc>
      </w:tr>
      <w:tr w:rsidR="00025543" w14:paraId="1F17C8B9" w14:textId="77777777">
        <w:trPr>
          <w:trHeight w:val="309"/>
          <w:jc w:val="center"/>
        </w:trPr>
        <w:tc>
          <w:tcPr>
            <w:tcW w:w="654" w:type="dxa"/>
            <w:shd w:val="clear" w:color="auto" w:fill="C6EFCE"/>
            <w:vAlign w:val="center"/>
          </w:tcPr>
          <w:p w14:paraId="50513C50" w14:textId="3A025FAD" w:rsidR="00025543" w:rsidRDefault="007E3A2F">
            <w:pPr>
              <w:pStyle w:val="P68B1DB1-Normal15"/>
              <w:spacing w:before="0" w:after="0" w:line="240" w:lineRule="auto"/>
              <w:jc w:val="center"/>
              <w:rPr>
                <w:noProof/>
              </w:rPr>
            </w:pPr>
            <w:r>
              <w:rPr>
                <w:noProof/>
              </w:rPr>
              <w:t>310</w:t>
            </w:r>
          </w:p>
        </w:tc>
        <w:tc>
          <w:tcPr>
            <w:tcW w:w="1625" w:type="dxa"/>
            <w:shd w:val="clear" w:color="auto" w:fill="C6EFCE"/>
            <w:vAlign w:val="center"/>
          </w:tcPr>
          <w:p w14:paraId="57839903" w14:textId="4353A540" w:rsidR="00025543" w:rsidRDefault="007E3A2F">
            <w:pPr>
              <w:pStyle w:val="P68B1DB1-Normal11"/>
              <w:spacing w:before="0" w:after="0" w:line="240" w:lineRule="auto"/>
              <w:rPr>
                <w:noProof/>
                <w:color w:val="004300"/>
              </w:rPr>
            </w:pPr>
            <w:r>
              <w:rPr>
                <w:noProof/>
              </w:rPr>
              <w:t>Investissement 1:  Centre de données sur l’électricité</w:t>
            </w:r>
          </w:p>
        </w:tc>
        <w:tc>
          <w:tcPr>
            <w:tcW w:w="1134" w:type="dxa"/>
            <w:shd w:val="clear" w:color="auto" w:fill="C6EFCE"/>
            <w:vAlign w:val="center"/>
          </w:tcPr>
          <w:p w14:paraId="6E91DAA9" w14:textId="7AF76E99" w:rsidR="00025543" w:rsidRDefault="007E3A2F">
            <w:pPr>
              <w:pStyle w:val="P68B1DB1-Normal11"/>
              <w:spacing w:before="0" w:after="0" w:line="240" w:lineRule="auto"/>
              <w:rPr>
                <w:noProof/>
                <w:color w:val="004300"/>
              </w:rPr>
            </w:pPr>
            <w:r>
              <w:rPr>
                <w:noProof/>
              </w:rPr>
              <w:t>Étapes</w:t>
            </w:r>
          </w:p>
        </w:tc>
        <w:tc>
          <w:tcPr>
            <w:tcW w:w="1546" w:type="dxa"/>
            <w:shd w:val="clear" w:color="auto" w:fill="C6EFCE"/>
            <w:vAlign w:val="center"/>
          </w:tcPr>
          <w:p w14:paraId="6C7E65AD" w14:textId="015AE86F" w:rsidR="00025543" w:rsidRDefault="007E3A2F">
            <w:pPr>
              <w:pStyle w:val="P68B1DB1-Normal11"/>
              <w:spacing w:before="0" w:after="0" w:line="240" w:lineRule="auto"/>
              <w:rPr>
                <w:noProof/>
                <w:color w:val="004300"/>
              </w:rPr>
            </w:pPr>
            <w:r>
              <w:rPr>
                <w:noProof/>
              </w:rPr>
              <w:t>Mise en service du centre de données sur l’énergie</w:t>
            </w:r>
          </w:p>
        </w:tc>
        <w:tc>
          <w:tcPr>
            <w:tcW w:w="1799" w:type="dxa"/>
            <w:shd w:val="clear" w:color="auto" w:fill="C6EFCE"/>
            <w:vAlign w:val="center"/>
          </w:tcPr>
          <w:p w14:paraId="480F876C" w14:textId="17939FC0" w:rsidR="00025543" w:rsidRDefault="007E3A2F">
            <w:pPr>
              <w:pStyle w:val="P68B1DB1-Normal11"/>
              <w:spacing w:before="0" w:after="0" w:line="240" w:lineRule="auto"/>
              <w:rPr>
                <w:noProof/>
                <w:color w:val="004300"/>
              </w:rPr>
            </w:pPr>
            <w:r>
              <w:rPr>
                <w:noProof/>
              </w:rPr>
              <w:t>Lancement des fonctionnalités liées au partage de l’énergie</w:t>
            </w:r>
          </w:p>
        </w:tc>
        <w:tc>
          <w:tcPr>
            <w:tcW w:w="988" w:type="dxa"/>
            <w:shd w:val="clear" w:color="auto" w:fill="C6EFCE"/>
            <w:vAlign w:val="center"/>
          </w:tcPr>
          <w:p w14:paraId="16CB1187" w14:textId="15644FC9" w:rsidR="00025543" w:rsidRDefault="007E3A2F">
            <w:pPr>
              <w:pStyle w:val="P68B1DB1-Normal11"/>
              <w:spacing w:before="0" w:after="0" w:line="240" w:lineRule="auto"/>
              <w:rPr>
                <w:noProof/>
                <w:color w:val="004300"/>
              </w:rPr>
            </w:pPr>
            <w:r>
              <w:rPr>
                <w:noProof/>
              </w:rPr>
              <w:t xml:space="preserve"> </w:t>
            </w:r>
          </w:p>
        </w:tc>
        <w:tc>
          <w:tcPr>
            <w:tcW w:w="988" w:type="dxa"/>
            <w:shd w:val="clear" w:color="auto" w:fill="C6EFCE"/>
            <w:vAlign w:val="center"/>
          </w:tcPr>
          <w:p w14:paraId="3B0E4585" w14:textId="77777777" w:rsidR="00025543" w:rsidRDefault="007E3A2F">
            <w:pPr>
              <w:pStyle w:val="P68B1DB1-Normal11"/>
              <w:spacing w:before="0" w:after="0" w:line="240" w:lineRule="auto"/>
              <w:jc w:val="center"/>
              <w:rPr>
                <w:noProof/>
              </w:rPr>
            </w:pPr>
            <w:r>
              <w:rPr>
                <w:noProof/>
              </w:rPr>
              <w:t xml:space="preserve"> </w:t>
            </w:r>
          </w:p>
          <w:p w14:paraId="076C32FA" w14:textId="0B0E34DA" w:rsidR="00025543" w:rsidRDefault="00025543">
            <w:pPr>
              <w:rPr>
                <w:rFonts w:eastAsia="Times New Roman"/>
                <w:noProof/>
                <w:sz w:val="18"/>
              </w:rPr>
            </w:pPr>
          </w:p>
        </w:tc>
        <w:tc>
          <w:tcPr>
            <w:tcW w:w="988" w:type="dxa"/>
            <w:shd w:val="clear" w:color="auto" w:fill="C6EFCE"/>
            <w:vAlign w:val="center"/>
          </w:tcPr>
          <w:p w14:paraId="5CEC4682" w14:textId="22C7DA07" w:rsidR="00025543" w:rsidRDefault="007E3A2F">
            <w:pPr>
              <w:pStyle w:val="P68B1DB1-Normal11"/>
              <w:spacing w:before="0" w:after="0" w:line="240" w:lineRule="auto"/>
              <w:jc w:val="center"/>
              <w:rPr>
                <w:noProof/>
                <w:color w:val="004300"/>
              </w:rPr>
            </w:pPr>
            <w:r>
              <w:rPr>
                <w:noProof/>
              </w:rPr>
              <w:t xml:space="preserve"> </w:t>
            </w:r>
          </w:p>
        </w:tc>
        <w:tc>
          <w:tcPr>
            <w:tcW w:w="1077" w:type="dxa"/>
            <w:shd w:val="clear" w:color="auto" w:fill="C6EFCE"/>
            <w:vAlign w:val="center"/>
          </w:tcPr>
          <w:p w14:paraId="6F59D113" w14:textId="6803FBD5" w:rsidR="00025543" w:rsidRDefault="007E3A2F">
            <w:pPr>
              <w:pStyle w:val="P68B1DB1-Normal11"/>
              <w:spacing w:before="0" w:after="0" w:line="240" w:lineRule="auto"/>
              <w:jc w:val="center"/>
              <w:rPr>
                <w:noProof/>
                <w:color w:val="004300"/>
              </w:rPr>
            </w:pPr>
            <w:r>
              <w:rPr>
                <w:noProof/>
              </w:rPr>
              <w:t>TRIMESTRE 3</w:t>
            </w:r>
          </w:p>
        </w:tc>
        <w:tc>
          <w:tcPr>
            <w:tcW w:w="658" w:type="dxa"/>
            <w:shd w:val="clear" w:color="auto" w:fill="C6EFCE"/>
            <w:vAlign w:val="center"/>
          </w:tcPr>
          <w:p w14:paraId="63B6BCA9" w14:textId="7BE10A8B" w:rsidR="00025543" w:rsidRDefault="007E3A2F">
            <w:pPr>
              <w:pStyle w:val="P68B1DB1-Normal11"/>
              <w:spacing w:before="0" w:after="0" w:line="240" w:lineRule="auto"/>
              <w:jc w:val="center"/>
              <w:rPr>
                <w:noProof/>
                <w:color w:val="004300"/>
              </w:rPr>
            </w:pPr>
            <w:r>
              <w:rPr>
                <w:noProof/>
              </w:rPr>
              <w:t>2024</w:t>
            </w:r>
          </w:p>
        </w:tc>
        <w:tc>
          <w:tcPr>
            <w:tcW w:w="4128" w:type="dxa"/>
            <w:shd w:val="clear" w:color="auto" w:fill="C6EFCE"/>
            <w:vAlign w:val="center"/>
          </w:tcPr>
          <w:p w14:paraId="74709BD9" w14:textId="1AFE203B" w:rsidR="00025543" w:rsidRDefault="007E3A2F">
            <w:pPr>
              <w:pStyle w:val="P68B1DB1-Normal11"/>
              <w:spacing w:before="0" w:after="0" w:line="240" w:lineRule="auto"/>
              <w:rPr>
                <w:noProof/>
                <w:color w:val="004300"/>
              </w:rPr>
            </w:pPr>
            <w:r>
              <w:rPr>
                <w:noProof/>
              </w:rPr>
              <w:t>Le centre de données sur l’électricité commence à exploiter les fonctionnalités liées au partage de l’énergie (mesure et évaluation des données).</w:t>
            </w:r>
          </w:p>
        </w:tc>
      </w:tr>
      <w:tr w:rsidR="00025543" w14:paraId="1DFC404C" w14:textId="77777777">
        <w:trPr>
          <w:trHeight w:val="309"/>
          <w:jc w:val="center"/>
        </w:trPr>
        <w:tc>
          <w:tcPr>
            <w:tcW w:w="654" w:type="dxa"/>
            <w:shd w:val="clear" w:color="auto" w:fill="C6EFCE"/>
            <w:vAlign w:val="center"/>
          </w:tcPr>
          <w:p w14:paraId="0BF73179" w14:textId="1A09E6B3" w:rsidR="00025543" w:rsidRDefault="007E3A2F">
            <w:pPr>
              <w:pStyle w:val="P68B1DB1-Normal15"/>
              <w:spacing w:before="0" w:after="0" w:line="240" w:lineRule="auto"/>
              <w:jc w:val="center"/>
              <w:rPr>
                <w:noProof/>
              </w:rPr>
            </w:pPr>
            <w:r>
              <w:rPr>
                <w:noProof/>
              </w:rPr>
              <w:t>311</w:t>
            </w:r>
          </w:p>
        </w:tc>
        <w:tc>
          <w:tcPr>
            <w:tcW w:w="1625" w:type="dxa"/>
            <w:shd w:val="clear" w:color="auto" w:fill="C6EFCE"/>
            <w:vAlign w:val="center"/>
          </w:tcPr>
          <w:p w14:paraId="713B6073" w14:textId="77777777" w:rsidR="00025543" w:rsidRDefault="007E3A2F">
            <w:pPr>
              <w:pStyle w:val="P68B1DB1-Normal11"/>
              <w:spacing w:line="240" w:lineRule="auto"/>
              <w:rPr>
                <w:noProof/>
              </w:rPr>
            </w:pPr>
            <w:r>
              <w:rPr>
                <w:noProof/>
              </w:rPr>
              <w:t>Investissement 1:  Centre de données sur l’électricité</w:t>
            </w:r>
          </w:p>
          <w:p w14:paraId="2531A73B" w14:textId="0DF00880" w:rsidR="00025543" w:rsidRDefault="007E3A2F">
            <w:pPr>
              <w:pStyle w:val="P68B1DB1-Normal11"/>
              <w:spacing w:before="0" w:after="0" w:line="240" w:lineRule="auto"/>
              <w:rPr>
                <w:noProof/>
              </w:rPr>
            </w:pPr>
            <w:r>
              <w:rPr>
                <w:noProof/>
              </w:rPr>
              <w:t xml:space="preserve"> </w:t>
            </w:r>
          </w:p>
        </w:tc>
        <w:tc>
          <w:tcPr>
            <w:tcW w:w="1134" w:type="dxa"/>
            <w:shd w:val="clear" w:color="auto" w:fill="C6EFCE"/>
            <w:vAlign w:val="center"/>
          </w:tcPr>
          <w:p w14:paraId="7CE945B7" w14:textId="4C82DF8E" w:rsidR="00025543" w:rsidRDefault="007E3A2F">
            <w:pPr>
              <w:pStyle w:val="P68B1DB1-Normal11"/>
              <w:spacing w:before="0" w:after="0" w:line="240" w:lineRule="auto"/>
              <w:rPr>
                <w:noProof/>
              </w:rPr>
            </w:pPr>
            <w:r>
              <w:rPr>
                <w:noProof/>
              </w:rPr>
              <w:t>Étapes</w:t>
            </w:r>
          </w:p>
        </w:tc>
        <w:tc>
          <w:tcPr>
            <w:tcW w:w="1546" w:type="dxa"/>
            <w:shd w:val="clear" w:color="auto" w:fill="C6EFCE"/>
            <w:vAlign w:val="center"/>
          </w:tcPr>
          <w:p w14:paraId="1C248208" w14:textId="53C7283F" w:rsidR="00025543" w:rsidRDefault="007E3A2F">
            <w:pPr>
              <w:pStyle w:val="P68B1DB1-Normal11"/>
              <w:spacing w:before="0" w:after="0" w:line="240" w:lineRule="auto"/>
              <w:rPr>
                <w:noProof/>
              </w:rPr>
            </w:pPr>
            <w:r>
              <w:rPr>
                <w:noProof/>
              </w:rPr>
              <w:t>Mise en service du centre de données sur l’énergie</w:t>
            </w:r>
          </w:p>
        </w:tc>
        <w:tc>
          <w:tcPr>
            <w:tcW w:w="1799" w:type="dxa"/>
            <w:shd w:val="clear" w:color="auto" w:fill="C6EFCE"/>
            <w:vAlign w:val="center"/>
          </w:tcPr>
          <w:p w14:paraId="3F9D2CD2" w14:textId="1A5FD4AD" w:rsidR="00025543" w:rsidRDefault="007E3A2F">
            <w:pPr>
              <w:pStyle w:val="P68B1DB1-Normal11"/>
              <w:spacing w:before="0" w:after="0" w:line="240" w:lineRule="auto"/>
              <w:rPr>
                <w:noProof/>
              </w:rPr>
            </w:pPr>
            <w:r>
              <w:rPr>
                <w:noProof/>
              </w:rPr>
              <w:t>Toutes les fonctionnalités sont opérationnelles</w:t>
            </w:r>
          </w:p>
        </w:tc>
        <w:tc>
          <w:tcPr>
            <w:tcW w:w="988" w:type="dxa"/>
            <w:shd w:val="clear" w:color="auto" w:fill="C6EFCE"/>
            <w:vAlign w:val="center"/>
          </w:tcPr>
          <w:p w14:paraId="0BCD4BCF" w14:textId="696EB7E1" w:rsidR="00025543" w:rsidRDefault="007E3A2F">
            <w:pPr>
              <w:pStyle w:val="P68B1DB1-Normal11"/>
              <w:spacing w:before="0" w:after="0" w:line="240" w:lineRule="auto"/>
              <w:rPr>
                <w:noProof/>
              </w:rPr>
            </w:pPr>
            <w:r>
              <w:rPr>
                <w:noProof/>
              </w:rPr>
              <w:t xml:space="preserve"> </w:t>
            </w:r>
          </w:p>
        </w:tc>
        <w:tc>
          <w:tcPr>
            <w:tcW w:w="988" w:type="dxa"/>
            <w:shd w:val="clear" w:color="auto" w:fill="C6EFCE"/>
            <w:vAlign w:val="center"/>
          </w:tcPr>
          <w:p w14:paraId="5DE1FDAB" w14:textId="57911412" w:rsidR="00025543" w:rsidRDefault="007E3A2F">
            <w:pPr>
              <w:pStyle w:val="P68B1DB1-Normal11"/>
              <w:spacing w:before="0" w:after="0" w:line="240" w:lineRule="auto"/>
              <w:jc w:val="center"/>
              <w:rPr>
                <w:noProof/>
              </w:rPr>
            </w:pPr>
            <w:r>
              <w:rPr>
                <w:noProof/>
              </w:rPr>
              <w:t xml:space="preserve"> </w:t>
            </w:r>
          </w:p>
        </w:tc>
        <w:tc>
          <w:tcPr>
            <w:tcW w:w="988" w:type="dxa"/>
            <w:shd w:val="clear" w:color="auto" w:fill="C6EFCE"/>
            <w:vAlign w:val="center"/>
          </w:tcPr>
          <w:p w14:paraId="41CD6F2C" w14:textId="73BBCE81" w:rsidR="00025543" w:rsidRDefault="007E3A2F">
            <w:pPr>
              <w:pStyle w:val="P68B1DB1-Normal11"/>
              <w:spacing w:before="0" w:after="0" w:line="240" w:lineRule="auto"/>
              <w:jc w:val="center"/>
              <w:rPr>
                <w:noProof/>
              </w:rPr>
            </w:pPr>
            <w:r>
              <w:rPr>
                <w:noProof/>
              </w:rPr>
              <w:t xml:space="preserve"> </w:t>
            </w:r>
          </w:p>
        </w:tc>
        <w:tc>
          <w:tcPr>
            <w:tcW w:w="1077" w:type="dxa"/>
            <w:shd w:val="clear" w:color="auto" w:fill="C6EFCE"/>
            <w:vAlign w:val="center"/>
          </w:tcPr>
          <w:p w14:paraId="012ED3F7" w14:textId="06EE0E26" w:rsidR="00025543" w:rsidRDefault="007E3A2F">
            <w:pPr>
              <w:pStyle w:val="P68B1DB1-Normal11"/>
              <w:spacing w:before="0" w:after="0" w:line="240" w:lineRule="auto"/>
              <w:jc w:val="center"/>
              <w:rPr>
                <w:noProof/>
              </w:rPr>
            </w:pPr>
            <w:r>
              <w:rPr>
                <w:noProof/>
              </w:rPr>
              <w:t>TRIMESTRE 1</w:t>
            </w:r>
          </w:p>
        </w:tc>
        <w:tc>
          <w:tcPr>
            <w:tcW w:w="658" w:type="dxa"/>
            <w:shd w:val="clear" w:color="auto" w:fill="C6EFCE"/>
            <w:vAlign w:val="center"/>
          </w:tcPr>
          <w:p w14:paraId="7C864A32" w14:textId="75A16ED7" w:rsidR="00025543" w:rsidRDefault="007E3A2F">
            <w:pPr>
              <w:pStyle w:val="P68B1DB1-Normal11"/>
              <w:spacing w:before="0" w:after="0" w:line="240" w:lineRule="auto"/>
              <w:jc w:val="center"/>
              <w:rPr>
                <w:noProof/>
              </w:rPr>
            </w:pPr>
            <w:r>
              <w:rPr>
                <w:noProof/>
              </w:rPr>
              <w:t>2026</w:t>
            </w:r>
          </w:p>
        </w:tc>
        <w:tc>
          <w:tcPr>
            <w:tcW w:w="4128" w:type="dxa"/>
            <w:shd w:val="clear" w:color="auto" w:fill="C6EFCE"/>
            <w:vAlign w:val="center"/>
          </w:tcPr>
          <w:p w14:paraId="4D26204C" w14:textId="222724EB" w:rsidR="00025543" w:rsidRDefault="007E3A2F">
            <w:pPr>
              <w:pStyle w:val="P68B1DB1-Normal11"/>
              <w:spacing w:after="0" w:line="240" w:lineRule="auto"/>
              <w:rPr>
                <w:noProof/>
              </w:rPr>
            </w:pPr>
            <w:r>
              <w:rPr>
                <w:noProof/>
              </w:rPr>
              <w:t xml:space="preserve">Outre les fonctionnalités liées au partage de l’énergie, le centre de données sur l’électricité fournit des services dans les domaines suivants: </w:t>
            </w:r>
          </w:p>
          <w:p w14:paraId="4AB1D68E" w14:textId="52C008A9" w:rsidR="00025543" w:rsidRDefault="007E3A2F">
            <w:pPr>
              <w:pStyle w:val="P68B1DB1-Normal11"/>
              <w:spacing w:after="0" w:line="240" w:lineRule="auto"/>
              <w:rPr>
                <w:noProof/>
              </w:rPr>
            </w:pPr>
            <w:r>
              <w:rPr>
                <w:noProof/>
              </w:rPr>
              <w:t>collecte, fourniture et transmission de données de mesure</w:t>
            </w:r>
          </w:p>
          <w:p w14:paraId="2380E259" w14:textId="77777777" w:rsidR="00025543" w:rsidRDefault="007E3A2F">
            <w:pPr>
              <w:pStyle w:val="P68B1DB1-Normal11"/>
              <w:spacing w:after="0" w:line="240" w:lineRule="auto"/>
              <w:rPr>
                <w:noProof/>
              </w:rPr>
            </w:pPr>
            <w:r>
              <w:rPr>
                <w:noProof/>
              </w:rPr>
              <w:t xml:space="preserve">enregistrement et évaluation des données aux fins du stockage de l’électricité, du partage de l’électricité, de la flexibilité, </w:t>
            </w:r>
          </w:p>
          <w:p w14:paraId="2278453A" w14:textId="77777777" w:rsidR="00025543" w:rsidRDefault="007E3A2F">
            <w:pPr>
              <w:pStyle w:val="P68B1DB1-Normal11"/>
              <w:spacing w:after="0" w:line="240" w:lineRule="auto"/>
              <w:rPr>
                <w:noProof/>
              </w:rPr>
            </w:pPr>
            <w:r>
              <w:rPr>
                <w:noProof/>
              </w:rPr>
              <w:t>collecte et partage de données pour l’équilibrage et la programmation du réseau</w:t>
            </w:r>
          </w:p>
          <w:p w14:paraId="7B049430" w14:textId="77777777" w:rsidR="00025543" w:rsidRDefault="007E3A2F">
            <w:pPr>
              <w:pStyle w:val="P68B1DB1-Normal11"/>
              <w:spacing w:after="0" w:line="240" w:lineRule="auto"/>
              <w:rPr>
                <w:noProof/>
              </w:rPr>
            </w:pPr>
            <w:r>
              <w:rPr>
                <w:noProof/>
              </w:rPr>
              <w:t>enregistrement des données de marché et de référence</w:t>
            </w:r>
          </w:p>
          <w:p w14:paraId="79B5F8A2" w14:textId="77777777" w:rsidR="00025543" w:rsidRDefault="007E3A2F">
            <w:pPr>
              <w:pStyle w:val="P68B1DB1-Normal11"/>
              <w:spacing w:after="0" w:line="240" w:lineRule="auto"/>
              <w:rPr>
                <w:noProof/>
              </w:rPr>
            </w:pPr>
            <w:r>
              <w:rPr>
                <w:noProof/>
              </w:rPr>
              <w:t xml:space="preserve">publier des informations sur l’état du réseau et les possibilités d’activation de la flexibilité </w:t>
            </w:r>
          </w:p>
          <w:p w14:paraId="55106127" w14:textId="2C192B90" w:rsidR="00025543" w:rsidRDefault="007E3A2F">
            <w:pPr>
              <w:pStyle w:val="P68B1DB1-Normal11"/>
              <w:spacing w:after="0" w:line="240" w:lineRule="auto"/>
              <w:rPr>
                <w:noProof/>
              </w:rPr>
            </w:pPr>
            <w:r>
              <w:rPr>
                <w:noProof/>
              </w:rPr>
              <w:t>— fournir des informations sur la flexibilité disponible</w:t>
            </w:r>
          </w:p>
          <w:p w14:paraId="46D96B75" w14:textId="77777777" w:rsidR="00025543" w:rsidRDefault="00025543">
            <w:pPr>
              <w:spacing w:before="0" w:after="0" w:line="240" w:lineRule="auto"/>
              <w:rPr>
                <w:rFonts w:eastAsia="Times New Roman"/>
                <w:noProof/>
                <w:color w:val="006100"/>
                <w:sz w:val="18"/>
              </w:rPr>
            </w:pPr>
          </w:p>
        </w:tc>
      </w:tr>
      <w:tr w:rsidR="00025543" w14:paraId="35F10299" w14:textId="77777777">
        <w:trPr>
          <w:trHeight w:val="309"/>
          <w:jc w:val="center"/>
        </w:trPr>
        <w:tc>
          <w:tcPr>
            <w:tcW w:w="654" w:type="dxa"/>
            <w:shd w:val="clear" w:color="auto" w:fill="C6EFCE"/>
            <w:vAlign w:val="center"/>
          </w:tcPr>
          <w:p w14:paraId="26F58F16" w14:textId="49D2DE81" w:rsidR="00025543" w:rsidRDefault="007E3A2F">
            <w:pPr>
              <w:pStyle w:val="P68B1DB1-Normal15"/>
              <w:spacing w:before="0" w:after="0" w:line="240" w:lineRule="auto"/>
              <w:jc w:val="center"/>
              <w:rPr>
                <w:noProof/>
              </w:rPr>
            </w:pPr>
            <w:r>
              <w:rPr>
                <w:noProof/>
              </w:rPr>
              <w:t xml:space="preserve"> 312</w:t>
            </w:r>
          </w:p>
        </w:tc>
        <w:tc>
          <w:tcPr>
            <w:tcW w:w="1625" w:type="dxa"/>
            <w:shd w:val="clear" w:color="auto" w:fill="C6EFCE"/>
            <w:vAlign w:val="center"/>
          </w:tcPr>
          <w:p w14:paraId="357EFE28" w14:textId="0D40FF13" w:rsidR="00025543" w:rsidRDefault="007E3A2F">
            <w:pPr>
              <w:pStyle w:val="P68B1DB1-Normal11"/>
              <w:spacing w:line="240" w:lineRule="auto"/>
              <w:rPr>
                <w:noProof/>
              </w:rPr>
            </w:pPr>
            <w:r>
              <w:rPr>
                <w:noProof/>
              </w:rPr>
              <w:t>Réforme 1: Communautés énergétiques</w:t>
            </w:r>
          </w:p>
        </w:tc>
        <w:tc>
          <w:tcPr>
            <w:tcW w:w="1134" w:type="dxa"/>
            <w:shd w:val="clear" w:color="auto" w:fill="C6EFCE"/>
            <w:vAlign w:val="center"/>
          </w:tcPr>
          <w:p w14:paraId="63E92317" w14:textId="11862DBC" w:rsidR="00025543" w:rsidRDefault="007E3A2F">
            <w:pPr>
              <w:pStyle w:val="P68B1DB1-Normal11"/>
              <w:spacing w:before="0" w:after="0" w:line="240" w:lineRule="auto"/>
              <w:rPr>
                <w:noProof/>
              </w:rPr>
            </w:pPr>
            <w:r>
              <w:rPr>
                <w:noProof/>
              </w:rPr>
              <w:t>Étapes</w:t>
            </w:r>
          </w:p>
        </w:tc>
        <w:tc>
          <w:tcPr>
            <w:tcW w:w="1546" w:type="dxa"/>
            <w:shd w:val="clear" w:color="auto" w:fill="C6EFCE"/>
            <w:vAlign w:val="center"/>
          </w:tcPr>
          <w:p w14:paraId="639530C1" w14:textId="77777777" w:rsidR="00025543" w:rsidRDefault="007E3A2F">
            <w:pPr>
              <w:pStyle w:val="P68B1DB1-Normal11"/>
              <w:spacing w:line="240" w:lineRule="auto"/>
              <w:jc w:val="center"/>
              <w:rPr>
                <w:noProof/>
              </w:rPr>
            </w:pPr>
            <w:r>
              <w:rPr>
                <w:noProof/>
              </w:rPr>
              <w:t>Entrée en vigueur de la législation modifiée sur les communautés énergétiques</w:t>
            </w:r>
          </w:p>
          <w:p w14:paraId="01F40C0A" w14:textId="77777777" w:rsidR="00025543" w:rsidRDefault="00025543">
            <w:pPr>
              <w:spacing w:before="0" w:after="0" w:line="240" w:lineRule="auto"/>
              <w:rPr>
                <w:rFonts w:eastAsia="Times New Roman"/>
                <w:noProof/>
                <w:color w:val="006100"/>
                <w:sz w:val="18"/>
              </w:rPr>
            </w:pPr>
          </w:p>
        </w:tc>
        <w:tc>
          <w:tcPr>
            <w:tcW w:w="1799" w:type="dxa"/>
            <w:shd w:val="clear" w:color="auto" w:fill="C6EFCE"/>
            <w:vAlign w:val="center"/>
          </w:tcPr>
          <w:p w14:paraId="0A7E9794" w14:textId="6D7C4370" w:rsidR="00025543" w:rsidRDefault="007E3A2F">
            <w:pPr>
              <w:pStyle w:val="P68B1DB1-Normal11"/>
              <w:spacing w:before="0" w:after="0" w:line="240" w:lineRule="auto"/>
              <w:rPr>
                <w:noProof/>
              </w:rPr>
            </w:pPr>
            <w:r>
              <w:rPr>
                <w:noProof/>
              </w:rPr>
              <w:t>Disposition dans la loi indiquant la date d’entrée en vigueur de la loi</w:t>
            </w:r>
          </w:p>
        </w:tc>
        <w:tc>
          <w:tcPr>
            <w:tcW w:w="988" w:type="dxa"/>
            <w:shd w:val="clear" w:color="auto" w:fill="C6EFCE"/>
            <w:vAlign w:val="center"/>
          </w:tcPr>
          <w:p w14:paraId="3589C83C" w14:textId="53340C08" w:rsidR="00025543" w:rsidRDefault="007E3A2F">
            <w:pPr>
              <w:pStyle w:val="P68B1DB1-Normal11"/>
              <w:spacing w:before="0" w:after="0" w:line="240" w:lineRule="auto"/>
              <w:rPr>
                <w:noProof/>
              </w:rPr>
            </w:pPr>
            <w:r>
              <w:rPr>
                <w:noProof/>
              </w:rPr>
              <w:t xml:space="preserve"> </w:t>
            </w:r>
          </w:p>
        </w:tc>
        <w:tc>
          <w:tcPr>
            <w:tcW w:w="988" w:type="dxa"/>
            <w:shd w:val="clear" w:color="auto" w:fill="C6EFCE"/>
            <w:vAlign w:val="center"/>
          </w:tcPr>
          <w:p w14:paraId="01D36A80" w14:textId="0EBE81ED" w:rsidR="00025543" w:rsidRDefault="007E3A2F">
            <w:pPr>
              <w:pStyle w:val="P68B1DB1-Normal11"/>
              <w:spacing w:before="0" w:after="0" w:line="240" w:lineRule="auto"/>
              <w:jc w:val="center"/>
              <w:rPr>
                <w:noProof/>
              </w:rPr>
            </w:pPr>
            <w:r>
              <w:rPr>
                <w:noProof/>
              </w:rPr>
              <w:t xml:space="preserve"> </w:t>
            </w:r>
          </w:p>
        </w:tc>
        <w:tc>
          <w:tcPr>
            <w:tcW w:w="988" w:type="dxa"/>
            <w:shd w:val="clear" w:color="auto" w:fill="C6EFCE"/>
            <w:vAlign w:val="center"/>
          </w:tcPr>
          <w:p w14:paraId="26A96A59" w14:textId="3D8B0D9B" w:rsidR="00025543" w:rsidRDefault="007E3A2F">
            <w:pPr>
              <w:pStyle w:val="P68B1DB1-Normal11"/>
              <w:spacing w:before="0" w:after="0" w:line="240" w:lineRule="auto"/>
              <w:jc w:val="center"/>
              <w:rPr>
                <w:noProof/>
              </w:rPr>
            </w:pPr>
            <w:r>
              <w:rPr>
                <w:noProof/>
              </w:rPr>
              <w:t xml:space="preserve"> </w:t>
            </w:r>
          </w:p>
        </w:tc>
        <w:tc>
          <w:tcPr>
            <w:tcW w:w="1077" w:type="dxa"/>
            <w:shd w:val="clear" w:color="auto" w:fill="C6EFCE"/>
            <w:vAlign w:val="center"/>
          </w:tcPr>
          <w:p w14:paraId="4C619480" w14:textId="1A95C91B" w:rsidR="00025543" w:rsidRDefault="007E3A2F">
            <w:pPr>
              <w:pStyle w:val="P68B1DB1-Normal11"/>
              <w:spacing w:before="0" w:after="0" w:line="240" w:lineRule="auto"/>
              <w:jc w:val="center"/>
              <w:rPr>
                <w:noProof/>
              </w:rPr>
            </w:pPr>
            <w:r>
              <w:rPr>
                <w:noProof/>
              </w:rPr>
              <w:t>TRIMESTRE 1</w:t>
            </w:r>
          </w:p>
        </w:tc>
        <w:tc>
          <w:tcPr>
            <w:tcW w:w="658" w:type="dxa"/>
            <w:shd w:val="clear" w:color="auto" w:fill="C6EFCE"/>
            <w:vAlign w:val="center"/>
          </w:tcPr>
          <w:p w14:paraId="568ADDDF" w14:textId="7F50C375" w:rsidR="00025543" w:rsidRDefault="007E3A2F">
            <w:pPr>
              <w:pStyle w:val="P68B1DB1-Normal11"/>
              <w:spacing w:before="0" w:after="0" w:line="240" w:lineRule="auto"/>
              <w:jc w:val="center"/>
              <w:rPr>
                <w:noProof/>
              </w:rPr>
            </w:pPr>
            <w:r>
              <w:rPr>
                <w:noProof/>
              </w:rPr>
              <w:t>2024</w:t>
            </w:r>
          </w:p>
        </w:tc>
        <w:tc>
          <w:tcPr>
            <w:tcW w:w="4128" w:type="dxa"/>
            <w:shd w:val="clear" w:color="auto" w:fill="C6EFCE"/>
            <w:vAlign w:val="center"/>
          </w:tcPr>
          <w:p w14:paraId="5867579D" w14:textId="77777777" w:rsidR="00025543" w:rsidRDefault="007E3A2F">
            <w:pPr>
              <w:pStyle w:val="P68B1DB1-Normal11"/>
              <w:spacing w:line="240" w:lineRule="auto"/>
              <w:jc w:val="both"/>
              <w:rPr>
                <w:noProof/>
              </w:rPr>
            </w:pPr>
            <w:r>
              <w:rPr>
                <w:noProof/>
              </w:rPr>
              <w:t xml:space="preserve">Entrée en vigueur de la législation établissant un cadre réglementaire pour les citoyens et les communautés d’énergie renouvelable. </w:t>
            </w:r>
          </w:p>
          <w:p w14:paraId="0F990279" w14:textId="77777777" w:rsidR="00025543" w:rsidRDefault="007E3A2F">
            <w:pPr>
              <w:pStyle w:val="P68B1DB1-Normal11"/>
              <w:spacing w:line="240" w:lineRule="auto"/>
              <w:jc w:val="both"/>
              <w:rPr>
                <w:noProof/>
              </w:rPr>
            </w:pPr>
            <w:r>
              <w:rPr>
                <w:noProof/>
              </w:rPr>
              <w:t xml:space="preserve">La réforme introduit des incitations au développement des communautés énergétiques et encourage la production et la consommation collectives dans le cadre des communautés énergétiques. </w:t>
            </w:r>
          </w:p>
          <w:p w14:paraId="7C0086AA" w14:textId="77777777" w:rsidR="00025543" w:rsidRDefault="007E3A2F">
            <w:pPr>
              <w:pStyle w:val="P68B1DB1-Normal11"/>
              <w:spacing w:line="240" w:lineRule="auto"/>
              <w:jc w:val="both"/>
              <w:rPr>
                <w:noProof/>
              </w:rPr>
            </w:pPr>
            <w:r>
              <w:rPr>
                <w:noProof/>
              </w:rPr>
              <w:t>La réforme met en œuvre le principe de la participation ouverte, ne restreint pas indûment l’autoconsommation et la production collectives ni n’introduit aucune restriction injustifiée fondée sur la taille ou la géographie. Les communautés énergétiques renouvelables et citoyennes sont également autorisées à opérer dans le secteur du chauffage renouvelable, et pas seulement sur le marché de l’électricité. La réforme garantit à tout client participant au partage de l’énergie le droit de recevoir un compteur intelligent.</w:t>
            </w:r>
          </w:p>
          <w:p w14:paraId="3B3B1621" w14:textId="77777777" w:rsidR="00025543" w:rsidRDefault="007E3A2F">
            <w:pPr>
              <w:pStyle w:val="P68B1DB1-Normal11"/>
              <w:spacing w:line="240" w:lineRule="auto"/>
              <w:jc w:val="both"/>
              <w:rPr>
                <w:noProof/>
              </w:rPr>
            </w:pPr>
            <w:r>
              <w:rPr>
                <w:noProof/>
              </w:rPr>
              <w:t>Les communautés énergétiques renouvelables et citoyennes ont le droit de recevoir des données de comptage sur l’approvisionnement en électricité, des données de comptage tenant compte de l’électricité partagée au sein de la communauté énergétique et des données évaluées.</w:t>
            </w:r>
          </w:p>
          <w:p w14:paraId="286E9904" w14:textId="77777777" w:rsidR="00025543" w:rsidRDefault="00025543">
            <w:pPr>
              <w:spacing w:after="0" w:line="240" w:lineRule="auto"/>
              <w:rPr>
                <w:rFonts w:eastAsia="Times New Roman"/>
                <w:noProof/>
                <w:color w:val="006100"/>
                <w:sz w:val="18"/>
              </w:rPr>
            </w:pPr>
          </w:p>
        </w:tc>
      </w:tr>
      <w:tr w:rsidR="00025543" w14:paraId="20B08043" w14:textId="77777777">
        <w:trPr>
          <w:trHeight w:val="309"/>
          <w:jc w:val="center"/>
        </w:trPr>
        <w:tc>
          <w:tcPr>
            <w:tcW w:w="654" w:type="dxa"/>
            <w:shd w:val="clear" w:color="auto" w:fill="C6EFCE"/>
            <w:vAlign w:val="center"/>
          </w:tcPr>
          <w:p w14:paraId="37887B0D" w14:textId="650CF241" w:rsidR="00025543" w:rsidRDefault="007E3A2F">
            <w:pPr>
              <w:pStyle w:val="P68B1DB1-Normal15"/>
              <w:spacing w:before="0" w:after="0" w:line="240" w:lineRule="auto"/>
              <w:jc w:val="center"/>
              <w:rPr>
                <w:noProof/>
              </w:rPr>
            </w:pPr>
            <w:r>
              <w:rPr>
                <w:noProof/>
              </w:rPr>
              <w:t>313</w:t>
            </w:r>
          </w:p>
        </w:tc>
        <w:tc>
          <w:tcPr>
            <w:tcW w:w="1625" w:type="dxa"/>
            <w:shd w:val="clear" w:color="auto" w:fill="C6EFCE"/>
            <w:vAlign w:val="center"/>
          </w:tcPr>
          <w:p w14:paraId="09E573C6" w14:textId="2E35562B" w:rsidR="00025543" w:rsidRDefault="007E3A2F">
            <w:pPr>
              <w:pStyle w:val="P68B1DB1-Normal11"/>
              <w:spacing w:line="240" w:lineRule="auto"/>
              <w:rPr>
                <w:noProof/>
              </w:rPr>
            </w:pPr>
            <w:r>
              <w:rPr>
                <w:noProof/>
              </w:rPr>
              <w:t xml:space="preserve">Réforme 1: Communautés énergétiques </w:t>
            </w:r>
          </w:p>
        </w:tc>
        <w:tc>
          <w:tcPr>
            <w:tcW w:w="1134" w:type="dxa"/>
            <w:shd w:val="clear" w:color="auto" w:fill="C6EFCE"/>
            <w:vAlign w:val="center"/>
          </w:tcPr>
          <w:p w14:paraId="4297226F" w14:textId="4F378291" w:rsidR="00025543" w:rsidRDefault="007E3A2F">
            <w:pPr>
              <w:pStyle w:val="P68B1DB1-Normal11"/>
              <w:spacing w:before="0" w:after="0" w:line="240" w:lineRule="auto"/>
              <w:rPr>
                <w:noProof/>
              </w:rPr>
            </w:pPr>
            <w:r>
              <w:rPr>
                <w:noProof/>
              </w:rPr>
              <w:t>Étapes</w:t>
            </w:r>
          </w:p>
        </w:tc>
        <w:tc>
          <w:tcPr>
            <w:tcW w:w="1546" w:type="dxa"/>
            <w:shd w:val="clear" w:color="auto" w:fill="C6EFCE"/>
            <w:vAlign w:val="center"/>
          </w:tcPr>
          <w:p w14:paraId="3B10DC4F" w14:textId="1F98D170" w:rsidR="00025543" w:rsidRDefault="007E3A2F">
            <w:pPr>
              <w:pStyle w:val="P68B1DB1-Normal11"/>
              <w:spacing w:line="240" w:lineRule="auto"/>
              <w:jc w:val="center"/>
              <w:rPr>
                <w:noProof/>
              </w:rPr>
            </w:pPr>
            <w:r>
              <w:rPr>
                <w:noProof/>
              </w:rPr>
              <w:t>Rapport sur l’état d’avancement des investissements dans les infrastructures informatiques</w:t>
            </w:r>
          </w:p>
        </w:tc>
        <w:tc>
          <w:tcPr>
            <w:tcW w:w="1799" w:type="dxa"/>
            <w:shd w:val="clear" w:color="auto" w:fill="C6EFCE"/>
            <w:vAlign w:val="center"/>
          </w:tcPr>
          <w:p w14:paraId="10E09054" w14:textId="44A78A95" w:rsidR="00025543" w:rsidRDefault="007E3A2F">
            <w:pPr>
              <w:pStyle w:val="P68B1DB1-Normal11"/>
              <w:spacing w:before="0" w:after="0" w:line="240" w:lineRule="auto"/>
              <w:rPr>
                <w:noProof/>
              </w:rPr>
            </w:pPr>
            <w:r>
              <w:rPr>
                <w:noProof/>
              </w:rPr>
              <w:t>Publication du rapport</w:t>
            </w:r>
          </w:p>
        </w:tc>
        <w:tc>
          <w:tcPr>
            <w:tcW w:w="988" w:type="dxa"/>
            <w:shd w:val="clear" w:color="auto" w:fill="C6EFCE"/>
            <w:vAlign w:val="center"/>
          </w:tcPr>
          <w:p w14:paraId="120DA0E3" w14:textId="77777777" w:rsidR="00025543" w:rsidRDefault="00025543">
            <w:pPr>
              <w:spacing w:before="0" w:after="0" w:line="240" w:lineRule="auto"/>
              <w:rPr>
                <w:rFonts w:eastAsia="Times New Roman"/>
                <w:noProof/>
                <w:color w:val="006100"/>
                <w:sz w:val="18"/>
              </w:rPr>
            </w:pPr>
          </w:p>
        </w:tc>
        <w:tc>
          <w:tcPr>
            <w:tcW w:w="988" w:type="dxa"/>
            <w:shd w:val="clear" w:color="auto" w:fill="C6EFCE"/>
            <w:vAlign w:val="center"/>
          </w:tcPr>
          <w:p w14:paraId="2FE1EB0C" w14:textId="77777777" w:rsidR="00025543" w:rsidRDefault="00025543">
            <w:pPr>
              <w:spacing w:before="0" w:after="0" w:line="240" w:lineRule="auto"/>
              <w:jc w:val="center"/>
              <w:rPr>
                <w:rFonts w:eastAsia="Times New Roman"/>
                <w:noProof/>
                <w:color w:val="006100"/>
                <w:sz w:val="18"/>
              </w:rPr>
            </w:pPr>
          </w:p>
        </w:tc>
        <w:tc>
          <w:tcPr>
            <w:tcW w:w="988" w:type="dxa"/>
            <w:shd w:val="clear" w:color="auto" w:fill="C6EFCE"/>
            <w:vAlign w:val="center"/>
          </w:tcPr>
          <w:p w14:paraId="09030940" w14:textId="77777777" w:rsidR="00025543" w:rsidRDefault="00025543">
            <w:pPr>
              <w:spacing w:before="0" w:after="0" w:line="240" w:lineRule="auto"/>
              <w:jc w:val="center"/>
              <w:rPr>
                <w:rFonts w:eastAsia="Times New Roman"/>
                <w:noProof/>
                <w:color w:val="006100"/>
                <w:sz w:val="18"/>
              </w:rPr>
            </w:pPr>
          </w:p>
        </w:tc>
        <w:tc>
          <w:tcPr>
            <w:tcW w:w="1077" w:type="dxa"/>
            <w:shd w:val="clear" w:color="auto" w:fill="C6EFCE"/>
            <w:vAlign w:val="center"/>
          </w:tcPr>
          <w:p w14:paraId="54868037" w14:textId="6A7C4840" w:rsidR="00025543" w:rsidRDefault="007E3A2F">
            <w:pPr>
              <w:pStyle w:val="P68B1DB1-Normal11"/>
              <w:spacing w:before="0" w:after="0" w:line="240" w:lineRule="auto"/>
              <w:jc w:val="center"/>
              <w:rPr>
                <w:noProof/>
              </w:rPr>
            </w:pPr>
            <w:r>
              <w:rPr>
                <w:noProof/>
              </w:rPr>
              <w:t>TRIMESTRE 1</w:t>
            </w:r>
          </w:p>
        </w:tc>
        <w:tc>
          <w:tcPr>
            <w:tcW w:w="658" w:type="dxa"/>
            <w:shd w:val="clear" w:color="auto" w:fill="C6EFCE"/>
            <w:vAlign w:val="center"/>
          </w:tcPr>
          <w:p w14:paraId="46F19F03" w14:textId="3CEC9C16" w:rsidR="00025543" w:rsidRDefault="007E3A2F">
            <w:pPr>
              <w:pStyle w:val="P68B1DB1-Normal11"/>
              <w:spacing w:before="0" w:after="0" w:line="240" w:lineRule="auto"/>
              <w:jc w:val="center"/>
              <w:rPr>
                <w:noProof/>
              </w:rPr>
            </w:pPr>
            <w:r>
              <w:rPr>
                <w:noProof/>
              </w:rPr>
              <w:t>2025</w:t>
            </w:r>
          </w:p>
        </w:tc>
        <w:tc>
          <w:tcPr>
            <w:tcW w:w="4128" w:type="dxa"/>
            <w:shd w:val="clear" w:color="auto" w:fill="C6EFCE"/>
            <w:vAlign w:val="center"/>
          </w:tcPr>
          <w:p w14:paraId="5C2CD3DA" w14:textId="77777777" w:rsidR="00025543" w:rsidRDefault="007E3A2F">
            <w:pPr>
              <w:pStyle w:val="P68B1DB1-Normal11"/>
              <w:spacing w:line="240" w:lineRule="auto"/>
              <w:jc w:val="both"/>
              <w:rPr>
                <w:noProof/>
              </w:rPr>
            </w:pPr>
            <w:r>
              <w:rPr>
                <w:noProof/>
              </w:rPr>
              <w:t>Un rapport évaluant les investissements réalisés par les GRD dans les systèmes de comptage et de facturation, les infrastructures informatiques ainsi que les lacunes et les futurs besoins d’investissement en vue de garantir le partage de l’énergie dans une zone de dépôt des offres est publié par un tiers indépendant.</w:t>
            </w:r>
          </w:p>
          <w:p w14:paraId="3E6E188C" w14:textId="77777777" w:rsidR="00025543" w:rsidRDefault="00025543">
            <w:pPr>
              <w:spacing w:line="240" w:lineRule="auto"/>
              <w:jc w:val="both"/>
              <w:rPr>
                <w:rFonts w:eastAsia="Times New Roman"/>
                <w:noProof/>
                <w:color w:val="006100"/>
                <w:sz w:val="18"/>
              </w:rPr>
            </w:pPr>
          </w:p>
        </w:tc>
      </w:tr>
      <w:tr w:rsidR="00025543" w14:paraId="3F82BA11" w14:textId="77777777">
        <w:trPr>
          <w:trHeight w:val="309"/>
          <w:jc w:val="center"/>
        </w:trPr>
        <w:tc>
          <w:tcPr>
            <w:tcW w:w="654" w:type="dxa"/>
            <w:shd w:val="clear" w:color="auto" w:fill="C6EFCE"/>
            <w:vAlign w:val="center"/>
          </w:tcPr>
          <w:p w14:paraId="307E1DA0" w14:textId="32C231EC" w:rsidR="00025543" w:rsidRDefault="007E3A2F">
            <w:pPr>
              <w:pStyle w:val="P68B1DB1-Normal15"/>
              <w:spacing w:before="0" w:after="0" w:line="240" w:lineRule="auto"/>
              <w:jc w:val="center"/>
              <w:rPr>
                <w:noProof/>
              </w:rPr>
            </w:pPr>
            <w:r>
              <w:rPr>
                <w:noProof/>
              </w:rPr>
              <w:t>314</w:t>
            </w:r>
          </w:p>
        </w:tc>
        <w:tc>
          <w:tcPr>
            <w:tcW w:w="1625" w:type="dxa"/>
            <w:shd w:val="clear" w:color="auto" w:fill="C6EFCE"/>
            <w:vAlign w:val="center"/>
          </w:tcPr>
          <w:p w14:paraId="71434EE0" w14:textId="1528E3F0" w:rsidR="00025543" w:rsidRDefault="007E3A2F">
            <w:pPr>
              <w:pStyle w:val="P68B1DB1-Normal11"/>
              <w:spacing w:line="240" w:lineRule="auto"/>
              <w:rPr>
                <w:noProof/>
              </w:rPr>
            </w:pPr>
            <w:r>
              <w:rPr>
                <w:noProof/>
              </w:rPr>
              <w:t>Réforme 1: Communautés énergétiques</w:t>
            </w:r>
          </w:p>
        </w:tc>
        <w:tc>
          <w:tcPr>
            <w:tcW w:w="1134" w:type="dxa"/>
            <w:shd w:val="clear" w:color="auto" w:fill="C6EFCE"/>
            <w:vAlign w:val="center"/>
          </w:tcPr>
          <w:p w14:paraId="5CBD25C8" w14:textId="77777777" w:rsidR="00025543" w:rsidRDefault="00025543">
            <w:pPr>
              <w:spacing w:line="240" w:lineRule="auto"/>
              <w:rPr>
                <w:rFonts w:eastAsia="Times New Roman"/>
                <w:noProof/>
                <w:color w:val="006100"/>
                <w:sz w:val="18"/>
              </w:rPr>
            </w:pPr>
          </w:p>
          <w:p w14:paraId="3E35D9B7" w14:textId="5F5F6151" w:rsidR="00025543" w:rsidRDefault="007E3A2F">
            <w:pPr>
              <w:pStyle w:val="P68B1DB1-Normal11"/>
              <w:spacing w:before="0" w:after="0" w:line="240" w:lineRule="auto"/>
              <w:rPr>
                <w:noProof/>
              </w:rPr>
            </w:pPr>
            <w:r>
              <w:rPr>
                <w:noProof/>
              </w:rPr>
              <w:t>Étapes</w:t>
            </w:r>
          </w:p>
        </w:tc>
        <w:tc>
          <w:tcPr>
            <w:tcW w:w="1546" w:type="dxa"/>
            <w:shd w:val="clear" w:color="auto" w:fill="C6EFCE"/>
            <w:vAlign w:val="center"/>
          </w:tcPr>
          <w:p w14:paraId="69253D56" w14:textId="77777777" w:rsidR="00025543" w:rsidRDefault="00025543">
            <w:pPr>
              <w:spacing w:line="240" w:lineRule="auto"/>
              <w:rPr>
                <w:rFonts w:eastAsia="Times New Roman"/>
                <w:noProof/>
                <w:color w:val="006100"/>
                <w:sz w:val="18"/>
              </w:rPr>
            </w:pPr>
          </w:p>
          <w:p w14:paraId="54AEEF12" w14:textId="77777777" w:rsidR="00025543" w:rsidRDefault="007E3A2F">
            <w:pPr>
              <w:pStyle w:val="P68B1DB1-Normal11"/>
              <w:spacing w:line="240" w:lineRule="auto"/>
              <w:rPr>
                <w:noProof/>
              </w:rPr>
            </w:pPr>
            <w:r>
              <w:rPr>
                <w:noProof/>
              </w:rPr>
              <w:t>Lignes directrices sur les communautés énergétiques</w:t>
            </w:r>
          </w:p>
          <w:p w14:paraId="561675C8" w14:textId="77777777" w:rsidR="00025543" w:rsidRDefault="00025543">
            <w:pPr>
              <w:spacing w:line="240" w:lineRule="auto"/>
              <w:rPr>
                <w:rFonts w:eastAsia="Times New Roman"/>
                <w:noProof/>
                <w:color w:val="006100"/>
                <w:sz w:val="18"/>
              </w:rPr>
            </w:pPr>
          </w:p>
          <w:p w14:paraId="32EE2284" w14:textId="77777777" w:rsidR="00025543" w:rsidRDefault="00025543">
            <w:pPr>
              <w:spacing w:line="240" w:lineRule="auto"/>
              <w:jc w:val="center"/>
              <w:rPr>
                <w:rFonts w:eastAsia="Times New Roman"/>
                <w:noProof/>
                <w:color w:val="006100"/>
                <w:sz w:val="18"/>
              </w:rPr>
            </w:pPr>
          </w:p>
        </w:tc>
        <w:tc>
          <w:tcPr>
            <w:tcW w:w="1799" w:type="dxa"/>
            <w:shd w:val="clear" w:color="auto" w:fill="C6EFCE"/>
            <w:vAlign w:val="center"/>
          </w:tcPr>
          <w:p w14:paraId="36B1573E" w14:textId="77777777" w:rsidR="00025543" w:rsidRDefault="007E3A2F">
            <w:pPr>
              <w:pStyle w:val="P68B1DB1-Normal11"/>
              <w:spacing w:line="240" w:lineRule="auto"/>
              <w:rPr>
                <w:noProof/>
              </w:rPr>
            </w:pPr>
            <w:r>
              <w:rPr>
                <w:noProof/>
              </w:rPr>
              <w:t>Publication sur le site web du ministère de l’environnement et du ministère de l’industrie de la base de données des modèles de documents juridiques pour la création de communautés énergétiques</w:t>
            </w:r>
          </w:p>
          <w:p w14:paraId="74AEDE0B" w14:textId="77777777" w:rsidR="00025543" w:rsidRDefault="00025543">
            <w:pPr>
              <w:spacing w:before="0" w:after="0" w:line="240" w:lineRule="auto"/>
              <w:rPr>
                <w:rFonts w:eastAsia="Times New Roman"/>
                <w:noProof/>
                <w:color w:val="006100"/>
                <w:sz w:val="18"/>
              </w:rPr>
            </w:pPr>
          </w:p>
        </w:tc>
        <w:tc>
          <w:tcPr>
            <w:tcW w:w="988" w:type="dxa"/>
            <w:shd w:val="clear" w:color="auto" w:fill="C6EFCE"/>
            <w:vAlign w:val="center"/>
          </w:tcPr>
          <w:p w14:paraId="73893FC2" w14:textId="77777777" w:rsidR="00025543" w:rsidRDefault="00025543">
            <w:pPr>
              <w:spacing w:before="0" w:after="0" w:line="240" w:lineRule="auto"/>
              <w:rPr>
                <w:rFonts w:eastAsia="Times New Roman"/>
                <w:noProof/>
                <w:color w:val="006100"/>
                <w:sz w:val="18"/>
              </w:rPr>
            </w:pPr>
          </w:p>
        </w:tc>
        <w:tc>
          <w:tcPr>
            <w:tcW w:w="988" w:type="dxa"/>
            <w:shd w:val="clear" w:color="auto" w:fill="C6EFCE"/>
            <w:vAlign w:val="center"/>
          </w:tcPr>
          <w:p w14:paraId="735FE7BD" w14:textId="77777777" w:rsidR="00025543" w:rsidRDefault="00025543">
            <w:pPr>
              <w:spacing w:before="0" w:after="0" w:line="240" w:lineRule="auto"/>
              <w:jc w:val="center"/>
              <w:rPr>
                <w:rFonts w:eastAsia="Times New Roman"/>
                <w:noProof/>
                <w:color w:val="006100"/>
                <w:sz w:val="18"/>
              </w:rPr>
            </w:pPr>
          </w:p>
        </w:tc>
        <w:tc>
          <w:tcPr>
            <w:tcW w:w="988" w:type="dxa"/>
            <w:shd w:val="clear" w:color="auto" w:fill="C6EFCE"/>
            <w:vAlign w:val="center"/>
          </w:tcPr>
          <w:p w14:paraId="414A3E03" w14:textId="77777777" w:rsidR="00025543" w:rsidRDefault="00025543">
            <w:pPr>
              <w:spacing w:before="0" w:after="0" w:line="240" w:lineRule="auto"/>
              <w:jc w:val="center"/>
              <w:rPr>
                <w:rFonts w:eastAsia="Times New Roman"/>
                <w:noProof/>
                <w:color w:val="006100"/>
                <w:sz w:val="18"/>
              </w:rPr>
            </w:pPr>
          </w:p>
        </w:tc>
        <w:tc>
          <w:tcPr>
            <w:tcW w:w="1077" w:type="dxa"/>
            <w:shd w:val="clear" w:color="auto" w:fill="C6EFCE"/>
            <w:vAlign w:val="center"/>
          </w:tcPr>
          <w:p w14:paraId="5839D8C6" w14:textId="4C6CBA58" w:rsidR="00025543" w:rsidRDefault="007E3A2F">
            <w:pPr>
              <w:pStyle w:val="P68B1DB1-Normal11"/>
              <w:spacing w:before="0" w:after="0" w:line="240" w:lineRule="auto"/>
              <w:jc w:val="center"/>
              <w:rPr>
                <w:noProof/>
              </w:rPr>
            </w:pPr>
            <w:r>
              <w:rPr>
                <w:noProof/>
              </w:rPr>
              <w:t>TRIMESTRE 1</w:t>
            </w:r>
          </w:p>
        </w:tc>
        <w:tc>
          <w:tcPr>
            <w:tcW w:w="658" w:type="dxa"/>
            <w:shd w:val="clear" w:color="auto" w:fill="C6EFCE"/>
            <w:vAlign w:val="center"/>
          </w:tcPr>
          <w:p w14:paraId="3E3DFC0C" w14:textId="02358D20" w:rsidR="00025543" w:rsidRDefault="007E3A2F">
            <w:pPr>
              <w:pStyle w:val="P68B1DB1-Normal11"/>
              <w:spacing w:before="0" w:after="0" w:line="240" w:lineRule="auto"/>
              <w:jc w:val="center"/>
              <w:rPr>
                <w:noProof/>
              </w:rPr>
            </w:pPr>
            <w:r>
              <w:rPr>
                <w:noProof/>
              </w:rPr>
              <w:t>2026</w:t>
            </w:r>
          </w:p>
        </w:tc>
        <w:tc>
          <w:tcPr>
            <w:tcW w:w="4128" w:type="dxa"/>
            <w:shd w:val="clear" w:color="auto" w:fill="C6EFCE"/>
            <w:vAlign w:val="center"/>
          </w:tcPr>
          <w:p w14:paraId="5B73BF38" w14:textId="5CC01B11" w:rsidR="00025543" w:rsidRDefault="007E3A2F">
            <w:pPr>
              <w:pStyle w:val="P68B1DB1-Normal11"/>
              <w:spacing w:line="240" w:lineRule="auto"/>
              <w:rPr>
                <w:noProof/>
              </w:rPr>
            </w:pPr>
            <w:r>
              <w:rPr>
                <w:noProof/>
              </w:rPr>
              <w:t xml:space="preserve">Des lignes directrices et des documents quantifiés pour l’établissement légal de communautés énergétiques (y compris les études de faisabilité technique et économique, les contrats et les documents juridiques relatifs à l’établissement des communautés énergétiques, les relations contractuelles entre les communautés énergétiques et leurs membres, sont publiés pour guider le public et faciliter la création de communautés énergétiques. </w:t>
            </w:r>
          </w:p>
          <w:p w14:paraId="6AFB2336" w14:textId="77777777" w:rsidR="00025543" w:rsidRDefault="00025543">
            <w:pPr>
              <w:spacing w:line="240" w:lineRule="auto"/>
              <w:jc w:val="both"/>
              <w:rPr>
                <w:rFonts w:eastAsia="Times New Roman"/>
                <w:noProof/>
                <w:color w:val="006100"/>
                <w:sz w:val="18"/>
              </w:rPr>
            </w:pPr>
          </w:p>
        </w:tc>
      </w:tr>
      <w:tr w:rsidR="00025543" w14:paraId="04290724" w14:textId="77777777">
        <w:trPr>
          <w:trHeight w:val="309"/>
          <w:jc w:val="center"/>
        </w:trPr>
        <w:tc>
          <w:tcPr>
            <w:tcW w:w="654" w:type="dxa"/>
            <w:shd w:val="clear" w:color="auto" w:fill="C6EFCE"/>
            <w:vAlign w:val="center"/>
          </w:tcPr>
          <w:p w14:paraId="395C249E" w14:textId="0E2ADA31" w:rsidR="00025543" w:rsidRDefault="007E3A2F">
            <w:pPr>
              <w:pStyle w:val="P68B1DB1-Normal15"/>
              <w:spacing w:before="0" w:after="0" w:line="240" w:lineRule="auto"/>
              <w:jc w:val="center"/>
              <w:rPr>
                <w:noProof/>
              </w:rPr>
            </w:pPr>
            <w:r>
              <w:rPr>
                <w:noProof/>
              </w:rPr>
              <w:t>315</w:t>
            </w:r>
          </w:p>
        </w:tc>
        <w:tc>
          <w:tcPr>
            <w:tcW w:w="1625" w:type="dxa"/>
            <w:shd w:val="clear" w:color="auto" w:fill="C6EFCE"/>
            <w:vAlign w:val="center"/>
          </w:tcPr>
          <w:p w14:paraId="700CDB16" w14:textId="77777777" w:rsidR="00025543" w:rsidRDefault="007E3A2F">
            <w:pPr>
              <w:pStyle w:val="P68B1DB1-Normal11"/>
              <w:spacing w:line="240" w:lineRule="auto"/>
              <w:rPr>
                <w:noProof/>
              </w:rPr>
            </w:pPr>
            <w:r>
              <w:rPr>
                <w:noProof/>
              </w:rPr>
              <w:t xml:space="preserve">Réforme 2: </w:t>
            </w:r>
          </w:p>
          <w:p w14:paraId="383DD13B" w14:textId="77777777" w:rsidR="00025543" w:rsidRDefault="007E3A2F">
            <w:pPr>
              <w:pStyle w:val="P68B1DB1-Normal11"/>
              <w:spacing w:line="240" w:lineRule="auto"/>
              <w:rPr>
                <w:noProof/>
              </w:rPr>
            </w:pPr>
            <w:r>
              <w:rPr>
                <w:noProof/>
              </w:rPr>
              <w:t>Cadre pour le stockage de l’énergie et la flexibilité non fossile</w:t>
            </w:r>
          </w:p>
          <w:p w14:paraId="1EF59000" w14:textId="36909030" w:rsidR="00025543" w:rsidRDefault="007E3A2F">
            <w:pPr>
              <w:pStyle w:val="P68B1DB1-Normal11"/>
              <w:spacing w:line="240" w:lineRule="auto"/>
              <w:rPr>
                <w:noProof/>
              </w:rPr>
            </w:pPr>
            <w:r>
              <w:rPr>
                <w:noProof/>
              </w:rPr>
              <w:t xml:space="preserve"> </w:t>
            </w:r>
          </w:p>
        </w:tc>
        <w:tc>
          <w:tcPr>
            <w:tcW w:w="1134" w:type="dxa"/>
            <w:shd w:val="clear" w:color="auto" w:fill="C6EFCE"/>
            <w:vAlign w:val="center"/>
          </w:tcPr>
          <w:p w14:paraId="4DA2183B" w14:textId="62F84D6A" w:rsidR="00025543" w:rsidRDefault="007E3A2F">
            <w:pPr>
              <w:pStyle w:val="P68B1DB1-Normal11"/>
              <w:spacing w:line="240" w:lineRule="auto"/>
              <w:rPr>
                <w:noProof/>
              </w:rPr>
            </w:pPr>
            <w:r>
              <w:rPr>
                <w:noProof/>
              </w:rPr>
              <w:t>Étapes</w:t>
            </w:r>
          </w:p>
        </w:tc>
        <w:tc>
          <w:tcPr>
            <w:tcW w:w="1546" w:type="dxa"/>
            <w:shd w:val="clear" w:color="auto" w:fill="C6EFCE"/>
            <w:vAlign w:val="center"/>
          </w:tcPr>
          <w:p w14:paraId="5E886D2B" w14:textId="6ABEBC63" w:rsidR="00025543" w:rsidRDefault="007E3A2F">
            <w:pPr>
              <w:pStyle w:val="P68B1DB1-Normal11"/>
              <w:spacing w:line="240" w:lineRule="auto"/>
              <w:rPr>
                <w:noProof/>
              </w:rPr>
            </w:pPr>
            <w:r>
              <w:rPr>
                <w:noProof/>
              </w:rPr>
              <w:t>Rapport sur la nécessité d’une flexibilité non fossile</w:t>
            </w:r>
          </w:p>
        </w:tc>
        <w:tc>
          <w:tcPr>
            <w:tcW w:w="1799" w:type="dxa"/>
            <w:shd w:val="clear" w:color="auto" w:fill="C6EFCE"/>
            <w:vAlign w:val="center"/>
          </w:tcPr>
          <w:p w14:paraId="32D0ED61" w14:textId="324E1CD9" w:rsidR="00025543" w:rsidRDefault="007E3A2F">
            <w:pPr>
              <w:pStyle w:val="P68B1DB1-Normal11"/>
              <w:spacing w:line="240" w:lineRule="auto"/>
              <w:rPr>
                <w:noProof/>
              </w:rPr>
            </w:pPr>
            <w:r>
              <w:rPr>
                <w:noProof/>
              </w:rPr>
              <w:t>Publication du rapport sur le site web du ministère de l’industrie</w:t>
            </w:r>
          </w:p>
        </w:tc>
        <w:tc>
          <w:tcPr>
            <w:tcW w:w="988" w:type="dxa"/>
            <w:shd w:val="clear" w:color="auto" w:fill="C6EFCE"/>
            <w:vAlign w:val="center"/>
          </w:tcPr>
          <w:p w14:paraId="142F6527" w14:textId="77777777" w:rsidR="00025543" w:rsidRDefault="00025543">
            <w:pPr>
              <w:spacing w:before="0" w:after="0" w:line="240" w:lineRule="auto"/>
              <w:rPr>
                <w:rFonts w:eastAsia="Times New Roman"/>
                <w:noProof/>
                <w:color w:val="006100"/>
                <w:sz w:val="18"/>
              </w:rPr>
            </w:pPr>
          </w:p>
        </w:tc>
        <w:tc>
          <w:tcPr>
            <w:tcW w:w="988" w:type="dxa"/>
            <w:shd w:val="clear" w:color="auto" w:fill="C6EFCE"/>
            <w:vAlign w:val="center"/>
          </w:tcPr>
          <w:p w14:paraId="79484482" w14:textId="77777777" w:rsidR="00025543" w:rsidRDefault="00025543">
            <w:pPr>
              <w:spacing w:before="0" w:after="0" w:line="240" w:lineRule="auto"/>
              <w:jc w:val="center"/>
              <w:rPr>
                <w:rFonts w:eastAsia="Times New Roman"/>
                <w:noProof/>
                <w:color w:val="006100"/>
                <w:sz w:val="18"/>
              </w:rPr>
            </w:pPr>
          </w:p>
        </w:tc>
        <w:tc>
          <w:tcPr>
            <w:tcW w:w="988" w:type="dxa"/>
            <w:shd w:val="clear" w:color="auto" w:fill="C6EFCE"/>
            <w:vAlign w:val="center"/>
          </w:tcPr>
          <w:p w14:paraId="64792A08" w14:textId="77777777" w:rsidR="00025543" w:rsidRDefault="00025543">
            <w:pPr>
              <w:spacing w:before="0" w:after="0" w:line="240" w:lineRule="auto"/>
              <w:jc w:val="center"/>
              <w:rPr>
                <w:rFonts w:eastAsia="Times New Roman"/>
                <w:noProof/>
                <w:color w:val="006100"/>
                <w:sz w:val="18"/>
              </w:rPr>
            </w:pPr>
          </w:p>
        </w:tc>
        <w:tc>
          <w:tcPr>
            <w:tcW w:w="1077" w:type="dxa"/>
            <w:shd w:val="clear" w:color="auto" w:fill="C6EFCE"/>
            <w:vAlign w:val="center"/>
          </w:tcPr>
          <w:p w14:paraId="174E6A06" w14:textId="79B58679" w:rsidR="00025543" w:rsidRDefault="007E3A2F">
            <w:pPr>
              <w:pStyle w:val="P68B1DB1-Normal11"/>
              <w:spacing w:line="240" w:lineRule="auto"/>
              <w:rPr>
                <w:noProof/>
              </w:rPr>
            </w:pPr>
            <w:r>
              <w:rPr>
                <w:noProof/>
              </w:rPr>
              <w:t>TRIMESTRE 3</w:t>
            </w:r>
          </w:p>
        </w:tc>
        <w:tc>
          <w:tcPr>
            <w:tcW w:w="658" w:type="dxa"/>
            <w:shd w:val="clear" w:color="auto" w:fill="C6EFCE"/>
            <w:vAlign w:val="center"/>
          </w:tcPr>
          <w:p w14:paraId="364617FC" w14:textId="43F4C166" w:rsidR="00025543" w:rsidRDefault="007E3A2F">
            <w:pPr>
              <w:pStyle w:val="P68B1DB1-Normal11"/>
              <w:spacing w:line="240" w:lineRule="auto"/>
              <w:rPr>
                <w:noProof/>
              </w:rPr>
            </w:pPr>
            <w:r>
              <w:rPr>
                <w:noProof/>
              </w:rPr>
              <w:t>2024</w:t>
            </w:r>
          </w:p>
        </w:tc>
        <w:tc>
          <w:tcPr>
            <w:tcW w:w="4128" w:type="dxa"/>
            <w:shd w:val="clear" w:color="auto" w:fill="C6EFCE"/>
            <w:vAlign w:val="center"/>
          </w:tcPr>
          <w:p w14:paraId="1FAC4032" w14:textId="79DD6900" w:rsidR="00025543" w:rsidRDefault="007E3A2F">
            <w:pPr>
              <w:pStyle w:val="P68B1DB1-Normal11"/>
              <w:spacing w:line="240" w:lineRule="auto"/>
              <w:rPr>
                <w:noProof/>
              </w:rPr>
            </w:pPr>
            <w:r>
              <w:rPr>
                <w:noProof/>
              </w:rPr>
              <w:t>Publication d’un rapport prospectif sur l’évaluation des besoins et du potentiel de flexibilité du système, couvrant une période de 5 ans. Le rapport évalue et recense les obstacles à la flexibilité non fossile sur le marché et propose des mesures d’atténuation pertinentes. Le rapport recense également les instruments et sources de financement pertinents pour soutenir l’adoption de la flexibilité non fossile par l’intermédiaire de sources publiques ou privées.</w:t>
            </w:r>
          </w:p>
          <w:p w14:paraId="3A12F40A" w14:textId="2E278559" w:rsidR="00025543" w:rsidRDefault="007E3A2F">
            <w:pPr>
              <w:pStyle w:val="P68B1DB1-Normal11"/>
              <w:spacing w:line="240" w:lineRule="auto"/>
              <w:rPr>
                <w:noProof/>
              </w:rPr>
            </w:pPr>
            <w:r>
              <w:rPr>
                <w:noProof/>
              </w:rPr>
              <w:t>Le rapport est établi par un tiers indépendant.</w:t>
            </w:r>
          </w:p>
        </w:tc>
      </w:tr>
      <w:tr w:rsidR="00025543" w14:paraId="769110CB" w14:textId="77777777">
        <w:trPr>
          <w:trHeight w:val="309"/>
          <w:jc w:val="center"/>
        </w:trPr>
        <w:tc>
          <w:tcPr>
            <w:tcW w:w="654" w:type="dxa"/>
            <w:shd w:val="clear" w:color="auto" w:fill="C6EFCE"/>
            <w:vAlign w:val="center"/>
          </w:tcPr>
          <w:p w14:paraId="4FF639C2" w14:textId="16AD0926" w:rsidR="00025543" w:rsidRDefault="007E3A2F">
            <w:pPr>
              <w:pStyle w:val="P68B1DB1-Normal15"/>
              <w:spacing w:before="0" w:after="0" w:line="240" w:lineRule="auto"/>
              <w:jc w:val="center"/>
              <w:rPr>
                <w:noProof/>
              </w:rPr>
            </w:pPr>
            <w:r>
              <w:rPr>
                <w:noProof/>
              </w:rPr>
              <w:t>316</w:t>
            </w:r>
          </w:p>
        </w:tc>
        <w:tc>
          <w:tcPr>
            <w:tcW w:w="1625" w:type="dxa"/>
            <w:shd w:val="clear" w:color="auto" w:fill="C6EFCE"/>
            <w:vAlign w:val="center"/>
          </w:tcPr>
          <w:p w14:paraId="363E3535" w14:textId="77777777" w:rsidR="00025543" w:rsidRDefault="007E3A2F">
            <w:pPr>
              <w:pStyle w:val="P68B1DB1-Normal11"/>
              <w:spacing w:line="240" w:lineRule="auto"/>
              <w:rPr>
                <w:noProof/>
              </w:rPr>
            </w:pPr>
            <w:r>
              <w:rPr>
                <w:noProof/>
              </w:rPr>
              <w:t xml:space="preserve">Réforme 2: </w:t>
            </w:r>
          </w:p>
          <w:p w14:paraId="0B8BF6AB" w14:textId="77777777" w:rsidR="00025543" w:rsidRDefault="007E3A2F">
            <w:pPr>
              <w:pStyle w:val="P68B1DB1-Normal11"/>
              <w:spacing w:line="240" w:lineRule="auto"/>
              <w:rPr>
                <w:noProof/>
              </w:rPr>
            </w:pPr>
            <w:r>
              <w:rPr>
                <w:noProof/>
              </w:rPr>
              <w:t>Cadre pour le stockage de l’énergie et la flexibilité non fossile</w:t>
            </w:r>
          </w:p>
          <w:p w14:paraId="3412AA4F" w14:textId="1382AB61" w:rsidR="00025543" w:rsidRDefault="007E3A2F">
            <w:pPr>
              <w:pStyle w:val="P68B1DB1-Normal11"/>
              <w:spacing w:line="240" w:lineRule="auto"/>
              <w:rPr>
                <w:noProof/>
              </w:rPr>
            </w:pPr>
            <w:r>
              <w:rPr>
                <w:noProof/>
              </w:rPr>
              <w:t xml:space="preserve"> </w:t>
            </w:r>
          </w:p>
        </w:tc>
        <w:tc>
          <w:tcPr>
            <w:tcW w:w="1134" w:type="dxa"/>
            <w:shd w:val="clear" w:color="auto" w:fill="C6EFCE"/>
            <w:vAlign w:val="center"/>
          </w:tcPr>
          <w:p w14:paraId="4B1C6294" w14:textId="16F576FE" w:rsidR="00025543" w:rsidRDefault="007E3A2F">
            <w:pPr>
              <w:pStyle w:val="P68B1DB1-Normal11"/>
              <w:spacing w:line="240" w:lineRule="auto"/>
              <w:rPr>
                <w:noProof/>
              </w:rPr>
            </w:pPr>
            <w:r>
              <w:rPr>
                <w:noProof/>
              </w:rPr>
              <w:t>Étapes</w:t>
            </w:r>
          </w:p>
        </w:tc>
        <w:tc>
          <w:tcPr>
            <w:tcW w:w="1546" w:type="dxa"/>
            <w:shd w:val="clear" w:color="auto" w:fill="C6EFCE"/>
            <w:vAlign w:val="center"/>
          </w:tcPr>
          <w:p w14:paraId="1AFEA55B" w14:textId="61E29E13" w:rsidR="00025543" w:rsidRDefault="007E3A2F">
            <w:pPr>
              <w:pStyle w:val="P68B1DB1-Normal11"/>
              <w:spacing w:line="240" w:lineRule="auto"/>
              <w:rPr>
                <w:noProof/>
              </w:rPr>
            </w:pPr>
            <w:r>
              <w:rPr>
                <w:noProof/>
              </w:rPr>
              <w:t>Entrée en vigueur des modifications législatives</w:t>
            </w:r>
          </w:p>
        </w:tc>
        <w:tc>
          <w:tcPr>
            <w:tcW w:w="1799" w:type="dxa"/>
            <w:shd w:val="clear" w:color="auto" w:fill="C6EFCE"/>
            <w:vAlign w:val="center"/>
          </w:tcPr>
          <w:p w14:paraId="361A4284" w14:textId="4DD73AC2" w:rsidR="00025543" w:rsidRDefault="007E3A2F">
            <w:pPr>
              <w:pStyle w:val="P68B1DB1-Normal11"/>
              <w:spacing w:line="240" w:lineRule="auto"/>
              <w:rPr>
                <w:noProof/>
              </w:rPr>
            </w:pPr>
            <w:r>
              <w:rPr>
                <w:noProof/>
              </w:rPr>
              <w:t xml:space="preserve">Disposition de la loi indiquant l’entrée en vigueur </w:t>
            </w:r>
          </w:p>
        </w:tc>
        <w:tc>
          <w:tcPr>
            <w:tcW w:w="988" w:type="dxa"/>
            <w:shd w:val="clear" w:color="auto" w:fill="C6EFCE"/>
            <w:vAlign w:val="center"/>
          </w:tcPr>
          <w:p w14:paraId="28768D1C" w14:textId="54F607FB" w:rsidR="00025543" w:rsidRDefault="007E3A2F">
            <w:pPr>
              <w:pStyle w:val="P68B1DB1-Normal11"/>
              <w:spacing w:before="0" w:after="0" w:line="240" w:lineRule="auto"/>
              <w:rPr>
                <w:noProof/>
              </w:rPr>
            </w:pPr>
            <w:r>
              <w:rPr>
                <w:noProof/>
              </w:rPr>
              <w:t xml:space="preserve"> </w:t>
            </w:r>
          </w:p>
        </w:tc>
        <w:tc>
          <w:tcPr>
            <w:tcW w:w="988" w:type="dxa"/>
            <w:shd w:val="clear" w:color="auto" w:fill="C6EFCE"/>
            <w:vAlign w:val="center"/>
          </w:tcPr>
          <w:p w14:paraId="671025C4" w14:textId="7D9D0A69" w:rsidR="00025543" w:rsidRDefault="007E3A2F">
            <w:pPr>
              <w:pStyle w:val="P68B1DB1-Normal11"/>
              <w:spacing w:before="0" w:after="0" w:line="240" w:lineRule="auto"/>
              <w:jc w:val="center"/>
              <w:rPr>
                <w:noProof/>
              </w:rPr>
            </w:pPr>
            <w:r>
              <w:rPr>
                <w:noProof/>
              </w:rPr>
              <w:t xml:space="preserve"> </w:t>
            </w:r>
          </w:p>
        </w:tc>
        <w:tc>
          <w:tcPr>
            <w:tcW w:w="988" w:type="dxa"/>
            <w:shd w:val="clear" w:color="auto" w:fill="C6EFCE"/>
            <w:vAlign w:val="center"/>
          </w:tcPr>
          <w:p w14:paraId="7185ABB0" w14:textId="0CA5635F" w:rsidR="00025543" w:rsidRDefault="007E3A2F">
            <w:pPr>
              <w:pStyle w:val="P68B1DB1-Normal11"/>
              <w:spacing w:before="0" w:after="0" w:line="240" w:lineRule="auto"/>
              <w:jc w:val="center"/>
              <w:rPr>
                <w:noProof/>
              </w:rPr>
            </w:pPr>
            <w:r>
              <w:rPr>
                <w:noProof/>
              </w:rPr>
              <w:t xml:space="preserve"> </w:t>
            </w:r>
          </w:p>
        </w:tc>
        <w:tc>
          <w:tcPr>
            <w:tcW w:w="1077" w:type="dxa"/>
            <w:shd w:val="clear" w:color="auto" w:fill="C6EFCE"/>
            <w:vAlign w:val="center"/>
          </w:tcPr>
          <w:p w14:paraId="301876D3" w14:textId="6D0C59F4" w:rsidR="00025543" w:rsidRDefault="007E3A2F">
            <w:pPr>
              <w:pStyle w:val="P68B1DB1-Normal11"/>
              <w:spacing w:line="240" w:lineRule="auto"/>
              <w:rPr>
                <w:noProof/>
              </w:rPr>
            </w:pPr>
            <w:r>
              <w:rPr>
                <w:noProof/>
              </w:rPr>
              <w:t xml:space="preserve"> TRIMESTRE 4</w:t>
            </w:r>
          </w:p>
        </w:tc>
        <w:tc>
          <w:tcPr>
            <w:tcW w:w="658" w:type="dxa"/>
            <w:shd w:val="clear" w:color="auto" w:fill="C6EFCE"/>
            <w:vAlign w:val="center"/>
          </w:tcPr>
          <w:p w14:paraId="3593481B" w14:textId="0DE3D0DE" w:rsidR="00025543" w:rsidRDefault="007E3A2F">
            <w:pPr>
              <w:pStyle w:val="P68B1DB1-Normal11"/>
              <w:spacing w:line="240" w:lineRule="auto"/>
              <w:rPr>
                <w:noProof/>
              </w:rPr>
            </w:pPr>
            <w:r>
              <w:rPr>
                <w:noProof/>
              </w:rPr>
              <w:t xml:space="preserve"> 2024</w:t>
            </w:r>
          </w:p>
        </w:tc>
        <w:tc>
          <w:tcPr>
            <w:tcW w:w="4128" w:type="dxa"/>
            <w:shd w:val="clear" w:color="auto" w:fill="C6EFCE"/>
            <w:vAlign w:val="center"/>
          </w:tcPr>
          <w:p w14:paraId="3D40DADF" w14:textId="77777777" w:rsidR="00025543" w:rsidRDefault="007E3A2F">
            <w:pPr>
              <w:pStyle w:val="P68B1DB1-Normal11"/>
              <w:spacing w:line="240" w:lineRule="auto"/>
              <w:rPr>
                <w:noProof/>
              </w:rPr>
            </w:pPr>
            <w:r>
              <w:rPr>
                <w:noProof/>
              </w:rPr>
              <w:t>Entrée en vigueur de la législation établissant un cadre réglementaire sur le stockage, l’agrégation, les clients actifs et la participation des acteurs industriels de la demande au marché de l’énergie.</w:t>
            </w:r>
          </w:p>
          <w:p w14:paraId="7C195F18" w14:textId="77777777" w:rsidR="00025543" w:rsidRDefault="007E3A2F">
            <w:pPr>
              <w:pStyle w:val="P68B1DB1-Normal11"/>
              <w:spacing w:line="240" w:lineRule="auto"/>
              <w:rPr>
                <w:noProof/>
              </w:rPr>
            </w:pPr>
            <w:r>
              <w:rPr>
                <w:noProof/>
              </w:rPr>
              <w:t>La législation modifiée comprend:</w:t>
            </w:r>
          </w:p>
          <w:p w14:paraId="746223DC" w14:textId="59078F30" w:rsidR="00025543" w:rsidRDefault="007E3A2F">
            <w:pPr>
              <w:pStyle w:val="P68B1DB1-ListParagraph31"/>
              <w:numPr>
                <w:ilvl w:val="0"/>
                <w:numId w:val="349"/>
              </w:numPr>
              <w:spacing w:line="240" w:lineRule="auto"/>
              <w:rPr>
                <w:noProof/>
              </w:rPr>
            </w:pPr>
            <w:r>
              <w:rPr>
                <w:noProof/>
              </w:rPr>
              <w:t>Les définitions des services de flexibilité tels que le stockage, l’agrégation de la demande et la participation active de la demande;</w:t>
            </w:r>
          </w:p>
          <w:p w14:paraId="7406B0C5" w14:textId="120D0FE3" w:rsidR="00025543" w:rsidRDefault="007E3A2F">
            <w:pPr>
              <w:pStyle w:val="P68B1DB1-ListParagraph31"/>
              <w:numPr>
                <w:ilvl w:val="0"/>
                <w:numId w:val="349"/>
              </w:numPr>
              <w:spacing w:line="240" w:lineRule="auto"/>
              <w:rPr>
                <w:noProof/>
              </w:rPr>
            </w:pPr>
            <w:r>
              <w:rPr>
                <w:noProof/>
              </w:rPr>
              <w:t>Une nouvelle licence pour exploiter des actifs de stockage d’énergie et fournir des services d’agrégation sur le marché;</w:t>
            </w:r>
          </w:p>
          <w:p w14:paraId="3FB86D87" w14:textId="1A273D13" w:rsidR="00025543" w:rsidRDefault="007E3A2F">
            <w:pPr>
              <w:pStyle w:val="P68B1DB1-ListParagraph31"/>
              <w:numPr>
                <w:ilvl w:val="0"/>
                <w:numId w:val="349"/>
              </w:numPr>
              <w:spacing w:line="240" w:lineRule="auto"/>
              <w:rPr>
                <w:noProof/>
              </w:rPr>
            </w:pPr>
            <w:r>
              <w:rPr>
                <w:noProof/>
              </w:rPr>
              <w:t>Définition des droits et obligations de l’exploitant des actifs de stockage d’énergie et de l’agrégateur de la demande par rapport aux autres acteurs du marché (droit de connecter le stockage d’énergie au réseau, droit de vendre au réseau et d’acheter de l’électricité à partir du réseau, droit de fournir des services d’équilibrage;</w:t>
            </w:r>
          </w:p>
          <w:p w14:paraId="2E2DA82B" w14:textId="77777777" w:rsidR="00025543" w:rsidRDefault="007E3A2F">
            <w:pPr>
              <w:pStyle w:val="P68B1DB1-ListParagraph31"/>
              <w:numPr>
                <w:ilvl w:val="0"/>
                <w:numId w:val="349"/>
              </w:numPr>
              <w:spacing w:line="240" w:lineRule="auto"/>
              <w:rPr>
                <w:noProof/>
              </w:rPr>
            </w:pPr>
            <w:r>
              <w:rPr>
                <w:noProof/>
              </w:rPr>
              <w:t>Le droit et les règles permettant à un consommateur actif d’exploiter un actif de stockage;</w:t>
            </w:r>
          </w:p>
          <w:p w14:paraId="1A608980" w14:textId="34409F57" w:rsidR="00025543" w:rsidRDefault="007E3A2F">
            <w:pPr>
              <w:pStyle w:val="P68B1DB1-ListParagraph31"/>
              <w:numPr>
                <w:ilvl w:val="0"/>
                <w:numId w:val="349"/>
              </w:numPr>
              <w:spacing w:line="240" w:lineRule="auto"/>
              <w:rPr>
                <w:noProof/>
              </w:rPr>
            </w:pPr>
            <w:r>
              <w:rPr>
                <w:noProof/>
              </w:rPr>
              <w:t>Les dispositions des contrats relatifs à l’agrégation et à l’exploitation des actifs de stockage de l’énergie;</w:t>
            </w:r>
          </w:p>
          <w:p w14:paraId="166541AE" w14:textId="77777777" w:rsidR="00025543" w:rsidRDefault="007E3A2F">
            <w:pPr>
              <w:pStyle w:val="P68B1DB1-ListParagraph31"/>
              <w:numPr>
                <w:ilvl w:val="0"/>
                <w:numId w:val="349"/>
              </w:numPr>
              <w:spacing w:line="240" w:lineRule="auto"/>
              <w:rPr>
                <w:noProof/>
              </w:rPr>
            </w:pPr>
            <w:r>
              <w:rPr>
                <w:noProof/>
              </w:rPr>
              <w:t>Exclusion de la double recharge (en ce qui concerne l’électricité provenant du réseau, ensuite livrée au réseau et consommée par le client final).Les conditions dans lesquelles les communautés énergétiques et les autoconsommateurs collectifs participent aux activités d’agrégation, de stockage, de distribution d’électricité et de production d’électricité.</w:t>
            </w:r>
          </w:p>
          <w:p w14:paraId="6E420A46" w14:textId="6FE3EF6E" w:rsidR="00025543" w:rsidRDefault="007E3A2F">
            <w:pPr>
              <w:pStyle w:val="P68B1DB1-ListParagraph49"/>
              <w:numPr>
                <w:ilvl w:val="0"/>
                <w:numId w:val="349"/>
              </w:numPr>
              <w:spacing w:line="240" w:lineRule="auto"/>
              <w:rPr>
                <w:noProof/>
              </w:rPr>
            </w:pPr>
            <w:r>
              <w:rPr>
                <w:rFonts w:ascii="Times New Roman" w:eastAsia="Times New Roman" w:hAnsi="Times New Roman"/>
                <w:noProof/>
                <w:color w:val="006100"/>
              </w:rPr>
              <w:t>L’obligation pour les GRD d’inclure dans leurs plans de développement du réseau des informations sur les services de flexibilité, la participation active de la demande potentielle, l’efficacité énergétique et les ressources des installations de stockage d’énergie que les GRD ont l’intention d’utiliser ou d’investir comme alternative à l’expansion du système.</w:t>
            </w:r>
            <w:r>
              <w:rPr>
                <w:rFonts w:ascii="Times New Roman" w:hAnsi="Times New Roman"/>
                <w:noProof/>
              </w:rPr>
              <w:t xml:space="preserve"> </w:t>
            </w:r>
          </w:p>
        </w:tc>
      </w:tr>
      <w:tr w:rsidR="00025543" w14:paraId="1D553A28" w14:textId="77777777">
        <w:trPr>
          <w:trHeight w:val="309"/>
          <w:jc w:val="center"/>
        </w:trPr>
        <w:tc>
          <w:tcPr>
            <w:tcW w:w="654" w:type="dxa"/>
            <w:shd w:val="clear" w:color="auto" w:fill="C6EFCE"/>
            <w:vAlign w:val="center"/>
          </w:tcPr>
          <w:p w14:paraId="6896ACEA" w14:textId="10BEEEDB" w:rsidR="00025543" w:rsidRDefault="007E3A2F">
            <w:pPr>
              <w:pStyle w:val="P68B1DB1-Normal15"/>
              <w:spacing w:before="0" w:after="0" w:line="240" w:lineRule="auto"/>
              <w:jc w:val="center"/>
              <w:rPr>
                <w:noProof/>
              </w:rPr>
            </w:pPr>
            <w:r>
              <w:rPr>
                <w:noProof/>
              </w:rPr>
              <w:t>317</w:t>
            </w:r>
          </w:p>
        </w:tc>
        <w:tc>
          <w:tcPr>
            <w:tcW w:w="1625" w:type="dxa"/>
            <w:shd w:val="clear" w:color="auto" w:fill="C6EFCE"/>
            <w:vAlign w:val="center"/>
          </w:tcPr>
          <w:p w14:paraId="69A4E2CD" w14:textId="77777777" w:rsidR="00025543" w:rsidRDefault="007E3A2F">
            <w:pPr>
              <w:pStyle w:val="P68B1DB1-Normal11"/>
              <w:spacing w:line="240" w:lineRule="auto"/>
              <w:rPr>
                <w:noProof/>
              </w:rPr>
            </w:pPr>
            <w:r>
              <w:rPr>
                <w:noProof/>
              </w:rPr>
              <w:t xml:space="preserve">Réforme 2: </w:t>
            </w:r>
          </w:p>
          <w:p w14:paraId="759DBD3E" w14:textId="77777777" w:rsidR="00025543" w:rsidRDefault="007E3A2F">
            <w:pPr>
              <w:pStyle w:val="P68B1DB1-Normal11"/>
              <w:spacing w:line="240" w:lineRule="auto"/>
              <w:rPr>
                <w:noProof/>
              </w:rPr>
            </w:pPr>
            <w:r>
              <w:rPr>
                <w:noProof/>
              </w:rPr>
              <w:t>Cadre pour le stockage de l’énergie et la flexibilité non fossile</w:t>
            </w:r>
          </w:p>
          <w:p w14:paraId="777469C4" w14:textId="3F71ED82" w:rsidR="00025543" w:rsidRDefault="007E3A2F">
            <w:pPr>
              <w:pStyle w:val="P68B1DB1-Normal11"/>
              <w:spacing w:line="240" w:lineRule="auto"/>
              <w:rPr>
                <w:noProof/>
              </w:rPr>
            </w:pPr>
            <w:r>
              <w:rPr>
                <w:noProof/>
              </w:rPr>
              <w:t xml:space="preserve"> </w:t>
            </w:r>
          </w:p>
        </w:tc>
        <w:tc>
          <w:tcPr>
            <w:tcW w:w="1134" w:type="dxa"/>
            <w:shd w:val="clear" w:color="auto" w:fill="C6EFCE"/>
            <w:vAlign w:val="center"/>
          </w:tcPr>
          <w:p w14:paraId="480A7F76" w14:textId="10B162FB" w:rsidR="00025543" w:rsidRDefault="007E3A2F">
            <w:pPr>
              <w:pStyle w:val="P68B1DB1-Normal11"/>
              <w:spacing w:line="240" w:lineRule="auto"/>
              <w:rPr>
                <w:noProof/>
              </w:rPr>
            </w:pPr>
            <w:r>
              <w:rPr>
                <w:noProof/>
              </w:rPr>
              <w:t>Étapes</w:t>
            </w:r>
          </w:p>
        </w:tc>
        <w:tc>
          <w:tcPr>
            <w:tcW w:w="1546" w:type="dxa"/>
            <w:shd w:val="clear" w:color="auto" w:fill="C6EFCE"/>
            <w:vAlign w:val="center"/>
          </w:tcPr>
          <w:p w14:paraId="55C8A410" w14:textId="002EE6FE" w:rsidR="00025543" w:rsidRDefault="007E3A2F">
            <w:pPr>
              <w:pStyle w:val="P68B1DB1-Normal11"/>
              <w:spacing w:line="240" w:lineRule="auto"/>
              <w:rPr>
                <w:noProof/>
              </w:rPr>
            </w:pPr>
            <w:r>
              <w:rPr>
                <w:noProof/>
              </w:rPr>
              <w:t xml:space="preserve">Publication du plan d’action en matière de flexibilité </w:t>
            </w:r>
          </w:p>
        </w:tc>
        <w:tc>
          <w:tcPr>
            <w:tcW w:w="1799" w:type="dxa"/>
            <w:shd w:val="clear" w:color="auto" w:fill="C6EFCE"/>
            <w:vAlign w:val="center"/>
          </w:tcPr>
          <w:p w14:paraId="22604D68" w14:textId="77777777" w:rsidR="00025543" w:rsidRDefault="007E3A2F">
            <w:pPr>
              <w:pStyle w:val="P68B1DB1-Normal11"/>
              <w:spacing w:line="240" w:lineRule="auto"/>
              <w:rPr>
                <w:noProof/>
              </w:rPr>
            </w:pPr>
            <w:r>
              <w:rPr>
                <w:noProof/>
              </w:rPr>
              <w:t>Adoption par le gouvernement du plan d’action</w:t>
            </w:r>
          </w:p>
          <w:p w14:paraId="0D4ADD9F" w14:textId="77777777" w:rsidR="00025543" w:rsidRDefault="00025543">
            <w:pPr>
              <w:spacing w:line="240" w:lineRule="auto"/>
              <w:rPr>
                <w:rFonts w:eastAsia="Times New Roman"/>
                <w:noProof/>
                <w:color w:val="006100"/>
                <w:sz w:val="18"/>
              </w:rPr>
            </w:pPr>
          </w:p>
        </w:tc>
        <w:tc>
          <w:tcPr>
            <w:tcW w:w="988" w:type="dxa"/>
            <w:shd w:val="clear" w:color="auto" w:fill="C6EFCE"/>
            <w:vAlign w:val="center"/>
          </w:tcPr>
          <w:p w14:paraId="0C24CE25" w14:textId="77777777" w:rsidR="00025543" w:rsidRDefault="00025543">
            <w:pPr>
              <w:spacing w:before="0" w:after="0" w:line="240" w:lineRule="auto"/>
              <w:rPr>
                <w:rFonts w:eastAsia="Times New Roman"/>
                <w:noProof/>
                <w:color w:val="006100"/>
                <w:sz w:val="18"/>
              </w:rPr>
            </w:pPr>
          </w:p>
        </w:tc>
        <w:tc>
          <w:tcPr>
            <w:tcW w:w="988" w:type="dxa"/>
            <w:shd w:val="clear" w:color="auto" w:fill="C6EFCE"/>
            <w:vAlign w:val="center"/>
          </w:tcPr>
          <w:p w14:paraId="7B050973" w14:textId="77777777" w:rsidR="00025543" w:rsidRDefault="00025543">
            <w:pPr>
              <w:spacing w:before="0" w:after="0" w:line="240" w:lineRule="auto"/>
              <w:jc w:val="center"/>
              <w:rPr>
                <w:rFonts w:eastAsia="Times New Roman"/>
                <w:noProof/>
                <w:color w:val="006100"/>
                <w:sz w:val="18"/>
              </w:rPr>
            </w:pPr>
          </w:p>
        </w:tc>
        <w:tc>
          <w:tcPr>
            <w:tcW w:w="988" w:type="dxa"/>
            <w:shd w:val="clear" w:color="auto" w:fill="C6EFCE"/>
            <w:vAlign w:val="center"/>
          </w:tcPr>
          <w:p w14:paraId="0B4880D5" w14:textId="77777777" w:rsidR="00025543" w:rsidRDefault="00025543">
            <w:pPr>
              <w:spacing w:before="0" w:after="0" w:line="240" w:lineRule="auto"/>
              <w:jc w:val="center"/>
              <w:rPr>
                <w:rFonts w:eastAsia="Times New Roman"/>
                <w:noProof/>
                <w:color w:val="006100"/>
                <w:sz w:val="18"/>
              </w:rPr>
            </w:pPr>
          </w:p>
        </w:tc>
        <w:tc>
          <w:tcPr>
            <w:tcW w:w="1077" w:type="dxa"/>
            <w:shd w:val="clear" w:color="auto" w:fill="C6EFCE"/>
            <w:vAlign w:val="center"/>
          </w:tcPr>
          <w:p w14:paraId="77832F30" w14:textId="63864BEC" w:rsidR="00025543" w:rsidRDefault="007E3A2F">
            <w:pPr>
              <w:pStyle w:val="P68B1DB1-Normal11"/>
              <w:spacing w:line="240" w:lineRule="auto"/>
              <w:rPr>
                <w:noProof/>
              </w:rPr>
            </w:pPr>
            <w:r>
              <w:rPr>
                <w:noProof/>
              </w:rPr>
              <w:t>TRIMESTRE 2</w:t>
            </w:r>
          </w:p>
        </w:tc>
        <w:tc>
          <w:tcPr>
            <w:tcW w:w="658" w:type="dxa"/>
            <w:shd w:val="clear" w:color="auto" w:fill="C6EFCE"/>
            <w:vAlign w:val="center"/>
          </w:tcPr>
          <w:p w14:paraId="7EB62D09" w14:textId="321B8D5A" w:rsidR="00025543" w:rsidRDefault="007E3A2F">
            <w:pPr>
              <w:pStyle w:val="P68B1DB1-Normal11"/>
              <w:spacing w:line="240" w:lineRule="auto"/>
              <w:rPr>
                <w:noProof/>
              </w:rPr>
            </w:pPr>
            <w:r>
              <w:rPr>
                <w:noProof/>
              </w:rPr>
              <w:t>2025</w:t>
            </w:r>
          </w:p>
        </w:tc>
        <w:tc>
          <w:tcPr>
            <w:tcW w:w="4128" w:type="dxa"/>
            <w:shd w:val="clear" w:color="auto" w:fill="C6EFCE"/>
            <w:vAlign w:val="center"/>
          </w:tcPr>
          <w:p w14:paraId="660A8FC2" w14:textId="0E9AFC54" w:rsidR="00025543" w:rsidRDefault="007E3A2F">
            <w:pPr>
              <w:pStyle w:val="P68B1DB1-Normal11"/>
              <w:spacing w:line="240" w:lineRule="auto"/>
              <w:rPr>
                <w:noProof/>
              </w:rPr>
            </w:pPr>
            <w:r>
              <w:rPr>
                <w:noProof/>
              </w:rPr>
              <w:t>Le plan d’action définit des priorités pour le développement de la flexibilité non fossile et définit un objectif en matière de flexibilité non fossile, y compris la participation active de la demande et le stockage de l’énergie pour les dix prochaines années.</w:t>
            </w:r>
          </w:p>
          <w:p w14:paraId="2DEAA1FD" w14:textId="6ACED910" w:rsidR="00025543" w:rsidRDefault="007E3A2F">
            <w:pPr>
              <w:pStyle w:val="P68B1DB1-Normal11"/>
              <w:spacing w:line="240" w:lineRule="auto"/>
              <w:rPr>
                <w:noProof/>
              </w:rPr>
            </w:pPr>
            <w:r>
              <w:rPr>
                <w:noProof/>
              </w:rPr>
              <w:t>Le plan d’action définit une trajectoire d’investissement permettant d’atteindre le potentiel identifié, définit le financement public et recense les sources de financement privées appropriées pour soutenir les technologies de flexibilité et de stockage, y compris des calendriers.</w:t>
            </w:r>
          </w:p>
        </w:tc>
      </w:tr>
    </w:tbl>
    <w:p w14:paraId="6F0BE4DF" w14:textId="77777777" w:rsidR="00025543" w:rsidRDefault="00025543">
      <w:pPr>
        <w:spacing w:after="0" w:line="259" w:lineRule="auto"/>
        <w:jc w:val="both"/>
        <w:rPr>
          <w:rFonts w:eastAsia="Times New Roman"/>
          <w:b/>
          <w:noProof/>
          <w:color w:val="000000" w:themeColor="text1"/>
          <w:u w:val="single"/>
        </w:rPr>
      </w:pPr>
    </w:p>
    <w:p w14:paraId="3AAABC60" w14:textId="77777777" w:rsidR="00025543" w:rsidRDefault="00025543">
      <w:pPr>
        <w:spacing w:after="0" w:line="259" w:lineRule="auto"/>
        <w:jc w:val="both"/>
        <w:rPr>
          <w:rFonts w:eastAsia="Times New Roman"/>
          <w:b/>
          <w:noProof/>
          <w:color w:val="000000" w:themeColor="text1"/>
          <w:u w:val="single"/>
        </w:rPr>
      </w:pPr>
    </w:p>
    <w:p w14:paraId="4430BE09" w14:textId="77777777" w:rsidR="00025543" w:rsidRDefault="00025543">
      <w:pPr>
        <w:spacing w:after="0" w:line="259" w:lineRule="auto"/>
        <w:jc w:val="both"/>
        <w:rPr>
          <w:rFonts w:eastAsia="Times New Roman"/>
          <w:b/>
          <w:noProof/>
          <w:color w:val="000000" w:themeColor="text1"/>
          <w:u w:val="single"/>
        </w:rPr>
        <w:sectPr w:rsidR="00025543" w:rsidSect="003F264F">
          <w:headerReference w:type="even" r:id="rId456"/>
          <w:headerReference w:type="default" r:id="rId457"/>
          <w:footerReference w:type="even" r:id="rId458"/>
          <w:footerReference w:type="default" r:id="rId459"/>
          <w:headerReference w:type="first" r:id="rId460"/>
          <w:footerReference w:type="first" r:id="rId461"/>
          <w:pgSz w:w="16839" w:h="11907" w:orient="landscape"/>
          <w:pgMar w:top="1134" w:right="1134" w:bottom="1134" w:left="1134" w:header="567" w:footer="567" w:gutter="0"/>
          <w:cols w:space="720"/>
          <w:docGrid w:linePitch="360"/>
        </w:sectPr>
      </w:pPr>
    </w:p>
    <w:p w14:paraId="6B24C79F" w14:textId="731FB206" w:rsidR="00025543" w:rsidRDefault="007E3A2F">
      <w:pPr>
        <w:pStyle w:val="P68B1DB1-Normal2"/>
        <w:keepNext/>
        <w:tabs>
          <w:tab w:val="left" w:pos="850"/>
        </w:tabs>
        <w:spacing w:line="240" w:lineRule="auto"/>
        <w:jc w:val="both"/>
        <w:outlineLvl w:val="0"/>
        <w:rPr>
          <w:noProof/>
        </w:rPr>
      </w:pPr>
      <w:r>
        <w:rPr>
          <w:noProof/>
        </w:rPr>
        <w:t>GG. ÉLÉMENT 7.3: Réforme globale de la vague de rénovations en République tchèque (REPOWER EU)</w:t>
      </w:r>
    </w:p>
    <w:p w14:paraId="7384995D" w14:textId="77777777" w:rsidR="00025543" w:rsidRDefault="007E3A2F">
      <w:pPr>
        <w:spacing w:line="240" w:lineRule="auto"/>
        <w:jc w:val="both"/>
        <w:rPr>
          <w:noProof/>
        </w:rPr>
      </w:pPr>
      <w:r>
        <w:rPr>
          <w:noProof/>
        </w:rPr>
        <w:t xml:space="preserve">Ce volet du plan tchèque vise à </w:t>
      </w:r>
      <w:r>
        <w:rPr>
          <w:rFonts w:eastAsia="Times New Roman"/>
          <w:noProof/>
        </w:rPr>
        <w:t>rationaliser le processus de préparation des projets de rénovation, à accroître l’expertise et les capacités dans le domaine des rénovations visant à améliorer l’efficacité énergétique, à sensibiliser à la précarité énergétique et aux solutions disponibles, et à accroître le nombre et la qualité des projets de rénovation résidentielle.</w:t>
      </w:r>
    </w:p>
    <w:p w14:paraId="40FC8510" w14:textId="2E000CE6" w:rsidR="00025543" w:rsidRDefault="007E3A2F">
      <w:pPr>
        <w:tabs>
          <w:tab w:val="left" w:pos="993"/>
        </w:tabs>
        <w:spacing w:line="240" w:lineRule="auto"/>
        <w:jc w:val="both"/>
        <w:rPr>
          <w:noProof/>
        </w:rPr>
      </w:pPr>
      <w:r>
        <w:rPr>
          <w:noProof/>
        </w:rPr>
        <w:t>Le</w:t>
      </w:r>
      <w:r>
        <w:rPr>
          <w:rFonts w:eastAsia="Times New Roman"/>
          <w:noProof/>
        </w:rPr>
        <w:t>volet soutient la mise en œuvre de la recommandation par pays visant à accroître l’efficacité énergétique des systèmes de chauffage urbain et du parc immobilier en encourageant les rénovations en profondeur et les sources de chaleur renouvelables</w:t>
      </w:r>
      <w:r>
        <w:rPr>
          <w:noProof/>
        </w:rPr>
        <w:t xml:space="preserve"> (recommandation par pays no 4 2022).</w:t>
      </w:r>
    </w:p>
    <w:p w14:paraId="28AB9C40" w14:textId="5D8D3CA9" w:rsidR="00025543" w:rsidRDefault="00025543">
      <w:pPr>
        <w:spacing w:before="0" w:after="160" w:line="259" w:lineRule="auto"/>
        <w:rPr>
          <w:noProof/>
        </w:rPr>
      </w:pPr>
    </w:p>
    <w:p w14:paraId="47941ED1" w14:textId="1D77471C" w:rsidR="00025543" w:rsidRDefault="007E3A2F">
      <w:pPr>
        <w:pStyle w:val="P68B1DB1-Normal32"/>
        <w:spacing w:line="240" w:lineRule="auto"/>
        <w:jc w:val="both"/>
        <w:rPr>
          <w:noProof/>
        </w:rPr>
      </w:pPr>
      <w:r>
        <w:rPr>
          <w:noProof/>
        </w:rPr>
        <w:t>GG.1. Description des réformes et des investissements en vue du soutien financier non remboursable</w:t>
      </w:r>
    </w:p>
    <w:p w14:paraId="5ED4CCBE" w14:textId="207234B5" w:rsidR="00025543" w:rsidRDefault="007E3A2F">
      <w:pPr>
        <w:pStyle w:val="P68B1DB1-Normal7"/>
        <w:spacing w:line="240" w:lineRule="auto"/>
        <w:jc w:val="both"/>
        <w:rPr>
          <w:noProof/>
        </w:rPr>
      </w:pPr>
      <w:r>
        <w:rPr>
          <w:noProof/>
        </w:rPr>
        <w:t>Réforme 1: Guichets uniques pour les communautés énergétiques et les rénovations visant à améliorer l’efficacité énergétique</w:t>
      </w:r>
    </w:p>
    <w:p w14:paraId="07934C3D" w14:textId="2BF6B77A" w:rsidR="00025543" w:rsidRDefault="007E3A2F">
      <w:pPr>
        <w:spacing w:line="240" w:lineRule="auto"/>
        <w:jc w:val="both"/>
        <w:rPr>
          <w:noProof/>
        </w:rPr>
      </w:pPr>
      <w:r>
        <w:rPr>
          <w:noProof/>
        </w:rPr>
        <w:t>La réforme est mise en œuvre en procédant à une évaluation du fonctionnement pilote de trois guichets uniques régionaux qui fournissent aux ménages, aux entreprises et au secteur public des conseils sur les rénovations visant à améliorer l’efficacité énergétique. L’évaluation est formalisée dans une étude qui tire les enseignements de l’expérience acquise et recommande des actions visant à améliorer le fonctionnement des guichets uniques régionaux.</w:t>
      </w:r>
    </w:p>
    <w:p w14:paraId="19142CBC" w14:textId="7778056D" w:rsidR="00025543" w:rsidRDefault="007E3A2F">
      <w:pPr>
        <w:pStyle w:val="P68B1DB1-Normal3"/>
        <w:spacing w:after="160" w:line="257" w:lineRule="auto"/>
        <w:jc w:val="both"/>
        <w:rPr>
          <w:noProof/>
        </w:rPr>
      </w:pPr>
      <w:r>
        <w:rPr>
          <w:noProof/>
        </w:rPr>
        <w:t>La réforme comprend également des mesures de soutien en faveur de l’éducation et de l’information des municipalités et des citoyens sur le concept et les avantages des communautés énergétiques, y compris la création d’un guichet unique pour fournir une assistance technique sur les aspects réglementaires, techniques, financiers et organisationnels.</w:t>
      </w:r>
    </w:p>
    <w:p w14:paraId="14ECEEE7" w14:textId="52FB91BF" w:rsidR="00025543" w:rsidRDefault="007E3A2F">
      <w:pPr>
        <w:pBdr>
          <w:top w:val="nil"/>
          <w:left w:val="nil"/>
          <w:bottom w:val="nil"/>
          <w:right w:val="nil"/>
          <w:between w:val="nil"/>
        </w:pBdr>
        <w:tabs>
          <w:tab w:val="left" w:pos="993"/>
        </w:tabs>
        <w:spacing w:line="240" w:lineRule="auto"/>
        <w:jc w:val="both"/>
        <w:rPr>
          <w:b/>
          <w:noProof/>
          <w:u w:val="single"/>
        </w:rPr>
      </w:pPr>
      <w:r>
        <w:rPr>
          <w:noProof/>
        </w:rPr>
        <w:t>La réforme est mise en œuvre au plus tard le 31 décembre 2025.</w:t>
      </w:r>
    </w:p>
    <w:p w14:paraId="395BA5CB" w14:textId="2B32C4F9" w:rsidR="00025543" w:rsidRDefault="007E3A2F">
      <w:pPr>
        <w:pStyle w:val="P68B1DB1-Normal7"/>
        <w:spacing w:line="240" w:lineRule="auto"/>
        <w:jc w:val="both"/>
        <w:rPr>
          <w:noProof/>
        </w:rPr>
      </w:pPr>
      <w:r>
        <w:rPr>
          <w:noProof/>
        </w:rPr>
        <w:t>Réforme 2: Données et orientations méthodologiques pour le système de conseil</w:t>
      </w:r>
    </w:p>
    <w:p w14:paraId="1731E736" w14:textId="2A9B3249" w:rsidR="00025543" w:rsidRDefault="007E3A2F">
      <w:pPr>
        <w:spacing w:line="240" w:lineRule="auto"/>
        <w:jc w:val="both"/>
        <w:rPr>
          <w:noProof/>
        </w:rPr>
      </w:pPr>
      <w:r>
        <w:rPr>
          <w:noProof/>
        </w:rPr>
        <w:t>La réforme est mise en œuvre en préparant des données et des orientations méthodologiques à utiliser pour fournir des services de conseil et en organisant des formations à l’intention des professionnels pour la vague de rénovations. Les orientations méthodologiques comprennent un module sur la précarité énergétique et la manière de conseiller les ménages vulnérables. L’objectif de la réforme est de renforcer les capacités dans le domaine de la rénovation énergétique qui peuvent être mobilisées pour améliorer la qualité des projets de rénovation mis en œuvre par les ménages tchèques.</w:t>
      </w:r>
    </w:p>
    <w:p w14:paraId="03932209" w14:textId="61939EE1" w:rsidR="00025543" w:rsidRDefault="007E3A2F">
      <w:pPr>
        <w:jc w:val="both"/>
        <w:rPr>
          <w:b/>
          <w:noProof/>
          <w:u w:val="single"/>
        </w:rPr>
      </w:pPr>
      <w:r>
        <w:rPr>
          <w:noProof/>
        </w:rPr>
        <w:t>La réforme est mise en œuvre au plus tard le 30 juin 2025.</w:t>
      </w:r>
    </w:p>
    <w:p w14:paraId="251CDF7C" w14:textId="2B32C4F9" w:rsidR="00025543" w:rsidRDefault="007E3A2F">
      <w:pPr>
        <w:pStyle w:val="P68B1DB1-Normal7"/>
        <w:spacing w:line="240" w:lineRule="auto"/>
        <w:jc w:val="both"/>
        <w:rPr>
          <w:noProof/>
        </w:rPr>
      </w:pPr>
      <w:r>
        <w:rPr>
          <w:noProof/>
        </w:rPr>
        <w:t>Investissement 1: Fourniture de services de conseil aux ménages</w:t>
      </w:r>
    </w:p>
    <w:p w14:paraId="1E3A782B" w14:textId="6BDA11FE" w:rsidR="00025543" w:rsidRDefault="007E3A2F">
      <w:pPr>
        <w:spacing w:line="240" w:lineRule="auto"/>
        <w:jc w:val="both"/>
        <w:rPr>
          <w:noProof/>
        </w:rPr>
      </w:pPr>
      <w:r>
        <w:rPr>
          <w:noProof/>
        </w:rPr>
        <w:t>L’investissement est mis en œuvre en fournissant des services de conseil à au moins 120,000 projets de rénovation énergétique des ménages, des entreprises et du secteur public par l’intermédiaire de la nouvelle structure et de nouveaux services de conseil en matière d’énergie. L’objectif de l’investissement est d’accroître le nombre et la qualité des projets de rénovation à haut rendement énergétique mis en œuvre par les ménages.</w:t>
      </w:r>
    </w:p>
    <w:p w14:paraId="20355146" w14:textId="1EE4E36D" w:rsidR="00025543" w:rsidRDefault="007E3A2F">
      <w:pPr>
        <w:pBdr>
          <w:top w:val="nil"/>
          <w:left w:val="nil"/>
          <w:bottom w:val="nil"/>
          <w:right w:val="nil"/>
          <w:between w:val="nil"/>
        </w:pBdr>
        <w:tabs>
          <w:tab w:val="left" w:pos="993"/>
        </w:tabs>
        <w:spacing w:line="240" w:lineRule="auto"/>
        <w:jc w:val="both"/>
        <w:rPr>
          <w:b/>
          <w:noProof/>
          <w:u w:val="single"/>
        </w:rPr>
      </w:pPr>
      <w:r>
        <w:rPr>
          <w:noProof/>
        </w:rPr>
        <w:t>La réforme est mise en œuvre au plus tard le 30 juin 2026.</w:t>
      </w:r>
    </w:p>
    <w:p w14:paraId="0CBE4D4A" w14:textId="08E2DC62" w:rsidR="00025543" w:rsidRDefault="007E3A2F">
      <w:pPr>
        <w:pStyle w:val="P68B1DB1-Normal7"/>
        <w:pageBreakBefore/>
        <w:spacing w:line="240" w:lineRule="auto"/>
        <w:jc w:val="both"/>
        <w:rPr>
          <w:i/>
          <w:noProof/>
          <w:color w:val="4F81BD"/>
        </w:rPr>
      </w:pPr>
      <w:r>
        <w:rPr>
          <w:noProof/>
        </w:rPr>
        <w:t>Investissement 2: Sensibilisation</w:t>
      </w:r>
    </w:p>
    <w:p w14:paraId="45DC48B0" w14:textId="6F27533E" w:rsidR="00025543" w:rsidRDefault="007E3A2F">
      <w:pPr>
        <w:tabs>
          <w:tab w:val="left" w:pos="993"/>
        </w:tabs>
        <w:spacing w:line="240" w:lineRule="auto"/>
        <w:jc w:val="both"/>
        <w:rPr>
          <w:noProof/>
        </w:rPr>
      </w:pPr>
      <w:r>
        <w:rPr>
          <w:noProof/>
        </w:rPr>
        <w:t>L’</w:t>
      </w:r>
      <w:r>
        <w:rPr>
          <w:rFonts w:eastAsia="Times New Roman"/>
          <w:noProof/>
          <w:color w:val="000000" w:themeColor="text1"/>
        </w:rPr>
        <w:t xml:space="preserve">investissement est mis en œuvre au moyen </w:t>
      </w:r>
      <w:r>
        <w:rPr>
          <w:noProof/>
        </w:rPr>
        <w:t>d’une campagne de sensibilisation du public sur l’efficacité énergétique qui, le cas échéant, met l’accent sur la réduction de la consommation d’énergie, la rénovation des bâtiments et la précarité énergétique. L’objectif de la campagne est d’informer le grand public des changements de comportement susceptibles de réduire la consommation d’énergie et de contribuer à réduire la précarité énergétique.</w:t>
      </w:r>
    </w:p>
    <w:p w14:paraId="5DE88C05" w14:textId="4DF59C52" w:rsidR="00025543" w:rsidRDefault="007E3A2F">
      <w:pPr>
        <w:pBdr>
          <w:top w:val="nil"/>
          <w:left w:val="nil"/>
          <w:bottom w:val="nil"/>
          <w:right w:val="nil"/>
          <w:between w:val="nil"/>
        </w:pBdr>
        <w:tabs>
          <w:tab w:val="left" w:pos="993"/>
        </w:tabs>
        <w:spacing w:line="240" w:lineRule="auto"/>
        <w:jc w:val="both"/>
        <w:rPr>
          <w:noProof/>
        </w:rPr>
      </w:pPr>
      <w:r>
        <w:rPr>
          <w:noProof/>
        </w:rPr>
        <w:t>La réforme est mise en œuvre au plus tard le 30 mars 2025.</w:t>
      </w:r>
    </w:p>
    <w:p w14:paraId="65C8D4C3" w14:textId="77777777" w:rsidR="00025543" w:rsidRDefault="00025543">
      <w:pPr>
        <w:pBdr>
          <w:top w:val="nil"/>
          <w:left w:val="nil"/>
          <w:bottom w:val="nil"/>
          <w:right w:val="nil"/>
          <w:between w:val="nil"/>
        </w:pBdr>
        <w:tabs>
          <w:tab w:val="left" w:pos="993"/>
        </w:tabs>
        <w:spacing w:line="240" w:lineRule="auto"/>
        <w:jc w:val="both"/>
        <w:rPr>
          <w:b/>
          <w:noProof/>
        </w:rPr>
        <w:sectPr w:rsidR="00025543" w:rsidSect="003F264F">
          <w:headerReference w:type="even" r:id="rId462"/>
          <w:headerReference w:type="default" r:id="rId463"/>
          <w:footerReference w:type="even" r:id="rId464"/>
          <w:footerReference w:type="default" r:id="rId465"/>
          <w:headerReference w:type="first" r:id="rId466"/>
          <w:footerReference w:type="first" r:id="rId467"/>
          <w:pgSz w:w="11907" w:h="16839"/>
          <w:pgMar w:top="1134" w:right="1134" w:bottom="1134" w:left="1134" w:header="567" w:footer="567" w:gutter="0"/>
          <w:cols w:space="720"/>
          <w:docGrid w:linePitch="360"/>
        </w:sectPr>
      </w:pPr>
    </w:p>
    <w:p w14:paraId="2F0E9248" w14:textId="1592C02C" w:rsidR="00025543" w:rsidRDefault="007E3A2F">
      <w:pPr>
        <w:pStyle w:val="P68B1DB1-Normal8"/>
        <w:pBdr>
          <w:top w:val="nil"/>
          <w:left w:val="nil"/>
          <w:bottom w:val="nil"/>
          <w:right w:val="nil"/>
          <w:between w:val="nil"/>
        </w:pBdr>
        <w:tabs>
          <w:tab w:val="left" w:pos="993"/>
        </w:tabs>
        <w:spacing w:line="240" w:lineRule="auto"/>
        <w:jc w:val="both"/>
        <w:rPr>
          <w:noProof/>
        </w:rPr>
      </w:pPr>
      <w:r>
        <w:rPr>
          <w:noProof/>
        </w:rPr>
        <w:t>GG.2. Jalons, cibles, indicateurs et calendrier de suivi et de mise en œuvre en vue du soutien financier non remboursable</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9"/>
        <w:gridCol w:w="1570"/>
        <w:gridCol w:w="1099"/>
        <w:gridCol w:w="1495"/>
        <w:gridCol w:w="1738"/>
        <w:gridCol w:w="958"/>
        <w:gridCol w:w="958"/>
        <w:gridCol w:w="958"/>
        <w:gridCol w:w="990"/>
        <w:gridCol w:w="641"/>
        <w:gridCol w:w="3975"/>
      </w:tblGrid>
      <w:tr w:rsidR="00025543" w14:paraId="0D9B1BA4" w14:textId="77777777">
        <w:trPr>
          <w:trHeight w:val="672"/>
          <w:tblHeader/>
          <w:jc w:val="center"/>
        </w:trPr>
        <w:tc>
          <w:tcPr>
            <w:tcW w:w="654" w:type="dxa"/>
            <w:vMerge w:val="restart"/>
            <w:shd w:val="clear" w:color="auto" w:fill="BDD7EE"/>
            <w:vAlign w:val="center"/>
            <w:hideMark/>
          </w:tcPr>
          <w:p w14:paraId="561EC96B" w14:textId="77777777" w:rsidR="00025543" w:rsidRDefault="007E3A2F">
            <w:pPr>
              <w:pStyle w:val="P68B1DB1-Normal9"/>
              <w:spacing w:before="0" w:after="0" w:line="240" w:lineRule="auto"/>
              <w:jc w:val="center"/>
              <w:rPr>
                <w:noProof/>
              </w:rPr>
            </w:pPr>
            <w:r>
              <w:rPr>
                <w:noProof/>
              </w:rPr>
              <w:t>Séquence NUM.</w:t>
            </w:r>
          </w:p>
        </w:tc>
        <w:tc>
          <w:tcPr>
            <w:tcW w:w="1625" w:type="dxa"/>
            <w:vMerge w:val="restart"/>
            <w:shd w:val="clear" w:color="auto" w:fill="BDD7EE"/>
            <w:vAlign w:val="center"/>
            <w:hideMark/>
          </w:tcPr>
          <w:p w14:paraId="7622029B" w14:textId="77777777" w:rsidR="00025543" w:rsidRDefault="007E3A2F">
            <w:pPr>
              <w:pStyle w:val="P68B1DB1-Normal9"/>
              <w:spacing w:before="0" w:after="0" w:line="240" w:lineRule="auto"/>
              <w:jc w:val="center"/>
              <w:rPr>
                <w:noProof/>
              </w:rPr>
            </w:pPr>
            <w:r>
              <w:rPr>
                <w:noProof/>
              </w:rPr>
              <w:t>Mesure connexe (réforme ou investissement)</w:t>
            </w:r>
          </w:p>
        </w:tc>
        <w:tc>
          <w:tcPr>
            <w:tcW w:w="1134" w:type="dxa"/>
            <w:vMerge w:val="restart"/>
            <w:shd w:val="clear" w:color="auto" w:fill="BDD7EE"/>
            <w:vAlign w:val="center"/>
            <w:hideMark/>
          </w:tcPr>
          <w:p w14:paraId="11CAF45D" w14:textId="77777777" w:rsidR="00025543" w:rsidRDefault="007E3A2F">
            <w:pPr>
              <w:pStyle w:val="P68B1DB1-Normal9"/>
              <w:spacing w:before="0" w:after="0" w:line="240" w:lineRule="auto"/>
              <w:jc w:val="center"/>
              <w:rPr>
                <w:noProof/>
              </w:rPr>
            </w:pPr>
            <w:r>
              <w:rPr>
                <w:noProof/>
              </w:rPr>
              <w:t>Jalon/cible</w:t>
            </w:r>
          </w:p>
        </w:tc>
        <w:tc>
          <w:tcPr>
            <w:tcW w:w="1546" w:type="dxa"/>
            <w:vMerge w:val="restart"/>
            <w:shd w:val="clear" w:color="auto" w:fill="BDD7EE"/>
            <w:vAlign w:val="center"/>
            <w:hideMark/>
          </w:tcPr>
          <w:p w14:paraId="320D5799" w14:textId="77777777" w:rsidR="00025543" w:rsidRDefault="007E3A2F">
            <w:pPr>
              <w:pStyle w:val="P68B1DB1-Normal9"/>
              <w:spacing w:before="0" w:after="0" w:line="240" w:lineRule="auto"/>
              <w:jc w:val="center"/>
              <w:rPr>
                <w:noProof/>
              </w:rPr>
            </w:pPr>
            <w:r>
              <w:rPr>
                <w:noProof/>
              </w:rPr>
              <w:t>Nom</w:t>
            </w:r>
          </w:p>
        </w:tc>
        <w:tc>
          <w:tcPr>
            <w:tcW w:w="1799" w:type="dxa"/>
            <w:vMerge w:val="restart"/>
            <w:shd w:val="clear" w:color="auto" w:fill="BDD7EE"/>
            <w:vAlign w:val="center"/>
            <w:hideMark/>
          </w:tcPr>
          <w:p w14:paraId="44E64AD2" w14:textId="77777777" w:rsidR="00025543" w:rsidRDefault="007E3A2F">
            <w:pPr>
              <w:pStyle w:val="P68B1DB1-Normal9"/>
              <w:spacing w:before="0" w:after="0" w:line="240" w:lineRule="auto"/>
              <w:jc w:val="center"/>
              <w:rPr>
                <w:noProof/>
              </w:rPr>
            </w:pPr>
            <w:r>
              <w:rPr>
                <w:noProof/>
              </w:rPr>
              <w:t xml:space="preserve">Qualitatifs </w:t>
            </w:r>
            <w:r>
              <w:rPr>
                <w:noProof/>
              </w:rPr>
              <w:br/>
              <w:t>(pour les jalons)</w:t>
            </w:r>
          </w:p>
        </w:tc>
        <w:tc>
          <w:tcPr>
            <w:tcW w:w="2964" w:type="dxa"/>
            <w:gridSpan w:val="3"/>
            <w:shd w:val="clear" w:color="auto" w:fill="BDD7EE"/>
            <w:vAlign w:val="center"/>
            <w:hideMark/>
          </w:tcPr>
          <w:p w14:paraId="51D123A5" w14:textId="77777777" w:rsidR="00025543" w:rsidRDefault="007E3A2F">
            <w:pPr>
              <w:pStyle w:val="P68B1DB1-Normal9"/>
              <w:spacing w:before="0" w:after="0" w:line="240" w:lineRule="auto"/>
              <w:jc w:val="center"/>
              <w:rPr>
                <w:noProof/>
              </w:rPr>
            </w:pPr>
            <w:r>
              <w:rPr>
                <w:noProof/>
              </w:rPr>
              <w:t xml:space="preserve">Indicateurs quantitatifs </w:t>
            </w:r>
            <w:r>
              <w:rPr>
                <w:noProof/>
              </w:rPr>
              <w:br/>
              <w:t>(pour les objectifs)</w:t>
            </w:r>
          </w:p>
        </w:tc>
        <w:tc>
          <w:tcPr>
            <w:tcW w:w="1317" w:type="dxa"/>
            <w:gridSpan w:val="2"/>
            <w:shd w:val="clear" w:color="auto" w:fill="BDD7EE"/>
            <w:vAlign w:val="center"/>
            <w:hideMark/>
          </w:tcPr>
          <w:p w14:paraId="5F51441C" w14:textId="77777777" w:rsidR="00025543" w:rsidRDefault="007E3A2F">
            <w:pPr>
              <w:pStyle w:val="P68B1DB1-Normal9"/>
              <w:spacing w:before="0" w:after="0" w:line="240" w:lineRule="auto"/>
              <w:jc w:val="center"/>
              <w:rPr>
                <w:noProof/>
              </w:rPr>
            </w:pPr>
            <w:r>
              <w:rPr>
                <w:noProof/>
              </w:rPr>
              <w:t xml:space="preserve">Calendrier indicatif de réalisation </w:t>
            </w:r>
          </w:p>
        </w:tc>
        <w:tc>
          <w:tcPr>
            <w:tcW w:w="4128" w:type="dxa"/>
            <w:vMerge w:val="restart"/>
            <w:shd w:val="clear" w:color="auto" w:fill="BDD7EE"/>
            <w:vAlign w:val="center"/>
            <w:hideMark/>
          </w:tcPr>
          <w:p w14:paraId="4BAED7D6" w14:textId="77777777" w:rsidR="00025543" w:rsidRDefault="007E3A2F">
            <w:pPr>
              <w:pStyle w:val="P68B1DB1-Normal9"/>
              <w:spacing w:before="0" w:after="0" w:line="240" w:lineRule="auto"/>
              <w:jc w:val="center"/>
              <w:rPr>
                <w:noProof/>
              </w:rPr>
            </w:pPr>
            <w:r>
              <w:rPr>
                <w:noProof/>
              </w:rPr>
              <w:t>Description de chaque jalon et cible</w:t>
            </w:r>
          </w:p>
        </w:tc>
      </w:tr>
      <w:tr w:rsidR="00025543" w14:paraId="24E6F99C" w14:textId="77777777">
        <w:trPr>
          <w:trHeight w:val="458"/>
          <w:tblHeader/>
          <w:jc w:val="center"/>
        </w:trPr>
        <w:tc>
          <w:tcPr>
            <w:tcW w:w="654" w:type="dxa"/>
            <w:vMerge/>
            <w:vAlign w:val="center"/>
            <w:hideMark/>
          </w:tcPr>
          <w:p w14:paraId="12800F77" w14:textId="77777777" w:rsidR="00025543" w:rsidRDefault="00025543">
            <w:pPr>
              <w:spacing w:before="0" w:after="0" w:line="240" w:lineRule="auto"/>
              <w:rPr>
                <w:rFonts w:eastAsia="Times New Roman"/>
                <w:b/>
                <w:noProof/>
                <w:sz w:val="18"/>
              </w:rPr>
            </w:pPr>
          </w:p>
        </w:tc>
        <w:tc>
          <w:tcPr>
            <w:tcW w:w="1625" w:type="dxa"/>
            <w:vMerge/>
            <w:vAlign w:val="center"/>
            <w:hideMark/>
          </w:tcPr>
          <w:p w14:paraId="55DDF423" w14:textId="77777777" w:rsidR="00025543" w:rsidRDefault="00025543">
            <w:pPr>
              <w:spacing w:before="0" w:after="0" w:line="240" w:lineRule="auto"/>
              <w:rPr>
                <w:rFonts w:eastAsia="Times New Roman"/>
                <w:b/>
                <w:noProof/>
                <w:sz w:val="18"/>
              </w:rPr>
            </w:pPr>
          </w:p>
        </w:tc>
        <w:tc>
          <w:tcPr>
            <w:tcW w:w="1134" w:type="dxa"/>
            <w:vMerge/>
            <w:vAlign w:val="center"/>
            <w:hideMark/>
          </w:tcPr>
          <w:p w14:paraId="3EEBCD7D" w14:textId="77777777" w:rsidR="00025543" w:rsidRDefault="00025543">
            <w:pPr>
              <w:spacing w:before="0" w:after="0" w:line="240" w:lineRule="auto"/>
              <w:rPr>
                <w:rFonts w:eastAsia="Times New Roman"/>
                <w:b/>
                <w:noProof/>
                <w:sz w:val="18"/>
              </w:rPr>
            </w:pPr>
          </w:p>
        </w:tc>
        <w:tc>
          <w:tcPr>
            <w:tcW w:w="1546" w:type="dxa"/>
            <w:vMerge/>
            <w:vAlign w:val="center"/>
            <w:hideMark/>
          </w:tcPr>
          <w:p w14:paraId="77370807" w14:textId="77777777" w:rsidR="00025543" w:rsidRDefault="00025543">
            <w:pPr>
              <w:spacing w:before="0" w:after="0" w:line="240" w:lineRule="auto"/>
              <w:rPr>
                <w:rFonts w:eastAsia="Times New Roman"/>
                <w:b/>
                <w:noProof/>
                <w:sz w:val="18"/>
              </w:rPr>
            </w:pPr>
          </w:p>
        </w:tc>
        <w:tc>
          <w:tcPr>
            <w:tcW w:w="1799" w:type="dxa"/>
            <w:vMerge/>
            <w:vAlign w:val="center"/>
            <w:hideMark/>
          </w:tcPr>
          <w:p w14:paraId="153BE9A9" w14:textId="77777777" w:rsidR="00025543" w:rsidRDefault="00025543">
            <w:pPr>
              <w:spacing w:before="0" w:after="0" w:line="240" w:lineRule="auto"/>
              <w:rPr>
                <w:rFonts w:eastAsia="Times New Roman"/>
                <w:b/>
                <w:noProof/>
                <w:sz w:val="18"/>
              </w:rPr>
            </w:pPr>
          </w:p>
        </w:tc>
        <w:tc>
          <w:tcPr>
            <w:tcW w:w="988" w:type="dxa"/>
            <w:shd w:val="clear" w:color="auto" w:fill="BDD7EE"/>
            <w:vAlign w:val="center"/>
            <w:hideMark/>
          </w:tcPr>
          <w:p w14:paraId="367FA846" w14:textId="77777777" w:rsidR="00025543" w:rsidRDefault="007E3A2F">
            <w:pPr>
              <w:pStyle w:val="P68B1DB1-Normal9"/>
              <w:spacing w:before="0" w:after="0" w:line="240" w:lineRule="auto"/>
              <w:jc w:val="center"/>
              <w:rPr>
                <w:noProof/>
              </w:rPr>
            </w:pPr>
            <w:r>
              <w:rPr>
                <w:noProof/>
              </w:rPr>
              <w:t>Unité de mesure</w:t>
            </w:r>
          </w:p>
        </w:tc>
        <w:tc>
          <w:tcPr>
            <w:tcW w:w="988" w:type="dxa"/>
            <w:shd w:val="clear" w:color="auto" w:fill="BDD7EE"/>
            <w:vAlign w:val="center"/>
            <w:hideMark/>
          </w:tcPr>
          <w:p w14:paraId="5A6761E4" w14:textId="77777777" w:rsidR="00025543" w:rsidRDefault="007E3A2F">
            <w:pPr>
              <w:pStyle w:val="P68B1DB1-Normal9"/>
              <w:spacing w:before="0" w:after="0" w:line="240" w:lineRule="auto"/>
              <w:jc w:val="center"/>
              <w:rPr>
                <w:noProof/>
              </w:rPr>
            </w:pPr>
            <w:r>
              <w:rPr>
                <w:noProof/>
              </w:rPr>
              <w:t xml:space="preserve">Scénario de référence </w:t>
            </w:r>
          </w:p>
        </w:tc>
        <w:tc>
          <w:tcPr>
            <w:tcW w:w="988" w:type="dxa"/>
            <w:shd w:val="clear" w:color="auto" w:fill="BDD7EE"/>
            <w:vAlign w:val="center"/>
            <w:hideMark/>
          </w:tcPr>
          <w:p w14:paraId="4B234736" w14:textId="77777777" w:rsidR="00025543" w:rsidRDefault="007E3A2F">
            <w:pPr>
              <w:pStyle w:val="P68B1DB1-Normal9"/>
              <w:spacing w:before="0" w:after="0" w:line="240" w:lineRule="auto"/>
              <w:jc w:val="center"/>
              <w:rPr>
                <w:noProof/>
              </w:rPr>
            </w:pPr>
            <w:r>
              <w:rPr>
                <w:noProof/>
              </w:rPr>
              <w:t xml:space="preserve">Objectif </w:t>
            </w:r>
          </w:p>
        </w:tc>
        <w:tc>
          <w:tcPr>
            <w:tcW w:w="1021" w:type="dxa"/>
            <w:shd w:val="clear" w:color="auto" w:fill="BDD7EE"/>
            <w:vAlign w:val="center"/>
            <w:hideMark/>
          </w:tcPr>
          <w:p w14:paraId="236FC53A" w14:textId="77777777" w:rsidR="00025543" w:rsidRDefault="007E3A2F">
            <w:pPr>
              <w:pStyle w:val="P68B1DB1-Normal9"/>
              <w:spacing w:before="0" w:after="0" w:line="240" w:lineRule="auto"/>
              <w:jc w:val="center"/>
              <w:rPr>
                <w:noProof/>
              </w:rPr>
            </w:pPr>
            <w:r>
              <w:rPr>
                <w:noProof/>
              </w:rPr>
              <w:t>Trimestre</w:t>
            </w:r>
          </w:p>
        </w:tc>
        <w:tc>
          <w:tcPr>
            <w:tcW w:w="658" w:type="dxa"/>
            <w:shd w:val="clear" w:color="auto" w:fill="BDD7EE"/>
            <w:vAlign w:val="center"/>
            <w:hideMark/>
          </w:tcPr>
          <w:p w14:paraId="11EDF70C" w14:textId="77777777" w:rsidR="00025543" w:rsidRDefault="007E3A2F">
            <w:pPr>
              <w:pStyle w:val="P68B1DB1-Normal9"/>
              <w:spacing w:before="0" w:after="0" w:line="240" w:lineRule="auto"/>
              <w:jc w:val="center"/>
              <w:rPr>
                <w:noProof/>
              </w:rPr>
            </w:pPr>
            <w:r>
              <w:rPr>
                <w:noProof/>
              </w:rPr>
              <w:t>Année</w:t>
            </w:r>
          </w:p>
        </w:tc>
        <w:tc>
          <w:tcPr>
            <w:tcW w:w="4128" w:type="dxa"/>
            <w:vMerge/>
            <w:vAlign w:val="center"/>
            <w:hideMark/>
          </w:tcPr>
          <w:p w14:paraId="712B4AF1" w14:textId="77777777" w:rsidR="00025543" w:rsidRDefault="00025543">
            <w:pPr>
              <w:spacing w:before="0" w:after="0" w:line="240" w:lineRule="auto"/>
              <w:rPr>
                <w:rFonts w:eastAsia="Times New Roman"/>
                <w:b/>
                <w:noProof/>
                <w:sz w:val="18"/>
              </w:rPr>
            </w:pPr>
          </w:p>
        </w:tc>
      </w:tr>
      <w:tr w:rsidR="00025543" w14:paraId="2EE6EA86" w14:textId="3A1080AD">
        <w:trPr>
          <w:trHeight w:val="309"/>
          <w:jc w:val="center"/>
        </w:trPr>
        <w:tc>
          <w:tcPr>
            <w:tcW w:w="654" w:type="dxa"/>
            <w:shd w:val="clear" w:color="auto" w:fill="C6EFCE"/>
            <w:vAlign w:val="center"/>
            <w:hideMark/>
          </w:tcPr>
          <w:p w14:paraId="4C02AB77" w14:textId="5B430931" w:rsidR="00025543" w:rsidRDefault="007E3A2F">
            <w:pPr>
              <w:pStyle w:val="P68B1DB1-Normal11"/>
              <w:spacing w:before="0" w:after="0" w:line="240" w:lineRule="auto"/>
              <w:jc w:val="center"/>
              <w:rPr>
                <w:noProof/>
              </w:rPr>
            </w:pPr>
            <w:r>
              <w:rPr>
                <w:noProof/>
              </w:rPr>
              <w:t>318</w:t>
            </w:r>
          </w:p>
        </w:tc>
        <w:tc>
          <w:tcPr>
            <w:tcW w:w="1625" w:type="dxa"/>
            <w:shd w:val="clear" w:color="auto" w:fill="C6EFCE"/>
            <w:vAlign w:val="center"/>
            <w:hideMark/>
          </w:tcPr>
          <w:p w14:paraId="143B6A1D" w14:textId="7ECEFA3F" w:rsidR="00025543" w:rsidRDefault="007E3A2F">
            <w:pPr>
              <w:pStyle w:val="P68B1DB1-Normal11"/>
              <w:spacing w:after="0" w:line="240" w:lineRule="auto"/>
              <w:rPr>
                <w:noProof/>
              </w:rPr>
            </w:pPr>
            <w:r>
              <w:rPr>
                <w:noProof/>
              </w:rPr>
              <w:t>Réforme 1: Guichets uniques pour les communautés énergétiques et les rénovations visant à améliorer l’efficacité énergétique</w:t>
            </w:r>
          </w:p>
          <w:p w14:paraId="1D78CD3F" w14:textId="006DED76" w:rsidR="00025543" w:rsidRDefault="00025543">
            <w:pPr>
              <w:spacing w:before="0" w:after="0" w:line="240" w:lineRule="auto"/>
              <w:rPr>
                <w:rFonts w:eastAsia="Times New Roman"/>
                <w:noProof/>
                <w:color w:val="006100"/>
                <w:sz w:val="18"/>
              </w:rPr>
            </w:pPr>
          </w:p>
        </w:tc>
        <w:tc>
          <w:tcPr>
            <w:tcW w:w="1134" w:type="dxa"/>
            <w:shd w:val="clear" w:color="auto" w:fill="C6EFCE"/>
            <w:vAlign w:val="center"/>
            <w:hideMark/>
          </w:tcPr>
          <w:p w14:paraId="3E66BBA2" w14:textId="4DFD459E" w:rsidR="00025543" w:rsidRDefault="007E3A2F">
            <w:pPr>
              <w:pStyle w:val="P68B1DB1-Normal11"/>
              <w:spacing w:before="0" w:after="0" w:line="240" w:lineRule="auto"/>
              <w:rPr>
                <w:noProof/>
              </w:rPr>
            </w:pPr>
            <w:r>
              <w:rPr>
                <w:noProof/>
              </w:rPr>
              <w:t>Étapes</w:t>
            </w:r>
          </w:p>
        </w:tc>
        <w:tc>
          <w:tcPr>
            <w:tcW w:w="1546" w:type="dxa"/>
            <w:shd w:val="clear" w:color="auto" w:fill="C6EFCE"/>
            <w:vAlign w:val="center"/>
            <w:hideMark/>
          </w:tcPr>
          <w:p w14:paraId="06391637" w14:textId="65632DF5" w:rsidR="00025543" w:rsidRDefault="007E3A2F">
            <w:pPr>
              <w:pStyle w:val="P68B1DB1-Normal11"/>
              <w:spacing w:before="0" w:after="0" w:line="240" w:lineRule="auto"/>
              <w:rPr>
                <w:noProof/>
              </w:rPr>
            </w:pPr>
            <w:r>
              <w:rPr>
                <w:noProof/>
              </w:rPr>
              <w:t>Guichet unique pour l’énergie</w:t>
            </w:r>
          </w:p>
        </w:tc>
        <w:tc>
          <w:tcPr>
            <w:tcW w:w="1799" w:type="dxa"/>
            <w:shd w:val="clear" w:color="auto" w:fill="C6EFCE"/>
            <w:vAlign w:val="center"/>
            <w:hideMark/>
          </w:tcPr>
          <w:p w14:paraId="5715DFB8" w14:textId="5A56F510" w:rsidR="00025543" w:rsidRDefault="007E3A2F">
            <w:pPr>
              <w:pStyle w:val="P68B1DB1-Normal11"/>
              <w:spacing w:before="0" w:after="0" w:line="240" w:lineRule="auto"/>
              <w:rPr>
                <w:noProof/>
              </w:rPr>
            </w:pPr>
            <w:r>
              <w:rPr>
                <w:noProof/>
              </w:rPr>
              <w:t>Début de l’exploitation de l’autorité du guichet unique</w:t>
            </w:r>
          </w:p>
        </w:tc>
        <w:tc>
          <w:tcPr>
            <w:tcW w:w="988" w:type="dxa"/>
            <w:shd w:val="clear" w:color="auto" w:fill="C6EFCE"/>
            <w:vAlign w:val="center"/>
          </w:tcPr>
          <w:p w14:paraId="7D348855" w14:textId="55043B8E" w:rsidR="00025543" w:rsidRDefault="00025543">
            <w:pPr>
              <w:spacing w:before="0" w:after="0" w:line="240" w:lineRule="auto"/>
              <w:rPr>
                <w:rFonts w:eastAsia="Times New Roman"/>
                <w:noProof/>
                <w:color w:val="006100"/>
                <w:sz w:val="18"/>
              </w:rPr>
            </w:pPr>
          </w:p>
        </w:tc>
        <w:tc>
          <w:tcPr>
            <w:tcW w:w="988" w:type="dxa"/>
            <w:shd w:val="clear" w:color="auto" w:fill="C6EFCE"/>
            <w:vAlign w:val="center"/>
          </w:tcPr>
          <w:p w14:paraId="635F13B2" w14:textId="1E6DA123" w:rsidR="00025543" w:rsidRDefault="00025543">
            <w:pPr>
              <w:spacing w:before="0" w:after="0" w:line="240" w:lineRule="auto"/>
              <w:jc w:val="center"/>
              <w:rPr>
                <w:rFonts w:eastAsia="Times New Roman"/>
                <w:noProof/>
                <w:color w:val="006100"/>
                <w:sz w:val="18"/>
              </w:rPr>
            </w:pPr>
          </w:p>
        </w:tc>
        <w:tc>
          <w:tcPr>
            <w:tcW w:w="988" w:type="dxa"/>
            <w:shd w:val="clear" w:color="auto" w:fill="C6EFCE"/>
            <w:vAlign w:val="center"/>
          </w:tcPr>
          <w:p w14:paraId="51838661" w14:textId="6ECB7A6D" w:rsidR="00025543" w:rsidRDefault="00025543">
            <w:pPr>
              <w:spacing w:before="0" w:after="0" w:line="240" w:lineRule="auto"/>
              <w:jc w:val="center"/>
              <w:rPr>
                <w:rFonts w:eastAsia="Times New Roman"/>
                <w:noProof/>
                <w:color w:val="006100"/>
                <w:sz w:val="18"/>
              </w:rPr>
            </w:pPr>
          </w:p>
        </w:tc>
        <w:tc>
          <w:tcPr>
            <w:tcW w:w="1021" w:type="dxa"/>
            <w:shd w:val="clear" w:color="auto" w:fill="C6EFCE"/>
            <w:vAlign w:val="center"/>
            <w:hideMark/>
          </w:tcPr>
          <w:p w14:paraId="3DC71499" w14:textId="0C7712F3" w:rsidR="00025543" w:rsidRDefault="007E3A2F">
            <w:pPr>
              <w:pStyle w:val="P68B1DB1-Normal11"/>
              <w:spacing w:before="0" w:after="0" w:line="240" w:lineRule="auto"/>
              <w:jc w:val="center"/>
              <w:rPr>
                <w:noProof/>
              </w:rPr>
            </w:pPr>
            <w:r>
              <w:rPr>
                <w:noProof/>
              </w:rPr>
              <w:t xml:space="preserve">TRIMESTRE 4 </w:t>
            </w:r>
          </w:p>
        </w:tc>
        <w:tc>
          <w:tcPr>
            <w:tcW w:w="658" w:type="dxa"/>
            <w:shd w:val="clear" w:color="auto" w:fill="C6EFCE"/>
            <w:vAlign w:val="center"/>
            <w:hideMark/>
          </w:tcPr>
          <w:p w14:paraId="196E17DD" w14:textId="6704FE0D" w:rsidR="00025543" w:rsidRDefault="007E3A2F">
            <w:pPr>
              <w:pStyle w:val="P68B1DB1-Normal11"/>
              <w:spacing w:before="0" w:after="0" w:line="240" w:lineRule="auto"/>
              <w:jc w:val="center"/>
              <w:rPr>
                <w:noProof/>
              </w:rPr>
            </w:pPr>
            <w:r>
              <w:rPr>
                <w:noProof/>
              </w:rPr>
              <w:t>2024</w:t>
            </w:r>
          </w:p>
        </w:tc>
        <w:tc>
          <w:tcPr>
            <w:tcW w:w="4128" w:type="dxa"/>
            <w:shd w:val="clear" w:color="auto" w:fill="C6EFCE"/>
            <w:vAlign w:val="bottom"/>
            <w:hideMark/>
          </w:tcPr>
          <w:p w14:paraId="1D74B77F" w14:textId="23184990" w:rsidR="00025543" w:rsidRDefault="007E3A2F">
            <w:pPr>
              <w:pStyle w:val="P68B1DB1-Normal11"/>
              <w:spacing w:line="240" w:lineRule="auto"/>
              <w:jc w:val="both"/>
              <w:rPr>
                <w:noProof/>
              </w:rPr>
            </w:pPr>
            <w:r>
              <w:rPr>
                <w:noProof/>
              </w:rPr>
              <w:t xml:space="preserve">Mise en place et mise en service d’un guichet unique (OSS) qui fournit une assistance technique, facilite l’accès au financement anticipé (aux services contractuels ou à l’investissement dans des équipements) et à l’information pour créer une communauté énergétique. </w:t>
            </w:r>
          </w:p>
          <w:p w14:paraId="36A64B33" w14:textId="5CE61977" w:rsidR="00025543" w:rsidRDefault="007E3A2F">
            <w:pPr>
              <w:pStyle w:val="P68B1DB1-Normal11"/>
              <w:spacing w:line="240" w:lineRule="auto"/>
              <w:jc w:val="both"/>
              <w:rPr>
                <w:noProof/>
              </w:rPr>
            </w:pPr>
            <w:r>
              <w:rPr>
                <w:noProof/>
              </w:rPr>
              <w:t>Le guichet unique fournit des lignes directrices sur les exigences législatives et des modèles de documents afin de faciliter les procédures d’octroi de licences et d’autorisations.</w:t>
            </w:r>
          </w:p>
          <w:p w14:paraId="4D20CA86" w14:textId="5C751BD0" w:rsidR="00025543" w:rsidRDefault="007E3A2F">
            <w:pPr>
              <w:pStyle w:val="P68B1DB1-Normal11"/>
              <w:spacing w:line="240" w:lineRule="auto"/>
              <w:jc w:val="both"/>
              <w:rPr>
                <w:noProof/>
              </w:rPr>
            </w:pPr>
            <w:r>
              <w:rPr>
                <w:noProof/>
              </w:rPr>
              <w:t>Le guichet unique fournit un soutien et des conseils en matière de rénovation énergétique aux ménages, aux entreprises et au secteur public.</w:t>
            </w:r>
          </w:p>
          <w:p w14:paraId="2F962A70" w14:textId="45931556" w:rsidR="00025543" w:rsidRDefault="00025543">
            <w:pPr>
              <w:spacing w:before="0" w:after="0" w:line="240" w:lineRule="auto"/>
              <w:rPr>
                <w:rFonts w:eastAsia="Times New Roman"/>
                <w:noProof/>
                <w:color w:val="006100"/>
                <w:sz w:val="18"/>
              </w:rPr>
            </w:pPr>
          </w:p>
        </w:tc>
      </w:tr>
      <w:tr w:rsidR="00025543" w14:paraId="4F9CE002" w14:textId="77777777">
        <w:trPr>
          <w:trHeight w:val="309"/>
          <w:jc w:val="center"/>
        </w:trPr>
        <w:tc>
          <w:tcPr>
            <w:tcW w:w="654" w:type="dxa"/>
            <w:shd w:val="clear" w:color="auto" w:fill="C6EFCE"/>
            <w:vAlign w:val="center"/>
          </w:tcPr>
          <w:p w14:paraId="65BFF062" w14:textId="7284DDE9" w:rsidR="00025543" w:rsidRDefault="007E3A2F">
            <w:pPr>
              <w:pStyle w:val="P68B1DB1-Normal11"/>
              <w:spacing w:before="0" w:after="0" w:line="240" w:lineRule="auto"/>
              <w:jc w:val="center"/>
              <w:rPr>
                <w:noProof/>
              </w:rPr>
            </w:pPr>
            <w:r>
              <w:rPr>
                <w:noProof/>
              </w:rPr>
              <w:t>319</w:t>
            </w:r>
          </w:p>
        </w:tc>
        <w:tc>
          <w:tcPr>
            <w:tcW w:w="1625" w:type="dxa"/>
            <w:shd w:val="clear" w:color="auto" w:fill="C6EFCE"/>
            <w:vAlign w:val="center"/>
          </w:tcPr>
          <w:p w14:paraId="0F75CFB3" w14:textId="22DB67A0" w:rsidR="00025543" w:rsidRDefault="007E3A2F">
            <w:pPr>
              <w:pStyle w:val="P68B1DB1-Normal11"/>
              <w:spacing w:before="0" w:after="0" w:line="240" w:lineRule="auto"/>
              <w:rPr>
                <w:noProof/>
              </w:rPr>
            </w:pPr>
            <w:r>
              <w:rPr>
                <w:noProof/>
              </w:rPr>
              <w:t>Réforme 1: Guichets uniques pour les communautés énergétiques et les rénovations visant à améliorer l’efficacité énergétique</w:t>
            </w:r>
          </w:p>
        </w:tc>
        <w:tc>
          <w:tcPr>
            <w:tcW w:w="1134" w:type="dxa"/>
            <w:shd w:val="clear" w:color="auto" w:fill="C6EFCE"/>
            <w:vAlign w:val="center"/>
          </w:tcPr>
          <w:p w14:paraId="35ADAF50" w14:textId="291D86EA" w:rsidR="00025543" w:rsidRDefault="007E3A2F">
            <w:pPr>
              <w:pStyle w:val="P68B1DB1-Normal11"/>
              <w:spacing w:before="0" w:after="0" w:line="240" w:lineRule="auto"/>
              <w:rPr>
                <w:noProof/>
              </w:rPr>
            </w:pPr>
            <w:r>
              <w:rPr>
                <w:noProof/>
              </w:rPr>
              <w:t>Étapes</w:t>
            </w:r>
          </w:p>
        </w:tc>
        <w:tc>
          <w:tcPr>
            <w:tcW w:w="1546" w:type="dxa"/>
            <w:shd w:val="clear" w:color="auto" w:fill="C6EFCE"/>
            <w:vAlign w:val="center"/>
          </w:tcPr>
          <w:p w14:paraId="632B6D1F" w14:textId="53190B22" w:rsidR="00025543" w:rsidRDefault="007E3A2F">
            <w:pPr>
              <w:pStyle w:val="P68B1DB1-Normal11"/>
              <w:spacing w:before="0" w:after="0" w:line="240" w:lineRule="auto"/>
              <w:rPr>
                <w:noProof/>
              </w:rPr>
            </w:pPr>
            <w:r>
              <w:rPr>
                <w:noProof/>
              </w:rPr>
              <w:t>Évaluation du fonctionnement pilote de trois guichets uniques pour l’énergie</w:t>
            </w:r>
          </w:p>
        </w:tc>
        <w:tc>
          <w:tcPr>
            <w:tcW w:w="1799" w:type="dxa"/>
            <w:shd w:val="clear" w:color="auto" w:fill="C6EFCE"/>
            <w:vAlign w:val="center"/>
          </w:tcPr>
          <w:p w14:paraId="14062F08" w14:textId="17E89AB2" w:rsidR="00025543" w:rsidRDefault="007E3A2F">
            <w:pPr>
              <w:pStyle w:val="P68B1DB1-Normal11"/>
              <w:spacing w:before="0" w:after="0" w:line="240" w:lineRule="auto"/>
              <w:rPr>
                <w:noProof/>
              </w:rPr>
            </w:pPr>
            <w:r>
              <w:rPr>
                <w:noProof/>
              </w:rPr>
              <w:t>Étude d’évaluation du fonctionnement de trois guichets uniques régionaux</w:t>
            </w:r>
          </w:p>
        </w:tc>
        <w:tc>
          <w:tcPr>
            <w:tcW w:w="988" w:type="dxa"/>
            <w:shd w:val="clear" w:color="auto" w:fill="C6EFCE"/>
            <w:vAlign w:val="center"/>
          </w:tcPr>
          <w:p w14:paraId="4C47078B" w14:textId="77777777" w:rsidR="00025543" w:rsidRDefault="00025543">
            <w:pPr>
              <w:spacing w:before="0" w:after="0" w:line="240" w:lineRule="auto"/>
              <w:rPr>
                <w:rFonts w:eastAsia="Times New Roman"/>
                <w:noProof/>
                <w:color w:val="006100"/>
                <w:sz w:val="18"/>
              </w:rPr>
            </w:pPr>
          </w:p>
        </w:tc>
        <w:tc>
          <w:tcPr>
            <w:tcW w:w="988" w:type="dxa"/>
            <w:shd w:val="clear" w:color="auto" w:fill="C6EFCE"/>
            <w:vAlign w:val="center"/>
          </w:tcPr>
          <w:p w14:paraId="5BF93DD4" w14:textId="77777777" w:rsidR="00025543" w:rsidRDefault="00025543">
            <w:pPr>
              <w:spacing w:before="0" w:after="0" w:line="240" w:lineRule="auto"/>
              <w:jc w:val="center"/>
              <w:rPr>
                <w:rFonts w:eastAsia="Times New Roman"/>
                <w:noProof/>
                <w:color w:val="006100"/>
                <w:sz w:val="18"/>
              </w:rPr>
            </w:pPr>
          </w:p>
        </w:tc>
        <w:tc>
          <w:tcPr>
            <w:tcW w:w="988" w:type="dxa"/>
            <w:shd w:val="clear" w:color="auto" w:fill="C6EFCE"/>
            <w:vAlign w:val="center"/>
          </w:tcPr>
          <w:p w14:paraId="03C5E229" w14:textId="77777777" w:rsidR="00025543" w:rsidRDefault="00025543">
            <w:pPr>
              <w:spacing w:before="0" w:after="0" w:line="240" w:lineRule="auto"/>
              <w:jc w:val="center"/>
              <w:rPr>
                <w:rFonts w:eastAsia="Times New Roman"/>
                <w:noProof/>
                <w:color w:val="006100"/>
                <w:sz w:val="18"/>
              </w:rPr>
            </w:pPr>
          </w:p>
        </w:tc>
        <w:tc>
          <w:tcPr>
            <w:tcW w:w="1021" w:type="dxa"/>
            <w:shd w:val="clear" w:color="auto" w:fill="C6EFCE"/>
            <w:vAlign w:val="center"/>
          </w:tcPr>
          <w:p w14:paraId="5981E0D6" w14:textId="7995B5FA" w:rsidR="00025543" w:rsidRDefault="007E3A2F">
            <w:pPr>
              <w:pStyle w:val="P68B1DB1-Normal11"/>
              <w:spacing w:before="0" w:after="0" w:line="240" w:lineRule="auto"/>
              <w:jc w:val="center"/>
              <w:rPr>
                <w:noProof/>
              </w:rPr>
            </w:pPr>
            <w:r>
              <w:rPr>
                <w:noProof/>
              </w:rPr>
              <w:t>TRIMESTRE 4</w:t>
            </w:r>
          </w:p>
        </w:tc>
        <w:tc>
          <w:tcPr>
            <w:tcW w:w="658" w:type="dxa"/>
            <w:shd w:val="clear" w:color="auto" w:fill="C6EFCE"/>
            <w:vAlign w:val="center"/>
          </w:tcPr>
          <w:p w14:paraId="669B5672" w14:textId="7F73395E" w:rsidR="00025543" w:rsidRDefault="007E3A2F">
            <w:pPr>
              <w:pStyle w:val="P68B1DB1-Normal11"/>
              <w:spacing w:before="0" w:after="0" w:line="240" w:lineRule="auto"/>
              <w:jc w:val="center"/>
              <w:rPr>
                <w:noProof/>
              </w:rPr>
            </w:pPr>
            <w:r>
              <w:rPr>
                <w:noProof/>
              </w:rPr>
              <w:t>2025</w:t>
            </w:r>
          </w:p>
        </w:tc>
        <w:tc>
          <w:tcPr>
            <w:tcW w:w="4128" w:type="dxa"/>
            <w:shd w:val="clear" w:color="auto" w:fill="C6EFCE"/>
            <w:vAlign w:val="bottom"/>
          </w:tcPr>
          <w:p w14:paraId="7050320C" w14:textId="3A091FE3" w:rsidR="00025543" w:rsidRDefault="007E3A2F">
            <w:pPr>
              <w:pStyle w:val="P68B1DB1-Normal11"/>
              <w:spacing w:before="0" w:after="0" w:line="240" w:lineRule="auto"/>
              <w:rPr>
                <w:noProof/>
              </w:rPr>
            </w:pPr>
            <w:r>
              <w:rPr>
                <w:noProof/>
              </w:rPr>
              <w:t>Réalisation d’une évaluation du fonctionnement pilote de trois guichets uniques régionaux qui fournissent des conseils sur les communautés énergétiques et les rénovations en matière d’efficacité énergétique aux ménages, aux entreprises et au secteur public</w:t>
            </w:r>
          </w:p>
        </w:tc>
      </w:tr>
      <w:tr w:rsidR="00025543" w14:paraId="17F38092" w14:textId="77777777">
        <w:trPr>
          <w:trHeight w:val="309"/>
          <w:jc w:val="center"/>
        </w:trPr>
        <w:tc>
          <w:tcPr>
            <w:tcW w:w="654" w:type="dxa"/>
            <w:shd w:val="clear" w:color="auto" w:fill="C6EFCE"/>
            <w:vAlign w:val="center"/>
          </w:tcPr>
          <w:p w14:paraId="5139761E" w14:textId="00289340" w:rsidR="00025543" w:rsidRDefault="007E3A2F">
            <w:pPr>
              <w:pStyle w:val="P68B1DB1-Normal11"/>
              <w:spacing w:before="0" w:after="0" w:line="240" w:lineRule="auto"/>
              <w:jc w:val="center"/>
              <w:rPr>
                <w:noProof/>
              </w:rPr>
            </w:pPr>
            <w:r>
              <w:rPr>
                <w:noProof/>
              </w:rPr>
              <w:t>320</w:t>
            </w:r>
          </w:p>
        </w:tc>
        <w:tc>
          <w:tcPr>
            <w:tcW w:w="1625" w:type="dxa"/>
            <w:shd w:val="clear" w:color="auto" w:fill="C6EFCE"/>
            <w:vAlign w:val="center"/>
          </w:tcPr>
          <w:p w14:paraId="2475444D" w14:textId="7122C41D" w:rsidR="00025543" w:rsidRDefault="007E3A2F">
            <w:pPr>
              <w:pStyle w:val="P68B1DB1-Normal11"/>
              <w:spacing w:before="0" w:after="0" w:line="240" w:lineRule="auto"/>
              <w:rPr>
                <w:noProof/>
              </w:rPr>
            </w:pPr>
            <w:r>
              <w:rPr>
                <w:noProof/>
              </w:rPr>
              <w:t>Réforme 2: Données, orientations méthodologiques et formations pour le système de conseil</w:t>
            </w:r>
          </w:p>
        </w:tc>
        <w:tc>
          <w:tcPr>
            <w:tcW w:w="1134" w:type="dxa"/>
            <w:shd w:val="clear" w:color="auto" w:fill="C6EFCE"/>
            <w:vAlign w:val="center"/>
          </w:tcPr>
          <w:p w14:paraId="41CA0AED" w14:textId="2D82F3C7" w:rsidR="00025543" w:rsidRDefault="007E3A2F">
            <w:pPr>
              <w:pStyle w:val="P68B1DB1-Normal11"/>
              <w:spacing w:before="0" w:after="0" w:line="240" w:lineRule="auto"/>
              <w:rPr>
                <w:noProof/>
              </w:rPr>
            </w:pPr>
            <w:r>
              <w:rPr>
                <w:noProof/>
              </w:rPr>
              <w:t>Étapes</w:t>
            </w:r>
          </w:p>
        </w:tc>
        <w:tc>
          <w:tcPr>
            <w:tcW w:w="1546" w:type="dxa"/>
            <w:shd w:val="clear" w:color="auto" w:fill="C6EFCE"/>
            <w:vAlign w:val="center"/>
          </w:tcPr>
          <w:p w14:paraId="7F11EE7A" w14:textId="03B63A88" w:rsidR="00025543" w:rsidRDefault="007E3A2F">
            <w:pPr>
              <w:pStyle w:val="P68B1DB1-Normal11"/>
              <w:spacing w:before="0" w:after="0" w:line="240" w:lineRule="auto"/>
              <w:rPr>
                <w:noProof/>
              </w:rPr>
            </w:pPr>
            <w:r>
              <w:rPr>
                <w:noProof/>
              </w:rPr>
              <w:t xml:space="preserve">Données, orientations méthodologiques </w:t>
            </w:r>
          </w:p>
        </w:tc>
        <w:tc>
          <w:tcPr>
            <w:tcW w:w="1799" w:type="dxa"/>
            <w:shd w:val="clear" w:color="auto" w:fill="C6EFCE"/>
            <w:vAlign w:val="center"/>
          </w:tcPr>
          <w:p w14:paraId="6DF6A9FD" w14:textId="2D4812F6" w:rsidR="00025543" w:rsidRDefault="007E3A2F">
            <w:pPr>
              <w:pStyle w:val="P68B1DB1-Normal11"/>
              <w:spacing w:before="0" w:after="0" w:line="240" w:lineRule="auto"/>
              <w:rPr>
                <w:noProof/>
              </w:rPr>
            </w:pPr>
            <w:r>
              <w:rPr>
                <w:noProof/>
              </w:rPr>
              <w:t xml:space="preserve">Données, orientations méthodologiques </w:t>
            </w:r>
          </w:p>
        </w:tc>
        <w:tc>
          <w:tcPr>
            <w:tcW w:w="988" w:type="dxa"/>
            <w:shd w:val="clear" w:color="auto" w:fill="C6EFCE"/>
            <w:vAlign w:val="center"/>
          </w:tcPr>
          <w:p w14:paraId="2AE44FDD" w14:textId="77777777" w:rsidR="00025543" w:rsidRDefault="00025543">
            <w:pPr>
              <w:spacing w:before="0" w:after="0" w:line="240" w:lineRule="auto"/>
              <w:rPr>
                <w:rFonts w:eastAsia="Times New Roman"/>
                <w:noProof/>
                <w:color w:val="006100"/>
                <w:sz w:val="18"/>
              </w:rPr>
            </w:pPr>
          </w:p>
        </w:tc>
        <w:tc>
          <w:tcPr>
            <w:tcW w:w="988" w:type="dxa"/>
            <w:shd w:val="clear" w:color="auto" w:fill="C6EFCE"/>
            <w:vAlign w:val="center"/>
          </w:tcPr>
          <w:p w14:paraId="13D89BFE" w14:textId="77777777" w:rsidR="00025543" w:rsidRDefault="00025543">
            <w:pPr>
              <w:spacing w:before="0" w:after="0" w:line="240" w:lineRule="auto"/>
              <w:jc w:val="center"/>
              <w:rPr>
                <w:rFonts w:eastAsia="Times New Roman"/>
                <w:noProof/>
                <w:color w:val="006100"/>
                <w:sz w:val="18"/>
              </w:rPr>
            </w:pPr>
          </w:p>
        </w:tc>
        <w:tc>
          <w:tcPr>
            <w:tcW w:w="988" w:type="dxa"/>
            <w:shd w:val="clear" w:color="auto" w:fill="C6EFCE"/>
            <w:vAlign w:val="center"/>
          </w:tcPr>
          <w:p w14:paraId="77E5166B" w14:textId="77777777" w:rsidR="00025543" w:rsidRDefault="00025543">
            <w:pPr>
              <w:spacing w:before="0" w:after="0" w:line="240" w:lineRule="auto"/>
              <w:jc w:val="center"/>
              <w:rPr>
                <w:rFonts w:eastAsia="Times New Roman"/>
                <w:noProof/>
                <w:color w:val="006100"/>
                <w:sz w:val="18"/>
              </w:rPr>
            </w:pPr>
          </w:p>
        </w:tc>
        <w:tc>
          <w:tcPr>
            <w:tcW w:w="1021" w:type="dxa"/>
            <w:shd w:val="clear" w:color="auto" w:fill="C6EFCE"/>
            <w:vAlign w:val="center"/>
          </w:tcPr>
          <w:p w14:paraId="2A99FB16" w14:textId="71864238" w:rsidR="00025543" w:rsidRDefault="007E3A2F">
            <w:pPr>
              <w:pStyle w:val="P68B1DB1-Normal11"/>
              <w:jc w:val="center"/>
              <w:rPr>
                <w:noProof/>
              </w:rPr>
            </w:pPr>
            <w:r>
              <w:rPr>
                <w:noProof/>
              </w:rPr>
              <w:t>TRIMESTRE 2</w:t>
            </w:r>
          </w:p>
        </w:tc>
        <w:tc>
          <w:tcPr>
            <w:tcW w:w="658" w:type="dxa"/>
            <w:shd w:val="clear" w:color="auto" w:fill="C6EFCE"/>
            <w:vAlign w:val="center"/>
          </w:tcPr>
          <w:p w14:paraId="70424A57" w14:textId="13539757" w:rsidR="00025543" w:rsidRDefault="007E3A2F">
            <w:pPr>
              <w:pStyle w:val="P68B1DB1-Normal11"/>
              <w:spacing w:before="0" w:after="0" w:line="240" w:lineRule="auto"/>
              <w:jc w:val="center"/>
              <w:rPr>
                <w:noProof/>
              </w:rPr>
            </w:pPr>
            <w:r>
              <w:rPr>
                <w:noProof/>
              </w:rPr>
              <w:t>2025</w:t>
            </w:r>
          </w:p>
        </w:tc>
        <w:tc>
          <w:tcPr>
            <w:tcW w:w="4128" w:type="dxa"/>
            <w:shd w:val="clear" w:color="auto" w:fill="C6EFCE"/>
            <w:vAlign w:val="bottom"/>
          </w:tcPr>
          <w:p w14:paraId="08E1B276" w14:textId="1E031393" w:rsidR="00025543" w:rsidRDefault="007E3A2F">
            <w:pPr>
              <w:pStyle w:val="P68B1DB1-Normal11"/>
              <w:spacing w:after="0" w:line="240" w:lineRule="auto"/>
              <w:rPr>
                <w:noProof/>
              </w:rPr>
            </w:pPr>
            <w:r>
              <w:rPr>
                <w:noProof/>
              </w:rPr>
              <w:t>Élaboration de données et d’orientations méthodologiques à utiliser pour fournir des services de conseil aux ménages, aux entreprises et au secteur public. Les orientations méthodologiques comprennent un module sur la précarité énergétique et la manière de conseiller les ménages vulnérables.</w:t>
            </w:r>
          </w:p>
          <w:p w14:paraId="3A2AD328" w14:textId="04FC101E" w:rsidR="00025543" w:rsidRDefault="00025543">
            <w:pPr>
              <w:spacing w:before="0" w:after="0" w:line="240" w:lineRule="auto"/>
              <w:rPr>
                <w:rFonts w:eastAsia="Times New Roman"/>
                <w:noProof/>
                <w:color w:val="006100"/>
                <w:sz w:val="18"/>
              </w:rPr>
            </w:pPr>
          </w:p>
        </w:tc>
      </w:tr>
      <w:tr w:rsidR="00025543" w14:paraId="061F3843" w14:textId="77777777">
        <w:trPr>
          <w:trHeight w:val="309"/>
          <w:jc w:val="center"/>
        </w:trPr>
        <w:tc>
          <w:tcPr>
            <w:tcW w:w="654" w:type="dxa"/>
            <w:shd w:val="clear" w:color="auto" w:fill="C6EFCE"/>
            <w:vAlign w:val="center"/>
          </w:tcPr>
          <w:p w14:paraId="51905E37" w14:textId="54EC9036" w:rsidR="00025543" w:rsidRDefault="007E3A2F">
            <w:pPr>
              <w:pStyle w:val="P68B1DB1-Normal11"/>
              <w:spacing w:before="0" w:after="0" w:line="240" w:lineRule="auto"/>
              <w:jc w:val="center"/>
              <w:rPr>
                <w:noProof/>
              </w:rPr>
            </w:pPr>
            <w:r>
              <w:rPr>
                <w:noProof/>
              </w:rPr>
              <w:t>321</w:t>
            </w:r>
          </w:p>
        </w:tc>
        <w:tc>
          <w:tcPr>
            <w:tcW w:w="1625" w:type="dxa"/>
            <w:shd w:val="clear" w:color="auto" w:fill="C6EFCE"/>
            <w:vAlign w:val="center"/>
          </w:tcPr>
          <w:p w14:paraId="2A7B525A" w14:textId="675E6EAD" w:rsidR="00025543" w:rsidRDefault="007E3A2F">
            <w:pPr>
              <w:pStyle w:val="P68B1DB1-Normal11"/>
              <w:spacing w:before="0" w:after="0" w:line="240" w:lineRule="auto"/>
              <w:rPr>
                <w:noProof/>
              </w:rPr>
            </w:pPr>
            <w:r>
              <w:rPr>
                <w:noProof/>
              </w:rPr>
              <w:t>Réforme 2: Données, orientations méthodologiques et formations pour le système de conseil</w:t>
            </w:r>
          </w:p>
        </w:tc>
        <w:tc>
          <w:tcPr>
            <w:tcW w:w="1134" w:type="dxa"/>
            <w:shd w:val="clear" w:color="auto" w:fill="C6EFCE"/>
            <w:vAlign w:val="center"/>
          </w:tcPr>
          <w:p w14:paraId="58130F86" w14:textId="699179F9" w:rsidR="00025543" w:rsidRDefault="007E3A2F">
            <w:pPr>
              <w:pStyle w:val="P68B1DB1-Normal11"/>
              <w:spacing w:before="0" w:after="0" w:line="240" w:lineRule="auto"/>
              <w:rPr>
                <w:noProof/>
              </w:rPr>
            </w:pPr>
            <w:r>
              <w:rPr>
                <w:noProof/>
              </w:rPr>
              <w:t>Cible</w:t>
            </w:r>
          </w:p>
        </w:tc>
        <w:tc>
          <w:tcPr>
            <w:tcW w:w="1546" w:type="dxa"/>
            <w:shd w:val="clear" w:color="auto" w:fill="C6EFCE"/>
            <w:vAlign w:val="center"/>
          </w:tcPr>
          <w:p w14:paraId="6E4776CC" w14:textId="5544D26D" w:rsidR="00025543" w:rsidRDefault="007E3A2F">
            <w:pPr>
              <w:pStyle w:val="P68B1DB1-Normal11"/>
              <w:spacing w:before="0" w:after="0" w:line="240" w:lineRule="auto"/>
              <w:rPr>
                <w:noProof/>
              </w:rPr>
            </w:pPr>
            <w:r>
              <w:rPr>
                <w:noProof/>
              </w:rPr>
              <w:t>Nombre de formations dispensées</w:t>
            </w:r>
          </w:p>
        </w:tc>
        <w:tc>
          <w:tcPr>
            <w:tcW w:w="1799" w:type="dxa"/>
            <w:shd w:val="clear" w:color="auto" w:fill="C6EFCE"/>
            <w:vAlign w:val="center"/>
          </w:tcPr>
          <w:p w14:paraId="46A55842" w14:textId="77777777" w:rsidR="00025543" w:rsidRDefault="00025543">
            <w:pPr>
              <w:spacing w:before="0" w:after="0" w:line="240" w:lineRule="auto"/>
              <w:rPr>
                <w:rFonts w:eastAsia="Times New Roman"/>
                <w:noProof/>
                <w:color w:val="006100"/>
                <w:sz w:val="18"/>
              </w:rPr>
            </w:pPr>
          </w:p>
        </w:tc>
        <w:tc>
          <w:tcPr>
            <w:tcW w:w="988" w:type="dxa"/>
            <w:shd w:val="clear" w:color="auto" w:fill="C6EFCE"/>
            <w:vAlign w:val="center"/>
          </w:tcPr>
          <w:p w14:paraId="5037C866" w14:textId="4F597A02" w:rsidR="00025543" w:rsidRDefault="007E3A2F">
            <w:pPr>
              <w:pStyle w:val="P68B1DB1-Normal11"/>
              <w:spacing w:before="0" w:after="0" w:line="240" w:lineRule="auto"/>
              <w:rPr>
                <w:noProof/>
              </w:rPr>
            </w:pPr>
            <w:r>
              <w:rPr>
                <w:noProof/>
              </w:rPr>
              <w:t>Nombre de professionnels formés</w:t>
            </w:r>
          </w:p>
        </w:tc>
        <w:tc>
          <w:tcPr>
            <w:tcW w:w="988" w:type="dxa"/>
            <w:shd w:val="clear" w:color="auto" w:fill="C6EFCE"/>
            <w:vAlign w:val="center"/>
          </w:tcPr>
          <w:p w14:paraId="070FC487" w14:textId="667F85C8" w:rsidR="00025543" w:rsidRDefault="007E3A2F">
            <w:pPr>
              <w:pStyle w:val="P68B1DB1-Normal11"/>
              <w:spacing w:before="0" w:after="0" w:line="240" w:lineRule="auto"/>
              <w:jc w:val="center"/>
              <w:rPr>
                <w:noProof/>
              </w:rPr>
            </w:pPr>
            <w:r>
              <w:rPr>
                <w:noProof/>
              </w:rPr>
              <w:t>0</w:t>
            </w:r>
          </w:p>
        </w:tc>
        <w:tc>
          <w:tcPr>
            <w:tcW w:w="988" w:type="dxa"/>
            <w:shd w:val="clear" w:color="auto" w:fill="C6EFCE"/>
            <w:vAlign w:val="center"/>
          </w:tcPr>
          <w:p w14:paraId="02F32FDC" w14:textId="111D0BC2" w:rsidR="00025543" w:rsidRDefault="007E3A2F">
            <w:pPr>
              <w:pStyle w:val="P68B1DB1-Normal11"/>
              <w:spacing w:before="0" w:after="0" w:line="240" w:lineRule="auto"/>
              <w:jc w:val="center"/>
              <w:rPr>
                <w:noProof/>
              </w:rPr>
            </w:pPr>
            <w:r>
              <w:rPr>
                <w:noProof/>
              </w:rPr>
              <w:t>100</w:t>
            </w:r>
          </w:p>
        </w:tc>
        <w:tc>
          <w:tcPr>
            <w:tcW w:w="1021" w:type="dxa"/>
            <w:shd w:val="clear" w:color="auto" w:fill="C6EFCE"/>
            <w:vAlign w:val="center"/>
          </w:tcPr>
          <w:p w14:paraId="467FC2F8" w14:textId="2831CDBD" w:rsidR="00025543" w:rsidRDefault="007E3A2F">
            <w:pPr>
              <w:pStyle w:val="P68B1DB1-Normal11"/>
              <w:jc w:val="center"/>
              <w:rPr>
                <w:noProof/>
              </w:rPr>
            </w:pPr>
            <w:r>
              <w:rPr>
                <w:noProof/>
              </w:rPr>
              <w:t>TRIMESTRE 2</w:t>
            </w:r>
          </w:p>
        </w:tc>
        <w:tc>
          <w:tcPr>
            <w:tcW w:w="658" w:type="dxa"/>
            <w:shd w:val="clear" w:color="auto" w:fill="C6EFCE"/>
            <w:vAlign w:val="center"/>
          </w:tcPr>
          <w:p w14:paraId="2E6778D7" w14:textId="54B37F10" w:rsidR="00025543" w:rsidRDefault="007E3A2F">
            <w:pPr>
              <w:pStyle w:val="P68B1DB1-Normal11"/>
              <w:spacing w:before="0" w:after="0" w:line="240" w:lineRule="auto"/>
              <w:jc w:val="center"/>
              <w:rPr>
                <w:noProof/>
              </w:rPr>
            </w:pPr>
            <w:r>
              <w:rPr>
                <w:noProof/>
              </w:rPr>
              <w:t>2025</w:t>
            </w:r>
          </w:p>
        </w:tc>
        <w:tc>
          <w:tcPr>
            <w:tcW w:w="4128" w:type="dxa"/>
            <w:shd w:val="clear" w:color="auto" w:fill="C6EFCE"/>
            <w:vAlign w:val="bottom"/>
          </w:tcPr>
          <w:p w14:paraId="5293AB4B" w14:textId="6BCE2176" w:rsidR="00025543" w:rsidRDefault="007E3A2F">
            <w:pPr>
              <w:pStyle w:val="P68B1DB1-Normal11"/>
              <w:spacing w:after="0" w:line="240" w:lineRule="auto"/>
              <w:rPr>
                <w:noProof/>
              </w:rPr>
            </w:pPr>
            <w:r>
              <w:rPr>
                <w:noProof/>
              </w:rPr>
              <w:t>Des formations pour au moins 100 professionnels pour la vague de rénovations ont été menées à bien.</w:t>
            </w:r>
          </w:p>
        </w:tc>
      </w:tr>
      <w:tr w:rsidR="00025543" w14:paraId="51208CD4" w14:textId="77777777">
        <w:trPr>
          <w:trHeight w:val="309"/>
          <w:jc w:val="center"/>
        </w:trPr>
        <w:tc>
          <w:tcPr>
            <w:tcW w:w="654" w:type="dxa"/>
            <w:shd w:val="clear" w:color="auto" w:fill="C6EFCE"/>
            <w:vAlign w:val="center"/>
          </w:tcPr>
          <w:p w14:paraId="147FDE19" w14:textId="0BFF0B3A" w:rsidR="00025543" w:rsidRDefault="007E3A2F">
            <w:pPr>
              <w:pStyle w:val="P68B1DB1-Normal11"/>
              <w:spacing w:before="0" w:after="0" w:line="240" w:lineRule="auto"/>
              <w:jc w:val="center"/>
              <w:rPr>
                <w:noProof/>
              </w:rPr>
            </w:pPr>
            <w:r>
              <w:rPr>
                <w:noProof/>
              </w:rPr>
              <w:t>322</w:t>
            </w:r>
          </w:p>
        </w:tc>
        <w:tc>
          <w:tcPr>
            <w:tcW w:w="1625" w:type="dxa"/>
            <w:shd w:val="clear" w:color="auto" w:fill="C6EFCE"/>
            <w:vAlign w:val="center"/>
          </w:tcPr>
          <w:p w14:paraId="0878309D" w14:textId="52B16C2E" w:rsidR="00025543" w:rsidRDefault="007E3A2F">
            <w:pPr>
              <w:pStyle w:val="P68B1DB1-Normal11"/>
              <w:spacing w:before="0" w:after="0" w:line="240" w:lineRule="auto"/>
              <w:rPr>
                <w:noProof/>
              </w:rPr>
            </w:pPr>
            <w:r>
              <w:rPr>
                <w:noProof/>
              </w:rPr>
              <w:t>Investissement 1: Fourniture de services de conseil aux ménages, aux entreprises et au secteur public</w:t>
            </w:r>
          </w:p>
        </w:tc>
        <w:tc>
          <w:tcPr>
            <w:tcW w:w="1134" w:type="dxa"/>
            <w:shd w:val="clear" w:color="auto" w:fill="C6EFCE"/>
            <w:vAlign w:val="center"/>
          </w:tcPr>
          <w:p w14:paraId="05EDAE1C" w14:textId="4E487670" w:rsidR="00025543" w:rsidRDefault="007E3A2F">
            <w:pPr>
              <w:pStyle w:val="P68B1DB1-Normal11"/>
              <w:spacing w:before="0" w:after="0" w:line="240" w:lineRule="auto"/>
              <w:rPr>
                <w:noProof/>
              </w:rPr>
            </w:pPr>
            <w:r>
              <w:rPr>
                <w:noProof/>
              </w:rPr>
              <w:t>Cible</w:t>
            </w:r>
          </w:p>
        </w:tc>
        <w:tc>
          <w:tcPr>
            <w:tcW w:w="1546" w:type="dxa"/>
            <w:shd w:val="clear" w:color="auto" w:fill="C6EFCE"/>
            <w:vAlign w:val="center"/>
          </w:tcPr>
          <w:p w14:paraId="0A3D2F0F" w14:textId="5F8B6DDF" w:rsidR="00025543" w:rsidRDefault="007E3A2F">
            <w:pPr>
              <w:pStyle w:val="P68B1DB1-Normal11"/>
              <w:spacing w:before="0" w:after="0" w:line="240" w:lineRule="auto"/>
              <w:rPr>
                <w:noProof/>
              </w:rPr>
            </w:pPr>
            <w:r>
              <w:rPr>
                <w:noProof/>
              </w:rPr>
              <w:t>Fourniture de services de conseil aux ménages, aux entreprises et au secteur public</w:t>
            </w:r>
          </w:p>
        </w:tc>
        <w:tc>
          <w:tcPr>
            <w:tcW w:w="1799" w:type="dxa"/>
            <w:shd w:val="clear" w:color="auto" w:fill="C6EFCE"/>
            <w:vAlign w:val="bottom"/>
          </w:tcPr>
          <w:p w14:paraId="6842FF7B" w14:textId="77777777" w:rsidR="00025543" w:rsidRDefault="00025543">
            <w:pPr>
              <w:spacing w:before="0" w:after="0" w:line="240" w:lineRule="auto"/>
              <w:rPr>
                <w:rFonts w:eastAsia="Times New Roman"/>
                <w:noProof/>
                <w:color w:val="006100"/>
                <w:sz w:val="18"/>
              </w:rPr>
            </w:pPr>
          </w:p>
        </w:tc>
        <w:tc>
          <w:tcPr>
            <w:tcW w:w="988" w:type="dxa"/>
            <w:shd w:val="clear" w:color="auto" w:fill="C6EFCE"/>
            <w:vAlign w:val="center"/>
          </w:tcPr>
          <w:p w14:paraId="6D4FF1E4" w14:textId="7811CB59" w:rsidR="00025543" w:rsidRDefault="007E3A2F">
            <w:pPr>
              <w:pStyle w:val="P68B1DB1-Normal11"/>
              <w:spacing w:before="0" w:after="0" w:line="240" w:lineRule="auto"/>
              <w:rPr>
                <w:noProof/>
              </w:rPr>
            </w:pPr>
            <w:r>
              <w:rPr>
                <w:noProof/>
              </w:rPr>
              <w:t>Numéro</w:t>
            </w:r>
          </w:p>
        </w:tc>
        <w:tc>
          <w:tcPr>
            <w:tcW w:w="988" w:type="dxa"/>
            <w:shd w:val="clear" w:color="auto" w:fill="C6EFCE"/>
            <w:vAlign w:val="center"/>
          </w:tcPr>
          <w:p w14:paraId="2EFF9A5C" w14:textId="6F9F13DF" w:rsidR="00025543" w:rsidRDefault="007E3A2F">
            <w:pPr>
              <w:pStyle w:val="P68B1DB1-Normal11"/>
              <w:spacing w:before="0" w:after="0" w:line="240" w:lineRule="auto"/>
              <w:jc w:val="center"/>
              <w:rPr>
                <w:noProof/>
              </w:rPr>
            </w:pPr>
            <w:r>
              <w:rPr>
                <w:noProof/>
              </w:rPr>
              <w:t>0</w:t>
            </w:r>
          </w:p>
        </w:tc>
        <w:tc>
          <w:tcPr>
            <w:tcW w:w="988" w:type="dxa"/>
            <w:shd w:val="clear" w:color="auto" w:fill="C6EFCE"/>
            <w:vAlign w:val="center"/>
          </w:tcPr>
          <w:p w14:paraId="1ED18FDE" w14:textId="44CA5031" w:rsidR="00025543" w:rsidRDefault="007E3A2F">
            <w:pPr>
              <w:pStyle w:val="P68B1DB1-Normal11"/>
              <w:spacing w:before="0" w:after="0" w:line="240" w:lineRule="auto"/>
              <w:jc w:val="center"/>
              <w:rPr>
                <w:noProof/>
              </w:rPr>
            </w:pPr>
            <w:r>
              <w:rPr>
                <w:noProof/>
              </w:rPr>
              <w:t>60,000</w:t>
            </w:r>
          </w:p>
        </w:tc>
        <w:tc>
          <w:tcPr>
            <w:tcW w:w="1021" w:type="dxa"/>
            <w:shd w:val="clear" w:color="auto" w:fill="C6EFCE"/>
            <w:vAlign w:val="center"/>
          </w:tcPr>
          <w:p w14:paraId="68890652" w14:textId="55548DAD" w:rsidR="00025543" w:rsidRDefault="007E3A2F">
            <w:pPr>
              <w:pStyle w:val="P68B1DB1-Normal11"/>
              <w:spacing w:before="0" w:after="0" w:line="240" w:lineRule="auto"/>
              <w:jc w:val="center"/>
              <w:rPr>
                <w:noProof/>
              </w:rPr>
            </w:pPr>
            <w:r>
              <w:rPr>
                <w:noProof/>
              </w:rPr>
              <w:t>TRIMESTRE 2</w:t>
            </w:r>
          </w:p>
        </w:tc>
        <w:tc>
          <w:tcPr>
            <w:tcW w:w="658" w:type="dxa"/>
            <w:shd w:val="clear" w:color="auto" w:fill="C6EFCE"/>
            <w:vAlign w:val="center"/>
          </w:tcPr>
          <w:p w14:paraId="6BC46D59" w14:textId="7FFD8A02" w:rsidR="00025543" w:rsidRDefault="007E3A2F">
            <w:pPr>
              <w:pStyle w:val="P68B1DB1-Normal11"/>
              <w:spacing w:before="0" w:after="0" w:line="240" w:lineRule="auto"/>
              <w:jc w:val="center"/>
              <w:rPr>
                <w:noProof/>
              </w:rPr>
            </w:pPr>
            <w:r>
              <w:rPr>
                <w:noProof/>
              </w:rPr>
              <w:t>2025</w:t>
            </w:r>
          </w:p>
        </w:tc>
        <w:tc>
          <w:tcPr>
            <w:tcW w:w="4128" w:type="dxa"/>
            <w:shd w:val="clear" w:color="auto" w:fill="C6EFCE"/>
            <w:vAlign w:val="center"/>
          </w:tcPr>
          <w:p w14:paraId="69A3EF4F" w14:textId="3CD4A903" w:rsidR="00025543" w:rsidRDefault="007E3A2F">
            <w:pPr>
              <w:pStyle w:val="P68B1DB1-Normal11"/>
              <w:spacing w:after="0" w:line="240" w:lineRule="auto"/>
              <w:rPr>
                <w:noProof/>
              </w:rPr>
            </w:pPr>
            <w:r>
              <w:rPr>
                <w:noProof/>
              </w:rPr>
              <w:t>Le nouveau système de conseil fournira des services de conseil à au moins 60,000 projets de ménages, d’entreprises ou du secteur public d’ici au premier trimestre 2 2025.</w:t>
            </w:r>
          </w:p>
        </w:tc>
      </w:tr>
      <w:tr w:rsidR="00025543" w14:paraId="1B3256CE" w14:textId="77777777">
        <w:trPr>
          <w:trHeight w:val="309"/>
          <w:jc w:val="center"/>
        </w:trPr>
        <w:tc>
          <w:tcPr>
            <w:tcW w:w="654" w:type="dxa"/>
            <w:shd w:val="clear" w:color="auto" w:fill="C6EFCE"/>
            <w:vAlign w:val="center"/>
          </w:tcPr>
          <w:p w14:paraId="146D267F" w14:textId="123073A8" w:rsidR="00025543" w:rsidRDefault="007E3A2F">
            <w:pPr>
              <w:pStyle w:val="P68B1DB1-Normal11"/>
              <w:spacing w:before="0" w:after="0" w:line="240" w:lineRule="auto"/>
              <w:jc w:val="center"/>
              <w:rPr>
                <w:noProof/>
              </w:rPr>
            </w:pPr>
            <w:r>
              <w:rPr>
                <w:noProof/>
              </w:rPr>
              <w:t>323</w:t>
            </w:r>
          </w:p>
        </w:tc>
        <w:tc>
          <w:tcPr>
            <w:tcW w:w="1625" w:type="dxa"/>
            <w:shd w:val="clear" w:color="auto" w:fill="C6EFCE"/>
            <w:vAlign w:val="center"/>
          </w:tcPr>
          <w:p w14:paraId="3A6A8E09" w14:textId="7B9007E2" w:rsidR="00025543" w:rsidRDefault="007E3A2F">
            <w:pPr>
              <w:pStyle w:val="P68B1DB1-Normal11"/>
              <w:spacing w:before="0" w:after="0" w:line="240" w:lineRule="auto"/>
              <w:rPr>
                <w:noProof/>
              </w:rPr>
            </w:pPr>
            <w:r>
              <w:rPr>
                <w:noProof/>
              </w:rPr>
              <w:t>Investissement 1: Fourniture de services de conseil aux ménages, aux entreprises et au secteur public</w:t>
            </w:r>
          </w:p>
        </w:tc>
        <w:tc>
          <w:tcPr>
            <w:tcW w:w="1134" w:type="dxa"/>
            <w:shd w:val="clear" w:color="auto" w:fill="C6EFCE"/>
            <w:vAlign w:val="center"/>
          </w:tcPr>
          <w:p w14:paraId="24D7B614" w14:textId="1F59F9B1" w:rsidR="00025543" w:rsidRDefault="007E3A2F">
            <w:pPr>
              <w:pStyle w:val="P68B1DB1-Normal11"/>
              <w:spacing w:before="0" w:after="0" w:line="240" w:lineRule="auto"/>
              <w:rPr>
                <w:noProof/>
              </w:rPr>
            </w:pPr>
            <w:r>
              <w:rPr>
                <w:noProof/>
              </w:rPr>
              <w:t>Cible</w:t>
            </w:r>
          </w:p>
        </w:tc>
        <w:tc>
          <w:tcPr>
            <w:tcW w:w="1546" w:type="dxa"/>
            <w:shd w:val="clear" w:color="auto" w:fill="C6EFCE"/>
            <w:vAlign w:val="center"/>
          </w:tcPr>
          <w:p w14:paraId="0270E9B2" w14:textId="0302FF1F" w:rsidR="00025543" w:rsidRDefault="007E3A2F">
            <w:pPr>
              <w:pStyle w:val="P68B1DB1-Normal11"/>
              <w:spacing w:before="0" w:after="0" w:line="240" w:lineRule="auto"/>
              <w:rPr>
                <w:noProof/>
              </w:rPr>
            </w:pPr>
            <w:r>
              <w:rPr>
                <w:noProof/>
              </w:rPr>
              <w:t>Fourniture de services de conseil aux ménages, aux entreprises et au secteur public</w:t>
            </w:r>
          </w:p>
        </w:tc>
        <w:tc>
          <w:tcPr>
            <w:tcW w:w="1799" w:type="dxa"/>
            <w:shd w:val="clear" w:color="auto" w:fill="C6EFCE"/>
            <w:vAlign w:val="bottom"/>
          </w:tcPr>
          <w:p w14:paraId="40C20FA1" w14:textId="77777777" w:rsidR="00025543" w:rsidRDefault="00025543">
            <w:pPr>
              <w:spacing w:before="0" w:after="0" w:line="240" w:lineRule="auto"/>
              <w:rPr>
                <w:rFonts w:eastAsia="Times New Roman"/>
                <w:noProof/>
                <w:color w:val="006100"/>
                <w:sz w:val="18"/>
              </w:rPr>
            </w:pPr>
          </w:p>
        </w:tc>
        <w:tc>
          <w:tcPr>
            <w:tcW w:w="988" w:type="dxa"/>
            <w:shd w:val="clear" w:color="auto" w:fill="C6EFCE"/>
            <w:vAlign w:val="center"/>
          </w:tcPr>
          <w:p w14:paraId="6FDE75A5" w14:textId="1E28A525" w:rsidR="00025543" w:rsidRDefault="007E3A2F">
            <w:pPr>
              <w:pStyle w:val="P68B1DB1-Normal11"/>
              <w:spacing w:before="0" w:after="0" w:line="240" w:lineRule="auto"/>
              <w:rPr>
                <w:noProof/>
              </w:rPr>
            </w:pPr>
            <w:r>
              <w:rPr>
                <w:noProof/>
              </w:rPr>
              <w:t>Numéro</w:t>
            </w:r>
          </w:p>
        </w:tc>
        <w:tc>
          <w:tcPr>
            <w:tcW w:w="988" w:type="dxa"/>
            <w:shd w:val="clear" w:color="auto" w:fill="C6EFCE"/>
            <w:vAlign w:val="center"/>
          </w:tcPr>
          <w:p w14:paraId="445429D6" w14:textId="18544A85" w:rsidR="00025543" w:rsidRDefault="007E3A2F">
            <w:pPr>
              <w:pStyle w:val="P68B1DB1-Normal11"/>
              <w:spacing w:before="0" w:after="0" w:line="240" w:lineRule="auto"/>
              <w:jc w:val="center"/>
              <w:rPr>
                <w:noProof/>
              </w:rPr>
            </w:pPr>
            <w:r>
              <w:rPr>
                <w:noProof/>
              </w:rPr>
              <w:t>60,000</w:t>
            </w:r>
          </w:p>
        </w:tc>
        <w:tc>
          <w:tcPr>
            <w:tcW w:w="988" w:type="dxa"/>
            <w:shd w:val="clear" w:color="auto" w:fill="C6EFCE"/>
            <w:vAlign w:val="center"/>
          </w:tcPr>
          <w:p w14:paraId="6BD5C9FC" w14:textId="74BB8E21" w:rsidR="00025543" w:rsidRDefault="007E3A2F">
            <w:pPr>
              <w:pStyle w:val="P68B1DB1-Normal11"/>
              <w:spacing w:before="0" w:after="0" w:line="240" w:lineRule="auto"/>
              <w:jc w:val="center"/>
              <w:rPr>
                <w:noProof/>
              </w:rPr>
            </w:pPr>
            <w:r>
              <w:rPr>
                <w:noProof/>
              </w:rPr>
              <w:t>120,000</w:t>
            </w:r>
          </w:p>
        </w:tc>
        <w:tc>
          <w:tcPr>
            <w:tcW w:w="1021" w:type="dxa"/>
            <w:shd w:val="clear" w:color="auto" w:fill="C6EFCE"/>
            <w:vAlign w:val="center"/>
          </w:tcPr>
          <w:p w14:paraId="03B2C12F" w14:textId="5A488292" w:rsidR="00025543" w:rsidRDefault="007E3A2F">
            <w:pPr>
              <w:pStyle w:val="P68B1DB1-Normal11"/>
              <w:spacing w:before="0" w:after="0" w:line="240" w:lineRule="auto"/>
              <w:jc w:val="center"/>
              <w:rPr>
                <w:noProof/>
              </w:rPr>
            </w:pPr>
            <w:r>
              <w:rPr>
                <w:noProof/>
              </w:rPr>
              <w:t>TRIMESTRE 2</w:t>
            </w:r>
          </w:p>
        </w:tc>
        <w:tc>
          <w:tcPr>
            <w:tcW w:w="658" w:type="dxa"/>
            <w:shd w:val="clear" w:color="auto" w:fill="C6EFCE"/>
            <w:vAlign w:val="center"/>
          </w:tcPr>
          <w:p w14:paraId="7BA9ECA1" w14:textId="2AC5FB2C" w:rsidR="00025543" w:rsidRDefault="007E3A2F">
            <w:pPr>
              <w:pStyle w:val="P68B1DB1-Normal11"/>
              <w:spacing w:before="0" w:after="0" w:line="240" w:lineRule="auto"/>
              <w:jc w:val="center"/>
              <w:rPr>
                <w:noProof/>
              </w:rPr>
            </w:pPr>
            <w:r>
              <w:rPr>
                <w:noProof/>
              </w:rPr>
              <w:t>2026</w:t>
            </w:r>
          </w:p>
        </w:tc>
        <w:tc>
          <w:tcPr>
            <w:tcW w:w="4128" w:type="dxa"/>
            <w:shd w:val="clear" w:color="auto" w:fill="C6EFCE"/>
            <w:vAlign w:val="center"/>
          </w:tcPr>
          <w:p w14:paraId="40E7E469" w14:textId="0DE8F391" w:rsidR="00025543" w:rsidRDefault="007E3A2F">
            <w:pPr>
              <w:pStyle w:val="P68B1DB1-Normal11"/>
              <w:spacing w:after="0" w:line="240" w:lineRule="auto"/>
              <w:rPr>
                <w:noProof/>
              </w:rPr>
            </w:pPr>
            <w:r>
              <w:rPr>
                <w:noProof/>
              </w:rPr>
              <w:t>Le nouveau système de conseil fournira des services de conseil à au moins 120,000 projets de ménages, d’entreprises ou du secteur public d’ici au premier trimestre 2 2026.</w:t>
            </w:r>
          </w:p>
        </w:tc>
      </w:tr>
      <w:tr w:rsidR="00025543" w14:paraId="4736D515" w14:textId="77777777">
        <w:trPr>
          <w:trHeight w:val="309"/>
          <w:jc w:val="center"/>
        </w:trPr>
        <w:tc>
          <w:tcPr>
            <w:tcW w:w="654" w:type="dxa"/>
            <w:shd w:val="clear" w:color="auto" w:fill="C6EFCE"/>
            <w:vAlign w:val="center"/>
          </w:tcPr>
          <w:p w14:paraId="4B1D63EE" w14:textId="429420A5" w:rsidR="00025543" w:rsidRDefault="007E3A2F">
            <w:pPr>
              <w:pStyle w:val="P68B1DB1-Normal11"/>
              <w:spacing w:before="0" w:after="0" w:line="240" w:lineRule="auto"/>
              <w:jc w:val="center"/>
              <w:rPr>
                <w:noProof/>
              </w:rPr>
            </w:pPr>
            <w:r>
              <w:rPr>
                <w:noProof/>
              </w:rPr>
              <w:t>324</w:t>
            </w:r>
          </w:p>
        </w:tc>
        <w:tc>
          <w:tcPr>
            <w:tcW w:w="1625" w:type="dxa"/>
            <w:shd w:val="clear" w:color="auto" w:fill="C6EFCE"/>
            <w:vAlign w:val="center"/>
          </w:tcPr>
          <w:p w14:paraId="418F772E" w14:textId="1E3982BC" w:rsidR="00025543" w:rsidRDefault="007E3A2F">
            <w:pPr>
              <w:pStyle w:val="P68B1DB1-Normal11"/>
              <w:spacing w:before="0" w:after="0" w:line="240" w:lineRule="auto"/>
              <w:rPr>
                <w:noProof/>
              </w:rPr>
            </w:pPr>
            <w:r>
              <w:rPr>
                <w:noProof/>
              </w:rPr>
              <w:t>Investissement 2: Sensibilisation</w:t>
            </w:r>
          </w:p>
        </w:tc>
        <w:tc>
          <w:tcPr>
            <w:tcW w:w="1134" w:type="dxa"/>
            <w:shd w:val="clear" w:color="auto" w:fill="C6EFCE"/>
            <w:vAlign w:val="center"/>
          </w:tcPr>
          <w:p w14:paraId="37DBF1C2" w14:textId="1F59393F" w:rsidR="00025543" w:rsidRDefault="007E3A2F">
            <w:pPr>
              <w:pStyle w:val="P68B1DB1-Normal11"/>
              <w:spacing w:before="0" w:after="0" w:line="240" w:lineRule="auto"/>
              <w:rPr>
                <w:noProof/>
              </w:rPr>
            </w:pPr>
            <w:r>
              <w:rPr>
                <w:noProof/>
              </w:rPr>
              <w:t>Cible</w:t>
            </w:r>
          </w:p>
        </w:tc>
        <w:tc>
          <w:tcPr>
            <w:tcW w:w="1546" w:type="dxa"/>
            <w:shd w:val="clear" w:color="auto" w:fill="C6EFCE"/>
            <w:vAlign w:val="center"/>
          </w:tcPr>
          <w:p w14:paraId="0BD67559" w14:textId="0F8FBBA6" w:rsidR="00025543" w:rsidRDefault="007E3A2F">
            <w:pPr>
              <w:pStyle w:val="P68B1DB1-Normal11"/>
              <w:spacing w:before="0" w:after="0" w:line="240" w:lineRule="auto"/>
              <w:rPr>
                <w:noProof/>
              </w:rPr>
            </w:pPr>
            <w:r>
              <w:rPr>
                <w:noProof/>
              </w:rPr>
              <w:t>Achèvement d’une campagne de sensibilisation à l’échelle nationale</w:t>
            </w:r>
          </w:p>
        </w:tc>
        <w:tc>
          <w:tcPr>
            <w:tcW w:w="1799" w:type="dxa"/>
            <w:shd w:val="clear" w:color="auto" w:fill="C6EFCE"/>
            <w:vAlign w:val="bottom"/>
          </w:tcPr>
          <w:p w14:paraId="3D6090F4" w14:textId="77777777" w:rsidR="00025543" w:rsidRDefault="00025543">
            <w:pPr>
              <w:spacing w:before="0" w:after="0" w:line="240" w:lineRule="auto"/>
              <w:rPr>
                <w:rFonts w:eastAsia="Times New Roman"/>
                <w:noProof/>
                <w:color w:val="006100"/>
                <w:sz w:val="18"/>
              </w:rPr>
            </w:pPr>
          </w:p>
        </w:tc>
        <w:tc>
          <w:tcPr>
            <w:tcW w:w="988" w:type="dxa"/>
            <w:shd w:val="clear" w:color="auto" w:fill="C6EFCE"/>
            <w:vAlign w:val="center"/>
          </w:tcPr>
          <w:p w14:paraId="3CA5AE44" w14:textId="496498B8" w:rsidR="00025543" w:rsidRDefault="007E3A2F">
            <w:pPr>
              <w:pStyle w:val="P68B1DB1-Normal11"/>
              <w:spacing w:before="0" w:after="0" w:line="240" w:lineRule="auto"/>
              <w:rPr>
                <w:noProof/>
              </w:rPr>
            </w:pPr>
            <w:r>
              <w:rPr>
                <w:noProof/>
              </w:rPr>
              <w:t>Nombre de campagnes nationales</w:t>
            </w:r>
          </w:p>
        </w:tc>
        <w:tc>
          <w:tcPr>
            <w:tcW w:w="988" w:type="dxa"/>
            <w:shd w:val="clear" w:color="auto" w:fill="C6EFCE"/>
            <w:vAlign w:val="center"/>
          </w:tcPr>
          <w:p w14:paraId="3B1B4770" w14:textId="7E7301A0" w:rsidR="00025543" w:rsidRDefault="007E3A2F">
            <w:pPr>
              <w:pStyle w:val="P68B1DB1-Normal11"/>
              <w:spacing w:before="0" w:after="0" w:line="240" w:lineRule="auto"/>
              <w:jc w:val="center"/>
              <w:rPr>
                <w:noProof/>
              </w:rPr>
            </w:pPr>
            <w:r>
              <w:rPr>
                <w:noProof/>
              </w:rPr>
              <w:t>0</w:t>
            </w:r>
          </w:p>
        </w:tc>
        <w:tc>
          <w:tcPr>
            <w:tcW w:w="988" w:type="dxa"/>
            <w:shd w:val="clear" w:color="auto" w:fill="C6EFCE"/>
            <w:vAlign w:val="center"/>
          </w:tcPr>
          <w:p w14:paraId="20905A46" w14:textId="1D125A54" w:rsidR="00025543" w:rsidRDefault="007E3A2F">
            <w:pPr>
              <w:pStyle w:val="P68B1DB1-Normal11"/>
              <w:spacing w:before="0" w:after="0" w:line="240" w:lineRule="auto"/>
              <w:jc w:val="center"/>
              <w:rPr>
                <w:noProof/>
              </w:rPr>
            </w:pPr>
            <w:r>
              <w:rPr>
                <w:noProof/>
              </w:rPr>
              <w:t>1</w:t>
            </w:r>
          </w:p>
        </w:tc>
        <w:tc>
          <w:tcPr>
            <w:tcW w:w="1021" w:type="dxa"/>
            <w:shd w:val="clear" w:color="auto" w:fill="C6EFCE"/>
            <w:vAlign w:val="center"/>
          </w:tcPr>
          <w:p w14:paraId="5CE3E6F3" w14:textId="641FFE16" w:rsidR="00025543" w:rsidRDefault="007E3A2F">
            <w:pPr>
              <w:pStyle w:val="P68B1DB1-Normal11"/>
              <w:spacing w:before="0" w:after="0" w:line="240" w:lineRule="auto"/>
              <w:jc w:val="center"/>
              <w:rPr>
                <w:noProof/>
              </w:rPr>
            </w:pPr>
            <w:r>
              <w:rPr>
                <w:noProof/>
              </w:rPr>
              <w:t>TRIMESTRE 2</w:t>
            </w:r>
          </w:p>
        </w:tc>
        <w:tc>
          <w:tcPr>
            <w:tcW w:w="658" w:type="dxa"/>
            <w:shd w:val="clear" w:color="auto" w:fill="C6EFCE"/>
            <w:vAlign w:val="center"/>
          </w:tcPr>
          <w:p w14:paraId="2E1FE8F9" w14:textId="3A638D53" w:rsidR="00025543" w:rsidRDefault="007E3A2F">
            <w:pPr>
              <w:pStyle w:val="P68B1DB1-Normal11"/>
              <w:spacing w:before="0" w:after="0" w:line="240" w:lineRule="auto"/>
              <w:jc w:val="center"/>
              <w:rPr>
                <w:noProof/>
              </w:rPr>
            </w:pPr>
            <w:r>
              <w:rPr>
                <w:noProof/>
              </w:rPr>
              <w:t>2025</w:t>
            </w:r>
          </w:p>
        </w:tc>
        <w:tc>
          <w:tcPr>
            <w:tcW w:w="4128" w:type="dxa"/>
            <w:shd w:val="clear" w:color="auto" w:fill="C6EFCE"/>
            <w:vAlign w:val="center"/>
          </w:tcPr>
          <w:p w14:paraId="19395321" w14:textId="40B57C84" w:rsidR="00025543" w:rsidRDefault="007E3A2F">
            <w:pPr>
              <w:pStyle w:val="P68B1DB1-Normal11"/>
              <w:spacing w:after="0" w:line="240" w:lineRule="auto"/>
              <w:rPr>
                <w:noProof/>
              </w:rPr>
            </w:pPr>
            <w:r>
              <w:rPr>
                <w:noProof/>
              </w:rPr>
              <w:t>Mener à bien au moins une campagne de sensibilisation du public à l’échelle nationale sur la réduction de la consommation d’énergie avec des éléments liés à la précarité énergétique.</w:t>
            </w:r>
          </w:p>
        </w:tc>
      </w:tr>
    </w:tbl>
    <w:p w14:paraId="59BD8186" w14:textId="77777777" w:rsidR="00025543" w:rsidRDefault="00025543">
      <w:pPr>
        <w:pBdr>
          <w:top w:val="nil"/>
          <w:left w:val="nil"/>
          <w:bottom w:val="nil"/>
          <w:right w:val="nil"/>
          <w:between w:val="nil"/>
        </w:pBdr>
        <w:tabs>
          <w:tab w:val="left" w:pos="993"/>
        </w:tabs>
        <w:spacing w:line="240" w:lineRule="auto"/>
        <w:jc w:val="both"/>
        <w:rPr>
          <w:b/>
          <w:noProof/>
        </w:rPr>
      </w:pPr>
    </w:p>
    <w:p w14:paraId="64AF267C" w14:textId="77777777" w:rsidR="00025543" w:rsidRDefault="00025543">
      <w:pPr>
        <w:pBdr>
          <w:top w:val="nil"/>
          <w:left w:val="nil"/>
          <w:bottom w:val="nil"/>
          <w:right w:val="nil"/>
          <w:between w:val="nil"/>
        </w:pBdr>
        <w:tabs>
          <w:tab w:val="left" w:pos="993"/>
        </w:tabs>
        <w:spacing w:line="240" w:lineRule="auto"/>
        <w:jc w:val="both"/>
        <w:rPr>
          <w:rFonts w:eastAsia="Times New Roman"/>
          <w:b/>
          <w:noProof/>
          <w:color w:val="000000" w:themeColor="text1"/>
          <w:u w:val="single"/>
        </w:rPr>
        <w:sectPr w:rsidR="00025543" w:rsidSect="003F264F">
          <w:headerReference w:type="even" r:id="rId468"/>
          <w:headerReference w:type="default" r:id="rId469"/>
          <w:footerReference w:type="even" r:id="rId470"/>
          <w:footerReference w:type="default" r:id="rId471"/>
          <w:headerReference w:type="first" r:id="rId472"/>
          <w:footerReference w:type="first" r:id="rId473"/>
          <w:pgSz w:w="16839" w:h="11907" w:orient="landscape"/>
          <w:pgMar w:top="1134" w:right="1134" w:bottom="1134" w:left="1134" w:header="567" w:footer="567" w:gutter="0"/>
          <w:cols w:space="720"/>
          <w:docGrid w:linePitch="360"/>
        </w:sectPr>
      </w:pPr>
    </w:p>
    <w:p w14:paraId="504CFBE5" w14:textId="64074145" w:rsidR="00025543" w:rsidRDefault="007E3A2F">
      <w:pPr>
        <w:pStyle w:val="P68B1DB1-Normal2"/>
        <w:keepNext/>
        <w:tabs>
          <w:tab w:val="left" w:pos="850"/>
        </w:tabs>
        <w:spacing w:line="240" w:lineRule="auto"/>
        <w:jc w:val="both"/>
        <w:outlineLvl w:val="0"/>
        <w:rPr>
          <w:noProof/>
        </w:rPr>
      </w:pPr>
      <w:r>
        <w:rPr>
          <w:noProof/>
        </w:rPr>
        <w:t xml:space="preserve">HH. ÉLÉMENT 7.4: Adaptation des écoles — Promouvoir les compétences vertes et la durabilité dans les universités </w:t>
      </w:r>
      <w:bookmarkStart w:id="4" w:name="_Hlk146272515"/>
      <w:r>
        <w:rPr>
          <w:noProof/>
        </w:rPr>
        <w:t>(REPowerEU)</w:t>
      </w:r>
      <w:bookmarkEnd w:id="4"/>
    </w:p>
    <w:p w14:paraId="36D27E4C" w14:textId="5215724B" w:rsidR="00025543" w:rsidRDefault="007E3A2F">
      <w:pPr>
        <w:pStyle w:val="P68B1DB1-P68B1DB1-K-TextInfo2050"/>
        <w:spacing w:line="240" w:lineRule="auto"/>
        <w:rPr>
          <w:noProof/>
        </w:rPr>
      </w:pPr>
      <w:r>
        <w:rPr>
          <w:noProof/>
        </w:rPr>
        <w:t xml:space="preserve">Ce volet du plan pour la reprise et la résilience de la République tchèque contribue à relever les défis liés à la transition écologique du système éducatif, notamment en encourageant le développement de compétences vertes parmi les étudiants de l’enseignement supérieur et la population en général. Cet objectif est atteint en révisant les programmes d’études des universités publiques, y compris en révisant les programmes existants et en établissant de nouveaux programmes, et en créant une offre de cours d’apprentissage tout au long de la vie à la disposition du grand public. Tous les programmes révisés ou créés dans le cadre de cette mesure soutiennent les compétences vertes et ont des acquis d’apprentissage clairement définis dans les domaines de la durabilité, du changement climatique, de la protection de l’environnement et de la biodiversité, en tenant dûment compte des aspects environnementaux, sociaux et économiques. Ce volet vise également à soutenir les universités publiques dans le développement de leurs stratégies à moyen et long terme dans le domaine de l’éducation aux compétences vertes, ainsi que dans la mise en place de partenariats stratégiques avec des tiers pertinents pour les programmes d’études nouveaux ou adaptés. L’objectif ultime de ce volet est d’adapter l’éducation à l’évolution des besoins du marché du travail, de remédier au manque d’experts compétents dans les secteurs de l’environnement et de l’énergie et de garantir l’employabilité à long terme. </w:t>
      </w:r>
    </w:p>
    <w:p w14:paraId="346689F1" w14:textId="77777777" w:rsidR="00025543" w:rsidRDefault="00025543">
      <w:pPr>
        <w:pStyle w:val="P68B1DB1-K-TextInfo20"/>
        <w:spacing w:line="240" w:lineRule="auto"/>
        <w:rPr>
          <w:rFonts w:ascii="Times New Roman" w:eastAsia="Times New Roman" w:hAnsi="Times New Roman" w:cs="Times New Roman"/>
          <w:noProof/>
          <w:sz w:val="24"/>
        </w:rPr>
      </w:pPr>
    </w:p>
    <w:p w14:paraId="7294B4E5" w14:textId="2FC9C4FD" w:rsidR="00025543" w:rsidRDefault="007E3A2F">
      <w:pPr>
        <w:pStyle w:val="P68B1DB1-P68B1DB1-K-TextInfo2051"/>
        <w:spacing w:line="240" w:lineRule="auto"/>
        <w:rPr>
          <w:noProof/>
        </w:rPr>
      </w:pPr>
      <w:r>
        <w:rPr>
          <w:noProof/>
        </w:rPr>
        <w:t>HH.1. Description des réformes et des investissements en vue du soutien financier non remboursable</w:t>
      </w:r>
    </w:p>
    <w:p w14:paraId="69E31B66" w14:textId="47C6B256" w:rsidR="00025543" w:rsidRDefault="007E3A2F">
      <w:pPr>
        <w:pStyle w:val="P68B1DB1-P68B1DB1-K-TextInfo2052"/>
        <w:spacing w:line="240" w:lineRule="auto"/>
        <w:rPr>
          <w:noProof/>
        </w:rPr>
      </w:pPr>
      <w:r>
        <w:rPr>
          <w:noProof/>
        </w:rPr>
        <w:t>Réforme 1: Transformation des universités pour s’adapter à l’évolution des besoins du marché du travail</w:t>
      </w:r>
    </w:p>
    <w:p w14:paraId="466CC723" w14:textId="0709D583" w:rsidR="00025543" w:rsidRDefault="007E3A2F">
      <w:pPr>
        <w:pStyle w:val="P68B1DB1-P68B1DB1-K-TextInfo2050"/>
        <w:spacing w:line="240" w:lineRule="auto"/>
        <w:rPr>
          <w:noProof/>
        </w:rPr>
      </w:pPr>
      <w:r>
        <w:rPr>
          <w:noProof/>
        </w:rPr>
        <w:t>L’objectif de cette réforme est d’adapter l’offre d’apprentissage des universités publiques au besoin croissant du marché du travail d’experts dans les domaines liés à la transition écologique. La réforme lancera au moins 90 programmes d’études, à la suite d’un appel à propositions destiné aux universités publiques. L’offre d’apprentissage élargie comprendra 20 nouveaux programmes d’études, 50 nouveaux cours ajoutés aux programmes d’études existants et 20 nouveaux cours d’apprentissage tout au long de la vie, y compris des cours d’apprentissage tout au long de la vie débouchant sur des microcertifications. Tous les programmes lancés dans le cadre de cette mesure favorisent l’éducation aux compétences vertes et ont des acquis d’apprentissage définis conformément au cadre européen des aptitudes, compétences, certifications et professions (ESCO).</w:t>
      </w:r>
    </w:p>
    <w:p w14:paraId="524D61E9" w14:textId="6A11145B" w:rsidR="00025543" w:rsidRDefault="007E3A2F">
      <w:pPr>
        <w:pStyle w:val="P68B1DB1-Normal4"/>
        <w:pBdr>
          <w:top w:val="nil"/>
          <w:left w:val="nil"/>
          <w:bottom w:val="nil"/>
          <w:right w:val="nil"/>
          <w:between w:val="nil"/>
        </w:pBdr>
        <w:tabs>
          <w:tab w:val="left" w:pos="993"/>
        </w:tabs>
        <w:spacing w:line="240" w:lineRule="auto"/>
        <w:jc w:val="both"/>
        <w:rPr>
          <w:noProof/>
          <w:color w:val="000000" w:themeColor="text1"/>
        </w:rPr>
      </w:pPr>
      <w:r>
        <w:rPr>
          <w:noProof/>
        </w:rPr>
        <w:t>La réforme doit être achevée au plus tard le 31 décembre 2025.</w:t>
      </w:r>
    </w:p>
    <w:p w14:paraId="19E36378" w14:textId="6ED25F85" w:rsidR="00025543" w:rsidRDefault="007E3A2F">
      <w:pPr>
        <w:pStyle w:val="P68B1DB1-Normal18"/>
        <w:pBdr>
          <w:top w:val="nil"/>
          <w:left w:val="nil"/>
          <w:bottom w:val="nil"/>
          <w:right w:val="nil"/>
          <w:between w:val="nil"/>
        </w:pBdr>
        <w:tabs>
          <w:tab w:val="left" w:pos="993"/>
        </w:tabs>
        <w:spacing w:line="240" w:lineRule="auto"/>
        <w:jc w:val="both"/>
        <w:rPr>
          <w:noProof/>
          <w:u w:val="single"/>
        </w:rPr>
      </w:pPr>
      <w:r>
        <w:rPr>
          <w:noProof/>
        </w:rPr>
        <w:t>Investissement 1:  Stratégies de transition écologique et durable</w:t>
      </w:r>
    </w:p>
    <w:p w14:paraId="06E29B05" w14:textId="4D80C0E7" w:rsidR="00025543" w:rsidRDefault="007E3A2F">
      <w:pPr>
        <w:pStyle w:val="P68B1DB1-P68B1DB1-K-TextInfo2050"/>
        <w:spacing w:line="240" w:lineRule="auto"/>
        <w:rPr>
          <w:noProof/>
        </w:rPr>
      </w:pPr>
      <w:r>
        <w:rPr>
          <w:noProof/>
        </w:rPr>
        <w:t xml:space="preserve">La mesure vise à aider les universités publiques à élaborer des stratégies pour une transition durable et écologique. Au moins 20 universités publiques adoptent une stratégie de transition durable et verte, qui définit la vision, les priorités et les objectifs des universités à moyen et long terme dans le domaine de la transition écologique, y compris l’éducation aux compétences vertes.  </w:t>
      </w:r>
    </w:p>
    <w:p w14:paraId="1E9D9A7F" w14:textId="2D50EB38" w:rsidR="00025543" w:rsidRDefault="007E3A2F">
      <w:pPr>
        <w:pStyle w:val="P68B1DB1-P68B1DB1-K-TextInfo2050"/>
        <w:spacing w:line="240" w:lineRule="auto"/>
        <w:rPr>
          <w:b/>
          <w:noProof/>
          <w:u w:val="single"/>
        </w:rPr>
      </w:pPr>
      <w:r>
        <w:rPr>
          <w:noProof/>
        </w:rPr>
        <w:t>L’investissement est achevé au plus tard le 31 décembre 2024.</w:t>
      </w:r>
    </w:p>
    <w:p w14:paraId="67D3BADD" w14:textId="0E583878" w:rsidR="00025543" w:rsidRDefault="007E3A2F">
      <w:pPr>
        <w:pStyle w:val="P68B1DB1-Normal18"/>
        <w:pBdr>
          <w:top w:val="nil"/>
          <w:left w:val="nil"/>
          <w:bottom w:val="nil"/>
          <w:right w:val="nil"/>
          <w:between w:val="nil"/>
        </w:pBdr>
        <w:tabs>
          <w:tab w:val="left" w:pos="993"/>
        </w:tabs>
        <w:spacing w:line="240" w:lineRule="auto"/>
        <w:jc w:val="both"/>
        <w:rPr>
          <w:noProof/>
        </w:rPr>
      </w:pPr>
      <w:r>
        <w:rPr>
          <w:noProof/>
        </w:rPr>
        <w:t>Investissement 2: Établissement de partenariats stratégiques</w:t>
      </w:r>
    </w:p>
    <w:p w14:paraId="59553109" w14:textId="72B430C1" w:rsidR="00025543" w:rsidRDefault="007E3A2F">
      <w:pPr>
        <w:pStyle w:val="P68B1DB1-P68B1DB1-K-TextInfo2050"/>
        <w:spacing w:line="240" w:lineRule="auto"/>
        <w:rPr>
          <w:noProof/>
        </w:rPr>
      </w:pPr>
      <w:r>
        <w:rPr>
          <w:noProof/>
        </w:rPr>
        <w:t>L’objectif de cet investissement est d’aider les universités publiques à établir des partenariats stratégiques avec des tiers dans le domaine de l’éducation aux compétences vertes, par exemple des entreprises, des instituts de recherche ou des organisations sociales. Il vise à améliorer la qualité et la pertinence des programmes d’études nouveaux ou adaptés dans le cadre de la réforme 1, en permettant aux universités d’associer les praticiens à la conception des nouveaux cours. Au moins 20 partenariats stratégiques doivent être constitués.</w:t>
      </w:r>
    </w:p>
    <w:p w14:paraId="7CC33ECB" w14:textId="284E8B78" w:rsidR="00025543" w:rsidRDefault="007E3A2F">
      <w:pPr>
        <w:pStyle w:val="P68B1DB1-P68B1DB1-K-TextInfo2050"/>
        <w:spacing w:line="240" w:lineRule="auto"/>
        <w:rPr>
          <w:noProof/>
          <w:u w:val="single"/>
        </w:rPr>
      </w:pPr>
      <w:r>
        <w:rPr>
          <w:noProof/>
        </w:rPr>
        <w:t>L’investissement est achevé au plus tard le 30 juin 2025.</w:t>
      </w:r>
    </w:p>
    <w:p w14:paraId="0EC35AB2" w14:textId="77777777" w:rsidR="00025543" w:rsidRDefault="00025543">
      <w:pPr>
        <w:pStyle w:val="P68B1DB1-K-TextInfo20"/>
        <w:spacing w:line="240" w:lineRule="auto"/>
        <w:rPr>
          <w:rFonts w:ascii="Times New Roman" w:eastAsia="Times New Roman" w:hAnsi="Times New Roman" w:cs="Times New Roman"/>
          <w:noProof/>
          <w:sz w:val="24"/>
        </w:rPr>
        <w:sectPr w:rsidR="00025543" w:rsidSect="003F264F">
          <w:headerReference w:type="even" r:id="rId474"/>
          <w:headerReference w:type="default" r:id="rId475"/>
          <w:footerReference w:type="even" r:id="rId476"/>
          <w:footerReference w:type="default" r:id="rId477"/>
          <w:headerReference w:type="first" r:id="rId478"/>
          <w:footerReference w:type="first" r:id="rId479"/>
          <w:pgSz w:w="11907" w:h="16839"/>
          <w:pgMar w:top="1134" w:right="1134" w:bottom="1134" w:left="1134" w:header="567" w:footer="567" w:gutter="0"/>
          <w:cols w:space="720"/>
          <w:docGrid w:linePitch="360"/>
        </w:sectPr>
      </w:pPr>
    </w:p>
    <w:p w14:paraId="152D3BF9" w14:textId="678352B9" w:rsidR="00025543" w:rsidRDefault="007E3A2F">
      <w:pPr>
        <w:pStyle w:val="P68B1DB1-Normal5"/>
        <w:tabs>
          <w:tab w:val="left" w:pos="993"/>
        </w:tabs>
        <w:spacing w:line="240" w:lineRule="auto"/>
        <w:jc w:val="both"/>
        <w:rPr>
          <w:rFonts w:eastAsia="Times New Roman"/>
          <w:noProof/>
          <w:color w:val="000000" w:themeColor="text1"/>
        </w:rPr>
      </w:pPr>
      <w:r>
        <w:rPr>
          <w:noProof/>
        </w:rPr>
        <w:t xml:space="preserve">HH.2. Jalons, cibles, indicateurs et calendrier de suivi et de mise en œuvre du </w:t>
      </w:r>
      <w:r>
        <w:rPr>
          <w:rFonts w:eastAsia="Times New Roman"/>
          <w:noProof/>
          <w:color w:val="000000" w:themeColor="text1"/>
        </w:rPr>
        <w:t>soutien financier non remboursable</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53"/>
        <w:gridCol w:w="1625"/>
        <w:gridCol w:w="1039"/>
        <w:gridCol w:w="1546"/>
        <w:gridCol w:w="1799"/>
        <w:gridCol w:w="988"/>
        <w:gridCol w:w="988"/>
        <w:gridCol w:w="938"/>
        <w:gridCol w:w="659"/>
        <w:gridCol w:w="658"/>
        <w:gridCol w:w="4128"/>
      </w:tblGrid>
      <w:tr w:rsidR="00025543" w14:paraId="2E6E1298" w14:textId="77777777">
        <w:trPr>
          <w:trHeight w:val="672"/>
          <w:tblHeader/>
          <w:jc w:val="center"/>
        </w:trPr>
        <w:tc>
          <w:tcPr>
            <w:tcW w:w="704" w:type="dxa"/>
            <w:vMerge w:val="restart"/>
            <w:shd w:val="clear" w:color="auto" w:fill="BDD7EE"/>
            <w:vAlign w:val="center"/>
            <w:hideMark/>
          </w:tcPr>
          <w:p w14:paraId="744D6AB5" w14:textId="77777777" w:rsidR="00025543" w:rsidRDefault="007E3A2F">
            <w:pPr>
              <w:pStyle w:val="P68B1DB1-Normal9"/>
              <w:spacing w:before="0" w:after="0" w:line="240" w:lineRule="auto"/>
              <w:jc w:val="center"/>
              <w:rPr>
                <w:noProof/>
              </w:rPr>
            </w:pPr>
            <w:r>
              <w:rPr>
                <w:noProof/>
              </w:rPr>
              <w:t>Séquence NUM.</w:t>
            </w:r>
          </w:p>
        </w:tc>
        <w:tc>
          <w:tcPr>
            <w:tcW w:w="1790" w:type="dxa"/>
            <w:vMerge w:val="restart"/>
            <w:shd w:val="clear" w:color="auto" w:fill="BDD7EE"/>
            <w:vAlign w:val="center"/>
            <w:hideMark/>
          </w:tcPr>
          <w:p w14:paraId="59038F99" w14:textId="77777777" w:rsidR="00025543" w:rsidRDefault="007E3A2F">
            <w:pPr>
              <w:pStyle w:val="P68B1DB1-Normal9"/>
              <w:spacing w:before="0" w:after="0" w:line="240" w:lineRule="auto"/>
              <w:jc w:val="center"/>
              <w:rPr>
                <w:noProof/>
              </w:rPr>
            </w:pPr>
            <w:r>
              <w:rPr>
                <w:noProof/>
              </w:rPr>
              <w:t>Mesure connexe (réforme ou investissement)</w:t>
            </w:r>
          </w:p>
        </w:tc>
        <w:tc>
          <w:tcPr>
            <w:tcW w:w="1134" w:type="dxa"/>
            <w:vMerge w:val="restart"/>
            <w:shd w:val="clear" w:color="auto" w:fill="BDD7EE"/>
            <w:vAlign w:val="center"/>
            <w:hideMark/>
          </w:tcPr>
          <w:p w14:paraId="78A8C582" w14:textId="77777777" w:rsidR="00025543" w:rsidRDefault="007E3A2F">
            <w:pPr>
              <w:pStyle w:val="P68B1DB1-Normal9"/>
              <w:spacing w:before="0" w:after="0" w:line="240" w:lineRule="auto"/>
              <w:jc w:val="center"/>
              <w:rPr>
                <w:noProof/>
              </w:rPr>
            </w:pPr>
            <w:r>
              <w:rPr>
                <w:noProof/>
              </w:rPr>
              <w:t>Jalon/cible</w:t>
            </w:r>
          </w:p>
        </w:tc>
        <w:tc>
          <w:tcPr>
            <w:tcW w:w="1701" w:type="dxa"/>
            <w:vMerge w:val="restart"/>
            <w:shd w:val="clear" w:color="auto" w:fill="BDD7EE"/>
            <w:vAlign w:val="center"/>
            <w:hideMark/>
          </w:tcPr>
          <w:p w14:paraId="7DADFFC3" w14:textId="77777777" w:rsidR="00025543" w:rsidRDefault="007E3A2F">
            <w:pPr>
              <w:pStyle w:val="P68B1DB1-Normal9"/>
              <w:spacing w:before="0" w:after="0" w:line="240" w:lineRule="auto"/>
              <w:jc w:val="center"/>
              <w:rPr>
                <w:noProof/>
              </w:rPr>
            </w:pPr>
            <w:r>
              <w:rPr>
                <w:noProof/>
              </w:rPr>
              <w:t>Nom</w:t>
            </w:r>
          </w:p>
        </w:tc>
        <w:tc>
          <w:tcPr>
            <w:tcW w:w="1984" w:type="dxa"/>
            <w:vMerge w:val="restart"/>
            <w:shd w:val="clear" w:color="auto" w:fill="BDD7EE"/>
            <w:vAlign w:val="center"/>
            <w:hideMark/>
          </w:tcPr>
          <w:p w14:paraId="1739DFA4" w14:textId="77777777" w:rsidR="00025543" w:rsidRDefault="007E3A2F">
            <w:pPr>
              <w:pStyle w:val="P68B1DB1-Normal9"/>
              <w:spacing w:before="0" w:after="0" w:line="240" w:lineRule="auto"/>
              <w:jc w:val="center"/>
              <w:rPr>
                <w:noProof/>
              </w:rPr>
            </w:pPr>
            <w:r>
              <w:rPr>
                <w:noProof/>
              </w:rPr>
              <w:t xml:space="preserve">Qualitatifs </w:t>
            </w:r>
            <w:r>
              <w:rPr>
                <w:noProof/>
              </w:rPr>
              <w:br/>
              <w:t>(pour les jalons)</w:t>
            </w:r>
          </w:p>
        </w:tc>
        <w:tc>
          <w:tcPr>
            <w:tcW w:w="1843" w:type="dxa"/>
            <w:gridSpan w:val="3"/>
            <w:shd w:val="clear" w:color="auto" w:fill="BDD7EE"/>
            <w:vAlign w:val="center"/>
            <w:hideMark/>
          </w:tcPr>
          <w:p w14:paraId="22455D8A" w14:textId="77777777" w:rsidR="00025543" w:rsidRDefault="007E3A2F">
            <w:pPr>
              <w:pStyle w:val="P68B1DB1-Normal9"/>
              <w:spacing w:before="0" w:after="0" w:line="240" w:lineRule="auto"/>
              <w:jc w:val="center"/>
              <w:rPr>
                <w:noProof/>
              </w:rPr>
            </w:pPr>
            <w:r>
              <w:rPr>
                <w:noProof/>
              </w:rPr>
              <w:t xml:space="preserve">Indicateurs quantitatifs </w:t>
            </w:r>
            <w:r>
              <w:rPr>
                <w:noProof/>
              </w:rPr>
              <w:br/>
              <w:t>(pour les objectifs)</w:t>
            </w:r>
          </w:p>
        </w:tc>
        <w:tc>
          <w:tcPr>
            <w:tcW w:w="1417" w:type="dxa"/>
            <w:gridSpan w:val="2"/>
            <w:shd w:val="clear" w:color="auto" w:fill="BDD7EE"/>
            <w:vAlign w:val="center"/>
            <w:hideMark/>
          </w:tcPr>
          <w:p w14:paraId="5A222B22" w14:textId="77777777" w:rsidR="00025543" w:rsidRDefault="007E3A2F">
            <w:pPr>
              <w:pStyle w:val="P68B1DB1-Normal9"/>
              <w:spacing w:before="0" w:after="0" w:line="240" w:lineRule="auto"/>
              <w:jc w:val="center"/>
              <w:rPr>
                <w:noProof/>
              </w:rPr>
            </w:pPr>
            <w:r>
              <w:rPr>
                <w:noProof/>
              </w:rPr>
              <w:t xml:space="preserve">Calendrier indicatif de réalisation </w:t>
            </w:r>
          </w:p>
        </w:tc>
        <w:tc>
          <w:tcPr>
            <w:tcW w:w="4589" w:type="dxa"/>
            <w:vMerge w:val="restart"/>
            <w:shd w:val="clear" w:color="auto" w:fill="BDD7EE"/>
            <w:vAlign w:val="center"/>
            <w:hideMark/>
          </w:tcPr>
          <w:p w14:paraId="6BDD9370" w14:textId="77777777" w:rsidR="00025543" w:rsidRDefault="007E3A2F">
            <w:pPr>
              <w:pStyle w:val="P68B1DB1-Normal9"/>
              <w:spacing w:before="0" w:after="0" w:line="240" w:lineRule="auto"/>
              <w:jc w:val="center"/>
              <w:rPr>
                <w:noProof/>
              </w:rPr>
            </w:pPr>
            <w:r>
              <w:rPr>
                <w:noProof/>
              </w:rPr>
              <w:t>Description de chaque jalon et cible</w:t>
            </w:r>
          </w:p>
        </w:tc>
      </w:tr>
      <w:tr w:rsidR="00025543" w14:paraId="4F101B72" w14:textId="77777777">
        <w:trPr>
          <w:trHeight w:val="458"/>
          <w:tblHeader/>
          <w:jc w:val="center"/>
        </w:trPr>
        <w:tc>
          <w:tcPr>
            <w:tcW w:w="704" w:type="dxa"/>
            <w:vMerge/>
            <w:vAlign w:val="center"/>
            <w:hideMark/>
          </w:tcPr>
          <w:p w14:paraId="4FCC2211" w14:textId="77777777" w:rsidR="00025543" w:rsidRDefault="00025543">
            <w:pPr>
              <w:spacing w:before="0" w:after="0" w:line="240" w:lineRule="auto"/>
              <w:rPr>
                <w:rFonts w:eastAsia="Times New Roman"/>
                <w:b/>
                <w:noProof/>
                <w:sz w:val="18"/>
              </w:rPr>
            </w:pPr>
          </w:p>
        </w:tc>
        <w:tc>
          <w:tcPr>
            <w:tcW w:w="1790" w:type="dxa"/>
            <w:vMerge/>
            <w:vAlign w:val="center"/>
            <w:hideMark/>
          </w:tcPr>
          <w:p w14:paraId="6543BFA3" w14:textId="77777777" w:rsidR="00025543" w:rsidRDefault="00025543">
            <w:pPr>
              <w:spacing w:before="0" w:after="0" w:line="240" w:lineRule="auto"/>
              <w:rPr>
                <w:rFonts w:eastAsia="Times New Roman"/>
                <w:b/>
                <w:noProof/>
                <w:sz w:val="18"/>
              </w:rPr>
            </w:pPr>
          </w:p>
        </w:tc>
        <w:tc>
          <w:tcPr>
            <w:tcW w:w="1134" w:type="dxa"/>
            <w:vMerge/>
            <w:vAlign w:val="center"/>
            <w:hideMark/>
          </w:tcPr>
          <w:p w14:paraId="731BCBC5" w14:textId="77777777" w:rsidR="00025543" w:rsidRDefault="00025543">
            <w:pPr>
              <w:spacing w:before="0" w:after="0" w:line="240" w:lineRule="auto"/>
              <w:rPr>
                <w:rFonts w:eastAsia="Times New Roman"/>
                <w:b/>
                <w:noProof/>
                <w:sz w:val="18"/>
              </w:rPr>
            </w:pPr>
          </w:p>
        </w:tc>
        <w:tc>
          <w:tcPr>
            <w:tcW w:w="1701" w:type="dxa"/>
            <w:vMerge/>
            <w:vAlign w:val="center"/>
            <w:hideMark/>
          </w:tcPr>
          <w:p w14:paraId="0C653291" w14:textId="77777777" w:rsidR="00025543" w:rsidRDefault="00025543">
            <w:pPr>
              <w:spacing w:before="0" w:after="0" w:line="240" w:lineRule="auto"/>
              <w:rPr>
                <w:rFonts w:eastAsia="Times New Roman"/>
                <w:b/>
                <w:noProof/>
                <w:sz w:val="18"/>
              </w:rPr>
            </w:pPr>
          </w:p>
        </w:tc>
        <w:tc>
          <w:tcPr>
            <w:tcW w:w="1984" w:type="dxa"/>
            <w:vMerge/>
            <w:vAlign w:val="center"/>
            <w:hideMark/>
          </w:tcPr>
          <w:p w14:paraId="21518AAB" w14:textId="77777777" w:rsidR="00025543" w:rsidRDefault="00025543">
            <w:pPr>
              <w:spacing w:before="0" w:after="0" w:line="240" w:lineRule="auto"/>
              <w:rPr>
                <w:rFonts w:eastAsia="Times New Roman"/>
                <w:b/>
                <w:noProof/>
                <w:sz w:val="18"/>
              </w:rPr>
            </w:pPr>
          </w:p>
        </w:tc>
        <w:tc>
          <w:tcPr>
            <w:tcW w:w="1077" w:type="dxa"/>
            <w:shd w:val="clear" w:color="auto" w:fill="BDD7EE"/>
            <w:vAlign w:val="center"/>
            <w:hideMark/>
          </w:tcPr>
          <w:p w14:paraId="5041791E" w14:textId="77777777" w:rsidR="00025543" w:rsidRDefault="007E3A2F">
            <w:pPr>
              <w:pStyle w:val="P68B1DB1-Normal9"/>
              <w:spacing w:before="0" w:after="0" w:line="240" w:lineRule="auto"/>
              <w:jc w:val="center"/>
              <w:rPr>
                <w:noProof/>
              </w:rPr>
            </w:pPr>
            <w:r>
              <w:rPr>
                <w:noProof/>
              </w:rPr>
              <w:t>Unité de mesure</w:t>
            </w:r>
          </w:p>
        </w:tc>
        <w:tc>
          <w:tcPr>
            <w:tcW w:w="1077" w:type="dxa"/>
            <w:shd w:val="clear" w:color="auto" w:fill="BDD7EE"/>
            <w:vAlign w:val="center"/>
            <w:hideMark/>
          </w:tcPr>
          <w:p w14:paraId="7AD05A2C" w14:textId="77777777" w:rsidR="00025543" w:rsidRDefault="007E3A2F">
            <w:pPr>
              <w:pStyle w:val="P68B1DB1-Normal9"/>
              <w:spacing w:before="0" w:after="0" w:line="240" w:lineRule="auto"/>
              <w:jc w:val="center"/>
              <w:rPr>
                <w:noProof/>
              </w:rPr>
            </w:pPr>
            <w:r>
              <w:rPr>
                <w:noProof/>
              </w:rPr>
              <w:t xml:space="preserve">Scénario de référence </w:t>
            </w:r>
          </w:p>
        </w:tc>
        <w:tc>
          <w:tcPr>
            <w:tcW w:w="1021" w:type="dxa"/>
            <w:shd w:val="clear" w:color="auto" w:fill="BDD7EE"/>
            <w:vAlign w:val="center"/>
            <w:hideMark/>
          </w:tcPr>
          <w:p w14:paraId="262047DE" w14:textId="77777777" w:rsidR="00025543" w:rsidRDefault="007E3A2F">
            <w:pPr>
              <w:pStyle w:val="P68B1DB1-Normal9"/>
              <w:spacing w:before="0" w:after="0" w:line="240" w:lineRule="auto"/>
              <w:jc w:val="center"/>
              <w:rPr>
                <w:noProof/>
              </w:rPr>
            </w:pPr>
            <w:r>
              <w:rPr>
                <w:noProof/>
              </w:rPr>
              <w:t xml:space="preserve">Objectif </w:t>
            </w:r>
          </w:p>
        </w:tc>
        <w:tc>
          <w:tcPr>
            <w:tcW w:w="709" w:type="dxa"/>
            <w:shd w:val="clear" w:color="auto" w:fill="BDD7EE"/>
            <w:vAlign w:val="center"/>
            <w:hideMark/>
          </w:tcPr>
          <w:p w14:paraId="3F71C91E" w14:textId="77777777" w:rsidR="00025543" w:rsidRDefault="007E3A2F">
            <w:pPr>
              <w:pStyle w:val="P68B1DB1-Normal9"/>
              <w:spacing w:before="0" w:after="0" w:line="240" w:lineRule="auto"/>
              <w:jc w:val="center"/>
              <w:rPr>
                <w:noProof/>
              </w:rPr>
            </w:pPr>
            <w:r>
              <w:rPr>
                <w:noProof/>
              </w:rPr>
              <w:t>Trimestre</w:t>
            </w:r>
          </w:p>
        </w:tc>
        <w:tc>
          <w:tcPr>
            <w:tcW w:w="708" w:type="dxa"/>
            <w:shd w:val="clear" w:color="auto" w:fill="BDD7EE"/>
            <w:vAlign w:val="center"/>
            <w:hideMark/>
          </w:tcPr>
          <w:p w14:paraId="0B3D69F4" w14:textId="77777777" w:rsidR="00025543" w:rsidRDefault="007E3A2F">
            <w:pPr>
              <w:pStyle w:val="P68B1DB1-Normal9"/>
              <w:spacing w:before="0" w:after="0" w:line="240" w:lineRule="auto"/>
              <w:jc w:val="center"/>
              <w:rPr>
                <w:noProof/>
              </w:rPr>
            </w:pPr>
            <w:r>
              <w:rPr>
                <w:noProof/>
              </w:rPr>
              <w:t>Année</w:t>
            </w:r>
          </w:p>
        </w:tc>
        <w:tc>
          <w:tcPr>
            <w:tcW w:w="4589" w:type="dxa"/>
            <w:vMerge/>
            <w:vAlign w:val="center"/>
            <w:hideMark/>
          </w:tcPr>
          <w:p w14:paraId="4E167840" w14:textId="77777777" w:rsidR="00025543" w:rsidRDefault="00025543">
            <w:pPr>
              <w:spacing w:before="0" w:after="0" w:line="240" w:lineRule="auto"/>
              <w:rPr>
                <w:rFonts w:eastAsia="Times New Roman"/>
                <w:b/>
                <w:noProof/>
                <w:sz w:val="18"/>
              </w:rPr>
            </w:pPr>
          </w:p>
        </w:tc>
      </w:tr>
      <w:tr w:rsidR="00025543" w14:paraId="51616276" w14:textId="77777777">
        <w:trPr>
          <w:trHeight w:val="309"/>
          <w:jc w:val="center"/>
        </w:trPr>
        <w:tc>
          <w:tcPr>
            <w:tcW w:w="704" w:type="dxa"/>
            <w:shd w:val="clear" w:color="auto" w:fill="C6EFCE"/>
            <w:vAlign w:val="center"/>
            <w:hideMark/>
          </w:tcPr>
          <w:p w14:paraId="37F9C958" w14:textId="3E3346C0" w:rsidR="00025543" w:rsidRDefault="007E3A2F">
            <w:pPr>
              <w:pStyle w:val="P68B1DB1-Normal15"/>
              <w:spacing w:before="0" w:after="0" w:line="240" w:lineRule="auto"/>
              <w:rPr>
                <w:noProof/>
              </w:rPr>
            </w:pPr>
            <w:r>
              <w:rPr>
                <w:noProof/>
              </w:rPr>
              <w:t>325</w:t>
            </w:r>
          </w:p>
        </w:tc>
        <w:tc>
          <w:tcPr>
            <w:tcW w:w="1790" w:type="dxa"/>
            <w:shd w:val="clear" w:color="auto" w:fill="C6EFCE"/>
            <w:vAlign w:val="center"/>
            <w:hideMark/>
          </w:tcPr>
          <w:p w14:paraId="04AE0226" w14:textId="13CA631D" w:rsidR="00025543" w:rsidRDefault="007E3A2F">
            <w:pPr>
              <w:pStyle w:val="P68B1DB1-Normal11"/>
              <w:spacing w:before="0" w:after="0" w:line="240" w:lineRule="auto"/>
              <w:rPr>
                <w:noProof/>
                <w:color w:val="004300"/>
              </w:rPr>
            </w:pPr>
            <w:r>
              <w:rPr>
                <w:noProof/>
              </w:rPr>
              <w:t>Réforme 1: Transformation des universités pour s’adapter à l’évolution des besoins du marché du travail</w:t>
            </w:r>
          </w:p>
        </w:tc>
        <w:tc>
          <w:tcPr>
            <w:tcW w:w="1134" w:type="dxa"/>
            <w:shd w:val="clear" w:color="auto" w:fill="C6EFCE"/>
            <w:vAlign w:val="center"/>
            <w:hideMark/>
          </w:tcPr>
          <w:p w14:paraId="229522BB" w14:textId="4958E385" w:rsidR="00025543" w:rsidRDefault="007E3A2F">
            <w:pPr>
              <w:pStyle w:val="P68B1DB1-Normal11"/>
              <w:spacing w:before="0" w:after="0" w:line="240" w:lineRule="auto"/>
              <w:rPr>
                <w:noProof/>
                <w:color w:val="004300"/>
              </w:rPr>
            </w:pPr>
            <w:r>
              <w:rPr>
                <w:noProof/>
              </w:rPr>
              <w:t>Étapes</w:t>
            </w:r>
          </w:p>
        </w:tc>
        <w:tc>
          <w:tcPr>
            <w:tcW w:w="1701" w:type="dxa"/>
            <w:shd w:val="clear" w:color="auto" w:fill="C6EFCE"/>
            <w:vAlign w:val="center"/>
            <w:hideMark/>
          </w:tcPr>
          <w:p w14:paraId="4E6218E1" w14:textId="698AD67E" w:rsidR="00025543" w:rsidRDefault="007E3A2F">
            <w:pPr>
              <w:pStyle w:val="P68B1DB1-Normal11"/>
              <w:spacing w:before="0" w:after="0" w:line="240" w:lineRule="auto"/>
              <w:rPr>
                <w:noProof/>
                <w:color w:val="004300"/>
              </w:rPr>
            </w:pPr>
            <w:r>
              <w:rPr>
                <w:noProof/>
              </w:rPr>
              <w:t>Lancement d’un programme de soutien à la transformation des universités</w:t>
            </w:r>
          </w:p>
        </w:tc>
        <w:tc>
          <w:tcPr>
            <w:tcW w:w="1984" w:type="dxa"/>
            <w:shd w:val="clear" w:color="auto" w:fill="C6EFCE"/>
            <w:vAlign w:val="center"/>
            <w:hideMark/>
          </w:tcPr>
          <w:p w14:paraId="24614B61" w14:textId="0E537F03" w:rsidR="00025543" w:rsidRDefault="007E3A2F">
            <w:pPr>
              <w:pStyle w:val="P68B1DB1-Normal11"/>
              <w:spacing w:before="0" w:after="0" w:line="240" w:lineRule="auto"/>
              <w:rPr>
                <w:noProof/>
                <w:color w:val="004300"/>
              </w:rPr>
            </w:pPr>
            <w:r>
              <w:rPr>
                <w:noProof/>
              </w:rPr>
              <w:t xml:space="preserve"> </w:t>
            </w:r>
          </w:p>
        </w:tc>
        <w:tc>
          <w:tcPr>
            <w:tcW w:w="1077" w:type="dxa"/>
            <w:shd w:val="clear" w:color="auto" w:fill="C6EFCE"/>
            <w:vAlign w:val="center"/>
          </w:tcPr>
          <w:p w14:paraId="43958155" w14:textId="0718BA46" w:rsidR="00025543" w:rsidRDefault="007E3A2F">
            <w:pPr>
              <w:pStyle w:val="P68B1DB1-Normal11"/>
              <w:spacing w:before="0" w:after="0" w:line="240" w:lineRule="auto"/>
              <w:rPr>
                <w:noProof/>
                <w:color w:val="004300"/>
              </w:rPr>
            </w:pPr>
            <w:r>
              <w:rPr>
                <w:noProof/>
              </w:rPr>
              <w:t xml:space="preserve"> </w:t>
            </w:r>
          </w:p>
        </w:tc>
        <w:tc>
          <w:tcPr>
            <w:tcW w:w="1077" w:type="dxa"/>
            <w:shd w:val="clear" w:color="auto" w:fill="C6EFCE"/>
            <w:vAlign w:val="center"/>
          </w:tcPr>
          <w:p w14:paraId="598F8374" w14:textId="7FC55570" w:rsidR="00025543" w:rsidRDefault="007E3A2F">
            <w:pPr>
              <w:pStyle w:val="P68B1DB1-Normal11"/>
              <w:spacing w:before="0" w:after="0" w:line="240" w:lineRule="auto"/>
              <w:rPr>
                <w:noProof/>
                <w:color w:val="004300"/>
              </w:rPr>
            </w:pPr>
            <w:r>
              <w:rPr>
                <w:noProof/>
              </w:rPr>
              <w:t xml:space="preserve"> </w:t>
            </w:r>
          </w:p>
        </w:tc>
        <w:tc>
          <w:tcPr>
            <w:tcW w:w="1021" w:type="dxa"/>
            <w:shd w:val="clear" w:color="auto" w:fill="C6EFCE"/>
            <w:vAlign w:val="center"/>
          </w:tcPr>
          <w:p w14:paraId="71B2D05B" w14:textId="4D3083D9" w:rsidR="00025543" w:rsidRDefault="007E3A2F">
            <w:pPr>
              <w:pStyle w:val="P68B1DB1-Normal11"/>
              <w:spacing w:before="0" w:after="0" w:line="240" w:lineRule="auto"/>
              <w:rPr>
                <w:noProof/>
                <w:color w:val="004300"/>
              </w:rPr>
            </w:pPr>
            <w:r>
              <w:rPr>
                <w:noProof/>
              </w:rPr>
              <w:t xml:space="preserve"> </w:t>
            </w:r>
          </w:p>
        </w:tc>
        <w:tc>
          <w:tcPr>
            <w:tcW w:w="709" w:type="dxa"/>
            <w:shd w:val="clear" w:color="auto" w:fill="C6EFCE"/>
            <w:vAlign w:val="center"/>
            <w:hideMark/>
          </w:tcPr>
          <w:p w14:paraId="73F01D61" w14:textId="60692D63" w:rsidR="00025543" w:rsidRDefault="007E3A2F">
            <w:pPr>
              <w:pStyle w:val="P68B1DB1-Normal11"/>
              <w:spacing w:before="0" w:after="0" w:line="240" w:lineRule="auto"/>
              <w:rPr>
                <w:noProof/>
                <w:color w:val="004300"/>
              </w:rPr>
            </w:pPr>
            <w:r>
              <w:rPr>
                <w:noProof/>
              </w:rPr>
              <w:t>TRIMESTRE 4</w:t>
            </w:r>
          </w:p>
        </w:tc>
        <w:tc>
          <w:tcPr>
            <w:tcW w:w="708" w:type="dxa"/>
            <w:shd w:val="clear" w:color="auto" w:fill="C6EFCE"/>
            <w:vAlign w:val="center"/>
            <w:hideMark/>
          </w:tcPr>
          <w:p w14:paraId="5DA408D9" w14:textId="7D3AEA68" w:rsidR="00025543" w:rsidRDefault="007E3A2F">
            <w:pPr>
              <w:pStyle w:val="P68B1DB1-Normal11"/>
              <w:spacing w:before="0" w:after="0" w:line="240" w:lineRule="auto"/>
              <w:rPr>
                <w:noProof/>
                <w:color w:val="004300"/>
              </w:rPr>
            </w:pPr>
            <w:r>
              <w:rPr>
                <w:noProof/>
              </w:rPr>
              <w:t>2023</w:t>
            </w:r>
          </w:p>
        </w:tc>
        <w:tc>
          <w:tcPr>
            <w:tcW w:w="4589" w:type="dxa"/>
            <w:shd w:val="clear" w:color="auto" w:fill="C6EFCE"/>
            <w:vAlign w:val="center"/>
            <w:hideMark/>
          </w:tcPr>
          <w:p w14:paraId="78F45B59" w14:textId="1C517DE1" w:rsidR="00025543" w:rsidRDefault="007E3A2F">
            <w:pPr>
              <w:pStyle w:val="P68B1DB1-Normal11"/>
              <w:spacing w:before="0" w:after="0" w:line="240" w:lineRule="auto"/>
              <w:rPr>
                <w:noProof/>
                <w:color w:val="004300"/>
              </w:rPr>
            </w:pPr>
            <w:r>
              <w:rPr>
                <w:noProof/>
              </w:rPr>
              <w:t>L’appel à projets visant à soutenir l’adaptation des universités à l’évolution des besoins du marché du travail par la promotion du développement des compétences vertes dans les programmes d’études sera lancé. L’objectif est d’établir au moins 20 nouveaux programmes d’études, d’ajouter au moins 50 nouveaux cours aux programmes d’études existants et d’établir au moins 20 cours d’apprentissage tout au long de la vie.</w:t>
            </w:r>
          </w:p>
        </w:tc>
      </w:tr>
      <w:tr w:rsidR="00025543" w14:paraId="530290C2" w14:textId="77777777">
        <w:trPr>
          <w:trHeight w:val="309"/>
          <w:jc w:val="center"/>
        </w:trPr>
        <w:tc>
          <w:tcPr>
            <w:tcW w:w="704" w:type="dxa"/>
            <w:shd w:val="clear" w:color="auto" w:fill="C6EFCE"/>
            <w:vAlign w:val="center"/>
          </w:tcPr>
          <w:p w14:paraId="6B79643C" w14:textId="75A65FE0" w:rsidR="00025543" w:rsidRDefault="007E3A2F">
            <w:pPr>
              <w:pStyle w:val="P68B1DB1-Normal15"/>
              <w:spacing w:before="0" w:after="0" w:line="240" w:lineRule="auto"/>
              <w:rPr>
                <w:noProof/>
              </w:rPr>
            </w:pPr>
            <w:r>
              <w:rPr>
                <w:noProof/>
              </w:rPr>
              <w:t>326</w:t>
            </w:r>
          </w:p>
        </w:tc>
        <w:tc>
          <w:tcPr>
            <w:tcW w:w="1790" w:type="dxa"/>
            <w:shd w:val="clear" w:color="auto" w:fill="C6EFCE"/>
            <w:vAlign w:val="center"/>
          </w:tcPr>
          <w:p w14:paraId="2B074E08" w14:textId="0709B44E" w:rsidR="00025543" w:rsidRDefault="007E3A2F">
            <w:pPr>
              <w:pStyle w:val="P68B1DB1-Normal11"/>
              <w:spacing w:before="0" w:after="0" w:line="240" w:lineRule="auto"/>
              <w:rPr>
                <w:noProof/>
                <w:color w:val="004300"/>
              </w:rPr>
            </w:pPr>
            <w:r>
              <w:rPr>
                <w:noProof/>
              </w:rPr>
              <w:t>Réforme 1: Transformation des universités pour s’adapter à l’évolution des besoins du marché du travail</w:t>
            </w:r>
          </w:p>
        </w:tc>
        <w:tc>
          <w:tcPr>
            <w:tcW w:w="1134" w:type="dxa"/>
            <w:shd w:val="clear" w:color="auto" w:fill="C6EFCE"/>
            <w:vAlign w:val="center"/>
          </w:tcPr>
          <w:p w14:paraId="524942AD" w14:textId="1A56B5AF" w:rsidR="00025543" w:rsidRDefault="007E3A2F">
            <w:pPr>
              <w:pStyle w:val="P68B1DB1-Normal11"/>
              <w:spacing w:before="0" w:after="0" w:line="240" w:lineRule="auto"/>
              <w:rPr>
                <w:noProof/>
                <w:color w:val="004300"/>
              </w:rPr>
            </w:pPr>
            <w:r>
              <w:rPr>
                <w:noProof/>
              </w:rPr>
              <w:t>Cible</w:t>
            </w:r>
          </w:p>
        </w:tc>
        <w:tc>
          <w:tcPr>
            <w:tcW w:w="1701" w:type="dxa"/>
            <w:shd w:val="clear" w:color="auto" w:fill="C6EFCE"/>
            <w:vAlign w:val="center"/>
          </w:tcPr>
          <w:p w14:paraId="5F8FC269" w14:textId="0B84A789" w:rsidR="00025543" w:rsidRDefault="007E3A2F">
            <w:pPr>
              <w:pStyle w:val="P68B1DB1-Normal11"/>
              <w:spacing w:before="0" w:after="0" w:line="240" w:lineRule="auto"/>
              <w:rPr>
                <w:noProof/>
                <w:color w:val="004300"/>
              </w:rPr>
            </w:pPr>
            <w:r>
              <w:rPr>
                <w:noProof/>
              </w:rPr>
              <w:t>Lancement de nouveaux programmes d’études, de nouveaux cours dans les programmes d’études existants et de cours d’apprentissage tout au long de la vie</w:t>
            </w:r>
          </w:p>
        </w:tc>
        <w:tc>
          <w:tcPr>
            <w:tcW w:w="1984" w:type="dxa"/>
            <w:shd w:val="clear" w:color="auto" w:fill="C6EFCE"/>
            <w:vAlign w:val="center"/>
          </w:tcPr>
          <w:p w14:paraId="29220EA3" w14:textId="52340252" w:rsidR="00025543" w:rsidRDefault="00025543">
            <w:pPr>
              <w:spacing w:line="259" w:lineRule="auto"/>
              <w:rPr>
                <w:rFonts w:eastAsia="Times New Roman"/>
                <w:noProof/>
                <w:color w:val="006100"/>
                <w:sz w:val="18"/>
              </w:rPr>
            </w:pPr>
          </w:p>
        </w:tc>
        <w:tc>
          <w:tcPr>
            <w:tcW w:w="1077" w:type="dxa"/>
            <w:shd w:val="clear" w:color="auto" w:fill="C6EFCE"/>
            <w:vAlign w:val="center"/>
          </w:tcPr>
          <w:p w14:paraId="1A984A8D" w14:textId="2685C9EC" w:rsidR="00025543" w:rsidRDefault="007E3A2F">
            <w:pPr>
              <w:pStyle w:val="P68B1DB1-Normal11"/>
              <w:spacing w:before="0" w:after="0" w:line="240" w:lineRule="auto"/>
              <w:rPr>
                <w:noProof/>
              </w:rPr>
            </w:pPr>
            <w:r>
              <w:rPr>
                <w:noProof/>
              </w:rPr>
              <w:t>Programmes d’études et cours</w:t>
            </w:r>
          </w:p>
        </w:tc>
        <w:tc>
          <w:tcPr>
            <w:tcW w:w="1077" w:type="dxa"/>
            <w:shd w:val="clear" w:color="auto" w:fill="C6EFCE"/>
            <w:vAlign w:val="center"/>
          </w:tcPr>
          <w:p w14:paraId="5F70B3B3" w14:textId="6C3057EE" w:rsidR="00025543" w:rsidRDefault="007E3A2F">
            <w:pPr>
              <w:pStyle w:val="P68B1DB1-Normal11"/>
              <w:spacing w:before="0" w:after="0" w:line="240" w:lineRule="auto"/>
              <w:rPr>
                <w:noProof/>
                <w:color w:val="004300"/>
              </w:rPr>
            </w:pPr>
            <w:r>
              <w:rPr>
                <w:noProof/>
              </w:rPr>
              <w:t>0</w:t>
            </w:r>
          </w:p>
        </w:tc>
        <w:tc>
          <w:tcPr>
            <w:tcW w:w="1021" w:type="dxa"/>
            <w:shd w:val="clear" w:color="auto" w:fill="C6EFCE"/>
            <w:vAlign w:val="center"/>
          </w:tcPr>
          <w:p w14:paraId="01AAC7E0" w14:textId="15AA3495" w:rsidR="00025543" w:rsidRDefault="007E3A2F">
            <w:pPr>
              <w:pStyle w:val="P68B1DB1-Normal11"/>
              <w:spacing w:before="0" w:after="0" w:line="240" w:lineRule="auto"/>
              <w:rPr>
                <w:noProof/>
                <w:color w:val="004300"/>
              </w:rPr>
            </w:pPr>
            <w:r>
              <w:rPr>
                <w:noProof/>
              </w:rPr>
              <w:t>90</w:t>
            </w:r>
          </w:p>
        </w:tc>
        <w:tc>
          <w:tcPr>
            <w:tcW w:w="709" w:type="dxa"/>
            <w:shd w:val="clear" w:color="auto" w:fill="C6EFCE"/>
            <w:vAlign w:val="center"/>
          </w:tcPr>
          <w:p w14:paraId="0FC29ACB" w14:textId="3DAFF9FE" w:rsidR="00025543" w:rsidRDefault="007E3A2F">
            <w:pPr>
              <w:pStyle w:val="P68B1DB1-Normal11"/>
              <w:spacing w:before="0" w:after="0" w:line="240" w:lineRule="auto"/>
              <w:rPr>
                <w:noProof/>
                <w:color w:val="004300"/>
              </w:rPr>
            </w:pPr>
            <w:r>
              <w:rPr>
                <w:noProof/>
              </w:rPr>
              <w:t>TRIMESTRE 4</w:t>
            </w:r>
          </w:p>
        </w:tc>
        <w:tc>
          <w:tcPr>
            <w:tcW w:w="708" w:type="dxa"/>
            <w:shd w:val="clear" w:color="auto" w:fill="C6EFCE"/>
            <w:vAlign w:val="center"/>
          </w:tcPr>
          <w:p w14:paraId="37B91CFD" w14:textId="23165227" w:rsidR="00025543" w:rsidRDefault="007E3A2F">
            <w:pPr>
              <w:pStyle w:val="P68B1DB1-Normal11"/>
              <w:spacing w:before="0" w:after="0" w:line="240" w:lineRule="auto"/>
              <w:rPr>
                <w:noProof/>
                <w:color w:val="004300"/>
              </w:rPr>
            </w:pPr>
            <w:r>
              <w:rPr>
                <w:noProof/>
              </w:rPr>
              <w:t>2025</w:t>
            </w:r>
          </w:p>
        </w:tc>
        <w:tc>
          <w:tcPr>
            <w:tcW w:w="4589" w:type="dxa"/>
            <w:shd w:val="clear" w:color="auto" w:fill="C6EFCE"/>
            <w:vAlign w:val="center"/>
          </w:tcPr>
          <w:p w14:paraId="68AB148E" w14:textId="0E2D1CEA" w:rsidR="00025543" w:rsidRDefault="007E3A2F">
            <w:pPr>
              <w:pStyle w:val="P68B1DB1-Normal11"/>
              <w:spacing w:after="0" w:line="257" w:lineRule="auto"/>
              <w:rPr>
                <w:noProof/>
              </w:rPr>
            </w:pPr>
            <w:r>
              <w:rPr>
                <w:noProof/>
              </w:rPr>
              <w:t>Le programme vise à atteindre les objectifs suivants:</w:t>
            </w:r>
          </w:p>
          <w:p w14:paraId="754B1589" w14:textId="18B8AD13" w:rsidR="00025543" w:rsidRDefault="007E3A2F">
            <w:pPr>
              <w:pStyle w:val="P68B1DB1-ListParagraph43"/>
              <w:numPr>
                <w:ilvl w:val="0"/>
                <w:numId w:val="96"/>
              </w:numPr>
              <w:spacing w:after="0" w:line="257" w:lineRule="auto"/>
              <w:rPr>
                <w:rFonts w:eastAsia="Times New Roman"/>
                <w:noProof/>
              </w:rPr>
            </w:pPr>
            <w:r>
              <w:rPr>
                <w:rFonts w:ascii="Times New Roman" w:eastAsia="Times New Roman" w:hAnsi="Times New Roman"/>
                <w:noProof/>
              </w:rPr>
              <w:t>Au moins 20 nouveaux programmes d’études (niveau licence, master et/ou doctorat) feront l’objet d’une accréditation.</w:t>
            </w:r>
          </w:p>
          <w:p w14:paraId="1F55076F" w14:textId="6C759A41" w:rsidR="00025543" w:rsidRDefault="007E3A2F">
            <w:pPr>
              <w:pStyle w:val="P68B1DB1-ListParagraph31"/>
              <w:numPr>
                <w:ilvl w:val="0"/>
                <w:numId w:val="96"/>
              </w:numPr>
              <w:spacing w:after="0" w:line="257" w:lineRule="auto"/>
              <w:rPr>
                <w:noProof/>
              </w:rPr>
            </w:pPr>
            <w:r>
              <w:rPr>
                <w:noProof/>
              </w:rPr>
              <w:t>Au moins 50 nouveaux cours (obligatoires et/ou facultatifs) seront ajoutés aux programmes d’études existants (niveau licence, master et/ou doctorat).</w:t>
            </w:r>
          </w:p>
          <w:p w14:paraId="6AF12C87" w14:textId="44C29507" w:rsidR="00025543" w:rsidRDefault="007E3A2F">
            <w:pPr>
              <w:pStyle w:val="P68B1DB1-ListParagraph31"/>
              <w:numPr>
                <w:ilvl w:val="0"/>
                <w:numId w:val="96"/>
              </w:numPr>
              <w:spacing w:after="0" w:line="257" w:lineRule="auto"/>
              <w:rPr>
                <w:noProof/>
              </w:rPr>
            </w:pPr>
            <w:r>
              <w:rPr>
                <w:noProof/>
              </w:rPr>
              <w:t>Au moins 20 nouveaux cours d’apprentissage tout au long de la vie (y compris ceux débouchant sur des microcertifications) seront créés et proposés par les universités.</w:t>
            </w:r>
          </w:p>
          <w:p w14:paraId="41461FCB" w14:textId="77777777" w:rsidR="00025543" w:rsidRDefault="007E3A2F">
            <w:pPr>
              <w:spacing w:after="0" w:line="257" w:lineRule="auto"/>
              <w:rPr>
                <w:rFonts w:eastAsia="Times New Roman"/>
                <w:noProof/>
                <w:color w:val="006100"/>
                <w:sz w:val="18"/>
              </w:rPr>
            </w:pPr>
            <w:r>
              <w:rPr>
                <w:rFonts w:eastAsia="Times New Roman"/>
                <w:noProof/>
                <w:color w:val="006100"/>
                <w:sz w:val="18"/>
              </w:rPr>
              <w:t>Tous les programmes et cours développent des compétences vertes et définissent les acquis d’apprentissage conformément au cadre européen des aptitudes, compétences, certifications et professions (ESCO).</w:t>
            </w:r>
            <w:r>
              <w:rPr>
                <w:noProof/>
              </w:rPr>
              <w:br/>
            </w:r>
            <w:r>
              <w:rPr>
                <w:rFonts w:eastAsia="Times New Roman"/>
                <w:noProof/>
                <w:color w:val="006100"/>
                <w:sz w:val="18"/>
              </w:rPr>
              <w:t xml:space="preserve"> </w:t>
            </w:r>
          </w:p>
          <w:p w14:paraId="5399EC14" w14:textId="3A3E8630" w:rsidR="00025543" w:rsidRDefault="007E3A2F">
            <w:pPr>
              <w:pStyle w:val="P68B1DB1-Normal11"/>
              <w:spacing w:before="0" w:after="0" w:line="240" w:lineRule="auto"/>
              <w:rPr>
                <w:noProof/>
                <w:color w:val="004300"/>
              </w:rPr>
            </w:pPr>
            <w:r>
              <w:rPr>
                <w:noProof/>
              </w:rPr>
              <w:t xml:space="preserve"> </w:t>
            </w:r>
          </w:p>
        </w:tc>
      </w:tr>
      <w:tr w:rsidR="00025543" w14:paraId="5A3F2A5A" w14:textId="77777777">
        <w:trPr>
          <w:trHeight w:val="309"/>
          <w:jc w:val="center"/>
        </w:trPr>
        <w:tc>
          <w:tcPr>
            <w:tcW w:w="704" w:type="dxa"/>
            <w:shd w:val="clear" w:color="auto" w:fill="C6EFCE"/>
            <w:vAlign w:val="center"/>
          </w:tcPr>
          <w:p w14:paraId="18316EAC" w14:textId="159EF4A1" w:rsidR="00025543" w:rsidRDefault="007E3A2F">
            <w:pPr>
              <w:pStyle w:val="P68B1DB1-Normal11"/>
              <w:spacing w:before="0" w:after="0" w:line="240" w:lineRule="auto"/>
              <w:rPr>
                <w:noProof/>
              </w:rPr>
            </w:pPr>
            <w:r>
              <w:rPr>
                <w:noProof/>
              </w:rPr>
              <w:t>327</w:t>
            </w:r>
          </w:p>
        </w:tc>
        <w:tc>
          <w:tcPr>
            <w:tcW w:w="1790" w:type="dxa"/>
            <w:shd w:val="clear" w:color="auto" w:fill="C6EFCE"/>
            <w:vAlign w:val="center"/>
          </w:tcPr>
          <w:p w14:paraId="33EA8515" w14:textId="77777777" w:rsidR="00025543" w:rsidRDefault="007E3A2F">
            <w:pPr>
              <w:pStyle w:val="P68B1DB1-Normal11"/>
              <w:spacing w:line="259" w:lineRule="auto"/>
              <w:rPr>
                <w:noProof/>
              </w:rPr>
            </w:pPr>
            <w:r>
              <w:rPr>
                <w:noProof/>
              </w:rPr>
              <w:t>Investissement 1: Stratégies de transition écologique et durable</w:t>
            </w:r>
          </w:p>
          <w:p w14:paraId="470055F0" w14:textId="77777777" w:rsidR="00025543" w:rsidRDefault="007E3A2F">
            <w:pPr>
              <w:pStyle w:val="P68B1DB1-Normal11"/>
              <w:spacing w:line="259" w:lineRule="auto"/>
              <w:rPr>
                <w:noProof/>
              </w:rPr>
            </w:pPr>
            <w:r>
              <w:rPr>
                <w:noProof/>
              </w:rPr>
              <w:t xml:space="preserve"> </w:t>
            </w:r>
          </w:p>
          <w:p w14:paraId="3B6F6B51" w14:textId="72EDB3D2" w:rsidR="00025543" w:rsidRDefault="007E3A2F">
            <w:pPr>
              <w:pStyle w:val="P68B1DB1-Normal11"/>
              <w:spacing w:before="0" w:after="0" w:line="240" w:lineRule="auto"/>
              <w:rPr>
                <w:noProof/>
              </w:rPr>
            </w:pPr>
            <w:r>
              <w:rPr>
                <w:noProof/>
              </w:rPr>
              <w:t xml:space="preserve"> </w:t>
            </w:r>
          </w:p>
        </w:tc>
        <w:tc>
          <w:tcPr>
            <w:tcW w:w="1134" w:type="dxa"/>
            <w:shd w:val="clear" w:color="auto" w:fill="C6EFCE"/>
            <w:vAlign w:val="center"/>
          </w:tcPr>
          <w:p w14:paraId="3C74CA0F" w14:textId="2418851D" w:rsidR="00025543" w:rsidRDefault="007E3A2F">
            <w:pPr>
              <w:pStyle w:val="P68B1DB1-Normal11"/>
              <w:spacing w:before="0" w:after="0" w:line="240" w:lineRule="auto"/>
              <w:rPr>
                <w:noProof/>
              </w:rPr>
            </w:pPr>
            <w:r>
              <w:rPr>
                <w:noProof/>
              </w:rPr>
              <w:t>Cible</w:t>
            </w:r>
          </w:p>
        </w:tc>
        <w:tc>
          <w:tcPr>
            <w:tcW w:w="1701" w:type="dxa"/>
            <w:shd w:val="clear" w:color="auto" w:fill="C6EFCE"/>
            <w:vAlign w:val="center"/>
          </w:tcPr>
          <w:p w14:paraId="67786DCD" w14:textId="5BB76CE5" w:rsidR="00025543" w:rsidRDefault="007E3A2F">
            <w:pPr>
              <w:pStyle w:val="P68B1DB1-Normal11"/>
              <w:spacing w:before="0" w:after="0" w:line="240" w:lineRule="auto"/>
              <w:rPr>
                <w:noProof/>
              </w:rPr>
            </w:pPr>
            <w:r>
              <w:rPr>
                <w:noProof/>
              </w:rPr>
              <w:t>Adoption de nouvelles stratégies de transition durable et écologique par les universités publiques</w:t>
            </w:r>
          </w:p>
        </w:tc>
        <w:tc>
          <w:tcPr>
            <w:tcW w:w="1984" w:type="dxa"/>
            <w:shd w:val="clear" w:color="auto" w:fill="C6EFCE"/>
            <w:vAlign w:val="center"/>
          </w:tcPr>
          <w:p w14:paraId="12192ED6" w14:textId="77777777" w:rsidR="00025543" w:rsidRDefault="00025543">
            <w:pPr>
              <w:spacing w:line="259" w:lineRule="auto"/>
              <w:rPr>
                <w:rFonts w:eastAsia="Times New Roman"/>
                <w:noProof/>
                <w:color w:val="006100"/>
                <w:sz w:val="18"/>
              </w:rPr>
            </w:pPr>
          </w:p>
        </w:tc>
        <w:tc>
          <w:tcPr>
            <w:tcW w:w="1077" w:type="dxa"/>
            <w:shd w:val="clear" w:color="auto" w:fill="C6EFCE"/>
            <w:vAlign w:val="center"/>
          </w:tcPr>
          <w:p w14:paraId="6B2687A7" w14:textId="45A7693C" w:rsidR="00025543" w:rsidRDefault="007E3A2F">
            <w:pPr>
              <w:pStyle w:val="P68B1DB1-Normal11"/>
              <w:spacing w:before="0" w:after="0" w:line="240" w:lineRule="auto"/>
              <w:rPr>
                <w:noProof/>
              </w:rPr>
            </w:pPr>
            <w:r>
              <w:rPr>
                <w:noProof/>
              </w:rPr>
              <w:t>Stratégies</w:t>
            </w:r>
          </w:p>
        </w:tc>
        <w:tc>
          <w:tcPr>
            <w:tcW w:w="1077" w:type="dxa"/>
            <w:shd w:val="clear" w:color="auto" w:fill="C6EFCE"/>
            <w:vAlign w:val="center"/>
          </w:tcPr>
          <w:p w14:paraId="402F0F8C" w14:textId="6A17CFA5" w:rsidR="00025543" w:rsidRDefault="007E3A2F">
            <w:pPr>
              <w:pStyle w:val="P68B1DB1-Normal11"/>
              <w:spacing w:before="0" w:after="0" w:line="240" w:lineRule="auto"/>
              <w:rPr>
                <w:noProof/>
              </w:rPr>
            </w:pPr>
            <w:r>
              <w:rPr>
                <w:noProof/>
              </w:rPr>
              <w:t>0</w:t>
            </w:r>
          </w:p>
        </w:tc>
        <w:tc>
          <w:tcPr>
            <w:tcW w:w="1021" w:type="dxa"/>
            <w:shd w:val="clear" w:color="auto" w:fill="C6EFCE"/>
            <w:vAlign w:val="center"/>
          </w:tcPr>
          <w:p w14:paraId="68744DB1" w14:textId="2E85CD60" w:rsidR="00025543" w:rsidRDefault="007E3A2F">
            <w:pPr>
              <w:pStyle w:val="P68B1DB1-Normal11"/>
              <w:spacing w:before="0" w:after="0" w:line="240" w:lineRule="auto"/>
              <w:rPr>
                <w:noProof/>
              </w:rPr>
            </w:pPr>
            <w:r>
              <w:rPr>
                <w:noProof/>
              </w:rPr>
              <w:t>20</w:t>
            </w:r>
          </w:p>
        </w:tc>
        <w:tc>
          <w:tcPr>
            <w:tcW w:w="709" w:type="dxa"/>
            <w:shd w:val="clear" w:color="auto" w:fill="C6EFCE"/>
            <w:vAlign w:val="center"/>
          </w:tcPr>
          <w:p w14:paraId="50D5655A" w14:textId="5E24ACF2" w:rsidR="00025543" w:rsidRDefault="007E3A2F">
            <w:pPr>
              <w:pStyle w:val="P68B1DB1-Normal11"/>
              <w:spacing w:before="0" w:after="0" w:line="240" w:lineRule="auto"/>
              <w:rPr>
                <w:noProof/>
              </w:rPr>
            </w:pPr>
            <w:r>
              <w:rPr>
                <w:noProof/>
              </w:rPr>
              <w:t xml:space="preserve"> TRIMESTRE 4</w:t>
            </w:r>
          </w:p>
        </w:tc>
        <w:tc>
          <w:tcPr>
            <w:tcW w:w="708" w:type="dxa"/>
            <w:shd w:val="clear" w:color="auto" w:fill="C6EFCE"/>
            <w:vAlign w:val="center"/>
          </w:tcPr>
          <w:p w14:paraId="259E16AC" w14:textId="400BAE49" w:rsidR="00025543" w:rsidRDefault="007E3A2F">
            <w:pPr>
              <w:pStyle w:val="P68B1DB1-Normal11"/>
              <w:spacing w:before="0" w:after="0" w:line="240" w:lineRule="auto"/>
              <w:rPr>
                <w:noProof/>
              </w:rPr>
            </w:pPr>
            <w:r>
              <w:rPr>
                <w:noProof/>
              </w:rPr>
              <w:t>2024</w:t>
            </w:r>
          </w:p>
        </w:tc>
        <w:tc>
          <w:tcPr>
            <w:tcW w:w="4589" w:type="dxa"/>
            <w:shd w:val="clear" w:color="auto" w:fill="C6EFCE"/>
            <w:vAlign w:val="center"/>
          </w:tcPr>
          <w:p w14:paraId="1B29EF5A" w14:textId="77777777" w:rsidR="00025543" w:rsidRDefault="007E3A2F">
            <w:pPr>
              <w:pStyle w:val="P68B1DB1-Normal11"/>
              <w:spacing w:after="0" w:line="259" w:lineRule="auto"/>
              <w:rPr>
                <w:noProof/>
              </w:rPr>
            </w:pPr>
            <w:r>
              <w:rPr>
                <w:noProof/>
              </w:rPr>
              <w:t xml:space="preserve">Au moins 20 universités publiques adoptent de nouvelles stratégies de transition durable et écologique. Les stratégies définissent la vision, les domaines prioritaires, les principes et les objectifs nécessaires pour soutenir la transition écologique des universités à court et moyen terme, y compris l’éducation aux compétences vertes. </w:t>
            </w:r>
          </w:p>
          <w:p w14:paraId="3CD88A51" w14:textId="32D01874" w:rsidR="00025543" w:rsidRDefault="007E3A2F">
            <w:pPr>
              <w:pStyle w:val="P68B1DB1-Normal53"/>
              <w:spacing w:after="0" w:line="257" w:lineRule="auto"/>
              <w:rPr>
                <w:noProof/>
                <w:color w:val="006100"/>
              </w:rPr>
            </w:pPr>
            <w:r>
              <w:rPr>
                <w:noProof/>
              </w:rPr>
              <w:t xml:space="preserve"> </w:t>
            </w:r>
          </w:p>
        </w:tc>
      </w:tr>
      <w:tr w:rsidR="00025543" w14:paraId="5580AC06" w14:textId="77777777">
        <w:trPr>
          <w:trHeight w:val="309"/>
          <w:jc w:val="center"/>
        </w:trPr>
        <w:tc>
          <w:tcPr>
            <w:tcW w:w="704" w:type="dxa"/>
            <w:shd w:val="clear" w:color="auto" w:fill="C6EFCE"/>
            <w:vAlign w:val="center"/>
          </w:tcPr>
          <w:p w14:paraId="7B269D42" w14:textId="07FF3FCB" w:rsidR="00025543" w:rsidRDefault="007E3A2F">
            <w:pPr>
              <w:pStyle w:val="P68B1DB1-Normal11"/>
              <w:spacing w:before="0" w:after="0" w:line="240" w:lineRule="auto"/>
              <w:rPr>
                <w:noProof/>
              </w:rPr>
            </w:pPr>
            <w:r>
              <w:rPr>
                <w:noProof/>
              </w:rPr>
              <w:t>328</w:t>
            </w:r>
          </w:p>
        </w:tc>
        <w:tc>
          <w:tcPr>
            <w:tcW w:w="1790" w:type="dxa"/>
            <w:shd w:val="clear" w:color="auto" w:fill="C6EFCE"/>
            <w:vAlign w:val="center"/>
          </w:tcPr>
          <w:p w14:paraId="701C0BA3" w14:textId="77777777" w:rsidR="00025543" w:rsidRDefault="007E3A2F">
            <w:pPr>
              <w:pStyle w:val="P68B1DB1-Normal11"/>
              <w:spacing w:line="259" w:lineRule="auto"/>
              <w:rPr>
                <w:noProof/>
              </w:rPr>
            </w:pPr>
            <w:r>
              <w:rPr>
                <w:noProof/>
              </w:rPr>
              <w:t xml:space="preserve">Investissement 2: Établissement de partenariats stratégiques </w:t>
            </w:r>
          </w:p>
          <w:p w14:paraId="7EF772B5" w14:textId="77777777" w:rsidR="00025543" w:rsidRDefault="007E3A2F">
            <w:pPr>
              <w:pStyle w:val="P68B1DB1-Normal11"/>
              <w:spacing w:line="259" w:lineRule="auto"/>
              <w:rPr>
                <w:noProof/>
              </w:rPr>
            </w:pPr>
            <w:r>
              <w:rPr>
                <w:noProof/>
              </w:rPr>
              <w:t xml:space="preserve"> </w:t>
            </w:r>
          </w:p>
          <w:p w14:paraId="136BDF18" w14:textId="75F88BC0" w:rsidR="00025543" w:rsidRDefault="007E3A2F">
            <w:pPr>
              <w:pStyle w:val="P68B1DB1-Normal11"/>
              <w:spacing w:line="259" w:lineRule="auto"/>
              <w:rPr>
                <w:noProof/>
              </w:rPr>
            </w:pPr>
            <w:r>
              <w:rPr>
                <w:noProof/>
              </w:rPr>
              <w:t xml:space="preserve"> </w:t>
            </w:r>
          </w:p>
        </w:tc>
        <w:tc>
          <w:tcPr>
            <w:tcW w:w="1134" w:type="dxa"/>
            <w:shd w:val="clear" w:color="auto" w:fill="C6EFCE"/>
            <w:vAlign w:val="center"/>
          </w:tcPr>
          <w:p w14:paraId="2C5A67C6" w14:textId="5B164AA5" w:rsidR="00025543" w:rsidRDefault="007E3A2F">
            <w:pPr>
              <w:pStyle w:val="P68B1DB1-Normal11"/>
              <w:spacing w:before="0" w:after="0" w:line="240" w:lineRule="auto"/>
              <w:rPr>
                <w:noProof/>
              </w:rPr>
            </w:pPr>
            <w:r>
              <w:rPr>
                <w:noProof/>
              </w:rPr>
              <w:t>Cible</w:t>
            </w:r>
          </w:p>
        </w:tc>
        <w:tc>
          <w:tcPr>
            <w:tcW w:w="1701" w:type="dxa"/>
            <w:shd w:val="clear" w:color="auto" w:fill="C6EFCE"/>
            <w:vAlign w:val="center"/>
          </w:tcPr>
          <w:p w14:paraId="234BD86B" w14:textId="013A8C90" w:rsidR="00025543" w:rsidRDefault="007E3A2F">
            <w:pPr>
              <w:pStyle w:val="P68B1DB1-Normal11"/>
              <w:spacing w:before="0" w:after="0" w:line="240" w:lineRule="auto"/>
              <w:rPr>
                <w:noProof/>
              </w:rPr>
            </w:pPr>
            <w:r>
              <w:rPr>
                <w:noProof/>
              </w:rPr>
              <w:t>Établissement de partenariats stratégiques par les universités publiques</w:t>
            </w:r>
          </w:p>
        </w:tc>
        <w:tc>
          <w:tcPr>
            <w:tcW w:w="1984" w:type="dxa"/>
            <w:shd w:val="clear" w:color="auto" w:fill="C6EFCE"/>
            <w:vAlign w:val="center"/>
          </w:tcPr>
          <w:p w14:paraId="2FBA5145" w14:textId="202F33FA" w:rsidR="00025543" w:rsidRDefault="00025543">
            <w:pPr>
              <w:spacing w:line="259" w:lineRule="auto"/>
              <w:rPr>
                <w:rFonts w:eastAsia="Times New Roman"/>
                <w:noProof/>
                <w:color w:val="006100"/>
                <w:sz w:val="18"/>
              </w:rPr>
            </w:pPr>
          </w:p>
        </w:tc>
        <w:tc>
          <w:tcPr>
            <w:tcW w:w="1077" w:type="dxa"/>
            <w:shd w:val="clear" w:color="auto" w:fill="C6EFCE"/>
            <w:vAlign w:val="center"/>
          </w:tcPr>
          <w:p w14:paraId="19CC9A16" w14:textId="1740C192" w:rsidR="00025543" w:rsidRDefault="007E3A2F">
            <w:pPr>
              <w:pStyle w:val="P68B1DB1-Normal11"/>
              <w:spacing w:before="0" w:after="0" w:line="240" w:lineRule="auto"/>
              <w:rPr>
                <w:noProof/>
              </w:rPr>
            </w:pPr>
            <w:r>
              <w:rPr>
                <w:noProof/>
              </w:rPr>
              <w:t xml:space="preserve"> Partenariats stratégiques</w:t>
            </w:r>
          </w:p>
        </w:tc>
        <w:tc>
          <w:tcPr>
            <w:tcW w:w="1077" w:type="dxa"/>
            <w:shd w:val="clear" w:color="auto" w:fill="C6EFCE"/>
            <w:vAlign w:val="center"/>
          </w:tcPr>
          <w:p w14:paraId="5940058C" w14:textId="66CD119C" w:rsidR="00025543" w:rsidRDefault="007E3A2F">
            <w:pPr>
              <w:pStyle w:val="P68B1DB1-Normal11"/>
              <w:spacing w:before="0" w:after="0" w:line="240" w:lineRule="auto"/>
              <w:rPr>
                <w:noProof/>
              </w:rPr>
            </w:pPr>
            <w:r>
              <w:rPr>
                <w:noProof/>
              </w:rPr>
              <w:t>0</w:t>
            </w:r>
          </w:p>
        </w:tc>
        <w:tc>
          <w:tcPr>
            <w:tcW w:w="1021" w:type="dxa"/>
            <w:shd w:val="clear" w:color="auto" w:fill="C6EFCE"/>
            <w:vAlign w:val="center"/>
          </w:tcPr>
          <w:p w14:paraId="0821B79C" w14:textId="64297B5D" w:rsidR="00025543" w:rsidRDefault="007E3A2F">
            <w:pPr>
              <w:pStyle w:val="P68B1DB1-Normal11"/>
              <w:spacing w:before="0" w:after="0" w:line="240" w:lineRule="auto"/>
              <w:rPr>
                <w:noProof/>
              </w:rPr>
            </w:pPr>
            <w:r>
              <w:rPr>
                <w:noProof/>
              </w:rPr>
              <w:t>20</w:t>
            </w:r>
          </w:p>
        </w:tc>
        <w:tc>
          <w:tcPr>
            <w:tcW w:w="709" w:type="dxa"/>
            <w:shd w:val="clear" w:color="auto" w:fill="C6EFCE"/>
            <w:vAlign w:val="center"/>
          </w:tcPr>
          <w:p w14:paraId="108D96CB" w14:textId="266E9BFE" w:rsidR="00025543" w:rsidRDefault="007E3A2F">
            <w:pPr>
              <w:pStyle w:val="P68B1DB1-Normal11"/>
              <w:spacing w:before="0" w:after="0" w:line="240" w:lineRule="auto"/>
              <w:rPr>
                <w:noProof/>
              </w:rPr>
            </w:pPr>
            <w:r>
              <w:rPr>
                <w:noProof/>
              </w:rPr>
              <w:t xml:space="preserve">TRIMESTRE 2 </w:t>
            </w:r>
          </w:p>
        </w:tc>
        <w:tc>
          <w:tcPr>
            <w:tcW w:w="708" w:type="dxa"/>
            <w:shd w:val="clear" w:color="auto" w:fill="C6EFCE"/>
            <w:vAlign w:val="center"/>
          </w:tcPr>
          <w:p w14:paraId="22DEA94A" w14:textId="7C6326C0" w:rsidR="00025543" w:rsidRDefault="007E3A2F">
            <w:pPr>
              <w:pStyle w:val="P68B1DB1-Normal11"/>
              <w:spacing w:before="0" w:after="0" w:line="240" w:lineRule="auto"/>
              <w:rPr>
                <w:noProof/>
              </w:rPr>
            </w:pPr>
            <w:r>
              <w:rPr>
                <w:noProof/>
              </w:rPr>
              <w:t>2025</w:t>
            </w:r>
          </w:p>
        </w:tc>
        <w:tc>
          <w:tcPr>
            <w:tcW w:w="4589" w:type="dxa"/>
            <w:shd w:val="clear" w:color="auto" w:fill="C6EFCE"/>
            <w:vAlign w:val="center"/>
          </w:tcPr>
          <w:p w14:paraId="5311308E" w14:textId="244A7E78" w:rsidR="00025543" w:rsidRDefault="007E3A2F">
            <w:pPr>
              <w:pStyle w:val="P68B1DB1-Normal11"/>
              <w:spacing w:line="259" w:lineRule="auto"/>
              <w:rPr>
                <w:noProof/>
              </w:rPr>
            </w:pPr>
            <w:r>
              <w:rPr>
                <w:noProof/>
              </w:rPr>
              <w:t xml:space="preserve">20 des partenariats stratégiques seront établis entre les universités publiques et un tiers développant l’éducation aux compétences vertes. </w:t>
            </w:r>
          </w:p>
        </w:tc>
      </w:tr>
    </w:tbl>
    <w:p w14:paraId="09179DFF" w14:textId="4294E347" w:rsidR="00025543" w:rsidRDefault="00025543">
      <w:pPr>
        <w:pBdr>
          <w:top w:val="nil"/>
          <w:left w:val="nil"/>
          <w:bottom w:val="nil"/>
          <w:right w:val="nil"/>
          <w:between w:val="nil"/>
        </w:pBdr>
        <w:tabs>
          <w:tab w:val="left" w:pos="993"/>
        </w:tabs>
        <w:spacing w:line="240" w:lineRule="auto"/>
        <w:jc w:val="both"/>
        <w:rPr>
          <w:rFonts w:eastAsia="Times New Roman"/>
          <w:b/>
          <w:noProof/>
          <w:color w:val="000000" w:themeColor="text1"/>
          <w:u w:val="single"/>
        </w:rPr>
      </w:pPr>
    </w:p>
    <w:p w14:paraId="38489D3D" w14:textId="11E0EB0D" w:rsidR="00025543" w:rsidRDefault="00025543">
      <w:pPr>
        <w:pBdr>
          <w:top w:val="nil"/>
          <w:left w:val="nil"/>
          <w:bottom w:val="nil"/>
          <w:right w:val="nil"/>
          <w:between w:val="nil"/>
        </w:pBdr>
        <w:tabs>
          <w:tab w:val="left" w:pos="993"/>
        </w:tabs>
        <w:spacing w:line="240" w:lineRule="auto"/>
        <w:jc w:val="both"/>
        <w:rPr>
          <w:rFonts w:eastAsia="Times New Roman"/>
          <w:b/>
          <w:noProof/>
          <w:color w:val="000000" w:themeColor="text1"/>
          <w:u w:val="single"/>
        </w:rPr>
      </w:pPr>
    </w:p>
    <w:p w14:paraId="12678BF0" w14:textId="77777777" w:rsidR="00025543" w:rsidRDefault="00025543">
      <w:pPr>
        <w:pBdr>
          <w:top w:val="nil"/>
          <w:left w:val="nil"/>
          <w:bottom w:val="nil"/>
          <w:right w:val="nil"/>
          <w:between w:val="nil"/>
        </w:pBdr>
        <w:tabs>
          <w:tab w:val="left" w:pos="993"/>
        </w:tabs>
        <w:spacing w:line="240" w:lineRule="auto"/>
        <w:jc w:val="both"/>
        <w:rPr>
          <w:rFonts w:eastAsia="Times New Roman"/>
          <w:b/>
          <w:noProof/>
          <w:color w:val="000000" w:themeColor="text1"/>
          <w:u w:val="single"/>
        </w:rPr>
        <w:sectPr w:rsidR="00025543" w:rsidSect="003F264F">
          <w:headerReference w:type="even" r:id="rId480"/>
          <w:headerReference w:type="default" r:id="rId481"/>
          <w:footerReference w:type="even" r:id="rId482"/>
          <w:footerReference w:type="default" r:id="rId483"/>
          <w:headerReference w:type="first" r:id="rId484"/>
          <w:footerReference w:type="first" r:id="rId485"/>
          <w:pgSz w:w="16839" w:h="11907" w:orient="landscape"/>
          <w:pgMar w:top="1134" w:right="1134" w:bottom="1134" w:left="1134" w:header="567" w:footer="567" w:gutter="0"/>
          <w:cols w:space="720"/>
          <w:docGrid w:linePitch="360"/>
        </w:sectPr>
      </w:pPr>
    </w:p>
    <w:p w14:paraId="6E435612" w14:textId="7C298FD1" w:rsidR="00025543" w:rsidRDefault="007E3A2F">
      <w:pPr>
        <w:pStyle w:val="P68B1DB1-Normal7"/>
        <w:keepNext/>
        <w:tabs>
          <w:tab w:val="left" w:pos="850"/>
        </w:tabs>
        <w:spacing w:line="240" w:lineRule="auto"/>
        <w:jc w:val="both"/>
        <w:outlineLvl w:val="0"/>
        <w:rPr>
          <w:smallCaps/>
          <w:noProof/>
        </w:rPr>
      </w:pPr>
      <w:r>
        <w:rPr>
          <w:caps/>
          <w:noProof/>
        </w:rPr>
        <w:t xml:space="preserve">II. Volet 7.5 </w:t>
      </w:r>
      <w:r>
        <w:rPr>
          <w:smallCaps/>
          <w:noProof/>
        </w:rPr>
        <w:t>Décarbonisation du transport routier (REPowerEU)</w:t>
      </w:r>
    </w:p>
    <w:p w14:paraId="644DFDFB" w14:textId="4FFFEB0D" w:rsidR="00025543" w:rsidRDefault="007E3A2F">
      <w:pPr>
        <w:pStyle w:val="P68B1DB1-Normal4"/>
        <w:pBdr>
          <w:top w:val="nil"/>
          <w:left w:val="nil"/>
          <w:bottom w:val="nil"/>
          <w:right w:val="nil"/>
          <w:between w:val="nil"/>
        </w:pBdr>
        <w:tabs>
          <w:tab w:val="left" w:pos="993"/>
        </w:tabs>
        <w:spacing w:line="240" w:lineRule="auto"/>
        <w:jc w:val="both"/>
        <w:rPr>
          <w:noProof/>
          <w:color w:val="000000" w:themeColor="text1"/>
        </w:rPr>
      </w:pPr>
      <w:r>
        <w:rPr>
          <w:noProof/>
        </w:rPr>
        <w:t>Ce volet du plan pour la reprise et la résilience de la République tchèque répond à la nécessité de décarboner le secteur des transports en déployant des véhicules et des infrastructures à émissions nulles en Tchéquie, afin de se préparer à une élimination rapide des combustibles fossiles dans le secteur du transport routier.</w:t>
      </w:r>
    </w:p>
    <w:p w14:paraId="196F0C73" w14:textId="6A8C83B5" w:rsidR="00025543" w:rsidRDefault="007E3A2F">
      <w:pPr>
        <w:pStyle w:val="P68B1DB1-Normal4"/>
        <w:pBdr>
          <w:top w:val="nil"/>
          <w:left w:val="nil"/>
          <w:bottom w:val="nil"/>
          <w:right w:val="nil"/>
          <w:between w:val="nil"/>
        </w:pBdr>
        <w:tabs>
          <w:tab w:val="left" w:pos="993"/>
        </w:tabs>
        <w:spacing w:line="240" w:lineRule="auto"/>
        <w:jc w:val="both"/>
        <w:rPr>
          <w:noProof/>
          <w:color w:val="000000" w:themeColor="text1"/>
        </w:rPr>
      </w:pPr>
      <w:r>
        <w:rPr>
          <w:noProof/>
        </w:rPr>
        <w:t>Ce volet vise à accroître l’adoption de véhicules à émissions nulles de divers types en Tchéquie, ainsi qu’à encourager le développement d’infrastructures de recharge et de ravitaillement en hydrogène au moyen d’investissements et de réformes.</w:t>
      </w:r>
    </w:p>
    <w:p w14:paraId="5CA8DA36" w14:textId="0AF6BE50" w:rsidR="00025543" w:rsidRDefault="007E3A2F">
      <w:pPr>
        <w:pStyle w:val="P68B1DB1-Normal4"/>
        <w:pBdr>
          <w:top w:val="nil"/>
          <w:left w:val="nil"/>
          <w:bottom w:val="nil"/>
          <w:right w:val="nil"/>
          <w:between w:val="nil"/>
        </w:pBdr>
        <w:tabs>
          <w:tab w:val="left" w:pos="993"/>
        </w:tabs>
        <w:spacing w:line="240" w:lineRule="auto"/>
        <w:jc w:val="both"/>
        <w:rPr>
          <w:noProof/>
          <w:color w:val="000000" w:themeColor="text1"/>
        </w:rPr>
      </w:pPr>
      <w:r>
        <w:rPr>
          <w:noProof/>
        </w:rPr>
        <w:t>Ce volet est lié à la mise en œuvre de la recommandation no 4 de 2022, qui souligne la nécessité de réduire l’utilisation des combustibles fossiles et la dépendance du pays à l’égard des importations de combustibles fossiles. Ce volet traite de la RSE, notamment en cherchant à réduire l’utilisation des combustibles fossiles dans le système de transport tchèque. Ce volet est également lié à la mise en œuvre de la recommandation no 4 de 2023, qui souligne la nécessité de promouvoir l’adoption de véhicules à émissions nulles et d’accroître la disponibilité d’infrastructures de recharge et de ravitaillement à haute capacité par de nouvelles réformes afin de créer les conditions propices au déploiement des véhicules et des infrastructures et de supprimer les obstacles existants au déploiement des véhicules et des infrastructures.</w:t>
      </w:r>
    </w:p>
    <w:p w14:paraId="0B0EDEC8" w14:textId="77777777" w:rsidR="00025543" w:rsidRDefault="00025543">
      <w:pPr>
        <w:pBdr>
          <w:top w:val="nil"/>
          <w:left w:val="nil"/>
          <w:bottom w:val="nil"/>
          <w:right w:val="nil"/>
          <w:between w:val="nil"/>
        </w:pBdr>
        <w:tabs>
          <w:tab w:val="left" w:pos="993"/>
        </w:tabs>
        <w:spacing w:line="240" w:lineRule="auto"/>
        <w:jc w:val="both"/>
        <w:rPr>
          <w:rFonts w:eastAsia="Times New Roman"/>
          <w:noProof/>
          <w:color w:val="000000" w:themeColor="text1"/>
        </w:rPr>
      </w:pPr>
    </w:p>
    <w:p w14:paraId="1367D30A" w14:textId="67415FAB" w:rsidR="00025543" w:rsidRDefault="007E3A2F">
      <w:pPr>
        <w:pStyle w:val="P68B1DB1-Normal5"/>
        <w:spacing w:line="240" w:lineRule="auto"/>
        <w:jc w:val="both"/>
        <w:rPr>
          <w:rFonts w:eastAsia="Times New Roman"/>
          <w:noProof/>
          <w:color w:val="000000" w:themeColor="text1"/>
        </w:rPr>
      </w:pPr>
      <w:r>
        <w:rPr>
          <w:noProof/>
        </w:rPr>
        <w:t xml:space="preserve">II.1. </w:t>
      </w:r>
      <w:r>
        <w:rPr>
          <w:rFonts w:eastAsia="Times New Roman"/>
          <w:noProof/>
        </w:rPr>
        <w:t>Description</w:t>
      </w:r>
      <w:r>
        <w:rPr>
          <w:noProof/>
        </w:rPr>
        <w:t xml:space="preserve"> des réformes et des investissements en vue du soutien financier non remboursable</w:t>
      </w:r>
    </w:p>
    <w:p w14:paraId="0CD2FB39" w14:textId="1DD6B82A" w:rsidR="00025543" w:rsidRDefault="007E3A2F">
      <w:pPr>
        <w:pStyle w:val="P68B1DB1-Normal7"/>
        <w:pBdr>
          <w:top w:val="nil"/>
          <w:left w:val="nil"/>
          <w:bottom w:val="nil"/>
          <w:right w:val="nil"/>
          <w:between w:val="nil"/>
        </w:pBdr>
        <w:tabs>
          <w:tab w:val="left" w:pos="993"/>
        </w:tabs>
        <w:spacing w:line="240" w:lineRule="auto"/>
        <w:jc w:val="both"/>
        <w:rPr>
          <w:rFonts w:eastAsia="Times New Roman"/>
          <w:noProof/>
          <w:color w:val="000000" w:themeColor="text1"/>
        </w:rPr>
      </w:pPr>
      <w:r>
        <w:rPr>
          <w:noProof/>
        </w:rPr>
        <w:t>Réforme 1: Plan d’action national pour une mobilité propre et objectifs de déploiement pour une mobilité à émissions nulles</w:t>
      </w:r>
    </w:p>
    <w:p w14:paraId="6CC05757" w14:textId="5E084D1A" w:rsidR="00025543" w:rsidRDefault="007E3A2F">
      <w:pPr>
        <w:pBdr>
          <w:top w:val="nil"/>
          <w:left w:val="nil"/>
          <w:bottom w:val="nil"/>
          <w:right w:val="nil"/>
          <w:between w:val="nil"/>
        </w:pBdr>
        <w:tabs>
          <w:tab w:val="left" w:pos="993"/>
        </w:tabs>
        <w:spacing w:line="240" w:lineRule="auto"/>
        <w:jc w:val="both"/>
        <w:rPr>
          <w:noProof/>
        </w:rPr>
      </w:pPr>
      <w:r>
        <w:rPr>
          <w:noProof/>
        </w:rPr>
        <w:t>L’objectif de la réforme est d’établir une trajectoire de transition vers des transports propres et un déploiement rapide d’une mobilité à émissions nulles. La réforme vise à s’appuyer sur les cadres de mobilité urbaine durable des villes tchèques, en présentant une trajectoire permettant à la Tchéquie d’accélérer le déploiement d’une mobilité à émissions nulles et le déploiement des infrastructures de ravitaillement et de recharge pertinentes.</w:t>
      </w:r>
    </w:p>
    <w:p w14:paraId="29E39573" w14:textId="024E5542" w:rsidR="00025543" w:rsidRDefault="007E3A2F">
      <w:pPr>
        <w:pBdr>
          <w:top w:val="nil"/>
          <w:left w:val="nil"/>
          <w:bottom w:val="nil"/>
          <w:right w:val="nil"/>
          <w:between w:val="nil"/>
        </w:pBdr>
        <w:tabs>
          <w:tab w:val="left" w:pos="993"/>
        </w:tabs>
        <w:spacing w:line="240" w:lineRule="auto"/>
        <w:jc w:val="both"/>
        <w:rPr>
          <w:noProof/>
        </w:rPr>
      </w:pPr>
      <w:r>
        <w:rPr>
          <w:noProof/>
        </w:rPr>
        <w:t>Compte tenu de la transition en cours vers un secteur des transports rapidement décarboné, la réforme se traduira par une augmentation en pourcentage des véhicules à émission nulle immatriculés pour chaque catégorie de véhicules pour 2025 et 2030, par rapport au niveau de référence de 2022. Le plan d’action national révisé fixe également des objectifs nationaux spécifiques pour différentes catégories de véhicules à émissions nulles à atteindre d’ici 2025 et 2030 respectivement. Le plan d’action national révisé fixe également des objectifs de déploiement clairs pour les infrastructures de recharge et les stations de ravitaillement en hydrogène, alignés sur le règlement sur le déploiement d’une infrastructure pour carburants alternatifs.</w:t>
      </w:r>
    </w:p>
    <w:p w14:paraId="009EA856" w14:textId="19873B0F" w:rsidR="00025543" w:rsidRDefault="007E3A2F">
      <w:pPr>
        <w:pBdr>
          <w:top w:val="nil"/>
          <w:left w:val="nil"/>
          <w:bottom w:val="nil"/>
          <w:right w:val="nil"/>
          <w:between w:val="nil"/>
        </w:pBdr>
        <w:tabs>
          <w:tab w:val="left" w:pos="993"/>
        </w:tabs>
        <w:spacing w:line="240" w:lineRule="auto"/>
        <w:jc w:val="both"/>
        <w:rPr>
          <w:noProof/>
        </w:rPr>
      </w:pPr>
      <w:r>
        <w:rPr>
          <w:noProof/>
        </w:rPr>
        <w:t xml:space="preserve">Aux fins de la réforme, la Tchéquie atteint l’objectif de déploiement d’une augmentation d’au moins 70 % du nombre de véhicules à émission nulle immatriculés dans les catégories de véhicules concernées par rapport au niveau de référence de 2022. La réforme débouchera également sur le lancement d’appels publics pour une valeur globale minimale de 120 millions d’euros entre février 2022 et juin 2026 afin de soutenir le déploiement d’infrastructures pour carburants alternatifs à émissions nulles, à savoir les stations de recharge et les stations de ravitaillement en hydrogène. </w:t>
      </w:r>
    </w:p>
    <w:p w14:paraId="1AE92589" w14:textId="77777777" w:rsidR="00025543" w:rsidRDefault="007E3A2F">
      <w:pPr>
        <w:pBdr>
          <w:top w:val="nil"/>
          <w:left w:val="nil"/>
          <w:bottom w:val="nil"/>
          <w:right w:val="nil"/>
          <w:between w:val="nil"/>
        </w:pBdr>
        <w:tabs>
          <w:tab w:val="left" w:pos="993"/>
        </w:tabs>
        <w:spacing w:line="240" w:lineRule="auto"/>
        <w:jc w:val="both"/>
        <w:rPr>
          <w:noProof/>
        </w:rPr>
      </w:pPr>
      <w:r>
        <w:rPr>
          <w:noProof/>
        </w:rPr>
        <w:t>La réforme comprend une liste de mesures visant à fournir des incitations financières et fiscales pour accroître le déploiement de véhicules et d’infrastructures à émissions nulles, ainsi qu’une liste de mesures visant à créer un environnement propice au déploiement et à l’exploitation de points de recharge, de stations de recharge à haute capacité et de stations de ravitaillement en hydrogène.</w:t>
      </w:r>
    </w:p>
    <w:p w14:paraId="433A4433" w14:textId="77777777" w:rsidR="00025543" w:rsidRDefault="007E3A2F">
      <w:pPr>
        <w:pBdr>
          <w:top w:val="nil"/>
          <w:left w:val="nil"/>
          <w:bottom w:val="nil"/>
          <w:right w:val="nil"/>
          <w:between w:val="nil"/>
        </w:pBdr>
        <w:tabs>
          <w:tab w:val="left" w:pos="993"/>
        </w:tabs>
        <w:spacing w:line="240" w:lineRule="auto"/>
        <w:jc w:val="both"/>
        <w:rPr>
          <w:noProof/>
        </w:rPr>
      </w:pPr>
      <w:r>
        <w:rPr>
          <w:noProof/>
        </w:rPr>
        <w:t>Le plan d’action vise à se fonder sur une discussion ouverte avec les acteurs locaux concernés. Les organisations sectorielles et non gouvernementales sont consultées sur le projet de plan d’action avant sa finalisation.</w:t>
      </w:r>
    </w:p>
    <w:p w14:paraId="244A654D" w14:textId="23F9DA59" w:rsidR="00025543" w:rsidRDefault="007E3A2F">
      <w:pPr>
        <w:pStyle w:val="P68B1DB1-Normal4"/>
        <w:pBdr>
          <w:top w:val="nil"/>
          <w:left w:val="nil"/>
          <w:bottom w:val="nil"/>
          <w:right w:val="nil"/>
          <w:between w:val="nil"/>
        </w:pBdr>
        <w:tabs>
          <w:tab w:val="left" w:pos="993"/>
        </w:tabs>
        <w:spacing w:line="240" w:lineRule="auto"/>
        <w:jc w:val="both"/>
        <w:rPr>
          <w:noProof/>
          <w:color w:val="000000" w:themeColor="text1"/>
        </w:rPr>
      </w:pPr>
      <w:r>
        <w:rPr>
          <w:noProof/>
        </w:rPr>
        <w:t>La réforme doit être achevée au plus tard le 30 juin 2026.</w:t>
      </w:r>
    </w:p>
    <w:p w14:paraId="04B5247F" w14:textId="1BB1B75C" w:rsidR="00025543" w:rsidRDefault="007E3A2F">
      <w:pPr>
        <w:pStyle w:val="P68B1DB1-Normal18"/>
        <w:pBdr>
          <w:top w:val="nil"/>
          <w:left w:val="nil"/>
          <w:bottom w:val="nil"/>
          <w:right w:val="nil"/>
          <w:between w:val="nil"/>
        </w:pBdr>
        <w:tabs>
          <w:tab w:val="left" w:pos="993"/>
        </w:tabs>
        <w:spacing w:line="240" w:lineRule="auto"/>
        <w:jc w:val="both"/>
        <w:rPr>
          <w:noProof/>
        </w:rPr>
      </w:pPr>
      <w:r>
        <w:rPr>
          <w:noProof/>
        </w:rPr>
        <w:t xml:space="preserve">Réforme 2: Mesures fiscales en faveur de la mobilité à émissions nulles </w:t>
      </w:r>
    </w:p>
    <w:p w14:paraId="50D7E400" w14:textId="63AD9C37" w:rsidR="00025543" w:rsidRDefault="007E3A2F">
      <w:pPr>
        <w:pBdr>
          <w:top w:val="nil"/>
          <w:left w:val="nil"/>
          <w:bottom w:val="nil"/>
          <w:right w:val="nil"/>
          <w:between w:val="nil"/>
        </w:pBdr>
        <w:tabs>
          <w:tab w:val="left" w:pos="993"/>
        </w:tabs>
        <w:spacing w:line="240" w:lineRule="auto"/>
        <w:jc w:val="both"/>
        <w:rPr>
          <w:noProof/>
        </w:rPr>
      </w:pPr>
      <w:r>
        <w:rPr>
          <w:noProof/>
        </w:rPr>
        <w:t>L’objectif de la réforme est d’adapter le cadre fiscal de la Tchéquie afin de créer un environnement propice à l’adoption de véhicules routiers à émissions nulles par les entreprises privées. La réforme complète l’investissement 4 du volet 2.4 et soutient la nécessité d’encourager davantage le déploiement de véhicules à émissions nulles, conformément à la réforme 1. La mesure révise la loi relative à l’impôt sur le revenu afin de modifier l’avantage en nature accordé aux véhicules de société en prévoyant un niveau de taxation plus élevé tant pour les véhicules à carburant conventionnel que pour les véhicules à faibles émissions (inférieur à 50gCO2/km), tout en fixant un niveau de taxation moins élevé pour les véhicules à émissions nulles, ce qui confère un avantage aux véhicules à émissions nulles. La réforme vise à procurer un avantage substantiel tant aux employeurs qu’aux salariés qui choisissent des véhicules à émissions nulles.</w:t>
      </w:r>
    </w:p>
    <w:p w14:paraId="71167411" w14:textId="14160AD2" w:rsidR="00025543" w:rsidRDefault="007E3A2F">
      <w:pPr>
        <w:pStyle w:val="P68B1DB1-Normal4"/>
        <w:pBdr>
          <w:top w:val="nil"/>
          <w:left w:val="nil"/>
          <w:bottom w:val="nil"/>
          <w:right w:val="nil"/>
          <w:between w:val="nil"/>
        </w:pBdr>
        <w:tabs>
          <w:tab w:val="left" w:pos="993"/>
        </w:tabs>
        <w:spacing w:line="240" w:lineRule="auto"/>
        <w:jc w:val="both"/>
        <w:rPr>
          <w:noProof/>
          <w:color w:val="000000" w:themeColor="text1"/>
        </w:rPr>
      </w:pPr>
      <w:r>
        <w:rPr>
          <w:noProof/>
        </w:rPr>
        <w:t xml:space="preserve">La réforme prévoit également un avantage fiscal sous la forme d’un amortissement accéléré pour tous les véhicules à émissions nulles (catégories M1, N1, N2, N3) pour les entreprises privées. Les mesures modifient la loi relative à l’impôt sur le revenu afin de garantir que la possibilité d’un amortissement accéléré ne soit prévue que pour les véhicules à émission nulle jusqu’en 2027 au moins. La réforme vise à motiver les entreprises à acquérir de nouveaux véhicules à émissions nulles, accélérant ainsi l’écologisation des flottes d’entreprises. </w:t>
      </w:r>
    </w:p>
    <w:p w14:paraId="5A4014C7" w14:textId="4A90728F" w:rsidR="00025543" w:rsidRDefault="007E3A2F">
      <w:pPr>
        <w:pStyle w:val="P68B1DB1-Normal4"/>
        <w:pBdr>
          <w:top w:val="nil"/>
          <w:left w:val="nil"/>
          <w:bottom w:val="nil"/>
          <w:right w:val="nil"/>
          <w:between w:val="nil"/>
        </w:pBdr>
        <w:tabs>
          <w:tab w:val="left" w:pos="993"/>
        </w:tabs>
        <w:spacing w:line="240" w:lineRule="auto"/>
        <w:jc w:val="both"/>
        <w:rPr>
          <w:noProof/>
          <w:color w:val="000000" w:themeColor="text1"/>
        </w:rPr>
      </w:pPr>
      <w:r>
        <w:rPr>
          <w:noProof/>
        </w:rPr>
        <w:t>La réforme doit être achevée au plus tard le 31 décembre 2024.</w:t>
      </w:r>
    </w:p>
    <w:p w14:paraId="45B5923D" w14:textId="0A40D4E6" w:rsidR="00025543" w:rsidRDefault="007E3A2F">
      <w:pPr>
        <w:pStyle w:val="P68B1DB1-Normal7"/>
        <w:pBdr>
          <w:top w:val="nil"/>
          <w:left w:val="nil"/>
          <w:bottom w:val="nil"/>
          <w:right w:val="nil"/>
          <w:between w:val="nil"/>
        </w:pBdr>
        <w:tabs>
          <w:tab w:val="left" w:pos="993"/>
        </w:tabs>
        <w:spacing w:line="240" w:lineRule="auto"/>
        <w:jc w:val="both"/>
        <w:rPr>
          <w:rFonts w:eastAsia="Times New Roman"/>
          <w:noProof/>
          <w:color w:val="000000" w:themeColor="text1"/>
        </w:rPr>
      </w:pPr>
      <w:r>
        <w:rPr>
          <w:noProof/>
        </w:rPr>
        <w:t>Réforme 3: Amélioration du cadre réglementaire pour l’hydrogène renouvelable</w:t>
      </w:r>
    </w:p>
    <w:p w14:paraId="61B8151C" w14:textId="0441D988" w:rsidR="00025543" w:rsidRDefault="007E3A2F">
      <w:pPr>
        <w:pStyle w:val="P68B1DB1-Normal4"/>
        <w:pBdr>
          <w:top w:val="nil"/>
          <w:left w:val="nil"/>
          <w:bottom w:val="nil"/>
          <w:right w:val="nil"/>
          <w:between w:val="nil"/>
        </w:pBdr>
        <w:tabs>
          <w:tab w:val="left" w:pos="993"/>
        </w:tabs>
        <w:spacing w:line="240" w:lineRule="auto"/>
        <w:jc w:val="both"/>
        <w:rPr>
          <w:noProof/>
          <w:color w:val="000000" w:themeColor="text1"/>
        </w:rPr>
      </w:pPr>
      <w:r>
        <w:rPr>
          <w:noProof/>
        </w:rPr>
        <w:t xml:space="preserve">La réforme prévoit la mise à jour de la stratégie tchèque pour l’hydrogène afin de mieux répondre aux défis actuels, aux conditions et au niveau de progrès économique et technologique dans le secteur de l’hydrogène et de l’aligner sur les exigences de l’UE en la matière. </w:t>
      </w:r>
    </w:p>
    <w:p w14:paraId="6E0EC30A" w14:textId="77777777" w:rsidR="00025543" w:rsidRDefault="007E3A2F">
      <w:pPr>
        <w:pStyle w:val="P68B1DB1-Normal4"/>
        <w:pBdr>
          <w:top w:val="nil"/>
          <w:left w:val="nil"/>
          <w:bottom w:val="nil"/>
          <w:right w:val="nil"/>
          <w:between w:val="nil"/>
        </w:pBdr>
        <w:tabs>
          <w:tab w:val="left" w:pos="993"/>
        </w:tabs>
        <w:spacing w:line="240" w:lineRule="auto"/>
        <w:jc w:val="both"/>
        <w:rPr>
          <w:noProof/>
          <w:color w:val="000000" w:themeColor="text1"/>
        </w:rPr>
      </w:pPr>
      <w:r>
        <w:rPr>
          <w:noProof/>
        </w:rPr>
        <w:t xml:space="preserve">La réforme définit des objectifs spécifiques pour la production et l’utilisation de l’hydrogène, en mettant principalement l’accent sur l’hydrogène renouvelable. L’objectif de la réforme est d’étudier des scénarios d’équilibre de production, des besoins de consommation et des projections dans différents segments de l’écosystème de l’hydrogène, et de déterminer le bilan des importations et des exportations d’hydrogène par l’intermédiaire du réseau de transport d’hydrogène de l’UE, tout en recensant les éventuels goulets d’étranglement dans les infrastructures. </w:t>
      </w:r>
    </w:p>
    <w:p w14:paraId="475D37BD" w14:textId="078A304C" w:rsidR="00025543" w:rsidRDefault="007E3A2F">
      <w:pPr>
        <w:pStyle w:val="P68B1DB1-Normal4"/>
        <w:pBdr>
          <w:top w:val="nil"/>
          <w:left w:val="nil"/>
          <w:bottom w:val="nil"/>
          <w:right w:val="nil"/>
          <w:between w:val="nil"/>
        </w:pBdr>
        <w:tabs>
          <w:tab w:val="left" w:pos="993"/>
        </w:tabs>
        <w:spacing w:line="240" w:lineRule="auto"/>
        <w:jc w:val="both"/>
        <w:rPr>
          <w:noProof/>
          <w:color w:val="000000" w:themeColor="text1"/>
        </w:rPr>
      </w:pPr>
      <w:r>
        <w:rPr>
          <w:noProof/>
        </w:rPr>
        <w:t xml:space="preserve">La mise à jour de la stratégie tchèque pour l’hydrogène comprend un plan d’action qui définit les priorités de financement public pour différents segments de l’écosystème de l’hydrogène et fixe des calendriers pour le lancement des appels de financement correspondants. </w:t>
      </w:r>
    </w:p>
    <w:p w14:paraId="7A622394" w14:textId="4915D711" w:rsidR="00025543" w:rsidRDefault="007E3A2F">
      <w:pPr>
        <w:pStyle w:val="P68B1DB1-Normal4"/>
        <w:pBdr>
          <w:top w:val="nil"/>
          <w:left w:val="nil"/>
          <w:bottom w:val="nil"/>
          <w:right w:val="nil"/>
          <w:between w:val="nil"/>
        </w:pBdr>
        <w:tabs>
          <w:tab w:val="left" w:pos="993"/>
        </w:tabs>
        <w:spacing w:line="240" w:lineRule="auto"/>
        <w:jc w:val="both"/>
        <w:rPr>
          <w:noProof/>
          <w:color w:val="000000" w:themeColor="text1"/>
        </w:rPr>
      </w:pPr>
      <w:r>
        <w:rPr>
          <w:noProof/>
        </w:rPr>
        <w:t>La réforme doit être achevée au plus tard le 31 décembre 2025.</w:t>
      </w:r>
    </w:p>
    <w:p w14:paraId="1A69EDE9" w14:textId="72E8BD91" w:rsidR="00025543" w:rsidRDefault="007E3A2F">
      <w:pPr>
        <w:pStyle w:val="P68B1DB1-Normal7"/>
        <w:pBdr>
          <w:top w:val="nil"/>
          <w:left w:val="nil"/>
          <w:bottom w:val="nil"/>
          <w:right w:val="nil"/>
          <w:between w:val="nil"/>
        </w:pBdr>
        <w:tabs>
          <w:tab w:val="left" w:pos="993"/>
        </w:tabs>
        <w:spacing w:line="240" w:lineRule="auto"/>
        <w:jc w:val="both"/>
        <w:rPr>
          <w:rFonts w:eastAsia="Times New Roman"/>
          <w:noProof/>
          <w:color w:val="000000" w:themeColor="text1"/>
        </w:rPr>
      </w:pPr>
      <w:r>
        <w:rPr>
          <w:noProof/>
        </w:rPr>
        <w:t>Réforme 4: Conditions favorisantes pour les infrastructures pour carburants alternatifs à émissions nulles</w:t>
      </w:r>
    </w:p>
    <w:p w14:paraId="6CD8C8F3" w14:textId="6E579906" w:rsidR="00025543" w:rsidRDefault="007E3A2F">
      <w:pPr>
        <w:pStyle w:val="P68B1DB1-Normal4"/>
        <w:pBdr>
          <w:top w:val="nil"/>
          <w:left w:val="nil"/>
          <w:bottom w:val="nil"/>
          <w:right w:val="nil"/>
          <w:between w:val="nil"/>
        </w:pBdr>
        <w:tabs>
          <w:tab w:val="left" w:pos="993"/>
        </w:tabs>
        <w:spacing w:line="240" w:lineRule="auto"/>
        <w:jc w:val="both"/>
        <w:rPr>
          <w:noProof/>
          <w:color w:val="000000" w:themeColor="text1"/>
        </w:rPr>
      </w:pPr>
      <w:r>
        <w:rPr>
          <w:noProof/>
        </w:rPr>
        <w:t>La réforme vise à simplifier et à faciliter la construction, le processus d’autorisation et l’exploitation des infrastructures de recharge électrique et des stations de ravitaillement en hydrogène.</w:t>
      </w:r>
    </w:p>
    <w:p w14:paraId="4D319B8D" w14:textId="7D419499" w:rsidR="00025543" w:rsidRDefault="007E3A2F">
      <w:pPr>
        <w:pStyle w:val="P68B1DB1-Normal4"/>
        <w:pBdr>
          <w:top w:val="nil"/>
          <w:left w:val="nil"/>
          <w:bottom w:val="nil"/>
          <w:right w:val="nil"/>
          <w:between w:val="nil"/>
        </w:pBdr>
        <w:tabs>
          <w:tab w:val="left" w:pos="993"/>
        </w:tabs>
        <w:spacing w:line="240" w:lineRule="auto"/>
        <w:jc w:val="both"/>
        <w:rPr>
          <w:noProof/>
          <w:color w:val="000000" w:themeColor="text1"/>
        </w:rPr>
      </w:pPr>
      <w:r>
        <w:rPr>
          <w:noProof/>
        </w:rPr>
        <w:t>La réforme comprend des modifications de la loi sur la construction. Les modifications simplifient et facilitent les procédures d’autorisation pour la construction et l’exploitation d’infrastructures de recharge électrique. En particulier, la réforme modifiera la loi sur la construction afin d’accorder un traitement préférentiel aux chargeurs d’une puissance maximale de 22 kW en définissant ce type d’infrastructure comme une «construction mineure» et en définissant les chargeurs de plus de 22 kW comme des chargeurs de «construction simple» aux fins des procédures de permis de construire.</w:t>
      </w:r>
    </w:p>
    <w:p w14:paraId="666C6A45" w14:textId="67D49FD9" w:rsidR="00025543" w:rsidRDefault="007E3A2F">
      <w:pPr>
        <w:pStyle w:val="P68B1DB1-Normal4"/>
        <w:pBdr>
          <w:top w:val="nil"/>
          <w:left w:val="nil"/>
          <w:bottom w:val="nil"/>
          <w:right w:val="nil"/>
          <w:between w:val="nil"/>
        </w:pBdr>
        <w:tabs>
          <w:tab w:val="left" w:pos="993"/>
        </w:tabs>
        <w:spacing w:line="240" w:lineRule="auto"/>
        <w:jc w:val="both"/>
        <w:rPr>
          <w:noProof/>
          <w:color w:val="000000" w:themeColor="text1"/>
        </w:rPr>
      </w:pPr>
      <w:r>
        <w:rPr>
          <w:noProof/>
        </w:rPr>
        <w:t>La réforme entraîne également l’adoption de mesures supplémentaires contraignantes ou non ou de modifications de mesures contraignantes ou non existantes visant à simplifier et à faciliter la construction, l’autorisation et l’exploitation des infrastructures de recharge et de ravitaillement en hydrogène. Ces mesures supplémentaires peuvent être des actes législatifs, des actes de droit dérivé tels que des décrets gouvernementaux, ou des mesures techniques et des méthodologies, et peuvent être fondées sur la liste de mesures élaborée dans le cadre de la réforme 1.</w:t>
      </w:r>
    </w:p>
    <w:p w14:paraId="67DF8A39" w14:textId="0AD06F07" w:rsidR="00025543" w:rsidRDefault="007E3A2F">
      <w:pPr>
        <w:pStyle w:val="P68B1DB1-Normal4"/>
        <w:pBdr>
          <w:top w:val="nil"/>
          <w:left w:val="nil"/>
          <w:bottom w:val="nil"/>
          <w:right w:val="nil"/>
          <w:between w:val="nil"/>
        </w:pBdr>
        <w:tabs>
          <w:tab w:val="left" w:pos="993"/>
        </w:tabs>
        <w:spacing w:line="240" w:lineRule="auto"/>
        <w:jc w:val="both"/>
        <w:rPr>
          <w:noProof/>
          <w:color w:val="000000" w:themeColor="text1"/>
        </w:rPr>
      </w:pPr>
      <w:r>
        <w:rPr>
          <w:noProof/>
        </w:rPr>
        <w:t>La réforme doit être achevée au plus tard le 31 décembre 2025.</w:t>
      </w:r>
    </w:p>
    <w:p w14:paraId="793AF27F" w14:textId="293AC318" w:rsidR="00025543" w:rsidRDefault="007E3A2F">
      <w:pPr>
        <w:pStyle w:val="P68B1DB1-Normal18"/>
        <w:pBdr>
          <w:top w:val="nil"/>
          <w:left w:val="nil"/>
          <w:bottom w:val="nil"/>
          <w:right w:val="nil"/>
          <w:between w:val="nil"/>
        </w:pBdr>
        <w:tabs>
          <w:tab w:val="left" w:pos="993"/>
        </w:tabs>
        <w:spacing w:line="240" w:lineRule="auto"/>
        <w:jc w:val="both"/>
        <w:rPr>
          <w:noProof/>
        </w:rPr>
      </w:pPr>
      <w:r>
        <w:rPr>
          <w:noProof/>
        </w:rPr>
        <w:t>Réforme 5: Encourager la mobilité à émissions nulles par des modifications du coût et de la structure de la vignette routière</w:t>
      </w:r>
    </w:p>
    <w:p w14:paraId="562F1C33" w14:textId="0F15318E" w:rsidR="00025543" w:rsidRDefault="007E3A2F">
      <w:pPr>
        <w:pStyle w:val="P68B1DB1-Normal4"/>
        <w:pBdr>
          <w:top w:val="nil"/>
          <w:left w:val="nil"/>
          <w:bottom w:val="nil"/>
          <w:right w:val="nil"/>
          <w:between w:val="nil"/>
        </w:pBdr>
        <w:tabs>
          <w:tab w:val="left" w:pos="993"/>
        </w:tabs>
        <w:spacing w:line="240" w:lineRule="auto"/>
        <w:jc w:val="both"/>
        <w:rPr>
          <w:noProof/>
          <w:color w:val="000000" w:themeColor="text1"/>
        </w:rPr>
      </w:pPr>
      <w:r>
        <w:rPr>
          <w:noProof/>
        </w:rPr>
        <w:t>La réforme vise à créer une incitation considérable à l’adoption de véhicules routiers à émissions nulles, à savoir les voitures particulières et les véhicules utilitaires légers. L’objectif de cette réforme est de modifier les redevances de vignette routière et la structure des coûts afin d’entraîner une augmentation du prix des redevances routières pour les véhicules classiques, tout en maintenant l’exonération existante pour les véhicules à émissions nulles uniquement. La réforme entraînera une augmentation de la vignette routière annuelle pour les véhicules des catégories M1 et N1 d’au moins 50 % par rapport à la valeur de référence de 2022.</w:t>
      </w:r>
    </w:p>
    <w:p w14:paraId="0E03B63E" w14:textId="248416F3" w:rsidR="00025543" w:rsidRDefault="007E3A2F">
      <w:pPr>
        <w:pStyle w:val="P68B1DB1-Normal4"/>
        <w:pBdr>
          <w:top w:val="nil"/>
          <w:left w:val="nil"/>
          <w:bottom w:val="nil"/>
          <w:right w:val="nil"/>
          <w:between w:val="nil"/>
        </w:pBdr>
        <w:tabs>
          <w:tab w:val="left" w:pos="993"/>
        </w:tabs>
        <w:spacing w:line="240" w:lineRule="auto"/>
        <w:jc w:val="both"/>
        <w:rPr>
          <w:noProof/>
          <w:color w:val="000000" w:themeColor="text1"/>
        </w:rPr>
      </w:pPr>
      <w:r>
        <w:rPr>
          <w:noProof/>
        </w:rPr>
        <w:t>La réforme doit être achevée au plus tard le 31 décembre 2024.</w:t>
      </w:r>
    </w:p>
    <w:p w14:paraId="51AB704F" w14:textId="3326C9BB" w:rsidR="00025543" w:rsidRDefault="007E3A2F">
      <w:pPr>
        <w:spacing w:line="240" w:lineRule="auto"/>
        <w:rPr>
          <w:b/>
          <w:noProof/>
        </w:rPr>
      </w:pPr>
      <w:r>
        <w:rPr>
          <w:b/>
          <w:noProof/>
        </w:rPr>
        <w:t>Investissement 1:</w:t>
      </w:r>
      <w:r>
        <w:rPr>
          <w:noProof/>
        </w:rPr>
        <w:t xml:space="preserve"> Mesure</w:t>
      </w:r>
      <w:r>
        <w:rPr>
          <w:b/>
          <w:noProof/>
        </w:rPr>
        <w:t>à plus grande échelle: Aides à l’achat de véhicules — véhicules à émissions nulles et vélos électriques de fret pour les entreprises privées</w:t>
      </w:r>
    </w:p>
    <w:p w14:paraId="39007A17" w14:textId="573CF168" w:rsidR="00025543" w:rsidRDefault="007E3A2F">
      <w:pPr>
        <w:spacing w:line="240" w:lineRule="auto"/>
        <w:jc w:val="both"/>
        <w:rPr>
          <w:noProof/>
        </w:rPr>
      </w:pPr>
      <w:r>
        <w:rPr>
          <w:noProof/>
        </w:rPr>
        <w:t>L’investissement doit être une augmentation de la mesure existante du volet 2.4 (investissement 4) du même nom. Si l’on considère les deux mesures prises ensemble, l’investissement global du plan tchèque se traduira par 4555 véhicules, dont 4055 voitures et camionnettes à émissions nulles, et 500 vélos électriques.</w:t>
      </w:r>
    </w:p>
    <w:p w14:paraId="053BF4FE" w14:textId="7A711FF2" w:rsidR="00025543" w:rsidRDefault="007E3A2F">
      <w:pPr>
        <w:spacing w:line="240" w:lineRule="auto"/>
        <w:rPr>
          <w:noProof/>
        </w:rPr>
      </w:pPr>
      <w:r>
        <w:rPr>
          <w:noProof/>
        </w:rPr>
        <w:t>L’investissement est achevé au plus tard le 31 décembre 2025.</w:t>
      </w:r>
    </w:p>
    <w:p w14:paraId="6EF4373E" w14:textId="77777777" w:rsidR="00025543" w:rsidRDefault="00025543">
      <w:pPr>
        <w:spacing w:line="240" w:lineRule="auto"/>
        <w:rPr>
          <w:noProof/>
          <w:sz w:val="22"/>
        </w:rPr>
      </w:pPr>
    </w:p>
    <w:p w14:paraId="3078D1B5" w14:textId="77777777" w:rsidR="00025543" w:rsidRDefault="00025543">
      <w:pPr>
        <w:spacing w:line="240" w:lineRule="auto"/>
        <w:rPr>
          <w:noProof/>
          <w:sz w:val="22"/>
        </w:rPr>
      </w:pPr>
    </w:p>
    <w:p w14:paraId="0DF0A2BE" w14:textId="77777777" w:rsidR="00025543" w:rsidRDefault="00025543">
      <w:pPr>
        <w:tabs>
          <w:tab w:val="left" w:pos="993"/>
        </w:tabs>
        <w:spacing w:line="240" w:lineRule="auto"/>
        <w:jc w:val="both"/>
        <w:rPr>
          <w:b/>
          <w:noProof/>
          <w:u w:val="single"/>
        </w:rPr>
        <w:sectPr w:rsidR="00025543" w:rsidSect="003F264F">
          <w:headerReference w:type="even" r:id="rId486"/>
          <w:headerReference w:type="default" r:id="rId487"/>
          <w:footerReference w:type="even" r:id="rId488"/>
          <w:footerReference w:type="default" r:id="rId489"/>
          <w:headerReference w:type="first" r:id="rId490"/>
          <w:footerReference w:type="first" r:id="rId491"/>
          <w:pgSz w:w="11907" w:h="16839"/>
          <w:pgMar w:top="1134" w:right="1134" w:bottom="1134" w:left="1134" w:header="567" w:footer="567" w:gutter="0"/>
          <w:cols w:space="720"/>
          <w:docGrid w:linePitch="360"/>
        </w:sectPr>
      </w:pPr>
    </w:p>
    <w:p w14:paraId="4BBE5121" w14:textId="2BEEA3B2" w:rsidR="00025543" w:rsidRDefault="007E3A2F">
      <w:pPr>
        <w:pStyle w:val="P68B1DB1-Normal5"/>
        <w:tabs>
          <w:tab w:val="left" w:pos="993"/>
        </w:tabs>
        <w:spacing w:line="240" w:lineRule="auto"/>
        <w:jc w:val="both"/>
        <w:rPr>
          <w:noProof/>
        </w:rPr>
      </w:pPr>
      <w:r>
        <w:rPr>
          <w:noProof/>
        </w:rPr>
        <w:t>II.2. Jalons, cibles, indicateurs et calendrier de suivi et de mise en œuvre en vue du soutien financier non remboursable</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50"/>
        <w:gridCol w:w="1610"/>
        <w:gridCol w:w="1104"/>
        <w:gridCol w:w="1531"/>
        <w:gridCol w:w="1451"/>
        <w:gridCol w:w="984"/>
        <w:gridCol w:w="979"/>
        <w:gridCol w:w="979"/>
        <w:gridCol w:w="995"/>
        <w:gridCol w:w="654"/>
        <w:gridCol w:w="4084"/>
      </w:tblGrid>
      <w:tr w:rsidR="00025543" w14:paraId="287EB266" w14:textId="77777777">
        <w:trPr>
          <w:trHeight w:val="672"/>
          <w:tblHeader/>
          <w:jc w:val="center"/>
        </w:trPr>
        <w:tc>
          <w:tcPr>
            <w:tcW w:w="664" w:type="dxa"/>
            <w:vMerge w:val="restart"/>
            <w:shd w:val="clear" w:color="auto" w:fill="B8CCE4" w:themeFill="accent1" w:themeFillTint="66"/>
            <w:vAlign w:val="center"/>
            <w:hideMark/>
          </w:tcPr>
          <w:p w14:paraId="23725E87" w14:textId="77777777" w:rsidR="00025543" w:rsidRDefault="007E3A2F">
            <w:pPr>
              <w:pStyle w:val="P68B1DB1-Normal9"/>
              <w:spacing w:before="0" w:after="0" w:line="240" w:lineRule="auto"/>
              <w:jc w:val="center"/>
              <w:rPr>
                <w:noProof/>
              </w:rPr>
            </w:pPr>
            <w:r>
              <w:rPr>
                <w:noProof/>
              </w:rPr>
              <w:t>Séquence NUM.</w:t>
            </w:r>
          </w:p>
        </w:tc>
        <w:tc>
          <w:tcPr>
            <w:tcW w:w="1657" w:type="dxa"/>
            <w:vMerge w:val="restart"/>
            <w:shd w:val="clear" w:color="auto" w:fill="B8CCE4" w:themeFill="accent1" w:themeFillTint="66"/>
            <w:vAlign w:val="center"/>
            <w:hideMark/>
          </w:tcPr>
          <w:p w14:paraId="75A11B42" w14:textId="77777777" w:rsidR="00025543" w:rsidRDefault="007E3A2F">
            <w:pPr>
              <w:pStyle w:val="P68B1DB1-Normal9"/>
              <w:spacing w:before="0" w:after="0" w:line="240" w:lineRule="auto"/>
              <w:jc w:val="center"/>
              <w:rPr>
                <w:noProof/>
              </w:rPr>
            </w:pPr>
            <w:r>
              <w:rPr>
                <w:noProof/>
              </w:rPr>
              <w:t>Mesure connexe (réforme ou investissement)</w:t>
            </w:r>
          </w:p>
        </w:tc>
        <w:tc>
          <w:tcPr>
            <w:tcW w:w="1134" w:type="dxa"/>
            <w:vMerge w:val="restart"/>
            <w:shd w:val="clear" w:color="auto" w:fill="B8CCE4" w:themeFill="accent1" w:themeFillTint="66"/>
            <w:vAlign w:val="center"/>
            <w:hideMark/>
          </w:tcPr>
          <w:p w14:paraId="409FB859" w14:textId="77777777" w:rsidR="00025543" w:rsidRDefault="007E3A2F">
            <w:pPr>
              <w:pStyle w:val="P68B1DB1-Normal9"/>
              <w:spacing w:before="0" w:after="0" w:line="240" w:lineRule="auto"/>
              <w:jc w:val="center"/>
              <w:rPr>
                <w:noProof/>
              </w:rPr>
            </w:pPr>
            <w:r>
              <w:rPr>
                <w:noProof/>
              </w:rPr>
              <w:t>Jalon/cible</w:t>
            </w:r>
          </w:p>
        </w:tc>
        <w:tc>
          <w:tcPr>
            <w:tcW w:w="1576" w:type="dxa"/>
            <w:vMerge w:val="restart"/>
            <w:shd w:val="clear" w:color="auto" w:fill="B8CCE4" w:themeFill="accent1" w:themeFillTint="66"/>
            <w:vAlign w:val="center"/>
            <w:hideMark/>
          </w:tcPr>
          <w:p w14:paraId="4A701475" w14:textId="77777777" w:rsidR="00025543" w:rsidRDefault="007E3A2F">
            <w:pPr>
              <w:pStyle w:val="P68B1DB1-Normal9"/>
              <w:spacing w:before="0" w:after="0" w:line="240" w:lineRule="auto"/>
              <w:jc w:val="center"/>
              <w:rPr>
                <w:noProof/>
              </w:rPr>
            </w:pPr>
            <w:r>
              <w:rPr>
                <w:noProof/>
              </w:rPr>
              <w:t>Nom</w:t>
            </w:r>
          </w:p>
        </w:tc>
        <w:tc>
          <w:tcPr>
            <w:tcW w:w="1493" w:type="dxa"/>
            <w:vMerge w:val="restart"/>
            <w:shd w:val="clear" w:color="auto" w:fill="B8CCE4" w:themeFill="accent1" w:themeFillTint="66"/>
            <w:vAlign w:val="center"/>
            <w:hideMark/>
          </w:tcPr>
          <w:p w14:paraId="48CDBC72" w14:textId="77777777" w:rsidR="00025543" w:rsidRDefault="007E3A2F">
            <w:pPr>
              <w:pStyle w:val="P68B1DB1-Normal9"/>
              <w:spacing w:before="0" w:after="0" w:line="240" w:lineRule="auto"/>
              <w:jc w:val="center"/>
              <w:rPr>
                <w:noProof/>
              </w:rPr>
            </w:pPr>
            <w:r>
              <w:rPr>
                <w:noProof/>
              </w:rPr>
              <w:t xml:space="preserve">Qualitatifs </w:t>
            </w:r>
            <w:r>
              <w:rPr>
                <w:noProof/>
              </w:rPr>
              <w:br/>
              <w:t>(pour les jalons)</w:t>
            </w:r>
          </w:p>
        </w:tc>
        <w:tc>
          <w:tcPr>
            <w:tcW w:w="3020" w:type="dxa"/>
            <w:gridSpan w:val="3"/>
            <w:shd w:val="clear" w:color="auto" w:fill="B8CCE4" w:themeFill="accent1" w:themeFillTint="66"/>
            <w:vAlign w:val="center"/>
            <w:hideMark/>
          </w:tcPr>
          <w:p w14:paraId="17C3497E" w14:textId="77777777" w:rsidR="00025543" w:rsidRDefault="007E3A2F">
            <w:pPr>
              <w:pStyle w:val="P68B1DB1-Normal9"/>
              <w:spacing w:before="0" w:after="0" w:line="240" w:lineRule="auto"/>
              <w:jc w:val="center"/>
              <w:rPr>
                <w:noProof/>
              </w:rPr>
            </w:pPr>
            <w:r>
              <w:rPr>
                <w:noProof/>
              </w:rPr>
              <w:t xml:space="preserve">Indicateurs quantitatifs </w:t>
            </w:r>
            <w:r>
              <w:rPr>
                <w:noProof/>
              </w:rPr>
              <w:br/>
              <w:t>(pour les objectifs)</w:t>
            </w:r>
          </w:p>
        </w:tc>
        <w:tc>
          <w:tcPr>
            <w:tcW w:w="1337" w:type="dxa"/>
            <w:gridSpan w:val="2"/>
            <w:shd w:val="clear" w:color="auto" w:fill="B8CCE4" w:themeFill="accent1" w:themeFillTint="66"/>
            <w:vAlign w:val="center"/>
            <w:hideMark/>
          </w:tcPr>
          <w:p w14:paraId="39E725B7" w14:textId="77777777" w:rsidR="00025543" w:rsidRDefault="007E3A2F">
            <w:pPr>
              <w:pStyle w:val="P68B1DB1-Normal9"/>
              <w:spacing w:before="0" w:after="0" w:line="240" w:lineRule="auto"/>
              <w:jc w:val="center"/>
              <w:rPr>
                <w:noProof/>
              </w:rPr>
            </w:pPr>
            <w:r>
              <w:rPr>
                <w:noProof/>
              </w:rPr>
              <w:t xml:space="preserve">Calendrier indicatif de réalisation </w:t>
            </w:r>
          </w:p>
        </w:tc>
        <w:tc>
          <w:tcPr>
            <w:tcW w:w="4217" w:type="dxa"/>
            <w:vMerge w:val="restart"/>
            <w:shd w:val="clear" w:color="auto" w:fill="B8CCE4" w:themeFill="accent1" w:themeFillTint="66"/>
            <w:vAlign w:val="center"/>
            <w:hideMark/>
          </w:tcPr>
          <w:p w14:paraId="739EA722" w14:textId="77777777" w:rsidR="00025543" w:rsidRDefault="007E3A2F">
            <w:pPr>
              <w:pStyle w:val="P68B1DB1-Normal9"/>
              <w:spacing w:before="0" w:after="0" w:line="240" w:lineRule="auto"/>
              <w:jc w:val="center"/>
              <w:rPr>
                <w:noProof/>
              </w:rPr>
            </w:pPr>
            <w:r>
              <w:rPr>
                <w:noProof/>
              </w:rPr>
              <w:t>Description de chaque jalon et cible</w:t>
            </w:r>
          </w:p>
        </w:tc>
      </w:tr>
      <w:tr w:rsidR="00025543" w14:paraId="7C2940BB" w14:textId="77777777">
        <w:trPr>
          <w:trHeight w:val="458"/>
          <w:tblHeader/>
          <w:jc w:val="center"/>
        </w:trPr>
        <w:tc>
          <w:tcPr>
            <w:tcW w:w="664" w:type="dxa"/>
            <w:vMerge/>
            <w:vAlign w:val="center"/>
            <w:hideMark/>
          </w:tcPr>
          <w:p w14:paraId="1F8EAE07" w14:textId="77777777" w:rsidR="00025543" w:rsidRDefault="00025543">
            <w:pPr>
              <w:spacing w:before="0" w:after="0" w:line="240" w:lineRule="auto"/>
              <w:rPr>
                <w:rFonts w:eastAsia="Times New Roman"/>
                <w:b/>
                <w:noProof/>
                <w:sz w:val="18"/>
              </w:rPr>
            </w:pPr>
          </w:p>
        </w:tc>
        <w:tc>
          <w:tcPr>
            <w:tcW w:w="1657" w:type="dxa"/>
            <w:vMerge/>
            <w:vAlign w:val="center"/>
            <w:hideMark/>
          </w:tcPr>
          <w:p w14:paraId="3FB6F425" w14:textId="77777777" w:rsidR="00025543" w:rsidRDefault="00025543">
            <w:pPr>
              <w:spacing w:before="0" w:after="0" w:line="240" w:lineRule="auto"/>
              <w:rPr>
                <w:rFonts w:eastAsia="Times New Roman"/>
                <w:b/>
                <w:noProof/>
                <w:sz w:val="18"/>
              </w:rPr>
            </w:pPr>
          </w:p>
        </w:tc>
        <w:tc>
          <w:tcPr>
            <w:tcW w:w="1134" w:type="dxa"/>
            <w:vMerge/>
            <w:vAlign w:val="center"/>
            <w:hideMark/>
          </w:tcPr>
          <w:p w14:paraId="68C112B8" w14:textId="77777777" w:rsidR="00025543" w:rsidRDefault="00025543">
            <w:pPr>
              <w:spacing w:before="0" w:after="0" w:line="240" w:lineRule="auto"/>
              <w:rPr>
                <w:rFonts w:eastAsia="Times New Roman"/>
                <w:b/>
                <w:noProof/>
                <w:sz w:val="18"/>
              </w:rPr>
            </w:pPr>
          </w:p>
        </w:tc>
        <w:tc>
          <w:tcPr>
            <w:tcW w:w="1576" w:type="dxa"/>
            <w:vMerge/>
            <w:vAlign w:val="center"/>
            <w:hideMark/>
          </w:tcPr>
          <w:p w14:paraId="51F81088" w14:textId="77777777" w:rsidR="00025543" w:rsidRDefault="00025543">
            <w:pPr>
              <w:spacing w:before="0" w:after="0" w:line="240" w:lineRule="auto"/>
              <w:rPr>
                <w:rFonts w:eastAsia="Times New Roman"/>
                <w:b/>
                <w:noProof/>
                <w:sz w:val="18"/>
              </w:rPr>
            </w:pPr>
          </w:p>
        </w:tc>
        <w:tc>
          <w:tcPr>
            <w:tcW w:w="1493" w:type="dxa"/>
            <w:vMerge/>
            <w:vAlign w:val="center"/>
            <w:hideMark/>
          </w:tcPr>
          <w:p w14:paraId="349F1CA1" w14:textId="77777777" w:rsidR="00025543" w:rsidRDefault="00025543">
            <w:pPr>
              <w:spacing w:before="0" w:after="0" w:line="240" w:lineRule="auto"/>
              <w:rPr>
                <w:rFonts w:eastAsia="Times New Roman"/>
                <w:b/>
                <w:noProof/>
                <w:sz w:val="18"/>
              </w:rPr>
            </w:pPr>
          </w:p>
        </w:tc>
        <w:tc>
          <w:tcPr>
            <w:tcW w:w="1010" w:type="dxa"/>
            <w:shd w:val="clear" w:color="auto" w:fill="B8CCE4" w:themeFill="accent1" w:themeFillTint="66"/>
            <w:vAlign w:val="center"/>
            <w:hideMark/>
          </w:tcPr>
          <w:p w14:paraId="571A238E" w14:textId="77777777" w:rsidR="00025543" w:rsidRDefault="007E3A2F">
            <w:pPr>
              <w:pStyle w:val="P68B1DB1-Normal9"/>
              <w:spacing w:before="0" w:after="0" w:line="240" w:lineRule="auto"/>
              <w:jc w:val="center"/>
              <w:rPr>
                <w:noProof/>
              </w:rPr>
            </w:pPr>
            <w:r>
              <w:rPr>
                <w:noProof/>
              </w:rPr>
              <w:t>Unité de mesure</w:t>
            </w:r>
          </w:p>
        </w:tc>
        <w:tc>
          <w:tcPr>
            <w:tcW w:w="1005" w:type="dxa"/>
            <w:shd w:val="clear" w:color="auto" w:fill="B8CCE4" w:themeFill="accent1" w:themeFillTint="66"/>
            <w:vAlign w:val="center"/>
            <w:hideMark/>
          </w:tcPr>
          <w:p w14:paraId="20D2DAFA" w14:textId="77777777" w:rsidR="00025543" w:rsidRDefault="007E3A2F">
            <w:pPr>
              <w:pStyle w:val="P68B1DB1-Normal9"/>
              <w:spacing w:before="0" w:after="0" w:line="240" w:lineRule="auto"/>
              <w:jc w:val="center"/>
              <w:rPr>
                <w:noProof/>
              </w:rPr>
            </w:pPr>
            <w:r>
              <w:rPr>
                <w:noProof/>
              </w:rPr>
              <w:t xml:space="preserve">Scénario de référence </w:t>
            </w:r>
          </w:p>
        </w:tc>
        <w:tc>
          <w:tcPr>
            <w:tcW w:w="1005" w:type="dxa"/>
            <w:shd w:val="clear" w:color="auto" w:fill="B8CCE4" w:themeFill="accent1" w:themeFillTint="66"/>
            <w:vAlign w:val="center"/>
            <w:hideMark/>
          </w:tcPr>
          <w:p w14:paraId="54275ADF" w14:textId="77777777" w:rsidR="00025543" w:rsidRDefault="007E3A2F">
            <w:pPr>
              <w:pStyle w:val="P68B1DB1-Normal9"/>
              <w:spacing w:before="0" w:after="0" w:line="240" w:lineRule="auto"/>
              <w:jc w:val="center"/>
              <w:rPr>
                <w:noProof/>
              </w:rPr>
            </w:pPr>
            <w:r>
              <w:rPr>
                <w:noProof/>
              </w:rPr>
              <w:t xml:space="preserve">Objectif </w:t>
            </w:r>
          </w:p>
        </w:tc>
        <w:tc>
          <w:tcPr>
            <w:tcW w:w="1021" w:type="dxa"/>
            <w:shd w:val="clear" w:color="auto" w:fill="B8CCE4" w:themeFill="accent1" w:themeFillTint="66"/>
            <w:vAlign w:val="center"/>
            <w:hideMark/>
          </w:tcPr>
          <w:p w14:paraId="04D603BE" w14:textId="77777777" w:rsidR="00025543" w:rsidRDefault="007E3A2F">
            <w:pPr>
              <w:pStyle w:val="P68B1DB1-Normal9"/>
              <w:spacing w:before="0" w:after="0" w:line="240" w:lineRule="auto"/>
              <w:jc w:val="center"/>
              <w:rPr>
                <w:noProof/>
              </w:rPr>
            </w:pPr>
            <w:r>
              <w:rPr>
                <w:noProof/>
              </w:rPr>
              <w:t>Trimestre</w:t>
            </w:r>
          </w:p>
        </w:tc>
        <w:tc>
          <w:tcPr>
            <w:tcW w:w="668" w:type="dxa"/>
            <w:shd w:val="clear" w:color="auto" w:fill="B8CCE4" w:themeFill="accent1" w:themeFillTint="66"/>
            <w:vAlign w:val="center"/>
            <w:hideMark/>
          </w:tcPr>
          <w:p w14:paraId="215A44A0" w14:textId="77777777" w:rsidR="00025543" w:rsidRDefault="007E3A2F">
            <w:pPr>
              <w:pStyle w:val="P68B1DB1-Normal9"/>
              <w:spacing w:before="0" w:after="0" w:line="240" w:lineRule="auto"/>
              <w:jc w:val="center"/>
              <w:rPr>
                <w:noProof/>
              </w:rPr>
            </w:pPr>
            <w:r>
              <w:rPr>
                <w:noProof/>
              </w:rPr>
              <w:t>Année</w:t>
            </w:r>
          </w:p>
        </w:tc>
        <w:tc>
          <w:tcPr>
            <w:tcW w:w="4217" w:type="dxa"/>
            <w:vMerge/>
            <w:vAlign w:val="center"/>
            <w:hideMark/>
          </w:tcPr>
          <w:p w14:paraId="1F07753C" w14:textId="77777777" w:rsidR="00025543" w:rsidRDefault="00025543">
            <w:pPr>
              <w:spacing w:before="0" w:after="0" w:line="240" w:lineRule="auto"/>
              <w:rPr>
                <w:rFonts w:eastAsia="Times New Roman"/>
                <w:b/>
                <w:noProof/>
                <w:sz w:val="18"/>
              </w:rPr>
            </w:pPr>
          </w:p>
        </w:tc>
      </w:tr>
      <w:tr w:rsidR="00025543" w14:paraId="376CD7DD" w14:textId="77777777">
        <w:trPr>
          <w:trHeight w:val="309"/>
          <w:jc w:val="center"/>
        </w:trPr>
        <w:tc>
          <w:tcPr>
            <w:tcW w:w="664" w:type="dxa"/>
            <w:shd w:val="clear" w:color="auto" w:fill="C6EFCE"/>
            <w:vAlign w:val="center"/>
            <w:hideMark/>
          </w:tcPr>
          <w:p w14:paraId="55A54024" w14:textId="06EE7475" w:rsidR="00025543" w:rsidRDefault="007E3A2F">
            <w:pPr>
              <w:pStyle w:val="P68B1DB1-Normal15"/>
              <w:spacing w:before="0" w:after="0" w:line="240" w:lineRule="auto"/>
              <w:jc w:val="center"/>
              <w:rPr>
                <w:noProof/>
              </w:rPr>
            </w:pPr>
            <w:r>
              <w:rPr>
                <w:noProof/>
              </w:rPr>
              <w:t>329</w:t>
            </w:r>
          </w:p>
        </w:tc>
        <w:tc>
          <w:tcPr>
            <w:tcW w:w="1657" w:type="dxa"/>
            <w:shd w:val="clear" w:color="auto" w:fill="C6EFCE"/>
            <w:vAlign w:val="center"/>
            <w:hideMark/>
          </w:tcPr>
          <w:p w14:paraId="52C152BE" w14:textId="77777777" w:rsidR="00025543" w:rsidRDefault="007E3A2F">
            <w:pPr>
              <w:pStyle w:val="P68B1DB1-Normal15"/>
              <w:spacing w:after="0" w:line="276" w:lineRule="auto"/>
              <w:rPr>
                <w:noProof/>
              </w:rPr>
            </w:pPr>
            <w:r>
              <w:rPr>
                <w:noProof/>
              </w:rPr>
              <w:t xml:space="preserve">Réforme 1: Plan d’action national pour une mobilité propre et objectifs de déploiement pour une mobilité à émissions nulles </w:t>
            </w:r>
          </w:p>
          <w:p w14:paraId="3F9A88CF" w14:textId="5D90257A" w:rsidR="00025543" w:rsidRDefault="007E3A2F">
            <w:pPr>
              <w:pStyle w:val="P68B1DB1-Normal15"/>
              <w:spacing w:before="0" w:after="0" w:line="240" w:lineRule="auto"/>
              <w:rPr>
                <w:noProof/>
              </w:rPr>
            </w:pPr>
            <w:r>
              <w:rPr>
                <w:noProof/>
              </w:rPr>
              <w:t xml:space="preserve"> </w:t>
            </w:r>
          </w:p>
        </w:tc>
        <w:tc>
          <w:tcPr>
            <w:tcW w:w="1134" w:type="dxa"/>
            <w:shd w:val="clear" w:color="auto" w:fill="C6EFCE"/>
            <w:vAlign w:val="center"/>
            <w:hideMark/>
          </w:tcPr>
          <w:p w14:paraId="267F3DF9" w14:textId="14CEF0D3" w:rsidR="00025543" w:rsidRDefault="007E3A2F">
            <w:pPr>
              <w:pStyle w:val="P68B1DB1-Normal15"/>
              <w:spacing w:before="0" w:after="0" w:line="240" w:lineRule="auto"/>
              <w:rPr>
                <w:noProof/>
              </w:rPr>
            </w:pPr>
            <w:r>
              <w:rPr>
                <w:noProof/>
              </w:rPr>
              <w:t>Étapes</w:t>
            </w:r>
          </w:p>
        </w:tc>
        <w:tc>
          <w:tcPr>
            <w:tcW w:w="1576" w:type="dxa"/>
            <w:shd w:val="clear" w:color="auto" w:fill="C6EFCE"/>
            <w:vAlign w:val="center"/>
            <w:hideMark/>
          </w:tcPr>
          <w:p w14:paraId="7A794BF3" w14:textId="3AF9898F" w:rsidR="00025543" w:rsidRDefault="007E3A2F">
            <w:pPr>
              <w:pStyle w:val="P68B1DB1-Normal15"/>
              <w:spacing w:before="0" w:after="0" w:line="240" w:lineRule="auto"/>
              <w:rPr>
                <w:noProof/>
              </w:rPr>
            </w:pPr>
            <w:r>
              <w:rPr>
                <w:noProof/>
              </w:rPr>
              <w:t>Révision du plan d’action national pour une mobilité propre</w:t>
            </w:r>
          </w:p>
        </w:tc>
        <w:tc>
          <w:tcPr>
            <w:tcW w:w="1493" w:type="dxa"/>
            <w:shd w:val="clear" w:color="auto" w:fill="C6EFCE"/>
            <w:vAlign w:val="center"/>
            <w:hideMark/>
          </w:tcPr>
          <w:p w14:paraId="1A63A8F5" w14:textId="121F07D9" w:rsidR="00025543" w:rsidRDefault="007E3A2F">
            <w:pPr>
              <w:pStyle w:val="P68B1DB1-Normal15"/>
              <w:spacing w:before="0" w:after="0" w:line="240" w:lineRule="auto"/>
              <w:rPr>
                <w:noProof/>
              </w:rPr>
            </w:pPr>
            <w:r>
              <w:rPr>
                <w:noProof/>
              </w:rPr>
              <w:t>Adoption par le gouvernement de la révision du plan d’action national pour une mobilité propre</w:t>
            </w:r>
          </w:p>
        </w:tc>
        <w:tc>
          <w:tcPr>
            <w:tcW w:w="1010" w:type="dxa"/>
            <w:shd w:val="clear" w:color="auto" w:fill="C6EFCE"/>
            <w:vAlign w:val="center"/>
          </w:tcPr>
          <w:p w14:paraId="7C558642" w14:textId="4B7CBB97" w:rsidR="00025543" w:rsidRDefault="00025543">
            <w:pPr>
              <w:spacing w:before="0" w:after="0" w:line="240" w:lineRule="auto"/>
              <w:rPr>
                <w:rFonts w:eastAsia="Times New Roman"/>
                <w:noProof/>
                <w:color w:val="004300"/>
                <w:sz w:val="18"/>
              </w:rPr>
            </w:pPr>
          </w:p>
        </w:tc>
        <w:tc>
          <w:tcPr>
            <w:tcW w:w="1005" w:type="dxa"/>
            <w:shd w:val="clear" w:color="auto" w:fill="C6EFCE"/>
            <w:vAlign w:val="center"/>
          </w:tcPr>
          <w:p w14:paraId="780C8836" w14:textId="0B356CB2" w:rsidR="00025543" w:rsidRDefault="00025543">
            <w:pPr>
              <w:spacing w:before="0" w:after="0" w:line="240" w:lineRule="auto"/>
              <w:jc w:val="center"/>
              <w:rPr>
                <w:rFonts w:eastAsia="Times New Roman"/>
                <w:noProof/>
                <w:color w:val="004300"/>
                <w:sz w:val="18"/>
              </w:rPr>
            </w:pPr>
          </w:p>
        </w:tc>
        <w:tc>
          <w:tcPr>
            <w:tcW w:w="1005" w:type="dxa"/>
            <w:shd w:val="clear" w:color="auto" w:fill="C6EFCE"/>
            <w:vAlign w:val="center"/>
          </w:tcPr>
          <w:p w14:paraId="13D271BC" w14:textId="1B979E2A" w:rsidR="00025543" w:rsidRDefault="00025543">
            <w:pPr>
              <w:spacing w:before="0" w:after="0" w:line="240" w:lineRule="auto"/>
              <w:jc w:val="center"/>
              <w:rPr>
                <w:rFonts w:eastAsia="Times New Roman"/>
                <w:noProof/>
                <w:color w:val="004300"/>
                <w:sz w:val="18"/>
              </w:rPr>
            </w:pPr>
          </w:p>
        </w:tc>
        <w:tc>
          <w:tcPr>
            <w:tcW w:w="1021" w:type="dxa"/>
            <w:shd w:val="clear" w:color="auto" w:fill="C6EFCE"/>
            <w:vAlign w:val="center"/>
            <w:hideMark/>
          </w:tcPr>
          <w:p w14:paraId="0B62055A" w14:textId="426DE430" w:rsidR="00025543" w:rsidRDefault="007E3A2F">
            <w:pPr>
              <w:pStyle w:val="P68B1DB1-Normal15"/>
              <w:spacing w:before="0" w:after="0" w:line="240" w:lineRule="auto"/>
              <w:jc w:val="center"/>
              <w:rPr>
                <w:noProof/>
              </w:rPr>
            </w:pPr>
            <w:r>
              <w:rPr>
                <w:noProof/>
              </w:rPr>
              <w:t>TRIMESTRE 2</w:t>
            </w:r>
          </w:p>
        </w:tc>
        <w:tc>
          <w:tcPr>
            <w:tcW w:w="668" w:type="dxa"/>
            <w:shd w:val="clear" w:color="auto" w:fill="C6EFCE"/>
            <w:vAlign w:val="center"/>
            <w:hideMark/>
          </w:tcPr>
          <w:p w14:paraId="4A740F2F" w14:textId="5063FB0D" w:rsidR="00025543" w:rsidRDefault="007E3A2F">
            <w:pPr>
              <w:pStyle w:val="P68B1DB1-Normal15"/>
              <w:spacing w:before="0" w:after="0" w:line="240" w:lineRule="auto"/>
              <w:jc w:val="center"/>
              <w:rPr>
                <w:noProof/>
              </w:rPr>
            </w:pPr>
            <w:r>
              <w:rPr>
                <w:noProof/>
              </w:rPr>
              <w:t>2024</w:t>
            </w:r>
          </w:p>
        </w:tc>
        <w:tc>
          <w:tcPr>
            <w:tcW w:w="4217" w:type="dxa"/>
            <w:shd w:val="clear" w:color="auto" w:fill="C6EFCE"/>
            <w:vAlign w:val="center"/>
            <w:hideMark/>
          </w:tcPr>
          <w:p w14:paraId="5662CBEE" w14:textId="1A68E479" w:rsidR="00025543" w:rsidRDefault="007E3A2F">
            <w:pPr>
              <w:pStyle w:val="P68B1DB1-Normal15"/>
              <w:shd w:val="clear" w:color="auto" w:fill="C6EFCE"/>
              <w:spacing w:after="0" w:line="240" w:lineRule="auto"/>
              <w:jc w:val="both"/>
              <w:textAlignment w:val="baseline"/>
              <w:rPr>
                <w:noProof/>
              </w:rPr>
            </w:pPr>
            <w:r>
              <w:rPr>
                <w:noProof/>
              </w:rPr>
              <w:t>Le gouvernement adopte une révision du plan d’action national pour une mobilité propre, définissant une trajectoire permettant à la Tchéquie d’accélérer le déploiement d’une mobilité à émissions nulles et le déploiement des infrastructures de recharge et de ravitaillement en hydrogène pertinentes.</w:t>
            </w:r>
          </w:p>
          <w:p w14:paraId="27365549" w14:textId="184980F7" w:rsidR="00025543" w:rsidRDefault="007E3A2F">
            <w:pPr>
              <w:pStyle w:val="P68B1DB1-Normal15"/>
              <w:shd w:val="clear" w:color="auto" w:fill="C6EFCE"/>
              <w:spacing w:after="0" w:line="240" w:lineRule="auto"/>
              <w:jc w:val="both"/>
              <w:textAlignment w:val="baseline"/>
              <w:rPr>
                <w:noProof/>
              </w:rPr>
            </w:pPr>
            <w:r>
              <w:rPr>
                <w:noProof/>
              </w:rPr>
              <w:t xml:space="preserve">Le plan d’action est compatible avec les exigences juridiques pertinentes de l’UE (telles que le règlement sur le déploiement d’une infrastructure pour carburants alternatifs, la directive sur les énergies renouvelables, la directive sur les véhicules propres, le règlement sur le réseau transeuropéen de transport) et avec le plan national tchèque en matière d’énergie et de climat et avec le programme national de lutte contre la pollution atmosphérique. </w:t>
            </w:r>
          </w:p>
          <w:p w14:paraId="6A72939B" w14:textId="73C965D1" w:rsidR="00025543" w:rsidRDefault="007E3A2F">
            <w:pPr>
              <w:pStyle w:val="P68B1DB1-Normal15"/>
              <w:shd w:val="clear" w:color="auto" w:fill="C6EFCE"/>
              <w:spacing w:after="0" w:line="240" w:lineRule="auto"/>
              <w:jc w:val="both"/>
              <w:textAlignment w:val="baseline"/>
              <w:rPr>
                <w:noProof/>
              </w:rPr>
            </w:pPr>
            <w:r>
              <w:rPr>
                <w:noProof/>
              </w:rPr>
              <w:t>Le plan d’action définit des objectifs spécifiques pour l’augmentation du nombre de véhicules à émission nulle immatriculés en Tchéquie dans les catégories respectives (voitures particulières M1, N1 — véhicules utilitaires légers; N2 et N3 — véhicules utilitaires lourds, sur la base des normes de la CEE-ONU), à respecter pour le 31 décembre 2025 et le 31 décembre 2030. Les objectifs spécifiques pour les immatriculations de véhicules à émissions nulles pour 2025 tiennent compte de l’exigence de parvenir à une augmentation d’au moins 70 % du nombre de véhicules à émission nulle immatriculés dans les catégories de véhicules concernées par rapport au niveau de référence de 2022.</w:t>
            </w:r>
          </w:p>
          <w:p w14:paraId="48958317" w14:textId="71897B27" w:rsidR="00025543" w:rsidRDefault="007E3A2F">
            <w:pPr>
              <w:pStyle w:val="P68B1DB1-Normal15"/>
              <w:shd w:val="clear" w:color="auto" w:fill="C6EFCE"/>
              <w:spacing w:after="0" w:line="240" w:lineRule="auto"/>
              <w:jc w:val="both"/>
              <w:textAlignment w:val="baseline"/>
              <w:rPr>
                <w:noProof/>
              </w:rPr>
            </w:pPr>
            <w:r>
              <w:rPr>
                <w:noProof/>
              </w:rPr>
              <w:t>Le plan d’action définit des objectifs spécifiques pour les infrastructures de recharge et les stations de ravitaillement en hydrogène, conformément aux exigences légales pertinentes du règlement sur le déploiement d’une infrastructure pour carburants alternatifs.</w:t>
            </w:r>
          </w:p>
          <w:p w14:paraId="2AD2E4C5" w14:textId="77777777" w:rsidR="00025543" w:rsidRDefault="007E3A2F">
            <w:pPr>
              <w:pStyle w:val="P68B1DB1-Normal15"/>
              <w:shd w:val="clear" w:color="auto" w:fill="C6EFCE"/>
              <w:spacing w:after="0" w:line="240" w:lineRule="auto"/>
              <w:jc w:val="both"/>
              <w:textAlignment w:val="baseline"/>
              <w:rPr>
                <w:noProof/>
              </w:rPr>
            </w:pPr>
            <w:r>
              <w:rPr>
                <w:noProof/>
              </w:rPr>
              <w:t xml:space="preserve">Le plan d’action comprend une liste de mesures visant à fournir des incitations financières et fiscales afin d’encourager davantage le déploiement de véhicules et d’infrastructures à émissions nulles. </w:t>
            </w:r>
          </w:p>
          <w:p w14:paraId="779F241E" w14:textId="39B7C278" w:rsidR="00025543" w:rsidRDefault="007E3A2F">
            <w:pPr>
              <w:pStyle w:val="P68B1DB1-Normal15"/>
              <w:shd w:val="clear" w:color="auto" w:fill="C6EFCE"/>
              <w:spacing w:after="0" w:line="240" w:lineRule="auto"/>
              <w:jc w:val="both"/>
              <w:textAlignment w:val="baseline"/>
              <w:rPr>
                <w:noProof/>
              </w:rPr>
            </w:pPr>
            <w:r>
              <w:rPr>
                <w:noProof/>
              </w:rPr>
              <w:t>Le plan d’action présente également une liste de mesures supplémentaires visant à créer un environnement propice au déploiement et à l’exploitation des infrastructures de recharge et des stations de ravitaillement en hydrogène, notamment en facilitant la construction, les autorisations et l’exploitation des infrastructures concernées.</w:t>
            </w:r>
          </w:p>
          <w:p w14:paraId="61774E78" w14:textId="2F3988D6" w:rsidR="00025543" w:rsidRDefault="007E3A2F">
            <w:pPr>
              <w:pStyle w:val="P68B1DB1-Normal15"/>
              <w:spacing w:before="0" w:after="0" w:line="240" w:lineRule="auto"/>
              <w:rPr>
                <w:noProof/>
              </w:rPr>
            </w:pPr>
            <w:r>
              <w:rPr>
                <w:noProof/>
              </w:rPr>
              <w:t>Les parties prenantes concernées, telles que les représentants de l’industrie et les organisations non gouvernementales, sont consultées sur le projet de plan d’action avant sa finalisation.</w:t>
            </w:r>
          </w:p>
        </w:tc>
      </w:tr>
      <w:tr w:rsidR="00025543" w14:paraId="7C117DD2" w14:textId="77777777">
        <w:trPr>
          <w:trHeight w:val="309"/>
          <w:jc w:val="center"/>
        </w:trPr>
        <w:tc>
          <w:tcPr>
            <w:tcW w:w="664" w:type="dxa"/>
            <w:tcBorders>
              <w:top w:val="single" w:sz="4" w:space="0" w:color="auto"/>
              <w:left w:val="single" w:sz="4" w:space="0" w:color="auto"/>
              <w:bottom w:val="single" w:sz="4" w:space="0" w:color="auto"/>
              <w:right w:val="single" w:sz="4" w:space="0" w:color="auto"/>
            </w:tcBorders>
            <w:shd w:val="clear" w:color="auto" w:fill="C6EFCE"/>
            <w:vAlign w:val="center"/>
          </w:tcPr>
          <w:p w14:paraId="594BF25D" w14:textId="143F50A6" w:rsidR="00025543" w:rsidRDefault="007E3A2F">
            <w:pPr>
              <w:pStyle w:val="P68B1DB1-Normal15"/>
              <w:spacing w:before="0" w:after="0" w:line="240" w:lineRule="auto"/>
              <w:jc w:val="center"/>
              <w:rPr>
                <w:noProof/>
              </w:rPr>
            </w:pPr>
            <w:r>
              <w:rPr>
                <w:noProof/>
              </w:rPr>
              <w:t>330</w:t>
            </w:r>
          </w:p>
        </w:tc>
        <w:tc>
          <w:tcPr>
            <w:tcW w:w="1657" w:type="dxa"/>
            <w:tcBorders>
              <w:top w:val="single" w:sz="4" w:space="0" w:color="auto"/>
              <w:left w:val="single" w:sz="4" w:space="0" w:color="auto"/>
              <w:bottom w:val="single" w:sz="4" w:space="0" w:color="auto"/>
              <w:right w:val="single" w:sz="4" w:space="0" w:color="auto"/>
            </w:tcBorders>
            <w:shd w:val="clear" w:color="auto" w:fill="C6EFCE"/>
            <w:vAlign w:val="center"/>
          </w:tcPr>
          <w:p w14:paraId="519DB0A0" w14:textId="4D434FFC" w:rsidR="00025543" w:rsidRDefault="007E3A2F">
            <w:pPr>
              <w:pStyle w:val="P68B1DB1-Normal15"/>
              <w:spacing w:before="0" w:after="0" w:line="240" w:lineRule="auto"/>
              <w:rPr>
                <w:noProof/>
              </w:rPr>
            </w:pPr>
            <w:r>
              <w:rPr>
                <w:noProof/>
              </w:rPr>
              <w:t xml:space="preserve">Réforme 1: Plan d’action national pour une mobilité propre et objectifs de déploiement pour une mobilité à émissions nulles </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298DD7F9" w14:textId="2A605303" w:rsidR="00025543" w:rsidRDefault="007E3A2F">
            <w:pPr>
              <w:pStyle w:val="P68B1DB1-Normal15"/>
              <w:spacing w:before="0" w:after="0" w:line="240" w:lineRule="auto"/>
              <w:rPr>
                <w:noProof/>
              </w:rPr>
            </w:pPr>
            <w:r>
              <w:rPr>
                <w:noProof/>
              </w:rPr>
              <w:t>Cible</w:t>
            </w:r>
          </w:p>
        </w:tc>
        <w:tc>
          <w:tcPr>
            <w:tcW w:w="1576" w:type="dxa"/>
            <w:tcBorders>
              <w:top w:val="single" w:sz="4" w:space="0" w:color="auto"/>
              <w:left w:val="single" w:sz="4" w:space="0" w:color="auto"/>
              <w:bottom w:val="single" w:sz="4" w:space="0" w:color="auto"/>
              <w:right w:val="single" w:sz="4" w:space="0" w:color="auto"/>
            </w:tcBorders>
            <w:shd w:val="clear" w:color="auto" w:fill="C6EFCE"/>
            <w:vAlign w:val="center"/>
          </w:tcPr>
          <w:p w14:paraId="41A329DF" w14:textId="4C5D531C" w:rsidR="00025543" w:rsidRDefault="007E3A2F">
            <w:pPr>
              <w:pStyle w:val="P68B1DB1-Normal15"/>
              <w:spacing w:before="0" w:after="0" w:line="240" w:lineRule="auto"/>
              <w:rPr>
                <w:noProof/>
              </w:rPr>
            </w:pPr>
            <w:r>
              <w:rPr>
                <w:noProof/>
              </w:rPr>
              <w:t>Augmentation du nombre de véhicules à émission nulle immatriculés</w:t>
            </w:r>
          </w:p>
        </w:tc>
        <w:tc>
          <w:tcPr>
            <w:tcW w:w="1493" w:type="dxa"/>
            <w:tcBorders>
              <w:top w:val="single" w:sz="4" w:space="0" w:color="auto"/>
              <w:left w:val="single" w:sz="4" w:space="0" w:color="auto"/>
              <w:bottom w:val="single" w:sz="4" w:space="0" w:color="auto"/>
              <w:right w:val="single" w:sz="4" w:space="0" w:color="auto"/>
            </w:tcBorders>
            <w:shd w:val="clear" w:color="auto" w:fill="C6EFCE"/>
            <w:vAlign w:val="center"/>
          </w:tcPr>
          <w:p w14:paraId="2B8A359E" w14:textId="77777777" w:rsidR="00025543" w:rsidRDefault="00025543">
            <w:pPr>
              <w:spacing w:before="0" w:after="0" w:line="240" w:lineRule="auto"/>
              <w:rPr>
                <w:rFonts w:eastAsia="Times New Roman"/>
                <w:noProof/>
                <w:color w:val="004300"/>
                <w:sz w:val="18"/>
              </w:rPr>
            </w:pPr>
          </w:p>
        </w:tc>
        <w:tc>
          <w:tcPr>
            <w:tcW w:w="1010" w:type="dxa"/>
            <w:tcBorders>
              <w:top w:val="single" w:sz="4" w:space="0" w:color="auto"/>
              <w:left w:val="single" w:sz="4" w:space="0" w:color="auto"/>
              <w:bottom w:val="single" w:sz="4" w:space="0" w:color="auto"/>
              <w:right w:val="single" w:sz="4" w:space="0" w:color="auto"/>
            </w:tcBorders>
            <w:shd w:val="clear" w:color="auto" w:fill="C6EFCE"/>
            <w:vAlign w:val="center"/>
          </w:tcPr>
          <w:p w14:paraId="7037AD8F" w14:textId="334A3BC7" w:rsidR="00025543" w:rsidRDefault="007E3A2F">
            <w:pPr>
              <w:pStyle w:val="P68B1DB1-Normal15"/>
              <w:spacing w:before="0" w:after="0" w:line="240" w:lineRule="auto"/>
              <w:rPr>
                <w:noProof/>
              </w:rPr>
            </w:pPr>
            <w:r>
              <w:rPr>
                <w:noProof/>
              </w:rPr>
              <w:t>Pourcentage</w:t>
            </w:r>
          </w:p>
        </w:tc>
        <w:tc>
          <w:tcPr>
            <w:tcW w:w="1005" w:type="dxa"/>
            <w:tcBorders>
              <w:top w:val="single" w:sz="4" w:space="0" w:color="auto"/>
              <w:left w:val="single" w:sz="4" w:space="0" w:color="auto"/>
              <w:bottom w:val="single" w:sz="4" w:space="0" w:color="auto"/>
              <w:right w:val="single" w:sz="4" w:space="0" w:color="auto"/>
            </w:tcBorders>
            <w:shd w:val="clear" w:color="auto" w:fill="C6EFCE"/>
            <w:vAlign w:val="center"/>
          </w:tcPr>
          <w:p w14:paraId="230A4BE0" w14:textId="41E41CA1" w:rsidR="00025543" w:rsidRDefault="007E3A2F">
            <w:pPr>
              <w:pStyle w:val="P68B1DB1-Normal15"/>
              <w:spacing w:before="0" w:after="0" w:line="240" w:lineRule="auto"/>
              <w:jc w:val="center"/>
              <w:rPr>
                <w:noProof/>
              </w:rPr>
            </w:pPr>
            <w:r>
              <w:rPr>
                <w:noProof/>
              </w:rPr>
              <w:t>0</w:t>
            </w:r>
          </w:p>
        </w:tc>
        <w:tc>
          <w:tcPr>
            <w:tcW w:w="1005" w:type="dxa"/>
            <w:tcBorders>
              <w:top w:val="single" w:sz="4" w:space="0" w:color="auto"/>
              <w:left w:val="single" w:sz="4" w:space="0" w:color="auto"/>
              <w:bottom w:val="single" w:sz="4" w:space="0" w:color="auto"/>
              <w:right w:val="single" w:sz="4" w:space="0" w:color="auto"/>
            </w:tcBorders>
            <w:shd w:val="clear" w:color="auto" w:fill="C6EFCE"/>
            <w:vAlign w:val="center"/>
          </w:tcPr>
          <w:p w14:paraId="5D0D8CD7" w14:textId="672B366F" w:rsidR="00025543" w:rsidRDefault="007E3A2F">
            <w:pPr>
              <w:pStyle w:val="P68B1DB1-Normal15"/>
              <w:spacing w:before="0" w:after="0" w:line="240" w:lineRule="auto"/>
              <w:jc w:val="center"/>
              <w:rPr>
                <w:noProof/>
              </w:rPr>
            </w:pPr>
            <w:r>
              <w:rPr>
                <w:noProof/>
              </w:rPr>
              <w:t>70 %</w:t>
            </w:r>
          </w:p>
        </w:tc>
        <w:tc>
          <w:tcPr>
            <w:tcW w:w="1021" w:type="dxa"/>
            <w:tcBorders>
              <w:top w:val="single" w:sz="4" w:space="0" w:color="auto"/>
              <w:left w:val="single" w:sz="4" w:space="0" w:color="auto"/>
              <w:bottom w:val="single" w:sz="4" w:space="0" w:color="auto"/>
              <w:right w:val="single" w:sz="4" w:space="0" w:color="auto"/>
            </w:tcBorders>
            <w:shd w:val="clear" w:color="auto" w:fill="C6EFCE"/>
            <w:vAlign w:val="center"/>
          </w:tcPr>
          <w:p w14:paraId="6BE10458" w14:textId="7FD43A61" w:rsidR="00025543" w:rsidRDefault="007E3A2F">
            <w:pPr>
              <w:pStyle w:val="P68B1DB1-Normal15"/>
              <w:spacing w:before="0" w:after="0" w:line="240" w:lineRule="auto"/>
              <w:jc w:val="center"/>
              <w:rPr>
                <w:noProof/>
              </w:rPr>
            </w:pPr>
            <w:r>
              <w:rPr>
                <w:noProof/>
              </w:rPr>
              <w:t xml:space="preserve">TRIMESTRE 2 </w:t>
            </w:r>
          </w:p>
        </w:tc>
        <w:tc>
          <w:tcPr>
            <w:tcW w:w="668" w:type="dxa"/>
            <w:tcBorders>
              <w:top w:val="single" w:sz="4" w:space="0" w:color="auto"/>
              <w:left w:val="single" w:sz="4" w:space="0" w:color="auto"/>
              <w:bottom w:val="single" w:sz="4" w:space="0" w:color="auto"/>
              <w:right w:val="single" w:sz="4" w:space="0" w:color="auto"/>
            </w:tcBorders>
            <w:shd w:val="clear" w:color="auto" w:fill="C6EFCE"/>
            <w:vAlign w:val="center"/>
          </w:tcPr>
          <w:p w14:paraId="3270A7EB" w14:textId="0BD09753" w:rsidR="00025543" w:rsidRDefault="007E3A2F">
            <w:pPr>
              <w:pStyle w:val="P68B1DB1-Normal15"/>
              <w:spacing w:before="0" w:after="0" w:line="240" w:lineRule="auto"/>
              <w:jc w:val="center"/>
              <w:rPr>
                <w:noProof/>
              </w:rPr>
            </w:pPr>
            <w:r>
              <w:rPr>
                <w:noProof/>
              </w:rPr>
              <w:t>2026</w:t>
            </w:r>
          </w:p>
        </w:tc>
        <w:tc>
          <w:tcPr>
            <w:tcW w:w="4217" w:type="dxa"/>
            <w:tcBorders>
              <w:top w:val="single" w:sz="4" w:space="0" w:color="auto"/>
              <w:left w:val="single" w:sz="4" w:space="0" w:color="auto"/>
              <w:bottom w:val="single" w:sz="4" w:space="0" w:color="auto"/>
              <w:right w:val="single" w:sz="4" w:space="0" w:color="auto"/>
            </w:tcBorders>
            <w:shd w:val="clear" w:color="auto" w:fill="C6EFCE"/>
            <w:vAlign w:val="center"/>
          </w:tcPr>
          <w:p w14:paraId="5C49F6D6" w14:textId="0701FE77" w:rsidR="00025543" w:rsidRDefault="007E3A2F">
            <w:pPr>
              <w:pStyle w:val="P68B1DB1-Normal15"/>
              <w:shd w:val="clear" w:color="auto" w:fill="C6EFCE"/>
              <w:spacing w:after="0" w:line="240" w:lineRule="auto"/>
              <w:jc w:val="both"/>
              <w:textAlignment w:val="baseline"/>
              <w:rPr>
                <w:noProof/>
              </w:rPr>
            </w:pPr>
            <w:r>
              <w:rPr>
                <w:noProof/>
              </w:rPr>
              <w:t>L’objectif concerne un pourcentage minimal d’augmentation du nombre de véhicules à émission nulle immatriculés dans les catégories de véhicules concernées (M1 — voitures particulières, N1 — véhicules utilitaires légers; N2 et N3 — véhicules utilitaires lourds, sur la base des normes de la CEE-ONU) au plus tard le 31 décembre 2025 en Tchéquie par rapport à la valeur de référence de 2022.</w:t>
            </w:r>
          </w:p>
          <w:p w14:paraId="5AE6F6CE" w14:textId="77777777" w:rsidR="00025543" w:rsidRDefault="00025543">
            <w:pPr>
              <w:shd w:val="clear" w:color="auto" w:fill="C6EFCE"/>
              <w:spacing w:after="0" w:line="240" w:lineRule="auto"/>
              <w:jc w:val="both"/>
              <w:textAlignment w:val="baseline"/>
              <w:rPr>
                <w:rFonts w:eastAsia="Times New Roman"/>
                <w:noProof/>
                <w:color w:val="004300"/>
                <w:sz w:val="18"/>
              </w:rPr>
            </w:pPr>
          </w:p>
          <w:p w14:paraId="26E6B744" w14:textId="3E48448F" w:rsidR="00025543" w:rsidRDefault="007E3A2F">
            <w:pPr>
              <w:pStyle w:val="P68B1DB1-Normal15"/>
              <w:spacing w:before="0" w:after="0" w:line="240" w:lineRule="auto"/>
              <w:jc w:val="both"/>
              <w:rPr>
                <w:noProof/>
              </w:rPr>
            </w:pPr>
            <w:r>
              <w:rPr>
                <w:noProof/>
              </w:rPr>
              <w:t>Les données officielles sont communiquées avant la fin du 31 mars 2026 à l’Observatoire européen des carburants alternatifs à des fins de suivi.</w:t>
            </w:r>
          </w:p>
        </w:tc>
      </w:tr>
      <w:tr w:rsidR="00025543" w14:paraId="4E95BFAB" w14:textId="77777777">
        <w:trPr>
          <w:trHeight w:val="309"/>
          <w:jc w:val="center"/>
        </w:trPr>
        <w:tc>
          <w:tcPr>
            <w:tcW w:w="664" w:type="dxa"/>
            <w:tcBorders>
              <w:top w:val="single" w:sz="4" w:space="0" w:color="auto"/>
              <w:left w:val="single" w:sz="4" w:space="0" w:color="auto"/>
              <w:bottom w:val="single" w:sz="4" w:space="0" w:color="auto"/>
              <w:right w:val="single" w:sz="4" w:space="0" w:color="auto"/>
            </w:tcBorders>
            <w:shd w:val="clear" w:color="auto" w:fill="C6EFCE"/>
            <w:vAlign w:val="center"/>
          </w:tcPr>
          <w:p w14:paraId="675CD24C" w14:textId="36321577" w:rsidR="00025543" w:rsidRDefault="007E3A2F">
            <w:pPr>
              <w:pStyle w:val="P68B1DB1-Normal15"/>
              <w:spacing w:before="0" w:after="0" w:line="240" w:lineRule="auto"/>
              <w:jc w:val="center"/>
              <w:rPr>
                <w:noProof/>
              </w:rPr>
            </w:pPr>
            <w:r>
              <w:rPr>
                <w:noProof/>
              </w:rPr>
              <w:t>331</w:t>
            </w:r>
          </w:p>
        </w:tc>
        <w:tc>
          <w:tcPr>
            <w:tcW w:w="1657" w:type="dxa"/>
            <w:tcBorders>
              <w:top w:val="single" w:sz="4" w:space="0" w:color="auto"/>
              <w:left w:val="single" w:sz="4" w:space="0" w:color="auto"/>
              <w:bottom w:val="single" w:sz="4" w:space="0" w:color="auto"/>
              <w:right w:val="single" w:sz="4" w:space="0" w:color="auto"/>
            </w:tcBorders>
            <w:shd w:val="clear" w:color="auto" w:fill="C6EFCE"/>
            <w:vAlign w:val="center"/>
          </w:tcPr>
          <w:p w14:paraId="6EFCA8DD" w14:textId="61E6D145" w:rsidR="00025543" w:rsidRDefault="007E3A2F">
            <w:pPr>
              <w:pStyle w:val="P68B1DB1-Normal15"/>
              <w:spacing w:before="0" w:after="0" w:line="240" w:lineRule="auto"/>
              <w:rPr>
                <w:noProof/>
              </w:rPr>
            </w:pPr>
            <w:r>
              <w:rPr>
                <w:noProof/>
              </w:rPr>
              <w:t xml:space="preserve">Réforme 1: Plan d’action national pour une mobilité propre et objectifs de déploiement pour une mobilité à émissions nulles </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6DE71EC4" w14:textId="6EF72F36" w:rsidR="00025543" w:rsidRDefault="007E3A2F">
            <w:pPr>
              <w:pStyle w:val="P68B1DB1-Normal15"/>
              <w:spacing w:before="0" w:after="0" w:line="240" w:lineRule="auto"/>
              <w:rPr>
                <w:noProof/>
              </w:rPr>
            </w:pPr>
            <w:r>
              <w:rPr>
                <w:noProof/>
              </w:rPr>
              <w:t xml:space="preserve">Étapes </w:t>
            </w:r>
          </w:p>
        </w:tc>
        <w:tc>
          <w:tcPr>
            <w:tcW w:w="1576" w:type="dxa"/>
            <w:tcBorders>
              <w:top w:val="single" w:sz="4" w:space="0" w:color="auto"/>
              <w:left w:val="single" w:sz="4" w:space="0" w:color="auto"/>
              <w:bottom w:val="single" w:sz="4" w:space="0" w:color="auto"/>
              <w:right w:val="single" w:sz="4" w:space="0" w:color="auto"/>
            </w:tcBorders>
            <w:shd w:val="clear" w:color="auto" w:fill="C6EFCE"/>
            <w:vAlign w:val="center"/>
          </w:tcPr>
          <w:p w14:paraId="56944867" w14:textId="1BDB2115" w:rsidR="00025543" w:rsidRDefault="007E3A2F">
            <w:pPr>
              <w:pStyle w:val="P68B1DB1-Normal15"/>
              <w:spacing w:before="0" w:after="0" w:line="240" w:lineRule="auto"/>
              <w:rPr>
                <w:noProof/>
              </w:rPr>
            </w:pPr>
            <w:r>
              <w:rPr>
                <w:noProof/>
              </w:rPr>
              <w:t xml:space="preserve">Soutien au déploiement accéléré des infrastructures pour carburants alternatifs </w:t>
            </w:r>
          </w:p>
        </w:tc>
        <w:tc>
          <w:tcPr>
            <w:tcW w:w="1493" w:type="dxa"/>
            <w:tcBorders>
              <w:top w:val="single" w:sz="4" w:space="0" w:color="auto"/>
              <w:left w:val="single" w:sz="4" w:space="0" w:color="auto"/>
              <w:bottom w:val="single" w:sz="4" w:space="0" w:color="auto"/>
              <w:right w:val="single" w:sz="4" w:space="0" w:color="auto"/>
            </w:tcBorders>
            <w:shd w:val="clear" w:color="auto" w:fill="C6EFCE"/>
            <w:vAlign w:val="center"/>
          </w:tcPr>
          <w:p w14:paraId="11AA735C" w14:textId="4090DCD9" w:rsidR="00025543" w:rsidRDefault="007E3A2F">
            <w:pPr>
              <w:pStyle w:val="P68B1DB1-Normal15"/>
              <w:spacing w:before="0" w:after="0" w:line="240" w:lineRule="auto"/>
              <w:rPr>
                <w:noProof/>
              </w:rPr>
            </w:pPr>
            <w:r>
              <w:rPr>
                <w:noProof/>
              </w:rPr>
              <w:t xml:space="preserve">Publication d’appels de financement par le ministère des transports pour le déploiement d’infrastructures de recharge électrique et de stations de ravitaillement en hydrogène  </w:t>
            </w:r>
          </w:p>
        </w:tc>
        <w:tc>
          <w:tcPr>
            <w:tcW w:w="1010" w:type="dxa"/>
            <w:tcBorders>
              <w:top w:val="single" w:sz="4" w:space="0" w:color="auto"/>
              <w:left w:val="single" w:sz="4" w:space="0" w:color="auto"/>
              <w:bottom w:val="single" w:sz="4" w:space="0" w:color="auto"/>
              <w:right w:val="single" w:sz="4" w:space="0" w:color="auto"/>
            </w:tcBorders>
            <w:shd w:val="clear" w:color="auto" w:fill="C6EFCE"/>
            <w:vAlign w:val="center"/>
          </w:tcPr>
          <w:p w14:paraId="53183F07" w14:textId="77777777" w:rsidR="00025543" w:rsidRDefault="00025543">
            <w:pPr>
              <w:spacing w:before="0" w:after="0" w:line="240" w:lineRule="auto"/>
              <w:rPr>
                <w:rFonts w:eastAsia="Times New Roman"/>
                <w:noProof/>
                <w:color w:val="004300"/>
                <w:sz w:val="18"/>
              </w:rPr>
            </w:pPr>
          </w:p>
        </w:tc>
        <w:tc>
          <w:tcPr>
            <w:tcW w:w="1005" w:type="dxa"/>
            <w:tcBorders>
              <w:top w:val="single" w:sz="4" w:space="0" w:color="auto"/>
              <w:left w:val="single" w:sz="4" w:space="0" w:color="auto"/>
              <w:bottom w:val="single" w:sz="4" w:space="0" w:color="auto"/>
              <w:right w:val="single" w:sz="4" w:space="0" w:color="auto"/>
            </w:tcBorders>
            <w:shd w:val="clear" w:color="auto" w:fill="C6EFCE"/>
            <w:vAlign w:val="center"/>
          </w:tcPr>
          <w:p w14:paraId="6436C8A1" w14:textId="77777777" w:rsidR="00025543" w:rsidRDefault="00025543">
            <w:pPr>
              <w:spacing w:before="0" w:after="0" w:line="240" w:lineRule="auto"/>
              <w:jc w:val="center"/>
              <w:rPr>
                <w:rFonts w:eastAsia="Times New Roman"/>
                <w:noProof/>
                <w:color w:val="004300"/>
                <w:sz w:val="18"/>
              </w:rPr>
            </w:pPr>
          </w:p>
        </w:tc>
        <w:tc>
          <w:tcPr>
            <w:tcW w:w="1005" w:type="dxa"/>
            <w:tcBorders>
              <w:top w:val="single" w:sz="4" w:space="0" w:color="auto"/>
              <w:left w:val="single" w:sz="4" w:space="0" w:color="auto"/>
              <w:bottom w:val="single" w:sz="4" w:space="0" w:color="auto"/>
              <w:right w:val="single" w:sz="4" w:space="0" w:color="auto"/>
            </w:tcBorders>
            <w:shd w:val="clear" w:color="auto" w:fill="C6EFCE"/>
            <w:vAlign w:val="center"/>
          </w:tcPr>
          <w:p w14:paraId="24BBC792" w14:textId="77777777" w:rsidR="00025543" w:rsidRDefault="00025543">
            <w:pPr>
              <w:spacing w:before="0" w:after="0" w:line="240" w:lineRule="auto"/>
              <w:jc w:val="center"/>
              <w:rPr>
                <w:rFonts w:eastAsia="Times New Roman"/>
                <w:noProof/>
                <w:color w:val="004300"/>
                <w:sz w:val="18"/>
              </w:rPr>
            </w:pPr>
          </w:p>
        </w:tc>
        <w:tc>
          <w:tcPr>
            <w:tcW w:w="1021" w:type="dxa"/>
            <w:tcBorders>
              <w:top w:val="single" w:sz="4" w:space="0" w:color="auto"/>
              <w:left w:val="single" w:sz="4" w:space="0" w:color="auto"/>
              <w:bottom w:val="single" w:sz="4" w:space="0" w:color="auto"/>
              <w:right w:val="single" w:sz="4" w:space="0" w:color="auto"/>
            </w:tcBorders>
            <w:shd w:val="clear" w:color="auto" w:fill="C6EFCE"/>
            <w:vAlign w:val="center"/>
          </w:tcPr>
          <w:p w14:paraId="52E3E1E9" w14:textId="10754FD8" w:rsidR="00025543" w:rsidRDefault="007E3A2F">
            <w:pPr>
              <w:pStyle w:val="P68B1DB1-Normal15"/>
              <w:spacing w:before="0" w:after="0" w:line="240" w:lineRule="auto"/>
              <w:jc w:val="center"/>
              <w:rPr>
                <w:noProof/>
              </w:rPr>
            </w:pPr>
            <w:r>
              <w:rPr>
                <w:noProof/>
              </w:rPr>
              <w:t xml:space="preserve">TRIMESTRE 2 </w:t>
            </w:r>
          </w:p>
        </w:tc>
        <w:tc>
          <w:tcPr>
            <w:tcW w:w="668" w:type="dxa"/>
            <w:tcBorders>
              <w:top w:val="single" w:sz="4" w:space="0" w:color="auto"/>
              <w:left w:val="single" w:sz="4" w:space="0" w:color="auto"/>
              <w:bottom w:val="single" w:sz="4" w:space="0" w:color="auto"/>
              <w:right w:val="single" w:sz="4" w:space="0" w:color="auto"/>
            </w:tcBorders>
            <w:shd w:val="clear" w:color="auto" w:fill="C6EFCE"/>
            <w:vAlign w:val="center"/>
          </w:tcPr>
          <w:p w14:paraId="0B5E987D" w14:textId="7F84D13B" w:rsidR="00025543" w:rsidRDefault="007E3A2F">
            <w:pPr>
              <w:pStyle w:val="P68B1DB1-Normal15"/>
              <w:spacing w:before="0" w:after="0" w:line="240" w:lineRule="auto"/>
              <w:jc w:val="center"/>
              <w:rPr>
                <w:noProof/>
              </w:rPr>
            </w:pPr>
            <w:r>
              <w:rPr>
                <w:noProof/>
              </w:rPr>
              <w:t>2026</w:t>
            </w:r>
          </w:p>
        </w:tc>
        <w:tc>
          <w:tcPr>
            <w:tcW w:w="4217" w:type="dxa"/>
            <w:tcBorders>
              <w:top w:val="single" w:sz="4" w:space="0" w:color="auto"/>
              <w:left w:val="single" w:sz="4" w:space="0" w:color="auto"/>
              <w:bottom w:val="single" w:sz="4" w:space="0" w:color="auto"/>
              <w:right w:val="single" w:sz="4" w:space="0" w:color="auto"/>
            </w:tcBorders>
            <w:shd w:val="clear" w:color="auto" w:fill="C6EFCE"/>
            <w:vAlign w:val="center"/>
          </w:tcPr>
          <w:p w14:paraId="255BB461" w14:textId="45B8C33A" w:rsidR="00025543" w:rsidRDefault="007E3A2F">
            <w:pPr>
              <w:pStyle w:val="P68B1DB1-Normal15"/>
              <w:shd w:val="clear" w:color="auto" w:fill="C6EFCE"/>
              <w:spacing w:after="0" w:line="240" w:lineRule="auto"/>
              <w:jc w:val="both"/>
              <w:textAlignment w:val="baseline"/>
              <w:rPr>
                <w:noProof/>
              </w:rPr>
            </w:pPr>
            <w:r>
              <w:rPr>
                <w:noProof/>
              </w:rPr>
              <w:t xml:space="preserve">La Tchéquie lance des appels publics dans le cadre d’un régime de financement pour une valeur globale minimale de 120 millions d’EUR afin de soutenir le déploiement d’infrastructures pour carburants alternatifs, à savoir des infrastructures de recharge électrique et des stations de ravitaillement en hydrogène en Tchéquie, en vue de recharger ou de ravitailler des véhicules utilitaires légers et lourds à émission nulle. </w:t>
            </w:r>
          </w:p>
          <w:p w14:paraId="4A23AF1A" w14:textId="77777777" w:rsidR="00025543" w:rsidRDefault="007E3A2F">
            <w:pPr>
              <w:pStyle w:val="P68B1DB1-Normal15"/>
              <w:shd w:val="clear" w:color="auto" w:fill="C6EFCE"/>
              <w:spacing w:after="0" w:line="240" w:lineRule="auto"/>
              <w:jc w:val="both"/>
              <w:textAlignment w:val="baseline"/>
              <w:rPr>
                <w:noProof/>
              </w:rPr>
            </w:pPr>
            <w:r>
              <w:rPr>
                <w:noProof/>
              </w:rPr>
              <w:t>Aux fins de la réalisation du jalon, la Tchéquie fournit également les informations suivantes concernant le fonctionnement du régime entre février 2022 et mars 2026:</w:t>
            </w:r>
          </w:p>
          <w:p w14:paraId="56014552" w14:textId="77777777" w:rsidR="00025543" w:rsidRDefault="007E3A2F">
            <w:pPr>
              <w:pStyle w:val="P68B1DB1-ListParagraph54"/>
              <w:numPr>
                <w:ilvl w:val="0"/>
                <w:numId w:val="214"/>
              </w:numPr>
              <w:shd w:val="clear" w:color="auto" w:fill="C6EFCE"/>
              <w:spacing w:before="0" w:after="0" w:line="240" w:lineRule="auto"/>
              <w:jc w:val="both"/>
              <w:textAlignment w:val="baseline"/>
              <w:rPr>
                <w:noProof/>
              </w:rPr>
            </w:pPr>
            <w:r>
              <w:rPr>
                <w:noProof/>
              </w:rPr>
              <w:t>le niveau effectif global de financement engagé pour les infrastructures bénéficiant d’un soutien au titre du régime;</w:t>
            </w:r>
          </w:p>
          <w:p w14:paraId="09CD4292" w14:textId="77777777" w:rsidR="00025543" w:rsidRDefault="007E3A2F">
            <w:pPr>
              <w:pStyle w:val="P68B1DB1-ListParagraph54"/>
              <w:numPr>
                <w:ilvl w:val="0"/>
                <w:numId w:val="214"/>
              </w:numPr>
              <w:shd w:val="clear" w:color="auto" w:fill="C6EFCE"/>
              <w:spacing w:before="0" w:after="0" w:line="240" w:lineRule="auto"/>
              <w:jc w:val="both"/>
              <w:textAlignment w:val="baseline"/>
              <w:rPr>
                <w:noProof/>
              </w:rPr>
            </w:pPr>
            <w:r>
              <w:rPr>
                <w:noProof/>
              </w:rPr>
              <w:t>le nombre et le type d’infrastructures bénéficiant d’une aide au titre du régime;</w:t>
            </w:r>
          </w:p>
          <w:p w14:paraId="17EAEAAF" w14:textId="72922790" w:rsidR="00025543" w:rsidRDefault="007E3A2F">
            <w:pPr>
              <w:pStyle w:val="P68B1DB1-ListParagraph21"/>
              <w:numPr>
                <w:ilvl w:val="0"/>
                <w:numId w:val="214"/>
              </w:numPr>
              <w:shd w:val="clear" w:color="auto" w:fill="C6EFCE"/>
              <w:spacing w:before="0" w:after="0" w:line="240" w:lineRule="auto"/>
              <w:jc w:val="both"/>
              <w:textAlignment w:val="baseline"/>
              <w:rPr>
                <w:rFonts w:ascii="Times New Roman" w:eastAsia="Times New Roman" w:hAnsi="Times New Roman"/>
                <w:noProof/>
              </w:rPr>
            </w:pPr>
            <w:r>
              <w:rPr>
                <w:rFonts w:ascii="Times New Roman" w:eastAsia="Times New Roman" w:hAnsi="Times New Roman"/>
                <w:noProof/>
              </w:rPr>
              <w:t>la puissance de sortie des stations de recharge, des points de recharge, ainsi que la capacité et la pression des distributeurs de ravitaillement en hydrogène bénéficiant d’une aide au titre du programme;</w:t>
            </w:r>
            <w:r>
              <w:rPr>
                <w:rFonts w:eastAsia="Times New Roman"/>
                <w:noProof/>
              </w:rPr>
              <w:t xml:space="preserve"> </w:t>
            </w:r>
          </w:p>
          <w:p w14:paraId="470CBC04" w14:textId="48DA2A0E" w:rsidR="00025543" w:rsidRDefault="007E3A2F">
            <w:pPr>
              <w:pStyle w:val="P68B1DB1-ListParagraph54"/>
              <w:numPr>
                <w:ilvl w:val="0"/>
                <w:numId w:val="214"/>
              </w:numPr>
              <w:shd w:val="clear" w:color="auto" w:fill="C6EFCE"/>
              <w:spacing w:before="0" w:after="0" w:line="240" w:lineRule="auto"/>
              <w:jc w:val="both"/>
              <w:textAlignment w:val="baseline"/>
              <w:rPr>
                <w:noProof/>
              </w:rPr>
            </w:pPr>
            <w:r>
              <w:rPr>
                <w:noProof/>
              </w:rPr>
              <w:t>situation géographique de l’infrastructure bénéficiant d’un soutien.</w:t>
            </w:r>
          </w:p>
        </w:tc>
      </w:tr>
      <w:tr w:rsidR="00025543" w14:paraId="2ABD367C" w14:textId="77777777">
        <w:trPr>
          <w:trHeight w:val="309"/>
          <w:jc w:val="center"/>
        </w:trPr>
        <w:tc>
          <w:tcPr>
            <w:tcW w:w="664" w:type="dxa"/>
            <w:tcBorders>
              <w:top w:val="single" w:sz="4" w:space="0" w:color="auto"/>
              <w:left w:val="single" w:sz="4" w:space="0" w:color="auto"/>
              <w:bottom w:val="single" w:sz="4" w:space="0" w:color="auto"/>
              <w:right w:val="single" w:sz="4" w:space="0" w:color="auto"/>
            </w:tcBorders>
            <w:shd w:val="clear" w:color="auto" w:fill="C6EFCE"/>
            <w:vAlign w:val="center"/>
          </w:tcPr>
          <w:p w14:paraId="7DFBF932" w14:textId="790BA06C" w:rsidR="00025543" w:rsidRDefault="007E3A2F">
            <w:pPr>
              <w:pStyle w:val="P68B1DB1-Normal15"/>
              <w:spacing w:before="0" w:after="0" w:line="240" w:lineRule="auto"/>
              <w:jc w:val="center"/>
              <w:rPr>
                <w:noProof/>
              </w:rPr>
            </w:pPr>
            <w:r>
              <w:rPr>
                <w:noProof/>
              </w:rPr>
              <w:t>332</w:t>
            </w:r>
          </w:p>
        </w:tc>
        <w:tc>
          <w:tcPr>
            <w:tcW w:w="1657" w:type="dxa"/>
            <w:tcBorders>
              <w:top w:val="single" w:sz="4" w:space="0" w:color="auto"/>
              <w:left w:val="single" w:sz="4" w:space="0" w:color="auto"/>
              <w:bottom w:val="single" w:sz="4" w:space="0" w:color="auto"/>
              <w:right w:val="single" w:sz="4" w:space="0" w:color="auto"/>
            </w:tcBorders>
            <w:shd w:val="clear" w:color="auto" w:fill="C6EFCE"/>
            <w:vAlign w:val="center"/>
          </w:tcPr>
          <w:p w14:paraId="4693EC06" w14:textId="37E000E6" w:rsidR="00025543" w:rsidRDefault="007E3A2F">
            <w:pPr>
              <w:pStyle w:val="P68B1DB1-Normal15"/>
              <w:spacing w:before="0" w:after="0" w:line="240" w:lineRule="auto"/>
              <w:rPr>
                <w:noProof/>
              </w:rPr>
            </w:pPr>
            <w:r>
              <w:rPr>
                <w:noProof/>
              </w:rPr>
              <w:t>Réforme 2: Mesures fiscales en faveur de la mobilité à émissions nulles</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33D27B92" w14:textId="278F46D5" w:rsidR="00025543" w:rsidRDefault="007E3A2F">
            <w:pPr>
              <w:pStyle w:val="P68B1DB1-Normal15"/>
              <w:spacing w:before="0" w:after="0" w:line="240" w:lineRule="auto"/>
              <w:rPr>
                <w:noProof/>
              </w:rPr>
            </w:pPr>
            <w:r>
              <w:rPr>
                <w:noProof/>
              </w:rPr>
              <w:t xml:space="preserve">Étapes </w:t>
            </w:r>
          </w:p>
        </w:tc>
        <w:tc>
          <w:tcPr>
            <w:tcW w:w="1576" w:type="dxa"/>
            <w:tcBorders>
              <w:top w:val="single" w:sz="4" w:space="0" w:color="auto"/>
              <w:left w:val="single" w:sz="4" w:space="0" w:color="auto"/>
              <w:bottom w:val="single" w:sz="4" w:space="0" w:color="auto"/>
              <w:right w:val="single" w:sz="4" w:space="0" w:color="auto"/>
            </w:tcBorders>
            <w:shd w:val="clear" w:color="auto" w:fill="C6EFCE"/>
            <w:vAlign w:val="center"/>
          </w:tcPr>
          <w:p w14:paraId="2CDB5E44" w14:textId="3E9D1399" w:rsidR="00025543" w:rsidRDefault="007E3A2F">
            <w:pPr>
              <w:pStyle w:val="P68B1DB1-Normal15"/>
              <w:spacing w:before="0" w:after="0" w:line="240" w:lineRule="auto"/>
              <w:rPr>
                <w:noProof/>
              </w:rPr>
            </w:pPr>
            <w:r>
              <w:rPr>
                <w:noProof/>
              </w:rPr>
              <w:t>Exonérations fiscales pour la promotion du déploiement de véhicules à émissions nulles dans les entreprises privées</w:t>
            </w:r>
          </w:p>
        </w:tc>
        <w:tc>
          <w:tcPr>
            <w:tcW w:w="1493" w:type="dxa"/>
            <w:tcBorders>
              <w:top w:val="single" w:sz="4" w:space="0" w:color="auto"/>
              <w:left w:val="single" w:sz="4" w:space="0" w:color="auto"/>
              <w:bottom w:val="single" w:sz="4" w:space="0" w:color="auto"/>
              <w:right w:val="single" w:sz="4" w:space="0" w:color="auto"/>
            </w:tcBorders>
            <w:shd w:val="clear" w:color="auto" w:fill="C6EFCE"/>
            <w:vAlign w:val="center"/>
          </w:tcPr>
          <w:p w14:paraId="76BC2274" w14:textId="2B05B398" w:rsidR="00025543" w:rsidRDefault="007E3A2F">
            <w:pPr>
              <w:pStyle w:val="P68B1DB1-Normal15"/>
              <w:spacing w:before="0" w:after="0" w:line="240" w:lineRule="auto"/>
              <w:rPr>
                <w:noProof/>
              </w:rPr>
            </w:pPr>
            <w:r>
              <w:rPr>
                <w:noProof/>
              </w:rPr>
              <w:t>Entrée en vigueur des modifications de la loi relative à l’impôt sur le revenu</w:t>
            </w:r>
          </w:p>
        </w:tc>
        <w:tc>
          <w:tcPr>
            <w:tcW w:w="1010" w:type="dxa"/>
            <w:tcBorders>
              <w:top w:val="single" w:sz="4" w:space="0" w:color="auto"/>
              <w:left w:val="single" w:sz="4" w:space="0" w:color="auto"/>
              <w:bottom w:val="single" w:sz="4" w:space="0" w:color="auto"/>
              <w:right w:val="single" w:sz="4" w:space="0" w:color="auto"/>
            </w:tcBorders>
            <w:shd w:val="clear" w:color="auto" w:fill="C6EFCE"/>
            <w:vAlign w:val="center"/>
          </w:tcPr>
          <w:p w14:paraId="2A82AE7C" w14:textId="77777777" w:rsidR="00025543" w:rsidRDefault="00025543">
            <w:pPr>
              <w:spacing w:before="0" w:after="0" w:line="240" w:lineRule="auto"/>
              <w:rPr>
                <w:rFonts w:eastAsia="Times New Roman"/>
                <w:noProof/>
                <w:color w:val="004300"/>
                <w:sz w:val="18"/>
              </w:rPr>
            </w:pPr>
          </w:p>
        </w:tc>
        <w:tc>
          <w:tcPr>
            <w:tcW w:w="1005" w:type="dxa"/>
            <w:tcBorders>
              <w:top w:val="single" w:sz="4" w:space="0" w:color="auto"/>
              <w:left w:val="single" w:sz="4" w:space="0" w:color="auto"/>
              <w:bottom w:val="single" w:sz="4" w:space="0" w:color="auto"/>
              <w:right w:val="single" w:sz="4" w:space="0" w:color="auto"/>
            </w:tcBorders>
            <w:shd w:val="clear" w:color="auto" w:fill="C6EFCE"/>
            <w:vAlign w:val="center"/>
          </w:tcPr>
          <w:p w14:paraId="726C85B7" w14:textId="77777777" w:rsidR="00025543" w:rsidRDefault="00025543">
            <w:pPr>
              <w:spacing w:before="0" w:after="0" w:line="240" w:lineRule="auto"/>
              <w:jc w:val="center"/>
              <w:rPr>
                <w:rFonts w:eastAsia="Times New Roman"/>
                <w:noProof/>
                <w:color w:val="004300"/>
                <w:sz w:val="18"/>
              </w:rPr>
            </w:pPr>
          </w:p>
        </w:tc>
        <w:tc>
          <w:tcPr>
            <w:tcW w:w="1005" w:type="dxa"/>
            <w:tcBorders>
              <w:top w:val="single" w:sz="4" w:space="0" w:color="auto"/>
              <w:left w:val="single" w:sz="4" w:space="0" w:color="auto"/>
              <w:bottom w:val="single" w:sz="4" w:space="0" w:color="auto"/>
              <w:right w:val="single" w:sz="4" w:space="0" w:color="auto"/>
            </w:tcBorders>
            <w:shd w:val="clear" w:color="auto" w:fill="C6EFCE"/>
            <w:vAlign w:val="center"/>
          </w:tcPr>
          <w:p w14:paraId="48529FF0" w14:textId="77777777" w:rsidR="00025543" w:rsidRDefault="00025543">
            <w:pPr>
              <w:spacing w:before="0" w:after="0" w:line="240" w:lineRule="auto"/>
              <w:jc w:val="center"/>
              <w:rPr>
                <w:rFonts w:eastAsia="Times New Roman"/>
                <w:noProof/>
                <w:color w:val="004300"/>
                <w:sz w:val="18"/>
              </w:rPr>
            </w:pPr>
          </w:p>
        </w:tc>
        <w:tc>
          <w:tcPr>
            <w:tcW w:w="1021" w:type="dxa"/>
            <w:tcBorders>
              <w:top w:val="single" w:sz="4" w:space="0" w:color="auto"/>
              <w:left w:val="single" w:sz="4" w:space="0" w:color="auto"/>
              <w:bottom w:val="single" w:sz="4" w:space="0" w:color="auto"/>
              <w:right w:val="single" w:sz="4" w:space="0" w:color="auto"/>
            </w:tcBorders>
            <w:shd w:val="clear" w:color="auto" w:fill="C6EFCE"/>
            <w:vAlign w:val="center"/>
          </w:tcPr>
          <w:p w14:paraId="24CE87BE" w14:textId="14C78DFC" w:rsidR="00025543" w:rsidRDefault="007E3A2F">
            <w:pPr>
              <w:pStyle w:val="P68B1DB1-Normal15"/>
              <w:spacing w:before="0" w:after="0" w:line="240" w:lineRule="auto"/>
              <w:jc w:val="center"/>
              <w:rPr>
                <w:noProof/>
              </w:rPr>
            </w:pPr>
            <w:r>
              <w:rPr>
                <w:noProof/>
              </w:rPr>
              <w:t>TRIMESTRE 4</w:t>
            </w:r>
          </w:p>
        </w:tc>
        <w:tc>
          <w:tcPr>
            <w:tcW w:w="668" w:type="dxa"/>
            <w:tcBorders>
              <w:top w:val="single" w:sz="4" w:space="0" w:color="auto"/>
              <w:left w:val="single" w:sz="4" w:space="0" w:color="auto"/>
              <w:bottom w:val="single" w:sz="4" w:space="0" w:color="auto"/>
              <w:right w:val="single" w:sz="4" w:space="0" w:color="auto"/>
            </w:tcBorders>
            <w:shd w:val="clear" w:color="auto" w:fill="C6EFCE"/>
            <w:vAlign w:val="center"/>
          </w:tcPr>
          <w:p w14:paraId="223A376D" w14:textId="469EC620" w:rsidR="00025543" w:rsidRDefault="007E3A2F">
            <w:pPr>
              <w:pStyle w:val="P68B1DB1-Normal15"/>
              <w:spacing w:before="0" w:after="0" w:line="240" w:lineRule="auto"/>
              <w:jc w:val="center"/>
              <w:rPr>
                <w:noProof/>
              </w:rPr>
            </w:pPr>
            <w:r>
              <w:rPr>
                <w:noProof/>
              </w:rPr>
              <w:t>2024</w:t>
            </w:r>
          </w:p>
        </w:tc>
        <w:tc>
          <w:tcPr>
            <w:tcW w:w="4217" w:type="dxa"/>
            <w:tcBorders>
              <w:top w:val="single" w:sz="4" w:space="0" w:color="auto"/>
              <w:left w:val="single" w:sz="4" w:space="0" w:color="auto"/>
              <w:bottom w:val="single" w:sz="4" w:space="0" w:color="auto"/>
              <w:right w:val="single" w:sz="4" w:space="0" w:color="auto"/>
            </w:tcBorders>
            <w:shd w:val="clear" w:color="auto" w:fill="C6EFCE"/>
            <w:vAlign w:val="center"/>
          </w:tcPr>
          <w:p w14:paraId="5423A1B3" w14:textId="43A32514" w:rsidR="00025543" w:rsidRDefault="007E3A2F">
            <w:pPr>
              <w:pStyle w:val="P68B1DB1-Normal15"/>
              <w:shd w:val="clear" w:color="auto" w:fill="C6EFCE"/>
              <w:spacing w:after="0" w:line="240" w:lineRule="auto"/>
              <w:jc w:val="both"/>
              <w:textAlignment w:val="baseline"/>
              <w:rPr>
                <w:noProof/>
              </w:rPr>
            </w:pPr>
            <w:r>
              <w:rPr>
                <w:noProof/>
              </w:rPr>
              <w:t>La loi modifiée relative à l’impôt sur le revenu fixe un amortissement accéléré pour tous les véhicules à émission nulle de toutes les catégories de véhicules (M1 — voitures particulières, N1 — véhicules utilitaires légers; N2 et N3 — véhicules utilitaires lourds, sur la base des normes CEE-ONU) pour les flottes d’entreprises.</w:t>
            </w:r>
          </w:p>
          <w:p w14:paraId="2E6D1B4D" w14:textId="7D4A4E01" w:rsidR="00025543" w:rsidRDefault="007E3A2F">
            <w:pPr>
              <w:pStyle w:val="P68B1DB1-Normal15"/>
              <w:shd w:val="clear" w:color="auto" w:fill="C6EFCE"/>
              <w:spacing w:after="0" w:line="240" w:lineRule="auto"/>
              <w:jc w:val="both"/>
              <w:textAlignment w:val="baseline"/>
              <w:rPr>
                <w:noProof/>
              </w:rPr>
            </w:pPr>
            <w:r>
              <w:rPr>
                <w:noProof/>
              </w:rPr>
              <w:t>La loi relative à l’impôt sur le revenu est également révisée afin de modifier les avantages en nature pour les systèmes de voitures de société fondés sur les performances en matière d’émissions de CO2 des voitures particulières. L’amendement établit une distinction dans le régime d’avantages en nature entre les véhicules à émission nulle et les autres types de véhicules, les véhicules à émissions nulles bénéficiant du traitement le plus avantageux. L’amendement vise à garantir un niveau d’incitation similaire tant pour les salariés que pour les employeurs.</w:t>
            </w:r>
          </w:p>
        </w:tc>
      </w:tr>
      <w:tr w:rsidR="00025543" w14:paraId="23FD25F7" w14:textId="77777777">
        <w:trPr>
          <w:trHeight w:val="309"/>
          <w:jc w:val="center"/>
        </w:trPr>
        <w:tc>
          <w:tcPr>
            <w:tcW w:w="664" w:type="dxa"/>
            <w:tcBorders>
              <w:top w:val="single" w:sz="4" w:space="0" w:color="auto"/>
              <w:left w:val="single" w:sz="4" w:space="0" w:color="auto"/>
              <w:bottom w:val="single" w:sz="4" w:space="0" w:color="auto"/>
              <w:right w:val="single" w:sz="4" w:space="0" w:color="auto"/>
            </w:tcBorders>
            <w:shd w:val="clear" w:color="auto" w:fill="C6EFCE"/>
            <w:vAlign w:val="center"/>
          </w:tcPr>
          <w:p w14:paraId="3E52E56C" w14:textId="7542B8AB" w:rsidR="00025543" w:rsidRDefault="007E3A2F">
            <w:pPr>
              <w:pStyle w:val="P68B1DB1-Normal15"/>
              <w:spacing w:before="0" w:after="0" w:line="240" w:lineRule="auto"/>
              <w:jc w:val="center"/>
              <w:rPr>
                <w:noProof/>
              </w:rPr>
            </w:pPr>
            <w:r>
              <w:rPr>
                <w:noProof/>
              </w:rPr>
              <w:t>333</w:t>
            </w:r>
          </w:p>
        </w:tc>
        <w:tc>
          <w:tcPr>
            <w:tcW w:w="1657" w:type="dxa"/>
            <w:tcBorders>
              <w:top w:val="single" w:sz="4" w:space="0" w:color="auto"/>
              <w:left w:val="single" w:sz="4" w:space="0" w:color="auto"/>
              <w:bottom w:val="single" w:sz="4" w:space="0" w:color="auto"/>
              <w:right w:val="single" w:sz="4" w:space="0" w:color="auto"/>
            </w:tcBorders>
            <w:shd w:val="clear" w:color="auto" w:fill="C6EFCE"/>
            <w:vAlign w:val="center"/>
          </w:tcPr>
          <w:p w14:paraId="0D382D90" w14:textId="41A62968" w:rsidR="00025543" w:rsidRDefault="007E3A2F">
            <w:pPr>
              <w:pStyle w:val="P68B1DB1-Normal15"/>
              <w:spacing w:before="0" w:after="0" w:line="240" w:lineRule="auto"/>
              <w:rPr>
                <w:noProof/>
              </w:rPr>
            </w:pPr>
            <w:r>
              <w:rPr>
                <w:noProof/>
              </w:rPr>
              <w:t>Réforme 3: Amélioration du cadre réglementaire pour l’hydrogène renouvelable</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3F38B22C" w14:textId="1E8F48DC" w:rsidR="00025543" w:rsidRDefault="007E3A2F">
            <w:pPr>
              <w:pStyle w:val="P68B1DB1-Normal15"/>
              <w:spacing w:before="0" w:after="0" w:line="240" w:lineRule="auto"/>
              <w:rPr>
                <w:noProof/>
              </w:rPr>
            </w:pPr>
            <w:r>
              <w:rPr>
                <w:noProof/>
              </w:rPr>
              <w:t>Étapes</w:t>
            </w:r>
          </w:p>
        </w:tc>
        <w:tc>
          <w:tcPr>
            <w:tcW w:w="1576" w:type="dxa"/>
            <w:tcBorders>
              <w:top w:val="single" w:sz="4" w:space="0" w:color="auto"/>
              <w:left w:val="single" w:sz="4" w:space="0" w:color="auto"/>
              <w:bottom w:val="single" w:sz="4" w:space="0" w:color="auto"/>
              <w:right w:val="single" w:sz="4" w:space="0" w:color="auto"/>
            </w:tcBorders>
            <w:shd w:val="clear" w:color="auto" w:fill="C6EFCE"/>
            <w:vAlign w:val="center"/>
          </w:tcPr>
          <w:p w14:paraId="7D18190C" w14:textId="3C1E02DD" w:rsidR="00025543" w:rsidRDefault="007E3A2F">
            <w:pPr>
              <w:pStyle w:val="P68B1DB1-Normal15"/>
              <w:spacing w:before="0" w:after="0" w:line="240" w:lineRule="auto"/>
              <w:rPr>
                <w:noProof/>
              </w:rPr>
            </w:pPr>
            <w:r>
              <w:rPr>
                <w:noProof/>
              </w:rPr>
              <w:t>Révision de la stratégie tchèque pour l’hydrogène</w:t>
            </w:r>
          </w:p>
        </w:tc>
        <w:tc>
          <w:tcPr>
            <w:tcW w:w="1493" w:type="dxa"/>
            <w:tcBorders>
              <w:top w:val="single" w:sz="4" w:space="0" w:color="auto"/>
              <w:left w:val="single" w:sz="4" w:space="0" w:color="auto"/>
              <w:bottom w:val="single" w:sz="4" w:space="0" w:color="auto"/>
              <w:right w:val="single" w:sz="4" w:space="0" w:color="auto"/>
            </w:tcBorders>
            <w:shd w:val="clear" w:color="auto" w:fill="C6EFCE"/>
            <w:vAlign w:val="center"/>
          </w:tcPr>
          <w:p w14:paraId="2085E41D" w14:textId="42496FE1" w:rsidR="00025543" w:rsidRDefault="007E3A2F">
            <w:pPr>
              <w:pStyle w:val="P68B1DB1-Normal15"/>
              <w:spacing w:before="0" w:after="0" w:line="240" w:lineRule="auto"/>
              <w:rPr>
                <w:noProof/>
              </w:rPr>
            </w:pPr>
            <w:r>
              <w:rPr>
                <w:noProof/>
              </w:rPr>
              <w:t>Adoption par le gouvernement</w:t>
            </w:r>
          </w:p>
        </w:tc>
        <w:tc>
          <w:tcPr>
            <w:tcW w:w="1010" w:type="dxa"/>
            <w:tcBorders>
              <w:top w:val="single" w:sz="4" w:space="0" w:color="auto"/>
              <w:left w:val="single" w:sz="4" w:space="0" w:color="auto"/>
              <w:bottom w:val="single" w:sz="4" w:space="0" w:color="auto"/>
              <w:right w:val="single" w:sz="4" w:space="0" w:color="auto"/>
            </w:tcBorders>
            <w:shd w:val="clear" w:color="auto" w:fill="C6EFCE"/>
            <w:vAlign w:val="center"/>
          </w:tcPr>
          <w:p w14:paraId="4B8CDEA9" w14:textId="77777777" w:rsidR="00025543" w:rsidRDefault="00025543">
            <w:pPr>
              <w:spacing w:before="0" w:after="0" w:line="240" w:lineRule="auto"/>
              <w:rPr>
                <w:rFonts w:eastAsia="Times New Roman"/>
                <w:noProof/>
                <w:color w:val="004300"/>
                <w:sz w:val="18"/>
              </w:rPr>
            </w:pPr>
          </w:p>
        </w:tc>
        <w:tc>
          <w:tcPr>
            <w:tcW w:w="1005" w:type="dxa"/>
            <w:tcBorders>
              <w:top w:val="single" w:sz="4" w:space="0" w:color="auto"/>
              <w:left w:val="single" w:sz="4" w:space="0" w:color="auto"/>
              <w:bottom w:val="single" w:sz="4" w:space="0" w:color="auto"/>
              <w:right w:val="single" w:sz="4" w:space="0" w:color="auto"/>
            </w:tcBorders>
            <w:shd w:val="clear" w:color="auto" w:fill="C6EFCE"/>
            <w:vAlign w:val="center"/>
          </w:tcPr>
          <w:p w14:paraId="7646E716" w14:textId="77777777" w:rsidR="00025543" w:rsidRDefault="00025543">
            <w:pPr>
              <w:spacing w:before="0" w:after="0" w:line="240" w:lineRule="auto"/>
              <w:jc w:val="center"/>
              <w:rPr>
                <w:rFonts w:eastAsia="Times New Roman"/>
                <w:noProof/>
                <w:color w:val="004300"/>
                <w:sz w:val="18"/>
              </w:rPr>
            </w:pPr>
          </w:p>
        </w:tc>
        <w:tc>
          <w:tcPr>
            <w:tcW w:w="1005" w:type="dxa"/>
            <w:tcBorders>
              <w:top w:val="single" w:sz="4" w:space="0" w:color="auto"/>
              <w:left w:val="single" w:sz="4" w:space="0" w:color="auto"/>
              <w:bottom w:val="single" w:sz="4" w:space="0" w:color="auto"/>
              <w:right w:val="single" w:sz="4" w:space="0" w:color="auto"/>
            </w:tcBorders>
            <w:shd w:val="clear" w:color="auto" w:fill="C6EFCE"/>
            <w:vAlign w:val="center"/>
          </w:tcPr>
          <w:p w14:paraId="191C3433" w14:textId="77777777" w:rsidR="00025543" w:rsidRDefault="00025543">
            <w:pPr>
              <w:spacing w:before="0" w:after="0" w:line="240" w:lineRule="auto"/>
              <w:jc w:val="center"/>
              <w:rPr>
                <w:rFonts w:eastAsia="Times New Roman"/>
                <w:noProof/>
                <w:color w:val="004300"/>
                <w:sz w:val="18"/>
              </w:rPr>
            </w:pPr>
          </w:p>
        </w:tc>
        <w:tc>
          <w:tcPr>
            <w:tcW w:w="1021" w:type="dxa"/>
            <w:tcBorders>
              <w:top w:val="single" w:sz="4" w:space="0" w:color="auto"/>
              <w:left w:val="single" w:sz="4" w:space="0" w:color="auto"/>
              <w:bottom w:val="single" w:sz="4" w:space="0" w:color="auto"/>
              <w:right w:val="single" w:sz="4" w:space="0" w:color="auto"/>
            </w:tcBorders>
            <w:shd w:val="clear" w:color="auto" w:fill="C6EFCE"/>
            <w:vAlign w:val="center"/>
          </w:tcPr>
          <w:p w14:paraId="6A0B5015" w14:textId="1655EAE0" w:rsidR="00025543" w:rsidRDefault="007E3A2F">
            <w:pPr>
              <w:pStyle w:val="P68B1DB1-Normal15"/>
              <w:spacing w:before="0" w:after="0" w:line="240" w:lineRule="auto"/>
              <w:jc w:val="center"/>
              <w:rPr>
                <w:noProof/>
              </w:rPr>
            </w:pPr>
            <w:r>
              <w:rPr>
                <w:noProof/>
              </w:rPr>
              <w:t>TRIMESTRE 2</w:t>
            </w:r>
          </w:p>
        </w:tc>
        <w:tc>
          <w:tcPr>
            <w:tcW w:w="668" w:type="dxa"/>
            <w:tcBorders>
              <w:top w:val="single" w:sz="4" w:space="0" w:color="auto"/>
              <w:left w:val="single" w:sz="4" w:space="0" w:color="auto"/>
              <w:bottom w:val="single" w:sz="4" w:space="0" w:color="auto"/>
              <w:right w:val="single" w:sz="4" w:space="0" w:color="auto"/>
            </w:tcBorders>
            <w:shd w:val="clear" w:color="auto" w:fill="C6EFCE"/>
            <w:vAlign w:val="center"/>
          </w:tcPr>
          <w:p w14:paraId="4F0C2160" w14:textId="79204892" w:rsidR="00025543" w:rsidRDefault="007E3A2F">
            <w:pPr>
              <w:pStyle w:val="P68B1DB1-Normal15"/>
              <w:spacing w:before="0" w:after="0" w:line="240" w:lineRule="auto"/>
              <w:jc w:val="center"/>
              <w:rPr>
                <w:noProof/>
              </w:rPr>
            </w:pPr>
            <w:r>
              <w:rPr>
                <w:noProof/>
              </w:rPr>
              <w:t>2024</w:t>
            </w:r>
          </w:p>
        </w:tc>
        <w:tc>
          <w:tcPr>
            <w:tcW w:w="4217" w:type="dxa"/>
            <w:tcBorders>
              <w:top w:val="single" w:sz="4" w:space="0" w:color="auto"/>
              <w:left w:val="single" w:sz="4" w:space="0" w:color="auto"/>
              <w:bottom w:val="single" w:sz="4" w:space="0" w:color="auto"/>
              <w:right w:val="single" w:sz="4" w:space="0" w:color="auto"/>
            </w:tcBorders>
            <w:shd w:val="clear" w:color="auto" w:fill="C6EFCE"/>
            <w:vAlign w:val="center"/>
          </w:tcPr>
          <w:p w14:paraId="4B74A399" w14:textId="623DD489" w:rsidR="00025543" w:rsidRDefault="007E3A2F">
            <w:pPr>
              <w:pStyle w:val="P68B1DB1-Normal15"/>
              <w:shd w:val="clear" w:color="auto" w:fill="C6EFCE"/>
              <w:spacing w:after="0" w:line="240" w:lineRule="auto"/>
              <w:jc w:val="both"/>
              <w:textAlignment w:val="baseline"/>
              <w:rPr>
                <w:noProof/>
              </w:rPr>
            </w:pPr>
            <w:r>
              <w:rPr>
                <w:noProof/>
              </w:rPr>
              <w:t>La stratégie tchèque de l’hydrogène est révisée afin de définir les priorités consistant à développer principalement un écosystème à base d’hydrogène renouvelable en Tchéquie. La stratégie révisée est fondée sur une analyse des différents segments de l’économie tchèque de l’hydrogène et tient compte des exigences pertinentes de l’UE. La révision définit des objectifs spécifiques pour la production et l’utilisation de l’hydrogène, l’accent étant mis principalement sur l’hydrogène renouvelable.</w:t>
            </w:r>
          </w:p>
          <w:p w14:paraId="54B50264" w14:textId="62B5003F" w:rsidR="00025543" w:rsidRDefault="007E3A2F">
            <w:pPr>
              <w:pStyle w:val="P68B1DB1-Normal15"/>
              <w:shd w:val="clear" w:color="auto" w:fill="C6EFCE"/>
              <w:spacing w:after="0" w:line="240" w:lineRule="auto"/>
              <w:jc w:val="both"/>
              <w:textAlignment w:val="baseline"/>
              <w:rPr>
                <w:noProof/>
              </w:rPr>
            </w:pPr>
            <w:r>
              <w:rPr>
                <w:noProof/>
              </w:rPr>
              <w:t>La stratégie révisée pour l’hydrogène est accompagnée d’une liste du droit primaire, du droit dérivé, des normes techniques et des méthodologies dont l’adoption ou la modification est nécessaire pour assurer l’alignement sur le cadre juridique de l’UE relatif à l’hydrogène, en particulier la directive sur les énergies renouvelables, ainsi que pour créer des conditions propices au développement de l’écosystème tchèque de l’hydrogène. La liste comprend les délais indicatifs attendus pour l’adoption ou la modification de ces mesures.</w:t>
            </w:r>
          </w:p>
          <w:p w14:paraId="3F29A00D" w14:textId="77777777" w:rsidR="00025543" w:rsidRDefault="007E3A2F">
            <w:pPr>
              <w:pStyle w:val="P68B1DB1-Normal15"/>
              <w:shd w:val="clear" w:color="auto" w:fill="C6EFCE"/>
              <w:spacing w:after="0" w:line="240" w:lineRule="auto"/>
              <w:jc w:val="both"/>
              <w:textAlignment w:val="baseline"/>
              <w:rPr>
                <w:noProof/>
              </w:rPr>
            </w:pPr>
            <w:r>
              <w:rPr>
                <w:noProof/>
              </w:rPr>
              <w:t>La révision comprend également un plan d’action visant à définir des priorités de financement public pour différents segments de l’écosystème de l’hydrogène et à fixer des calendriers pour le lancement des appels de financement pertinents.</w:t>
            </w:r>
          </w:p>
          <w:p w14:paraId="1F69415C" w14:textId="4DE26AC9" w:rsidR="00025543" w:rsidRDefault="007E3A2F">
            <w:pPr>
              <w:pStyle w:val="P68B1DB1-Normal15"/>
              <w:shd w:val="clear" w:color="auto" w:fill="C6EFCE"/>
              <w:spacing w:after="0" w:line="240" w:lineRule="auto"/>
              <w:jc w:val="both"/>
              <w:textAlignment w:val="baseline"/>
              <w:rPr>
                <w:noProof/>
              </w:rPr>
            </w:pPr>
            <w:r>
              <w:rPr>
                <w:noProof/>
              </w:rPr>
              <w:t>La stratégie révisée pour l’hydrogène comprend également une évaluation et une trajectoire permettant aux fournisseurs d’hydrogène et aux gestionnaires de stations de ravitaillement en hydrogène de fournir de l’hydrogène renouvelable dans les stations de ravitaillement en hydrogène en Tchéquie. En particulier, la trajectoire fixe un objectif pour les stations de ravitaillement en hydrogène tchèques de fournir cumulativement des volumes d’hydrogène renouvelable conformément aux sous-objectifs de la directive sur les énergies renouvelables et garantit que les stations de ravitaillement en hydrogène qui ont bénéficié d’un soutien au titre des règles générales d’exemption par catégorie ne fournissent que de l’hydrogène renouvelable à partir de 2035.</w:t>
            </w:r>
          </w:p>
        </w:tc>
      </w:tr>
      <w:tr w:rsidR="00025543" w14:paraId="52D27DFC" w14:textId="77777777">
        <w:trPr>
          <w:trHeight w:val="309"/>
          <w:jc w:val="center"/>
        </w:trPr>
        <w:tc>
          <w:tcPr>
            <w:tcW w:w="664" w:type="dxa"/>
            <w:tcBorders>
              <w:top w:val="single" w:sz="4" w:space="0" w:color="auto"/>
              <w:left w:val="single" w:sz="4" w:space="0" w:color="auto"/>
              <w:bottom w:val="single" w:sz="4" w:space="0" w:color="auto"/>
              <w:right w:val="single" w:sz="4" w:space="0" w:color="auto"/>
            </w:tcBorders>
            <w:shd w:val="clear" w:color="auto" w:fill="C6EFCE"/>
            <w:vAlign w:val="center"/>
          </w:tcPr>
          <w:p w14:paraId="1AE9164C" w14:textId="4DC56CF2" w:rsidR="00025543" w:rsidRDefault="007E3A2F">
            <w:pPr>
              <w:pStyle w:val="P68B1DB1-Normal15"/>
              <w:spacing w:before="0" w:after="0" w:line="240" w:lineRule="auto"/>
              <w:jc w:val="center"/>
              <w:rPr>
                <w:noProof/>
              </w:rPr>
            </w:pPr>
            <w:r>
              <w:rPr>
                <w:noProof/>
              </w:rPr>
              <w:t>334</w:t>
            </w:r>
          </w:p>
        </w:tc>
        <w:tc>
          <w:tcPr>
            <w:tcW w:w="1657" w:type="dxa"/>
            <w:tcBorders>
              <w:top w:val="single" w:sz="4" w:space="0" w:color="auto"/>
              <w:left w:val="single" w:sz="4" w:space="0" w:color="auto"/>
              <w:bottom w:val="single" w:sz="4" w:space="0" w:color="auto"/>
              <w:right w:val="single" w:sz="4" w:space="0" w:color="auto"/>
            </w:tcBorders>
            <w:shd w:val="clear" w:color="auto" w:fill="C6EFCE"/>
            <w:vAlign w:val="center"/>
          </w:tcPr>
          <w:p w14:paraId="7B09317B" w14:textId="7038113F" w:rsidR="00025543" w:rsidRDefault="007E3A2F">
            <w:pPr>
              <w:pStyle w:val="P68B1DB1-Normal15"/>
              <w:spacing w:before="0" w:after="0" w:line="240" w:lineRule="auto"/>
              <w:rPr>
                <w:noProof/>
              </w:rPr>
            </w:pPr>
            <w:r>
              <w:rPr>
                <w:noProof/>
              </w:rPr>
              <w:t>Réforme 3: Amélioration du cadre réglementaire pour l’hydrogène renouvelable</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2ABC2DA7" w14:textId="31FAA2E3" w:rsidR="00025543" w:rsidRDefault="007E3A2F">
            <w:pPr>
              <w:pStyle w:val="P68B1DB1-Normal15"/>
              <w:spacing w:before="0" w:after="0" w:line="240" w:lineRule="auto"/>
              <w:rPr>
                <w:noProof/>
              </w:rPr>
            </w:pPr>
            <w:r>
              <w:rPr>
                <w:noProof/>
              </w:rPr>
              <w:t>Étapes</w:t>
            </w:r>
          </w:p>
        </w:tc>
        <w:tc>
          <w:tcPr>
            <w:tcW w:w="1576" w:type="dxa"/>
            <w:tcBorders>
              <w:top w:val="single" w:sz="4" w:space="0" w:color="auto"/>
              <w:left w:val="single" w:sz="4" w:space="0" w:color="auto"/>
              <w:bottom w:val="single" w:sz="4" w:space="0" w:color="auto"/>
              <w:right w:val="single" w:sz="4" w:space="0" w:color="auto"/>
            </w:tcBorders>
            <w:shd w:val="clear" w:color="auto" w:fill="C6EFCE"/>
            <w:vAlign w:val="center"/>
          </w:tcPr>
          <w:p w14:paraId="10301DC9" w14:textId="53950D78" w:rsidR="00025543" w:rsidRDefault="007E3A2F">
            <w:pPr>
              <w:pStyle w:val="P68B1DB1-Normal15"/>
              <w:spacing w:before="0" w:after="0" w:line="240" w:lineRule="auto"/>
              <w:rPr>
                <w:noProof/>
              </w:rPr>
            </w:pPr>
            <w:r>
              <w:rPr>
                <w:noProof/>
              </w:rPr>
              <w:t>Révision de la stratégie tchèque pour l’hydrogène — mesures visant à promouvoir l’adoption de l’hydrogène</w:t>
            </w:r>
          </w:p>
        </w:tc>
        <w:tc>
          <w:tcPr>
            <w:tcW w:w="1493" w:type="dxa"/>
            <w:tcBorders>
              <w:top w:val="single" w:sz="4" w:space="0" w:color="auto"/>
              <w:left w:val="single" w:sz="4" w:space="0" w:color="auto"/>
              <w:bottom w:val="single" w:sz="4" w:space="0" w:color="auto"/>
              <w:right w:val="single" w:sz="4" w:space="0" w:color="auto"/>
            </w:tcBorders>
            <w:shd w:val="clear" w:color="auto" w:fill="C6EFCE"/>
            <w:vAlign w:val="center"/>
          </w:tcPr>
          <w:p w14:paraId="20F371C0" w14:textId="121800CF" w:rsidR="00025543" w:rsidRDefault="007E3A2F">
            <w:pPr>
              <w:pStyle w:val="P68B1DB1-Normal15"/>
              <w:spacing w:before="0" w:after="0" w:line="240" w:lineRule="auto"/>
              <w:rPr>
                <w:noProof/>
              </w:rPr>
            </w:pPr>
            <w:r>
              <w:rPr>
                <w:noProof/>
              </w:rPr>
              <w:t>Entrée en vigueur des amendements</w:t>
            </w:r>
          </w:p>
        </w:tc>
        <w:tc>
          <w:tcPr>
            <w:tcW w:w="1010" w:type="dxa"/>
            <w:tcBorders>
              <w:top w:val="single" w:sz="4" w:space="0" w:color="auto"/>
              <w:left w:val="single" w:sz="4" w:space="0" w:color="auto"/>
              <w:bottom w:val="single" w:sz="4" w:space="0" w:color="auto"/>
              <w:right w:val="single" w:sz="4" w:space="0" w:color="auto"/>
            </w:tcBorders>
            <w:shd w:val="clear" w:color="auto" w:fill="C6EFCE"/>
            <w:vAlign w:val="center"/>
          </w:tcPr>
          <w:p w14:paraId="365FA266" w14:textId="77777777" w:rsidR="00025543" w:rsidRDefault="00025543">
            <w:pPr>
              <w:spacing w:before="0" w:after="0" w:line="240" w:lineRule="auto"/>
              <w:rPr>
                <w:rFonts w:eastAsia="Times New Roman"/>
                <w:noProof/>
                <w:color w:val="004300"/>
                <w:sz w:val="18"/>
              </w:rPr>
            </w:pPr>
          </w:p>
        </w:tc>
        <w:tc>
          <w:tcPr>
            <w:tcW w:w="1005" w:type="dxa"/>
            <w:tcBorders>
              <w:top w:val="single" w:sz="4" w:space="0" w:color="auto"/>
              <w:left w:val="single" w:sz="4" w:space="0" w:color="auto"/>
              <w:bottom w:val="single" w:sz="4" w:space="0" w:color="auto"/>
              <w:right w:val="single" w:sz="4" w:space="0" w:color="auto"/>
            </w:tcBorders>
            <w:shd w:val="clear" w:color="auto" w:fill="C6EFCE"/>
            <w:vAlign w:val="center"/>
          </w:tcPr>
          <w:p w14:paraId="0DE6001E" w14:textId="77777777" w:rsidR="00025543" w:rsidRDefault="00025543">
            <w:pPr>
              <w:spacing w:before="0" w:after="0" w:line="240" w:lineRule="auto"/>
              <w:jc w:val="center"/>
              <w:rPr>
                <w:rFonts w:eastAsia="Times New Roman"/>
                <w:noProof/>
                <w:color w:val="004300"/>
                <w:sz w:val="18"/>
              </w:rPr>
            </w:pPr>
          </w:p>
        </w:tc>
        <w:tc>
          <w:tcPr>
            <w:tcW w:w="1005" w:type="dxa"/>
            <w:tcBorders>
              <w:top w:val="single" w:sz="4" w:space="0" w:color="auto"/>
              <w:left w:val="single" w:sz="4" w:space="0" w:color="auto"/>
              <w:bottom w:val="single" w:sz="4" w:space="0" w:color="auto"/>
              <w:right w:val="single" w:sz="4" w:space="0" w:color="auto"/>
            </w:tcBorders>
            <w:shd w:val="clear" w:color="auto" w:fill="C6EFCE"/>
            <w:vAlign w:val="center"/>
          </w:tcPr>
          <w:p w14:paraId="4B9F494D" w14:textId="77777777" w:rsidR="00025543" w:rsidRDefault="00025543">
            <w:pPr>
              <w:spacing w:before="0" w:after="0" w:line="240" w:lineRule="auto"/>
              <w:jc w:val="center"/>
              <w:rPr>
                <w:rFonts w:eastAsia="Times New Roman"/>
                <w:noProof/>
                <w:color w:val="004300"/>
                <w:sz w:val="18"/>
              </w:rPr>
            </w:pPr>
          </w:p>
        </w:tc>
        <w:tc>
          <w:tcPr>
            <w:tcW w:w="1021" w:type="dxa"/>
            <w:tcBorders>
              <w:top w:val="single" w:sz="4" w:space="0" w:color="auto"/>
              <w:left w:val="single" w:sz="4" w:space="0" w:color="auto"/>
              <w:bottom w:val="single" w:sz="4" w:space="0" w:color="auto"/>
              <w:right w:val="single" w:sz="4" w:space="0" w:color="auto"/>
            </w:tcBorders>
            <w:shd w:val="clear" w:color="auto" w:fill="C6EFCE"/>
            <w:vAlign w:val="center"/>
          </w:tcPr>
          <w:p w14:paraId="38CBF6F9" w14:textId="3DE3C111" w:rsidR="00025543" w:rsidRDefault="007E3A2F">
            <w:pPr>
              <w:pStyle w:val="P68B1DB1-Normal15"/>
              <w:spacing w:before="0" w:after="0" w:line="240" w:lineRule="auto"/>
              <w:jc w:val="center"/>
              <w:rPr>
                <w:noProof/>
              </w:rPr>
            </w:pPr>
            <w:r>
              <w:rPr>
                <w:noProof/>
              </w:rPr>
              <w:t>TRIMESTRE 4</w:t>
            </w:r>
          </w:p>
        </w:tc>
        <w:tc>
          <w:tcPr>
            <w:tcW w:w="668" w:type="dxa"/>
            <w:tcBorders>
              <w:top w:val="single" w:sz="4" w:space="0" w:color="auto"/>
              <w:left w:val="single" w:sz="4" w:space="0" w:color="auto"/>
              <w:bottom w:val="single" w:sz="4" w:space="0" w:color="auto"/>
              <w:right w:val="single" w:sz="4" w:space="0" w:color="auto"/>
            </w:tcBorders>
            <w:shd w:val="clear" w:color="auto" w:fill="C6EFCE"/>
            <w:vAlign w:val="center"/>
          </w:tcPr>
          <w:p w14:paraId="03CE8CCC" w14:textId="65728808" w:rsidR="00025543" w:rsidRDefault="007E3A2F">
            <w:pPr>
              <w:pStyle w:val="P68B1DB1-Normal15"/>
              <w:spacing w:before="0" w:after="0" w:line="240" w:lineRule="auto"/>
              <w:jc w:val="center"/>
              <w:rPr>
                <w:noProof/>
              </w:rPr>
            </w:pPr>
            <w:r>
              <w:rPr>
                <w:noProof/>
              </w:rPr>
              <w:t>2025</w:t>
            </w:r>
          </w:p>
        </w:tc>
        <w:tc>
          <w:tcPr>
            <w:tcW w:w="4217" w:type="dxa"/>
            <w:tcBorders>
              <w:top w:val="single" w:sz="4" w:space="0" w:color="auto"/>
              <w:left w:val="single" w:sz="4" w:space="0" w:color="auto"/>
              <w:bottom w:val="single" w:sz="4" w:space="0" w:color="auto"/>
              <w:right w:val="single" w:sz="4" w:space="0" w:color="auto"/>
            </w:tcBorders>
            <w:shd w:val="clear" w:color="auto" w:fill="C6EFCE"/>
            <w:vAlign w:val="center"/>
          </w:tcPr>
          <w:p w14:paraId="37E115B1" w14:textId="38488732" w:rsidR="00025543" w:rsidRDefault="007E3A2F">
            <w:pPr>
              <w:pStyle w:val="P68B1DB1-Normal15"/>
              <w:shd w:val="clear" w:color="auto" w:fill="C6EFCE"/>
              <w:spacing w:after="0" w:line="240" w:lineRule="auto"/>
              <w:jc w:val="both"/>
              <w:textAlignment w:val="baseline"/>
              <w:rPr>
                <w:noProof/>
              </w:rPr>
            </w:pPr>
            <w:r>
              <w:rPr>
                <w:noProof/>
              </w:rPr>
              <w:t>Parmi les mesures figurant sur la liste des mesures du jalon 333 précédent, la Tchéquie veille au moins à la révision des mesures contraignantes suivantes:</w:t>
            </w:r>
          </w:p>
          <w:p w14:paraId="4FE46651" w14:textId="77777777" w:rsidR="00025543" w:rsidRDefault="007E3A2F">
            <w:pPr>
              <w:pStyle w:val="P68B1DB1-ListParagraph54"/>
              <w:numPr>
                <w:ilvl w:val="0"/>
                <w:numId w:val="340"/>
              </w:numPr>
              <w:shd w:val="clear" w:color="auto" w:fill="C6EFCE"/>
              <w:spacing w:after="0" w:line="240" w:lineRule="auto"/>
              <w:jc w:val="both"/>
              <w:textAlignment w:val="baseline"/>
              <w:rPr>
                <w:noProof/>
              </w:rPr>
            </w:pPr>
            <w:r>
              <w:rPr>
                <w:noProof/>
              </w:rPr>
              <w:t xml:space="preserve">Loi sur l’énergie (458/2000 Rec.) définissant l’hydrogène comme un vecteur énergétique; </w:t>
            </w:r>
          </w:p>
          <w:p w14:paraId="046D0966" w14:textId="34482C9E" w:rsidR="00025543" w:rsidRDefault="007E3A2F">
            <w:pPr>
              <w:pStyle w:val="P68B1DB1-ListParagraph54"/>
              <w:numPr>
                <w:ilvl w:val="0"/>
                <w:numId w:val="340"/>
              </w:numPr>
              <w:shd w:val="clear" w:color="auto" w:fill="C6EFCE"/>
              <w:spacing w:after="0" w:line="240" w:lineRule="auto"/>
              <w:jc w:val="both"/>
              <w:textAlignment w:val="baseline"/>
              <w:rPr>
                <w:noProof/>
              </w:rPr>
            </w:pPr>
            <w:r>
              <w:rPr>
                <w:noProof/>
              </w:rPr>
              <w:t>Décret no 108/2011 Coll., relatif à la mesure des gaz et à la révision du décret no 488/2021 Coll., relatif aux exigences relatives au raccordement au réseau gazier, et</w:t>
            </w:r>
          </w:p>
          <w:p w14:paraId="25FC1586" w14:textId="689E4A36" w:rsidR="00025543" w:rsidRDefault="007E3A2F">
            <w:pPr>
              <w:pStyle w:val="P68B1DB1-ListParagraph54"/>
              <w:numPr>
                <w:ilvl w:val="0"/>
                <w:numId w:val="340"/>
              </w:numPr>
              <w:shd w:val="clear" w:color="auto" w:fill="C6EFCE"/>
              <w:spacing w:after="0" w:line="240" w:lineRule="auto"/>
              <w:jc w:val="both"/>
              <w:textAlignment w:val="baseline"/>
              <w:rPr>
                <w:noProof/>
              </w:rPr>
            </w:pPr>
            <w:r>
              <w:rPr>
                <w:noProof/>
              </w:rPr>
              <w:t>Décret no 345/2002 Coll., relatif à la détermination des instruments de mesure pour la vérification obligatoire et les instruments de mesure soumis à approbation de type afin d’encourager et de faciliter l’adoption de l’hydrogène, en particulier de l’hydrogène pur, dans les réseaux gaziers.</w:t>
            </w:r>
          </w:p>
        </w:tc>
      </w:tr>
      <w:tr w:rsidR="00025543" w14:paraId="31F52692" w14:textId="77777777">
        <w:trPr>
          <w:trHeight w:val="309"/>
          <w:jc w:val="center"/>
        </w:trPr>
        <w:tc>
          <w:tcPr>
            <w:tcW w:w="664" w:type="dxa"/>
            <w:tcBorders>
              <w:top w:val="single" w:sz="4" w:space="0" w:color="auto"/>
              <w:left w:val="single" w:sz="4" w:space="0" w:color="auto"/>
              <w:bottom w:val="single" w:sz="4" w:space="0" w:color="auto"/>
              <w:right w:val="single" w:sz="4" w:space="0" w:color="auto"/>
            </w:tcBorders>
            <w:shd w:val="clear" w:color="auto" w:fill="C6EFCE"/>
            <w:vAlign w:val="center"/>
          </w:tcPr>
          <w:p w14:paraId="4232760B" w14:textId="5FE66815" w:rsidR="00025543" w:rsidRDefault="007E3A2F">
            <w:pPr>
              <w:pStyle w:val="P68B1DB1-Normal15"/>
              <w:spacing w:before="0" w:after="0" w:line="240" w:lineRule="auto"/>
              <w:jc w:val="center"/>
              <w:rPr>
                <w:noProof/>
              </w:rPr>
            </w:pPr>
            <w:r>
              <w:rPr>
                <w:noProof/>
              </w:rPr>
              <w:t>335</w:t>
            </w:r>
          </w:p>
        </w:tc>
        <w:tc>
          <w:tcPr>
            <w:tcW w:w="1657" w:type="dxa"/>
            <w:tcBorders>
              <w:top w:val="single" w:sz="4" w:space="0" w:color="auto"/>
              <w:left w:val="single" w:sz="4" w:space="0" w:color="auto"/>
              <w:bottom w:val="single" w:sz="4" w:space="0" w:color="auto"/>
              <w:right w:val="single" w:sz="4" w:space="0" w:color="auto"/>
            </w:tcBorders>
            <w:shd w:val="clear" w:color="auto" w:fill="C6EFCE"/>
            <w:vAlign w:val="center"/>
          </w:tcPr>
          <w:p w14:paraId="24E76987" w14:textId="24D572DA" w:rsidR="00025543" w:rsidRDefault="007E3A2F">
            <w:pPr>
              <w:pStyle w:val="P68B1DB1-Normal15"/>
              <w:spacing w:before="0" w:after="0" w:line="240" w:lineRule="auto"/>
              <w:rPr>
                <w:noProof/>
              </w:rPr>
            </w:pPr>
            <w:r>
              <w:rPr>
                <w:noProof/>
              </w:rPr>
              <w:t>Réforme 4: Conditions favorisantes pour les infrastructures pour carburants alternatifs à émissions nulles</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5CC8183D" w14:textId="2BA3D76F" w:rsidR="00025543" w:rsidRDefault="007E3A2F">
            <w:pPr>
              <w:pStyle w:val="P68B1DB1-Normal15"/>
              <w:spacing w:before="0" w:after="0" w:line="240" w:lineRule="auto"/>
              <w:rPr>
                <w:noProof/>
              </w:rPr>
            </w:pPr>
            <w:r>
              <w:rPr>
                <w:noProof/>
              </w:rPr>
              <w:t>Étapes</w:t>
            </w:r>
          </w:p>
        </w:tc>
        <w:tc>
          <w:tcPr>
            <w:tcW w:w="1576" w:type="dxa"/>
            <w:tcBorders>
              <w:top w:val="single" w:sz="4" w:space="0" w:color="auto"/>
              <w:left w:val="single" w:sz="4" w:space="0" w:color="auto"/>
              <w:bottom w:val="single" w:sz="4" w:space="0" w:color="auto"/>
              <w:right w:val="single" w:sz="4" w:space="0" w:color="auto"/>
            </w:tcBorders>
            <w:shd w:val="clear" w:color="auto" w:fill="C6EFCE"/>
            <w:vAlign w:val="center"/>
          </w:tcPr>
          <w:p w14:paraId="0356BED8" w14:textId="478C86AE" w:rsidR="00025543" w:rsidRDefault="007E3A2F">
            <w:pPr>
              <w:pStyle w:val="P68B1DB1-Normal15"/>
              <w:spacing w:before="0" w:after="0" w:line="240" w:lineRule="auto"/>
              <w:rPr>
                <w:noProof/>
              </w:rPr>
            </w:pPr>
            <w:r>
              <w:rPr>
                <w:noProof/>
              </w:rPr>
              <w:t>Simplification du processus d’autorisation pour la construction de stations de recharge électrique et de stations de ravitaillement en hydrogène</w:t>
            </w:r>
          </w:p>
        </w:tc>
        <w:tc>
          <w:tcPr>
            <w:tcW w:w="1493" w:type="dxa"/>
            <w:tcBorders>
              <w:top w:val="single" w:sz="4" w:space="0" w:color="auto"/>
              <w:left w:val="single" w:sz="4" w:space="0" w:color="auto"/>
              <w:bottom w:val="single" w:sz="4" w:space="0" w:color="auto"/>
              <w:right w:val="single" w:sz="4" w:space="0" w:color="auto"/>
            </w:tcBorders>
            <w:shd w:val="clear" w:color="auto" w:fill="C6EFCE"/>
            <w:vAlign w:val="center"/>
          </w:tcPr>
          <w:p w14:paraId="31E4206A" w14:textId="546B0E17" w:rsidR="00025543" w:rsidRDefault="007E3A2F">
            <w:pPr>
              <w:pStyle w:val="P68B1DB1-Normal15"/>
              <w:spacing w:before="0" w:after="0" w:line="240" w:lineRule="auto"/>
              <w:rPr>
                <w:noProof/>
              </w:rPr>
            </w:pPr>
            <w:r>
              <w:rPr>
                <w:noProof/>
              </w:rPr>
              <w:t xml:space="preserve">Entrée en vigueur d’une série d’amendements à la loi sur la construction </w:t>
            </w:r>
          </w:p>
        </w:tc>
        <w:tc>
          <w:tcPr>
            <w:tcW w:w="1010" w:type="dxa"/>
            <w:tcBorders>
              <w:top w:val="single" w:sz="4" w:space="0" w:color="auto"/>
              <w:left w:val="single" w:sz="4" w:space="0" w:color="auto"/>
              <w:bottom w:val="single" w:sz="4" w:space="0" w:color="auto"/>
              <w:right w:val="single" w:sz="4" w:space="0" w:color="auto"/>
            </w:tcBorders>
            <w:shd w:val="clear" w:color="auto" w:fill="C6EFCE"/>
            <w:vAlign w:val="center"/>
          </w:tcPr>
          <w:p w14:paraId="17BC41FA" w14:textId="77777777" w:rsidR="00025543" w:rsidRDefault="00025543">
            <w:pPr>
              <w:spacing w:before="0" w:after="0" w:line="240" w:lineRule="auto"/>
              <w:rPr>
                <w:rFonts w:eastAsia="Times New Roman"/>
                <w:noProof/>
                <w:color w:val="004300"/>
                <w:sz w:val="18"/>
              </w:rPr>
            </w:pPr>
          </w:p>
        </w:tc>
        <w:tc>
          <w:tcPr>
            <w:tcW w:w="1005" w:type="dxa"/>
            <w:tcBorders>
              <w:top w:val="single" w:sz="4" w:space="0" w:color="auto"/>
              <w:left w:val="single" w:sz="4" w:space="0" w:color="auto"/>
              <w:bottom w:val="single" w:sz="4" w:space="0" w:color="auto"/>
              <w:right w:val="single" w:sz="4" w:space="0" w:color="auto"/>
            </w:tcBorders>
            <w:shd w:val="clear" w:color="auto" w:fill="C6EFCE"/>
            <w:vAlign w:val="center"/>
          </w:tcPr>
          <w:p w14:paraId="2C3BC187" w14:textId="77777777" w:rsidR="00025543" w:rsidRDefault="00025543">
            <w:pPr>
              <w:spacing w:before="0" w:after="0" w:line="240" w:lineRule="auto"/>
              <w:jc w:val="center"/>
              <w:rPr>
                <w:rFonts w:eastAsia="Times New Roman"/>
                <w:noProof/>
                <w:color w:val="004300"/>
                <w:sz w:val="18"/>
              </w:rPr>
            </w:pPr>
          </w:p>
        </w:tc>
        <w:tc>
          <w:tcPr>
            <w:tcW w:w="1005" w:type="dxa"/>
            <w:tcBorders>
              <w:top w:val="single" w:sz="4" w:space="0" w:color="auto"/>
              <w:left w:val="single" w:sz="4" w:space="0" w:color="auto"/>
              <w:bottom w:val="single" w:sz="4" w:space="0" w:color="auto"/>
              <w:right w:val="single" w:sz="4" w:space="0" w:color="auto"/>
            </w:tcBorders>
            <w:shd w:val="clear" w:color="auto" w:fill="C6EFCE"/>
            <w:vAlign w:val="center"/>
          </w:tcPr>
          <w:p w14:paraId="0B7C2A3E" w14:textId="77777777" w:rsidR="00025543" w:rsidRDefault="00025543">
            <w:pPr>
              <w:spacing w:before="0" w:after="0" w:line="240" w:lineRule="auto"/>
              <w:jc w:val="center"/>
              <w:rPr>
                <w:rFonts w:eastAsia="Times New Roman"/>
                <w:noProof/>
                <w:color w:val="004300"/>
                <w:sz w:val="18"/>
              </w:rPr>
            </w:pPr>
          </w:p>
        </w:tc>
        <w:tc>
          <w:tcPr>
            <w:tcW w:w="1021" w:type="dxa"/>
            <w:tcBorders>
              <w:top w:val="single" w:sz="4" w:space="0" w:color="auto"/>
              <w:left w:val="single" w:sz="4" w:space="0" w:color="auto"/>
              <w:bottom w:val="single" w:sz="4" w:space="0" w:color="auto"/>
              <w:right w:val="single" w:sz="4" w:space="0" w:color="auto"/>
            </w:tcBorders>
            <w:shd w:val="clear" w:color="auto" w:fill="C6EFCE"/>
            <w:vAlign w:val="center"/>
          </w:tcPr>
          <w:p w14:paraId="356D49F7" w14:textId="489F2A71" w:rsidR="00025543" w:rsidRDefault="007E3A2F">
            <w:pPr>
              <w:pStyle w:val="P68B1DB1-Normal15"/>
              <w:spacing w:before="0" w:after="0" w:line="240" w:lineRule="auto"/>
              <w:jc w:val="center"/>
              <w:rPr>
                <w:noProof/>
              </w:rPr>
            </w:pPr>
            <w:r>
              <w:rPr>
                <w:noProof/>
              </w:rPr>
              <w:t>TRIMESTRE 4</w:t>
            </w:r>
          </w:p>
        </w:tc>
        <w:tc>
          <w:tcPr>
            <w:tcW w:w="668" w:type="dxa"/>
            <w:tcBorders>
              <w:top w:val="single" w:sz="4" w:space="0" w:color="auto"/>
              <w:left w:val="single" w:sz="4" w:space="0" w:color="auto"/>
              <w:bottom w:val="single" w:sz="4" w:space="0" w:color="auto"/>
              <w:right w:val="single" w:sz="4" w:space="0" w:color="auto"/>
            </w:tcBorders>
            <w:shd w:val="clear" w:color="auto" w:fill="C6EFCE"/>
            <w:vAlign w:val="center"/>
          </w:tcPr>
          <w:p w14:paraId="3CBB6079" w14:textId="4F6C46C1" w:rsidR="00025543" w:rsidRDefault="007E3A2F">
            <w:pPr>
              <w:pStyle w:val="P68B1DB1-Normal15"/>
              <w:spacing w:before="0" w:after="0" w:line="240" w:lineRule="auto"/>
              <w:jc w:val="center"/>
              <w:rPr>
                <w:noProof/>
              </w:rPr>
            </w:pPr>
            <w:r>
              <w:rPr>
                <w:noProof/>
              </w:rPr>
              <w:t>2024</w:t>
            </w:r>
          </w:p>
        </w:tc>
        <w:tc>
          <w:tcPr>
            <w:tcW w:w="4217" w:type="dxa"/>
            <w:tcBorders>
              <w:top w:val="single" w:sz="4" w:space="0" w:color="auto"/>
              <w:left w:val="single" w:sz="4" w:space="0" w:color="auto"/>
              <w:bottom w:val="single" w:sz="4" w:space="0" w:color="auto"/>
              <w:right w:val="single" w:sz="4" w:space="0" w:color="auto"/>
            </w:tcBorders>
            <w:shd w:val="clear" w:color="auto" w:fill="C6EFCE"/>
            <w:vAlign w:val="center"/>
          </w:tcPr>
          <w:p w14:paraId="7B70D054" w14:textId="3C9C1D0E" w:rsidR="00025543" w:rsidRDefault="007E3A2F">
            <w:pPr>
              <w:pStyle w:val="P68B1DB1-Normal15"/>
              <w:shd w:val="clear" w:color="auto" w:fill="C6EFCE"/>
              <w:spacing w:after="0" w:line="240" w:lineRule="auto"/>
              <w:jc w:val="both"/>
              <w:textAlignment w:val="baseline"/>
              <w:rPr>
                <w:noProof/>
              </w:rPr>
            </w:pPr>
            <w:r>
              <w:rPr>
                <w:noProof/>
              </w:rPr>
              <w:t>Entrée en vigueur des modifications de la loi sur la construction. Les modifications prévoient un traitement préférentiel pour les chargeurs d’une puissance maximale de 22 kW en définissant ce type d’infrastructure comme une «construction mineure» et en définissant les chargeurs supérieurs à 22 kW comme «construction simple» aux fins des procédures de permis de construire.</w:t>
            </w:r>
          </w:p>
        </w:tc>
      </w:tr>
      <w:tr w:rsidR="00025543" w14:paraId="2021C801" w14:textId="77777777">
        <w:trPr>
          <w:trHeight w:val="309"/>
          <w:jc w:val="center"/>
        </w:trPr>
        <w:tc>
          <w:tcPr>
            <w:tcW w:w="664" w:type="dxa"/>
            <w:shd w:val="clear" w:color="auto" w:fill="C6EFCE"/>
            <w:vAlign w:val="center"/>
          </w:tcPr>
          <w:p w14:paraId="621AD562" w14:textId="62C11A39" w:rsidR="00025543" w:rsidRDefault="007E3A2F">
            <w:pPr>
              <w:pStyle w:val="P68B1DB1-Normal15"/>
              <w:spacing w:before="0" w:after="0" w:line="240" w:lineRule="auto"/>
              <w:jc w:val="center"/>
              <w:rPr>
                <w:noProof/>
              </w:rPr>
            </w:pPr>
            <w:r>
              <w:rPr>
                <w:noProof/>
              </w:rPr>
              <w:t>336</w:t>
            </w:r>
          </w:p>
        </w:tc>
        <w:tc>
          <w:tcPr>
            <w:tcW w:w="1657" w:type="dxa"/>
            <w:shd w:val="clear" w:color="auto" w:fill="C6EFCE"/>
            <w:vAlign w:val="center"/>
          </w:tcPr>
          <w:p w14:paraId="3A78F382" w14:textId="5D0137F7" w:rsidR="00025543" w:rsidRDefault="007E3A2F">
            <w:pPr>
              <w:pStyle w:val="P68B1DB1-Normal15"/>
              <w:spacing w:before="0" w:after="0" w:line="240" w:lineRule="auto"/>
              <w:rPr>
                <w:noProof/>
              </w:rPr>
            </w:pPr>
            <w:r>
              <w:rPr>
                <w:noProof/>
              </w:rPr>
              <w:t>Réforme 4: Conditions favorisantes pour les infrastructures pour carburants alternatifs à émissions nulles</w:t>
            </w:r>
          </w:p>
        </w:tc>
        <w:tc>
          <w:tcPr>
            <w:tcW w:w="1134" w:type="dxa"/>
            <w:shd w:val="clear" w:color="auto" w:fill="C6EFCE"/>
            <w:vAlign w:val="center"/>
          </w:tcPr>
          <w:p w14:paraId="4D229313" w14:textId="3F1307D8" w:rsidR="00025543" w:rsidRDefault="007E3A2F">
            <w:pPr>
              <w:pStyle w:val="P68B1DB1-Normal15"/>
              <w:spacing w:before="0" w:after="0" w:line="240" w:lineRule="auto"/>
              <w:rPr>
                <w:noProof/>
              </w:rPr>
            </w:pPr>
            <w:r>
              <w:rPr>
                <w:noProof/>
              </w:rPr>
              <w:t>Étapes</w:t>
            </w:r>
          </w:p>
        </w:tc>
        <w:tc>
          <w:tcPr>
            <w:tcW w:w="1576" w:type="dxa"/>
            <w:shd w:val="clear" w:color="auto" w:fill="C6EFCE"/>
            <w:vAlign w:val="center"/>
          </w:tcPr>
          <w:p w14:paraId="4271195E" w14:textId="27E0FB8A" w:rsidR="00025543" w:rsidRDefault="007E3A2F">
            <w:pPr>
              <w:pStyle w:val="P68B1DB1-Normal15"/>
              <w:spacing w:before="0" w:after="0" w:line="240" w:lineRule="auto"/>
              <w:rPr>
                <w:noProof/>
              </w:rPr>
            </w:pPr>
            <w:r>
              <w:rPr>
                <w:noProof/>
              </w:rPr>
              <w:t>Simplification de la procédure d’autorisation pour la construction de stations de recharge électrique et de stations de ravitaillement en hydrogène — mesures supplémentaires</w:t>
            </w:r>
          </w:p>
        </w:tc>
        <w:tc>
          <w:tcPr>
            <w:tcW w:w="1493" w:type="dxa"/>
            <w:shd w:val="clear" w:color="auto" w:fill="C6EFCE"/>
            <w:vAlign w:val="center"/>
          </w:tcPr>
          <w:p w14:paraId="07E70058" w14:textId="40F31085" w:rsidR="00025543" w:rsidRDefault="007E3A2F">
            <w:pPr>
              <w:pStyle w:val="P68B1DB1-Normal15"/>
              <w:spacing w:before="0" w:after="0" w:line="240" w:lineRule="auto"/>
              <w:rPr>
                <w:noProof/>
              </w:rPr>
            </w:pPr>
            <w:r>
              <w:rPr>
                <w:noProof/>
              </w:rPr>
              <w:t xml:space="preserve">Adoption de mesures et modifications de mesures contraignantes existantes </w:t>
            </w:r>
          </w:p>
        </w:tc>
        <w:tc>
          <w:tcPr>
            <w:tcW w:w="1010" w:type="dxa"/>
            <w:shd w:val="clear" w:color="auto" w:fill="C6EFCE"/>
            <w:vAlign w:val="center"/>
          </w:tcPr>
          <w:p w14:paraId="4404F79A" w14:textId="77777777" w:rsidR="00025543" w:rsidRDefault="00025543">
            <w:pPr>
              <w:spacing w:before="0" w:after="0" w:line="240" w:lineRule="auto"/>
              <w:rPr>
                <w:rFonts w:eastAsia="Times New Roman"/>
                <w:noProof/>
                <w:color w:val="004300"/>
                <w:sz w:val="18"/>
              </w:rPr>
            </w:pPr>
          </w:p>
        </w:tc>
        <w:tc>
          <w:tcPr>
            <w:tcW w:w="1005" w:type="dxa"/>
            <w:shd w:val="clear" w:color="auto" w:fill="C6EFCE"/>
            <w:vAlign w:val="center"/>
          </w:tcPr>
          <w:p w14:paraId="0D9B9B4D" w14:textId="77777777" w:rsidR="00025543" w:rsidRDefault="00025543">
            <w:pPr>
              <w:spacing w:before="0" w:after="0" w:line="240" w:lineRule="auto"/>
              <w:jc w:val="center"/>
              <w:rPr>
                <w:rFonts w:eastAsia="Times New Roman"/>
                <w:noProof/>
                <w:color w:val="004300"/>
                <w:sz w:val="18"/>
              </w:rPr>
            </w:pPr>
          </w:p>
        </w:tc>
        <w:tc>
          <w:tcPr>
            <w:tcW w:w="1005" w:type="dxa"/>
            <w:shd w:val="clear" w:color="auto" w:fill="C6EFCE"/>
            <w:vAlign w:val="center"/>
          </w:tcPr>
          <w:p w14:paraId="25A18FF9" w14:textId="77777777" w:rsidR="00025543" w:rsidRDefault="00025543">
            <w:pPr>
              <w:spacing w:before="0" w:after="0" w:line="240" w:lineRule="auto"/>
              <w:jc w:val="center"/>
              <w:rPr>
                <w:rFonts w:eastAsia="Times New Roman"/>
                <w:noProof/>
                <w:color w:val="004300"/>
                <w:sz w:val="18"/>
              </w:rPr>
            </w:pPr>
          </w:p>
        </w:tc>
        <w:tc>
          <w:tcPr>
            <w:tcW w:w="1021" w:type="dxa"/>
            <w:shd w:val="clear" w:color="auto" w:fill="C6EFCE"/>
            <w:vAlign w:val="center"/>
          </w:tcPr>
          <w:p w14:paraId="421D035F" w14:textId="3266C826" w:rsidR="00025543" w:rsidRDefault="007E3A2F">
            <w:pPr>
              <w:pStyle w:val="P68B1DB1-Normal15"/>
              <w:spacing w:before="0" w:after="0" w:line="240" w:lineRule="auto"/>
              <w:jc w:val="center"/>
              <w:rPr>
                <w:noProof/>
              </w:rPr>
            </w:pPr>
            <w:r>
              <w:rPr>
                <w:noProof/>
              </w:rPr>
              <w:t>TRIMESTRE 4</w:t>
            </w:r>
          </w:p>
        </w:tc>
        <w:tc>
          <w:tcPr>
            <w:tcW w:w="668" w:type="dxa"/>
            <w:shd w:val="clear" w:color="auto" w:fill="C6EFCE"/>
            <w:vAlign w:val="center"/>
          </w:tcPr>
          <w:p w14:paraId="6E172B07" w14:textId="68D256F8" w:rsidR="00025543" w:rsidRDefault="007E3A2F">
            <w:pPr>
              <w:pStyle w:val="P68B1DB1-Normal15"/>
              <w:spacing w:before="0" w:after="0" w:line="240" w:lineRule="auto"/>
              <w:jc w:val="center"/>
              <w:rPr>
                <w:noProof/>
              </w:rPr>
            </w:pPr>
            <w:r>
              <w:rPr>
                <w:noProof/>
              </w:rPr>
              <w:t>2025</w:t>
            </w:r>
          </w:p>
        </w:tc>
        <w:tc>
          <w:tcPr>
            <w:tcW w:w="4217" w:type="dxa"/>
            <w:shd w:val="clear" w:color="auto" w:fill="C6EFCE"/>
            <w:vAlign w:val="center"/>
          </w:tcPr>
          <w:p w14:paraId="09DA8B61" w14:textId="7343000C" w:rsidR="00025543" w:rsidRDefault="007E3A2F">
            <w:pPr>
              <w:pStyle w:val="P68B1DB1-Normal15"/>
              <w:shd w:val="clear" w:color="auto" w:fill="C6EFCE"/>
              <w:spacing w:after="0" w:line="240" w:lineRule="auto"/>
              <w:jc w:val="both"/>
              <w:textAlignment w:val="baseline"/>
              <w:rPr>
                <w:noProof/>
              </w:rPr>
            </w:pPr>
            <w:r>
              <w:rPr>
                <w:noProof/>
              </w:rPr>
              <w:t>Aux fins de cette étape intermédiaire, des mesures supplémentaires contraignantes ou non ou des modifications de mesures contraignantes ou non existantes sont adoptées, ce qui entraîne la simplification et l’assouplissement de la construction, de l’autorisation et de l’exploitation des infrastructures de recharge et des stations de ravitaillement en hydrogène. Les mesures supplémentaires et les mesures existantes révisées peuvent inclure le droit primaire, le droit dérivé ou les normes et méthodologies techniques. Ces mesures supplémentaires sont fondées sur la liste des mesures élaborées dans le cadre de la réforme 1.</w:t>
            </w:r>
          </w:p>
        </w:tc>
      </w:tr>
      <w:tr w:rsidR="00025543" w14:paraId="7C205978" w14:textId="77777777">
        <w:trPr>
          <w:trHeight w:val="309"/>
          <w:jc w:val="center"/>
        </w:trPr>
        <w:tc>
          <w:tcPr>
            <w:tcW w:w="664" w:type="dxa"/>
            <w:shd w:val="clear" w:color="auto" w:fill="C6EFCE"/>
            <w:vAlign w:val="center"/>
          </w:tcPr>
          <w:p w14:paraId="13A66BEF" w14:textId="23089659" w:rsidR="00025543" w:rsidRDefault="007E3A2F">
            <w:pPr>
              <w:pStyle w:val="P68B1DB1-Normal15"/>
              <w:spacing w:before="0" w:after="0" w:line="240" w:lineRule="auto"/>
              <w:jc w:val="center"/>
              <w:rPr>
                <w:noProof/>
              </w:rPr>
            </w:pPr>
            <w:r>
              <w:rPr>
                <w:noProof/>
              </w:rPr>
              <w:t>337</w:t>
            </w:r>
          </w:p>
        </w:tc>
        <w:tc>
          <w:tcPr>
            <w:tcW w:w="1657" w:type="dxa"/>
            <w:shd w:val="clear" w:color="auto" w:fill="C6EFCE"/>
            <w:vAlign w:val="center"/>
          </w:tcPr>
          <w:p w14:paraId="72877235" w14:textId="04E621CC" w:rsidR="00025543" w:rsidRDefault="007E3A2F">
            <w:pPr>
              <w:pStyle w:val="P68B1DB1-Normal15"/>
              <w:spacing w:before="0" w:after="0" w:line="240" w:lineRule="auto"/>
              <w:rPr>
                <w:noProof/>
              </w:rPr>
            </w:pPr>
            <w:r>
              <w:rPr>
                <w:noProof/>
              </w:rPr>
              <w:t>Réforme 5: Encourager la mobilité à émissions nulles par la modification de la vignette autoroutière</w:t>
            </w:r>
          </w:p>
        </w:tc>
        <w:tc>
          <w:tcPr>
            <w:tcW w:w="1134" w:type="dxa"/>
            <w:shd w:val="clear" w:color="auto" w:fill="C6EFCE"/>
            <w:vAlign w:val="center"/>
          </w:tcPr>
          <w:p w14:paraId="513558E8" w14:textId="4E11251D" w:rsidR="00025543" w:rsidRDefault="007E3A2F">
            <w:pPr>
              <w:pStyle w:val="P68B1DB1-Normal15"/>
              <w:spacing w:before="0" w:after="0" w:line="240" w:lineRule="auto"/>
              <w:rPr>
                <w:noProof/>
              </w:rPr>
            </w:pPr>
            <w:r>
              <w:rPr>
                <w:noProof/>
              </w:rPr>
              <w:t>Étapes</w:t>
            </w:r>
          </w:p>
        </w:tc>
        <w:tc>
          <w:tcPr>
            <w:tcW w:w="1576" w:type="dxa"/>
            <w:shd w:val="clear" w:color="auto" w:fill="C6EFCE"/>
            <w:vAlign w:val="center"/>
          </w:tcPr>
          <w:p w14:paraId="06A0ADA7" w14:textId="699A7D50" w:rsidR="00025543" w:rsidRDefault="007E3A2F">
            <w:pPr>
              <w:pStyle w:val="P68B1DB1-Normal15"/>
              <w:spacing w:before="0" w:after="0" w:line="240" w:lineRule="auto"/>
              <w:rPr>
                <w:noProof/>
              </w:rPr>
            </w:pPr>
            <w:r>
              <w:rPr>
                <w:noProof/>
              </w:rPr>
              <w:t xml:space="preserve">Révision des coûts de la vignette autoroutière </w:t>
            </w:r>
          </w:p>
        </w:tc>
        <w:tc>
          <w:tcPr>
            <w:tcW w:w="1493" w:type="dxa"/>
            <w:shd w:val="clear" w:color="auto" w:fill="C6EFCE"/>
            <w:vAlign w:val="center"/>
          </w:tcPr>
          <w:p w14:paraId="5D328C53" w14:textId="09973373" w:rsidR="00025543" w:rsidRDefault="007E3A2F">
            <w:pPr>
              <w:pStyle w:val="P68B1DB1-Normal15"/>
              <w:spacing w:before="0" w:after="0" w:line="240" w:lineRule="auto"/>
              <w:rPr>
                <w:noProof/>
              </w:rPr>
            </w:pPr>
            <w:r>
              <w:rPr>
                <w:noProof/>
              </w:rPr>
              <w:t xml:space="preserve">Entrée en vigueur de la modification de la loi sur les routes </w:t>
            </w:r>
          </w:p>
        </w:tc>
        <w:tc>
          <w:tcPr>
            <w:tcW w:w="1010" w:type="dxa"/>
            <w:shd w:val="clear" w:color="auto" w:fill="C6EFCE"/>
            <w:vAlign w:val="center"/>
          </w:tcPr>
          <w:p w14:paraId="773E2FE1" w14:textId="77777777" w:rsidR="00025543" w:rsidRDefault="00025543">
            <w:pPr>
              <w:spacing w:before="0" w:after="0" w:line="240" w:lineRule="auto"/>
              <w:rPr>
                <w:rFonts w:eastAsia="Times New Roman"/>
                <w:noProof/>
                <w:color w:val="004300"/>
                <w:sz w:val="18"/>
              </w:rPr>
            </w:pPr>
          </w:p>
        </w:tc>
        <w:tc>
          <w:tcPr>
            <w:tcW w:w="1005" w:type="dxa"/>
            <w:shd w:val="clear" w:color="auto" w:fill="C6EFCE"/>
            <w:vAlign w:val="center"/>
          </w:tcPr>
          <w:p w14:paraId="27BFC1E0" w14:textId="77777777" w:rsidR="00025543" w:rsidRDefault="00025543">
            <w:pPr>
              <w:spacing w:before="0" w:after="0" w:line="240" w:lineRule="auto"/>
              <w:jc w:val="center"/>
              <w:rPr>
                <w:rFonts w:eastAsia="Times New Roman"/>
                <w:noProof/>
                <w:color w:val="004300"/>
                <w:sz w:val="18"/>
              </w:rPr>
            </w:pPr>
          </w:p>
        </w:tc>
        <w:tc>
          <w:tcPr>
            <w:tcW w:w="1005" w:type="dxa"/>
            <w:shd w:val="clear" w:color="auto" w:fill="C6EFCE"/>
            <w:vAlign w:val="center"/>
          </w:tcPr>
          <w:p w14:paraId="027D8106" w14:textId="77777777" w:rsidR="00025543" w:rsidRDefault="00025543">
            <w:pPr>
              <w:spacing w:before="0" w:after="0" w:line="240" w:lineRule="auto"/>
              <w:jc w:val="center"/>
              <w:rPr>
                <w:rFonts w:eastAsia="Times New Roman"/>
                <w:noProof/>
                <w:color w:val="004300"/>
                <w:sz w:val="18"/>
              </w:rPr>
            </w:pPr>
          </w:p>
        </w:tc>
        <w:tc>
          <w:tcPr>
            <w:tcW w:w="1021" w:type="dxa"/>
            <w:shd w:val="clear" w:color="auto" w:fill="C6EFCE"/>
            <w:vAlign w:val="center"/>
          </w:tcPr>
          <w:p w14:paraId="23CB8412" w14:textId="794F93A9" w:rsidR="00025543" w:rsidRDefault="007E3A2F">
            <w:pPr>
              <w:pStyle w:val="P68B1DB1-Normal15"/>
              <w:spacing w:before="0" w:after="0" w:line="240" w:lineRule="auto"/>
              <w:jc w:val="center"/>
              <w:rPr>
                <w:noProof/>
              </w:rPr>
            </w:pPr>
            <w:r>
              <w:rPr>
                <w:noProof/>
              </w:rPr>
              <w:t>TRIMESTRE 4</w:t>
            </w:r>
          </w:p>
        </w:tc>
        <w:tc>
          <w:tcPr>
            <w:tcW w:w="668" w:type="dxa"/>
            <w:shd w:val="clear" w:color="auto" w:fill="C6EFCE"/>
            <w:vAlign w:val="center"/>
          </w:tcPr>
          <w:p w14:paraId="5196658E" w14:textId="7CE0A1DE" w:rsidR="00025543" w:rsidRDefault="007E3A2F">
            <w:pPr>
              <w:pStyle w:val="P68B1DB1-Normal15"/>
              <w:spacing w:before="0" w:after="0" w:line="240" w:lineRule="auto"/>
              <w:jc w:val="center"/>
              <w:rPr>
                <w:noProof/>
              </w:rPr>
            </w:pPr>
            <w:r>
              <w:rPr>
                <w:noProof/>
              </w:rPr>
              <w:t>2024</w:t>
            </w:r>
          </w:p>
        </w:tc>
        <w:tc>
          <w:tcPr>
            <w:tcW w:w="4217" w:type="dxa"/>
            <w:shd w:val="clear" w:color="auto" w:fill="C6EFCE"/>
            <w:vAlign w:val="center"/>
          </w:tcPr>
          <w:p w14:paraId="11C2E037" w14:textId="5177566A" w:rsidR="00025543" w:rsidRDefault="007E3A2F">
            <w:pPr>
              <w:pStyle w:val="P68B1DB1-Normal15"/>
              <w:shd w:val="clear" w:color="auto" w:fill="C6EFCE"/>
              <w:spacing w:after="0" w:line="240" w:lineRule="auto"/>
              <w:jc w:val="both"/>
              <w:textAlignment w:val="baseline"/>
              <w:rPr>
                <w:noProof/>
              </w:rPr>
            </w:pPr>
            <w:r>
              <w:rPr>
                <w:noProof/>
              </w:rPr>
              <w:t>Entrée en vigueur des amendements à la loi sur les routes afin de modifier les redevances de vignette routière et la structure des coûts de la vignette routière pour les catégories de véhicules de moins de 3.5 tonnes (M1 — voitures particulières, N1 — véhicules utilitaires légers sur la base des normes de la CEE-ONU), sur la base de leurs performances en matière d’émissions de CO2. Les modifications garantissent une différenciation fiscale entre les véhicules conventionnels et les véhicules à faibles émissions de moins de 50gCO2/km et les véhicules à émission nulle des types M1 et N1, les véhicules à émissions nulles desdits types étant exemptés des redevances liées aux vignettes routières. L’amendement garantit également une augmentation de la vignette routière annuelle pour les véhicules des catégories M1 et N1 d’au moins 50 % par rapport à la valeur de référence de 2022.</w:t>
            </w:r>
          </w:p>
        </w:tc>
      </w:tr>
      <w:tr w:rsidR="00025543" w14:paraId="498CE1FB" w14:textId="77777777">
        <w:trPr>
          <w:trHeight w:val="309"/>
          <w:jc w:val="center"/>
        </w:trPr>
        <w:tc>
          <w:tcPr>
            <w:tcW w:w="664" w:type="dxa"/>
            <w:tcBorders>
              <w:top w:val="single" w:sz="4" w:space="0" w:color="auto"/>
              <w:left w:val="single" w:sz="4" w:space="0" w:color="auto"/>
              <w:bottom w:val="single" w:sz="4" w:space="0" w:color="auto"/>
              <w:right w:val="single" w:sz="4" w:space="0" w:color="auto"/>
            </w:tcBorders>
            <w:shd w:val="clear" w:color="auto" w:fill="C6EFCE"/>
            <w:vAlign w:val="center"/>
          </w:tcPr>
          <w:p w14:paraId="697C2BF2" w14:textId="66C3D805" w:rsidR="00025543" w:rsidRDefault="007E3A2F">
            <w:pPr>
              <w:pStyle w:val="P68B1DB1-Normal15"/>
              <w:spacing w:before="0" w:after="0" w:line="240" w:lineRule="auto"/>
              <w:jc w:val="center"/>
              <w:rPr>
                <w:noProof/>
              </w:rPr>
            </w:pPr>
            <w:r>
              <w:rPr>
                <w:noProof/>
              </w:rPr>
              <w:t>338</w:t>
            </w:r>
          </w:p>
        </w:tc>
        <w:tc>
          <w:tcPr>
            <w:tcW w:w="1657" w:type="dxa"/>
            <w:tcBorders>
              <w:top w:val="single" w:sz="4" w:space="0" w:color="auto"/>
              <w:left w:val="single" w:sz="4" w:space="0" w:color="auto"/>
              <w:bottom w:val="single" w:sz="4" w:space="0" w:color="auto"/>
              <w:right w:val="single" w:sz="4" w:space="0" w:color="auto"/>
            </w:tcBorders>
            <w:shd w:val="clear" w:color="auto" w:fill="C6EFCE"/>
            <w:vAlign w:val="center"/>
          </w:tcPr>
          <w:p w14:paraId="5BAEE12B" w14:textId="64F503AE" w:rsidR="00025543" w:rsidRDefault="007E3A2F">
            <w:pPr>
              <w:pStyle w:val="P68B1DB1-Normal15"/>
              <w:spacing w:before="0" w:after="0" w:line="240" w:lineRule="auto"/>
              <w:rPr>
                <w:noProof/>
              </w:rPr>
            </w:pPr>
            <w:r>
              <w:rPr>
                <w:noProof/>
              </w:rPr>
              <w:t>Investissement 1: Mesure à plus grande échelle: Aides à l’achat de véhicules — véhicules (électriques, H2, vélos) pour les entreprises privées</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5F010AEE" w14:textId="6C65AF30" w:rsidR="00025543" w:rsidRDefault="007E3A2F">
            <w:pPr>
              <w:pStyle w:val="P68B1DB1-Normal15"/>
              <w:spacing w:before="0" w:after="0" w:line="240" w:lineRule="auto"/>
              <w:rPr>
                <w:noProof/>
              </w:rPr>
            </w:pPr>
            <w:r>
              <w:rPr>
                <w:noProof/>
              </w:rPr>
              <w:t>Cible</w:t>
            </w:r>
          </w:p>
        </w:tc>
        <w:tc>
          <w:tcPr>
            <w:tcW w:w="1576" w:type="dxa"/>
            <w:tcBorders>
              <w:top w:val="single" w:sz="4" w:space="0" w:color="auto"/>
              <w:left w:val="single" w:sz="4" w:space="0" w:color="auto"/>
              <w:bottom w:val="single" w:sz="4" w:space="0" w:color="auto"/>
              <w:right w:val="single" w:sz="4" w:space="0" w:color="auto"/>
            </w:tcBorders>
            <w:shd w:val="clear" w:color="auto" w:fill="C6EFCE"/>
            <w:vAlign w:val="center"/>
          </w:tcPr>
          <w:p w14:paraId="460D4445" w14:textId="1ED7BC48" w:rsidR="00025543" w:rsidRDefault="007E3A2F">
            <w:pPr>
              <w:pStyle w:val="P68B1DB1-Normal15"/>
              <w:spacing w:before="0" w:after="0" w:line="240" w:lineRule="auto"/>
              <w:rPr>
                <w:noProof/>
              </w:rPr>
            </w:pPr>
            <w:r>
              <w:rPr>
                <w:noProof/>
              </w:rPr>
              <w:t>Augmentation de l’objectif 119 du volet 2.4</w:t>
            </w:r>
          </w:p>
        </w:tc>
        <w:tc>
          <w:tcPr>
            <w:tcW w:w="1493" w:type="dxa"/>
            <w:tcBorders>
              <w:top w:val="single" w:sz="4" w:space="0" w:color="auto"/>
              <w:left w:val="single" w:sz="4" w:space="0" w:color="auto"/>
              <w:bottom w:val="single" w:sz="4" w:space="0" w:color="auto"/>
              <w:right w:val="single" w:sz="4" w:space="0" w:color="auto"/>
            </w:tcBorders>
            <w:shd w:val="clear" w:color="auto" w:fill="C6EFCE"/>
            <w:vAlign w:val="center"/>
          </w:tcPr>
          <w:p w14:paraId="0600F5EB" w14:textId="77777777" w:rsidR="00025543" w:rsidRDefault="00025543">
            <w:pPr>
              <w:spacing w:before="0" w:after="0" w:line="240" w:lineRule="auto"/>
              <w:rPr>
                <w:rFonts w:eastAsia="Times New Roman"/>
                <w:noProof/>
                <w:color w:val="004300"/>
                <w:sz w:val="18"/>
              </w:rPr>
            </w:pPr>
          </w:p>
        </w:tc>
        <w:tc>
          <w:tcPr>
            <w:tcW w:w="1010" w:type="dxa"/>
            <w:tcBorders>
              <w:top w:val="single" w:sz="4" w:space="0" w:color="auto"/>
              <w:left w:val="single" w:sz="4" w:space="0" w:color="auto"/>
              <w:bottom w:val="single" w:sz="4" w:space="0" w:color="auto"/>
              <w:right w:val="single" w:sz="4" w:space="0" w:color="auto"/>
            </w:tcBorders>
            <w:shd w:val="clear" w:color="auto" w:fill="C6EFCE"/>
            <w:vAlign w:val="center"/>
          </w:tcPr>
          <w:p w14:paraId="6DE6EC98" w14:textId="555ECC1B" w:rsidR="00025543" w:rsidRDefault="007E3A2F">
            <w:pPr>
              <w:pStyle w:val="P68B1DB1-Normal15"/>
              <w:spacing w:before="0" w:after="0" w:line="240" w:lineRule="auto"/>
              <w:rPr>
                <w:noProof/>
              </w:rPr>
            </w:pPr>
            <w:r>
              <w:rPr>
                <w:noProof/>
              </w:rPr>
              <w:t xml:space="preserve">Augmentation du nombre </w:t>
            </w:r>
          </w:p>
        </w:tc>
        <w:tc>
          <w:tcPr>
            <w:tcW w:w="1005" w:type="dxa"/>
            <w:tcBorders>
              <w:top w:val="single" w:sz="4" w:space="0" w:color="auto"/>
              <w:left w:val="single" w:sz="4" w:space="0" w:color="auto"/>
              <w:bottom w:val="single" w:sz="4" w:space="0" w:color="auto"/>
              <w:right w:val="single" w:sz="4" w:space="0" w:color="auto"/>
            </w:tcBorders>
            <w:shd w:val="clear" w:color="auto" w:fill="C6EFCE"/>
            <w:vAlign w:val="center"/>
          </w:tcPr>
          <w:p w14:paraId="4F0F7436" w14:textId="30C8F942" w:rsidR="00025543" w:rsidRDefault="007E3A2F">
            <w:pPr>
              <w:pStyle w:val="P68B1DB1-Normal15"/>
              <w:spacing w:before="0" w:after="0" w:line="240" w:lineRule="auto"/>
              <w:jc w:val="center"/>
              <w:rPr>
                <w:noProof/>
              </w:rPr>
            </w:pPr>
            <w:r>
              <w:rPr>
                <w:noProof/>
              </w:rPr>
              <w:t>2670</w:t>
            </w:r>
          </w:p>
        </w:tc>
        <w:tc>
          <w:tcPr>
            <w:tcW w:w="1005" w:type="dxa"/>
            <w:tcBorders>
              <w:top w:val="single" w:sz="4" w:space="0" w:color="auto"/>
              <w:left w:val="single" w:sz="4" w:space="0" w:color="auto"/>
              <w:bottom w:val="single" w:sz="4" w:space="0" w:color="auto"/>
              <w:right w:val="single" w:sz="4" w:space="0" w:color="auto"/>
            </w:tcBorders>
            <w:shd w:val="clear" w:color="auto" w:fill="C6EFCE"/>
            <w:vAlign w:val="center"/>
          </w:tcPr>
          <w:p w14:paraId="1EEA1229" w14:textId="290F1D76" w:rsidR="00025543" w:rsidRDefault="007E3A2F">
            <w:pPr>
              <w:pStyle w:val="P68B1DB1-Normal15"/>
              <w:spacing w:before="0" w:after="0" w:line="240" w:lineRule="auto"/>
              <w:jc w:val="center"/>
              <w:rPr>
                <w:noProof/>
              </w:rPr>
            </w:pPr>
            <w:r>
              <w:rPr>
                <w:noProof/>
              </w:rPr>
              <w:t>4555</w:t>
            </w:r>
          </w:p>
        </w:tc>
        <w:tc>
          <w:tcPr>
            <w:tcW w:w="1021" w:type="dxa"/>
            <w:tcBorders>
              <w:top w:val="single" w:sz="4" w:space="0" w:color="auto"/>
              <w:left w:val="single" w:sz="4" w:space="0" w:color="auto"/>
              <w:bottom w:val="single" w:sz="4" w:space="0" w:color="auto"/>
              <w:right w:val="single" w:sz="4" w:space="0" w:color="auto"/>
            </w:tcBorders>
            <w:shd w:val="clear" w:color="auto" w:fill="C6EFCE"/>
            <w:vAlign w:val="center"/>
          </w:tcPr>
          <w:p w14:paraId="14C780DE" w14:textId="43EA1275" w:rsidR="00025543" w:rsidRDefault="007E3A2F">
            <w:pPr>
              <w:pStyle w:val="P68B1DB1-Normal15"/>
              <w:spacing w:before="0" w:after="0" w:line="240" w:lineRule="auto"/>
              <w:jc w:val="center"/>
              <w:rPr>
                <w:noProof/>
              </w:rPr>
            </w:pPr>
            <w:r>
              <w:rPr>
                <w:noProof/>
              </w:rPr>
              <w:t xml:space="preserve">TRIMESTRE 4 </w:t>
            </w:r>
          </w:p>
        </w:tc>
        <w:tc>
          <w:tcPr>
            <w:tcW w:w="668" w:type="dxa"/>
            <w:tcBorders>
              <w:top w:val="single" w:sz="4" w:space="0" w:color="auto"/>
              <w:left w:val="single" w:sz="4" w:space="0" w:color="auto"/>
              <w:bottom w:val="single" w:sz="4" w:space="0" w:color="auto"/>
              <w:right w:val="single" w:sz="4" w:space="0" w:color="auto"/>
            </w:tcBorders>
            <w:shd w:val="clear" w:color="auto" w:fill="C6EFCE"/>
            <w:vAlign w:val="center"/>
          </w:tcPr>
          <w:p w14:paraId="44A7938C" w14:textId="05D2DD23" w:rsidR="00025543" w:rsidRDefault="007E3A2F">
            <w:pPr>
              <w:pStyle w:val="P68B1DB1-Normal15"/>
              <w:spacing w:before="0" w:after="0" w:line="240" w:lineRule="auto"/>
              <w:jc w:val="center"/>
              <w:rPr>
                <w:noProof/>
              </w:rPr>
            </w:pPr>
            <w:r>
              <w:rPr>
                <w:noProof/>
              </w:rPr>
              <w:t>2025</w:t>
            </w:r>
          </w:p>
        </w:tc>
        <w:tc>
          <w:tcPr>
            <w:tcW w:w="4217" w:type="dxa"/>
            <w:tcBorders>
              <w:top w:val="single" w:sz="4" w:space="0" w:color="auto"/>
              <w:left w:val="single" w:sz="4" w:space="0" w:color="auto"/>
              <w:bottom w:val="single" w:sz="4" w:space="0" w:color="auto"/>
              <w:right w:val="single" w:sz="4" w:space="0" w:color="auto"/>
            </w:tcBorders>
            <w:shd w:val="clear" w:color="auto" w:fill="C6EFCE"/>
            <w:vAlign w:val="center"/>
          </w:tcPr>
          <w:p w14:paraId="6BD445F6" w14:textId="13FEB4C2" w:rsidR="00025543" w:rsidRDefault="007E3A2F">
            <w:pPr>
              <w:pStyle w:val="P68B1DB1-Normal15"/>
              <w:pageBreakBefore/>
              <w:shd w:val="clear" w:color="auto" w:fill="C6EFCE"/>
              <w:spacing w:after="0" w:line="240" w:lineRule="auto"/>
              <w:jc w:val="both"/>
              <w:textAlignment w:val="baseline"/>
              <w:rPr>
                <w:noProof/>
              </w:rPr>
            </w:pPr>
            <w:r>
              <w:rPr>
                <w:noProof/>
              </w:rPr>
              <w:t>Une augmentation de 1885 unités supplémentaires du nombre de véhicules à émission nulle, soit un total de 4,555 véhicules neufs, dont 4055 véhicules à émission nulle (voitures et camionnettes) et 500 nouveaux vélos électriques cargo.</w:t>
            </w:r>
          </w:p>
        </w:tc>
      </w:tr>
    </w:tbl>
    <w:p w14:paraId="2EB3144F" w14:textId="77777777" w:rsidR="00025543" w:rsidRDefault="00025543">
      <w:pPr>
        <w:keepNext/>
        <w:pBdr>
          <w:top w:val="nil"/>
          <w:left w:val="nil"/>
          <w:bottom w:val="nil"/>
          <w:right w:val="nil"/>
          <w:between w:val="nil"/>
        </w:pBdr>
        <w:tabs>
          <w:tab w:val="left" w:pos="993"/>
        </w:tabs>
        <w:spacing w:line="240" w:lineRule="auto"/>
        <w:jc w:val="both"/>
        <w:rPr>
          <w:rFonts w:eastAsia="Times New Roman"/>
          <w:b/>
          <w:noProof/>
          <w:color w:val="000000" w:themeColor="text1"/>
          <w:u w:val="single"/>
        </w:rPr>
        <w:sectPr w:rsidR="00025543" w:rsidSect="003F264F">
          <w:headerReference w:type="even" r:id="rId492"/>
          <w:headerReference w:type="default" r:id="rId493"/>
          <w:footerReference w:type="even" r:id="rId494"/>
          <w:footerReference w:type="default" r:id="rId495"/>
          <w:headerReference w:type="first" r:id="rId496"/>
          <w:footerReference w:type="first" r:id="rId497"/>
          <w:pgSz w:w="16839" w:h="11907" w:orient="landscape"/>
          <w:pgMar w:top="1134" w:right="1134" w:bottom="1134" w:left="1134" w:header="567" w:footer="567" w:gutter="0"/>
          <w:cols w:space="720"/>
          <w:docGrid w:linePitch="360"/>
        </w:sectPr>
      </w:pPr>
    </w:p>
    <w:p w14:paraId="5C401099" w14:textId="14F04ECF" w:rsidR="00025543" w:rsidRDefault="007E3A2F">
      <w:pPr>
        <w:pStyle w:val="P68B1DB1-Normal7"/>
        <w:keepNext/>
        <w:tabs>
          <w:tab w:val="left" w:pos="850"/>
        </w:tabs>
        <w:spacing w:line="240" w:lineRule="auto"/>
        <w:jc w:val="both"/>
        <w:outlineLvl w:val="0"/>
        <w:rPr>
          <w:caps/>
          <w:noProof/>
        </w:rPr>
      </w:pPr>
      <w:r>
        <w:rPr>
          <w:caps/>
          <w:noProof/>
        </w:rPr>
        <w:t xml:space="preserve">JJ. Composante 7.6 </w:t>
      </w:r>
      <w:r>
        <w:rPr>
          <w:smallCaps/>
          <w:noProof/>
        </w:rPr>
        <w:t>Électrification des transports ferroviaires (REPowerEU)</w:t>
      </w:r>
    </w:p>
    <w:p w14:paraId="02008DDB" w14:textId="2C30A1A1" w:rsidR="00025543" w:rsidRDefault="007E3A2F">
      <w:pPr>
        <w:pStyle w:val="P68B1DB1-Normal3"/>
        <w:pBdr>
          <w:top w:val="nil"/>
          <w:left w:val="nil"/>
          <w:bottom w:val="nil"/>
          <w:right w:val="nil"/>
          <w:between w:val="nil"/>
        </w:pBdr>
        <w:tabs>
          <w:tab w:val="left" w:pos="993"/>
        </w:tabs>
        <w:spacing w:line="240" w:lineRule="auto"/>
        <w:jc w:val="both"/>
        <w:rPr>
          <w:noProof/>
          <w:shd w:val="clear" w:color="auto" w:fill="E6E6E6"/>
        </w:rPr>
      </w:pPr>
      <w:r>
        <w:rPr>
          <w:noProof/>
        </w:rPr>
        <w:t>Ce volet du plan pour la reprise et la résilience de la République tchèque répond à la nécessité actuelle de faire évoluer le secteur européen des transports vers des modes de transport plus durables, notamment en promouvant le transfert modal vers le rail.</w:t>
      </w:r>
    </w:p>
    <w:p w14:paraId="60149148" w14:textId="63D4A839" w:rsidR="00025543" w:rsidRDefault="007E3A2F">
      <w:pPr>
        <w:pStyle w:val="P68B1DB1-Normal3"/>
        <w:pBdr>
          <w:top w:val="nil"/>
          <w:left w:val="nil"/>
          <w:bottom w:val="nil"/>
          <w:right w:val="nil"/>
          <w:between w:val="nil"/>
        </w:pBdr>
        <w:tabs>
          <w:tab w:val="left" w:pos="993"/>
        </w:tabs>
        <w:spacing w:line="240" w:lineRule="auto"/>
        <w:jc w:val="both"/>
        <w:rPr>
          <w:noProof/>
        </w:rPr>
      </w:pPr>
      <w:r>
        <w:rPr>
          <w:noProof/>
        </w:rPr>
        <w:t>Ce volet vise à accroître l’électrification</w:t>
      </w:r>
      <w:r>
        <w:rPr>
          <w:noProof/>
          <w:shd w:val="clear" w:color="auto" w:fill="E6E6E6"/>
        </w:rPr>
        <w:t xml:space="preserve"> </w:t>
      </w:r>
      <w:r>
        <w:rPr>
          <w:noProof/>
        </w:rPr>
        <w:t>des réseaux ferroviaires tchèques et à moderniser les réseaux ferroviaires tchèques.</w:t>
      </w:r>
    </w:p>
    <w:p w14:paraId="444149E4" w14:textId="15487002" w:rsidR="00025543" w:rsidRDefault="007E3A2F">
      <w:pPr>
        <w:pStyle w:val="P68B1DB1-Normal3"/>
        <w:pBdr>
          <w:top w:val="nil"/>
          <w:left w:val="nil"/>
          <w:bottom w:val="nil"/>
          <w:right w:val="nil"/>
          <w:between w:val="nil"/>
        </w:pBdr>
        <w:tabs>
          <w:tab w:val="left" w:pos="993"/>
        </w:tabs>
        <w:spacing w:line="240" w:lineRule="auto"/>
        <w:jc w:val="both"/>
        <w:rPr>
          <w:noProof/>
        </w:rPr>
      </w:pPr>
      <w:r>
        <w:rPr>
          <w:noProof/>
        </w:rPr>
        <w:t>Ce volet est lié à la mise en œuvre de la recommandation no 4 de 2022, notamment en cherchant à réduire l’utilisation des combustibles fossiles dans le système de transport tchèque.</w:t>
      </w:r>
    </w:p>
    <w:p w14:paraId="7EEEF933" w14:textId="77777777" w:rsidR="00025543" w:rsidRDefault="00025543">
      <w:pPr>
        <w:pBdr>
          <w:top w:val="nil"/>
          <w:left w:val="nil"/>
          <w:bottom w:val="nil"/>
          <w:right w:val="nil"/>
          <w:between w:val="nil"/>
        </w:pBdr>
        <w:tabs>
          <w:tab w:val="left" w:pos="993"/>
        </w:tabs>
        <w:spacing w:line="240" w:lineRule="auto"/>
        <w:jc w:val="both"/>
        <w:rPr>
          <w:rFonts w:eastAsia="Times New Roman"/>
          <w:noProof/>
        </w:rPr>
      </w:pPr>
    </w:p>
    <w:p w14:paraId="58E1B4C2" w14:textId="102F607E" w:rsidR="00025543" w:rsidRDefault="007E3A2F">
      <w:pPr>
        <w:pStyle w:val="P68B1DB1-Normal5"/>
        <w:spacing w:before="0" w:after="200" w:line="276" w:lineRule="auto"/>
        <w:jc w:val="both"/>
        <w:rPr>
          <w:noProof/>
          <w:shd w:val="clear" w:color="auto" w:fill="E6E6E6"/>
        </w:rPr>
      </w:pPr>
      <w:r>
        <w:rPr>
          <w:noProof/>
        </w:rPr>
        <w:t>JJ.1 Description des investissements destinés au soutien financier non remboursable</w:t>
      </w:r>
      <w:r>
        <w:rPr>
          <w:noProof/>
          <w:shd w:val="clear" w:color="auto" w:fill="E6E6E6"/>
        </w:rPr>
        <w:t xml:space="preserve"> </w:t>
      </w:r>
    </w:p>
    <w:p w14:paraId="0F696455" w14:textId="039D531D" w:rsidR="00025543" w:rsidRDefault="007E3A2F">
      <w:pPr>
        <w:pStyle w:val="P68B1DB1-Normal7"/>
        <w:spacing w:before="0" w:after="200" w:line="276" w:lineRule="auto"/>
        <w:jc w:val="both"/>
        <w:rPr>
          <w:noProof/>
        </w:rPr>
      </w:pPr>
      <w:r>
        <w:rPr>
          <w:noProof/>
        </w:rPr>
        <w:t>Investissement 1: Électrification dans la région de Brno</w:t>
      </w:r>
    </w:p>
    <w:p w14:paraId="593ACFE4" w14:textId="7D5FF4AE" w:rsidR="00025543" w:rsidRDefault="007E3A2F">
      <w:pPr>
        <w:spacing w:before="0" w:after="200" w:line="276" w:lineRule="auto"/>
        <w:jc w:val="both"/>
        <w:rPr>
          <w:noProof/>
        </w:rPr>
      </w:pPr>
      <w:r>
        <w:rPr>
          <w:noProof/>
        </w:rPr>
        <w:t>L’investissement vise à achever l’électrification d’un projet</w:t>
      </w:r>
      <w:r>
        <w:rPr>
          <w:noProof/>
          <w:shd w:val="clear" w:color="auto" w:fill="E6E6E6"/>
        </w:rPr>
        <w:t xml:space="preserve"> </w:t>
      </w:r>
      <w:r>
        <w:rPr>
          <w:noProof/>
        </w:rPr>
        <w:t>spécifique dans la région de Brno, réduisant ainsi la dépendance à l’égard des combustibles fossiles dans le système de transport local. L’investissement permettra d’achever le projet «Électrification Brno-Zastávka u Brna, phase 2», d’une longueur de 9,98 km.</w:t>
      </w:r>
    </w:p>
    <w:p w14:paraId="40F49FF0" w14:textId="1565E470" w:rsidR="00025543" w:rsidRDefault="007E3A2F">
      <w:pPr>
        <w:spacing w:before="0" w:after="200" w:line="276" w:lineRule="auto"/>
        <w:jc w:val="both"/>
        <w:rPr>
          <w:noProof/>
        </w:rPr>
        <w:sectPr w:rsidR="00025543" w:rsidSect="003F264F">
          <w:headerReference w:type="even" r:id="rId498"/>
          <w:headerReference w:type="default" r:id="rId499"/>
          <w:footerReference w:type="even" r:id="rId500"/>
          <w:footerReference w:type="default" r:id="rId501"/>
          <w:headerReference w:type="first" r:id="rId502"/>
          <w:footerReference w:type="first" r:id="rId503"/>
          <w:pgSz w:w="11907" w:h="16839" w:code="9"/>
          <w:pgMar w:top="1134" w:right="1134" w:bottom="1134" w:left="1134" w:header="567" w:footer="567" w:gutter="0"/>
          <w:cols w:space="720"/>
          <w:docGrid w:linePitch="360"/>
        </w:sectPr>
      </w:pPr>
      <w:r>
        <w:rPr>
          <w:noProof/>
        </w:rPr>
        <w:t>La mise en œuvre de l’investissement est achevée au plus tard le 30 juin 2026.</w:t>
      </w:r>
    </w:p>
    <w:p w14:paraId="79E13ABE" w14:textId="351D615B" w:rsidR="00025543" w:rsidRDefault="007E3A2F">
      <w:pPr>
        <w:pStyle w:val="P68B1DB1-Normal32"/>
        <w:pBdr>
          <w:top w:val="nil"/>
          <w:left w:val="nil"/>
          <w:bottom w:val="nil"/>
          <w:right w:val="nil"/>
          <w:between w:val="nil"/>
        </w:pBdr>
        <w:tabs>
          <w:tab w:val="left" w:pos="993"/>
        </w:tabs>
        <w:spacing w:line="240" w:lineRule="auto"/>
        <w:jc w:val="both"/>
        <w:rPr>
          <w:noProof/>
          <w:color w:val="000000" w:themeColor="text1"/>
        </w:rPr>
      </w:pPr>
      <w:r>
        <w:rPr>
          <w:noProof/>
        </w:rPr>
        <w:t xml:space="preserve">JJ.2. Jalons, cibles, indicateurs et calendrier de suivi et de mise en œuvre en vue du </w:t>
      </w:r>
      <w:r>
        <w:rPr>
          <w:noProof/>
          <w:color w:val="000000" w:themeColor="text1"/>
        </w:rPr>
        <w:t>soutien financier non remboursable</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9"/>
        <w:gridCol w:w="1570"/>
        <w:gridCol w:w="1099"/>
        <w:gridCol w:w="1495"/>
        <w:gridCol w:w="1738"/>
        <w:gridCol w:w="958"/>
        <w:gridCol w:w="958"/>
        <w:gridCol w:w="958"/>
        <w:gridCol w:w="990"/>
        <w:gridCol w:w="641"/>
        <w:gridCol w:w="3975"/>
      </w:tblGrid>
      <w:tr w:rsidR="00025543" w14:paraId="14BC584F" w14:textId="77777777">
        <w:trPr>
          <w:trHeight w:val="672"/>
          <w:tblHeader/>
          <w:jc w:val="center"/>
        </w:trPr>
        <w:tc>
          <w:tcPr>
            <w:tcW w:w="654" w:type="dxa"/>
            <w:vMerge w:val="restart"/>
            <w:shd w:val="clear" w:color="auto" w:fill="BDD7EE"/>
            <w:vAlign w:val="center"/>
            <w:hideMark/>
          </w:tcPr>
          <w:p w14:paraId="2178D80E" w14:textId="77777777" w:rsidR="00025543" w:rsidRDefault="007E3A2F">
            <w:pPr>
              <w:pStyle w:val="P68B1DB1-Normal9"/>
              <w:spacing w:before="0" w:after="0" w:line="240" w:lineRule="auto"/>
              <w:jc w:val="center"/>
              <w:rPr>
                <w:noProof/>
              </w:rPr>
            </w:pPr>
            <w:r>
              <w:rPr>
                <w:noProof/>
              </w:rPr>
              <w:t>Séquence NUM.</w:t>
            </w:r>
          </w:p>
        </w:tc>
        <w:tc>
          <w:tcPr>
            <w:tcW w:w="1625" w:type="dxa"/>
            <w:vMerge w:val="restart"/>
            <w:shd w:val="clear" w:color="auto" w:fill="BDD7EE"/>
            <w:vAlign w:val="center"/>
            <w:hideMark/>
          </w:tcPr>
          <w:p w14:paraId="340564A2" w14:textId="77777777" w:rsidR="00025543" w:rsidRDefault="007E3A2F">
            <w:pPr>
              <w:pStyle w:val="P68B1DB1-Normal9"/>
              <w:spacing w:before="0" w:after="0" w:line="240" w:lineRule="auto"/>
              <w:jc w:val="center"/>
              <w:rPr>
                <w:noProof/>
              </w:rPr>
            </w:pPr>
            <w:r>
              <w:rPr>
                <w:noProof/>
              </w:rPr>
              <w:t>Mesure connexe (réforme ou investissement)</w:t>
            </w:r>
          </w:p>
        </w:tc>
        <w:tc>
          <w:tcPr>
            <w:tcW w:w="1134" w:type="dxa"/>
            <w:vMerge w:val="restart"/>
            <w:shd w:val="clear" w:color="auto" w:fill="BDD7EE"/>
            <w:vAlign w:val="center"/>
            <w:hideMark/>
          </w:tcPr>
          <w:p w14:paraId="4DF262A2" w14:textId="77777777" w:rsidR="00025543" w:rsidRDefault="007E3A2F">
            <w:pPr>
              <w:pStyle w:val="P68B1DB1-Normal9"/>
              <w:spacing w:before="0" w:after="0" w:line="240" w:lineRule="auto"/>
              <w:jc w:val="center"/>
              <w:rPr>
                <w:noProof/>
              </w:rPr>
            </w:pPr>
            <w:r>
              <w:rPr>
                <w:noProof/>
              </w:rPr>
              <w:t>Jalon/cible</w:t>
            </w:r>
          </w:p>
        </w:tc>
        <w:tc>
          <w:tcPr>
            <w:tcW w:w="1546" w:type="dxa"/>
            <w:vMerge w:val="restart"/>
            <w:shd w:val="clear" w:color="auto" w:fill="BDD7EE"/>
            <w:vAlign w:val="center"/>
            <w:hideMark/>
          </w:tcPr>
          <w:p w14:paraId="66BEBB23" w14:textId="77777777" w:rsidR="00025543" w:rsidRDefault="007E3A2F">
            <w:pPr>
              <w:pStyle w:val="P68B1DB1-Normal9"/>
              <w:spacing w:before="0" w:after="0" w:line="240" w:lineRule="auto"/>
              <w:jc w:val="center"/>
              <w:rPr>
                <w:noProof/>
              </w:rPr>
            </w:pPr>
            <w:r>
              <w:rPr>
                <w:noProof/>
              </w:rPr>
              <w:t>Nom</w:t>
            </w:r>
          </w:p>
        </w:tc>
        <w:tc>
          <w:tcPr>
            <w:tcW w:w="1799" w:type="dxa"/>
            <w:vMerge w:val="restart"/>
            <w:shd w:val="clear" w:color="auto" w:fill="BDD7EE"/>
            <w:vAlign w:val="center"/>
            <w:hideMark/>
          </w:tcPr>
          <w:p w14:paraId="3E1E2932" w14:textId="77777777" w:rsidR="00025543" w:rsidRDefault="007E3A2F">
            <w:pPr>
              <w:pStyle w:val="P68B1DB1-Normal9"/>
              <w:spacing w:before="0" w:after="0" w:line="240" w:lineRule="auto"/>
              <w:jc w:val="center"/>
              <w:rPr>
                <w:noProof/>
              </w:rPr>
            </w:pPr>
            <w:r>
              <w:rPr>
                <w:noProof/>
              </w:rPr>
              <w:t xml:space="preserve">Qualitatifs </w:t>
            </w:r>
            <w:r>
              <w:rPr>
                <w:noProof/>
              </w:rPr>
              <w:br/>
              <w:t>(pour les jalons)</w:t>
            </w:r>
          </w:p>
        </w:tc>
        <w:tc>
          <w:tcPr>
            <w:tcW w:w="2964" w:type="dxa"/>
            <w:gridSpan w:val="3"/>
            <w:shd w:val="clear" w:color="auto" w:fill="BDD7EE"/>
            <w:vAlign w:val="center"/>
            <w:hideMark/>
          </w:tcPr>
          <w:p w14:paraId="261F4A31" w14:textId="77777777" w:rsidR="00025543" w:rsidRDefault="007E3A2F">
            <w:pPr>
              <w:pStyle w:val="P68B1DB1-Normal9"/>
              <w:spacing w:before="0" w:after="0" w:line="240" w:lineRule="auto"/>
              <w:jc w:val="center"/>
              <w:rPr>
                <w:noProof/>
              </w:rPr>
            </w:pPr>
            <w:r>
              <w:rPr>
                <w:noProof/>
              </w:rPr>
              <w:t xml:space="preserve">Indicateurs quantitatifs </w:t>
            </w:r>
            <w:r>
              <w:rPr>
                <w:noProof/>
              </w:rPr>
              <w:br/>
              <w:t>(pour les objectifs)</w:t>
            </w:r>
          </w:p>
        </w:tc>
        <w:tc>
          <w:tcPr>
            <w:tcW w:w="1317" w:type="dxa"/>
            <w:gridSpan w:val="2"/>
            <w:shd w:val="clear" w:color="auto" w:fill="BDD7EE"/>
            <w:vAlign w:val="center"/>
            <w:hideMark/>
          </w:tcPr>
          <w:p w14:paraId="196E0A47" w14:textId="77777777" w:rsidR="00025543" w:rsidRDefault="007E3A2F">
            <w:pPr>
              <w:pStyle w:val="P68B1DB1-Normal9"/>
              <w:spacing w:before="0" w:after="0" w:line="240" w:lineRule="auto"/>
              <w:jc w:val="center"/>
              <w:rPr>
                <w:noProof/>
              </w:rPr>
            </w:pPr>
            <w:r>
              <w:rPr>
                <w:noProof/>
              </w:rPr>
              <w:t xml:space="preserve">Calendrier indicatif de réalisation </w:t>
            </w:r>
          </w:p>
        </w:tc>
        <w:tc>
          <w:tcPr>
            <w:tcW w:w="4128" w:type="dxa"/>
            <w:vMerge w:val="restart"/>
            <w:shd w:val="clear" w:color="auto" w:fill="BDD7EE"/>
            <w:vAlign w:val="center"/>
            <w:hideMark/>
          </w:tcPr>
          <w:p w14:paraId="2D8CFC6B" w14:textId="77777777" w:rsidR="00025543" w:rsidRDefault="007E3A2F">
            <w:pPr>
              <w:pStyle w:val="P68B1DB1-Normal9"/>
              <w:spacing w:before="0" w:after="0" w:line="240" w:lineRule="auto"/>
              <w:jc w:val="center"/>
              <w:rPr>
                <w:noProof/>
              </w:rPr>
            </w:pPr>
            <w:r>
              <w:rPr>
                <w:noProof/>
              </w:rPr>
              <w:t>Description de chaque jalon et cible</w:t>
            </w:r>
          </w:p>
        </w:tc>
      </w:tr>
      <w:tr w:rsidR="00025543" w14:paraId="3EF0AC45" w14:textId="77777777">
        <w:trPr>
          <w:trHeight w:val="458"/>
          <w:tblHeader/>
          <w:jc w:val="center"/>
        </w:trPr>
        <w:tc>
          <w:tcPr>
            <w:tcW w:w="654" w:type="dxa"/>
            <w:vMerge/>
            <w:vAlign w:val="center"/>
            <w:hideMark/>
          </w:tcPr>
          <w:p w14:paraId="18949476" w14:textId="77777777" w:rsidR="00025543" w:rsidRDefault="00025543">
            <w:pPr>
              <w:spacing w:before="0" w:after="0" w:line="240" w:lineRule="auto"/>
              <w:rPr>
                <w:rFonts w:eastAsia="Times New Roman"/>
                <w:b/>
                <w:noProof/>
                <w:sz w:val="18"/>
              </w:rPr>
            </w:pPr>
          </w:p>
        </w:tc>
        <w:tc>
          <w:tcPr>
            <w:tcW w:w="1625" w:type="dxa"/>
            <w:vMerge/>
            <w:vAlign w:val="center"/>
            <w:hideMark/>
          </w:tcPr>
          <w:p w14:paraId="17102A78" w14:textId="77777777" w:rsidR="00025543" w:rsidRDefault="00025543">
            <w:pPr>
              <w:spacing w:before="0" w:after="0" w:line="240" w:lineRule="auto"/>
              <w:rPr>
                <w:rFonts w:eastAsia="Times New Roman"/>
                <w:b/>
                <w:noProof/>
                <w:sz w:val="18"/>
              </w:rPr>
            </w:pPr>
          </w:p>
        </w:tc>
        <w:tc>
          <w:tcPr>
            <w:tcW w:w="1134" w:type="dxa"/>
            <w:vMerge/>
            <w:vAlign w:val="center"/>
            <w:hideMark/>
          </w:tcPr>
          <w:p w14:paraId="6239E887" w14:textId="77777777" w:rsidR="00025543" w:rsidRDefault="00025543">
            <w:pPr>
              <w:spacing w:before="0" w:after="0" w:line="240" w:lineRule="auto"/>
              <w:rPr>
                <w:rFonts w:eastAsia="Times New Roman"/>
                <w:b/>
                <w:noProof/>
                <w:sz w:val="18"/>
              </w:rPr>
            </w:pPr>
          </w:p>
        </w:tc>
        <w:tc>
          <w:tcPr>
            <w:tcW w:w="1546" w:type="dxa"/>
            <w:vMerge/>
            <w:vAlign w:val="center"/>
            <w:hideMark/>
          </w:tcPr>
          <w:p w14:paraId="629A5FF4" w14:textId="77777777" w:rsidR="00025543" w:rsidRDefault="00025543">
            <w:pPr>
              <w:spacing w:before="0" w:after="0" w:line="240" w:lineRule="auto"/>
              <w:rPr>
                <w:rFonts w:eastAsia="Times New Roman"/>
                <w:b/>
                <w:noProof/>
                <w:sz w:val="18"/>
              </w:rPr>
            </w:pPr>
          </w:p>
        </w:tc>
        <w:tc>
          <w:tcPr>
            <w:tcW w:w="1799" w:type="dxa"/>
            <w:vMerge/>
            <w:vAlign w:val="center"/>
            <w:hideMark/>
          </w:tcPr>
          <w:p w14:paraId="575FF678" w14:textId="77777777" w:rsidR="00025543" w:rsidRDefault="00025543">
            <w:pPr>
              <w:spacing w:before="0" w:after="0" w:line="240" w:lineRule="auto"/>
              <w:rPr>
                <w:rFonts w:eastAsia="Times New Roman"/>
                <w:b/>
                <w:noProof/>
                <w:sz w:val="18"/>
              </w:rPr>
            </w:pPr>
          </w:p>
        </w:tc>
        <w:tc>
          <w:tcPr>
            <w:tcW w:w="988" w:type="dxa"/>
            <w:shd w:val="clear" w:color="auto" w:fill="BDD7EE"/>
            <w:vAlign w:val="center"/>
            <w:hideMark/>
          </w:tcPr>
          <w:p w14:paraId="177F49D7" w14:textId="77777777" w:rsidR="00025543" w:rsidRDefault="007E3A2F">
            <w:pPr>
              <w:pStyle w:val="P68B1DB1-Normal9"/>
              <w:spacing w:before="0" w:after="0" w:line="240" w:lineRule="auto"/>
              <w:jc w:val="center"/>
              <w:rPr>
                <w:noProof/>
              </w:rPr>
            </w:pPr>
            <w:r>
              <w:rPr>
                <w:noProof/>
              </w:rPr>
              <w:t>Unité de mesure</w:t>
            </w:r>
          </w:p>
        </w:tc>
        <w:tc>
          <w:tcPr>
            <w:tcW w:w="988" w:type="dxa"/>
            <w:shd w:val="clear" w:color="auto" w:fill="BDD7EE"/>
            <w:vAlign w:val="center"/>
            <w:hideMark/>
          </w:tcPr>
          <w:p w14:paraId="09407455" w14:textId="77777777" w:rsidR="00025543" w:rsidRDefault="007E3A2F">
            <w:pPr>
              <w:pStyle w:val="P68B1DB1-Normal9"/>
              <w:spacing w:before="0" w:after="0" w:line="240" w:lineRule="auto"/>
              <w:jc w:val="center"/>
              <w:rPr>
                <w:noProof/>
              </w:rPr>
            </w:pPr>
            <w:r>
              <w:rPr>
                <w:noProof/>
              </w:rPr>
              <w:t xml:space="preserve">Scénario de référence </w:t>
            </w:r>
          </w:p>
        </w:tc>
        <w:tc>
          <w:tcPr>
            <w:tcW w:w="988" w:type="dxa"/>
            <w:shd w:val="clear" w:color="auto" w:fill="BDD7EE"/>
            <w:vAlign w:val="center"/>
            <w:hideMark/>
          </w:tcPr>
          <w:p w14:paraId="08BB8F57" w14:textId="77777777" w:rsidR="00025543" w:rsidRDefault="007E3A2F">
            <w:pPr>
              <w:pStyle w:val="P68B1DB1-Normal9"/>
              <w:spacing w:before="0" w:after="0" w:line="240" w:lineRule="auto"/>
              <w:jc w:val="center"/>
              <w:rPr>
                <w:noProof/>
              </w:rPr>
            </w:pPr>
            <w:r>
              <w:rPr>
                <w:noProof/>
              </w:rPr>
              <w:t xml:space="preserve">Objectif </w:t>
            </w:r>
          </w:p>
        </w:tc>
        <w:tc>
          <w:tcPr>
            <w:tcW w:w="1021" w:type="dxa"/>
            <w:shd w:val="clear" w:color="auto" w:fill="BDD7EE"/>
            <w:vAlign w:val="center"/>
            <w:hideMark/>
          </w:tcPr>
          <w:p w14:paraId="1E76A166" w14:textId="77777777" w:rsidR="00025543" w:rsidRDefault="007E3A2F">
            <w:pPr>
              <w:pStyle w:val="P68B1DB1-Normal9"/>
              <w:spacing w:before="0" w:after="0" w:line="240" w:lineRule="auto"/>
              <w:jc w:val="center"/>
              <w:rPr>
                <w:noProof/>
              </w:rPr>
            </w:pPr>
            <w:r>
              <w:rPr>
                <w:noProof/>
              </w:rPr>
              <w:t>Trimestre</w:t>
            </w:r>
          </w:p>
        </w:tc>
        <w:tc>
          <w:tcPr>
            <w:tcW w:w="658" w:type="dxa"/>
            <w:shd w:val="clear" w:color="auto" w:fill="BDD7EE"/>
            <w:vAlign w:val="center"/>
            <w:hideMark/>
          </w:tcPr>
          <w:p w14:paraId="481A80A6" w14:textId="77777777" w:rsidR="00025543" w:rsidRDefault="007E3A2F">
            <w:pPr>
              <w:pStyle w:val="P68B1DB1-Normal9"/>
              <w:spacing w:before="0" w:after="0" w:line="240" w:lineRule="auto"/>
              <w:jc w:val="center"/>
              <w:rPr>
                <w:noProof/>
              </w:rPr>
            </w:pPr>
            <w:r>
              <w:rPr>
                <w:noProof/>
              </w:rPr>
              <w:t>Année</w:t>
            </w:r>
          </w:p>
        </w:tc>
        <w:tc>
          <w:tcPr>
            <w:tcW w:w="4128" w:type="dxa"/>
            <w:vMerge/>
            <w:vAlign w:val="center"/>
            <w:hideMark/>
          </w:tcPr>
          <w:p w14:paraId="3BC63BCB" w14:textId="77777777" w:rsidR="00025543" w:rsidRDefault="00025543">
            <w:pPr>
              <w:spacing w:before="0" w:after="0" w:line="240" w:lineRule="auto"/>
              <w:rPr>
                <w:rFonts w:eastAsia="Times New Roman"/>
                <w:b/>
                <w:noProof/>
                <w:sz w:val="18"/>
              </w:rPr>
            </w:pPr>
          </w:p>
        </w:tc>
      </w:tr>
      <w:tr w:rsidR="00025543" w14:paraId="55E4F5DB" w14:textId="77777777">
        <w:trPr>
          <w:trHeight w:val="309"/>
          <w:jc w:val="center"/>
        </w:trPr>
        <w:tc>
          <w:tcPr>
            <w:tcW w:w="654" w:type="dxa"/>
            <w:shd w:val="clear" w:color="auto" w:fill="C6EFCE"/>
            <w:vAlign w:val="center"/>
            <w:hideMark/>
          </w:tcPr>
          <w:p w14:paraId="320D9E85" w14:textId="72D79EB6" w:rsidR="00025543" w:rsidRDefault="007E3A2F">
            <w:pPr>
              <w:pStyle w:val="P68B1DB1-Normal15"/>
              <w:spacing w:before="0" w:after="0" w:line="240" w:lineRule="auto"/>
              <w:jc w:val="center"/>
              <w:rPr>
                <w:noProof/>
              </w:rPr>
            </w:pPr>
            <w:r>
              <w:rPr>
                <w:noProof/>
              </w:rPr>
              <w:t>339</w:t>
            </w:r>
          </w:p>
        </w:tc>
        <w:tc>
          <w:tcPr>
            <w:tcW w:w="1625" w:type="dxa"/>
            <w:shd w:val="clear" w:color="auto" w:fill="C6EFCE"/>
            <w:vAlign w:val="center"/>
            <w:hideMark/>
          </w:tcPr>
          <w:p w14:paraId="4F872AC8" w14:textId="458A2752" w:rsidR="00025543" w:rsidRDefault="007E3A2F">
            <w:pPr>
              <w:pStyle w:val="P68B1DB1-Normal15"/>
              <w:spacing w:before="0" w:after="0" w:line="240" w:lineRule="auto"/>
              <w:rPr>
                <w:noProof/>
              </w:rPr>
            </w:pPr>
            <w:r>
              <w:rPr>
                <w:noProof/>
              </w:rPr>
              <w:t>Investissement 1: Électrification de la région de Brno</w:t>
            </w:r>
          </w:p>
        </w:tc>
        <w:tc>
          <w:tcPr>
            <w:tcW w:w="1134" w:type="dxa"/>
            <w:shd w:val="clear" w:color="auto" w:fill="C6EFCE"/>
            <w:vAlign w:val="center"/>
            <w:hideMark/>
          </w:tcPr>
          <w:p w14:paraId="0F812C07" w14:textId="6111130A" w:rsidR="00025543" w:rsidRDefault="007E3A2F">
            <w:pPr>
              <w:pStyle w:val="P68B1DB1-Normal15"/>
              <w:spacing w:before="0" w:after="0" w:line="240" w:lineRule="auto"/>
              <w:rPr>
                <w:noProof/>
              </w:rPr>
            </w:pPr>
            <w:r>
              <w:rPr>
                <w:noProof/>
              </w:rPr>
              <w:t>Cible</w:t>
            </w:r>
          </w:p>
        </w:tc>
        <w:tc>
          <w:tcPr>
            <w:tcW w:w="1546" w:type="dxa"/>
            <w:shd w:val="clear" w:color="auto" w:fill="C6EFCE"/>
            <w:vAlign w:val="center"/>
            <w:hideMark/>
          </w:tcPr>
          <w:p w14:paraId="6982B533" w14:textId="1075A290" w:rsidR="00025543" w:rsidRDefault="007E3A2F">
            <w:pPr>
              <w:pStyle w:val="P68B1DB1-Normal15"/>
              <w:spacing w:before="0" w:after="0" w:line="240" w:lineRule="auto"/>
              <w:rPr>
                <w:noProof/>
              </w:rPr>
            </w:pPr>
            <w:r>
              <w:rPr>
                <w:noProof/>
              </w:rPr>
              <w:t>Achèvement du projet d’électrification ferroviaire «Électrification de Brno- Zastávka u Brna, phase 2»</w:t>
            </w:r>
          </w:p>
        </w:tc>
        <w:tc>
          <w:tcPr>
            <w:tcW w:w="1799" w:type="dxa"/>
            <w:shd w:val="clear" w:color="auto" w:fill="C6EFCE"/>
            <w:vAlign w:val="center"/>
            <w:hideMark/>
          </w:tcPr>
          <w:p w14:paraId="566E4941" w14:textId="0BEA1A73" w:rsidR="00025543" w:rsidRDefault="00025543">
            <w:pPr>
              <w:spacing w:before="0" w:after="0" w:line="240" w:lineRule="auto"/>
              <w:rPr>
                <w:rFonts w:eastAsia="Times New Roman"/>
                <w:noProof/>
                <w:color w:val="004300"/>
                <w:sz w:val="18"/>
              </w:rPr>
            </w:pPr>
          </w:p>
        </w:tc>
        <w:tc>
          <w:tcPr>
            <w:tcW w:w="988" w:type="dxa"/>
            <w:shd w:val="clear" w:color="auto" w:fill="C6EFCE"/>
            <w:vAlign w:val="center"/>
          </w:tcPr>
          <w:p w14:paraId="5FFD39BF" w14:textId="620C1411" w:rsidR="00025543" w:rsidRDefault="007E3A2F">
            <w:pPr>
              <w:pStyle w:val="P68B1DB1-Normal15"/>
              <w:spacing w:before="0" w:after="0" w:line="240" w:lineRule="auto"/>
              <w:rPr>
                <w:noProof/>
              </w:rPr>
            </w:pPr>
            <w:r>
              <w:rPr>
                <w:noProof/>
              </w:rPr>
              <w:t>Kilomètres</w:t>
            </w:r>
          </w:p>
        </w:tc>
        <w:tc>
          <w:tcPr>
            <w:tcW w:w="988" w:type="dxa"/>
            <w:shd w:val="clear" w:color="auto" w:fill="C6EFCE"/>
            <w:vAlign w:val="center"/>
          </w:tcPr>
          <w:p w14:paraId="109D4D40" w14:textId="7C5CAD30" w:rsidR="00025543" w:rsidRDefault="007E3A2F">
            <w:pPr>
              <w:pStyle w:val="P68B1DB1-Normal15"/>
              <w:spacing w:before="0" w:after="0" w:line="240" w:lineRule="auto"/>
              <w:jc w:val="center"/>
              <w:rPr>
                <w:noProof/>
              </w:rPr>
            </w:pPr>
            <w:r>
              <w:rPr>
                <w:noProof/>
              </w:rPr>
              <w:t>0</w:t>
            </w:r>
          </w:p>
        </w:tc>
        <w:tc>
          <w:tcPr>
            <w:tcW w:w="988" w:type="dxa"/>
            <w:shd w:val="clear" w:color="auto" w:fill="C6EFCE"/>
            <w:vAlign w:val="center"/>
          </w:tcPr>
          <w:p w14:paraId="7DA94333" w14:textId="0A6D00AE" w:rsidR="00025543" w:rsidRDefault="007E3A2F">
            <w:pPr>
              <w:pStyle w:val="P68B1DB1-Normal15"/>
              <w:spacing w:before="0" w:after="0" w:line="240" w:lineRule="auto"/>
              <w:jc w:val="center"/>
              <w:rPr>
                <w:noProof/>
              </w:rPr>
            </w:pPr>
            <w:r>
              <w:rPr>
                <w:noProof/>
              </w:rPr>
              <w:t>9.98</w:t>
            </w:r>
          </w:p>
        </w:tc>
        <w:tc>
          <w:tcPr>
            <w:tcW w:w="1021" w:type="dxa"/>
            <w:shd w:val="clear" w:color="auto" w:fill="C6EFCE"/>
            <w:vAlign w:val="center"/>
            <w:hideMark/>
          </w:tcPr>
          <w:p w14:paraId="6183E925" w14:textId="6019B7EC" w:rsidR="00025543" w:rsidRDefault="007E3A2F">
            <w:pPr>
              <w:pStyle w:val="P68B1DB1-Normal15"/>
              <w:spacing w:before="0" w:after="0" w:line="240" w:lineRule="auto"/>
              <w:jc w:val="center"/>
              <w:rPr>
                <w:noProof/>
              </w:rPr>
            </w:pPr>
            <w:r>
              <w:rPr>
                <w:noProof/>
              </w:rPr>
              <w:t>TRIMESTRE 2</w:t>
            </w:r>
          </w:p>
        </w:tc>
        <w:tc>
          <w:tcPr>
            <w:tcW w:w="658" w:type="dxa"/>
            <w:shd w:val="clear" w:color="auto" w:fill="C6EFCE"/>
            <w:vAlign w:val="center"/>
            <w:hideMark/>
          </w:tcPr>
          <w:p w14:paraId="1C9426C1" w14:textId="1E2AB6EC" w:rsidR="00025543" w:rsidRDefault="007E3A2F">
            <w:pPr>
              <w:pStyle w:val="P68B1DB1-Normal15"/>
              <w:spacing w:before="0" w:after="0" w:line="240" w:lineRule="auto"/>
              <w:jc w:val="center"/>
              <w:rPr>
                <w:noProof/>
              </w:rPr>
            </w:pPr>
            <w:r>
              <w:rPr>
                <w:noProof/>
              </w:rPr>
              <w:t>2026</w:t>
            </w:r>
          </w:p>
        </w:tc>
        <w:tc>
          <w:tcPr>
            <w:tcW w:w="4128" w:type="dxa"/>
            <w:shd w:val="clear" w:color="auto" w:fill="C6EFCE"/>
            <w:vAlign w:val="center"/>
            <w:hideMark/>
          </w:tcPr>
          <w:p w14:paraId="7A9F8CAE" w14:textId="62544A49" w:rsidR="00025543" w:rsidRDefault="007E3A2F">
            <w:pPr>
              <w:pStyle w:val="P68B1DB1-Normal15"/>
              <w:spacing w:before="0" w:after="0" w:line="240" w:lineRule="auto"/>
              <w:rPr>
                <w:noProof/>
              </w:rPr>
            </w:pPr>
            <w:r>
              <w:rPr>
                <w:noProof/>
              </w:rPr>
              <w:t>Achèvement du projet d’électrification «Électrification de Brno Zastávka u Brna, étape 2». Le projet débouchera au total sur 9.98 kilomètres de ligne ferroviaire électrifiée.</w:t>
            </w:r>
          </w:p>
        </w:tc>
      </w:tr>
    </w:tbl>
    <w:p w14:paraId="7DE9364B" w14:textId="77777777" w:rsidR="00025543" w:rsidRDefault="00025543">
      <w:pPr>
        <w:pBdr>
          <w:top w:val="nil"/>
          <w:left w:val="nil"/>
          <w:bottom w:val="nil"/>
          <w:right w:val="nil"/>
          <w:between w:val="nil"/>
        </w:pBdr>
        <w:tabs>
          <w:tab w:val="left" w:pos="993"/>
        </w:tabs>
        <w:spacing w:line="240" w:lineRule="auto"/>
        <w:jc w:val="both"/>
        <w:rPr>
          <w:rFonts w:eastAsia="Times New Roman"/>
          <w:b/>
          <w:noProof/>
          <w:color w:val="000000" w:themeColor="text1"/>
          <w:u w:val="single"/>
        </w:rPr>
      </w:pPr>
    </w:p>
    <w:p w14:paraId="089776CB" w14:textId="77777777" w:rsidR="00025543" w:rsidRDefault="00025543">
      <w:pPr>
        <w:pBdr>
          <w:top w:val="nil"/>
          <w:left w:val="nil"/>
          <w:bottom w:val="nil"/>
          <w:right w:val="nil"/>
          <w:between w:val="nil"/>
        </w:pBdr>
        <w:tabs>
          <w:tab w:val="left" w:pos="993"/>
        </w:tabs>
        <w:spacing w:line="240" w:lineRule="auto"/>
        <w:jc w:val="both"/>
        <w:rPr>
          <w:rFonts w:eastAsia="Times New Roman"/>
          <w:b/>
          <w:noProof/>
          <w:color w:val="000000" w:themeColor="text1"/>
          <w:u w:val="single"/>
        </w:rPr>
      </w:pPr>
    </w:p>
    <w:p w14:paraId="54722B82" w14:textId="50219B2B" w:rsidR="00025543" w:rsidRDefault="00025543">
      <w:pPr>
        <w:spacing w:before="0" w:after="0" w:line="240" w:lineRule="auto"/>
        <w:rPr>
          <w:rFonts w:eastAsia="Times New Roman"/>
          <w:b/>
          <w:noProof/>
          <w:color w:val="000000" w:themeColor="text1"/>
        </w:rPr>
        <w:sectPr w:rsidR="00025543" w:rsidSect="003F264F">
          <w:headerReference w:type="even" r:id="rId504"/>
          <w:headerReference w:type="default" r:id="rId505"/>
          <w:footerReference w:type="even" r:id="rId506"/>
          <w:footerReference w:type="default" r:id="rId507"/>
          <w:headerReference w:type="first" r:id="rId508"/>
          <w:footerReference w:type="first" r:id="rId509"/>
          <w:pgSz w:w="16839" w:h="11907" w:orient="landscape" w:code="9"/>
          <w:pgMar w:top="1134" w:right="1134" w:bottom="1134" w:left="1134" w:header="567" w:footer="567" w:gutter="0"/>
          <w:cols w:space="720"/>
          <w:docGrid w:linePitch="360"/>
        </w:sectPr>
      </w:pPr>
    </w:p>
    <w:p w14:paraId="34BD6B11" w14:textId="20164AE8" w:rsidR="00025543" w:rsidRDefault="007E3A2F">
      <w:pPr>
        <w:pStyle w:val="P68B1DB1-Normal7"/>
        <w:keepNext/>
        <w:tabs>
          <w:tab w:val="left" w:pos="850"/>
        </w:tabs>
        <w:spacing w:line="240" w:lineRule="auto"/>
        <w:jc w:val="both"/>
        <w:outlineLvl w:val="0"/>
        <w:rPr>
          <w:smallCaps/>
          <w:noProof/>
        </w:rPr>
      </w:pPr>
      <w:r>
        <w:rPr>
          <w:caps/>
          <w:noProof/>
        </w:rPr>
        <w:t>KK. Volet 7.7</w:t>
      </w:r>
      <w:r>
        <w:rPr>
          <w:smallCaps/>
          <w:noProof/>
        </w:rPr>
        <w:t xml:space="preserve"> Simplifier les procédures d’autorisation environnementale et définir les zones de développement des sources d’énergie renouvelables (REPOWER EU)</w:t>
      </w:r>
    </w:p>
    <w:p w14:paraId="38132943" w14:textId="42F56010" w:rsidR="00025543" w:rsidRDefault="007E3A2F">
      <w:pPr>
        <w:pStyle w:val="P68B1DB1-Normal4"/>
        <w:pBdr>
          <w:top w:val="nil"/>
          <w:left w:val="nil"/>
          <w:bottom w:val="nil"/>
          <w:right w:val="nil"/>
          <w:between w:val="nil"/>
        </w:pBdr>
        <w:tabs>
          <w:tab w:val="left" w:pos="993"/>
        </w:tabs>
        <w:spacing w:line="240" w:lineRule="auto"/>
        <w:jc w:val="both"/>
        <w:rPr>
          <w:noProof/>
          <w:color w:val="000000" w:themeColor="text1"/>
        </w:rPr>
      </w:pPr>
      <w:r>
        <w:rPr>
          <w:noProof/>
        </w:rPr>
        <w:t>Ce volet vise à simplifier la procédure d’autorisation environnementale pour les projets dans le domaine des énergies renouvelables et à accélérer le déploiement des sources d’énergie renouvelables par la création de zones spécifiques dans lesquelles les procédures administratives et d’autorisation sont simplifiées et simplifiées.</w:t>
      </w:r>
    </w:p>
    <w:p w14:paraId="69D7D0B9" w14:textId="1A8C6BC8" w:rsidR="00025543" w:rsidRDefault="007E3A2F">
      <w:pPr>
        <w:pStyle w:val="P68B1DB1-Normal4"/>
        <w:pBdr>
          <w:top w:val="nil"/>
          <w:left w:val="nil"/>
          <w:bottom w:val="nil"/>
          <w:right w:val="nil"/>
          <w:between w:val="nil"/>
        </w:pBdr>
        <w:tabs>
          <w:tab w:val="left" w:pos="993"/>
        </w:tabs>
        <w:spacing w:line="240" w:lineRule="auto"/>
        <w:jc w:val="both"/>
        <w:rPr>
          <w:noProof/>
          <w:color w:val="000000" w:themeColor="text1"/>
        </w:rPr>
      </w:pPr>
      <w:r>
        <w:rPr>
          <w:noProof/>
        </w:rPr>
        <w:t>Le volet soutient la mise en œuvre de la recommandation par pays visant à réduire la dépendance globale à l’égard des combustibles fossiles et leur consommation en accélérant le déploiement des énergies renouvelables, notamment en rationalisant davantage les procédures d’autorisation et en facilitant l’accès au réseau (recommandations 4 et 2022).</w:t>
      </w:r>
    </w:p>
    <w:p w14:paraId="5DE04F5D" w14:textId="77777777" w:rsidR="00025543" w:rsidRDefault="00025543">
      <w:pPr>
        <w:pBdr>
          <w:top w:val="nil"/>
          <w:left w:val="nil"/>
          <w:bottom w:val="nil"/>
          <w:right w:val="nil"/>
          <w:between w:val="nil"/>
        </w:pBdr>
        <w:tabs>
          <w:tab w:val="left" w:pos="993"/>
        </w:tabs>
        <w:spacing w:line="240" w:lineRule="auto"/>
        <w:jc w:val="both"/>
        <w:rPr>
          <w:rFonts w:eastAsia="Times New Roman"/>
          <w:noProof/>
          <w:color w:val="000000" w:themeColor="text1"/>
        </w:rPr>
      </w:pPr>
    </w:p>
    <w:p w14:paraId="5B7168D6" w14:textId="48A14268" w:rsidR="00025543" w:rsidRDefault="007E3A2F">
      <w:pPr>
        <w:pStyle w:val="P68B1DB1-Normal32"/>
        <w:spacing w:line="240" w:lineRule="auto"/>
        <w:jc w:val="both"/>
        <w:rPr>
          <w:noProof/>
        </w:rPr>
      </w:pPr>
      <w:r>
        <w:rPr>
          <w:noProof/>
        </w:rPr>
        <w:t>KK.1. Description des réformes et des investissements en vue du prêt</w:t>
      </w:r>
    </w:p>
    <w:p w14:paraId="1C82DF10" w14:textId="23AE5B72" w:rsidR="00025543" w:rsidRDefault="007E3A2F">
      <w:pPr>
        <w:pStyle w:val="P68B1DB1-Normal7"/>
        <w:spacing w:line="240" w:lineRule="auto"/>
        <w:jc w:val="both"/>
        <w:rPr>
          <w:noProof/>
        </w:rPr>
      </w:pPr>
      <w:r>
        <w:rPr>
          <w:noProof/>
        </w:rPr>
        <w:t>Réforme 1: Avis unique sur l’environnement</w:t>
      </w:r>
    </w:p>
    <w:p w14:paraId="0DE9200D" w14:textId="5DDB1F76" w:rsidR="00025543" w:rsidRDefault="007E3A2F">
      <w:pPr>
        <w:pStyle w:val="paragraph"/>
        <w:spacing w:before="0" w:beforeAutospacing="0" w:after="0" w:afterAutospacing="0"/>
        <w:jc w:val="both"/>
        <w:textAlignment w:val="baseline"/>
        <w:rPr>
          <w:rFonts w:ascii="Segoe UI" w:hAnsi="Segoe UI" w:cs="Segoe UI"/>
          <w:noProof/>
          <w:color w:val="000000" w:themeColor="text1"/>
        </w:rPr>
      </w:pPr>
      <w:r>
        <w:rPr>
          <w:rStyle w:val="normaltextrun"/>
          <w:noProof/>
          <w:color w:val="000000" w:themeColor="text1"/>
        </w:rPr>
        <w:t>L’objectif de la mesure est d’introduire un avis environnemental unique et de soutenir sa mise en œuvre par l’administration tchèque. La réforme de</w:t>
      </w:r>
      <w:r>
        <w:rPr>
          <w:rStyle w:val="normaltextrun"/>
          <w:strike/>
          <w:noProof/>
          <w:color w:val="000000" w:themeColor="text1"/>
        </w:rPr>
        <w:t xml:space="preserve"> </w:t>
      </w:r>
      <w:r>
        <w:rPr>
          <w:rStyle w:val="normaltextrun"/>
          <w:noProof/>
          <w:color w:val="000000" w:themeColor="text1"/>
        </w:rPr>
        <w:t>l’avis unique sur l’environnement vise à simplifier et à rationaliser la procédure d’autorisation environnementale, y compris pour les projets dans le domaine des énergies renouvelables, tout en tenant compte des intérêts environnementaux de la protection de la nature et des paysages et des exigences prévues par le droit de l’Union ainsi que d’autres dispositions juridiques internationales relatives à la participation du public et à l’accès à la justice en matière d’environnement. </w:t>
      </w:r>
    </w:p>
    <w:p w14:paraId="4CE7E882" w14:textId="53780BC3" w:rsidR="00025543" w:rsidRDefault="00025543">
      <w:pPr>
        <w:pStyle w:val="paragraph"/>
        <w:spacing w:before="0" w:beforeAutospacing="0" w:after="0" w:afterAutospacing="0"/>
        <w:jc w:val="both"/>
        <w:rPr>
          <w:rStyle w:val="eop"/>
          <w:noProof/>
          <w:color w:val="000000" w:themeColor="text1"/>
        </w:rPr>
      </w:pPr>
    </w:p>
    <w:p w14:paraId="029B5C63" w14:textId="08D03DBE" w:rsidR="00025543" w:rsidRDefault="007E3A2F">
      <w:pPr>
        <w:pStyle w:val="paragraph"/>
        <w:spacing w:before="0" w:beforeAutospacing="0" w:after="0" w:afterAutospacing="0"/>
        <w:jc w:val="both"/>
        <w:textAlignment w:val="baseline"/>
        <w:rPr>
          <w:rFonts w:ascii="Segoe UI" w:hAnsi="Segoe UI" w:cs="Segoe UI"/>
          <w:noProof/>
          <w:color w:val="000000" w:themeColor="text1"/>
        </w:rPr>
      </w:pPr>
      <w:r>
        <w:rPr>
          <w:rStyle w:val="normaltextrun"/>
          <w:noProof/>
          <w:color w:val="000000" w:themeColor="text1"/>
        </w:rPr>
        <w:t>La réforme établit une procédure unique couvrant les différentes déclarations environnementales publiées en vertu de la législation environnementale sectorielle pour les projets couverts par la loi sur la construction et, si le demandeur en fait la demande, également pour les projets soumis à une évaluation des incidences sur l’environnement en vertu de la loi sur l’évaluation des incidences sur l’environnement (no 100/2001 Coll.) La réforme devrait se traduire par des procédures d’évaluation environnementale plus courtes pour les projets dans le domaine des énergies renouvelables, y compris ceux qui font l’objet d’un processus d’évaluation ou d’examen obligatoire complet. </w:t>
      </w:r>
    </w:p>
    <w:p w14:paraId="4BDBA94B" w14:textId="0017AB3B" w:rsidR="00025543" w:rsidRDefault="00025543">
      <w:pPr>
        <w:pStyle w:val="paragraph"/>
        <w:spacing w:before="0" w:beforeAutospacing="0" w:after="0" w:afterAutospacing="0"/>
        <w:jc w:val="both"/>
        <w:rPr>
          <w:rStyle w:val="eop"/>
          <w:noProof/>
          <w:color w:val="000000" w:themeColor="text1"/>
        </w:rPr>
      </w:pPr>
    </w:p>
    <w:p w14:paraId="40DDE856" w14:textId="75536B0C" w:rsidR="00025543" w:rsidRDefault="007E3A2F">
      <w:pPr>
        <w:pStyle w:val="paragraph"/>
        <w:spacing w:before="0" w:beforeAutospacing="0" w:after="0" w:afterAutospacing="0"/>
        <w:jc w:val="both"/>
        <w:textAlignment w:val="baseline"/>
        <w:rPr>
          <w:noProof/>
        </w:rPr>
      </w:pPr>
      <w:r>
        <w:rPr>
          <w:rStyle w:val="normaltextrun"/>
          <w:noProof/>
          <w:color w:val="000000" w:themeColor="text1"/>
        </w:rPr>
        <w:t>Le soutien à la mise en œuvre consiste à recruter</w:t>
      </w:r>
      <w:r>
        <w:rPr>
          <w:rStyle w:val="normaltextrun"/>
          <w:strike/>
          <w:noProof/>
          <w:color w:val="000000" w:themeColor="text1"/>
        </w:rPr>
        <w:t xml:space="preserve"> </w:t>
      </w:r>
      <w:r>
        <w:rPr>
          <w:rStyle w:val="normaltextrun"/>
          <w:noProof/>
          <w:color w:val="000000" w:themeColor="text1"/>
        </w:rPr>
        <w:t>du personnel supplémentaire pour élaborer et mettre en œuvre des lignes directrices méthodologiques contraignantes pour soutenir les organes administratifs concernés par l’introduction de l’avis unique sur l’environnement (par exemple, les autorités régionales et les municipalités). En</w:t>
      </w:r>
      <w:r>
        <w:rPr>
          <w:rStyle w:val="normaltextrun"/>
          <w:noProof/>
        </w:rPr>
        <w:t xml:space="preserve"> </w:t>
      </w:r>
      <w:r>
        <w:rPr>
          <w:rStyle w:val="normaltextrun"/>
          <w:noProof/>
          <w:color w:val="000000" w:themeColor="text1"/>
        </w:rPr>
        <w:t>outre, l’avis environnemental unique pour les projets soumis à l’évaluation des incidences sur l’environnement est mis à disposition par l’intermédiaire du système national d’information EIE/EES.</w:t>
      </w:r>
    </w:p>
    <w:p w14:paraId="5CF1F478" w14:textId="37528059" w:rsidR="00025543" w:rsidRDefault="007E3A2F">
      <w:pPr>
        <w:tabs>
          <w:tab w:val="left" w:pos="993"/>
        </w:tabs>
        <w:spacing w:line="240" w:lineRule="auto"/>
        <w:jc w:val="both"/>
        <w:textAlignment w:val="baseline"/>
        <w:rPr>
          <w:noProof/>
          <w:color w:val="000000"/>
          <w:shd w:val="clear" w:color="auto" w:fill="FFFFFF"/>
        </w:rPr>
      </w:pPr>
      <w:r>
        <w:rPr>
          <w:rStyle w:val="normaltextrun"/>
          <w:noProof/>
          <w:color w:val="000000"/>
          <w:shd w:val="clear" w:color="auto" w:fill="FFFFFF"/>
        </w:rPr>
        <w:t>La mesure est mise en œuvre au plus tard en décembre 2024. </w:t>
      </w:r>
    </w:p>
    <w:p w14:paraId="1BBE3592" w14:textId="3D6343DB" w:rsidR="00025543" w:rsidRDefault="007E3A2F">
      <w:pPr>
        <w:pStyle w:val="P68B1DB1-Normal7"/>
        <w:spacing w:line="240" w:lineRule="auto"/>
        <w:jc w:val="both"/>
        <w:rPr>
          <w:noProof/>
        </w:rPr>
      </w:pPr>
      <w:r>
        <w:rPr>
          <w:noProof/>
        </w:rPr>
        <w:t>Réforme 2: Zones d’accélération des énergies renouvelables</w:t>
      </w:r>
    </w:p>
    <w:p w14:paraId="6B19D25E" w14:textId="420C17CB" w:rsidR="00025543" w:rsidRDefault="007E3A2F">
      <w:pPr>
        <w:spacing w:line="240" w:lineRule="auto"/>
        <w:jc w:val="both"/>
        <w:rPr>
          <w:noProof/>
        </w:rPr>
      </w:pPr>
      <w:r>
        <w:rPr>
          <w:noProof/>
        </w:rPr>
        <w:t xml:space="preserve">L’objectif de la mesure est de soutenir le déploiement accéléré de l’énergie éolienne et solaire dans des endroits spécifiques appelés zones d’accélération des énergies renouvelables, d’une capacité totale d’au moins 2 500 MW.  </w:t>
      </w:r>
    </w:p>
    <w:p w14:paraId="58A8400E" w14:textId="2D445D76" w:rsidR="00025543" w:rsidRDefault="007E3A2F">
      <w:pPr>
        <w:spacing w:line="240" w:lineRule="auto"/>
        <w:jc w:val="both"/>
        <w:rPr>
          <w:noProof/>
        </w:rPr>
      </w:pPr>
      <w:r>
        <w:rPr>
          <w:noProof/>
        </w:rPr>
        <w:t>La réforme donnera aux régions et aux municipalités la possibilité de désigner des zones d’accélération des énergies renouvelables pour les technologies solaires et éoliennes. Chaque zone comprend des objectifs de capacité installée (MW) pour l’énergie éolienne et solaire. La désignation des zones d’accélération des énergies renouvelables est mise en œuvre d’ici le deuxième trimestre de 3 2025 dans les régions et les municipalités.</w:t>
      </w:r>
    </w:p>
    <w:p w14:paraId="317065F8" w14:textId="04C00983" w:rsidR="00025543" w:rsidRDefault="007E3A2F">
      <w:pPr>
        <w:spacing w:line="240" w:lineRule="auto"/>
        <w:jc w:val="both"/>
        <w:rPr>
          <w:noProof/>
        </w:rPr>
      </w:pPr>
      <w:r>
        <w:rPr>
          <w:noProof/>
        </w:rPr>
        <w:t xml:space="preserve">Les zones d’accélération des énergies renouvelables sont sélectionnées selon une méthode unifiée, suivant des critères objectifs tels que la densité de l’énergie éolienne, la vitesse du vent, l’irradiation solaire et la faible incidence sur l’environnement. La réforme établit des procédures d’autorisation spécifiques applicables aux projets dans le domaine des énergies renouvelables dans les zones d’accélération, ce qui se traduit par des procédures plus simples et des délais plus courts. Une évaluation environnementale stratégique est réalisée au niveau de la zone, exemptant les projets de la réalisation d’une évaluation individuelle des incidences sur l’environnement, sauf lorsqu’un projet spécifique risque d’avoir des incidences négatives sur l’environnement. Les projets situés dans des zones d’accélération des énergies renouvelables bénéficient d’une procédure d’autorisation accélérée. Afin de garantir la participation des populations touchées aux projets dans le domaine des énergies renouvelables, la réforme devrait s’accompagner de mesures d’acceptation des projets telles que des référendums locaux, la participation financière, le partage des avantages économiques, des mécanismes de résolution des conflits et des mesures d’engagement précoce. Le ministère de l’environnement fournit aux régions des actions d’assistance et de communication sur les zones d’accélération. </w:t>
      </w:r>
    </w:p>
    <w:p w14:paraId="6203F26C" w14:textId="32C23396" w:rsidR="00025543" w:rsidRDefault="007E3A2F">
      <w:pPr>
        <w:tabs>
          <w:tab w:val="left" w:pos="993"/>
        </w:tabs>
        <w:spacing w:line="240" w:lineRule="auto"/>
        <w:jc w:val="both"/>
        <w:textAlignment w:val="baseline"/>
        <w:rPr>
          <w:rStyle w:val="normaltextrun"/>
          <w:noProof/>
          <w:color w:val="000000"/>
          <w:shd w:val="clear" w:color="auto" w:fill="FFFFFF"/>
        </w:rPr>
      </w:pPr>
      <w:r>
        <w:rPr>
          <w:rStyle w:val="normaltextrun"/>
          <w:noProof/>
          <w:color w:val="000000"/>
          <w:shd w:val="clear" w:color="auto" w:fill="FFFFFF"/>
        </w:rPr>
        <w:t xml:space="preserve">La capacité administrative sera renforcée pour la mise en œuvre de la réforme du ministère de l’environnement de la République tchèque (3,5 ETP) et de l’Agence pour la conservation de la nature de la République tchèque (1 ETP) et sera financée dans le cadre de la FRR. </w:t>
      </w:r>
    </w:p>
    <w:p w14:paraId="32AEDAD0" w14:textId="00A63EB3" w:rsidR="00025543" w:rsidRDefault="007E3A2F">
      <w:pPr>
        <w:tabs>
          <w:tab w:val="left" w:pos="993"/>
        </w:tabs>
        <w:spacing w:line="240" w:lineRule="auto"/>
        <w:jc w:val="both"/>
        <w:textAlignment w:val="baseline"/>
        <w:rPr>
          <w:rStyle w:val="normaltextrun"/>
          <w:noProof/>
          <w:color w:val="000000"/>
          <w:shd w:val="clear" w:color="auto" w:fill="FFFFFF"/>
        </w:rPr>
      </w:pPr>
      <w:r>
        <w:rPr>
          <w:rStyle w:val="normaltextrun"/>
          <w:noProof/>
          <w:color w:val="000000"/>
          <w:shd w:val="clear" w:color="auto" w:fill="FFFFFF"/>
        </w:rPr>
        <w:t>La réforme doit être achevée au plus tard le 30 septembre 2025.</w:t>
      </w:r>
    </w:p>
    <w:p w14:paraId="3CCFD83E" w14:textId="4C780043" w:rsidR="00025543" w:rsidRDefault="007E3A2F">
      <w:pPr>
        <w:tabs>
          <w:tab w:val="left" w:pos="993"/>
        </w:tabs>
        <w:spacing w:line="240" w:lineRule="auto"/>
        <w:jc w:val="both"/>
        <w:textAlignment w:val="baseline"/>
        <w:rPr>
          <w:rFonts w:eastAsia="Times New Roman"/>
          <w:b/>
          <w:noProof/>
          <w:color w:val="000000" w:themeColor="text1"/>
          <w:u w:val="single"/>
        </w:rPr>
        <w:sectPr w:rsidR="00025543" w:rsidSect="003F264F">
          <w:headerReference w:type="even" r:id="rId510"/>
          <w:headerReference w:type="default" r:id="rId511"/>
          <w:footerReference w:type="even" r:id="rId512"/>
          <w:footerReference w:type="default" r:id="rId513"/>
          <w:headerReference w:type="first" r:id="rId514"/>
          <w:footerReference w:type="first" r:id="rId515"/>
          <w:pgSz w:w="11907" w:h="16839"/>
          <w:pgMar w:top="1134" w:right="1134" w:bottom="1134" w:left="1134" w:header="567" w:footer="567" w:gutter="0"/>
          <w:cols w:space="720"/>
          <w:docGrid w:linePitch="360"/>
        </w:sectPr>
      </w:pPr>
      <w:r>
        <w:rPr>
          <w:rFonts w:ascii="Calibri" w:eastAsia="Times New Roman" w:hAnsi="Calibri" w:cs="Segoe UI"/>
          <w:noProof/>
        </w:rPr>
        <w:t> </w:t>
      </w:r>
    </w:p>
    <w:p w14:paraId="7516395B" w14:textId="5775F83D" w:rsidR="00025543" w:rsidRDefault="007E3A2F">
      <w:pPr>
        <w:pStyle w:val="P68B1DB1-Normal33"/>
        <w:tabs>
          <w:tab w:val="left" w:pos="993"/>
        </w:tabs>
        <w:spacing w:line="240" w:lineRule="auto"/>
        <w:jc w:val="both"/>
        <w:textAlignment w:val="baseline"/>
        <w:rPr>
          <w:noProof/>
        </w:rPr>
      </w:pPr>
      <w:r>
        <w:rPr>
          <w:noProof/>
        </w:rPr>
        <w:t>KK.2. Jalons, cibles, indicateurs et calendrier de suivi et de mise en œuvre en vue du prêt</w:t>
      </w:r>
    </w:p>
    <w:tbl>
      <w:tblPr>
        <w:tblW w:w="14461"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1303"/>
        <w:gridCol w:w="1128"/>
        <w:gridCol w:w="1507"/>
        <w:gridCol w:w="1304"/>
        <w:gridCol w:w="939"/>
        <w:gridCol w:w="992"/>
        <w:gridCol w:w="992"/>
        <w:gridCol w:w="1002"/>
        <w:gridCol w:w="720"/>
        <w:gridCol w:w="3943"/>
      </w:tblGrid>
      <w:tr w:rsidR="00025543" w14:paraId="27B10EAC" w14:textId="77777777">
        <w:trPr>
          <w:trHeight w:val="120"/>
          <w:tblHeader/>
        </w:trPr>
        <w:tc>
          <w:tcPr>
            <w:tcW w:w="635" w:type="dxa"/>
            <w:vMerge w:val="restart"/>
            <w:shd w:val="clear" w:color="auto" w:fill="BDD7EE"/>
            <w:tcMar>
              <w:left w:w="105" w:type="dxa"/>
              <w:right w:w="105" w:type="dxa"/>
            </w:tcMar>
            <w:vAlign w:val="center"/>
          </w:tcPr>
          <w:p w14:paraId="52DED056" w14:textId="77777777" w:rsidR="00025543" w:rsidRDefault="007E3A2F">
            <w:pPr>
              <w:pStyle w:val="P68B1DB1-Normal30"/>
              <w:spacing w:line="240" w:lineRule="auto"/>
              <w:jc w:val="center"/>
              <w:rPr>
                <w:noProof/>
              </w:rPr>
            </w:pPr>
            <w:r>
              <w:rPr>
                <w:noProof/>
              </w:rPr>
              <w:t>Séquence NUM.</w:t>
            </w:r>
          </w:p>
        </w:tc>
        <w:tc>
          <w:tcPr>
            <w:tcW w:w="1312" w:type="dxa"/>
            <w:vMerge w:val="restart"/>
            <w:shd w:val="clear" w:color="auto" w:fill="BDD7EE"/>
            <w:tcMar>
              <w:left w:w="105" w:type="dxa"/>
              <w:right w:w="105" w:type="dxa"/>
            </w:tcMar>
            <w:vAlign w:val="center"/>
          </w:tcPr>
          <w:p w14:paraId="48EB55D9" w14:textId="77777777" w:rsidR="00025543" w:rsidRDefault="007E3A2F">
            <w:pPr>
              <w:pStyle w:val="P68B1DB1-Normal30"/>
              <w:spacing w:line="240" w:lineRule="auto"/>
              <w:jc w:val="center"/>
              <w:rPr>
                <w:noProof/>
              </w:rPr>
            </w:pPr>
            <w:r>
              <w:rPr>
                <w:noProof/>
              </w:rPr>
              <w:t xml:space="preserve">Mesure connexe (réforme ou investissement) </w:t>
            </w:r>
          </w:p>
        </w:tc>
        <w:tc>
          <w:tcPr>
            <w:tcW w:w="1134" w:type="dxa"/>
            <w:vMerge w:val="restart"/>
            <w:shd w:val="clear" w:color="auto" w:fill="BDD7EE"/>
            <w:tcMar>
              <w:left w:w="105" w:type="dxa"/>
              <w:right w:w="105" w:type="dxa"/>
            </w:tcMar>
            <w:vAlign w:val="center"/>
          </w:tcPr>
          <w:p w14:paraId="0749412C" w14:textId="77777777" w:rsidR="00025543" w:rsidRDefault="007E3A2F">
            <w:pPr>
              <w:pStyle w:val="P68B1DB1-Normal30"/>
              <w:spacing w:line="240" w:lineRule="auto"/>
              <w:jc w:val="center"/>
              <w:rPr>
                <w:noProof/>
              </w:rPr>
            </w:pPr>
            <w:r>
              <w:rPr>
                <w:noProof/>
              </w:rPr>
              <w:t xml:space="preserve">Jalon/cible </w:t>
            </w:r>
          </w:p>
        </w:tc>
        <w:tc>
          <w:tcPr>
            <w:tcW w:w="1516" w:type="dxa"/>
            <w:vMerge w:val="restart"/>
            <w:shd w:val="clear" w:color="auto" w:fill="BDD7EE"/>
            <w:tcMar>
              <w:left w:w="105" w:type="dxa"/>
              <w:right w:w="105" w:type="dxa"/>
            </w:tcMar>
            <w:vAlign w:val="center"/>
          </w:tcPr>
          <w:p w14:paraId="2055F892" w14:textId="77777777" w:rsidR="00025543" w:rsidRDefault="007E3A2F">
            <w:pPr>
              <w:pStyle w:val="P68B1DB1-Normal30"/>
              <w:spacing w:line="240" w:lineRule="auto"/>
              <w:jc w:val="center"/>
              <w:rPr>
                <w:noProof/>
              </w:rPr>
            </w:pPr>
            <w:r>
              <w:rPr>
                <w:noProof/>
              </w:rPr>
              <w:t xml:space="preserve">Nom </w:t>
            </w:r>
          </w:p>
        </w:tc>
        <w:tc>
          <w:tcPr>
            <w:tcW w:w="1312" w:type="dxa"/>
            <w:vMerge w:val="restart"/>
            <w:shd w:val="clear" w:color="auto" w:fill="BDD7EE"/>
            <w:tcMar>
              <w:left w:w="105" w:type="dxa"/>
              <w:right w:w="105" w:type="dxa"/>
            </w:tcMar>
            <w:vAlign w:val="center"/>
          </w:tcPr>
          <w:p w14:paraId="1D2DCCBD" w14:textId="77777777" w:rsidR="00025543" w:rsidRDefault="007E3A2F">
            <w:pPr>
              <w:pStyle w:val="P68B1DB1-Normal12"/>
              <w:spacing w:line="240" w:lineRule="auto"/>
              <w:jc w:val="center"/>
              <w:rPr>
                <w:rFonts w:eastAsia="Times New Roman"/>
                <w:noProof/>
                <w:color w:val="000000" w:themeColor="text1"/>
              </w:rPr>
            </w:pPr>
            <w:r>
              <w:rPr>
                <w:rFonts w:eastAsia="Times New Roman"/>
                <w:b/>
                <w:noProof/>
                <w:color w:val="000000" w:themeColor="text1"/>
              </w:rPr>
              <w:t>Qualitatifs</w:t>
            </w:r>
            <w:r>
              <w:rPr>
                <w:noProof/>
              </w:rPr>
              <w:br/>
            </w:r>
            <w:r>
              <w:rPr>
                <w:rFonts w:eastAsia="Times New Roman"/>
                <w:b/>
                <w:noProof/>
                <w:color w:val="000000" w:themeColor="text1"/>
              </w:rPr>
              <w:t xml:space="preserve">   (pour les jalons) </w:t>
            </w:r>
          </w:p>
        </w:tc>
        <w:tc>
          <w:tcPr>
            <w:tcW w:w="2938" w:type="dxa"/>
            <w:gridSpan w:val="3"/>
            <w:shd w:val="clear" w:color="auto" w:fill="BDD7EE"/>
            <w:tcMar>
              <w:left w:w="105" w:type="dxa"/>
              <w:right w:w="105" w:type="dxa"/>
            </w:tcMar>
            <w:vAlign w:val="center"/>
          </w:tcPr>
          <w:p w14:paraId="01141E05" w14:textId="77777777" w:rsidR="00025543" w:rsidRDefault="007E3A2F">
            <w:pPr>
              <w:pStyle w:val="P68B1DB1-Normal12"/>
              <w:spacing w:line="240" w:lineRule="auto"/>
              <w:jc w:val="center"/>
              <w:rPr>
                <w:rFonts w:eastAsia="Times New Roman"/>
                <w:noProof/>
                <w:color w:val="000000" w:themeColor="text1"/>
              </w:rPr>
            </w:pPr>
            <w:r>
              <w:rPr>
                <w:rFonts w:eastAsia="Times New Roman"/>
                <w:b/>
                <w:noProof/>
                <w:color w:val="000000" w:themeColor="text1"/>
              </w:rPr>
              <w:t>Indicateurs quantitatifs</w:t>
            </w:r>
            <w:r>
              <w:rPr>
                <w:noProof/>
              </w:rPr>
              <w:br/>
            </w:r>
            <w:r>
              <w:rPr>
                <w:rFonts w:eastAsia="Times New Roman"/>
                <w:b/>
                <w:noProof/>
                <w:color w:val="000000" w:themeColor="text1"/>
              </w:rPr>
              <w:t xml:space="preserve">   (pour les objectifs)</w:t>
            </w:r>
          </w:p>
        </w:tc>
        <w:tc>
          <w:tcPr>
            <w:tcW w:w="1730" w:type="dxa"/>
            <w:gridSpan w:val="2"/>
            <w:shd w:val="clear" w:color="auto" w:fill="BDD7EE"/>
            <w:tcMar>
              <w:left w:w="105" w:type="dxa"/>
              <w:right w:w="105" w:type="dxa"/>
            </w:tcMar>
            <w:vAlign w:val="center"/>
          </w:tcPr>
          <w:p w14:paraId="7BD0517F" w14:textId="77777777" w:rsidR="00025543" w:rsidRDefault="007E3A2F">
            <w:pPr>
              <w:pStyle w:val="P68B1DB1-Normal30"/>
              <w:spacing w:line="240" w:lineRule="auto"/>
              <w:jc w:val="center"/>
              <w:rPr>
                <w:noProof/>
              </w:rPr>
            </w:pPr>
            <w:r>
              <w:rPr>
                <w:noProof/>
              </w:rPr>
              <w:t xml:space="preserve">Calendrier indicatif de réalisation </w:t>
            </w:r>
          </w:p>
        </w:tc>
        <w:tc>
          <w:tcPr>
            <w:tcW w:w="3969" w:type="dxa"/>
            <w:vMerge w:val="restart"/>
            <w:shd w:val="clear" w:color="auto" w:fill="BDD7EE"/>
            <w:tcMar>
              <w:left w:w="105" w:type="dxa"/>
              <w:right w:w="105" w:type="dxa"/>
            </w:tcMar>
            <w:vAlign w:val="center"/>
          </w:tcPr>
          <w:p w14:paraId="01D37160" w14:textId="77777777" w:rsidR="00025543" w:rsidRDefault="007E3A2F">
            <w:pPr>
              <w:pStyle w:val="P68B1DB1-Normal30"/>
              <w:spacing w:line="240" w:lineRule="auto"/>
              <w:jc w:val="center"/>
              <w:rPr>
                <w:noProof/>
              </w:rPr>
            </w:pPr>
            <w:r>
              <w:rPr>
                <w:noProof/>
              </w:rPr>
              <w:t>Description et définition claire de chaque jalon et cible</w:t>
            </w:r>
          </w:p>
        </w:tc>
      </w:tr>
      <w:tr w:rsidR="00025543" w14:paraId="68876D22" w14:textId="77777777">
        <w:trPr>
          <w:trHeight w:val="210"/>
          <w:tblHeader/>
        </w:trPr>
        <w:tc>
          <w:tcPr>
            <w:tcW w:w="635" w:type="dxa"/>
            <w:vMerge/>
            <w:vAlign w:val="center"/>
          </w:tcPr>
          <w:p w14:paraId="4E8CA910" w14:textId="77777777" w:rsidR="00025543" w:rsidRDefault="00025543">
            <w:pPr>
              <w:spacing w:line="240" w:lineRule="auto"/>
              <w:rPr>
                <w:noProof/>
                <w:sz w:val="18"/>
              </w:rPr>
            </w:pPr>
          </w:p>
        </w:tc>
        <w:tc>
          <w:tcPr>
            <w:tcW w:w="1312" w:type="dxa"/>
            <w:vMerge/>
            <w:vAlign w:val="center"/>
          </w:tcPr>
          <w:p w14:paraId="053EADB9" w14:textId="77777777" w:rsidR="00025543" w:rsidRDefault="00025543">
            <w:pPr>
              <w:spacing w:line="240" w:lineRule="auto"/>
              <w:rPr>
                <w:noProof/>
                <w:sz w:val="18"/>
              </w:rPr>
            </w:pPr>
          </w:p>
        </w:tc>
        <w:tc>
          <w:tcPr>
            <w:tcW w:w="1134" w:type="dxa"/>
            <w:vMerge/>
            <w:vAlign w:val="center"/>
          </w:tcPr>
          <w:p w14:paraId="509B3CB1" w14:textId="77777777" w:rsidR="00025543" w:rsidRDefault="00025543">
            <w:pPr>
              <w:spacing w:line="240" w:lineRule="auto"/>
              <w:rPr>
                <w:noProof/>
                <w:sz w:val="18"/>
              </w:rPr>
            </w:pPr>
          </w:p>
        </w:tc>
        <w:tc>
          <w:tcPr>
            <w:tcW w:w="1516" w:type="dxa"/>
            <w:vMerge/>
            <w:vAlign w:val="center"/>
          </w:tcPr>
          <w:p w14:paraId="6E742BC3" w14:textId="77777777" w:rsidR="00025543" w:rsidRDefault="00025543">
            <w:pPr>
              <w:spacing w:line="240" w:lineRule="auto"/>
              <w:rPr>
                <w:noProof/>
                <w:sz w:val="18"/>
              </w:rPr>
            </w:pPr>
          </w:p>
        </w:tc>
        <w:tc>
          <w:tcPr>
            <w:tcW w:w="1312" w:type="dxa"/>
            <w:vMerge/>
            <w:vAlign w:val="center"/>
          </w:tcPr>
          <w:p w14:paraId="79BFD365" w14:textId="77777777" w:rsidR="00025543" w:rsidRDefault="00025543">
            <w:pPr>
              <w:spacing w:line="240" w:lineRule="auto"/>
              <w:rPr>
                <w:noProof/>
                <w:sz w:val="18"/>
              </w:rPr>
            </w:pPr>
          </w:p>
        </w:tc>
        <w:tc>
          <w:tcPr>
            <w:tcW w:w="944" w:type="dxa"/>
            <w:shd w:val="clear" w:color="auto" w:fill="BDD7EE"/>
            <w:tcMar>
              <w:left w:w="105" w:type="dxa"/>
              <w:right w:w="105" w:type="dxa"/>
            </w:tcMar>
            <w:vAlign w:val="center"/>
          </w:tcPr>
          <w:p w14:paraId="4F1DB7C3" w14:textId="77777777" w:rsidR="00025543" w:rsidRDefault="007E3A2F">
            <w:pPr>
              <w:pStyle w:val="P68B1DB1-Normal30"/>
              <w:spacing w:line="240" w:lineRule="auto"/>
              <w:jc w:val="center"/>
              <w:rPr>
                <w:noProof/>
              </w:rPr>
            </w:pPr>
            <w:r>
              <w:rPr>
                <w:noProof/>
              </w:rPr>
              <w:t>Unité de mesure</w:t>
            </w:r>
          </w:p>
        </w:tc>
        <w:tc>
          <w:tcPr>
            <w:tcW w:w="997" w:type="dxa"/>
            <w:shd w:val="clear" w:color="auto" w:fill="BDD7EE"/>
            <w:tcMar>
              <w:left w:w="105" w:type="dxa"/>
              <w:right w:w="105" w:type="dxa"/>
            </w:tcMar>
            <w:vAlign w:val="center"/>
          </w:tcPr>
          <w:p w14:paraId="421F873C" w14:textId="77777777" w:rsidR="00025543" w:rsidRDefault="007E3A2F">
            <w:pPr>
              <w:pStyle w:val="P68B1DB1-Normal30"/>
              <w:spacing w:line="240" w:lineRule="auto"/>
              <w:jc w:val="center"/>
              <w:rPr>
                <w:noProof/>
              </w:rPr>
            </w:pPr>
            <w:r>
              <w:rPr>
                <w:noProof/>
              </w:rPr>
              <w:t>Scénario de référence</w:t>
            </w:r>
          </w:p>
        </w:tc>
        <w:tc>
          <w:tcPr>
            <w:tcW w:w="997" w:type="dxa"/>
            <w:shd w:val="clear" w:color="auto" w:fill="BDD7EE"/>
            <w:tcMar>
              <w:left w:w="105" w:type="dxa"/>
              <w:right w:w="105" w:type="dxa"/>
            </w:tcMar>
            <w:vAlign w:val="center"/>
          </w:tcPr>
          <w:p w14:paraId="4E93E901" w14:textId="77777777" w:rsidR="00025543" w:rsidRDefault="007E3A2F">
            <w:pPr>
              <w:pStyle w:val="P68B1DB1-Normal30"/>
              <w:spacing w:line="240" w:lineRule="auto"/>
              <w:jc w:val="center"/>
              <w:rPr>
                <w:noProof/>
              </w:rPr>
            </w:pPr>
            <w:r>
              <w:rPr>
                <w:noProof/>
              </w:rPr>
              <w:t>Objectif</w:t>
            </w:r>
          </w:p>
        </w:tc>
        <w:tc>
          <w:tcPr>
            <w:tcW w:w="1007" w:type="dxa"/>
            <w:shd w:val="clear" w:color="auto" w:fill="BDD7EE"/>
            <w:tcMar>
              <w:left w:w="105" w:type="dxa"/>
              <w:right w:w="105" w:type="dxa"/>
            </w:tcMar>
            <w:vAlign w:val="center"/>
          </w:tcPr>
          <w:p w14:paraId="1B5EADE6" w14:textId="77777777" w:rsidR="00025543" w:rsidRDefault="007E3A2F">
            <w:pPr>
              <w:pStyle w:val="P68B1DB1-Normal30"/>
              <w:spacing w:line="240" w:lineRule="auto"/>
              <w:jc w:val="center"/>
              <w:rPr>
                <w:noProof/>
              </w:rPr>
            </w:pPr>
            <w:r>
              <w:rPr>
                <w:noProof/>
              </w:rPr>
              <w:t>Trimestre</w:t>
            </w:r>
          </w:p>
        </w:tc>
        <w:tc>
          <w:tcPr>
            <w:tcW w:w="723" w:type="dxa"/>
            <w:shd w:val="clear" w:color="auto" w:fill="BDD7EE"/>
            <w:tcMar>
              <w:left w:w="105" w:type="dxa"/>
              <w:right w:w="105" w:type="dxa"/>
            </w:tcMar>
            <w:vAlign w:val="center"/>
          </w:tcPr>
          <w:p w14:paraId="1A41FE90" w14:textId="77777777" w:rsidR="00025543" w:rsidRDefault="007E3A2F">
            <w:pPr>
              <w:pStyle w:val="P68B1DB1-Normal30"/>
              <w:spacing w:line="240" w:lineRule="auto"/>
              <w:jc w:val="center"/>
              <w:rPr>
                <w:noProof/>
              </w:rPr>
            </w:pPr>
            <w:r>
              <w:rPr>
                <w:noProof/>
              </w:rPr>
              <w:t>Année</w:t>
            </w:r>
          </w:p>
        </w:tc>
        <w:tc>
          <w:tcPr>
            <w:tcW w:w="3969" w:type="dxa"/>
            <w:vMerge/>
            <w:vAlign w:val="center"/>
          </w:tcPr>
          <w:p w14:paraId="70CFA204" w14:textId="77777777" w:rsidR="00025543" w:rsidRDefault="00025543">
            <w:pPr>
              <w:spacing w:line="240" w:lineRule="auto"/>
              <w:rPr>
                <w:noProof/>
                <w:sz w:val="18"/>
              </w:rPr>
            </w:pPr>
          </w:p>
        </w:tc>
      </w:tr>
      <w:tr w:rsidR="00025543" w14:paraId="0C50F593" w14:textId="77777777">
        <w:trPr>
          <w:trHeight w:val="2145"/>
        </w:trPr>
        <w:tc>
          <w:tcPr>
            <w:tcW w:w="635"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2E72B0F5" w14:textId="4190E5F8" w:rsidR="00025543" w:rsidRDefault="007E3A2F">
            <w:pPr>
              <w:pStyle w:val="P68B1DB1-Normal15"/>
              <w:spacing w:before="0" w:after="0" w:line="240" w:lineRule="auto"/>
              <w:jc w:val="center"/>
              <w:rPr>
                <w:noProof/>
              </w:rPr>
            </w:pPr>
            <w:r>
              <w:rPr>
                <w:noProof/>
              </w:rPr>
              <w:t>340</w:t>
            </w:r>
          </w:p>
        </w:tc>
        <w:tc>
          <w:tcPr>
            <w:tcW w:w="1312"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13681034" w14:textId="77777777" w:rsidR="00025543" w:rsidRDefault="007E3A2F">
            <w:pPr>
              <w:pStyle w:val="P68B1DB1-Normal11"/>
              <w:spacing w:before="0" w:after="0" w:line="240" w:lineRule="auto"/>
              <w:jc w:val="both"/>
              <w:textAlignment w:val="baseline"/>
              <w:rPr>
                <w:noProof/>
              </w:rPr>
            </w:pPr>
            <w:r>
              <w:rPr>
                <w:noProof/>
              </w:rPr>
              <w:t>Réforme 1:</w:t>
            </w:r>
          </w:p>
          <w:p w14:paraId="00FB674C" w14:textId="1A426080" w:rsidR="00025543" w:rsidRDefault="007E3A2F">
            <w:pPr>
              <w:pStyle w:val="P68B1DB1-Normal11"/>
              <w:spacing w:line="240" w:lineRule="auto"/>
              <w:rPr>
                <w:noProof/>
                <w:highlight w:val="yellow"/>
              </w:rPr>
            </w:pPr>
            <w:r>
              <w:rPr>
                <w:noProof/>
              </w:rPr>
              <w:t>Avis unique sur l’environnement  </w:t>
            </w:r>
          </w:p>
        </w:tc>
        <w:tc>
          <w:tcPr>
            <w:tcW w:w="1134"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47B67C3E" w14:textId="74719437" w:rsidR="00025543" w:rsidRDefault="007E3A2F">
            <w:pPr>
              <w:pStyle w:val="P68B1DB1-Normal11"/>
              <w:spacing w:line="240" w:lineRule="auto"/>
              <w:rPr>
                <w:noProof/>
                <w:color w:val="000000" w:themeColor="text1"/>
              </w:rPr>
            </w:pPr>
            <w:r>
              <w:rPr>
                <w:noProof/>
              </w:rPr>
              <w:t>Étapes </w:t>
            </w:r>
          </w:p>
        </w:tc>
        <w:tc>
          <w:tcPr>
            <w:tcW w:w="1516"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3EC921C1" w14:textId="4CCC92AF" w:rsidR="00025543" w:rsidRDefault="007E3A2F">
            <w:pPr>
              <w:pStyle w:val="P68B1DB1-Normal11"/>
              <w:spacing w:line="240" w:lineRule="auto"/>
              <w:rPr>
                <w:noProof/>
              </w:rPr>
            </w:pPr>
            <w:r>
              <w:rPr>
                <w:noProof/>
              </w:rPr>
              <w:t>Entrée en vigueur de l’avis unique sur l’environnement </w:t>
            </w:r>
          </w:p>
        </w:tc>
        <w:tc>
          <w:tcPr>
            <w:tcW w:w="1312"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4520B624" w14:textId="5F241326" w:rsidR="00025543" w:rsidRDefault="007E3A2F">
            <w:pPr>
              <w:pStyle w:val="P68B1DB1-Normal11"/>
              <w:spacing w:line="240" w:lineRule="auto"/>
              <w:rPr>
                <w:noProof/>
                <w:color w:val="000000" w:themeColor="text1"/>
              </w:rPr>
            </w:pPr>
            <w:r>
              <w:rPr>
                <w:noProof/>
              </w:rPr>
              <w:t> Disposition dans la loi indiquant la date d’entrée en vigueur de la loi </w:t>
            </w:r>
          </w:p>
        </w:tc>
        <w:tc>
          <w:tcPr>
            <w:tcW w:w="944"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12F8526E" w14:textId="334E3C15" w:rsidR="00025543" w:rsidRDefault="007E3A2F">
            <w:pPr>
              <w:pStyle w:val="P68B1DB1-Normal11"/>
              <w:spacing w:line="240" w:lineRule="auto"/>
              <w:rPr>
                <w:noProof/>
              </w:rPr>
            </w:pPr>
            <w:r>
              <w:rPr>
                <w:noProof/>
              </w:rPr>
              <w:t>  </w:t>
            </w:r>
          </w:p>
        </w:tc>
        <w:tc>
          <w:tcPr>
            <w:tcW w:w="997"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5B7F0726" w14:textId="1AD2B6B0" w:rsidR="00025543" w:rsidRDefault="007E3A2F">
            <w:pPr>
              <w:pStyle w:val="P68B1DB1-Normal11"/>
              <w:spacing w:line="240" w:lineRule="auto"/>
              <w:jc w:val="center"/>
              <w:rPr>
                <w:noProof/>
              </w:rPr>
            </w:pPr>
            <w:r>
              <w:rPr>
                <w:noProof/>
              </w:rPr>
              <w:t>  </w:t>
            </w:r>
          </w:p>
        </w:tc>
        <w:tc>
          <w:tcPr>
            <w:tcW w:w="997"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334217B2" w14:textId="30373270" w:rsidR="00025543" w:rsidRDefault="007E3A2F">
            <w:pPr>
              <w:pStyle w:val="P68B1DB1-Normal11"/>
              <w:spacing w:line="240" w:lineRule="auto"/>
              <w:jc w:val="center"/>
              <w:rPr>
                <w:noProof/>
              </w:rPr>
            </w:pPr>
            <w:r>
              <w:rPr>
                <w:noProof/>
              </w:rPr>
              <w:t>  </w:t>
            </w:r>
          </w:p>
        </w:tc>
        <w:tc>
          <w:tcPr>
            <w:tcW w:w="1007"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0993C7CE" w14:textId="7B320CF0" w:rsidR="00025543" w:rsidRDefault="007E3A2F">
            <w:pPr>
              <w:pStyle w:val="P68B1DB1-Normal11"/>
              <w:spacing w:line="240" w:lineRule="auto"/>
              <w:rPr>
                <w:noProof/>
              </w:rPr>
            </w:pPr>
            <w:r>
              <w:rPr>
                <w:noProof/>
              </w:rPr>
              <w:t>TRIMESTRE 3</w:t>
            </w:r>
          </w:p>
        </w:tc>
        <w:tc>
          <w:tcPr>
            <w:tcW w:w="723"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0564EFE6" w14:textId="6CD45778" w:rsidR="00025543" w:rsidRDefault="007E3A2F">
            <w:pPr>
              <w:pStyle w:val="P68B1DB1-Normal11"/>
              <w:spacing w:line="240" w:lineRule="auto"/>
              <w:rPr>
                <w:noProof/>
              </w:rPr>
            </w:pPr>
            <w:r>
              <w:rPr>
                <w:noProof/>
              </w:rPr>
              <w:t>2023 </w:t>
            </w:r>
          </w:p>
        </w:tc>
        <w:tc>
          <w:tcPr>
            <w:tcW w:w="3969"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2D31F269" w14:textId="5CB934EC" w:rsidR="00025543" w:rsidRDefault="007E3A2F">
            <w:pPr>
              <w:pStyle w:val="P68B1DB1-Normal11"/>
              <w:spacing w:before="0" w:after="0" w:line="240" w:lineRule="auto"/>
              <w:textAlignment w:val="baseline"/>
              <w:rPr>
                <w:noProof/>
              </w:rPr>
            </w:pPr>
            <w:r>
              <w:rPr>
                <w:noProof/>
              </w:rPr>
              <w:t>Entrée en vigueur de la législation relative à l’avis unique sur l’environnement. L’avis fusionne la procédure de permis d’environnement en un seul avis contraignant pour tous les projets autorisés en vertu de la loi sur la construction et les projets soumis à une évaluation des incidences sur l’environnement, si le demandeur en fait la demande. La loi s’applique à compter du 1 janvier 2024 pour la structure spéciale définie par la loi sur la construction et à partir du J juillet 2024 pour les autres types de bâtiments. </w:t>
            </w:r>
          </w:p>
          <w:p w14:paraId="702D7CE9" w14:textId="77777777" w:rsidR="00025543" w:rsidRDefault="007E3A2F">
            <w:pPr>
              <w:pStyle w:val="P68B1DB1-Normal11"/>
              <w:spacing w:before="0" w:after="0" w:line="240" w:lineRule="auto"/>
              <w:textAlignment w:val="baseline"/>
              <w:rPr>
                <w:noProof/>
              </w:rPr>
            </w:pPr>
            <w:r>
              <w:rPr>
                <w:noProof/>
              </w:rPr>
              <w:t>  </w:t>
            </w:r>
          </w:p>
          <w:p w14:paraId="1C1DDD86" w14:textId="4830289C" w:rsidR="00025543" w:rsidRDefault="007E3A2F">
            <w:pPr>
              <w:pStyle w:val="P68B1DB1-Normal11"/>
              <w:spacing w:before="0" w:after="0" w:line="240" w:lineRule="auto"/>
              <w:textAlignment w:val="baseline"/>
              <w:rPr>
                <w:noProof/>
              </w:rPr>
            </w:pPr>
            <w:r>
              <w:rPr>
                <w:noProof/>
              </w:rPr>
              <w:t>La législation prévoit la désignation des autorités uniques chargées d’émettre l’avis, selon les différents cas (par exemple, les autorités régionales, les autorités municipales dotées de compétences étendues ou le ministère de l’environnement).</w:t>
            </w:r>
          </w:p>
          <w:p w14:paraId="40C8204B" w14:textId="7A92D191" w:rsidR="00025543" w:rsidRDefault="00025543">
            <w:pPr>
              <w:spacing w:before="0" w:after="0" w:line="240" w:lineRule="auto"/>
              <w:textAlignment w:val="baseline"/>
              <w:rPr>
                <w:rFonts w:eastAsia="Times New Roman"/>
                <w:noProof/>
                <w:color w:val="006100"/>
                <w:sz w:val="18"/>
              </w:rPr>
            </w:pPr>
          </w:p>
          <w:p w14:paraId="588BA314" w14:textId="77777777" w:rsidR="00025543" w:rsidRDefault="007E3A2F">
            <w:pPr>
              <w:pStyle w:val="P68B1DB1-Normal11"/>
              <w:spacing w:before="0" w:after="0" w:line="240" w:lineRule="auto"/>
              <w:textAlignment w:val="baseline"/>
              <w:rPr>
                <w:noProof/>
              </w:rPr>
            </w:pPr>
            <w:r>
              <w:rPr>
                <w:noProof/>
              </w:rPr>
              <w:t>  </w:t>
            </w:r>
          </w:p>
          <w:p w14:paraId="0C53F7AA" w14:textId="13C3A44D" w:rsidR="00025543" w:rsidRDefault="007E3A2F">
            <w:pPr>
              <w:pStyle w:val="P68B1DB1-Normal11"/>
              <w:spacing w:before="0" w:after="0" w:line="240" w:lineRule="auto"/>
              <w:textAlignment w:val="baseline"/>
              <w:rPr>
                <w:noProof/>
              </w:rPr>
            </w:pPr>
            <w:r>
              <w:rPr>
                <w:noProof/>
              </w:rPr>
              <w:t xml:space="preserve">Il prévoit également que, pour les projets soumis à l’EIE, un avis environnemental unique est disponible par voie électronique dans le système d’information national EIE/EES. </w:t>
            </w:r>
          </w:p>
        </w:tc>
      </w:tr>
      <w:tr w:rsidR="00025543" w14:paraId="66EDF36C" w14:textId="77777777">
        <w:trPr>
          <w:trHeight w:val="2145"/>
        </w:trPr>
        <w:tc>
          <w:tcPr>
            <w:tcW w:w="635"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78FB2469" w14:textId="43E74039" w:rsidR="00025543" w:rsidRDefault="007E3A2F">
            <w:pPr>
              <w:pStyle w:val="P68B1DB1-Normal15"/>
              <w:spacing w:before="0" w:after="0" w:line="240" w:lineRule="auto"/>
              <w:jc w:val="center"/>
              <w:rPr>
                <w:noProof/>
              </w:rPr>
            </w:pPr>
            <w:r>
              <w:rPr>
                <w:noProof/>
              </w:rPr>
              <w:t>341</w:t>
            </w:r>
          </w:p>
        </w:tc>
        <w:tc>
          <w:tcPr>
            <w:tcW w:w="1312"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22B1C183" w14:textId="77777777" w:rsidR="00025543" w:rsidRDefault="007E3A2F">
            <w:pPr>
              <w:pStyle w:val="P68B1DB1-Normal11"/>
              <w:spacing w:before="0" w:after="0" w:line="240" w:lineRule="auto"/>
              <w:jc w:val="both"/>
              <w:textAlignment w:val="baseline"/>
              <w:rPr>
                <w:noProof/>
              </w:rPr>
            </w:pPr>
            <w:r>
              <w:rPr>
                <w:noProof/>
              </w:rPr>
              <w:t>Réforme 1:</w:t>
            </w:r>
          </w:p>
          <w:p w14:paraId="55B0D2D2" w14:textId="185981CE" w:rsidR="00025543" w:rsidRDefault="007E3A2F">
            <w:pPr>
              <w:pStyle w:val="P68B1DB1-Normal11"/>
              <w:spacing w:before="0" w:after="0" w:line="240" w:lineRule="auto"/>
              <w:jc w:val="both"/>
              <w:textAlignment w:val="baseline"/>
              <w:rPr>
                <w:noProof/>
              </w:rPr>
            </w:pPr>
            <w:r>
              <w:rPr>
                <w:noProof/>
              </w:rPr>
              <w:t>Avis unique sur l’environnement </w:t>
            </w:r>
          </w:p>
        </w:tc>
        <w:tc>
          <w:tcPr>
            <w:tcW w:w="1134"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7B9493BC" w14:textId="3CD56CB1" w:rsidR="00025543" w:rsidRDefault="007E3A2F">
            <w:pPr>
              <w:pStyle w:val="P68B1DB1-Normal11"/>
              <w:spacing w:line="240" w:lineRule="auto"/>
              <w:rPr>
                <w:noProof/>
              </w:rPr>
            </w:pPr>
            <w:r>
              <w:rPr>
                <w:noProof/>
              </w:rPr>
              <w:t>Cible  </w:t>
            </w:r>
          </w:p>
        </w:tc>
        <w:tc>
          <w:tcPr>
            <w:tcW w:w="1516"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0DF47E26" w14:textId="62B78642" w:rsidR="00025543" w:rsidRDefault="007E3A2F">
            <w:pPr>
              <w:pStyle w:val="P68B1DB1-Normal11"/>
              <w:spacing w:line="240" w:lineRule="auto"/>
              <w:rPr>
                <w:noProof/>
              </w:rPr>
            </w:pPr>
            <w:r>
              <w:rPr>
                <w:noProof/>
              </w:rPr>
              <w:t>Assistance technique pour accélérer et améliorer la qualité des procédures d’autorisation environnementale   </w:t>
            </w:r>
          </w:p>
        </w:tc>
        <w:tc>
          <w:tcPr>
            <w:tcW w:w="1312"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77982C2D" w14:textId="35A68884" w:rsidR="00025543" w:rsidRDefault="007E3A2F">
            <w:pPr>
              <w:pStyle w:val="P68B1DB1-Normal11"/>
              <w:spacing w:line="240" w:lineRule="auto"/>
              <w:rPr>
                <w:noProof/>
              </w:rPr>
            </w:pPr>
            <w:r>
              <w:rPr>
                <w:noProof/>
              </w:rPr>
              <w:t> </w:t>
            </w:r>
          </w:p>
        </w:tc>
        <w:tc>
          <w:tcPr>
            <w:tcW w:w="944"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23E3B947" w14:textId="47D4090D" w:rsidR="00025543" w:rsidRDefault="007E3A2F">
            <w:pPr>
              <w:pStyle w:val="P68B1DB1-Normal11"/>
              <w:spacing w:line="240" w:lineRule="auto"/>
              <w:rPr>
                <w:noProof/>
              </w:rPr>
            </w:pPr>
            <w:r>
              <w:rPr>
                <w:noProof/>
              </w:rPr>
              <w:t>Nombre d’agents</w:t>
            </w:r>
          </w:p>
        </w:tc>
        <w:tc>
          <w:tcPr>
            <w:tcW w:w="997"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7247A73D" w14:textId="545FED18" w:rsidR="00025543" w:rsidRDefault="007E3A2F">
            <w:pPr>
              <w:pStyle w:val="P68B1DB1-Normal11"/>
              <w:spacing w:line="240" w:lineRule="auto"/>
              <w:jc w:val="center"/>
              <w:rPr>
                <w:noProof/>
              </w:rPr>
            </w:pPr>
            <w:r>
              <w:rPr>
                <w:noProof/>
              </w:rPr>
              <w:t>0  </w:t>
            </w:r>
          </w:p>
        </w:tc>
        <w:tc>
          <w:tcPr>
            <w:tcW w:w="997"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41E7D62E" w14:textId="7F179C57" w:rsidR="00025543" w:rsidRDefault="007E3A2F">
            <w:pPr>
              <w:pStyle w:val="P68B1DB1-Normal11"/>
              <w:spacing w:line="240" w:lineRule="auto"/>
              <w:jc w:val="center"/>
              <w:rPr>
                <w:noProof/>
              </w:rPr>
            </w:pPr>
            <w:r>
              <w:rPr>
                <w:noProof/>
              </w:rPr>
              <w:t>36 </w:t>
            </w:r>
          </w:p>
        </w:tc>
        <w:tc>
          <w:tcPr>
            <w:tcW w:w="1007"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761088D6" w14:textId="47D5A1A7" w:rsidR="00025543" w:rsidRDefault="007E3A2F">
            <w:pPr>
              <w:pStyle w:val="P68B1DB1-Normal11"/>
              <w:spacing w:line="240" w:lineRule="auto"/>
              <w:rPr>
                <w:noProof/>
              </w:rPr>
            </w:pPr>
            <w:r>
              <w:rPr>
                <w:noProof/>
              </w:rPr>
              <w:t>TRIMESTRE 4  </w:t>
            </w:r>
          </w:p>
        </w:tc>
        <w:tc>
          <w:tcPr>
            <w:tcW w:w="723"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735E69AF" w14:textId="69A75ACF" w:rsidR="00025543" w:rsidRDefault="007E3A2F">
            <w:pPr>
              <w:pStyle w:val="P68B1DB1-Normal11"/>
              <w:spacing w:line="240" w:lineRule="auto"/>
              <w:rPr>
                <w:noProof/>
              </w:rPr>
            </w:pPr>
            <w:r>
              <w:rPr>
                <w:noProof/>
              </w:rPr>
              <w:t>2023  </w:t>
            </w:r>
          </w:p>
        </w:tc>
        <w:tc>
          <w:tcPr>
            <w:tcW w:w="3969"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080946CE" w14:textId="54539A8E" w:rsidR="00025543" w:rsidRDefault="007E3A2F">
            <w:pPr>
              <w:pStyle w:val="P68B1DB1-Normal11"/>
              <w:spacing w:before="0" w:after="0" w:line="240" w:lineRule="auto"/>
              <w:jc w:val="both"/>
              <w:textAlignment w:val="baseline"/>
              <w:rPr>
                <w:noProof/>
              </w:rPr>
            </w:pPr>
            <w:r>
              <w:rPr>
                <w:noProof/>
              </w:rPr>
              <w:t>36 personnes à temps plein seront recrutées pour la mise en œuvre de la réforme de l’avis environnemental unique.  </w:t>
            </w:r>
          </w:p>
        </w:tc>
      </w:tr>
      <w:tr w:rsidR="00025543" w14:paraId="7F3F852E" w14:textId="77777777">
        <w:trPr>
          <w:trHeight w:val="2145"/>
        </w:trPr>
        <w:tc>
          <w:tcPr>
            <w:tcW w:w="635"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71166D9E" w14:textId="607C2A2D" w:rsidR="00025543" w:rsidRDefault="007E3A2F">
            <w:pPr>
              <w:pStyle w:val="P68B1DB1-Normal15"/>
              <w:spacing w:before="0" w:after="0" w:line="240" w:lineRule="auto"/>
              <w:jc w:val="center"/>
              <w:rPr>
                <w:noProof/>
              </w:rPr>
            </w:pPr>
            <w:r>
              <w:rPr>
                <w:noProof/>
              </w:rPr>
              <w:t>342</w:t>
            </w:r>
          </w:p>
        </w:tc>
        <w:tc>
          <w:tcPr>
            <w:tcW w:w="1312"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04783E83" w14:textId="265D0DE2" w:rsidR="00025543" w:rsidRDefault="007E3A2F">
            <w:pPr>
              <w:pStyle w:val="P68B1DB1-Normal11"/>
              <w:spacing w:before="0" w:after="0" w:line="240" w:lineRule="auto"/>
              <w:textAlignment w:val="baseline"/>
              <w:rPr>
                <w:noProof/>
              </w:rPr>
            </w:pPr>
            <w:r>
              <w:rPr>
                <w:noProof/>
              </w:rPr>
              <w:t>Réforme 1:  Avis unique sur l’environnement</w:t>
            </w:r>
          </w:p>
        </w:tc>
        <w:tc>
          <w:tcPr>
            <w:tcW w:w="1134"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1402E1AA" w14:textId="5AEA57D7" w:rsidR="00025543" w:rsidRDefault="007E3A2F">
            <w:pPr>
              <w:pStyle w:val="P68B1DB1-Normal11"/>
              <w:spacing w:line="240" w:lineRule="auto"/>
              <w:rPr>
                <w:noProof/>
              </w:rPr>
            </w:pPr>
            <w:r>
              <w:rPr>
                <w:noProof/>
              </w:rPr>
              <w:t>Étapes</w:t>
            </w:r>
          </w:p>
        </w:tc>
        <w:tc>
          <w:tcPr>
            <w:tcW w:w="1516"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4D97E177" w14:textId="6B38AA8B" w:rsidR="00025543" w:rsidRDefault="007E3A2F">
            <w:pPr>
              <w:pStyle w:val="P68B1DB1-Normal11"/>
              <w:spacing w:line="240" w:lineRule="auto"/>
              <w:rPr>
                <w:noProof/>
              </w:rPr>
            </w:pPr>
            <w:r>
              <w:rPr>
                <w:noProof/>
              </w:rPr>
              <w:t xml:space="preserve">Publication de méthodologies et de modèles par le ministère de l’environnement  </w:t>
            </w:r>
          </w:p>
        </w:tc>
        <w:tc>
          <w:tcPr>
            <w:tcW w:w="1312"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52501A17" w14:textId="6D7EB344" w:rsidR="00025543" w:rsidRDefault="007E3A2F">
            <w:pPr>
              <w:pStyle w:val="P68B1DB1-Normal11"/>
              <w:spacing w:line="240" w:lineRule="auto"/>
              <w:jc w:val="both"/>
              <w:rPr>
                <w:noProof/>
              </w:rPr>
            </w:pPr>
            <w:r>
              <w:rPr>
                <w:noProof/>
              </w:rPr>
              <w:t>Publication des lignes directrices</w:t>
            </w:r>
          </w:p>
          <w:p w14:paraId="56B18099" w14:textId="6605B5CD" w:rsidR="00025543" w:rsidRDefault="00025543">
            <w:pPr>
              <w:spacing w:line="240" w:lineRule="auto"/>
              <w:rPr>
                <w:rFonts w:eastAsia="Times New Roman"/>
                <w:noProof/>
                <w:color w:val="006100"/>
                <w:sz w:val="18"/>
              </w:rPr>
            </w:pPr>
          </w:p>
        </w:tc>
        <w:tc>
          <w:tcPr>
            <w:tcW w:w="944"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729F5CC6" w14:textId="56C3C487" w:rsidR="00025543" w:rsidRDefault="007E3A2F">
            <w:pPr>
              <w:pStyle w:val="P68B1DB1-Normal11"/>
              <w:spacing w:line="240" w:lineRule="auto"/>
              <w:rPr>
                <w:noProof/>
              </w:rPr>
            </w:pPr>
            <w:r>
              <w:rPr>
                <w:noProof/>
              </w:rPr>
              <w:t xml:space="preserve"> </w:t>
            </w:r>
          </w:p>
        </w:tc>
        <w:tc>
          <w:tcPr>
            <w:tcW w:w="997"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66B7070C" w14:textId="2F5765A8" w:rsidR="00025543" w:rsidRDefault="007E3A2F">
            <w:pPr>
              <w:pStyle w:val="P68B1DB1-Normal11"/>
              <w:spacing w:line="240" w:lineRule="auto"/>
              <w:jc w:val="center"/>
              <w:rPr>
                <w:noProof/>
              </w:rPr>
            </w:pPr>
            <w:r>
              <w:rPr>
                <w:noProof/>
              </w:rPr>
              <w:t xml:space="preserve"> </w:t>
            </w:r>
          </w:p>
        </w:tc>
        <w:tc>
          <w:tcPr>
            <w:tcW w:w="997"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16963F96" w14:textId="46E3A61D" w:rsidR="00025543" w:rsidRDefault="007E3A2F">
            <w:pPr>
              <w:pStyle w:val="P68B1DB1-Normal11"/>
              <w:spacing w:line="240" w:lineRule="auto"/>
              <w:jc w:val="center"/>
              <w:rPr>
                <w:noProof/>
              </w:rPr>
            </w:pPr>
            <w:r>
              <w:rPr>
                <w:noProof/>
              </w:rPr>
              <w:t xml:space="preserve"> </w:t>
            </w:r>
          </w:p>
        </w:tc>
        <w:tc>
          <w:tcPr>
            <w:tcW w:w="1007"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1D122A5F" w14:textId="26687656" w:rsidR="00025543" w:rsidRDefault="007E3A2F">
            <w:pPr>
              <w:pStyle w:val="P68B1DB1-Normal11"/>
              <w:spacing w:line="240" w:lineRule="auto"/>
              <w:rPr>
                <w:noProof/>
              </w:rPr>
            </w:pPr>
            <w:r>
              <w:rPr>
                <w:noProof/>
              </w:rPr>
              <w:t>TRIMESTRE 4</w:t>
            </w:r>
          </w:p>
        </w:tc>
        <w:tc>
          <w:tcPr>
            <w:tcW w:w="723"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5CF03FEC" w14:textId="109085E1" w:rsidR="00025543" w:rsidRDefault="007E3A2F">
            <w:pPr>
              <w:pStyle w:val="P68B1DB1-Normal11"/>
              <w:spacing w:line="240" w:lineRule="auto"/>
              <w:rPr>
                <w:noProof/>
              </w:rPr>
            </w:pPr>
            <w:r>
              <w:rPr>
                <w:noProof/>
              </w:rPr>
              <w:t>2024</w:t>
            </w:r>
          </w:p>
        </w:tc>
        <w:tc>
          <w:tcPr>
            <w:tcW w:w="3969"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136CCAE7" w14:textId="77777777" w:rsidR="00025543" w:rsidRDefault="007E3A2F">
            <w:pPr>
              <w:pStyle w:val="P68B1DB1-Normal10"/>
              <w:spacing w:after="0" w:line="240" w:lineRule="auto"/>
              <w:jc w:val="both"/>
              <w:rPr>
                <w:strike/>
                <w:noProof/>
                <w:color w:val="498205"/>
              </w:rPr>
            </w:pPr>
            <w:r>
              <w:rPr>
                <w:noProof/>
                <w:color w:val="006100"/>
              </w:rPr>
              <w:t>Le ministère de l’environnement publie les lignes directrices suivantes à l’intention de l’administration publique</w:t>
            </w:r>
            <w:r>
              <w:rPr>
                <w:noProof/>
                <w:color w:val="498205"/>
                <w:u w:val="single"/>
              </w:rPr>
              <w:t>:</w:t>
            </w:r>
          </w:p>
          <w:p w14:paraId="4FB0C24E" w14:textId="77777777" w:rsidR="00025543" w:rsidRDefault="007E3A2F">
            <w:pPr>
              <w:pStyle w:val="P68B1DB1-Normal11"/>
              <w:spacing w:after="0" w:line="240" w:lineRule="auto"/>
              <w:jc w:val="both"/>
              <w:rPr>
                <w:noProof/>
              </w:rPr>
            </w:pPr>
            <w:r>
              <w:rPr>
                <w:noProof/>
              </w:rPr>
              <w:t>1) instruction méthodologique, modèles pour la procédure dans laquelle l’avis contraignant de l’EIE est combiné avec le SEO</w:t>
            </w:r>
          </w:p>
          <w:p w14:paraId="4B1B01A1" w14:textId="77777777" w:rsidR="00025543" w:rsidRDefault="007E3A2F">
            <w:pPr>
              <w:pStyle w:val="P68B1DB1-Normal11"/>
              <w:spacing w:after="0" w:line="240" w:lineRule="auto"/>
              <w:jc w:val="both"/>
              <w:rPr>
                <w:noProof/>
              </w:rPr>
            </w:pPr>
            <w:r>
              <w:rPr>
                <w:noProof/>
              </w:rPr>
              <w:t>2) instructions méthodologiques pour la procédure lorsque le SEO est émis séparément, c’est-à-dire lorsque l’EIE a lieu pour la première fois et que le SEO est émis par la suite.</w:t>
            </w:r>
          </w:p>
          <w:p w14:paraId="661A486A" w14:textId="77777777" w:rsidR="00025543" w:rsidRDefault="007E3A2F">
            <w:pPr>
              <w:pStyle w:val="P68B1DB1-Normal10"/>
              <w:spacing w:after="0" w:line="240" w:lineRule="auto"/>
              <w:jc w:val="both"/>
              <w:rPr>
                <w:noProof/>
                <w:color w:val="006100"/>
              </w:rPr>
            </w:pPr>
            <w:r>
              <w:rPr>
                <w:noProof/>
                <w:color w:val="006100"/>
              </w:rPr>
              <w:t>3) orientations méthodologiques décrivant la gouvernance, les changements structurels, la répartition des compétences et l’orientation des travaux des</w:t>
            </w:r>
            <w:r>
              <w:rPr>
                <w:strike/>
                <w:noProof/>
                <w:color w:val="498205"/>
              </w:rPr>
              <w:t xml:space="preserve"> </w:t>
            </w:r>
            <w:r>
              <w:rPr>
                <w:noProof/>
                <w:color w:val="006100"/>
              </w:rPr>
              <w:t>différentes autorités publiques</w:t>
            </w:r>
            <w:r>
              <w:rPr>
                <w:noProof/>
                <w:color w:val="498205"/>
                <w:u w:val="single"/>
              </w:rPr>
              <w:t>.</w:t>
            </w:r>
            <w:r>
              <w:rPr>
                <w:noProof/>
                <w:color w:val="006100"/>
              </w:rPr>
              <w:t xml:space="preserve">  </w:t>
            </w:r>
          </w:p>
          <w:p w14:paraId="07D13088" w14:textId="1958FCED" w:rsidR="00025543" w:rsidRDefault="007E3A2F">
            <w:pPr>
              <w:pStyle w:val="P68B1DB1-Normal11"/>
              <w:spacing w:before="0" w:after="0" w:line="240" w:lineRule="auto"/>
              <w:jc w:val="both"/>
              <w:textAlignment w:val="baseline"/>
              <w:rPr>
                <w:noProof/>
              </w:rPr>
            </w:pPr>
            <w:r>
              <w:rPr>
                <w:noProof/>
              </w:rPr>
              <w:t xml:space="preserve">Les méthodes comprennent également des modèles de documents, y compris les modèles d’application SEO. </w:t>
            </w:r>
          </w:p>
        </w:tc>
      </w:tr>
      <w:tr w:rsidR="00025543" w14:paraId="33126F74" w14:textId="77777777">
        <w:trPr>
          <w:trHeight w:val="2145"/>
        </w:trPr>
        <w:tc>
          <w:tcPr>
            <w:tcW w:w="635"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0A59A472" w14:textId="3C6E4140" w:rsidR="00025543" w:rsidRDefault="007E3A2F">
            <w:pPr>
              <w:pStyle w:val="P68B1DB1-Normal15"/>
              <w:spacing w:before="0" w:after="0" w:line="240" w:lineRule="auto"/>
              <w:jc w:val="center"/>
              <w:rPr>
                <w:noProof/>
              </w:rPr>
            </w:pPr>
            <w:r>
              <w:rPr>
                <w:noProof/>
              </w:rPr>
              <w:t>343</w:t>
            </w:r>
          </w:p>
        </w:tc>
        <w:tc>
          <w:tcPr>
            <w:tcW w:w="1312"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2C065C38" w14:textId="111E3595" w:rsidR="00025543" w:rsidRDefault="007E3A2F">
            <w:pPr>
              <w:pStyle w:val="P68B1DB1-Normal11"/>
              <w:spacing w:before="0" w:after="0" w:line="240" w:lineRule="auto"/>
              <w:textAlignment w:val="baseline"/>
              <w:rPr>
                <w:noProof/>
              </w:rPr>
            </w:pPr>
            <w:r>
              <w:rPr>
                <w:noProof/>
              </w:rPr>
              <w:t>Réforme 2: Zones d’accélération des énergies renouvelables</w:t>
            </w:r>
          </w:p>
        </w:tc>
        <w:tc>
          <w:tcPr>
            <w:tcW w:w="1134"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0B0C89AB" w14:textId="4EFA41C9" w:rsidR="00025543" w:rsidRDefault="007E3A2F">
            <w:pPr>
              <w:pStyle w:val="P68B1DB1-Normal11"/>
              <w:spacing w:line="240" w:lineRule="auto"/>
              <w:rPr>
                <w:noProof/>
              </w:rPr>
            </w:pPr>
            <w:r>
              <w:rPr>
                <w:noProof/>
              </w:rPr>
              <w:t>Étapes</w:t>
            </w:r>
          </w:p>
        </w:tc>
        <w:tc>
          <w:tcPr>
            <w:tcW w:w="1516"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7B0A16DF" w14:textId="71BA9FBF" w:rsidR="00025543" w:rsidRDefault="007E3A2F">
            <w:pPr>
              <w:pStyle w:val="P68B1DB1-Normal11"/>
              <w:spacing w:line="240" w:lineRule="auto"/>
              <w:rPr>
                <w:noProof/>
              </w:rPr>
            </w:pPr>
            <w:r>
              <w:rPr>
                <w:noProof/>
              </w:rPr>
              <w:t xml:space="preserve">Méthodologie de désignation des zones d’accélération des énergies renouvelables </w:t>
            </w:r>
          </w:p>
        </w:tc>
        <w:tc>
          <w:tcPr>
            <w:tcW w:w="1312"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1F8F5986" w14:textId="77777777" w:rsidR="00025543" w:rsidRDefault="007E3A2F">
            <w:pPr>
              <w:pStyle w:val="P68B1DB1-Normal11"/>
              <w:spacing w:line="240" w:lineRule="auto"/>
              <w:jc w:val="both"/>
              <w:rPr>
                <w:noProof/>
              </w:rPr>
            </w:pPr>
            <w:r>
              <w:rPr>
                <w:noProof/>
              </w:rPr>
              <w:t>Publication de la méthodologie</w:t>
            </w:r>
          </w:p>
          <w:p w14:paraId="4D1C5A3A" w14:textId="77777777" w:rsidR="00025543" w:rsidRDefault="00025543">
            <w:pPr>
              <w:spacing w:line="240" w:lineRule="auto"/>
              <w:rPr>
                <w:rFonts w:eastAsia="Times New Roman"/>
                <w:noProof/>
                <w:color w:val="006100"/>
                <w:sz w:val="18"/>
              </w:rPr>
            </w:pPr>
          </w:p>
        </w:tc>
        <w:tc>
          <w:tcPr>
            <w:tcW w:w="944"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53BE4E97" w14:textId="77777777" w:rsidR="00025543" w:rsidRDefault="00025543">
            <w:pPr>
              <w:spacing w:line="240" w:lineRule="auto"/>
              <w:rPr>
                <w:rFonts w:eastAsia="Times New Roman"/>
                <w:noProof/>
                <w:color w:val="006100"/>
                <w:sz w:val="18"/>
              </w:rPr>
            </w:pPr>
          </w:p>
        </w:tc>
        <w:tc>
          <w:tcPr>
            <w:tcW w:w="997"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46D9E9CC" w14:textId="77777777" w:rsidR="00025543" w:rsidRDefault="00025543">
            <w:pPr>
              <w:spacing w:line="240" w:lineRule="auto"/>
              <w:jc w:val="center"/>
              <w:rPr>
                <w:rFonts w:eastAsia="Times New Roman"/>
                <w:noProof/>
                <w:color w:val="006100"/>
                <w:sz w:val="18"/>
              </w:rPr>
            </w:pPr>
          </w:p>
        </w:tc>
        <w:tc>
          <w:tcPr>
            <w:tcW w:w="997"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30EB0303" w14:textId="77777777" w:rsidR="00025543" w:rsidRDefault="00025543">
            <w:pPr>
              <w:spacing w:line="240" w:lineRule="auto"/>
              <w:jc w:val="center"/>
              <w:rPr>
                <w:rFonts w:eastAsia="Times New Roman"/>
                <w:noProof/>
                <w:color w:val="006100"/>
                <w:sz w:val="18"/>
              </w:rPr>
            </w:pPr>
          </w:p>
        </w:tc>
        <w:tc>
          <w:tcPr>
            <w:tcW w:w="1007"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42DF6401" w14:textId="596A3C53" w:rsidR="00025543" w:rsidRDefault="007E3A2F">
            <w:pPr>
              <w:pStyle w:val="P68B1DB1-Normal11"/>
              <w:spacing w:line="240" w:lineRule="auto"/>
              <w:rPr>
                <w:noProof/>
              </w:rPr>
            </w:pPr>
            <w:r>
              <w:rPr>
                <w:noProof/>
              </w:rPr>
              <w:t>TRIMESTRE 4</w:t>
            </w:r>
          </w:p>
        </w:tc>
        <w:tc>
          <w:tcPr>
            <w:tcW w:w="723"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0F0C5302" w14:textId="5B992367" w:rsidR="00025543" w:rsidRDefault="007E3A2F">
            <w:pPr>
              <w:pStyle w:val="P68B1DB1-Normal11"/>
              <w:spacing w:line="240" w:lineRule="auto"/>
              <w:rPr>
                <w:noProof/>
              </w:rPr>
            </w:pPr>
            <w:r>
              <w:rPr>
                <w:noProof/>
              </w:rPr>
              <w:t>2023</w:t>
            </w:r>
          </w:p>
        </w:tc>
        <w:tc>
          <w:tcPr>
            <w:tcW w:w="3969"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1CF00BCC" w14:textId="30B020D4" w:rsidR="00025543" w:rsidRDefault="007E3A2F">
            <w:pPr>
              <w:spacing w:before="0" w:after="0" w:line="240" w:lineRule="auto"/>
              <w:textAlignment w:val="baseline"/>
              <w:rPr>
                <w:rFonts w:eastAsia="Times New Roman"/>
                <w:noProof/>
                <w:color w:val="006100"/>
                <w:sz w:val="18"/>
              </w:rPr>
            </w:pPr>
            <w:r>
              <w:rPr>
                <w:rFonts w:eastAsia="Times New Roman"/>
                <w:noProof/>
                <w:color w:val="006100"/>
                <w:sz w:val="18"/>
              </w:rPr>
              <w:t xml:space="preserve">La méthodologie détermine des critères unifiés pour la sélection et l’évaluation des zones adaptées au développement de l’énergie éolienne et solaire. Il s’agit notamment des zones ayant une incidence moindre sur l’environnement, un conflit nul ou faible avec d’autres intérêts, des zones présentant un potentiel suffisant de densité d’énergie éolienne, de vitesse du vent, d’irradiation solaire et d’accessibilité du réseau de transport. Les incitations financières, les mesures d’atténuation et les solutions gagnant-gagnant pour améliorer les services écosystémiques dans le paysage font partie des documents joints à la méthodologie. </w:t>
            </w:r>
            <w:r>
              <w:rPr>
                <w:noProof/>
              </w:rPr>
              <w:br/>
            </w:r>
            <w:r>
              <w:rPr>
                <w:rFonts w:eastAsia="Times New Roman"/>
                <w:noProof/>
                <w:color w:val="006100"/>
                <w:sz w:val="18"/>
              </w:rPr>
              <w:t>La méthodologie est établie en coopération avec les parties prenantes concernées, y compris par la communication avec le public et le dialogue transparent.</w:t>
            </w:r>
          </w:p>
          <w:p w14:paraId="400161BC" w14:textId="15367D36" w:rsidR="00025543" w:rsidRDefault="007E3A2F">
            <w:pPr>
              <w:pStyle w:val="P68B1DB1-Normal11"/>
              <w:spacing w:before="0" w:after="0" w:line="240" w:lineRule="auto"/>
              <w:jc w:val="both"/>
              <w:textAlignment w:val="baseline"/>
              <w:rPr>
                <w:noProof/>
              </w:rPr>
            </w:pPr>
            <w:r>
              <w:rPr>
                <w:noProof/>
              </w:rPr>
              <w:t>Le ministère de l’environnement fournit aux régions et aux municipalités des actions d’assistance et de communication sur les zones d’accélération.</w:t>
            </w:r>
          </w:p>
          <w:p w14:paraId="66D922A1" w14:textId="77777777" w:rsidR="00025543" w:rsidRDefault="00025543">
            <w:pPr>
              <w:spacing w:after="0" w:line="240" w:lineRule="auto"/>
              <w:jc w:val="both"/>
              <w:rPr>
                <w:rFonts w:eastAsia="Times New Roman"/>
                <w:noProof/>
                <w:color w:val="006100"/>
                <w:sz w:val="18"/>
              </w:rPr>
            </w:pPr>
          </w:p>
        </w:tc>
      </w:tr>
      <w:tr w:rsidR="00025543" w14:paraId="08C08EAB" w14:textId="77777777">
        <w:trPr>
          <w:trHeight w:val="2145"/>
        </w:trPr>
        <w:tc>
          <w:tcPr>
            <w:tcW w:w="635"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4A173B57" w14:textId="681B6830" w:rsidR="00025543" w:rsidRDefault="007E3A2F">
            <w:pPr>
              <w:pStyle w:val="P68B1DB1-Normal15"/>
              <w:spacing w:before="0" w:after="0" w:line="240" w:lineRule="auto"/>
              <w:jc w:val="center"/>
              <w:rPr>
                <w:noProof/>
              </w:rPr>
            </w:pPr>
            <w:r>
              <w:rPr>
                <w:noProof/>
              </w:rPr>
              <w:t>344</w:t>
            </w:r>
          </w:p>
        </w:tc>
        <w:tc>
          <w:tcPr>
            <w:tcW w:w="1312"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4BB0964A" w14:textId="77777777" w:rsidR="00025543" w:rsidRDefault="007E3A2F">
            <w:pPr>
              <w:pStyle w:val="P68B1DB1-Normal11"/>
              <w:spacing w:before="0" w:after="0" w:line="240" w:lineRule="auto"/>
              <w:jc w:val="both"/>
              <w:textAlignment w:val="baseline"/>
              <w:rPr>
                <w:noProof/>
              </w:rPr>
            </w:pPr>
            <w:r>
              <w:rPr>
                <w:noProof/>
              </w:rPr>
              <w:t>Réforme 2:</w:t>
            </w:r>
          </w:p>
          <w:p w14:paraId="784C646D" w14:textId="5082704B" w:rsidR="00025543" w:rsidRDefault="007E3A2F">
            <w:pPr>
              <w:pStyle w:val="P68B1DB1-Normal11"/>
              <w:spacing w:before="0" w:after="0" w:line="240" w:lineRule="auto"/>
              <w:jc w:val="both"/>
              <w:textAlignment w:val="baseline"/>
              <w:rPr>
                <w:noProof/>
              </w:rPr>
            </w:pPr>
            <w:r>
              <w:rPr>
                <w:noProof/>
              </w:rPr>
              <w:t xml:space="preserve">Zones d’accélération des énergies renouvelables </w:t>
            </w:r>
          </w:p>
        </w:tc>
        <w:tc>
          <w:tcPr>
            <w:tcW w:w="1134"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25B5920D" w14:textId="371ADE2A" w:rsidR="00025543" w:rsidRDefault="007E3A2F">
            <w:pPr>
              <w:pStyle w:val="P68B1DB1-Normal11"/>
              <w:spacing w:line="240" w:lineRule="auto"/>
              <w:rPr>
                <w:noProof/>
              </w:rPr>
            </w:pPr>
            <w:r>
              <w:rPr>
                <w:noProof/>
              </w:rPr>
              <w:t>Étapes</w:t>
            </w:r>
          </w:p>
        </w:tc>
        <w:tc>
          <w:tcPr>
            <w:tcW w:w="1516"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1CC9C0D6" w14:textId="77777777" w:rsidR="00025543" w:rsidRDefault="007E3A2F">
            <w:pPr>
              <w:pStyle w:val="P68B1DB1-Normal11"/>
              <w:spacing w:before="0" w:after="0" w:line="240" w:lineRule="auto"/>
              <w:jc w:val="both"/>
              <w:textAlignment w:val="baseline"/>
              <w:rPr>
                <w:noProof/>
              </w:rPr>
            </w:pPr>
            <w:r>
              <w:rPr>
                <w:noProof/>
              </w:rPr>
              <w:t>Cadre de soutien aux zones d’accélération des énergies renouvelables</w:t>
            </w:r>
          </w:p>
          <w:p w14:paraId="41B0B84A" w14:textId="77777777" w:rsidR="00025543" w:rsidRDefault="00025543">
            <w:pPr>
              <w:spacing w:line="240" w:lineRule="auto"/>
              <w:rPr>
                <w:rFonts w:eastAsia="Times New Roman"/>
                <w:noProof/>
                <w:color w:val="006100"/>
                <w:sz w:val="18"/>
              </w:rPr>
            </w:pPr>
          </w:p>
        </w:tc>
        <w:tc>
          <w:tcPr>
            <w:tcW w:w="1312"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6C2ECD7B" w14:textId="4DE9C228" w:rsidR="00025543" w:rsidRDefault="007E3A2F">
            <w:pPr>
              <w:pStyle w:val="P68B1DB1-Normal11"/>
              <w:spacing w:before="0" w:after="0" w:line="240" w:lineRule="auto"/>
              <w:jc w:val="both"/>
              <w:textAlignment w:val="baseline"/>
              <w:rPr>
                <w:noProof/>
              </w:rPr>
            </w:pPr>
            <w:r>
              <w:rPr>
                <w:noProof/>
              </w:rPr>
              <w:t>Entrée en vigueur de la modification législative de la loi sur la construction, de la loi sur l’énergie, de la loi sur les sources d’énergie renouvelables, de la loi sur l’évaluation des incidences sur l’environnement et de la loi sur la nature et le paysage</w:t>
            </w:r>
          </w:p>
          <w:p w14:paraId="5A8DCF4F" w14:textId="40AA082E" w:rsidR="00025543" w:rsidRDefault="007E3A2F">
            <w:pPr>
              <w:pStyle w:val="P68B1DB1-Normal11"/>
              <w:spacing w:before="0" w:after="0" w:line="240" w:lineRule="auto"/>
              <w:jc w:val="both"/>
              <w:textAlignment w:val="baseline"/>
              <w:rPr>
                <w:noProof/>
              </w:rPr>
            </w:pPr>
            <w:r>
              <w:rPr>
                <w:noProof/>
              </w:rPr>
              <w:t xml:space="preserve">Entrée en vigueur de la nouvelle législation sur les zones d’accélération des énergies renouvelables </w:t>
            </w:r>
          </w:p>
          <w:p w14:paraId="339AD83C" w14:textId="0D570290" w:rsidR="00025543" w:rsidRDefault="007E3A2F">
            <w:pPr>
              <w:pStyle w:val="P68B1DB1-Normal11"/>
              <w:spacing w:line="240" w:lineRule="auto"/>
              <w:rPr>
                <w:noProof/>
              </w:rPr>
            </w:pPr>
            <w:r>
              <w:rPr>
                <w:noProof/>
              </w:rPr>
              <w:t xml:space="preserve">Adoption des politiques d’aménagement du territoire mises à jour </w:t>
            </w:r>
          </w:p>
        </w:tc>
        <w:tc>
          <w:tcPr>
            <w:tcW w:w="944"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5666381B" w14:textId="77777777" w:rsidR="00025543" w:rsidRDefault="00025543">
            <w:pPr>
              <w:spacing w:line="240" w:lineRule="auto"/>
              <w:rPr>
                <w:rFonts w:eastAsia="Times New Roman"/>
                <w:noProof/>
                <w:color w:val="006100"/>
                <w:sz w:val="18"/>
              </w:rPr>
            </w:pPr>
          </w:p>
        </w:tc>
        <w:tc>
          <w:tcPr>
            <w:tcW w:w="997"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2A835A7F" w14:textId="77777777" w:rsidR="00025543" w:rsidRDefault="00025543">
            <w:pPr>
              <w:spacing w:line="240" w:lineRule="auto"/>
              <w:jc w:val="center"/>
              <w:rPr>
                <w:rFonts w:eastAsia="Times New Roman"/>
                <w:noProof/>
                <w:color w:val="006100"/>
                <w:sz w:val="18"/>
              </w:rPr>
            </w:pPr>
          </w:p>
        </w:tc>
        <w:tc>
          <w:tcPr>
            <w:tcW w:w="997"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0C338931" w14:textId="77777777" w:rsidR="00025543" w:rsidRDefault="00025543">
            <w:pPr>
              <w:spacing w:line="240" w:lineRule="auto"/>
              <w:jc w:val="center"/>
              <w:rPr>
                <w:rFonts w:eastAsia="Times New Roman"/>
                <w:noProof/>
                <w:color w:val="006100"/>
                <w:sz w:val="18"/>
              </w:rPr>
            </w:pPr>
          </w:p>
        </w:tc>
        <w:tc>
          <w:tcPr>
            <w:tcW w:w="1007"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3022C21E" w14:textId="40DF54F6" w:rsidR="00025543" w:rsidRDefault="007E3A2F">
            <w:pPr>
              <w:pStyle w:val="P68B1DB1-Normal11"/>
              <w:spacing w:line="240" w:lineRule="auto"/>
              <w:rPr>
                <w:noProof/>
              </w:rPr>
            </w:pPr>
            <w:r>
              <w:rPr>
                <w:noProof/>
              </w:rPr>
              <w:t>TRIMESTRE 4</w:t>
            </w:r>
          </w:p>
        </w:tc>
        <w:tc>
          <w:tcPr>
            <w:tcW w:w="723"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407DBDE8" w14:textId="52CB313D" w:rsidR="00025543" w:rsidRDefault="007E3A2F">
            <w:pPr>
              <w:pStyle w:val="P68B1DB1-Normal11"/>
              <w:spacing w:line="240" w:lineRule="auto"/>
              <w:rPr>
                <w:noProof/>
              </w:rPr>
            </w:pPr>
            <w:r>
              <w:rPr>
                <w:noProof/>
              </w:rPr>
              <w:t>2024</w:t>
            </w:r>
          </w:p>
        </w:tc>
        <w:tc>
          <w:tcPr>
            <w:tcW w:w="3969"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582CE320" w14:textId="019C6DAE" w:rsidR="00025543" w:rsidRDefault="007E3A2F">
            <w:pPr>
              <w:pStyle w:val="P68B1DB1-Normal11"/>
              <w:spacing w:before="0" w:after="0" w:line="240" w:lineRule="auto"/>
              <w:jc w:val="both"/>
              <w:textAlignment w:val="baseline"/>
              <w:rPr>
                <w:noProof/>
              </w:rPr>
            </w:pPr>
            <w:r>
              <w:rPr>
                <w:noProof/>
              </w:rPr>
              <w:t xml:space="preserve">Les modifications législatives prévoient la possibilité pour les régions et les municipalités de désigner des zones d’accélération des énergies renouvelables pour les technologies solaires et éoliennes, sur la base des principes de développement territorial et de la méthode d’établissement des zones d’accès. Chaque zone comprend des objectifs en matière d’espace (km²) ou de capacité installée (MW) pour l’énergie éolienne et solaire. </w:t>
            </w:r>
          </w:p>
          <w:p w14:paraId="38C79C67" w14:textId="77777777" w:rsidR="00025543" w:rsidRDefault="00025543">
            <w:pPr>
              <w:spacing w:before="0" w:after="0" w:line="240" w:lineRule="auto"/>
              <w:jc w:val="both"/>
              <w:textAlignment w:val="baseline"/>
              <w:rPr>
                <w:rFonts w:eastAsia="Times New Roman"/>
                <w:noProof/>
                <w:color w:val="006100"/>
                <w:sz w:val="18"/>
              </w:rPr>
            </w:pPr>
          </w:p>
          <w:p w14:paraId="23BFCE55" w14:textId="33C29D94" w:rsidR="00025543" w:rsidRDefault="007E3A2F">
            <w:pPr>
              <w:pStyle w:val="P68B1DB1-Normal11"/>
              <w:spacing w:line="240" w:lineRule="auto"/>
              <w:rPr>
                <w:noProof/>
              </w:rPr>
            </w:pPr>
            <w:r>
              <w:rPr>
                <w:noProof/>
              </w:rPr>
              <w:t>Les modifications législatives introduisent des procédures d’autorisation et de raccordement au réseau simplifiées spécifiques applicables aux installations utilisant des énergies renouvelables dans ces zones d’accélération des énergies renouvelables, ce qui se traduit par des procédures plus simples et des délais plus courts. Une seule évaluation environnementale est réalisée au titre de la directive ESIE au niveau de la zone, exemptant les projets de la réalisation d’une évaluation individuelle des incidences. S’il ressort de l’examen préliminaire réalisé par l’autorité compétente qu’un projet donné est très susceptible d’avoir des incidences négatives notables sur l’environnement, il doit faire l’objet d’évaluations environnementales au titre des directives EIE et Habitats (réalisées dans un délai de 6 mois). Au niveau de la planification, les zones d’accélération des énergies renouvelables sont soumises à la participation du public.</w:t>
            </w:r>
          </w:p>
          <w:p w14:paraId="5A1880B8" w14:textId="77777777" w:rsidR="00025543" w:rsidRDefault="00025543">
            <w:pPr>
              <w:spacing w:before="0" w:after="0" w:line="240" w:lineRule="auto"/>
              <w:jc w:val="both"/>
              <w:textAlignment w:val="baseline"/>
              <w:rPr>
                <w:rFonts w:eastAsia="Times New Roman"/>
                <w:noProof/>
                <w:color w:val="006100"/>
                <w:sz w:val="18"/>
              </w:rPr>
            </w:pPr>
          </w:p>
          <w:p w14:paraId="4C7020AB" w14:textId="0F1FC985" w:rsidR="00025543" w:rsidRDefault="007E3A2F">
            <w:pPr>
              <w:pStyle w:val="P68B1DB1-Normal11"/>
              <w:spacing w:before="0" w:after="0" w:line="240" w:lineRule="auto"/>
              <w:jc w:val="both"/>
              <w:textAlignment w:val="baseline"/>
              <w:rPr>
                <w:noProof/>
              </w:rPr>
            </w:pPr>
            <w:r>
              <w:rPr>
                <w:noProof/>
              </w:rPr>
              <w:t>Les projets situés dans une zone d’accélération bénéficient d’une procédure d’autorisation accélérée. Des délais contraignants obligatoires pour toutes les autorisations sont fixés afin de garantir que la procédure d’octroi des autorisations ne dépasse pas un an pour les installations de plus de 150 kW et 6 mois pour les installations renouvelables jusqu’à 150 kW.</w:t>
            </w:r>
          </w:p>
          <w:p w14:paraId="04A213E5" w14:textId="77777777" w:rsidR="00025543" w:rsidRDefault="00025543">
            <w:pPr>
              <w:spacing w:before="0" w:after="0" w:line="240" w:lineRule="auto"/>
              <w:jc w:val="both"/>
              <w:rPr>
                <w:rFonts w:eastAsia="Times New Roman"/>
                <w:noProof/>
                <w:color w:val="006100"/>
                <w:sz w:val="18"/>
              </w:rPr>
            </w:pPr>
          </w:p>
          <w:p w14:paraId="32EB5249" w14:textId="4C23FDE0" w:rsidR="00025543" w:rsidRDefault="007E3A2F">
            <w:pPr>
              <w:pStyle w:val="P68B1DB1-Normal11"/>
              <w:spacing w:after="0" w:line="240" w:lineRule="auto"/>
              <w:jc w:val="both"/>
              <w:rPr>
                <w:noProof/>
              </w:rPr>
            </w:pPr>
            <w:r>
              <w:rPr>
                <w:noProof/>
              </w:rPr>
              <w:t>Les modifications législatives prévoient l’introduction de mesures d’acceptation des projets telles que la participation financière, le partage des avantages économiques, les mécanismes de résolution des conflits, des mesures d’engagement précoce ainsi que des mesures d’atténuation de l’environnement.</w:t>
            </w:r>
          </w:p>
        </w:tc>
      </w:tr>
      <w:tr w:rsidR="00025543" w14:paraId="780DC2D0" w14:textId="77777777">
        <w:trPr>
          <w:trHeight w:val="2145"/>
        </w:trPr>
        <w:tc>
          <w:tcPr>
            <w:tcW w:w="635"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78640673" w14:textId="15296C61" w:rsidR="00025543" w:rsidRDefault="007E3A2F">
            <w:pPr>
              <w:pStyle w:val="P68B1DB1-Normal15"/>
              <w:spacing w:before="0" w:after="0" w:line="240" w:lineRule="auto"/>
              <w:jc w:val="center"/>
              <w:rPr>
                <w:noProof/>
              </w:rPr>
            </w:pPr>
            <w:r>
              <w:rPr>
                <w:noProof/>
              </w:rPr>
              <w:t>345</w:t>
            </w:r>
          </w:p>
        </w:tc>
        <w:tc>
          <w:tcPr>
            <w:tcW w:w="1312"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400F097C" w14:textId="77777777" w:rsidR="00025543" w:rsidRDefault="007E3A2F">
            <w:pPr>
              <w:pStyle w:val="P68B1DB1-Normal11"/>
              <w:spacing w:before="0" w:after="0" w:line="240" w:lineRule="auto"/>
              <w:jc w:val="both"/>
              <w:textAlignment w:val="baseline"/>
              <w:rPr>
                <w:noProof/>
              </w:rPr>
            </w:pPr>
            <w:r>
              <w:rPr>
                <w:noProof/>
              </w:rPr>
              <w:t>Réforme 2:</w:t>
            </w:r>
          </w:p>
          <w:p w14:paraId="1BEBBC0E" w14:textId="77777777" w:rsidR="00025543" w:rsidRDefault="007E3A2F">
            <w:pPr>
              <w:pStyle w:val="P68B1DB1-Normal11"/>
              <w:spacing w:before="0" w:after="0" w:line="240" w:lineRule="auto"/>
              <w:jc w:val="both"/>
              <w:textAlignment w:val="baseline"/>
              <w:rPr>
                <w:noProof/>
              </w:rPr>
            </w:pPr>
            <w:r>
              <w:rPr>
                <w:noProof/>
              </w:rPr>
              <w:t>Zones d’accélération des énergies renouvelables</w:t>
            </w:r>
          </w:p>
          <w:p w14:paraId="3058584C" w14:textId="1EF5356B" w:rsidR="00025543" w:rsidRDefault="00025543">
            <w:pPr>
              <w:spacing w:before="0" w:after="0" w:line="240" w:lineRule="auto"/>
              <w:jc w:val="both"/>
              <w:textAlignment w:val="baseline"/>
              <w:rPr>
                <w:rFonts w:eastAsia="Times New Roman"/>
                <w:noProof/>
                <w:color w:val="006100"/>
                <w:sz w:val="18"/>
              </w:rPr>
            </w:pPr>
          </w:p>
        </w:tc>
        <w:tc>
          <w:tcPr>
            <w:tcW w:w="1134"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48403273" w14:textId="604B7428" w:rsidR="00025543" w:rsidRDefault="007E3A2F">
            <w:pPr>
              <w:pStyle w:val="P68B1DB1-Normal11"/>
              <w:spacing w:line="240" w:lineRule="auto"/>
              <w:rPr>
                <w:noProof/>
              </w:rPr>
            </w:pPr>
            <w:r>
              <w:rPr>
                <w:noProof/>
              </w:rPr>
              <w:t>Cible  </w:t>
            </w:r>
          </w:p>
        </w:tc>
        <w:tc>
          <w:tcPr>
            <w:tcW w:w="1516"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61DC539F" w14:textId="5FF85DA7" w:rsidR="00025543" w:rsidRDefault="007E3A2F">
            <w:pPr>
              <w:pStyle w:val="P68B1DB1-Normal11"/>
              <w:spacing w:before="0" w:after="0" w:line="240" w:lineRule="auto"/>
              <w:jc w:val="both"/>
              <w:textAlignment w:val="baseline"/>
              <w:rPr>
                <w:noProof/>
              </w:rPr>
            </w:pPr>
            <w:r>
              <w:rPr>
                <w:noProof/>
              </w:rPr>
              <w:t>Désignation de zones d’accélération des énergies renouvelables pour le développement de l’énergie éolienne et solaire</w:t>
            </w:r>
          </w:p>
        </w:tc>
        <w:tc>
          <w:tcPr>
            <w:tcW w:w="1312"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5C80DF8A" w14:textId="1CF90B3E" w:rsidR="00025543" w:rsidRDefault="007E3A2F">
            <w:pPr>
              <w:pStyle w:val="P68B1DB1-Normal11"/>
              <w:spacing w:before="0" w:after="0" w:line="240" w:lineRule="auto"/>
              <w:jc w:val="both"/>
              <w:textAlignment w:val="baseline"/>
              <w:rPr>
                <w:noProof/>
              </w:rPr>
            </w:pPr>
            <w:r>
              <w:rPr>
                <w:noProof/>
              </w:rPr>
              <w:t> </w:t>
            </w:r>
          </w:p>
        </w:tc>
        <w:tc>
          <w:tcPr>
            <w:tcW w:w="944"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570C96BC" w14:textId="42D837CF" w:rsidR="00025543" w:rsidRDefault="007E3A2F">
            <w:pPr>
              <w:pStyle w:val="P68B1DB1-Normal11"/>
              <w:spacing w:line="240" w:lineRule="auto"/>
              <w:rPr>
                <w:noProof/>
              </w:rPr>
            </w:pPr>
            <w:r>
              <w:rPr>
                <w:noProof/>
              </w:rPr>
              <w:t>Nombre d’agents</w:t>
            </w:r>
          </w:p>
        </w:tc>
        <w:tc>
          <w:tcPr>
            <w:tcW w:w="997"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18FF8FD4" w14:textId="075E1B10" w:rsidR="00025543" w:rsidRDefault="007E3A2F">
            <w:pPr>
              <w:pStyle w:val="P68B1DB1-Normal11"/>
              <w:spacing w:line="240" w:lineRule="auto"/>
              <w:jc w:val="center"/>
              <w:rPr>
                <w:noProof/>
              </w:rPr>
            </w:pPr>
            <w:r>
              <w:rPr>
                <w:noProof/>
              </w:rPr>
              <w:t>0  </w:t>
            </w:r>
          </w:p>
        </w:tc>
        <w:tc>
          <w:tcPr>
            <w:tcW w:w="997"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1F3D7037" w14:textId="7F10A716" w:rsidR="00025543" w:rsidRDefault="007E3A2F">
            <w:pPr>
              <w:pStyle w:val="P68B1DB1-Normal11"/>
              <w:spacing w:line="240" w:lineRule="auto"/>
              <w:jc w:val="center"/>
              <w:rPr>
                <w:noProof/>
              </w:rPr>
            </w:pPr>
            <w:r>
              <w:rPr>
                <w:noProof/>
              </w:rPr>
              <w:t>3,5</w:t>
            </w:r>
          </w:p>
        </w:tc>
        <w:tc>
          <w:tcPr>
            <w:tcW w:w="1007"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1306AA4D" w14:textId="16E53BFF" w:rsidR="00025543" w:rsidRDefault="007E3A2F">
            <w:pPr>
              <w:pStyle w:val="P68B1DB1-Normal11"/>
              <w:spacing w:line="240" w:lineRule="auto"/>
              <w:rPr>
                <w:noProof/>
              </w:rPr>
            </w:pPr>
            <w:r>
              <w:rPr>
                <w:noProof/>
              </w:rPr>
              <w:t>TRIMESTRE 4  </w:t>
            </w:r>
          </w:p>
        </w:tc>
        <w:tc>
          <w:tcPr>
            <w:tcW w:w="723"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01C007EB" w14:textId="52D88120" w:rsidR="00025543" w:rsidRDefault="007E3A2F">
            <w:pPr>
              <w:pStyle w:val="P68B1DB1-Normal11"/>
              <w:spacing w:line="240" w:lineRule="auto"/>
              <w:rPr>
                <w:noProof/>
              </w:rPr>
            </w:pPr>
            <w:r>
              <w:rPr>
                <w:noProof/>
              </w:rPr>
              <w:t>2024  </w:t>
            </w:r>
          </w:p>
        </w:tc>
        <w:tc>
          <w:tcPr>
            <w:tcW w:w="3969" w:type="dxa"/>
            <w:tcBorders>
              <w:top w:val="single" w:sz="4" w:space="0" w:color="auto"/>
              <w:left w:val="single" w:sz="4" w:space="0" w:color="auto"/>
              <w:bottom w:val="single" w:sz="4" w:space="0" w:color="auto"/>
              <w:right w:val="single" w:sz="4" w:space="0" w:color="auto"/>
            </w:tcBorders>
            <w:shd w:val="clear" w:color="auto" w:fill="C6EFCE"/>
            <w:tcMar>
              <w:left w:w="105" w:type="dxa"/>
              <w:right w:w="105" w:type="dxa"/>
            </w:tcMar>
            <w:vAlign w:val="center"/>
          </w:tcPr>
          <w:p w14:paraId="3EFC81D6" w14:textId="2550764A" w:rsidR="00025543" w:rsidRDefault="007E3A2F">
            <w:pPr>
              <w:pStyle w:val="P68B1DB1-Normal11"/>
              <w:spacing w:before="0" w:after="0" w:line="240" w:lineRule="auto"/>
              <w:jc w:val="both"/>
              <w:textAlignment w:val="baseline"/>
              <w:rPr>
                <w:noProof/>
              </w:rPr>
            </w:pPr>
            <w:r>
              <w:rPr>
                <w:noProof/>
              </w:rPr>
              <w:t>Trois membres du personnel à temps plein et un personnel à mi-temps sont recrutés pour la mise en œuvre des zones d’accélération des énergies renouvelables.  </w:t>
            </w:r>
          </w:p>
        </w:tc>
      </w:tr>
      <w:tr w:rsidR="00025543" w14:paraId="73B0FD61" w14:textId="77777777">
        <w:tblPrEx>
          <w:tblBorders>
            <w:top w:val="single" w:sz="6" w:space="0" w:color="auto"/>
            <w:left w:val="single" w:sz="6" w:space="0" w:color="auto"/>
            <w:bottom w:val="single" w:sz="6" w:space="0" w:color="auto"/>
            <w:right w:val="single" w:sz="6" w:space="0" w:color="auto"/>
          </w:tblBorders>
        </w:tblPrEx>
        <w:trPr>
          <w:trHeight w:val="2145"/>
        </w:trPr>
        <w:tc>
          <w:tcPr>
            <w:tcW w:w="635"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377B0922" w14:textId="19DE7724" w:rsidR="00025543" w:rsidRDefault="007E3A2F">
            <w:pPr>
              <w:pStyle w:val="P68B1DB1-Normal15"/>
              <w:spacing w:before="0" w:after="0" w:line="240" w:lineRule="auto"/>
              <w:jc w:val="center"/>
              <w:rPr>
                <w:noProof/>
              </w:rPr>
            </w:pPr>
            <w:r>
              <w:rPr>
                <w:noProof/>
              </w:rPr>
              <w:t>346</w:t>
            </w:r>
          </w:p>
        </w:tc>
        <w:tc>
          <w:tcPr>
            <w:tcW w:w="1312"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743C8CFA" w14:textId="77777777" w:rsidR="00025543" w:rsidRDefault="007E3A2F">
            <w:pPr>
              <w:pStyle w:val="P68B1DB1-Normal11"/>
              <w:spacing w:before="0" w:after="0" w:line="240" w:lineRule="auto"/>
              <w:jc w:val="both"/>
              <w:textAlignment w:val="baseline"/>
              <w:rPr>
                <w:noProof/>
              </w:rPr>
            </w:pPr>
            <w:r>
              <w:rPr>
                <w:noProof/>
              </w:rPr>
              <w:t>Réforme 2:</w:t>
            </w:r>
          </w:p>
          <w:p w14:paraId="51F955B8" w14:textId="77777777" w:rsidR="00025543" w:rsidRDefault="007E3A2F">
            <w:pPr>
              <w:pStyle w:val="P68B1DB1-Normal11"/>
              <w:spacing w:before="0" w:after="0" w:line="240" w:lineRule="auto"/>
              <w:jc w:val="both"/>
              <w:textAlignment w:val="baseline"/>
              <w:rPr>
                <w:noProof/>
              </w:rPr>
            </w:pPr>
            <w:r>
              <w:rPr>
                <w:noProof/>
              </w:rPr>
              <w:t>Zones d’accélération des énergies renouvelables</w:t>
            </w:r>
          </w:p>
          <w:p w14:paraId="061A231D" w14:textId="77777777" w:rsidR="00025543" w:rsidRDefault="00025543">
            <w:pPr>
              <w:spacing w:before="0" w:after="0" w:line="240" w:lineRule="auto"/>
              <w:jc w:val="both"/>
              <w:textAlignment w:val="baseline"/>
              <w:rPr>
                <w:rFonts w:eastAsia="Times New Roman"/>
                <w:noProof/>
                <w:color w:val="006100"/>
                <w:sz w:val="18"/>
              </w:rPr>
            </w:pPr>
          </w:p>
        </w:tc>
        <w:tc>
          <w:tcPr>
            <w:tcW w:w="1134"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33C1C722" w14:textId="655A5A45" w:rsidR="00025543" w:rsidRDefault="007E3A2F">
            <w:pPr>
              <w:pStyle w:val="P68B1DB1-Normal11"/>
              <w:spacing w:line="240" w:lineRule="auto"/>
              <w:rPr>
                <w:noProof/>
              </w:rPr>
            </w:pPr>
            <w:r>
              <w:rPr>
                <w:noProof/>
              </w:rPr>
              <w:t>Cible</w:t>
            </w:r>
          </w:p>
        </w:tc>
        <w:tc>
          <w:tcPr>
            <w:tcW w:w="1516"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2C0134A6" w14:textId="5645EE85" w:rsidR="00025543" w:rsidRDefault="007E3A2F">
            <w:pPr>
              <w:pStyle w:val="P68B1DB1-Normal11"/>
              <w:spacing w:line="240" w:lineRule="auto"/>
              <w:rPr>
                <w:noProof/>
              </w:rPr>
            </w:pPr>
            <w:r>
              <w:rPr>
                <w:noProof/>
              </w:rPr>
              <w:t>Désignation de zones d’accélération des énergies renouvelables pour le développement de l’énergie éolienne et solaire</w:t>
            </w:r>
          </w:p>
        </w:tc>
        <w:tc>
          <w:tcPr>
            <w:tcW w:w="1312"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53DC3BE8" w14:textId="07FAC6B4" w:rsidR="00025543" w:rsidRDefault="00025543">
            <w:pPr>
              <w:spacing w:before="0" w:after="0" w:line="240" w:lineRule="auto"/>
              <w:jc w:val="both"/>
              <w:rPr>
                <w:rFonts w:eastAsia="Times New Roman"/>
                <w:noProof/>
                <w:color w:val="006100"/>
                <w:sz w:val="18"/>
              </w:rPr>
            </w:pPr>
          </w:p>
          <w:p w14:paraId="454DA137" w14:textId="77777777" w:rsidR="00025543" w:rsidRDefault="00025543">
            <w:pPr>
              <w:spacing w:before="0" w:after="0" w:line="240" w:lineRule="auto"/>
              <w:jc w:val="both"/>
              <w:textAlignment w:val="baseline"/>
              <w:rPr>
                <w:rFonts w:eastAsia="Times New Roman"/>
                <w:noProof/>
                <w:color w:val="006100"/>
                <w:sz w:val="18"/>
              </w:rPr>
            </w:pPr>
          </w:p>
        </w:tc>
        <w:tc>
          <w:tcPr>
            <w:tcW w:w="944"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4E2E9DCF" w14:textId="1BCF5351" w:rsidR="00025543" w:rsidRDefault="007E3A2F">
            <w:pPr>
              <w:pStyle w:val="P68B1DB1-Normal11"/>
              <w:spacing w:line="240" w:lineRule="auto"/>
              <w:rPr>
                <w:noProof/>
              </w:rPr>
            </w:pPr>
            <w:r>
              <w:rPr>
                <w:noProof/>
              </w:rPr>
              <w:t>MW</w:t>
            </w:r>
          </w:p>
        </w:tc>
        <w:tc>
          <w:tcPr>
            <w:tcW w:w="997"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6D68FE70" w14:textId="033C7990" w:rsidR="00025543" w:rsidRDefault="007E3A2F">
            <w:pPr>
              <w:pStyle w:val="P68B1DB1-Normal11"/>
              <w:spacing w:line="240" w:lineRule="auto"/>
              <w:jc w:val="center"/>
              <w:rPr>
                <w:noProof/>
              </w:rPr>
            </w:pPr>
            <w:r>
              <w:rPr>
                <w:noProof/>
              </w:rPr>
              <w:t>0</w:t>
            </w:r>
          </w:p>
        </w:tc>
        <w:tc>
          <w:tcPr>
            <w:tcW w:w="997"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6FF612A2" w14:textId="42104C4C" w:rsidR="00025543" w:rsidRDefault="007E3A2F">
            <w:pPr>
              <w:pStyle w:val="P68B1DB1-Normal11"/>
              <w:spacing w:line="240" w:lineRule="auto"/>
              <w:jc w:val="center"/>
              <w:rPr>
                <w:noProof/>
              </w:rPr>
            </w:pPr>
            <w:r>
              <w:rPr>
                <w:noProof/>
              </w:rPr>
              <w:t>2500</w:t>
            </w:r>
          </w:p>
        </w:tc>
        <w:tc>
          <w:tcPr>
            <w:tcW w:w="1007"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4E35CC1C" w14:textId="064BE84A" w:rsidR="00025543" w:rsidRDefault="007E3A2F">
            <w:pPr>
              <w:pStyle w:val="P68B1DB1-Normal11"/>
              <w:spacing w:line="240" w:lineRule="auto"/>
              <w:rPr>
                <w:noProof/>
              </w:rPr>
            </w:pPr>
            <w:r>
              <w:rPr>
                <w:noProof/>
              </w:rPr>
              <w:t>TRIMESTRE 3</w:t>
            </w:r>
          </w:p>
        </w:tc>
        <w:tc>
          <w:tcPr>
            <w:tcW w:w="723"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00E4205F" w14:textId="291B1FD9" w:rsidR="00025543" w:rsidRDefault="007E3A2F">
            <w:pPr>
              <w:pStyle w:val="P68B1DB1-Normal11"/>
              <w:spacing w:line="240" w:lineRule="auto"/>
              <w:rPr>
                <w:noProof/>
              </w:rPr>
            </w:pPr>
            <w:r>
              <w:rPr>
                <w:noProof/>
              </w:rPr>
              <w:t>2025</w:t>
            </w:r>
          </w:p>
        </w:tc>
        <w:tc>
          <w:tcPr>
            <w:tcW w:w="3969"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vAlign w:val="center"/>
          </w:tcPr>
          <w:p w14:paraId="6F82B7FB" w14:textId="65E55C32" w:rsidR="00025543" w:rsidRDefault="007E3A2F">
            <w:pPr>
              <w:pStyle w:val="P68B1DB1-Normal11"/>
              <w:spacing w:before="0" w:after="0" w:line="240" w:lineRule="auto"/>
              <w:jc w:val="both"/>
              <w:textAlignment w:val="baseline"/>
              <w:rPr>
                <w:noProof/>
              </w:rPr>
            </w:pPr>
            <w:r>
              <w:rPr>
                <w:noProof/>
              </w:rPr>
              <w:t>L’ensemble des zones d’accélération des énergies renouvelables est désigné avec des objectifs en matière de capacité d’énergie renouvelable pour la plupart des régions, la capacité totale combinée pour la production éolienne et solaire étant d’au moins 2 500 MW.</w:t>
            </w:r>
          </w:p>
          <w:p w14:paraId="4ABA99F4" w14:textId="04D9129F" w:rsidR="00025543" w:rsidRDefault="007E3A2F">
            <w:pPr>
              <w:pStyle w:val="P68B1DB1-Normal11"/>
              <w:spacing w:after="0" w:line="240" w:lineRule="auto"/>
              <w:jc w:val="both"/>
              <w:rPr>
                <w:noProof/>
              </w:rPr>
            </w:pPr>
            <w:r>
              <w:rPr>
                <w:noProof/>
              </w:rPr>
              <w:t xml:space="preserve"> </w:t>
            </w:r>
          </w:p>
        </w:tc>
      </w:tr>
    </w:tbl>
    <w:p w14:paraId="30E4982D" w14:textId="694B2049" w:rsidR="00025543" w:rsidRDefault="00025543">
      <w:pPr>
        <w:tabs>
          <w:tab w:val="left" w:pos="993"/>
        </w:tabs>
        <w:spacing w:line="240" w:lineRule="auto"/>
        <w:jc w:val="both"/>
        <w:textAlignment w:val="baseline"/>
        <w:rPr>
          <w:rFonts w:eastAsia="Times New Roman"/>
          <w:b/>
          <w:noProof/>
          <w:color w:val="000000" w:themeColor="text1"/>
          <w:u w:val="single"/>
        </w:rPr>
        <w:sectPr w:rsidR="00025543" w:rsidSect="003F264F">
          <w:headerReference w:type="even" r:id="rId516"/>
          <w:headerReference w:type="default" r:id="rId517"/>
          <w:footerReference w:type="even" r:id="rId518"/>
          <w:footerReference w:type="default" r:id="rId519"/>
          <w:headerReference w:type="first" r:id="rId520"/>
          <w:footerReference w:type="first" r:id="rId521"/>
          <w:pgSz w:w="16839" w:h="11907" w:orient="landscape"/>
          <w:pgMar w:top="1134" w:right="1134" w:bottom="1134" w:left="1134" w:header="567" w:footer="567" w:gutter="0"/>
          <w:cols w:space="720"/>
          <w:docGrid w:linePitch="360"/>
        </w:sectPr>
      </w:pPr>
    </w:p>
    <w:p w14:paraId="03D09764" w14:textId="6E52028E" w:rsidR="00025543" w:rsidRDefault="007E3A2F">
      <w:pPr>
        <w:pStyle w:val="P68B1DB1-Normal2"/>
        <w:keepNext/>
        <w:tabs>
          <w:tab w:val="left" w:pos="850"/>
        </w:tabs>
        <w:spacing w:line="240" w:lineRule="auto"/>
        <w:jc w:val="both"/>
        <w:outlineLvl w:val="0"/>
        <w:rPr>
          <w:noProof/>
        </w:rPr>
      </w:pPr>
      <w:r>
        <w:rPr>
          <w:noProof/>
        </w:rPr>
        <w:t xml:space="preserve">SECTION 2: SOUTIEN FINANCIER </w:t>
      </w:r>
    </w:p>
    <w:p w14:paraId="744C9896" w14:textId="77777777" w:rsidR="00025543" w:rsidRDefault="007E3A2F">
      <w:pPr>
        <w:pStyle w:val="P68B1DB1-Normal7"/>
        <w:tabs>
          <w:tab w:val="num" w:pos="850"/>
        </w:tabs>
        <w:spacing w:line="240" w:lineRule="auto"/>
        <w:ind w:left="850" w:hanging="850"/>
        <w:jc w:val="both"/>
        <w:rPr>
          <w:noProof/>
        </w:rPr>
      </w:pPr>
      <w:r>
        <w:rPr>
          <w:noProof/>
        </w:rPr>
        <w:t xml:space="preserve">Contribution financière </w:t>
      </w:r>
    </w:p>
    <w:p w14:paraId="3986BAB6" w14:textId="77777777" w:rsidR="00025543" w:rsidRDefault="007E3A2F">
      <w:pPr>
        <w:spacing w:line="240" w:lineRule="auto"/>
        <w:ind w:left="850"/>
        <w:jc w:val="both"/>
        <w:rPr>
          <w:noProof/>
        </w:rPr>
      </w:pPr>
      <w:r>
        <w:rPr>
          <w:noProof/>
        </w:rPr>
        <w:t>Les tranches visées à l’article 2, paragraphe 2, sont organisées de la manière suivante:</w:t>
      </w:r>
    </w:p>
    <w:p w14:paraId="00B5BAA7" w14:textId="77777777" w:rsidR="00025543" w:rsidRDefault="00025543">
      <w:pPr>
        <w:spacing w:line="240" w:lineRule="auto"/>
        <w:rPr>
          <w:rFonts w:ascii="Calibri" w:hAnsi="Calibri"/>
          <w:noProof/>
          <w:sz w:val="22"/>
        </w:rPr>
      </w:pPr>
    </w:p>
    <w:p w14:paraId="56C646AC" w14:textId="77777777" w:rsidR="00025543" w:rsidRDefault="007E3A2F">
      <w:pPr>
        <w:numPr>
          <w:ilvl w:val="1"/>
          <w:numId w:val="198"/>
        </w:numPr>
        <w:spacing w:line="240" w:lineRule="auto"/>
        <w:jc w:val="both"/>
        <w:rPr>
          <w:noProof/>
        </w:rPr>
      </w:pPr>
      <w:r>
        <w:rPr>
          <w:noProof/>
        </w:rPr>
        <w:t xml:space="preserve">Première tranche (soutien non remboursable): </w:t>
      </w:r>
    </w:p>
    <w:tbl>
      <w:tblPr>
        <w:tblW w:w="10490" w:type="dxa"/>
        <w:tblInd w:w="-601" w:type="dxa"/>
        <w:tblLook w:val="04A0" w:firstRow="1" w:lastRow="0" w:firstColumn="1" w:lastColumn="0" w:noHBand="0" w:noVBand="1"/>
      </w:tblPr>
      <w:tblGrid>
        <w:gridCol w:w="1276"/>
        <w:gridCol w:w="3969"/>
        <w:gridCol w:w="1843"/>
        <w:gridCol w:w="3402"/>
      </w:tblGrid>
      <w:tr w:rsidR="00025543" w14:paraId="2B7D8B0B" w14:textId="77777777">
        <w:trPr>
          <w:trHeight w:val="825"/>
          <w:tblHeader/>
        </w:trPr>
        <w:tc>
          <w:tcPr>
            <w:tcW w:w="1276" w:type="dxa"/>
            <w:tcBorders>
              <w:top w:val="single" w:sz="8" w:space="0" w:color="auto"/>
              <w:left w:val="single" w:sz="8" w:space="0" w:color="auto"/>
              <w:bottom w:val="single" w:sz="8" w:space="0" w:color="auto"/>
              <w:right w:val="single" w:sz="8" w:space="0" w:color="auto"/>
            </w:tcBorders>
            <w:shd w:val="clear" w:color="auto" w:fill="BDD7EE"/>
            <w:vAlign w:val="center"/>
            <w:hideMark/>
          </w:tcPr>
          <w:p w14:paraId="7444805E" w14:textId="77777777" w:rsidR="00025543" w:rsidRDefault="007E3A2F">
            <w:pPr>
              <w:pStyle w:val="P68B1DB1-Normal55"/>
              <w:spacing w:before="0" w:after="0" w:line="240" w:lineRule="auto"/>
              <w:jc w:val="center"/>
              <w:rPr>
                <w:noProof/>
              </w:rPr>
            </w:pPr>
            <w:r>
              <w:rPr>
                <w:noProof/>
              </w:rPr>
              <w:t>Numéro séquentiel</w:t>
            </w:r>
          </w:p>
        </w:tc>
        <w:tc>
          <w:tcPr>
            <w:tcW w:w="3969" w:type="dxa"/>
            <w:tcBorders>
              <w:top w:val="single" w:sz="8" w:space="0" w:color="auto"/>
              <w:left w:val="nil"/>
              <w:bottom w:val="single" w:sz="8" w:space="0" w:color="auto"/>
              <w:right w:val="single" w:sz="8" w:space="0" w:color="auto"/>
            </w:tcBorders>
            <w:shd w:val="clear" w:color="auto" w:fill="BDD7EE"/>
            <w:vAlign w:val="center"/>
            <w:hideMark/>
          </w:tcPr>
          <w:p w14:paraId="02FD8DBD" w14:textId="77777777" w:rsidR="00025543" w:rsidRDefault="007E3A2F">
            <w:pPr>
              <w:pStyle w:val="P68B1DB1-Normal55"/>
              <w:spacing w:before="0" w:after="0" w:line="240" w:lineRule="auto"/>
              <w:jc w:val="center"/>
              <w:rPr>
                <w:noProof/>
              </w:rPr>
            </w:pPr>
            <w:r>
              <w:rPr>
                <w:noProof/>
              </w:rPr>
              <w:t>Mesure connexe (réforme ou investissement)</w:t>
            </w:r>
          </w:p>
        </w:tc>
        <w:tc>
          <w:tcPr>
            <w:tcW w:w="1843" w:type="dxa"/>
            <w:tcBorders>
              <w:top w:val="single" w:sz="8" w:space="0" w:color="auto"/>
              <w:left w:val="nil"/>
              <w:bottom w:val="single" w:sz="8" w:space="0" w:color="auto"/>
              <w:right w:val="single" w:sz="8" w:space="0" w:color="auto"/>
            </w:tcBorders>
            <w:shd w:val="clear" w:color="auto" w:fill="BDD7EE"/>
            <w:vAlign w:val="center"/>
            <w:hideMark/>
          </w:tcPr>
          <w:p w14:paraId="54333B3D" w14:textId="77777777" w:rsidR="00025543" w:rsidRDefault="007E3A2F">
            <w:pPr>
              <w:pStyle w:val="P68B1DB1-Normal55"/>
              <w:spacing w:before="0" w:after="0" w:line="240" w:lineRule="auto"/>
              <w:jc w:val="center"/>
              <w:rPr>
                <w:noProof/>
              </w:rPr>
            </w:pPr>
            <w:r>
              <w:rPr>
                <w:noProof/>
              </w:rPr>
              <w:t>Jalon/cible</w:t>
            </w:r>
          </w:p>
        </w:tc>
        <w:tc>
          <w:tcPr>
            <w:tcW w:w="3402" w:type="dxa"/>
            <w:tcBorders>
              <w:top w:val="single" w:sz="8" w:space="0" w:color="auto"/>
              <w:left w:val="nil"/>
              <w:bottom w:val="single" w:sz="8" w:space="0" w:color="auto"/>
              <w:right w:val="single" w:sz="8" w:space="0" w:color="auto"/>
            </w:tcBorders>
            <w:shd w:val="clear" w:color="auto" w:fill="BDD7EE"/>
            <w:vAlign w:val="center"/>
            <w:hideMark/>
          </w:tcPr>
          <w:p w14:paraId="4C747A1D" w14:textId="77777777" w:rsidR="00025543" w:rsidRDefault="007E3A2F">
            <w:pPr>
              <w:pStyle w:val="P68B1DB1-Normal55"/>
              <w:spacing w:before="0" w:after="0" w:line="240" w:lineRule="auto"/>
              <w:jc w:val="center"/>
              <w:rPr>
                <w:noProof/>
              </w:rPr>
            </w:pPr>
            <w:r>
              <w:rPr>
                <w:noProof/>
              </w:rPr>
              <w:t>Nom</w:t>
            </w:r>
          </w:p>
        </w:tc>
      </w:tr>
      <w:tr w:rsidR="00025543" w14:paraId="5293448D" w14:textId="77777777">
        <w:trPr>
          <w:trHeight w:val="600"/>
        </w:trPr>
        <w:tc>
          <w:tcPr>
            <w:tcW w:w="1276"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0A4BFD0A" w14:textId="77777777" w:rsidR="00025543" w:rsidRDefault="007E3A2F">
            <w:pPr>
              <w:pStyle w:val="P68B1DB1-Normal56"/>
              <w:spacing w:before="0" w:after="0" w:line="240" w:lineRule="auto"/>
              <w:jc w:val="center"/>
              <w:rPr>
                <w:noProof/>
              </w:rPr>
            </w:pPr>
            <w:r>
              <w:rPr>
                <w:noProof/>
              </w:rPr>
              <w:t>172</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20372C85" w14:textId="77777777" w:rsidR="00025543" w:rsidRDefault="007E3A2F">
            <w:pPr>
              <w:pStyle w:val="P68B1DB1-Normal57"/>
              <w:spacing w:before="0" w:after="0" w:line="240" w:lineRule="auto"/>
              <w:jc w:val="center"/>
              <w:rPr>
                <w:noProof/>
              </w:rPr>
            </w:pPr>
            <w:r>
              <w:rPr>
                <w:noProof/>
              </w:rPr>
              <w:t>C 3.1: Innovation dans l’éducation dans le contexte de la numérisation — Investissement 2: Équipement numérique pour les écoles</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7FB3B385" w14:textId="77777777" w:rsidR="00025543" w:rsidRDefault="007E3A2F">
            <w:pPr>
              <w:pStyle w:val="P68B1DB1-Normal57"/>
              <w:spacing w:before="0" w:after="0" w:line="240" w:lineRule="auto"/>
              <w:jc w:val="center"/>
              <w:rPr>
                <w:noProof/>
              </w:rPr>
            </w:pPr>
            <w:r>
              <w:rPr>
                <w:noProof/>
              </w:rPr>
              <w:t>Cible</w:t>
            </w:r>
          </w:p>
        </w:tc>
        <w:tc>
          <w:tcPr>
            <w:tcW w:w="3402" w:type="dxa"/>
            <w:tcBorders>
              <w:top w:val="nil"/>
              <w:left w:val="nil"/>
              <w:bottom w:val="single" w:sz="8" w:space="0" w:color="000000" w:themeColor="text1"/>
              <w:right w:val="single" w:sz="8" w:space="0" w:color="auto"/>
            </w:tcBorders>
            <w:shd w:val="clear" w:color="auto" w:fill="C6EFCE"/>
            <w:vAlign w:val="center"/>
            <w:hideMark/>
          </w:tcPr>
          <w:p w14:paraId="2BFAE0EA" w14:textId="21F1FCC3" w:rsidR="00025543" w:rsidRDefault="007E3A2F">
            <w:pPr>
              <w:pStyle w:val="P68B1DB1-Normal56"/>
              <w:spacing w:before="0" w:after="0" w:line="240" w:lineRule="auto"/>
              <w:jc w:val="center"/>
              <w:rPr>
                <w:noProof/>
              </w:rPr>
            </w:pPr>
            <w:r>
              <w:rPr>
                <w:noProof/>
              </w:rPr>
              <w:t xml:space="preserve">Nombre d’appareils numériques achetés par les écoles pour l’apprentissage à distance </w:t>
            </w:r>
          </w:p>
        </w:tc>
      </w:tr>
      <w:tr w:rsidR="00025543" w14:paraId="1FE611A7" w14:textId="77777777">
        <w:trPr>
          <w:trHeight w:val="600"/>
        </w:trPr>
        <w:tc>
          <w:tcPr>
            <w:tcW w:w="1276"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76B9C35D" w14:textId="77777777" w:rsidR="00025543" w:rsidRDefault="007E3A2F">
            <w:pPr>
              <w:pStyle w:val="P68B1DB1-Normal57"/>
              <w:spacing w:before="0" w:after="0" w:line="240" w:lineRule="auto"/>
              <w:jc w:val="center"/>
              <w:rPr>
                <w:noProof/>
              </w:rPr>
            </w:pPr>
            <w:r>
              <w:rPr>
                <w:noProof/>
              </w:rPr>
              <w:t>72</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4F88C770" w14:textId="77777777" w:rsidR="00025543" w:rsidRDefault="007E3A2F">
            <w:pPr>
              <w:pStyle w:val="P68B1DB1-Normal57"/>
              <w:spacing w:before="0" w:after="0" w:line="240" w:lineRule="auto"/>
              <w:jc w:val="center"/>
              <w:rPr>
                <w:noProof/>
              </w:rPr>
            </w:pPr>
            <w:r>
              <w:rPr>
                <w:noProof/>
              </w:rPr>
              <w:t>C 1.6: Accélération et numérisation du processus de construction — Réforme 1: Mise en œuvre de la nouvelle loi sur la construction et de la loi sur le zonage</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4D57E8E1" w14:textId="77777777" w:rsidR="00025543" w:rsidRDefault="007E3A2F">
            <w:pPr>
              <w:pStyle w:val="P68B1DB1-Normal57"/>
              <w:spacing w:before="0" w:after="0" w:line="240" w:lineRule="auto"/>
              <w:jc w:val="center"/>
              <w:rPr>
                <w:noProof/>
              </w:rPr>
            </w:pPr>
            <w:r>
              <w:rPr>
                <w:noProof/>
              </w:rPr>
              <w:t>Étapes</w:t>
            </w:r>
          </w:p>
        </w:tc>
        <w:tc>
          <w:tcPr>
            <w:tcW w:w="3402" w:type="dxa"/>
            <w:tcBorders>
              <w:top w:val="nil"/>
              <w:left w:val="nil"/>
              <w:bottom w:val="single" w:sz="8" w:space="0" w:color="000000" w:themeColor="text1"/>
              <w:right w:val="single" w:sz="8" w:space="0" w:color="auto"/>
            </w:tcBorders>
            <w:shd w:val="clear" w:color="auto" w:fill="C6EFCE"/>
            <w:vAlign w:val="center"/>
            <w:hideMark/>
          </w:tcPr>
          <w:p w14:paraId="408DEDBC" w14:textId="77777777" w:rsidR="00025543" w:rsidRDefault="007E3A2F">
            <w:pPr>
              <w:pStyle w:val="P68B1DB1-Normal57"/>
              <w:spacing w:before="0" w:after="0" w:line="240" w:lineRule="auto"/>
              <w:jc w:val="center"/>
              <w:rPr>
                <w:noProof/>
              </w:rPr>
            </w:pPr>
            <w:r>
              <w:rPr>
                <w:noProof/>
              </w:rPr>
              <w:t xml:space="preserve">Entrée en vigueur de la nouvelle loi sur la construction </w:t>
            </w:r>
          </w:p>
        </w:tc>
      </w:tr>
      <w:tr w:rsidR="00025543" w14:paraId="09277140" w14:textId="77777777">
        <w:trPr>
          <w:trHeight w:val="600"/>
        </w:trPr>
        <w:tc>
          <w:tcPr>
            <w:tcW w:w="1276"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583FEAAA" w14:textId="77777777" w:rsidR="00025543" w:rsidRDefault="007E3A2F">
            <w:pPr>
              <w:pStyle w:val="P68B1DB1-Normal56"/>
              <w:spacing w:before="0" w:after="0" w:line="240" w:lineRule="auto"/>
              <w:jc w:val="center"/>
              <w:rPr>
                <w:noProof/>
              </w:rPr>
            </w:pPr>
            <w:r>
              <w:rPr>
                <w:noProof/>
              </w:rPr>
              <w:t>134</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271A6209" w14:textId="77777777" w:rsidR="00025543" w:rsidRDefault="007E3A2F">
            <w:pPr>
              <w:pStyle w:val="P68B1DB1-Normal57"/>
              <w:spacing w:before="0" w:after="0" w:line="240" w:lineRule="auto"/>
              <w:jc w:val="center"/>
              <w:rPr>
                <w:noProof/>
              </w:rPr>
            </w:pPr>
            <w:r>
              <w:rPr>
                <w:noProof/>
              </w:rPr>
              <w:t>C 2.6: Protection de la nature et adaptation au changement climatique — Investissement 2: Petits cours d’eau et réservoirs d’eau</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3A2FCAC9" w14:textId="77777777" w:rsidR="00025543" w:rsidRDefault="007E3A2F">
            <w:pPr>
              <w:pStyle w:val="P68B1DB1-Normal57"/>
              <w:spacing w:before="0" w:after="0" w:line="240" w:lineRule="auto"/>
              <w:jc w:val="center"/>
              <w:rPr>
                <w:noProof/>
              </w:rPr>
            </w:pPr>
            <w:r>
              <w:rPr>
                <w:noProof/>
              </w:rPr>
              <w:t>Étapes</w:t>
            </w:r>
          </w:p>
        </w:tc>
        <w:tc>
          <w:tcPr>
            <w:tcW w:w="3402" w:type="dxa"/>
            <w:tcBorders>
              <w:top w:val="nil"/>
              <w:left w:val="nil"/>
              <w:bottom w:val="single" w:sz="8" w:space="0" w:color="000000" w:themeColor="text1"/>
              <w:right w:val="single" w:sz="8" w:space="0" w:color="auto"/>
            </w:tcBorders>
            <w:shd w:val="clear" w:color="auto" w:fill="C6EFCE"/>
            <w:vAlign w:val="center"/>
            <w:hideMark/>
          </w:tcPr>
          <w:p w14:paraId="568360DA" w14:textId="77777777" w:rsidR="00025543" w:rsidRDefault="007E3A2F">
            <w:pPr>
              <w:pStyle w:val="P68B1DB1-Normal56"/>
              <w:spacing w:before="0" w:after="0" w:line="240" w:lineRule="auto"/>
              <w:jc w:val="center"/>
              <w:rPr>
                <w:noProof/>
              </w:rPr>
            </w:pPr>
            <w:r>
              <w:rPr>
                <w:noProof/>
              </w:rPr>
              <w:t>Présentation par le ministère de l’agriculture de la liste des projets à soutenir au titre de l’investissement 2</w:t>
            </w:r>
          </w:p>
        </w:tc>
      </w:tr>
      <w:tr w:rsidR="00025543" w14:paraId="5341B416" w14:textId="77777777">
        <w:trPr>
          <w:trHeight w:val="600"/>
        </w:trPr>
        <w:tc>
          <w:tcPr>
            <w:tcW w:w="1276"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493066DC" w14:textId="77777777" w:rsidR="00025543" w:rsidRDefault="007E3A2F">
            <w:pPr>
              <w:pStyle w:val="P68B1DB1-Normal56"/>
              <w:spacing w:before="0" w:after="0" w:line="240" w:lineRule="auto"/>
              <w:jc w:val="center"/>
              <w:rPr>
                <w:noProof/>
              </w:rPr>
            </w:pPr>
            <w:r>
              <w:rPr>
                <w:noProof/>
              </w:rPr>
              <w:t>168</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60E6F21E" w14:textId="77777777" w:rsidR="00025543" w:rsidRDefault="007E3A2F">
            <w:pPr>
              <w:pStyle w:val="P68B1DB1-Normal57"/>
              <w:spacing w:before="0" w:after="0" w:line="240" w:lineRule="auto"/>
              <w:jc w:val="center"/>
              <w:rPr>
                <w:noProof/>
              </w:rPr>
            </w:pPr>
            <w:r>
              <w:rPr>
                <w:noProof/>
              </w:rPr>
              <w:t>C 3.1: Innovation dans l’éducation dans le contexte de la numérisation — Réforme 1: Réforme des programmes d’études et renforcement de l’enseignement informatique</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16E34DD4" w14:textId="77777777" w:rsidR="00025543" w:rsidRDefault="007E3A2F">
            <w:pPr>
              <w:pStyle w:val="P68B1DB1-Normal57"/>
              <w:spacing w:before="0" w:after="0" w:line="240" w:lineRule="auto"/>
              <w:jc w:val="center"/>
              <w:rPr>
                <w:noProof/>
              </w:rPr>
            </w:pPr>
            <w:r>
              <w:rPr>
                <w:noProof/>
              </w:rPr>
              <w:t>Étapes</w:t>
            </w:r>
          </w:p>
        </w:tc>
        <w:tc>
          <w:tcPr>
            <w:tcW w:w="3402" w:type="dxa"/>
            <w:tcBorders>
              <w:top w:val="nil"/>
              <w:left w:val="nil"/>
              <w:bottom w:val="single" w:sz="8" w:space="0" w:color="000000" w:themeColor="text1"/>
              <w:right w:val="single" w:sz="8" w:space="0" w:color="auto"/>
            </w:tcBorders>
            <w:shd w:val="clear" w:color="auto" w:fill="C6EFCE"/>
            <w:vAlign w:val="center"/>
            <w:hideMark/>
          </w:tcPr>
          <w:p w14:paraId="292D8B32" w14:textId="77777777" w:rsidR="00025543" w:rsidRDefault="007E3A2F">
            <w:pPr>
              <w:pStyle w:val="P68B1DB1-Normal56"/>
              <w:spacing w:before="0" w:after="0" w:line="240" w:lineRule="auto"/>
              <w:jc w:val="center"/>
              <w:rPr>
                <w:noProof/>
              </w:rPr>
            </w:pPr>
            <w:r>
              <w:rPr>
                <w:noProof/>
              </w:rPr>
              <w:t xml:space="preserve">Approbation de nouveaux programmes d’études renforçant l’habileté numérique et la pensée informatique </w:t>
            </w:r>
          </w:p>
        </w:tc>
      </w:tr>
      <w:tr w:rsidR="00025543" w14:paraId="64BD0988" w14:textId="77777777">
        <w:trPr>
          <w:trHeight w:val="600"/>
        </w:trPr>
        <w:tc>
          <w:tcPr>
            <w:tcW w:w="1276" w:type="dxa"/>
            <w:tcBorders>
              <w:top w:val="nil"/>
              <w:left w:val="single" w:sz="8" w:space="0" w:color="auto"/>
              <w:bottom w:val="nil"/>
              <w:right w:val="single" w:sz="8" w:space="0" w:color="000000" w:themeColor="text1"/>
            </w:tcBorders>
            <w:shd w:val="clear" w:color="auto" w:fill="C6EFCE"/>
            <w:vAlign w:val="center"/>
            <w:hideMark/>
          </w:tcPr>
          <w:p w14:paraId="1AA68F4E" w14:textId="77777777" w:rsidR="00025543" w:rsidRDefault="007E3A2F">
            <w:pPr>
              <w:pStyle w:val="P68B1DB1-Normal56"/>
              <w:spacing w:before="0" w:after="0" w:line="240" w:lineRule="auto"/>
              <w:jc w:val="center"/>
              <w:rPr>
                <w:noProof/>
              </w:rPr>
            </w:pPr>
            <w:r>
              <w:rPr>
                <w:noProof/>
              </w:rPr>
              <w:t>51</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02D4589D" w14:textId="77777777" w:rsidR="00025543" w:rsidRDefault="007E3A2F">
            <w:pPr>
              <w:pStyle w:val="P68B1DB1-Normal57"/>
              <w:spacing w:before="0" w:after="0" w:line="240" w:lineRule="auto"/>
              <w:jc w:val="center"/>
              <w:rPr>
                <w:noProof/>
              </w:rPr>
            </w:pPr>
            <w:r>
              <w:rPr>
                <w:noProof/>
              </w:rPr>
              <w:t>C 1.4: Économie et société numériques, jeunes pousses innovantes et nouvelles technologies — Investissements 2: Observatoire européen des médias numériques (EDMO)</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27583822" w14:textId="77777777" w:rsidR="00025543" w:rsidRDefault="007E3A2F">
            <w:pPr>
              <w:pStyle w:val="P68B1DB1-Normal57"/>
              <w:spacing w:before="0" w:after="0" w:line="240" w:lineRule="auto"/>
              <w:jc w:val="center"/>
              <w:rPr>
                <w:noProof/>
              </w:rPr>
            </w:pPr>
            <w:r>
              <w:rPr>
                <w:noProof/>
              </w:rPr>
              <w:t>Étapes</w:t>
            </w:r>
          </w:p>
        </w:tc>
        <w:tc>
          <w:tcPr>
            <w:tcW w:w="3402" w:type="dxa"/>
            <w:tcBorders>
              <w:top w:val="nil"/>
              <w:left w:val="nil"/>
              <w:bottom w:val="nil"/>
              <w:right w:val="single" w:sz="8" w:space="0" w:color="auto"/>
            </w:tcBorders>
            <w:shd w:val="clear" w:color="auto" w:fill="C6EFCE"/>
            <w:vAlign w:val="center"/>
            <w:hideMark/>
          </w:tcPr>
          <w:p w14:paraId="7E6E3390" w14:textId="77777777" w:rsidR="00025543" w:rsidRDefault="007E3A2F">
            <w:pPr>
              <w:pStyle w:val="P68B1DB1-Normal56"/>
              <w:spacing w:before="0" w:after="0" w:line="240" w:lineRule="auto"/>
              <w:jc w:val="center"/>
              <w:rPr>
                <w:noProof/>
              </w:rPr>
            </w:pPr>
            <w:r>
              <w:rPr>
                <w:noProof/>
              </w:rPr>
              <w:t>Lancement de la plateforme de l’Observatoire européen des médias numériques pour les PECO en République tchèque (CEDMO)</w:t>
            </w:r>
          </w:p>
        </w:tc>
      </w:tr>
      <w:tr w:rsidR="00025543" w14:paraId="5F1D7C08" w14:textId="77777777">
        <w:trPr>
          <w:trHeight w:val="600"/>
        </w:trPr>
        <w:tc>
          <w:tcPr>
            <w:tcW w:w="1276" w:type="dxa"/>
            <w:tcBorders>
              <w:top w:val="single" w:sz="8" w:space="0" w:color="000000" w:themeColor="text1"/>
              <w:left w:val="single" w:sz="8" w:space="0" w:color="auto"/>
              <w:bottom w:val="nil"/>
              <w:right w:val="single" w:sz="8" w:space="0" w:color="000000" w:themeColor="text1"/>
            </w:tcBorders>
            <w:shd w:val="clear" w:color="auto" w:fill="C6EFCE"/>
            <w:vAlign w:val="center"/>
            <w:hideMark/>
          </w:tcPr>
          <w:p w14:paraId="432387BD" w14:textId="77777777" w:rsidR="00025543" w:rsidRDefault="007E3A2F">
            <w:pPr>
              <w:pStyle w:val="P68B1DB1-Normal56"/>
              <w:spacing w:before="0" w:after="0" w:line="240" w:lineRule="auto"/>
              <w:jc w:val="center"/>
              <w:rPr>
                <w:noProof/>
              </w:rPr>
            </w:pPr>
            <w:r>
              <w:rPr>
                <w:noProof/>
              </w:rPr>
              <w:t>102</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451B35A0" w14:textId="00A6D376" w:rsidR="00025543" w:rsidRDefault="007E3A2F">
            <w:pPr>
              <w:pStyle w:val="P68B1DB1-Normal57"/>
              <w:spacing w:before="0" w:after="0" w:line="240" w:lineRule="auto"/>
              <w:jc w:val="center"/>
              <w:rPr>
                <w:noProof/>
              </w:rPr>
            </w:pPr>
            <w:r>
              <w:rPr>
                <w:noProof/>
              </w:rPr>
              <w:t xml:space="preserve">C 2.2: Réduction de la consommation d’énergie dans le secteur public — Investissements 1: Amélioration de la performance énergétique des bâtiments publics </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3FE51E68" w14:textId="77777777" w:rsidR="00025543" w:rsidRDefault="007E3A2F">
            <w:pPr>
              <w:pStyle w:val="P68B1DB1-Normal57"/>
              <w:spacing w:before="0" w:after="0" w:line="240" w:lineRule="auto"/>
              <w:jc w:val="center"/>
              <w:rPr>
                <w:noProof/>
              </w:rPr>
            </w:pPr>
            <w:r>
              <w:rPr>
                <w:noProof/>
              </w:rPr>
              <w:t>Étapes</w:t>
            </w:r>
          </w:p>
        </w:tc>
        <w:tc>
          <w:tcPr>
            <w:tcW w:w="3402" w:type="dxa"/>
            <w:tcBorders>
              <w:top w:val="single" w:sz="8" w:space="0" w:color="000000" w:themeColor="text1"/>
              <w:left w:val="nil"/>
              <w:bottom w:val="nil"/>
              <w:right w:val="single" w:sz="8" w:space="0" w:color="auto"/>
            </w:tcBorders>
            <w:shd w:val="clear" w:color="auto" w:fill="C6EFCE"/>
            <w:vAlign w:val="center"/>
            <w:hideMark/>
          </w:tcPr>
          <w:p w14:paraId="53CC491B" w14:textId="77777777" w:rsidR="00025543" w:rsidRDefault="007E3A2F">
            <w:pPr>
              <w:pStyle w:val="P68B1DB1-Normal56"/>
              <w:spacing w:before="0" w:after="0" w:line="240" w:lineRule="auto"/>
              <w:jc w:val="center"/>
              <w:rPr>
                <w:noProof/>
              </w:rPr>
            </w:pPr>
            <w:r>
              <w:rPr>
                <w:noProof/>
              </w:rPr>
              <w:t xml:space="preserve"> Adoption du contrat type par le ministère de l’industrie et du commerce pour les services de méthode de passation des marchés de performance énergétique avec garantie </w:t>
            </w:r>
          </w:p>
        </w:tc>
      </w:tr>
      <w:tr w:rsidR="00025543" w14:paraId="456A3AFB" w14:textId="77777777">
        <w:trPr>
          <w:trHeight w:val="600"/>
        </w:trPr>
        <w:tc>
          <w:tcPr>
            <w:tcW w:w="1276" w:type="dxa"/>
            <w:tcBorders>
              <w:top w:val="single" w:sz="8" w:space="0" w:color="auto"/>
              <w:left w:val="single" w:sz="8" w:space="0" w:color="auto"/>
              <w:bottom w:val="single" w:sz="8" w:space="0" w:color="auto"/>
              <w:right w:val="single" w:sz="8" w:space="0" w:color="000000" w:themeColor="text1"/>
            </w:tcBorders>
            <w:shd w:val="clear" w:color="auto" w:fill="C6EFCE"/>
            <w:vAlign w:val="center"/>
            <w:hideMark/>
          </w:tcPr>
          <w:p w14:paraId="092C15FA" w14:textId="77777777" w:rsidR="00025543" w:rsidRDefault="007E3A2F">
            <w:pPr>
              <w:pStyle w:val="P68B1DB1-Normal56"/>
              <w:spacing w:before="0" w:after="0" w:line="240" w:lineRule="auto"/>
              <w:jc w:val="center"/>
              <w:rPr>
                <w:noProof/>
              </w:rPr>
            </w:pPr>
            <w:r>
              <w:rPr>
                <w:noProof/>
              </w:rPr>
              <w:t>105</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7B53CDD7" w14:textId="0A996E03" w:rsidR="00025543" w:rsidRDefault="007E3A2F">
            <w:pPr>
              <w:pStyle w:val="P68B1DB1-Normal57"/>
              <w:spacing w:before="0" w:after="0" w:line="240" w:lineRule="auto"/>
              <w:jc w:val="center"/>
              <w:rPr>
                <w:noProof/>
              </w:rPr>
            </w:pPr>
            <w:r>
              <w:rPr>
                <w:noProof/>
              </w:rPr>
              <w:t>C 2.2: Réduction de la consommation d’énergie dans le secteur public — Investissements 2: Amélioration de la performance énergétique des systèmes d’éclairage public</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590CAFE2" w14:textId="77777777" w:rsidR="00025543" w:rsidRDefault="007E3A2F">
            <w:pPr>
              <w:pStyle w:val="P68B1DB1-Normal57"/>
              <w:spacing w:before="0" w:after="0" w:line="240" w:lineRule="auto"/>
              <w:jc w:val="center"/>
              <w:rPr>
                <w:noProof/>
              </w:rPr>
            </w:pPr>
            <w:r>
              <w:rPr>
                <w:noProof/>
              </w:rPr>
              <w:t>Étapes</w:t>
            </w:r>
          </w:p>
        </w:tc>
        <w:tc>
          <w:tcPr>
            <w:tcW w:w="3402" w:type="dxa"/>
            <w:tcBorders>
              <w:top w:val="single" w:sz="8" w:space="0" w:color="auto"/>
              <w:left w:val="nil"/>
              <w:bottom w:val="single" w:sz="8" w:space="0" w:color="auto"/>
              <w:right w:val="single" w:sz="8" w:space="0" w:color="auto"/>
            </w:tcBorders>
            <w:shd w:val="clear" w:color="auto" w:fill="C6EFCE"/>
            <w:vAlign w:val="center"/>
            <w:hideMark/>
          </w:tcPr>
          <w:p w14:paraId="56C457D4" w14:textId="77777777" w:rsidR="00025543" w:rsidRDefault="007E3A2F">
            <w:pPr>
              <w:pStyle w:val="P68B1DB1-Normal56"/>
              <w:spacing w:before="0" w:after="0" w:line="240" w:lineRule="auto"/>
              <w:jc w:val="center"/>
              <w:rPr>
                <w:noProof/>
              </w:rPr>
            </w:pPr>
            <w:r>
              <w:rPr>
                <w:noProof/>
              </w:rPr>
              <w:t>Adoption de la documentation du programme par le ministère de l’industrie et du commerce concernant les mesures de rénovation des systèmes d’éclairage public</w:t>
            </w:r>
          </w:p>
        </w:tc>
      </w:tr>
      <w:tr w:rsidR="00025543" w14:paraId="4F084459" w14:textId="77777777">
        <w:trPr>
          <w:trHeight w:val="1220"/>
        </w:trPr>
        <w:tc>
          <w:tcPr>
            <w:tcW w:w="1276"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1765764B" w14:textId="77777777" w:rsidR="00025543" w:rsidRDefault="007E3A2F">
            <w:pPr>
              <w:pStyle w:val="P68B1DB1-Normal57"/>
              <w:spacing w:before="0" w:after="0" w:line="240" w:lineRule="auto"/>
              <w:jc w:val="center"/>
              <w:rPr>
                <w:noProof/>
              </w:rPr>
            </w:pPr>
            <w:r>
              <w:rPr>
                <w:noProof/>
              </w:rPr>
              <w:t>198</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2A77DD2F" w14:textId="77777777" w:rsidR="00025543" w:rsidRDefault="007E3A2F">
            <w:pPr>
              <w:pStyle w:val="P68B1DB1-Normal57"/>
              <w:spacing w:before="0" w:after="0" w:line="240" w:lineRule="auto"/>
              <w:jc w:val="center"/>
              <w:rPr>
                <w:noProof/>
              </w:rPr>
            </w:pPr>
            <w:r>
              <w:rPr>
                <w:noProof/>
              </w:rPr>
              <w:t>C 4.2: Nouveaux instruments de fonds propres pour la promotion de l’esprit d’entreprise et le développement de la Banque tchèque de garantie et de développement (ČMZRB) en tant que banque nationale de développement — Réforme 1: Développement de la Banque tchèque de garantie et de développement en tant que banque nationale de développement</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536D27EB" w14:textId="77777777" w:rsidR="00025543" w:rsidRDefault="007E3A2F">
            <w:pPr>
              <w:pStyle w:val="P68B1DB1-Normal57"/>
              <w:spacing w:before="0" w:after="0" w:line="240" w:lineRule="auto"/>
              <w:jc w:val="center"/>
              <w:rPr>
                <w:noProof/>
              </w:rPr>
            </w:pPr>
            <w:r>
              <w:rPr>
                <w:noProof/>
              </w:rPr>
              <w:t>Étapes</w:t>
            </w:r>
          </w:p>
        </w:tc>
        <w:tc>
          <w:tcPr>
            <w:tcW w:w="3402" w:type="dxa"/>
            <w:tcBorders>
              <w:top w:val="nil"/>
              <w:left w:val="nil"/>
              <w:bottom w:val="single" w:sz="8" w:space="0" w:color="000000" w:themeColor="text1"/>
              <w:right w:val="single" w:sz="8" w:space="0" w:color="auto"/>
            </w:tcBorders>
            <w:shd w:val="clear" w:color="auto" w:fill="C6EFCE"/>
            <w:vAlign w:val="center"/>
            <w:hideMark/>
          </w:tcPr>
          <w:p w14:paraId="1DA14607" w14:textId="77777777" w:rsidR="00025543" w:rsidRDefault="007E3A2F">
            <w:pPr>
              <w:pStyle w:val="P68B1DB1-Normal57"/>
              <w:spacing w:before="0" w:after="0" w:line="240" w:lineRule="auto"/>
              <w:jc w:val="center"/>
              <w:rPr>
                <w:noProof/>
              </w:rPr>
            </w:pPr>
            <w:r>
              <w:rPr>
                <w:noProof/>
              </w:rPr>
              <w:t>Adoption de la stratégie à moyen terme de la Banque tchèque de garantie et de développement (ČMZRB) approuvée par les actionnaires de la banque (représentée par les ministères de l’industrie et du commerce, des finances et du développement local)</w:t>
            </w:r>
          </w:p>
        </w:tc>
      </w:tr>
      <w:tr w:rsidR="00025543" w14:paraId="5D2A1DC0" w14:textId="77777777">
        <w:trPr>
          <w:trHeight w:val="1380"/>
        </w:trPr>
        <w:tc>
          <w:tcPr>
            <w:tcW w:w="1276" w:type="dxa"/>
            <w:tcBorders>
              <w:top w:val="single" w:sz="8" w:space="0" w:color="000000" w:themeColor="text1"/>
              <w:left w:val="single" w:sz="8" w:space="0" w:color="auto"/>
              <w:bottom w:val="single" w:sz="4" w:space="0" w:color="auto"/>
              <w:right w:val="single" w:sz="8" w:space="0" w:color="000000" w:themeColor="text1"/>
            </w:tcBorders>
            <w:shd w:val="clear" w:color="auto" w:fill="C6EFCE"/>
            <w:vAlign w:val="center"/>
            <w:hideMark/>
          </w:tcPr>
          <w:p w14:paraId="0B32E0F4" w14:textId="77777777" w:rsidR="00025543" w:rsidRDefault="007E3A2F">
            <w:pPr>
              <w:pStyle w:val="P68B1DB1-Normal57"/>
              <w:spacing w:before="0" w:after="0" w:line="240" w:lineRule="auto"/>
              <w:jc w:val="center"/>
              <w:rPr>
                <w:noProof/>
              </w:rPr>
            </w:pPr>
            <w:r>
              <w:rPr>
                <w:noProof/>
              </w:rPr>
              <w:t>199</w:t>
            </w:r>
          </w:p>
        </w:tc>
        <w:tc>
          <w:tcPr>
            <w:tcW w:w="3969" w:type="dxa"/>
            <w:tcBorders>
              <w:top w:val="single" w:sz="8" w:space="0" w:color="000000" w:themeColor="text1"/>
              <w:left w:val="nil"/>
              <w:bottom w:val="single" w:sz="4" w:space="0" w:color="auto"/>
              <w:right w:val="single" w:sz="8" w:space="0" w:color="000000" w:themeColor="text1"/>
            </w:tcBorders>
            <w:shd w:val="clear" w:color="auto" w:fill="C6EFCE"/>
            <w:vAlign w:val="center"/>
            <w:hideMark/>
          </w:tcPr>
          <w:p w14:paraId="39ECA338" w14:textId="77777777" w:rsidR="00025543" w:rsidRDefault="007E3A2F">
            <w:pPr>
              <w:pStyle w:val="P68B1DB1-Normal57"/>
              <w:spacing w:before="0" w:after="0" w:line="240" w:lineRule="auto"/>
              <w:jc w:val="center"/>
              <w:rPr>
                <w:noProof/>
              </w:rPr>
            </w:pPr>
            <w:r>
              <w:rPr>
                <w:noProof/>
              </w:rPr>
              <w:t>C 4.2: Nouveaux instruments de fonds propres pour la promotion de l’esprit d’entreprise et le développement de la Banque tchèque de garantie et de développement (ČMZRB) en tant que banque nationale de développement — Réforme 1: Développement de la Banque tchèque de garantie et de développement en tant que banque nationale de développement</w:t>
            </w:r>
          </w:p>
        </w:tc>
        <w:tc>
          <w:tcPr>
            <w:tcW w:w="1843" w:type="dxa"/>
            <w:tcBorders>
              <w:top w:val="single" w:sz="8" w:space="0" w:color="000000" w:themeColor="text1"/>
              <w:left w:val="nil"/>
              <w:bottom w:val="single" w:sz="4" w:space="0" w:color="auto"/>
              <w:right w:val="single" w:sz="8" w:space="0" w:color="000000" w:themeColor="text1"/>
            </w:tcBorders>
            <w:shd w:val="clear" w:color="auto" w:fill="C6EFCE"/>
            <w:vAlign w:val="center"/>
            <w:hideMark/>
          </w:tcPr>
          <w:p w14:paraId="463E661F" w14:textId="77777777" w:rsidR="00025543" w:rsidRDefault="007E3A2F">
            <w:pPr>
              <w:pStyle w:val="P68B1DB1-Normal57"/>
              <w:spacing w:before="0" w:after="0" w:line="240" w:lineRule="auto"/>
              <w:jc w:val="center"/>
              <w:rPr>
                <w:noProof/>
              </w:rPr>
            </w:pPr>
            <w:r>
              <w:rPr>
                <w:noProof/>
              </w:rPr>
              <w:t>Étapes</w:t>
            </w:r>
          </w:p>
        </w:tc>
        <w:tc>
          <w:tcPr>
            <w:tcW w:w="3402" w:type="dxa"/>
            <w:tcBorders>
              <w:top w:val="single" w:sz="8" w:space="0" w:color="000000" w:themeColor="text1"/>
              <w:left w:val="nil"/>
              <w:bottom w:val="single" w:sz="4" w:space="0" w:color="auto"/>
              <w:right w:val="single" w:sz="8" w:space="0" w:color="auto"/>
            </w:tcBorders>
            <w:shd w:val="clear" w:color="auto" w:fill="C6EFCE"/>
            <w:vAlign w:val="center"/>
            <w:hideMark/>
          </w:tcPr>
          <w:p w14:paraId="62E097BD" w14:textId="77777777" w:rsidR="00025543" w:rsidRDefault="007E3A2F">
            <w:pPr>
              <w:pStyle w:val="P68B1DB1-Normal57"/>
              <w:spacing w:before="0" w:after="0" w:line="240" w:lineRule="auto"/>
              <w:jc w:val="center"/>
              <w:rPr>
                <w:noProof/>
              </w:rPr>
            </w:pPr>
            <w:r>
              <w:rPr>
                <w:noProof/>
              </w:rPr>
              <w:t xml:space="preserve">Mise en place d’un modèle de gestion pour le nouvel instrument de quasi-fonds propres </w:t>
            </w:r>
          </w:p>
        </w:tc>
      </w:tr>
      <w:tr w:rsidR="00025543" w14:paraId="126A85B8" w14:textId="77777777">
        <w:trPr>
          <w:trHeight w:val="1185"/>
        </w:trPr>
        <w:tc>
          <w:tcPr>
            <w:tcW w:w="1276" w:type="dxa"/>
            <w:tcBorders>
              <w:top w:val="single" w:sz="4" w:space="0" w:color="auto"/>
              <w:left w:val="single" w:sz="8" w:space="0" w:color="auto"/>
              <w:bottom w:val="single" w:sz="8" w:space="0" w:color="auto"/>
              <w:right w:val="single" w:sz="8" w:space="0" w:color="000000" w:themeColor="text1"/>
            </w:tcBorders>
            <w:shd w:val="clear" w:color="auto" w:fill="C6EFCE"/>
            <w:vAlign w:val="center"/>
            <w:hideMark/>
          </w:tcPr>
          <w:p w14:paraId="33C444C3" w14:textId="77777777" w:rsidR="00025543" w:rsidRDefault="007E3A2F">
            <w:pPr>
              <w:pStyle w:val="P68B1DB1-Normal57"/>
              <w:spacing w:before="0" w:after="0" w:line="240" w:lineRule="auto"/>
              <w:jc w:val="center"/>
              <w:rPr>
                <w:noProof/>
              </w:rPr>
            </w:pPr>
            <w:r>
              <w:rPr>
                <w:noProof/>
              </w:rPr>
              <w:t>200</w:t>
            </w:r>
          </w:p>
        </w:tc>
        <w:tc>
          <w:tcPr>
            <w:tcW w:w="3969"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0B8EC9E8" w14:textId="77777777" w:rsidR="00025543" w:rsidRDefault="007E3A2F">
            <w:pPr>
              <w:pStyle w:val="P68B1DB1-Normal57"/>
              <w:spacing w:before="0" w:after="0" w:line="240" w:lineRule="auto"/>
              <w:jc w:val="center"/>
              <w:rPr>
                <w:noProof/>
              </w:rPr>
            </w:pPr>
            <w:r>
              <w:rPr>
                <w:noProof/>
              </w:rPr>
              <w:t>C 4.2: Nouveaux instruments de fonds propres pour la promotion de l’esprit d’entreprise et le développement de la Banque tchèque de garantie et de développement (ČMZRB) en tant que banque nationale de développement — Investissement 1: Mise au point d’une nouvelle ligne d’instruments de quasi-fonds propres soutenant l’esprit d’entreprise</w:t>
            </w:r>
          </w:p>
        </w:tc>
        <w:tc>
          <w:tcPr>
            <w:tcW w:w="1843"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469D7B7B" w14:textId="77777777" w:rsidR="00025543" w:rsidRDefault="007E3A2F">
            <w:pPr>
              <w:pStyle w:val="P68B1DB1-Normal57"/>
              <w:spacing w:before="0" w:after="0" w:line="240" w:lineRule="auto"/>
              <w:jc w:val="center"/>
              <w:rPr>
                <w:noProof/>
              </w:rPr>
            </w:pPr>
            <w:r>
              <w:rPr>
                <w:noProof/>
              </w:rPr>
              <w:t>Étapes</w:t>
            </w:r>
          </w:p>
          <w:p w14:paraId="13B12C38" w14:textId="77777777" w:rsidR="00025543" w:rsidRDefault="00025543">
            <w:pPr>
              <w:rPr>
                <w:rFonts w:eastAsia="Times New Roman"/>
                <w:noProof/>
                <w:sz w:val="20"/>
              </w:rPr>
            </w:pPr>
          </w:p>
          <w:p w14:paraId="7FE46D51" w14:textId="2296F13B" w:rsidR="00025543" w:rsidRDefault="00025543">
            <w:pPr>
              <w:rPr>
                <w:rFonts w:eastAsia="Times New Roman"/>
                <w:noProof/>
                <w:sz w:val="20"/>
              </w:rPr>
            </w:pPr>
          </w:p>
        </w:tc>
        <w:tc>
          <w:tcPr>
            <w:tcW w:w="3402" w:type="dxa"/>
            <w:tcBorders>
              <w:top w:val="single" w:sz="4" w:space="0" w:color="auto"/>
              <w:left w:val="nil"/>
              <w:bottom w:val="single" w:sz="8" w:space="0" w:color="auto"/>
              <w:right w:val="single" w:sz="8" w:space="0" w:color="auto"/>
            </w:tcBorders>
            <w:shd w:val="clear" w:color="auto" w:fill="C6EFCE"/>
            <w:vAlign w:val="center"/>
            <w:hideMark/>
          </w:tcPr>
          <w:p w14:paraId="7942CAC9" w14:textId="77777777" w:rsidR="00025543" w:rsidRDefault="007E3A2F">
            <w:pPr>
              <w:pStyle w:val="P68B1DB1-Normal57"/>
              <w:spacing w:before="0" w:after="0" w:line="240" w:lineRule="auto"/>
              <w:jc w:val="center"/>
              <w:rPr>
                <w:noProof/>
              </w:rPr>
            </w:pPr>
            <w:r>
              <w:rPr>
                <w:noProof/>
              </w:rPr>
              <w:t>Accord de financement avec la Banque tchèque de garantie et de développement en tant que banque nationale de développement (ČMZRB)</w:t>
            </w:r>
          </w:p>
        </w:tc>
      </w:tr>
      <w:tr w:rsidR="00025543" w14:paraId="6D31F887" w14:textId="77777777">
        <w:trPr>
          <w:trHeight w:val="795"/>
        </w:trPr>
        <w:tc>
          <w:tcPr>
            <w:tcW w:w="1276"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1B98B1B2" w14:textId="77777777" w:rsidR="00025543" w:rsidRDefault="007E3A2F">
            <w:pPr>
              <w:pStyle w:val="P68B1DB1-Normal56"/>
              <w:spacing w:before="0" w:after="0" w:line="240" w:lineRule="auto"/>
              <w:jc w:val="center"/>
              <w:rPr>
                <w:noProof/>
              </w:rPr>
            </w:pPr>
            <w:r>
              <w:rPr>
                <w:noProof/>
              </w:rPr>
              <w:t>203</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4BE5C8F0" w14:textId="77777777" w:rsidR="00025543" w:rsidRDefault="007E3A2F">
            <w:pPr>
              <w:pStyle w:val="P68B1DB1-Normal57"/>
              <w:spacing w:before="0" w:after="0" w:line="240" w:lineRule="auto"/>
              <w:jc w:val="center"/>
              <w:rPr>
                <w:noProof/>
              </w:rPr>
            </w:pPr>
            <w:r>
              <w:rPr>
                <w:noProof/>
              </w:rPr>
              <w:t>C 4.3: Réformes anticorruption — Réforme 2: Réforme du système judiciaire visant à renforcer le cadre législatif et la transparence dans les domaines des tribunaux, des juges, des procureurs et des huissiers de justice</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495A7FC5" w14:textId="77777777" w:rsidR="00025543" w:rsidRDefault="007E3A2F">
            <w:pPr>
              <w:pStyle w:val="P68B1DB1-Normal57"/>
              <w:spacing w:before="0" w:after="0" w:line="240" w:lineRule="auto"/>
              <w:jc w:val="center"/>
              <w:rPr>
                <w:noProof/>
              </w:rPr>
            </w:pPr>
            <w:r>
              <w:rPr>
                <w:noProof/>
              </w:rPr>
              <w:t>Étapes</w:t>
            </w:r>
          </w:p>
        </w:tc>
        <w:tc>
          <w:tcPr>
            <w:tcW w:w="3402" w:type="dxa"/>
            <w:tcBorders>
              <w:top w:val="nil"/>
              <w:left w:val="nil"/>
              <w:bottom w:val="single" w:sz="8" w:space="0" w:color="000000" w:themeColor="text1"/>
              <w:right w:val="single" w:sz="8" w:space="0" w:color="auto"/>
            </w:tcBorders>
            <w:shd w:val="clear" w:color="auto" w:fill="C6EFCE"/>
            <w:vAlign w:val="center"/>
            <w:hideMark/>
          </w:tcPr>
          <w:p w14:paraId="2FE48794" w14:textId="77777777" w:rsidR="00025543" w:rsidRDefault="007E3A2F">
            <w:pPr>
              <w:pStyle w:val="P68B1DB1-Normal56"/>
              <w:spacing w:before="0" w:after="0" w:line="240" w:lineRule="auto"/>
              <w:jc w:val="center"/>
              <w:rPr>
                <w:noProof/>
              </w:rPr>
            </w:pPr>
            <w:r>
              <w:rPr>
                <w:noProof/>
              </w:rPr>
              <w:t xml:space="preserve">Entrée en vigueur de la loi sur les tribunaux et les juges </w:t>
            </w:r>
          </w:p>
        </w:tc>
      </w:tr>
      <w:tr w:rsidR="00025543" w14:paraId="5650AF77" w14:textId="77777777">
        <w:trPr>
          <w:trHeight w:val="990"/>
        </w:trPr>
        <w:tc>
          <w:tcPr>
            <w:tcW w:w="1276" w:type="dxa"/>
            <w:tcBorders>
              <w:top w:val="nil"/>
              <w:left w:val="single" w:sz="8" w:space="0" w:color="auto"/>
              <w:bottom w:val="single" w:sz="4" w:space="0" w:color="auto"/>
              <w:right w:val="single" w:sz="8" w:space="0" w:color="000000" w:themeColor="text1"/>
            </w:tcBorders>
            <w:shd w:val="clear" w:color="auto" w:fill="C6EFCE"/>
            <w:vAlign w:val="center"/>
            <w:hideMark/>
          </w:tcPr>
          <w:p w14:paraId="311842FD" w14:textId="77777777" w:rsidR="00025543" w:rsidRDefault="007E3A2F">
            <w:pPr>
              <w:pStyle w:val="P68B1DB1-Normal56"/>
              <w:spacing w:before="0" w:after="0" w:line="240" w:lineRule="auto"/>
              <w:jc w:val="center"/>
              <w:rPr>
                <w:noProof/>
              </w:rPr>
            </w:pPr>
            <w:r>
              <w:rPr>
                <w:noProof/>
              </w:rPr>
              <w:t>208</w:t>
            </w:r>
          </w:p>
        </w:tc>
        <w:tc>
          <w:tcPr>
            <w:tcW w:w="3969" w:type="dxa"/>
            <w:tcBorders>
              <w:top w:val="nil"/>
              <w:left w:val="nil"/>
              <w:bottom w:val="single" w:sz="4" w:space="0" w:color="auto"/>
              <w:right w:val="single" w:sz="8" w:space="0" w:color="000000" w:themeColor="text1"/>
            </w:tcBorders>
            <w:shd w:val="clear" w:color="auto" w:fill="C6EFCE"/>
            <w:vAlign w:val="center"/>
            <w:hideMark/>
          </w:tcPr>
          <w:p w14:paraId="0ACEA5C7" w14:textId="77777777" w:rsidR="00025543" w:rsidRDefault="007E3A2F">
            <w:pPr>
              <w:pStyle w:val="P68B1DB1-Normal57"/>
              <w:spacing w:before="0" w:after="0" w:line="240" w:lineRule="auto"/>
              <w:jc w:val="center"/>
              <w:rPr>
                <w:noProof/>
              </w:rPr>
            </w:pPr>
            <w:r>
              <w:rPr>
                <w:noProof/>
              </w:rPr>
              <w:t>C 4.3: Réformes anticorruption — Réforme 5: Contrôle et audit</w:t>
            </w:r>
          </w:p>
        </w:tc>
        <w:tc>
          <w:tcPr>
            <w:tcW w:w="1843" w:type="dxa"/>
            <w:tcBorders>
              <w:top w:val="nil"/>
              <w:left w:val="nil"/>
              <w:bottom w:val="single" w:sz="4" w:space="0" w:color="auto"/>
              <w:right w:val="single" w:sz="8" w:space="0" w:color="000000" w:themeColor="text1"/>
            </w:tcBorders>
            <w:shd w:val="clear" w:color="auto" w:fill="C6EFCE"/>
            <w:vAlign w:val="center"/>
            <w:hideMark/>
          </w:tcPr>
          <w:p w14:paraId="34BA69CF" w14:textId="77777777" w:rsidR="00025543" w:rsidRDefault="007E3A2F">
            <w:pPr>
              <w:pStyle w:val="P68B1DB1-Normal57"/>
              <w:spacing w:before="0" w:after="0" w:line="240" w:lineRule="auto"/>
              <w:jc w:val="center"/>
              <w:rPr>
                <w:noProof/>
              </w:rPr>
            </w:pPr>
            <w:r>
              <w:rPr>
                <w:noProof/>
              </w:rPr>
              <w:t>Étapes</w:t>
            </w:r>
          </w:p>
        </w:tc>
        <w:tc>
          <w:tcPr>
            <w:tcW w:w="3402" w:type="dxa"/>
            <w:tcBorders>
              <w:top w:val="nil"/>
              <w:left w:val="nil"/>
              <w:bottom w:val="single" w:sz="4" w:space="0" w:color="auto"/>
              <w:right w:val="single" w:sz="8" w:space="0" w:color="auto"/>
            </w:tcBorders>
            <w:shd w:val="clear" w:color="auto" w:fill="C6EFCE"/>
            <w:vAlign w:val="center"/>
            <w:hideMark/>
          </w:tcPr>
          <w:p w14:paraId="6E79EB9C" w14:textId="77777777" w:rsidR="00025543" w:rsidRDefault="007E3A2F">
            <w:pPr>
              <w:pStyle w:val="P68B1DB1-Normal56"/>
              <w:spacing w:before="0" w:after="0" w:line="240" w:lineRule="auto"/>
              <w:jc w:val="center"/>
              <w:rPr>
                <w:noProof/>
              </w:rPr>
            </w:pPr>
            <w:r>
              <w:rPr>
                <w:noProof/>
              </w:rPr>
              <w:t>Création et mise en œuvre d’un plan d’action sur le système administratif de l’organisme de coordination, en particulier en ce qui concerne la prévention suffisante et systémique des conflits d’intérêts dans le contexte de la FRR.</w:t>
            </w:r>
          </w:p>
        </w:tc>
      </w:tr>
      <w:tr w:rsidR="00025543" w14:paraId="4A5A8E99" w14:textId="77777777">
        <w:trPr>
          <w:trHeight w:val="405"/>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068425E" w14:textId="77777777" w:rsidR="00025543" w:rsidRDefault="007E3A2F">
            <w:pPr>
              <w:pStyle w:val="P68B1DB1-Normal56"/>
              <w:spacing w:before="0" w:after="0" w:line="240" w:lineRule="auto"/>
              <w:jc w:val="center"/>
              <w:rPr>
                <w:noProof/>
              </w:rPr>
            </w:pPr>
            <w:r>
              <w:rPr>
                <w:noProof/>
              </w:rPr>
              <w:t>211</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AC6FDB1" w14:textId="77777777" w:rsidR="00025543" w:rsidRDefault="007E3A2F">
            <w:pPr>
              <w:pStyle w:val="P68B1DB1-Normal57"/>
              <w:spacing w:before="0" w:after="0" w:line="240" w:lineRule="auto"/>
              <w:jc w:val="center"/>
              <w:rPr>
                <w:noProof/>
              </w:rPr>
            </w:pPr>
            <w:r>
              <w:rPr>
                <w:noProof/>
              </w:rPr>
              <w:t>C 4.3: Réformes anticorruption — Réforme 5: Contrôle et audit</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EFF5EB7" w14:textId="77777777" w:rsidR="00025543" w:rsidRDefault="007E3A2F">
            <w:pPr>
              <w:pStyle w:val="P68B1DB1-Normal57"/>
              <w:spacing w:before="0" w:after="0" w:line="240" w:lineRule="auto"/>
              <w:jc w:val="center"/>
              <w:rPr>
                <w:noProof/>
              </w:rPr>
            </w:pPr>
            <w:r>
              <w:rPr>
                <w:noProof/>
              </w:rPr>
              <w:t>Étapes</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5E19694" w14:textId="77777777" w:rsidR="00025543" w:rsidRDefault="007E3A2F">
            <w:pPr>
              <w:pStyle w:val="P68B1DB1-Normal56"/>
              <w:spacing w:before="0" w:after="0" w:line="240" w:lineRule="auto"/>
              <w:jc w:val="center"/>
              <w:rPr>
                <w:noProof/>
              </w:rPr>
            </w:pPr>
            <w:r>
              <w:rPr>
                <w:noProof/>
              </w:rPr>
              <w:t>Stratégie d’audit garantissant un audit indépendant et efficace de la mise en œuvre de la FRR</w:t>
            </w:r>
          </w:p>
        </w:tc>
      </w:tr>
      <w:tr w:rsidR="00025543" w14:paraId="4790D659" w14:textId="77777777">
        <w:trPr>
          <w:trHeight w:val="405"/>
        </w:trPr>
        <w:tc>
          <w:tcPr>
            <w:tcW w:w="1276" w:type="dxa"/>
            <w:tcBorders>
              <w:top w:val="single" w:sz="4" w:space="0" w:color="auto"/>
              <w:left w:val="single" w:sz="8" w:space="0" w:color="auto"/>
              <w:bottom w:val="single" w:sz="8" w:space="0" w:color="auto"/>
              <w:right w:val="single" w:sz="8" w:space="0" w:color="000000" w:themeColor="text1"/>
            </w:tcBorders>
            <w:shd w:val="clear" w:color="auto" w:fill="C6EFCE"/>
            <w:vAlign w:val="center"/>
            <w:hideMark/>
          </w:tcPr>
          <w:p w14:paraId="0F1D4D77" w14:textId="77777777" w:rsidR="00025543" w:rsidRDefault="007E3A2F">
            <w:pPr>
              <w:pStyle w:val="P68B1DB1-Normal56"/>
              <w:spacing w:before="0" w:after="0" w:line="240" w:lineRule="auto"/>
              <w:jc w:val="center"/>
              <w:rPr>
                <w:noProof/>
              </w:rPr>
            </w:pPr>
            <w:r>
              <w:rPr>
                <w:noProof/>
              </w:rPr>
              <w:t>212</w:t>
            </w:r>
          </w:p>
        </w:tc>
        <w:tc>
          <w:tcPr>
            <w:tcW w:w="3969" w:type="dxa"/>
            <w:tcBorders>
              <w:top w:val="single" w:sz="4" w:space="0" w:color="auto"/>
              <w:left w:val="nil"/>
              <w:bottom w:val="single" w:sz="8" w:space="0" w:color="auto"/>
              <w:right w:val="single" w:sz="8" w:space="0" w:color="000000" w:themeColor="text1"/>
            </w:tcBorders>
            <w:shd w:val="clear" w:color="auto" w:fill="C6EFCE"/>
            <w:vAlign w:val="center"/>
            <w:hideMark/>
          </w:tcPr>
          <w:p w14:paraId="72318573" w14:textId="77777777" w:rsidR="00025543" w:rsidRDefault="007E3A2F">
            <w:pPr>
              <w:pStyle w:val="P68B1DB1-Normal57"/>
              <w:spacing w:before="0" w:after="0" w:line="240" w:lineRule="auto"/>
              <w:jc w:val="center"/>
              <w:rPr>
                <w:noProof/>
              </w:rPr>
            </w:pPr>
            <w:r>
              <w:rPr>
                <w:noProof/>
              </w:rPr>
              <w:t>C 4.3: Réformes anticorruption — Réforme 5: Contrôle et audit</w:t>
            </w:r>
          </w:p>
        </w:tc>
        <w:tc>
          <w:tcPr>
            <w:tcW w:w="1843" w:type="dxa"/>
            <w:tcBorders>
              <w:top w:val="single" w:sz="4" w:space="0" w:color="auto"/>
              <w:left w:val="nil"/>
              <w:bottom w:val="single" w:sz="8" w:space="0" w:color="auto"/>
              <w:right w:val="single" w:sz="8" w:space="0" w:color="000000" w:themeColor="text1"/>
            </w:tcBorders>
            <w:shd w:val="clear" w:color="auto" w:fill="C6EFCE"/>
            <w:vAlign w:val="center"/>
            <w:hideMark/>
          </w:tcPr>
          <w:p w14:paraId="70D987F5" w14:textId="77777777" w:rsidR="00025543" w:rsidRDefault="007E3A2F">
            <w:pPr>
              <w:pStyle w:val="P68B1DB1-Normal57"/>
              <w:spacing w:before="0" w:after="0" w:line="240" w:lineRule="auto"/>
              <w:jc w:val="center"/>
              <w:rPr>
                <w:noProof/>
              </w:rPr>
            </w:pPr>
            <w:r>
              <w:rPr>
                <w:noProof/>
              </w:rPr>
              <w:t>Étapes</w:t>
            </w:r>
          </w:p>
        </w:tc>
        <w:tc>
          <w:tcPr>
            <w:tcW w:w="3402" w:type="dxa"/>
            <w:tcBorders>
              <w:top w:val="single" w:sz="4" w:space="0" w:color="auto"/>
              <w:left w:val="nil"/>
              <w:bottom w:val="single" w:sz="8" w:space="0" w:color="auto"/>
              <w:right w:val="single" w:sz="8" w:space="0" w:color="auto"/>
            </w:tcBorders>
            <w:shd w:val="clear" w:color="auto" w:fill="C6EFCE"/>
            <w:vAlign w:val="center"/>
            <w:hideMark/>
          </w:tcPr>
          <w:p w14:paraId="6441B385" w14:textId="77777777" w:rsidR="00025543" w:rsidRDefault="007E3A2F">
            <w:pPr>
              <w:pStyle w:val="P68B1DB1-Normal56"/>
              <w:spacing w:before="0" w:after="0" w:line="240" w:lineRule="auto"/>
              <w:jc w:val="center"/>
              <w:rPr>
                <w:noProof/>
              </w:rPr>
            </w:pPr>
            <w:r>
              <w:rPr>
                <w:noProof/>
              </w:rPr>
              <w:t>Réexamen de la définition des bénéficiaires effectifs en ce qui concerne le système de contrôle de la FRR</w:t>
            </w:r>
          </w:p>
        </w:tc>
      </w:tr>
      <w:tr w:rsidR="00025543" w14:paraId="1216340F" w14:textId="77777777">
        <w:trPr>
          <w:trHeight w:val="795"/>
        </w:trPr>
        <w:tc>
          <w:tcPr>
            <w:tcW w:w="1276" w:type="dxa"/>
            <w:tcBorders>
              <w:top w:val="nil"/>
              <w:left w:val="single" w:sz="8" w:space="0" w:color="auto"/>
              <w:bottom w:val="single" w:sz="8" w:space="0" w:color="auto"/>
              <w:right w:val="single" w:sz="8" w:space="0" w:color="000000" w:themeColor="text1"/>
            </w:tcBorders>
            <w:shd w:val="clear" w:color="auto" w:fill="C6EFCE"/>
            <w:vAlign w:val="center"/>
            <w:hideMark/>
          </w:tcPr>
          <w:p w14:paraId="1A7BF6CA" w14:textId="77777777" w:rsidR="00025543" w:rsidRDefault="007E3A2F">
            <w:pPr>
              <w:pStyle w:val="P68B1DB1-Normal57"/>
              <w:spacing w:before="0" w:after="0" w:line="240" w:lineRule="auto"/>
              <w:jc w:val="center"/>
              <w:rPr>
                <w:noProof/>
              </w:rPr>
            </w:pPr>
            <w:r>
              <w:rPr>
                <w:noProof/>
              </w:rPr>
              <w:t>223</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20B770C9" w14:textId="77777777" w:rsidR="00025543" w:rsidRDefault="007E3A2F">
            <w:pPr>
              <w:pStyle w:val="P68B1DB1-Normal57"/>
              <w:spacing w:before="0" w:after="0" w:line="240" w:lineRule="auto"/>
              <w:jc w:val="center"/>
              <w:rPr>
                <w:noProof/>
              </w:rPr>
            </w:pPr>
            <w:r>
              <w:rPr>
                <w:noProof/>
              </w:rPr>
              <w:t xml:space="preserve">C 5.1: Excellence en matière de recherche et développement dans le secteur de la santé — Investissements 1: Soutien public à la recherche et au développement dans les domaines prioritaires des sciences médicales et des sciences sociales connexes </w:t>
            </w:r>
          </w:p>
        </w:tc>
        <w:tc>
          <w:tcPr>
            <w:tcW w:w="1843" w:type="dxa"/>
            <w:tcBorders>
              <w:top w:val="nil"/>
              <w:left w:val="nil"/>
              <w:bottom w:val="single" w:sz="8" w:space="0" w:color="auto"/>
              <w:right w:val="single" w:sz="8" w:space="0" w:color="000000" w:themeColor="text1"/>
            </w:tcBorders>
            <w:shd w:val="clear" w:color="auto" w:fill="C6EFCE"/>
            <w:vAlign w:val="center"/>
            <w:hideMark/>
          </w:tcPr>
          <w:p w14:paraId="386E9AD9" w14:textId="77777777" w:rsidR="00025543" w:rsidRDefault="007E3A2F">
            <w:pPr>
              <w:pStyle w:val="P68B1DB1-Normal57"/>
              <w:spacing w:before="0" w:after="0" w:line="240" w:lineRule="auto"/>
              <w:jc w:val="center"/>
              <w:rPr>
                <w:noProof/>
              </w:rPr>
            </w:pPr>
            <w:r>
              <w:rPr>
                <w:noProof/>
              </w:rPr>
              <w:t>Étapes</w:t>
            </w:r>
          </w:p>
        </w:tc>
        <w:tc>
          <w:tcPr>
            <w:tcW w:w="3402" w:type="dxa"/>
            <w:tcBorders>
              <w:top w:val="nil"/>
              <w:left w:val="nil"/>
              <w:bottom w:val="single" w:sz="8" w:space="0" w:color="auto"/>
              <w:right w:val="single" w:sz="8" w:space="0" w:color="auto"/>
            </w:tcBorders>
            <w:shd w:val="clear" w:color="auto" w:fill="C6EFCE"/>
            <w:vAlign w:val="center"/>
            <w:hideMark/>
          </w:tcPr>
          <w:p w14:paraId="063749C8" w14:textId="77777777" w:rsidR="00025543" w:rsidRDefault="007E3A2F">
            <w:pPr>
              <w:pStyle w:val="P68B1DB1-Normal58"/>
              <w:spacing w:before="0" w:after="0" w:line="240" w:lineRule="auto"/>
              <w:jc w:val="center"/>
              <w:rPr>
                <w:noProof/>
              </w:rPr>
            </w:pPr>
            <w:r>
              <w:rPr>
                <w:noProof/>
              </w:rPr>
              <w:t xml:space="preserve">Lancement d’un nouveau programme de soutien à la recherche et au développement </w:t>
            </w:r>
          </w:p>
        </w:tc>
      </w:tr>
      <w:tr w:rsidR="00025543" w14:paraId="76AC9AD4" w14:textId="77777777">
        <w:trPr>
          <w:trHeight w:val="990"/>
        </w:trPr>
        <w:tc>
          <w:tcPr>
            <w:tcW w:w="1276" w:type="dxa"/>
            <w:tcBorders>
              <w:top w:val="nil"/>
              <w:left w:val="single" w:sz="8" w:space="0" w:color="auto"/>
              <w:bottom w:val="nil"/>
              <w:right w:val="single" w:sz="8" w:space="0" w:color="000000" w:themeColor="text1"/>
            </w:tcBorders>
            <w:shd w:val="clear" w:color="auto" w:fill="C6EFCE"/>
            <w:vAlign w:val="center"/>
            <w:hideMark/>
          </w:tcPr>
          <w:p w14:paraId="78D7D1FA" w14:textId="77777777" w:rsidR="00025543" w:rsidRDefault="007E3A2F">
            <w:pPr>
              <w:pStyle w:val="P68B1DB1-Normal57"/>
              <w:spacing w:before="0" w:after="0" w:line="240" w:lineRule="auto"/>
              <w:jc w:val="center"/>
              <w:rPr>
                <w:noProof/>
              </w:rPr>
            </w:pPr>
            <w:r>
              <w:rPr>
                <w:noProof/>
              </w:rPr>
              <w:t>226</w:t>
            </w:r>
          </w:p>
        </w:tc>
        <w:tc>
          <w:tcPr>
            <w:tcW w:w="3969" w:type="dxa"/>
            <w:tcBorders>
              <w:top w:val="nil"/>
              <w:left w:val="nil"/>
              <w:bottom w:val="nil"/>
              <w:right w:val="single" w:sz="8" w:space="0" w:color="000000" w:themeColor="text1"/>
            </w:tcBorders>
            <w:shd w:val="clear" w:color="auto" w:fill="C6EFCE"/>
            <w:vAlign w:val="center"/>
            <w:hideMark/>
          </w:tcPr>
          <w:p w14:paraId="0A9F5C4F" w14:textId="77777777" w:rsidR="00025543" w:rsidRDefault="007E3A2F">
            <w:pPr>
              <w:pStyle w:val="P68B1DB1-Normal57"/>
              <w:spacing w:before="0" w:after="0" w:line="240" w:lineRule="auto"/>
              <w:jc w:val="center"/>
              <w:rPr>
                <w:noProof/>
              </w:rPr>
            </w:pPr>
            <w:r>
              <w:rPr>
                <w:noProof/>
              </w:rPr>
              <w:t>C 5.2: Soutien à la recherche et au développement dans les entreprises et introduction des innovations dans les pratiques commerciales — Réforme 1: Création d’un groupe national de coordination pour le soutien à la recherche industrielle</w:t>
            </w:r>
          </w:p>
        </w:tc>
        <w:tc>
          <w:tcPr>
            <w:tcW w:w="1843" w:type="dxa"/>
            <w:tcBorders>
              <w:top w:val="nil"/>
              <w:left w:val="nil"/>
              <w:bottom w:val="nil"/>
              <w:right w:val="single" w:sz="8" w:space="0" w:color="000000" w:themeColor="text1"/>
            </w:tcBorders>
            <w:shd w:val="clear" w:color="auto" w:fill="C6EFCE"/>
            <w:vAlign w:val="center"/>
            <w:hideMark/>
          </w:tcPr>
          <w:p w14:paraId="1EA4F92D" w14:textId="77777777" w:rsidR="00025543" w:rsidRDefault="007E3A2F">
            <w:pPr>
              <w:pStyle w:val="P68B1DB1-Normal57"/>
              <w:spacing w:before="0" w:after="0" w:line="240" w:lineRule="auto"/>
              <w:jc w:val="center"/>
              <w:rPr>
                <w:noProof/>
              </w:rPr>
            </w:pPr>
            <w:r>
              <w:rPr>
                <w:noProof/>
              </w:rPr>
              <w:t>Étapes</w:t>
            </w:r>
          </w:p>
        </w:tc>
        <w:tc>
          <w:tcPr>
            <w:tcW w:w="3402" w:type="dxa"/>
            <w:tcBorders>
              <w:top w:val="nil"/>
              <w:left w:val="nil"/>
              <w:bottom w:val="nil"/>
              <w:right w:val="single" w:sz="8" w:space="0" w:color="auto"/>
            </w:tcBorders>
            <w:shd w:val="clear" w:color="auto" w:fill="C6EFCE"/>
            <w:vAlign w:val="center"/>
            <w:hideMark/>
          </w:tcPr>
          <w:p w14:paraId="39F7E8D9" w14:textId="77777777" w:rsidR="00025543" w:rsidRDefault="007E3A2F">
            <w:pPr>
              <w:pStyle w:val="P68B1DB1-Normal57"/>
              <w:spacing w:before="0" w:after="0" w:line="240" w:lineRule="auto"/>
              <w:jc w:val="center"/>
              <w:rPr>
                <w:noProof/>
              </w:rPr>
            </w:pPr>
            <w:r>
              <w:rPr>
                <w:noProof/>
              </w:rPr>
              <w:t>Création d’un groupe national de coordination pour le soutien à la recherche industrielle</w:t>
            </w:r>
          </w:p>
        </w:tc>
      </w:tr>
      <w:tr w:rsidR="00025543" w14:paraId="4B634719" w14:textId="77777777">
        <w:trPr>
          <w:trHeight w:val="600"/>
        </w:trPr>
        <w:tc>
          <w:tcPr>
            <w:tcW w:w="1276" w:type="dxa"/>
            <w:tcBorders>
              <w:top w:val="single" w:sz="8" w:space="0" w:color="auto"/>
              <w:left w:val="single" w:sz="8" w:space="0" w:color="auto"/>
              <w:bottom w:val="single" w:sz="8" w:space="0" w:color="auto"/>
              <w:right w:val="single" w:sz="8" w:space="0" w:color="000000" w:themeColor="text1"/>
            </w:tcBorders>
            <w:shd w:val="clear" w:color="auto" w:fill="C6EFCE"/>
            <w:vAlign w:val="center"/>
            <w:hideMark/>
          </w:tcPr>
          <w:p w14:paraId="56BCBA97" w14:textId="77777777" w:rsidR="00025543" w:rsidRDefault="007E3A2F">
            <w:pPr>
              <w:pStyle w:val="P68B1DB1-Normal56"/>
              <w:spacing w:before="0" w:after="0" w:line="240" w:lineRule="auto"/>
              <w:jc w:val="center"/>
              <w:rPr>
                <w:noProof/>
              </w:rPr>
            </w:pPr>
            <w:r>
              <w:rPr>
                <w:noProof/>
              </w:rPr>
              <w:t>236</w:t>
            </w:r>
          </w:p>
        </w:tc>
        <w:tc>
          <w:tcPr>
            <w:tcW w:w="3969" w:type="dxa"/>
            <w:tcBorders>
              <w:top w:val="single" w:sz="8" w:space="0" w:color="auto"/>
              <w:left w:val="nil"/>
              <w:bottom w:val="single" w:sz="8" w:space="0" w:color="auto"/>
              <w:right w:val="single" w:sz="8" w:space="0" w:color="000000" w:themeColor="text1"/>
            </w:tcBorders>
            <w:shd w:val="clear" w:color="auto" w:fill="C6EFCE"/>
            <w:vAlign w:val="center"/>
            <w:hideMark/>
          </w:tcPr>
          <w:p w14:paraId="214F0B33" w14:textId="77777777" w:rsidR="00025543" w:rsidRDefault="007E3A2F">
            <w:pPr>
              <w:pStyle w:val="P68B1DB1-Normal57"/>
              <w:spacing w:before="0" w:after="0" w:line="240" w:lineRule="auto"/>
              <w:jc w:val="center"/>
              <w:rPr>
                <w:noProof/>
              </w:rPr>
            </w:pPr>
            <w:r>
              <w:rPr>
                <w:noProof/>
              </w:rPr>
              <w:t xml:space="preserve">C 6.2: Plan national de renforcement de la prévention et des soins oncologiques — Réforme 1: Programme oncologique national </w:t>
            </w:r>
          </w:p>
        </w:tc>
        <w:tc>
          <w:tcPr>
            <w:tcW w:w="1843" w:type="dxa"/>
            <w:tcBorders>
              <w:top w:val="single" w:sz="8" w:space="0" w:color="auto"/>
              <w:left w:val="nil"/>
              <w:bottom w:val="single" w:sz="8" w:space="0" w:color="auto"/>
              <w:right w:val="single" w:sz="8" w:space="0" w:color="000000" w:themeColor="text1"/>
            </w:tcBorders>
            <w:shd w:val="clear" w:color="auto" w:fill="C6EFCE"/>
            <w:vAlign w:val="center"/>
            <w:hideMark/>
          </w:tcPr>
          <w:p w14:paraId="706D5CEB" w14:textId="77777777" w:rsidR="00025543" w:rsidRDefault="007E3A2F">
            <w:pPr>
              <w:pStyle w:val="P68B1DB1-Normal57"/>
              <w:spacing w:before="0" w:after="0" w:line="240" w:lineRule="auto"/>
              <w:jc w:val="center"/>
              <w:rPr>
                <w:noProof/>
              </w:rPr>
            </w:pPr>
            <w:r>
              <w:rPr>
                <w:noProof/>
              </w:rPr>
              <w:t>Étapes</w:t>
            </w:r>
          </w:p>
        </w:tc>
        <w:tc>
          <w:tcPr>
            <w:tcW w:w="3402" w:type="dxa"/>
            <w:tcBorders>
              <w:top w:val="single" w:sz="8" w:space="0" w:color="auto"/>
              <w:left w:val="nil"/>
              <w:bottom w:val="single" w:sz="8" w:space="0" w:color="auto"/>
              <w:right w:val="single" w:sz="8" w:space="0" w:color="auto"/>
            </w:tcBorders>
            <w:shd w:val="clear" w:color="auto" w:fill="C6EFCE"/>
            <w:vAlign w:val="center"/>
            <w:hideMark/>
          </w:tcPr>
          <w:p w14:paraId="2E92A8D2" w14:textId="77777777" w:rsidR="00025543" w:rsidRDefault="007E3A2F">
            <w:pPr>
              <w:pStyle w:val="P68B1DB1-Normal56"/>
              <w:spacing w:before="0" w:after="0" w:line="240" w:lineRule="auto"/>
              <w:jc w:val="center"/>
              <w:rPr>
                <w:noProof/>
              </w:rPr>
            </w:pPr>
            <w:r>
              <w:rPr>
                <w:noProof/>
              </w:rPr>
              <w:t xml:space="preserve"> Programme oncologique national de la République tchèque 2022-2030</w:t>
            </w:r>
          </w:p>
        </w:tc>
      </w:tr>
      <w:tr w:rsidR="00025543" w14:paraId="6C7E3F64" w14:textId="77777777">
        <w:trPr>
          <w:trHeight w:val="795"/>
        </w:trPr>
        <w:tc>
          <w:tcPr>
            <w:tcW w:w="1276" w:type="dxa"/>
            <w:tcBorders>
              <w:top w:val="nil"/>
              <w:left w:val="single" w:sz="8" w:space="0" w:color="auto"/>
              <w:bottom w:val="single" w:sz="8" w:space="0" w:color="auto"/>
              <w:right w:val="single" w:sz="8" w:space="0" w:color="000000" w:themeColor="text1"/>
            </w:tcBorders>
            <w:shd w:val="clear" w:color="auto" w:fill="C6EFCE"/>
            <w:vAlign w:val="center"/>
            <w:hideMark/>
          </w:tcPr>
          <w:p w14:paraId="3AAB5682" w14:textId="77777777" w:rsidR="00025543" w:rsidRDefault="007E3A2F">
            <w:pPr>
              <w:pStyle w:val="P68B1DB1-Normal57"/>
              <w:spacing w:before="0" w:after="0" w:line="240" w:lineRule="auto"/>
              <w:jc w:val="center"/>
              <w:rPr>
                <w:noProof/>
              </w:rPr>
            </w:pPr>
            <w:r>
              <w:rPr>
                <w:noProof/>
              </w:rPr>
              <w:t>3</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5A229D8E" w14:textId="77777777" w:rsidR="00025543" w:rsidRDefault="007E3A2F">
            <w:pPr>
              <w:pStyle w:val="P68B1DB1-Normal57"/>
              <w:spacing w:before="0" w:after="0" w:line="240" w:lineRule="auto"/>
              <w:jc w:val="center"/>
              <w:rPr>
                <w:noProof/>
              </w:rPr>
            </w:pPr>
            <w:r>
              <w:rPr>
                <w:noProof/>
              </w:rPr>
              <w:t>C 1.1: Services numériques aux citoyens et aux entreprises — Réforme 2: santé en ligne</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7D0332BD" w14:textId="77777777" w:rsidR="00025543" w:rsidRDefault="007E3A2F">
            <w:pPr>
              <w:pStyle w:val="P68B1DB1-Normal57"/>
              <w:spacing w:before="0" w:after="0" w:line="240" w:lineRule="auto"/>
              <w:jc w:val="center"/>
              <w:rPr>
                <w:noProof/>
              </w:rPr>
            </w:pPr>
            <w:r>
              <w:rPr>
                <w:noProof/>
              </w:rPr>
              <w:t>Étapes</w:t>
            </w:r>
          </w:p>
        </w:tc>
        <w:tc>
          <w:tcPr>
            <w:tcW w:w="3402" w:type="dxa"/>
            <w:tcBorders>
              <w:top w:val="nil"/>
              <w:left w:val="nil"/>
              <w:bottom w:val="single" w:sz="8" w:space="0" w:color="auto"/>
              <w:right w:val="single" w:sz="8" w:space="0" w:color="auto"/>
            </w:tcBorders>
            <w:shd w:val="clear" w:color="auto" w:fill="C6EFCE"/>
            <w:vAlign w:val="center"/>
            <w:hideMark/>
          </w:tcPr>
          <w:p w14:paraId="7EBE7AE9" w14:textId="77777777" w:rsidR="00025543" w:rsidRDefault="007E3A2F">
            <w:pPr>
              <w:pStyle w:val="P68B1DB1-Normal57"/>
              <w:spacing w:before="0" w:after="0" w:line="240" w:lineRule="auto"/>
              <w:jc w:val="center"/>
              <w:rPr>
                <w:noProof/>
              </w:rPr>
            </w:pPr>
            <w:r>
              <w:rPr>
                <w:noProof/>
              </w:rPr>
              <w:t>Définition de normes d’interopérabilité conformément au cadre d’interopérabilité européen pour la santé en ligne et définition des règles régissant la télémédecine</w:t>
            </w:r>
          </w:p>
        </w:tc>
      </w:tr>
      <w:tr w:rsidR="00025543" w14:paraId="1EE9BEAE" w14:textId="77777777">
        <w:trPr>
          <w:trHeight w:val="600"/>
        </w:trPr>
        <w:tc>
          <w:tcPr>
            <w:tcW w:w="1276" w:type="dxa"/>
            <w:tcBorders>
              <w:top w:val="nil"/>
              <w:left w:val="single" w:sz="8" w:space="0" w:color="auto"/>
              <w:bottom w:val="single" w:sz="8" w:space="0" w:color="auto"/>
              <w:right w:val="single" w:sz="8" w:space="0" w:color="000000" w:themeColor="text1"/>
            </w:tcBorders>
            <w:shd w:val="clear" w:color="auto" w:fill="C6EFCE"/>
            <w:vAlign w:val="center"/>
            <w:hideMark/>
          </w:tcPr>
          <w:p w14:paraId="4252DE2F" w14:textId="77777777" w:rsidR="00025543" w:rsidRDefault="007E3A2F">
            <w:pPr>
              <w:pStyle w:val="P68B1DB1-Normal57"/>
              <w:spacing w:before="0" w:after="0" w:line="240" w:lineRule="auto"/>
              <w:jc w:val="center"/>
              <w:rPr>
                <w:noProof/>
              </w:rPr>
            </w:pPr>
            <w:r>
              <w:rPr>
                <w:noProof/>
              </w:rPr>
              <w:t>68</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0022787C" w14:textId="77777777" w:rsidR="00025543" w:rsidRDefault="007E3A2F">
            <w:pPr>
              <w:pStyle w:val="P68B1DB1-Normal57"/>
              <w:spacing w:before="0" w:after="0" w:line="240" w:lineRule="auto"/>
              <w:jc w:val="center"/>
              <w:rPr>
                <w:noProof/>
              </w:rPr>
            </w:pPr>
            <w:r>
              <w:rPr>
                <w:noProof/>
              </w:rPr>
              <w:t>C 1.5: Transformation numérique des entreprises — Réforme 1: Création d’une plateforme pour la numérisation de l’économie</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4574E47E" w14:textId="77777777" w:rsidR="00025543" w:rsidRDefault="007E3A2F">
            <w:pPr>
              <w:pStyle w:val="P68B1DB1-Normal57"/>
              <w:spacing w:before="0" w:after="0" w:line="240" w:lineRule="auto"/>
              <w:jc w:val="center"/>
              <w:rPr>
                <w:noProof/>
              </w:rPr>
            </w:pPr>
            <w:r>
              <w:rPr>
                <w:noProof/>
              </w:rPr>
              <w:t>Étapes</w:t>
            </w:r>
          </w:p>
        </w:tc>
        <w:tc>
          <w:tcPr>
            <w:tcW w:w="3402" w:type="dxa"/>
            <w:tcBorders>
              <w:top w:val="nil"/>
              <w:left w:val="nil"/>
              <w:bottom w:val="single" w:sz="8" w:space="0" w:color="auto"/>
              <w:right w:val="single" w:sz="8" w:space="0" w:color="auto"/>
            </w:tcBorders>
            <w:shd w:val="clear" w:color="auto" w:fill="C6EFCE"/>
            <w:vAlign w:val="center"/>
            <w:hideMark/>
          </w:tcPr>
          <w:p w14:paraId="306E9F80" w14:textId="77777777" w:rsidR="00025543" w:rsidRDefault="007E3A2F">
            <w:pPr>
              <w:pStyle w:val="P68B1DB1-Normal57"/>
              <w:spacing w:before="0" w:after="0" w:line="240" w:lineRule="auto"/>
              <w:jc w:val="center"/>
              <w:rPr>
                <w:noProof/>
              </w:rPr>
            </w:pPr>
            <w:r>
              <w:rPr>
                <w:noProof/>
              </w:rPr>
              <w:t>Création d’une plateforme pour la numérisation de l’économie</w:t>
            </w:r>
          </w:p>
        </w:tc>
      </w:tr>
      <w:tr w:rsidR="00025543" w14:paraId="2DC0ED5C" w14:textId="77777777">
        <w:trPr>
          <w:trHeight w:val="600"/>
        </w:trPr>
        <w:tc>
          <w:tcPr>
            <w:tcW w:w="1276" w:type="dxa"/>
            <w:tcBorders>
              <w:top w:val="nil"/>
              <w:left w:val="single" w:sz="8" w:space="0" w:color="auto"/>
              <w:bottom w:val="single" w:sz="8" w:space="0" w:color="auto"/>
              <w:right w:val="single" w:sz="8" w:space="0" w:color="000000" w:themeColor="text1"/>
            </w:tcBorders>
            <w:shd w:val="clear" w:color="auto" w:fill="C6EFCE"/>
            <w:vAlign w:val="center"/>
            <w:hideMark/>
          </w:tcPr>
          <w:p w14:paraId="0844D023" w14:textId="77777777" w:rsidR="00025543" w:rsidRDefault="007E3A2F">
            <w:pPr>
              <w:pStyle w:val="P68B1DB1-Normal57"/>
              <w:spacing w:before="0" w:after="0" w:line="240" w:lineRule="auto"/>
              <w:jc w:val="center"/>
              <w:rPr>
                <w:noProof/>
              </w:rPr>
            </w:pPr>
            <w:r>
              <w:rPr>
                <w:noProof/>
              </w:rPr>
              <w:t>146</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52F187A9" w14:textId="77777777" w:rsidR="00025543" w:rsidRDefault="007E3A2F">
            <w:pPr>
              <w:pStyle w:val="P68B1DB1-Normal57"/>
              <w:spacing w:before="0" w:after="0" w:line="240" w:lineRule="auto"/>
              <w:jc w:val="center"/>
              <w:rPr>
                <w:noProof/>
              </w:rPr>
            </w:pPr>
            <w:r>
              <w:rPr>
                <w:noProof/>
              </w:rPr>
              <w:t>C 2.7: Économie circulaire, recyclage et eau industrielle — Réforme 2: Finalisation et mise en œuvre de la stratégie circulaire pour la Tchéquie à l’horizon 2040</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16EE3A09" w14:textId="77777777" w:rsidR="00025543" w:rsidRDefault="007E3A2F">
            <w:pPr>
              <w:pStyle w:val="P68B1DB1-Normal57"/>
              <w:spacing w:before="0" w:after="0" w:line="240" w:lineRule="auto"/>
              <w:jc w:val="center"/>
              <w:rPr>
                <w:noProof/>
              </w:rPr>
            </w:pPr>
            <w:r>
              <w:rPr>
                <w:noProof/>
              </w:rPr>
              <w:t>Étapes</w:t>
            </w:r>
          </w:p>
        </w:tc>
        <w:tc>
          <w:tcPr>
            <w:tcW w:w="3402" w:type="dxa"/>
            <w:tcBorders>
              <w:top w:val="nil"/>
              <w:left w:val="nil"/>
              <w:bottom w:val="single" w:sz="8" w:space="0" w:color="auto"/>
              <w:right w:val="single" w:sz="8" w:space="0" w:color="auto"/>
            </w:tcBorders>
            <w:shd w:val="clear" w:color="auto" w:fill="C6EFCE"/>
            <w:vAlign w:val="center"/>
            <w:hideMark/>
          </w:tcPr>
          <w:p w14:paraId="4C35245D" w14:textId="77777777" w:rsidR="00025543" w:rsidRDefault="007E3A2F">
            <w:pPr>
              <w:pStyle w:val="P68B1DB1-Normal57"/>
              <w:spacing w:before="0" w:after="0" w:line="240" w:lineRule="auto"/>
              <w:jc w:val="center"/>
              <w:rPr>
                <w:noProof/>
              </w:rPr>
            </w:pPr>
            <w:r>
              <w:rPr>
                <w:noProof/>
              </w:rPr>
              <w:t>Achèvement et adoption de la stratégie circulaire 2040 de la Tchéquie par le ministère de l’environnement</w:t>
            </w:r>
          </w:p>
        </w:tc>
      </w:tr>
      <w:tr w:rsidR="00025543" w14:paraId="024D847C" w14:textId="77777777">
        <w:trPr>
          <w:trHeight w:val="600"/>
        </w:trPr>
        <w:tc>
          <w:tcPr>
            <w:tcW w:w="1276" w:type="dxa"/>
            <w:tcBorders>
              <w:top w:val="nil"/>
              <w:left w:val="single" w:sz="8" w:space="0" w:color="auto"/>
              <w:bottom w:val="nil"/>
              <w:right w:val="single" w:sz="8" w:space="0" w:color="000000" w:themeColor="text1"/>
            </w:tcBorders>
            <w:shd w:val="clear" w:color="auto" w:fill="C6EFCE"/>
            <w:vAlign w:val="center"/>
            <w:hideMark/>
          </w:tcPr>
          <w:p w14:paraId="5D5EB9A3" w14:textId="77777777" w:rsidR="00025543" w:rsidRDefault="007E3A2F">
            <w:pPr>
              <w:pStyle w:val="P68B1DB1-Normal57"/>
              <w:spacing w:before="0" w:after="0" w:line="240" w:lineRule="auto"/>
              <w:jc w:val="center"/>
              <w:rPr>
                <w:noProof/>
              </w:rPr>
            </w:pPr>
            <w:r>
              <w:rPr>
                <w:noProof/>
              </w:rPr>
              <w:t>184</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16048C8A" w14:textId="77777777" w:rsidR="00025543" w:rsidRDefault="007E3A2F">
            <w:pPr>
              <w:pStyle w:val="P68B1DB1-Normal57"/>
              <w:spacing w:before="0" w:after="0" w:line="240" w:lineRule="auto"/>
              <w:jc w:val="center"/>
              <w:rPr>
                <w:noProof/>
              </w:rPr>
            </w:pPr>
            <w:r>
              <w:rPr>
                <w:noProof/>
              </w:rPr>
              <w:t>C 3.3: Modernisation des services de l’emploi et développement du marché du travail — Réforme 1: Développement des politiques du marché du travail</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47905A4E" w14:textId="77777777" w:rsidR="00025543" w:rsidRDefault="007E3A2F">
            <w:pPr>
              <w:pStyle w:val="P68B1DB1-Normal57"/>
              <w:spacing w:before="0" w:after="0" w:line="240" w:lineRule="auto"/>
              <w:jc w:val="center"/>
              <w:rPr>
                <w:noProof/>
              </w:rPr>
            </w:pPr>
            <w:r>
              <w:rPr>
                <w:noProof/>
              </w:rPr>
              <w:t>Étapes</w:t>
            </w:r>
          </w:p>
        </w:tc>
        <w:tc>
          <w:tcPr>
            <w:tcW w:w="3402" w:type="dxa"/>
            <w:tcBorders>
              <w:top w:val="nil"/>
              <w:left w:val="nil"/>
              <w:bottom w:val="nil"/>
              <w:right w:val="single" w:sz="8" w:space="0" w:color="auto"/>
            </w:tcBorders>
            <w:shd w:val="clear" w:color="auto" w:fill="C6EFCE"/>
            <w:vAlign w:val="center"/>
            <w:hideMark/>
          </w:tcPr>
          <w:p w14:paraId="07E549D1" w14:textId="77777777" w:rsidR="00025543" w:rsidRDefault="007E3A2F">
            <w:pPr>
              <w:pStyle w:val="P68B1DB1-Normal57"/>
              <w:spacing w:before="0" w:after="0" w:line="240" w:lineRule="auto"/>
              <w:jc w:val="center"/>
              <w:rPr>
                <w:noProof/>
              </w:rPr>
            </w:pPr>
            <w:r>
              <w:rPr>
                <w:noProof/>
              </w:rPr>
              <w:t xml:space="preserve">Mise en place du comité tripartite pour la reconversion et le renforcement des compétences </w:t>
            </w:r>
          </w:p>
        </w:tc>
      </w:tr>
      <w:tr w:rsidR="00025543" w14:paraId="7EF37B12" w14:textId="77777777">
        <w:trPr>
          <w:trHeight w:val="795"/>
        </w:trPr>
        <w:tc>
          <w:tcPr>
            <w:tcW w:w="1276" w:type="dxa"/>
            <w:tcBorders>
              <w:top w:val="single" w:sz="8" w:space="0" w:color="auto"/>
              <w:left w:val="single" w:sz="8" w:space="0" w:color="auto"/>
              <w:bottom w:val="single" w:sz="8" w:space="0" w:color="auto"/>
              <w:right w:val="single" w:sz="8" w:space="0" w:color="000000" w:themeColor="text1"/>
            </w:tcBorders>
            <w:shd w:val="clear" w:color="auto" w:fill="C6EFCE"/>
            <w:vAlign w:val="center"/>
            <w:hideMark/>
          </w:tcPr>
          <w:p w14:paraId="72E04D4E" w14:textId="77777777" w:rsidR="00025543" w:rsidRDefault="007E3A2F">
            <w:pPr>
              <w:pStyle w:val="P68B1DB1-Normal56"/>
              <w:spacing w:before="0" w:after="0" w:line="240" w:lineRule="auto"/>
              <w:jc w:val="center"/>
              <w:rPr>
                <w:noProof/>
              </w:rPr>
            </w:pPr>
            <w:r>
              <w:rPr>
                <w:noProof/>
              </w:rPr>
              <w:t>29</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22029563" w14:textId="77777777" w:rsidR="00025543" w:rsidRDefault="007E3A2F">
            <w:pPr>
              <w:pStyle w:val="P68B1DB1-Normal57"/>
              <w:spacing w:before="0" w:after="0" w:line="240" w:lineRule="auto"/>
              <w:jc w:val="center"/>
              <w:rPr>
                <w:noProof/>
              </w:rPr>
            </w:pPr>
            <w:r>
              <w:rPr>
                <w:noProof/>
              </w:rPr>
              <w:t>C 1.2: Systèmes d’administration publique numérique — Investissements 4:</w:t>
            </w:r>
            <w:r>
              <w:rPr>
                <w:noProof/>
              </w:rPr>
              <w:br/>
              <w:t>Créer les conditions d’une justice numérique</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5829BEAC" w14:textId="77777777" w:rsidR="00025543" w:rsidRDefault="007E3A2F">
            <w:pPr>
              <w:pStyle w:val="P68B1DB1-Normal57"/>
              <w:spacing w:before="0" w:after="0" w:line="240" w:lineRule="auto"/>
              <w:jc w:val="center"/>
              <w:rPr>
                <w:noProof/>
              </w:rPr>
            </w:pPr>
            <w:r>
              <w:rPr>
                <w:noProof/>
              </w:rPr>
              <w:t>Étapes</w:t>
            </w:r>
          </w:p>
        </w:tc>
        <w:tc>
          <w:tcPr>
            <w:tcW w:w="3402" w:type="dxa"/>
            <w:tcBorders>
              <w:top w:val="single" w:sz="8" w:space="0" w:color="auto"/>
              <w:left w:val="nil"/>
              <w:bottom w:val="single" w:sz="8" w:space="0" w:color="auto"/>
              <w:right w:val="single" w:sz="8" w:space="0" w:color="auto"/>
            </w:tcBorders>
            <w:shd w:val="clear" w:color="auto" w:fill="C6EFCE"/>
            <w:vAlign w:val="center"/>
            <w:hideMark/>
          </w:tcPr>
          <w:p w14:paraId="54849FCE" w14:textId="77777777" w:rsidR="00025543" w:rsidRDefault="007E3A2F">
            <w:pPr>
              <w:pStyle w:val="P68B1DB1-Normal56"/>
              <w:spacing w:before="0" w:after="0" w:line="240" w:lineRule="auto"/>
              <w:jc w:val="center"/>
              <w:rPr>
                <w:noProof/>
              </w:rPr>
            </w:pPr>
            <w:r>
              <w:rPr>
                <w:noProof/>
              </w:rPr>
              <w:t>Analyse de la gestion et de l’utilisation des données dans le secteur de la justice et déploiement d’un entrepôt de données</w:t>
            </w:r>
          </w:p>
        </w:tc>
      </w:tr>
      <w:tr w:rsidR="00025543" w14:paraId="739AC922" w14:textId="77777777">
        <w:trPr>
          <w:trHeight w:val="600"/>
        </w:trPr>
        <w:tc>
          <w:tcPr>
            <w:tcW w:w="1276"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5DC56E8D" w14:textId="77777777" w:rsidR="00025543" w:rsidRDefault="007E3A2F">
            <w:pPr>
              <w:pStyle w:val="P68B1DB1-Normal57"/>
              <w:spacing w:before="0" w:after="0" w:line="240" w:lineRule="auto"/>
              <w:jc w:val="center"/>
              <w:rPr>
                <w:noProof/>
              </w:rPr>
            </w:pPr>
            <w:r>
              <w:rPr>
                <w:noProof/>
              </w:rPr>
              <w:t>83</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7A2F11BA" w14:textId="77777777" w:rsidR="00025543" w:rsidRDefault="007E3A2F">
            <w:pPr>
              <w:pStyle w:val="P68B1DB1-Normal57"/>
              <w:spacing w:before="0" w:after="0" w:line="240" w:lineRule="auto"/>
              <w:jc w:val="center"/>
              <w:rPr>
                <w:noProof/>
              </w:rPr>
            </w:pPr>
            <w:r>
              <w:rPr>
                <w:noProof/>
              </w:rPr>
              <w:t>C 2.1: Transports durables — Investissements 1: Nouvelles technologies et numérisation de l’infrastructure ferroviaire</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7AC80C18" w14:textId="77777777" w:rsidR="00025543" w:rsidRDefault="007E3A2F">
            <w:pPr>
              <w:pStyle w:val="P68B1DB1-Normal57"/>
              <w:spacing w:before="0" w:after="0" w:line="240" w:lineRule="auto"/>
              <w:jc w:val="center"/>
              <w:rPr>
                <w:noProof/>
              </w:rPr>
            </w:pPr>
            <w:r>
              <w:rPr>
                <w:noProof/>
              </w:rPr>
              <w:t>Étapes</w:t>
            </w:r>
          </w:p>
        </w:tc>
        <w:tc>
          <w:tcPr>
            <w:tcW w:w="3402" w:type="dxa"/>
            <w:tcBorders>
              <w:top w:val="nil"/>
              <w:left w:val="nil"/>
              <w:bottom w:val="single" w:sz="8" w:space="0" w:color="000000" w:themeColor="text1"/>
              <w:right w:val="single" w:sz="8" w:space="0" w:color="auto"/>
            </w:tcBorders>
            <w:shd w:val="clear" w:color="auto" w:fill="C6EFCE"/>
            <w:vAlign w:val="center"/>
            <w:hideMark/>
          </w:tcPr>
          <w:p w14:paraId="6784FAEA" w14:textId="77777777" w:rsidR="00025543" w:rsidRDefault="007E3A2F">
            <w:pPr>
              <w:pStyle w:val="P68B1DB1-Normal57"/>
              <w:spacing w:before="0" w:after="0" w:line="240" w:lineRule="auto"/>
              <w:jc w:val="center"/>
              <w:rPr>
                <w:noProof/>
              </w:rPr>
            </w:pPr>
            <w:r>
              <w:rPr>
                <w:noProof/>
              </w:rPr>
              <w:t>Définition de l’ensemble de projets d’investissement 1</w:t>
            </w:r>
          </w:p>
        </w:tc>
      </w:tr>
      <w:tr w:rsidR="00025543" w14:paraId="62E5A309" w14:textId="77777777">
        <w:trPr>
          <w:trHeight w:val="405"/>
        </w:trPr>
        <w:tc>
          <w:tcPr>
            <w:tcW w:w="1276" w:type="dxa"/>
            <w:tcBorders>
              <w:top w:val="single" w:sz="4" w:space="0" w:color="000000" w:themeColor="text1"/>
              <w:left w:val="single" w:sz="8" w:space="0" w:color="auto"/>
              <w:bottom w:val="single" w:sz="8" w:space="0" w:color="auto"/>
              <w:right w:val="single" w:sz="8" w:space="0" w:color="000000" w:themeColor="text1"/>
            </w:tcBorders>
            <w:shd w:val="clear" w:color="auto" w:fill="C6EFCE"/>
            <w:vAlign w:val="center"/>
            <w:hideMark/>
          </w:tcPr>
          <w:p w14:paraId="14230D4C" w14:textId="77777777" w:rsidR="00025543" w:rsidRDefault="007E3A2F">
            <w:pPr>
              <w:pStyle w:val="P68B1DB1-Normal57"/>
              <w:spacing w:before="0" w:after="0" w:line="240" w:lineRule="auto"/>
              <w:jc w:val="center"/>
              <w:rPr>
                <w:noProof/>
              </w:rPr>
            </w:pPr>
            <w:r>
              <w:rPr>
                <w:noProof/>
              </w:rPr>
              <w:t>86</w:t>
            </w:r>
          </w:p>
        </w:tc>
        <w:tc>
          <w:tcPr>
            <w:tcW w:w="3969"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1FC1DE79" w14:textId="77777777" w:rsidR="00025543" w:rsidRDefault="007E3A2F">
            <w:pPr>
              <w:pStyle w:val="P68B1DB1-Normal57"/>
              <w:spacing w:before="0" w:after="0" w:line="240" w:lineRule="auto"/>
              <w:jc w:val="center"/>
              <w:rPr>
                <w:noProof/>
              </w:rPr>
            </w:pPr>
            <w:r>
              <w:rPr>
                <w:noProof/>
              </w:rPr>
              <w:t>C 2.1: Transports durables — Investissements 2: Électrification des chemins de fer</w:t>
            </w:r>
          </w:p>
        </w:tc>
        <w:tc>
          <w:tcPr>
            <w:tcW w:w="1843"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6B8094D5" w14:textId="77777777" w:rsidR="00025543" w:rsidRDefault="007E3A2F">
            <w:pPr>
              <w:pStyle w:val="P68B1DB1-Normal57"/>
              <w:spacing w:before="0" w:after="0" w:line="240" w:lineRule="auto"/>
              <w:jc w:val="center"/>
              <w:rPr>
                <w:noProof/>
              </w:rPr>
            </w:pPr>
            <w:r>
              <w:rPr>
                <w:noProof/>
              </w:rPr>
              <w:t>Étapes</w:t>
            </w:r>
          </w:p>
        </w:tc>
        <w:tc>
          <w:tcPr>
            <w:tcW w:w="3402" w:type="dxa"/>
            <w:tcBorders>
              <w:top w:val="single" w:sz="4" w:space="0" w:color="000000" w:themeColor="text1"/>
              <w:left w:val="nil"/>
              <w:bottom w:val="single" w:sz="8" w:space="0" w:color="auto"/>
              <w:right w:val="single" w:sz="8" w:space="0" w:color="auto"/>
            </w:tcBorders>
            <w:shd w:val="clear" w:color="auto" w:fill="C6EFCE"/>
            <w:vAlign w:val="center"/>
            <w:hideMark/>
          </w:tcPr>
          <w:p w14:paraId="3EDA9728" w14:textId="77777777" w:rsidR="00025543" w:rsidRDefault="007E3A2F">
            <w:pPr>
              <w:pStyle w:val="P68B1DB1-Normal57"/>
              <w:spacing w:before="0" w:after="0" w:line="240" w:lineRule="auto"/>
              <w:jc w:val="center"/>
              <w:rPr>
                <w:noProof/>
              </w:rPr>
            </w:pPr>
            <w:r>
              <w:rPr>
                <w:noProof/>
              </w:rPr>
              <w:t>Définition de l’ensemble de projets d’investissement 2</w:t>
            </w:r>
          </w:p>
        </w:tc>
      </w:tr>
      <w:tr w:rsidR="00025543" w14:paraId="7E39CE59" w14:textId="77777777">
        <w:trPr>
          <w:trHeight w:val="600"/>
        </w:trPr>
        <w:tc>
          <w:tcPr>
            <w:tcW w:w="1276" w:type="dxa"/>
            <w:tcBorders>
              <w:top w:val="nil"/>
              <w:left w:val="single" w:sz="8" w:space="0" w:color="auto"/>
              <w:bottom w:val="single" w:sz="8" w:space="0" w:color="auto"/>
              <w:right w:val="single" w:sz="8" w:space="0" w:color="000000" w:themeColor="text1"/>
            </w:tcBorders>
            <w:shd w:val="clear" w:color="auto" w:fill="C6EFCE"/>
            <w:vAlign w:val="center"/>
            <w:hideMark/>
          </w:tcPr>
          <w:p w14:paraId="1EAC7161" w14:textId="77777777" w:rsidR="00025543" w:rsidRDefault="007E3A2F">
            <w:pPr>
              <w:pStyle w:val="P68B1DB1-Normal57"/>
              <w:spacing w:before="0" w:after="0" w:line="240" w:lineRule="auto"/>
              <w:jc w:val="center"/>
              <w:rPr>
                <w:noProof/>
              </w:rPr>
            </w:pPr>
            <w:r>
              <w:rPr>
                <w:noProof/>
              </w:rPr>
              <w:t>89</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5886594C" w14:textId="77777777" w:rsidR="00025543" w:rsidRDefault="007E3A2F">
            <w:pPr>
              <w:pStyle w:val="P68B1DB1-Normal57"/>
              <w:spacing w:before="0" w:after="0" w:line="240" w:lineRule="auto"/>
              <w:jc w:val="center"/>
              <w:rPr>
                <w:noProof/>
              </w:rPr>
            </w:pPr>
            <w:r>
              <w:rPr>
                <w:noProof/>
              </w:rPr>
              <w:t>C 2.1: Transports durables — Investissements 3: Amélioration de l’environnement (soutien à l’infrastructure ferroviaire)</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351CA841" w14:textId="77777777" w:rsidR="00025543" w:rsidRDefault="007E3A2F">
            <w:pPr>
              <w:pStyle w:val="P68B1DB1-Normal57"/>
              <w:spacing w:before="0" w:after="0" w:line="240" w:lineRule="auto"/>
              <w:jc w:val="center"/>
              <w:rPr>
                <w:noProof/>
              </w:rPr>
            </w:pPr>
            <w:r>
              <w:rPr>
                <w:noProof/>
              </w:rPr>
              <w:t>Étapes</w:t>
            </w:r>
          </w:p>
        </w:tc>
        <w:tc>
          <w:tcPr>
            <w:tcW w:w="3402" w:type="dxa"/>
            <w:tcBorders>
              <w:top w:val="nil"/>
              <w:left w:val="nil"/>
              <w:bottom w:val="single" w:sz="8" w:space="0" w:color="auto"/>
              <w:right w:val="single" w:sz="8" w:space="0" w:color="auto"/>
            </w:tcBorders>
            <w:shd w:val="clear" w:color="auto" w:fill="C6EFCE"/>
            <w:vAlign w:val="center"/>
            <w:hideMark/>
          </w:tcPr>
          <w:p w14:paraId="276F91D1" w14:textId="77777777" w:rsidR="00025543" w:rsidRDefault="007E3A2F">
            <w:pPr>
              <w:pStyle w:val="P68B1DB1-Normal57"/>
              <w:spacing w:before="0" w:after="0" w:line="240" w:lineRule="auto"/>
              <w:jc w:val="center"/>
              <w:rPr>
                <w:noProof/>
              </w:rPr>
            </w:pPr>
            <w:r>
              <w:rPr>
                <w:noProof/>
              </w:rPr>
              <w:t>Définition de l’ensemble de projets d’investissement 3</w:t>
            </w:r>
          </w:p>
        </w:tc>
      </w:tr>
      <w:tr w:rsidR="00025543" w14:paraId="01178EAB" w14:textId="77777777">
        <w:trPr>
          <w:trHeight w:val="600"/>
        </w:trPr>
        <w:tc>
          <w:tcPr>
            <w:tcW w:w="1276" w:type="dxa"/>
            <w:tcBorders>
              <w:top w:val="nil"/>
              <w:left w:val="single" w:sz="8" w:space="0" w:color="auto"/>
              <w:bottom w:val="single" w:sz="8" w:space="0" w:color="auto"/>
              <w:right w:val="single" w:sz="8" w:space="0" w:color="000000" w:themeColor="text1"/>
            </w:tcBorders>
            <w:shd w:val="clear" w:color="auto" w:fill="C6EFCE"/>
            <w:vAlign w:val="center"/>
            <w:hideMark/>
          </w:tcPr>
          <w:p w14:paraId="0AAE1ADB" w14:textId="77777777" w:rsidR="00025543" w:rsidRDefault="007E3A2F">
            <w:pPr>
              <w:pStyle w:val="P68B1DB1-Normal57"/>
              <w:spacing w:before="0" w:after="0" w:line="240" w:lineRule="auto"/>
              <w:jc w:val="center"/>
              <w:rPr>
                <w:noProof/>
              </w:rPr>
            </w:pPr>
            <w:r>
              <w:rPr>
                <w:noProof/>
              </w:rPr>
              <w:t>92</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5448F409" w14:textId="77777777" w:rsidR="00025543" w:rsidRDefault="007E3A2F">
            <w:pPr>
              <w:pStyle w:val="P68B1DB1-Normal57"/>
              <w:spacing w:before="0" w:after="0" w:line="240" w:lineRule="auto"/>
              <w:jc w:val="center"/>
              <w:rPr>
                <w:noProof/>
              </w:rPr>
            </w:pPr>
            <w:r>
              <w:rPr>
                <w:noProof/>
              </w:rPr>
              <w:t>C 2.1: Transports durables — Investissements 4: Sécurité routière et ferroviaire (passages ferroviaires, ponts et tunnels, pistes cyclables et itinéraires sans obstacles)</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0DC6EB1E" w14:textId="77777777" w:rsidR="00025543" w:rsidRDefault="007E3A2F">
            <w:pPr>
              <w:pStyle w:val="P68B1DB1-Normal57"/>
              <w:spacing w:before="0" w:after="0" w:line="240" w:lineRule="auto"/>
              <w:jc w:val="center"/>
              <w:rPr>
                <w:noProof/>
              </w:rPr>
            </w:pPr>
            <w:r>
              <w:rPr>
                <w:noProof/>
              </w:rPr>
              <w:t>Cible</w:t>
            </w:r>
          </w:p>
        </w:tc>
        <w:tc>
          <w:tcPr>
            <w:tcW w:w="3402" w:type="dxa"/>
            <w:tcBorders>
              <w:top w:val="nil"/>
              <w:left w:val="nil"/>
              <w:bottom w:val="single" w:sz="8" w:space="0" w:color="auto"/>
              <w:right w:val="single" w:sz="8" w:space="0" w:color="auto"/>
            </w:tcBorders>
            <w:shd w:val="clear" w:color="auto" w:fill="C6EFCE"/>
            <w:vAlign w:val="center"/>
            <w:hideMark/>
          </w:tcPr>
          <w:p w14:paraId="23369C51" w14:textId="77777777" w:rsidR="00025543" w:rsidRDefault="007E3A2F">
            <w:pPr>
              <w:pStyle w:val="P68B1DB1-Normal57"/>
              <w:spacing w:before="0" w:after="0" w:line="240" w:lineRule="auto"/>
              <w:jc w:val="center"/>
              <w:rPr>
                <w:noProof/>
              </w:rPr>
            </w:pPr>
            <w:r>
              <w:rPr>
                <w:noProof/>
              </w:rPr>
              <w:t>Achèvement des passages à niveau avec une sécurité accrue</w:t>
            </w:r>
          </w:p>
        </w:tc>
      </w:tr>
      <w:tr w:rsidR="00025543" w14:paraId="0156847D" w14:textId="77777777">
        <w:trPr>
          <w:trHeight w:val="600"/>
        </w:trPr>
        <w:tc>
          <w:tcPr>
            <w:tcW w:w="1276" w:type="dxa"/>
            <w:tcBorders>
              <w:top w:val="nil"/>
              <w:left w:val="single" w:sz="8" w:space="0" w:color="auto"/>
              <w:bottom w:val="single" w:sz="8" w:space="0" w:color="auto"/>
              <w:right w:val="single" w:sz="8" w:space="0" w:color="000000" w:themeColor="text1"/>
            </w:tcBorders>
            <w:shd w:val="clear" w:color="auto" w:fill="C6EFCE"/>
            <w:vAlign w:val="center"/>
            <w:hideMark/>
          </w:tcPr>
          <w:p w14:paraId="7FC8F548" w14:textId="77777777" w:rsidR="00025543" w:rsidRDefault="007E3A2F">
            <w:pPr>
              <w:pStyle w:val="P68B1DB1-Normal57"/>
              <w:spacing w:before="0" w:after="0" w:line="240" w:lineRule="auto"/>
              <w:jc w:val="center"/>
              <w:rPr>
                <w:noProof/>
              </w:rPr>
            </w:pPr>
            <w:r>
              <w:rPr>
                <w:noProof/>
              </w:rPr>
              <w:t>93</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5B76D014" w14:textId="77777777" w:rsidR="00025543" w:rsidRDefault="007E3A2F">
            <w:pPr>
              <w:pStyle w:val="P68B1DB1-Normal57"/>
              <w:spacing w:before="0" w:after="0" w:line="240" w:lineRule="auto"/>
              <w:jc w:val="center"/>
              <w:rPr>
                <w:noProof/>
              </w:rPr>
            </w:pPr>
            <w:r>
              <w:rPr>
                <w:noProof/>
              </w:rPr>
              <w:t>C 2.1: Transports durables — Investissements 4: Sécurité routière et ferroviaire (passages ferroviaires, ponts et tunnels, pistes cyclables et itinéraires sans obstacles)</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78197D7B" w14:textId="77777777" w:rsidR="00025543" w:rsidRDefault="007E3A2F">
            <w:pPr>
              <w:pStyle w:val="P68B1DB1-Normal57"/>
              <w:spacing w:before="0" w:after="0" w:line="240" w:lineRule="auto"/>
              <w:jc w:val="center"/>
              <w:rPr>
                <w:noProof/>
              </w:rPr>
            </w:pPr>
            <w:r>
              <w:rPr>
                <w:noProof/>
              </w:rPr>
              <w:t>Cible</w:t>
            </w:r>
          </w:p>
        </w:tc>
        <w:tc>
          <w:tcPr>
            <w:tcW w:w="3402" w:type="dxa"/>
            <w:tcBorders>
              <w:top w:val="nil"/>
              <w:left w:val="nil"/>
              <w:bottom w:val="single" w:sz="8" w:space="0" w:color="auto"/>
              <w:right w:val="single" w:sz="8" w:space="0" w:color="auto"/>
            </w:tcBorders>
            <w:shd w:val="clear" w:color="auto" w:fill="C6EFCE"/>
            <w:vAlign w:val="center"/>
            <w:hideMark/>
          </w:tcPr>
          <w:p w14:paraId="04EFDF4F" w14:textId="77777777" w:rsidR="00025543" w:rsidRDefault="007E3A2F">
            <w:pPr>
              <w:pStyle w:val="P68B1DB1-Normal57"/>
              <w:spacing w:before="0" w:after="0" w:line="240" w:lineRule="auto"/>
              <w:jc w:val="center"/>
              <w:rPr>
                <w:noProof/>
              </w:rPr>
            </w:pPr>
            <w:r>
              <w:rPr>
                <w:noProof/>
              </w:rPr>
              <w:t>Achèvement des pistes cyclables construites, trottoirs et voies sans barrier</w:t>
            </w:r>
          </w:p>
        </w:tc>
      </w:tr>
      <w:tr w:rsidR="00025543" w14:paraId="020B7FB9" w14:textId="77777777">
        <w:trPr>
          <w:trHeight w:val="600"/>
        </w:trPr>
        <w:tc>
          <w:tcPr>
            <w:tcW w:w="1276" w:type="dxa"/>
            <w:tcBorders>
              <w:top w:val="nil"/>
              <w:left w:val="single" w:sz="8" w:space="0" w:color="auto"/>
              <w:bottom w:val="single" w:sz="8" w:space="0" w:color="auto"/>
              <w:right w:val="single" w:sz="8" w:space="0" w:color="000000" w:themeColor="text1"/>
            </w:tcBorders>
            <w:shd w:val="clear" w:color="auto" w:fill="C6EFCE"/>
            <w:vAlign w:val="center"/>
            <w:hideMark/>
          </w:tcPr>
          <w:p w14:paraId="6F255805" w14:textId="77777777" w:rsidR="00025543" w:rsidRDefault="007E3A2F">
            <w:pPr>
              <w:pStyle w:val="P68B1DB1-Normal57"/>
              <w:spacing w:before="0" w:after="0" w:line="240" w:lineRule="auto"/>
              <w:jc w:val="center"/>
              <w:rPr>
                <w:noProof/>
              </w:rPr>
            </w:pPr>
            <w:r>
              <w:rPr>
                <w:noProof/>
              </w:rPr>
              <w:t>94</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06AEA2E5" w14:textId="77777777" w:rsidR="00025543" w:rsidRDefault="007E3A2F">
            <w:pPr>
              <w:pStyle w:val="P68B1DB1-Normal57"/>
              <w:spacing w:before="0" w:after="0" w:line="240" w:lineRule="auto"/>
              <w:jc w:val="center"/>
              <w:rPr>
                <w:noProof/>
              </w:rPr>
            </w:pPr>
            <w:r>
              <w:rPr>
                <w:noProof/>
              </w:rPr>
              <w:t>C 2.1: Transports durables — Investissements 4: Sécurité routière et ferroviaire (passages ferroviaires, ponts et tunnels, pistes cyclables et itinéraires sans obstacles)</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74ABD992" w14:textId="77777777" w:rsidR="00025543" w:rsidRDefault="007E3A2F">
            <w:pPr>
              <w:pStyle w:val="P68B1DB1-Normal57"/>
              <w:spacing w:before="0" w:after="0" w:line="240" w:lineRule="auto"/>
              <w:jc w:val="center"/>
              <w:rPr>
                <w:noProof/>
              </w:rPr>
            </w:pPr>
            <w:r>
              <w:rPr>
                <w:noProof/>
              </w:rPr>
              <w:t>Cible</w:t>
            </w:r>
          </w:p>
        </w:tc>
        <w:tc>
          <w:tcPr>
            <w:tcW w:w="3402" w:type="dxa"/>
            <w:tcBorders>
              <w:top w:val="nil"/>
              <w:left w:val="nil"/>
              <w:bottom w:val="single" w:sz="8" w:space="0" w:color="auto"/>
              <w:right w:val="single" w:sz="8" w:space="0" w:color="auto"/>
            </w:tcBorders>
            <w:shd w:val="clear" w:color="auto" w:fill="C6EFCE"/>
            <w:vAlign w:val="center"/>
            <w:hideMark/>
          </w:tcPr>
          <w:p w14:paraId="7FC6A095" w14:textId="77777777" w:rsidR="00025543" w:rsidRDefault="007E3A2F">
            <w:pPr>
              <w:pStyle w:val="P68B1DB1-Normal57"/>
              <w:spacing w:before="0" w:after="0" w:line="240" w:lineRule="auto"/>
              <w:jc w:val="center"/>
              <w:rPr>
                <w:noProof/>
              </w:rPr>
            </w:pPr>
            <w:r>
              <w:rPr>
                <w:noProof/>
              </w:rPr>
              <w:t>Achèvement des ponts ou tunnels ferroviaires modernisés</w:t>
            </w:r>
          </w:p>
        </w:tc>
      </w:tr>
      <w:tr w:rsidR="00025543" w14:paraId="13F4A148" w14:textId="77777777">
        <w:trPr>
          <w:trHeight w:val="405"/>
        </w:trPr>
        <w:tc>
          <w:tcPr>
            <w:tcW w:w="1276"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0E2F9EF9" w14:textId="77777777" w:rsidR="00025543" w:rsidRDefault="007E3A2F">
            <w:pPr>
              <w:pStyle w:val="P68B1DB1-Normal56"/>
              <w:spacing w:before="0" w:after="0" w:line="240" w:lineRule="auto"/>
              <w:jc w:val="center"/>
              <w:rPr>
                <w:noProof/>
              </w:rPr>
            </w:pPr>
            <w:r>
              <w:rPr>
                <w:noProof/>
              </w:rPr>
              <w:t>131</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53F263DD" w14:textId="77777777" w:rsidR="00025543" w:rsidRDefault="007E3A2F">
            <w:pPr>
              <w:pStyle w:val="P68B1DB1-Normal57"/>
              <w:spacing w:before="0" w:after="0" w:line="240" w:lineRule="auto"/>
              <w:jc w:val="center"/>
              <w:rPr>
                <w:noProof/>
              </w:rPr>
            </w:pPr>
            <w:r>
              <w:rPr>
                <w:noProof/>
              </w:rPr>
              <w:t>C 2.6: Protection de la nature et adaptation au changement climatique — Investissement 1: Protection contre les inondations</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14EE08FA" w14:textId="77777777" w:rsidR="00025543" w:rsidRDefault="007E3A2F">
            <w:pPr>
              <w:pStyle w:val="P68B1DB1-Normal57"/>
              <w:spacing w:before="0" w:after="0" w:line="240" w:lineRule="auto"/>
              <w:jc w:val="center"/>
              <w:rPr>
                <w:noProof/>
              </w:rPr>
            </w:pPr>
            <w:r>
              <w:rPr>
                <w:noProof/>
              </w:rPr>
              <w:t>Étapes</w:t>
            </w:r>
          </w:p>
        </w:tc>
        <w:tc>
          <w:tcPr>
            <w:tcW w:w="3402" w:type="dxa"/>
            <w:tcBorders>
              <w:top w:val="nil"/>
              <w:left w:val="nil"/>
              <w:bottom w:val="single" w:sz="8" w:space="0" w:color="000000" w:themeColor="text1"/>
              <w:right w:val="single" w:sz="8" w:space="0" w:color="auto"/>
            </w:tcBorders>
            <w:shd w:val="clear" w:color="auto" w:fill="C6EFCE"/>
            <w:vAlign w:val="center"/>
            <w:hideMark/>
          </w:tcPr>
          <w:p w14:paraId="0ADB23AF" w14:textId="77777777" w:rsidR="00025543" w:rsidRDefault="007E3A2F">
            <w:pPr>
              <w:pStyle w:val="P68B1DB1-Normal56"/>
              <w:spacing w:before="0" w:after="0" w:line="240" w:lineRule="auto"/>
              <w:jc w:val="center"/>
              <w:rPr>
                <w:noProof/>
              </w:rPr>
            </w:pPr>
            <w:r>
              <w:rPr>
                <w:noProof/>
              </w:rPr>
              <w:t>Notification de l’attribution de contrats de protection contre les inondations</w:t>
            </w:r>
          </w:p>
        </w:tc>
      </w:tr>
      <w:tr w:rsidR="00025543" w14:paraId="565FB580" w14:textId="77777777">
        <w:trPr>
          <w:trHeight w:val="600"/>
        </w:trPr>
        <w:tc>
          <w:tcPr>
            <w:tcW w:w="1276" w:type="dxa"/>
            <w:tcBorders>
              <w:top w:val="nil"/>
              <w:left w:val="single" w:sz="8" w:space="0" w:color="auto"/>
              <w:bottom w:val="single" w:sz="4" w:space="0" w:color="auto"/>
              <w:right w:val="single" w:sz="8" w:space="0" w:color="000000" w:themeColor="text1"/>
            </w:tcBorders>
            <w:shd w:val="clear" w:color="auto" w:fill="C6EFCE"/>
            <w:vAlign w:val="center"/>
            <w:hideMark/>
          </w:tcPr>
          <w:p w14:paraId="2ADBFD2E" w14:textId="77777777" w:rsidR="00025543" w:rsidRDefault="007E3A2F">
            <w:pPr>
              <w:pStyle w:val="P68B1DB1-Normal56"/>
              <w:spacing w:before="0" w:after="0" w:line="240" w:lineRule="auto"/>
              <w:jc w:val="center"/>
              <w:rPr>
                <w:noProof/>
              </w:rPr>
            </w:pPr>
            <w:r>
              <w:rPr>
                <w:noProof/>
              </w:rPr>
              <w:t>135</w:t>
            </w:r>
          </w:p>
        </w:tc>
        <w:tc>
          <w:tcPr>
            <w:tcW w:w="3969" w:type="dxa"/>
            <w:tcBorders>
              <w:top w:val="nil"/>
              <w:left w:val="nil"/>
              <w:bottom w:val="single" w:sz="4" w:space="0" w:color="auto"/>
              <w:right w:val="single" w:sz="8" w:space="0" w:color="000000" w:themeColor="text1"/>
            </w:tcBorders>
            <w:shd w:val="clear" w:color="auto" w:fill="C6EFCE"/>
            <w:vAlign w:val="center"/>
            <w:hideMark/>
          </w:tcPr>
          <w:p w14:paraId="548CA620" w14:textId="77777777" w:rsidR="00025543" w:rsidRDefault="007E3A2F">
            <w:pPr>
              <w:pStyle w:val="P68B1DB1-Normal57"/>
              <w:spacing w:before="0" w:after="0" w:line="240" w:lineRule="auto"/>
              <w:jc w:val="center"/>
              <w:rPr>
                <w:noProof/>
              </w:rPr>
            </w:pPr>
            <w:r>
              <w:rPr>
                <w:noProof/>
              </w:rPr>
              <w:t>C 2.6: Protection de la nature et adaptation au changement climatique — Investissement 2: Petits cours d’eau et réservoirs d’eau</w:t>
            </w:r>
          </w:p>
        </w:tc>
        <w:tc>
          <w:tcPr>
            <w:tcW w:w="1843" w:type="dxa"/>
            <w:tcBorders>
              <w:top w:val="nil"/>
              <w:left w:val="nil"/>
              <w:bottom w:val="single" w:sz="4" w:space="0" w:color="auto"/>
              <w:right w:val="single" w:sz="8" w:space="0" w:color="000000" w:themeColor="text1"/>
            </w:tcBorders>
            <w:shd w:val="clear" w:color="auto" w:fill="C6EFCE"/>
            <w:vAlign w:val="center"/>
            <w:hideMark/>
          </w:tcPr>
          <w:p w14:paraId="32CE005A" w14:textId="77777777" w:rsidR="00025543" w:rsidRDefault="007E3A2F">
            <w:pPr>
              <w:pStyle w:val="P68B1DB1-Normal57"/>
              <w:spacing w:before="0" w:after="0" w:line="240" w:lineRule="auto"/>
              <w:jc w:val="center"/>
              <w:rPr>
                <w:noProof/>
              </w:rPr>
            </w:pPr>
            <w:r>
              <w:rPr>
                <w:noProof/>
              </w:rPr>
              <w:t>Cible</w:t>
            </w:r>
          </w:p>
        </w:tc>
        <w:tc>
          <w:tcPr>
            <w:tcW w:w="3402" w:type="dxa"/>
            <w:tcBorders>
              <w:top w:val="nil"/>
              <w:left w:val="nil"/>
              <w:bottom w:val="single" w:sz="4" w:space="0" w:color="auto"/>
              <w:right w:val="single" w:sz="8" w:space="0" w:color="auto"/>
            </w:tcBorders>
            <w:shd w:val="clear" w:color="auto" w:fill="C6EFCE"/>
            <w:vAlign w:val="center"/>
            <w:hideMark/>
          </w:tcPr>
          <w:p w14:paraId="23F057A9" w14:textId="77777777" w:rsidR="00025543" w:rsidRDefault="007E3A2F">
            <w:pPr>
              <w:pStyle w:val="P68B1DB1-Normal56"/>
              <w:spacing w:before="0" w:after="0" w:line="240" w:lineRule="auto"/>
              <w:jc w:val="center"/>
              <w:rPr>
                <w:noProof/>
              </w:rPr>
            </w:pPr>
            <w:r>
              <w:rPr>
                <w:noProof/>
              </w:rPr>
              <w:t xml:space="preserve">T1: Achèvement de 50 % des projets relatifs aux petits cours d’eau et réservoirs d’eau </w:t>
            </w:r>
          </w:p>
        </w:tc>
      </w:tr>
      <w:tr w:rsidR="00025543" w14:paraId="4BFF0E04" w14:textId="77777777">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0C2D7CD" w14:textId="77777777" w:rsidR="00025543" w:rsidRDefault="007E3A2F">
            <w:pPr>
              <w:pStyle w:val="P68B1DB1-Normal57"/>
              <w:spacing w:before="0" w:after="0" w:line="240" w:lineRule="auto"/>
              <w:jc w:val="center"/>
              <w:rPr>
                <w:noProof/>
              </w:rPr>
            </w:pPr>
            <w:r>
              <w:rPr>
                <w:noProof/>
              </w:rPr>
              <w:t>176</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DDDA751" w14:textId="77777777" w:rsidR="00025543" w:rsidRDefault="007E3A2F">
            <w:pPr>
              <w:pStyle w:val="P68B1DB1-Normal57"/>
              <w:spacing w:before="0" w:after="0" w:line="240" w:lineRule="auto"/>
              <w:jc w:val="center"/>
              <w:rPr>
                <w:noProof/>
              </w:rPr>
            </w:pPr>
            <w:r>
              <w:rPr>
                <w:noProof/>
              </w:rPr>
              <w:t>C 3.2: Adaptation des programmes scolaires — Réforme 1: Transformation des universités pour s’adapter aux nouvelles formes d’apprentissage et à l’évolution des besoins du marché du travail</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B68B214" w14:textId="77777777" w:rsidR="00025543" w:rsidRDefault="007E3A2F">
            <w:pPr>
              <w:pStyle w:val="P68B1DB1-Normal57"/>
              <w:spacing w:before="0" w:after="0" w:line="240" w:lineRule="auto"/>
              <w:jc w:val="center"/>
              <w:rPr>
                <w:noProof/>
              </w:rPr>
            </w:pPr>
            <w:r>
              <w:rPr>
                <w:noProof/>
              </w:rPr>
              <w:t>Étapes</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A84996E" w14:textId="77777777" w:rsidR="00025543" w:rsidRDefault="007E3A2F">
            <w:pPr>
              <w:pStyle w:val="P68B1DB1-Normal57"/>
              <w:spacing w:before="0" w:after="0" w:line="240" w:lineRule="auto"/>
              <w:jc w:val="center"/>
              <w:rPr>
                <w:noProof/>
              </w:rPr>
            </w:pPr>
            <w:r>
              <w:rPr>
                <w:noProof/>
              </w:rPr>
              <w:t xml:space="preserve">Lancement d’un programme de soutien à la transformation des universités </w:t>
            </w:r>
          </w:p>
        </w:tc>
      </w:tr>
      <w:tr w:rsidR="00025543" w14:paraId="037F8E31" w14:textId="77777777">
        <w:trPr>
          <w:trHeight w:val="795"/>
        </w:trPr>
        <w:tc>
          <w:tcPr>
            <w:tcW w:w="1276" w:type="dxa"/>
            <w:tcBorders>
              <w:top w:val="single" w:sz="4" w:space="0" w:color="auto"/>
              <w:left w:val="single" w:sz="8" w:space="0" w:color="auto"/>
              <w:bottom w:val="single" w:sz="8" w:space="0" w:color="auto"/>
              <w:right w:val="single" w:sz="8" w:space="0" w:color="000000" w:themeColor="text1"/>
            </w:tcBorders>
            <w:shd w:val="clear" w:color="auto" w:fill="C6EFCE"/>
            <w:vAlign w:val="center"/>
            <w:hideMark/>
          </w:tcPr>
          <w:p w14:paraId="12C98F70" w14:textId="77777777" w:rsidR="00025543" w:rsidRDefault="007E3A2F">
            <w:pPr>
              <w:pStyle w:val="P68B1DB1-Normal56"/>
              <w:spacing w:before="0" w:after="0" w:line="240" w:lineRule="auto"/>
              <w:jc w:val="center"/>
              <w:rPr>
                <w:noProof/>
              </w:rPr>
            </w:pPr>
            <w:r>
              <w:rPr>
                <w:noProof/>
              </w:rPr>
              <w:t>207</w:t>
            </w:r>
          </w:p>
        </w:tc>
        <w:tc>
          <w:tcPr>
            <w:tcW w:w="3969"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59908950" w14:textId="77777777" w:rsidR="00025543" w:rsidRDefault="007E3A2F">
            <w:pPr>
              <w:pStyle w:val="P68B1DB1-Normal57"/>
              <w:spacing w:before="0" w:after="0" w:line="240" w:lineRule="auto"/>
              <w:jc w:val="center"/>
              <w:rPr>
                <w:noProof/>
              </w:rPr>
            </w:pPr>
            <w:r>
              <w:rPr>
                <w:noProof/>
              </w:rPr>
              <w:t>C 4.3: Réformes anticorruption — Réforme 5: Contrôle et audit</w:t>
            </w:r>
          </w:p>
        </w:tc>
        <w:tc>
          <w:tcPr>
            <w:tcW w:w="1843"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18F0A2CC" w14:textId="77777777" w:rsidR="00025543" w:rsidRDefault="007E3A2F">
            <w:pPr>
              <w:pStyle w:val="P68B1DB1-Normal57"/>
              <w:spacing w:before="0" w:after="0" w:line="240" w:lineRule="auto"/>
              <w:jc w:val="center"/>
              <w:rPr>
                <w:noProof/>
              </w:rPr>
            </w:pPr>
            <w:r>
              <w:rPr>
                <w:noProof/>
              </w:rPr>
              <w:t>Étapes</w:t>
            </w:r>
          </w:p>
        </w:tc>
        <w:tc>
          <w:tcPr>
            <w:tcW w:w="3402" w:type="dxa"/>
            <w:tcBorders>
              <w:top w:val="single" w:sz="4" w:space="0" w:color="auto"/>
              <w:left w:val="nil"/>
              <w:bottom w:val="single" w:sz="8" w:space="0" w:color="auto"/>
              <w:right w:val="single" w:sz="8" w:space="0" w:color="auto"/>
            </w:tcBorders>
            <w:shd w:val="clear" w:color="auto" w:fill="C6EFCE"/>
            <w:vAlign w:val="center"/>
            <w:hideMark/>
          </w:tcPr>
          <w:p w14:paraId="62A232B1" w14:textId="77777777" w:rsidR="00025543" w:rsidRDefault="007E3A2F">
            <w:pPr>
              <w:pStyle w:val="P68B1DB1-Normal56"/>
              <w:spacing w:before="0" w:after="0" w:line="240" w:lineRule="auto"/>
              <w:jc w:val="center"/>
              <w:rPr>
                <w:noProof/>
              </w:rPr>
            </w:pPr>
            <w:r>
              <w:rPr>
                <w:noProof/>
              </w:rPr>
              <w:t>Le système de collecte, de stockage et de mise à disposition des données relatives à tous les bénéficiaires finaux, y compris tous les bénéficiaires effectifs (tel qu’établi par l’article 3, point 6, de la directive relative à la lutte contre le blanchiment de capitaux).</w:t>
            </w:r>
          </w:p>
        </w:tc>
      </w:tr>
      <w:tr w:rsidR="00025543" w14:paraId="11EB6549" w14:textId="77777777">
        <w:trPr>
          <w:trHeight w:val="405"/>
        </w:trPr>
        <w:tc>
          <w:tcPr>
            <w:tcW w:w="1276"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4F7E91C4" w14:textId="77777777" w:rsidR="00025543" w:rsidRDefault="007E3A2F">
            <w:pPr>
              <w:pStyle w:val="P68B1DB1-Normal56"/>
              <w:spacing w:before="0" w:after="0" w:line="240" w:lineRule="auto"/>
              <w:jc w:val="center"/>
              <w:rPr>
                <w:noProof/>
              </w:rPr>
            </w:pPr>
            <w:r>
              <w:rPr>
                <w:noProof/>
              </w:rPr>
              <w:t>209</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45AAED3C" w14:textId="77777777" w:rsidR="00025543" w:rsidRDefault="007E3A2F">
            <w:pPr>
              <w:pStyle w:val="P68B1DB1-Normal57"/>
              <w:spacing w:before="0" w:after="0" w:line="240" w:lineRule="auto"/>
              <w:jc w:val="center"/>
              <w:rPr>
                <w:noProof/>
              </w:rPr>
            </w:pPr>
            <w:r>
              <w:rPr>
                <w:noProof/>
              </w:rPr>
              <w:t>C 4.3: Réformes anticorruption — Réforme 5: Contrôle et audit</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495BF941" w14:textId="77777777" w:rsidR="00025543" w:rsidRDefault="007E3A2F">
            <w:pPr>
              <w:pStyle w:val="P68B1DB1-Normal57"/>
              <w:spacing w:before="0" w:after="0" w:line="240" w:lineRule="auto"/>
              <w:jc w:val="center"/>
              <w:rPr>
                <w:noProof/>
              </w:rPr>
            </w:pPr>
            <w:r>
              <w:rPr>
                <w:noProof/>
              </w:rPr>
              <w:t>Étapes</w:t>
            </w:r>
          </w:p>
        </w:tc>
        <w:tc>
          <w:tcPr>
            <w:tcW w:w="3402" w:type="dxa"/>
            <w:tcBorders>
              <w:top w:val="nil"/>
              <w:left w:val="nil"/>
              <w:bottom w:val="single" w:sz="8" w:space="0" w:color="000000" w:themeColor="text1"/>
              <w:right w:val="single" w:sz="8" w:space="0" w:color="auto"/>
            </w:tcBorders>
            <w:shd w:val="clear" w:color="auto" w:fill="C6EFCE"/>
            <w:vAlign w:val="center"/>
            <w:hideMark/>
          </w:tcPr>
          <w:p w14:paraId="68760003" w14:textId="77777777" w:rsidR="00025543" w:rsidRDefault="007E3A2F">
            <w:pPr>
              <w:pStyle w:val="P68B1DB1-Normal56"/>
              <w:spacing w:before="0" w:after="0" w:line="240" w:lineRule="auto"/>
              <w:jc w:val="center"/>
              <w:rPr>
                <w:noProof/>
              </w:rPr>
            </w:pPr>
            <w:r>
              <w:rPr>
                <w:noProof/>
              </w:rPr>
              <w:t>Mesures de prévention des conflits d’intérêts mises en œuvre par l’organisme de coordination.</w:t>
            </w:r>
          </w:p>
        </w:tc>
      </w:tr>
      <w:tr w:rsidR="00025543" w14:paraId="6247E5EF" w14:textId="77777777">
        <w:trPr>
          <w:trHeight w:val="405"/>
        </w:trPr>
        <w:tc>
          <w:tcPr>
            <w:tcW w:w="1276"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0E994E1B" w14:textId="77777777" w:rsidR="00025543" w:rsidRDefault="007E3A2F">
            <w:pPr>
              <w:pStyle w:val="P68B1DB1-Normal56"/>
              <w:spacing w:before="0" w:after="0" w:line="240" w:lineRule="auto"/>
              <w:jc w:val="center"/>
              <w:rPr>
                <w:noProof/>
              </w:rPr>
            </w:pPr>
            <w:r>
              <w:rPr>
                <w:noProof/>
              </w:rPr>
              <w:t>210</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2A561835" w14:textId="77777777" w:rsidR="00025543" w:rsidRDefault="007E3A2F">
            <w:pPr>
              <w:pStyle w:val="P68B1DB1-Normal57"/>
              <w:spacing w:before="0" w:after="0" w:line="240" w:lineRule="auto"/>
              <w:jc w:val="center"/>
              <w:rPr>
                <w:noProof/>
              </w:rPr>
            </w:pPr>
            <w:r>
              <w:rPr>
                <w:noProof/>
              </w:rPr>
              <w:t>C 4.3: Réformes anticorruption — Réforme 5: Contrôle et audit</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43EB7E26" w14:textId="77777777" w:rsidR="00025543" w:rsidRDefault="007E3A2F">
            <w:pPr>
              <w:pStyle w:val="P68B1DB1-Normal57"/>
              <w:spacing w:before="0" w:after="0" w:line="240" w:lineRule="auto"/>
              <w:jc w:val="center"/>
              <w:rPr>
                <w:noProof/>
              </w:rPr>
            </w:pPr>
            <w:r>
              <w:rPr>
                <w:noProof/>
              </w:rPr>
              <w:t>Étapes</w:t>
            </w:r>
          </w:p>
        </w:tc>
        <w:tc>
          <w:tcPr>
            <w:tcW w:w="3402" w:type="dxa"/>
            <w:tcBorders>
              <w:top w:val="nil"/>
              <w:left w:val="nil"/>
              <w:bottom w:val="single" w:sz="8" w:space="0" w:color="000000" w:themeColor="text1"/>
              <w:right w:val="single" w:sz="8" w:space="0" w:color="auto"/>
            </w:tcBorders>
            <w:shd w:val="clear" w:color="auto" w:fill="C6EFCE"/>
            <w:vAlign w:val="center"/>
            <w:hideMark/>
          </w:tcPr>
          <w:p w14:paraId="3C5349ED" w14:textId="77777777" w:rsidR="00025543" w:rsidRDefault="007E3A2F">
            <w:pPr>
              <w:pStyle w:val="P68B1DB1-Normal56"/>
              <w:spacing w:before="0" w:after="0" w:line="240" w:lineRule="auto"/>
              <w:jc w:val="center"/>
              <w:rPr>
                <w:noProof/>
              </w:rPr>
            </w:pPr>
            <w:r>
              <w:rPr>
                <w:noProof/>
              </w:rPr>
              <w:t>Système de dépôt</w:t>
            </w:r>
          </w:p>
        </w:tc>
      </w:tr>
      <w:tr w:rsidR="00025543" w14:paraId="11F22B58" w14:textId="77777777">
        <w:trPr>
          <w:trHeight w:val="405"/>
        </w:trPr>
        <w:tc>
          <w:tcPr>
            <w:tcW w:w="1276"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7B4CDDAF" w14:textId="77777777" w:rsidR="00025543" w:rsidRDefault="007E3A2F">
            <w:pPr>
              <w:pStyle w:val="P68B1DB1-Normal56"/>
              <w:spacing w:before="0" w:after="0" w:line="240" w:lineRule="auto"/>
              <w:jc w:val="center"/>
              <w:rPr>
                <w:noProof/>
              </w:rPr>
            </w:pPr>
            <w:r>
              <w:rPr>
                <w:noProof/>
              </w:rPr>
              <w:t>213</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4EE176F0" w14:textId="77777777" w:rsidR="00025543" w:rsidRDefault="007E3A2F">
            <w:pPr>
              <w:pStyle w:val="P68B1DB1-Normal57"/>
              <w:spacing w:before="0" w:after="0" w:line="240" w:lineRule="auto"/>
              <w:jc w:val="center"/>
              <w:rPr>
                <w:noProof/>
              </w:rPr>
            </w:pPr>
            <w:r>
              <w:rPr>
                <w:noProof/>
              </w:rPr>
              <w:t>C 4.3: Réformes anticorruption — Réforme 5: Contrôle et audit</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3A9CB279" w14:textId="77777777" w:rsidR="00025543" w:rsidRDefault="007E3A2F">
            <w:pPr>
              <w:pStyle w:val="P68B1DB1-Normal57"/>
              <w:spacing w:before="0" w:after="0" w:line="240" w:lineRule="auto"/>
              <w:jc w:val="center"/>
              <w:rPr>
                <w:noProof/>
              </w:rPr>
            </w:pPr>
            <w:r>
              <w:rPr>
                <w:noProof/>
              </w:rPr>
              <w:t>Étapes</w:t>
            </w:r>
          </w:p>
        </w:tc>
        <w:tc>
          <w:tcPr>
            <w:tcW w:w="3402" w:type="dxa"/>
            <w:tcBorders>
              <w:top w:val="nil"/>
              <w:left w:val="nil"/>
              <w:bottom w:val="single" w:sz="8" w:space="0" w:color="000000" w:themeColor="text1"/>
              <w:right w:val="single" w:sz="8" w:space="0" w:color="auto"/>
            </w:tcBorders>
            <w:shd w:val="clear" w:color="auto" w:fill="C6EFCE"/>
            <w:vAlign w:val="center"/>
            <w:hideMark/>
          </w:tcPr>
          <w:p w14:paraId="2877AB45" w14:textId="77777777" w:rsidR="00025543" w:rsidRDefault="007E3A2F">
            <w:pPr>
              <w:pStyle w:val="P68B1DB1-Normal56"/>
              <w:spacing w:before="0" w:after="0" w:line="240" w:lineRule="auto"/>
              <w:jc w:val="center"/>
              <w:rPr>
                <w:noProof/>
              </w:rPr>
            </w:pPr>
            <w:r>
              <w:rPr>
                <w:noProof/>
              </w:rPr>
              <w:t>Orientations sur la prévention et la gestion des conflits d’intérêts</w:t>
            </w:r>
          </w:p>
        </w:tc>
      </w:tr>
      <w:tr w:rsidR="00025543" w14:paraId="221EC485" w14:textId="77777777">
        <w:trPr>
          <w:trHeight w:val="405"/>
        </w:trPr>
        <w:tc>
          <w:tcPr>
            <w:tcW w:w="1276"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12758811" w14:textId="77777777" w:rsidR="00025543" w:rsidRDefault="007E3A2F">
            <w:pPr>
              <w:pStyle w:val="P68B1DB1-Normal56"/>
              <w:spacing w:before="0" w:after="0" w:line="240" w:lineRule="auto"/>
              <w:jc w:val="center"/>
              <w:rPr>
                <w:noProof/>
              </w:rPr>
            </w:pPr>
            <w:r>
              <w:rPr>
                <w:noProof/>
              </w:rPr>
              <w:t>214</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41F1B763" w14:textId="77777777" w:rsidR="00025543" w:rsidRDefault="007E3A2F">
            <w:pPr>
              <w:pStyle w:val="P68B1DB1-Normal57"/>
              <w:spacing w:before="0" w:after="0" w:line="240" w:lineRule="auto"/>
              <w:jc w:val="center"/>
              <w:rPr>
                <w:noProof/>
              </w:rPr>
            </w:pPr>
            <w:r>
              <w:rPr>
                <w:noProof/>
              </w:rPr>
              <w:t>C 4.3: Réformes anticorruption — Réforme 5: Contrôle et audit</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7115282E" w14:textId="77777777" w:rsidR="00025543" w:rsidRDefault="007E3A2F">
            <w:pPr>
              <w:pStyle w:val="P68B1DB1-Normal57"/>
              <w:spacing w:before="0" w:after="0" w:line="240" w:lineRule="auto"/>
              <w:jc w:val="center"/>
              <w:rPr>
                <w:noProof/>
              </w:rPr>
            </w:pPr>
            <w:r>
              <w:rPr>
                <w:noProof/>
              </w:rPr>
              <w:t>Étapes</w:t>
            </w:r>
          </w:p>
        </w:tc>
        <w:tc>
          <w:tcPr>
            <w:tcW w:w="3402" w:type="dxa"/>
            <w:tcBorders>
              <w:top w:val="nil"/>
              <w:left w:val="nil"/>
              <w:bottom w:val="single" w:sz="8" w:space="0" w:color="000000" w:themeColor="text1"/>
              <w:right w:val="single" w:sz="8" w:space="0" w:color="auto"/>
            </w:tcBorders>
            <w:shd w:val="clear" w:color="auto" w:fill="C6EFCE"/>
            <w:vAlign w:val="center"/>
            <w:hideMark/>
          </w:tcPr>
          <w:p w14:paraId="53B35709" w14:textId="77777777" w:rsidR="00025543" w:rsidRDefault="007E3A2F">
            <w:pPr>
              <w:pStyle w:val="P68B1DB1-Normal56"/>
              <w:spacing w:before="0" w:after="0" w:line="240" w:lineRule="auto"/>
              <w:jc w:val="center"/>
              <w:rPr>
                <w:noProof/>
              </w:rPr>
            </w:pPr>
            <w:r>
              <w:rPr>
                <w:noProof/>
              </w:rPr>
              <w:t>Procédures visant à éviter les conflits d’intérêts conformément à l’article 61 du règlement financier</w:t>
            </w:r>
          </w:p>
        </w:tc>
      </w:tr>
      <w:tr w:rsidR="00025543" w14:paraId="1323E0E8" w14:textId="77777777">
        <w:trPr>
          <w:trHeight w:val="795"/>
        </w:trPr>
        <w:tc>
          <w:tcPr>
            <w:tcW w:w="1276" w:type="dxa"/>
            <w:tcBorders>
              <w:top w:val="single" w:sz="8" w:space="0" w:color="000000" w:themeColor="text1"/>
              <w:left w:val="single" w:sz="8" w:space="0" w:color="auto"/>
              <w:bottom w:val="single" w:sz="4" w:space="0" w:color="auto"/>
              <w:right w:val="single" w:sz="8" w:space="0" w:color="000000" w:themeColor="text1"/>
            </w:tcBorders>
            <w:shd w:val="clear" w:color="auto" w:fill="C6EFCE"/>
            <w:vAlign w:val="center"/>
            <w:hideMark/>
          </w:tcPr>
          <w:p w14:paraId="1165EA67" w14:textId="77777777" w:rsidR="00025543" w:rsidRDefault="007E3A2F">
            <w:pPr>
              <w:pStyle w:val="P68B1DB1-Normal57"/>
              <w:spacing w:before="0" w:after="0" w:line="240" w:lineRule="auto"/>
              <w:jc w:val="center"/>
              <w:rPr>
                <w:noProof/>
              </w:rPr>
            </w:pPr>
            <w:r>
              <w:rPr>
                <w:noProof/>
              </w:rPr>
              <w:t>224</w:t>
            </w:r>
          </w:p>
        </w:tc>
        <w:tc>
          <w:tcPr>
            <w:tcW w:w="3969" w:type="dxa"/>
            <w:tcBorders>
              <w:top w:val="single" w:sz="8" w:space="0" w:color="000000" w:themeColor="text1"/>
              <w:left w:val="nil"/>
              <w:bottom w:val="single" w:sz="4" w:space="0" w:color="auto"/>
              <w:right w:val="single" w:sz="8" w:space="0" w:color="000000" w:themeColor="text1"/>
            </w:tcBorders>
            <w:shd w:val="clear" w:color="auto" w:fill="C6EFCE"/>
            <w:vAlign w:val="center"/>
            <w:hideMark/>
          </w:tcPr>
          <w:p w14:paraId="0DDE1ADB" w14:textId="77777777" w:rsidR="00025543" w:rsidRDefault="007E3A2F">
            <w:pPr>
              <w:pStyle w:val="P68B1DB1-Normal57"/>
              <w:spacing w:before="0" w:after="0" w:line="240" w:lineRule="auto"/>
              <w:jc w:val="center"/>
              <w:rPr>
                <w:noProof/>
              </w:rPr>
            </w:pPr>
            <w:r>
              <w:rPr>
                <w:noProof/>
              </w:rPr>
              <w:t>C 5.1: Excellence en matière de recherche et développement dans le secteur de la santé — Investissements 1: Soutien public à la recherche et au développement dans les domaines prioritaires des sciences médicales et des sciences sociales connexes</w:t>
            </w:r>
          </w:p>
        </w:tc>
        <w:tc>
          <w:tcPr>
            <w:tcW w:w="1843" w:type="dxa"/>
            <w:tcBorders>
              <w:top w:val="single" w:sz="8" w:space="0" w:color="000000" w:themeColor="text1"/>
              <w:left w:val="nil"/>
              <w:bottom w:val="single" w:sz="4" w:space="0" w:color="auto"/>
              <w:right w:val="single" w:sz="8" w:space="0" w:color="000000" w:themeColor="text1"/>
            </w:tcBorders>
            <w:shd w:val="clear" w:color="auto" w:fill="C6EFCE"/>
            <w:vAlign w:val="center"/>
            <w:hideMark/>
          </w:tcPr>
          <w:p w14:paraId="1CB90832"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8" w:space="0" w:color="000000" w:themeColor="text1"/>
              <w:left w:val="nil"/>
              <w:bottom w:val="single" w:sz="4" w:space="0" w:color="auto"/>
              <w:right w:val="single" w:sz="8" w:space="0" w:color="auto"/>
            </w:tcBorders>
            <w:shd w:val="clear" w:color="auto" w:fill="C6EFCE"/>
            <w:vAlign w:val="center"/>
            <w:hideMark/>
          </w:tcPr>
          <w:p w14:paraId="017C2854" w14:textId="77777777" w:rsidR="00025543" w:rsidRDefault="007E3A2F">
            <w:pPr>
              <w:pStyle w:val="P68B1DB1-Normal57"/>
              <w:spacing w:before="0" w:after="0" w:line="240" w:lineRule="auto"/>
              <w:jc w:val="center"/>
              <w:rPr>
                <w:noProof/>
              </w:rPr>
            </w:pPr>
            <w:r>
              <w:rPr>
                <w:noProof/>
              </w:rPr>
              <w:t>Attribution de marchés publics à au moins quatre consortiums de recherche et développement</w:t>
            </w:r>
          </w:p>
        </w:tc>
      </w:tr>
      <w:tr w:rsidR="00025543" w14:paraId="66FCC9B6" w14:textId="77777777">
        <w:trPr>
          <w:trHeight w:val="607"/>
        </w:trPr>
        <w:tc>
          <w:tcPr>
            <w:tcW w:w="1276" w:type="dxa"/>
            <w:tcBorders>
              <w:top w:val="single" w:sz="4" w:space="0" w:color="auto"/>
              <w:left w:val="single" w:sz="8" w:space="0" w:color="auto"/>
              <w:bottom w:val="single" w:sz="8" w:space="0" w:color="auto"/>
              <w:right w:val="single" w:sz="8" w:space="0" w:color="000000" w:themeColor="text1"/>
            </w:tcBorders>
            <w:shd w:val="clear" w:color="auto" w:fill="C6EFCE"/>
            <w:vAlign w:val="center"/>
          </w:tcPr>
          <w:p w14:paraId="6277D535" w14:textId="77777777" w:rsidR="00025543" w:rsidRDefault="00025543">
            <w:pPr>
              <w:spacing w:before="0" w:after="0" w:line="240" w:lineRule="auto"/>
              <w:jc w:val="center"/>
              <w:rPr>
                <w:rFonts w:eastAsia="Times New Roman"/>
                <w:noProof/>
                <w:color w:val="006100"/>
                <w:sz w:val="20"/>
              </w:rPr>
            </w:pPr>
          </w:p>
        </w:tc>
        <w:tc>
          <w:tcPr>
            <w:tcW w:w="3969" w:type="dxa"/>
            <w:tcBorders>
              <w:top w:val="single" w:sz="4" w:space="0" w:color="auto"/>
              <w:left w:val="nil"/>
              <w:bottom w:val="single" w:sz="8" w:space="0" w:color="auto"/>
              <w:right w:val="single" w:sz="8" w:space="0" w:color="000000" w:themeColor="text1"/>
            </w:tcBorders>
            <w:shd w:val="clear" w:color="auto" w:fill="C6EFCE"/>
            <w:vAlign w:val="center"/>
          </w:tcPr>
          <w:p w14:paraId="2A3B4F0C" w14:textId="77777777" w:rsidR="00025543" w:rsidRDefault="00025543">
            <w:pPr>
              <w:spacing w:before="0" w:after="0" w:line="240" w:lineRule="auto"/>
              <w:jc w:val="center"/>
              <w:rPr>
                <w:rFonts w:eastAsia="Times New Roman"/>
                <w:noProof/>
                <w:color w:val="006100"/>
                <w:sz w:val="20"/>
              </w:rPr>
            </w:pPr>
          </w:p>
        </w:tc>
        <w:tc>
          <w:tcPr>
            <w:tcW w:w="1843" w:type="dxa"/>
            <w:tcBorders>
              <w:top w:val="single" w:sz="4" w:space="0" w:color="auto"/>
              <w:left w:val="nil"/>
              <w:bottom w:val="single" w:sz="8" w:space="0" w:color="auto"/>
              <w:right w:val="single" w:sz="8" w:space="0" w:color="000000" w:themeColor="text1"/>
            </w:tcBorders>
            <w:shd w:val="clear" w:color="auto" w:fill="C6EFCE"/>
            <w:vAlign w:val="center"/>
          </w:tcPr>
          <w:p w14:paraId="40545A06" w14:textId="77777777" w:rsidR="00025543" w:rsidRDefault="007E3A2F">
            <w:pPr>
              <w:pStyle w:val="P68B1DB1-Normal59"/>
              <w:spacing w:before="0" w:after="0" w:line="240" w:lineRule="auto"/>
              <w:jc w:val="center"/>
              <w:rPr>
                <w:noProof/>
              </w:rPr>
            </w:pPr>
            <w:r>
              <w:rPr>
                <w:noProof/>
              </w:rPr>
              <w:t>Montant de la tranche</w:t>
            </w:r>
          </w:p>
        </w:tc>
        <w:tc>
          <w:tcPr>
            <w:tcW w:w="3402" w:type="dxa"/>
            <w:tcBorders>
              <w:top w:val="single" w:sz="4" w:space="0" w:color="auto"/>
              <w:left w:val="nil"/>
              <w:bottom w:val="single" w:sz="8" w:space="0" w:color="auto"/>
              <w:right w:val="single" w:sz="8" w:space="0" w:color="auto"/>
            </w:tcBorders>
            <w:shd w:val="clear" w:color="auto" w:fill="C6EFCE"/>
            <w:vAlign w:val="center"/>
          </w:tcPr>
          <w:p w14:paraId="7F0E69C6" w14:textId="77777777" w:rsidR="00025543" w:rsidRDefault="007E3A2F">
            <w:pPr>
              <w:pStyle w:val="P68B1DB1-Normal59"/>
              <w:spacing w:before="0" w:after="0" w:line="240" w:lineRule="auto"/>
              <w:jc w:val="center"/>
              <w:rPr>
                <w:noProof/>
              </w:rPr>
            </w:pPr>
            <w:r>
              <w:rPr>
                <w:noProof/>
              </w:rPr>
              <w:t>1 066 888 563 EUR</w:t>
            </w:r>
          </w:p>
        </w:tc>
      </w:tr>
    </w:tbl>
    <w:p w14:paraId="0AD343D5" w14:textId="77777777" w:rsidR="00025543" w:rsidRDefault="00025543">
      <w:pPr>
        <w:spacing w:line="240" w:lineRule="auto"/>
        <w:ind w:left="850"/>
        <w:jc w:val="both"/>
        <w:rPr>
          <w:noProof/>
        </w:rPr>
      </w:pPr>
    </w:p>
    <w:p w14:paraId="65DDE764" w14:textId="77777777" w:rsidR="00025543" w:rsidRDefault="007E3A2F">
      <w:pPr>
        <w:pageBreakBefore/>
        <w:numPr>
          <w:ilvl w:val="1"/>
          <w:numId w:val="198"/>
        </w:numPr>
        <w:spacing w:line="240" w:lineRule="auto"/>
        <w:ind w:left="851" w:hanging="851"/>
        <w:jc w:val="both"/>
        <w:rPr>
          <w:noProof/>
        </w:rPr>
      </w:pPr>
      <w:r>
        <w:rPr>
          <w:noProof/>
        </w:rPr>
        <w:t xml:space="preserve">Deuxième tranche (soutien non remboursable): </w:t>
      </w:r>
    </w:p>
    <w:tbl>
      <w:tblPr>
        <w:tblW w:w="10490" w:type="dxa"/>
        <w:tblInd w:w="-601" w:type="dxa"/>
        <w:tblLook w:val="04A0" w:firstRow="1" w:lastRow="0" w:firstColumn="1" w:lastColumn="0" w:noHBand="0" w:noVBand="1"/>
      </w:tblPr>
      <w:tblGrid>
        <w:gridCol w:w="1276"/>
        <w:gridCol w:w="3969"/>
        <w:gridCol w:w="1843"/>
        <w:gridCol w:w="3402"/>
      </w:tblGrid>
      <w:tr w:rsidR="00025543" w14:paraId="6A641CD2" w14:textId="77777777">
        <w:trPr>
          <w:trHeight w:val="825"/>
          <w:tblHeader/>
        </w:trPr>
        <w:tc>
          <w:tcPr>
            <w:tcW w:w="1276" w:type="dxa"/>
            <w:tcBorders>
              <w:top w:val="single" w:sz="8" w:space="0" w:color="auto"/>
              <w:left w:val="single" w:sz="8" w:space="0" w:color="auto"/>
              <w:bottom w:val="single" w:sz="4" w:space="0" w:color="auto"/>
              <w:right w:val="single" w:sz="8" w:space="0" w:color="auto"/>
            </w:tcBorders>
            <w:shd w:val="clear" w:color="auto" w:fill="BDD7EE"/>
            <w:vAlign w:val="center"/>
            <w:hideMark/>
          </w:tcPr>
          <w:p w14:paraId="41EC6FED" w14:textId="77777777" w:rsidR="00025543" w:rsidRDefault="007E3A2F">
            <w:pPr>
              <w:pStyle w:val="P68B1DB1-Normal55"/>
              <w:spacing w:before="0" w:after="0" w:line="240" w:lineRule="auto"/>
              <w:jc w:val="center"/>
              <w:rPr>
                <w:noProof/>
              </w:rPr>
            </w:pPr>
            <w:r>
              <w:rPr>
                <w:noProof/>
              </w:rPr>
              <w:t>Numéro séquentiel</w:t>
            </w:r>
          </w:p>
        </w:tc>
        <w:tc>
          <w:tcPr>
            <w:tcW w:w="3969" w:type="dxa"/>
            <w:tcBorders>
              <w:top w:val="single" w:sz="8" w:space="0" w:color="auto"/>
              <w:left w:val="nil"/>
              <w:bottom w:val="single" w:sz="4" w:space="0" w:color="auto"/>
              <w:right w:val="single" w:sz="8" w:space="0" w:color="auto"/>
            </w:tcBorders>
            <w:shd w:val="clear" w:color="auto" w:fill="BDD7EE"/>
            <w:vAlign w:val="center"/>
            <w:hideMark/>
          </w:tcPr>
          <w:p w14:paraId="268EA9BF" w14:textId="77777777" w:rsidR="00025543" w:rsidRDefault="007E3A2F">
            <w:pPr>
              <w:pStyle w:val="P68B1DB1-Normal55"/>
              <w:spacing w:before="0" w:after="0" w:line="240" w:lineRule="auto"/>
              <w:jc w:val="center"/>
              <w:rPr>
                <w:noProof/>
              </w:rPr>
            </w:pPr>
            <w:r>
              <w:rPr>
                <w:noProof/>
              </w:rPr>
              <w:t>Mesure connexe (réforme ou investissement)</w:t>
            </w:r>
          </w:p>
        </w:tc>
        <w:tc>
          <w:tcPr>
            <w:tcW w:w="1843" w:type="dxa"/>
            <w:tcBorders>
              <w:top w:val="single" w:sz="8" w:space="0" w:color="auto"/>
              <w:left w:val="nil"/>
              <w:bottom w:val="single" w:sz="4" w:space="0" w:color="auto"/>
              <w:right w:val="single" w:sz="8" w:space="0" w:color="auto"/>
            </w:tcBorders>
            <w:shd w:val="clear" w:color="auto" w:fill="BDD7EE"/>
            <w:vAlign w:val="center"/>
            <w:hideMark/>
          </w:tcPr>
          <w:p w14:paraId="4A12C546" w14:textId="77777777" w:rsidR="00025543" w:rsidRDefault="007E3A2F">
            <w:pPr>
              <w:pStyle w:val="P68B1DB1-Normal55"/>
              <w:spacing w:before="0" w:after="0" w:line="240" w:lineRule="auto"/>
              <w:jc w:val="center"/>
              <w:rPr>
                <w:noProof/>
              </w:rPr>
            </w:pPr>
            <w:r>
              <w:rPr>
                <w:noProof/>
              </w:rPr>
              <w:t>Jalon/cible</w:t>
            </w:r>
          </w:p>
        </w:tc>
        <w:tc>
          <w:tcPr>
            <w:tcW w:w="3402" w:type="dxa"/>
            <w:tcBorders>
              <w:top w:val="single" w:sz="8" w:space="0" w:color="auto"/>
              <w:left w:val="nil"/>
              <w:bottom w:val="single" w:sz="4" w:space="0" w:color="auto"/>
              <w:right w:val="single" w:sz="8" w:space="0" w:color="auto"/>
            </w:tcBorders>
            <w:shd w:val="clear" w:color="auto" w:fill="BDD7EE"/>
            <w:vAlign w:val="center"/>
            <w:hideMark/>
          </w:tcPr>
          <w:p w14:paraId="4D26F3CF" w14:textId="77777777" w:rsidR="00025543" w:rsidRDefault="007E3A2F">
            <w:pPr>
              <w:pStyle w:val="P68B1DB1-Normal55"/>
              <w:spacing w:before="0" w:after="0" w:line="240" w:lineRule="auto"/>
              <w:jc w:val="center"/>
              <w:rPr>
                <w:noProof/>
              </w:rPr>
            </w:pPr>
            <w:r>
              <w:rPr>
                <w:noProof/>
              </w:rPr>
              <w:t>Nom</w:t>
            </w:r>
          </w:p>
        </w:tc>
      </w:tr>
      <w:tr w:rsidR="00025543" w14:paraId="6BC893D2" w14:textId="77777777">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F7B2144" w14:textId="26C17FD8" w:rsidR="00025543" w:rsidRDefault="007E3A2F">
            <w:pPr>
              <w:pStyle w:val="P68B1DB1-Normal57"/>
              <w:spacing w:line="240" w:lineRule="auto"/>
              <w:jc w:val="center"/>
              <w:rPr>
                <w:noProof/>
              </w:rPr>
            </w:pPr>
            <w:r>
              <w:rPr>
                <w:noProof/>
              </w:rPr>
              <w:t>12</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3112952" w14:textId="14DD1055" w:rsidR="00025543" w:rsidRDefault="007E3A2F">
            <w:pPr>
              <w:pStyle w:val="P68B1DB1-Normal57"/>
              <w:spacing w:line="240" w:lineRule="auto"/>
              <w:jc w:val="center"/>
              <w:rPr>
                <w:noProof/>
              </w:rPr>
            </w:pPr>
            <w:r>
              <w:rPr>
                <w:noProof/>
              </w:rPr>
              <w:t xml:space="preserve">C 1.1: Services numériques aux citoyens et aux entreprises — Investissement 2: Développement de données ouvertes et de données publiques  </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ECF0E04" w14:textId="56DE8538" w:rsidR="00025543" w:rsidRDefault="007E3A2F">
            <w:pPr>
              <w:pStyle w:val="P68B1DB1-Normal57"/>
              <w:spacing w:line="240" w:lineRule="auto"/>
              <w:jc w:val="center"/>
              <w:rPr>
                <w:noProof/>
              </w:rPr>
            </w:pPr>
            <w:r>
              <w:rPr>
                <w:noProof/>
              </w:rPr>
              <w:t>Cible</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41CE61A" w14:textId="09FC0624" w:rsidR="00025543" w:rsidRDefault="007E3A2F">
            <w:pPr>
              <w:pStyle w:val="P68B1DB1-Normal57"/>
              <w:spacing w:line="240" w:lineRule="auto"/>
              <w:jc w:val="center"/>
              <w:rPr>
                <w:noProof/>
              </w:rPr>
            </w:pPr>
            <w:r>
              <w:rPr>
                <w:noProof/>
              </w:rPr>
              <w:t xml:space="preserve">Augmentation du nombre de producteurs de données ouvertes dans l’administration publique publiant des données ouvertes dans le catalogue national des données ouvertes  </w:t>
            </w:r>
          </w:p>
        </w:tc>
      </w:tr>
      <w:tr w:rsidR="00025543" w14:paraId="76169F2E" w14:textId="77777777">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6BC8C3A" w14:textId="77777777" w:rsidR="00025543" w:rsidRDefault="007E3A2F">
            <w:pPr>
              <w:pStyle w:val="P68B1DB1-Normal56"/>
              <w:spacing w:before="0" w:after="0" w:line="240" w:lineRule="auto"/>
              <w:jc w:val="center"/>
              <w:rPr>
                <w:noProof/>
              </w:rPr>
            </w:pPr>
            <w:r>
              <w:rPr>
                <w:noProof/>
              </w:rPr>
              <w:t>140</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A5C4CB0" w14:textId="77777777" w:rsidR="00025543" w:rsidRDefault="007E3A2F">
            <w:pPr>
              <w:pStyle w:val="P68B1DB1-Normal57"/>
              <w:spacing w:before="0" w:after="0" w:line="240" w:lineRule="auto"/>
              <w:jc w:val="center"/>
              <w:rPr>
                <w:noProof/>
              </w:rPr>
            </w:pPr>
            <w:r>
              <w:rPr>
                <w:noProof/>
              </w:rPr>
              <w:t xml:space="preserve">C 2.6: Protection de la nature et adaptation au changement climatique — Investissement 4: Construire des forêts résilientes face au changement climatique </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1F6B795"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0ED9915" w14:textId="727EC68B" w:rsidR="00025543" w:rsidRDefault="007E3A2F">
            <w:pPr>
              <w:pStyle w:val="P68B1DB1-Normal56"/>
              <w:spacing w:before="0" w:after="0" w:line="240" w:lineRule="auto"/>
              <w:jc w:val="center"/>
              <w:rPr>
                <w:noProof/>
              </w:rPr>
            </w:pPr>
            <w:r>
              <w:rPr>
                <w:noProof/>
              </w:rPr>
              <w:t xml:space="preserve">T1: Reboisement de 12 000 ha de surfaces par des essences forestières améliorées et stabilisatrices </w:t>
            </w:r>
          </w:p>
        </w:tc>
      </w:tr>
      <w:tr w:rsidR="00025543" w14:paraId="281FB5E2" w14:textId="77777777">
        <w:trPr>
          <w:trHeight w:val="795"/>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639356C" w14:textId="77777777" w:rsidR="00025543" w:rsidRDefault="007E3A2F">
            <w:pPr>
              <w:pStyle w:val="P68B1DB1-Normal57"/>
              <w:spacing w:before="0" w:after="0" w:line="240" w:lineRule="auto"/>
              <w:jc w:val="center"/>
              <w:rPr>
                <w:noProof/>
              </w:rPr>
            </w:pPr>
            <w:r>
              <w:rPr>
                <w:noProof/>
              </w:rPr>
              <w:t>229</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BC33E29" w14:textId="77777777" w:rsidR="00025543" w:rsidRDefault="007E3A2F">
            <w:pPr>
              <w:pStyle w:val="P68B1DB1-Normal57"/>
              <w:spacing w:before="0" w:after="0" w:line="240" w:lineRule="auto"/>
              <w:jc w:val="center"/>
              <w:rPr>
                <w:noProof/>
              </w:rPr>
            </w:pPr>
            <w:r>
              <w:rPr>
                <w:noProof/>
              </w:rPr>
              <w:t>C 5.2: Soutien à la recherche et au développement dans les entreprises et introduction des innovations dans les pratiques commerciales — Investissements 3: Aides à la recherche et au développement dans le domaine de l’environnement</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C348122"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54AF82E" w14:textId="77777777" w:rsidR="00025543" w:rsidRDefault="007E3A2F">
            <w:pPr>
              <w:pStyle w:val="P68B1DB1-Normal57"/>
              <w:spacing w:before="0" w:after="0" w:line="240" w:lineRule="auto"/>
              <w:jc w:val="center"/>
              <w:rPr>
                <w:noProof/>
              </w:rPr>
            </w:pPr>
            <w:r>
              <w:rPr>
                <w:noProof/>
              </w:rPr>
              <w:t>Recherche et développement dans le domaine de l’environnement</w:t>
            </w:r>
          </w:p>
        </w:tc>
      </w:tr>
      <w:tr w:rsidR="00025543" w14:paraId="39BBF935" w14:textId="77777777">
        <w:trPr>
          <w:trHeight w:val="795"/>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C8D684A" w14:textId="77777777" w:rsidR="00025543" w:rsidRDefault="007E3A2F">
            <w:pPr>
              <w:pStyle w:val="P68B1DB1-Normal56"/>
              <w:spacing w:before="0" w:after="0" w:line="240" w:lineRule="auto"/>
              <w:jc w:val="center"/>
              <w:rPr>
                <w:noProof/>
              </w:rPr>
            </w:pPr>
            <w:r>
              <w:rPr>
                <w:noProof/>
              </w:rPr>
              <w:t>15</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7E6CE26" w14:textId="77777777" w:rsidR="00025543" w:rsidRDefault="007E3A2F">
            <w:pPr>
              <w:pStyle w:val="P68B1DB1-Normal57"/>
              <w:spacing w:before="0" w:after="0" w:line="240" w:lineRule="auto"/>
              <w:jc w:val="center"/>
              <w:rPr>
                <w:noProof/>
              </w:rPr>
            </w:pPr>
            <w:r>
              <w:rPr>
                <w:noProof/>
              </w:rPr>
              <w:t>C 1.2: Systèmes d’administration publique numérique — Investissements 1:</w:t>
            </w:r>
            <w:r>
              <w:rPr>
                <w:noProof/>
              </w:rPr>
              <w:br/>
              <w:t>Développement des systèmes d’information</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C7F7DE5" w14:textId="77777777" w:rsidR="00025543" w:rsidRDefault="007E3A2F">
            <w:pPr>
              <w:pStyle w:val="P68B1DB1-Normal57"/>
              <w:spacing w:before="0" w:after="0" w:line="240" w:lineRule="auto"/>
              <w:jc w:val="center"/>
              <w:rPr>
                <w:noProof/>
              </w:rPr>
            </w:pPr>
            <w:r>
              <w:rPr>
                <w:noProof/>
              </w:rPr>
              <w:t>Étapes</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20D77DB" w14:textId="42ACE6E7" w:rsidR="00025543" w:rsidRDefault="007E3A2F">
            <w:pPr>
              <w:pStyle w:val="P68B1DB1-Normal57"/>
              <w:spacing w:before="0" w:after="0" w:line="240" w:lineRule="auto"/>
              <w:jc w:val="center"/>
              <w:rPr>
                <w:noProof/>
              </w:rPr>
            </w:pPr>
            <w:r>
              <w:rPr>
                <w:noProof/>
              </w:rPr>
              <w:t>Mise en œuvre et exploitation des systèmes Tchèque 2.0 et CAAIS</w:t>
            </w:r>
          </w:p>
        </w:tc>
      </w:tr>
      <w:tr w:rsidR="00025543" w14:paraId="491AC2F3" w14:textId="77777777">
        <w:trPr>
          <w:trHeight w:val="795"/>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B542843" w14:textId="77777777" w:rsidR="00025543" w:rsidRDefault="007E3A2F">
            <w:pPr>
              <w:pStyle w:val="P68B1DB1-Normal56"/>
              <w:spacing w:before="0" w:after="0" w:line="240" w:lineRule="auto"/>
              <w:jc w:val="center"/>
              <w:rPr>
                <w:noProof/>
              </w:rPr>
            </w:pPr>
            <w:r>
              <w:rPr>
                <w:noProof/>
              </w:rPr>
              <w:t>16</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6999384" w14:textId="77777777" w:rsidR="00025543" w:rsidRDefault="007E3A2F">
            <w:pPr>
              <w:pStyle w:val="P68B1DB1-Normal57"/>
              <w:spacing w:before="0" w:after="0" w:line="240" w:lineRule="auto"/>
              <w:jc w:val="center"/>
              <w:rPr>
                <w:noProof/>
              </w:rPr>
            </w:pPr>
            <w:r>
              <w:rPr>
                <w:noProof/>
              </w:rPr>
              <w:t>C 1.2: Systèmes d’administration publique numérique — Investissements 1:</w:t>
            </w:r>
            <w:r>
              <w:rPr>
                <w:noProof/>
              </w:rPr>
              <w:br/>
              <w:t>Développement des systèmes d’information</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CBD0E7D" w14:textId="77777777" w:rsidR="00025543" w:rsidRDefault="007E3A2F">
            <w:pPr>
              <w:pStyle w:val="P68B1DB1-Normal57"/>
              <w:spacing w:before="0" w:after="0" w:line="240" w:lineRule="auto"/>
              <w:jc w:val="center"/>
              <w:rPr>
                <w:noProof/>
              </w:rPr>
            </w:pPr>
            <w:r>
              <w:rPr>
                <w:noProof/>
              </w:rPr>
              <w:t>Étapes</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BE19B96" w14:textId="77777777" w:rsidR="00025543" w:rsidRDefault="007E3A2F">
            <w:pPr>
              <w:pStyle w:val="P68B1DB1-Normal56"/>
              <w:spacing w:before="0" w:after="0" w:line="240" w:lineRule="auto"/>
              <w:jc w:val="center"/>
              <w:rPr>
                <w:noProof/>
              </w:rPr>
            </w:pPr>
            <w:r>
              <w:rPr>
                <w:noProof/>
              </w:rPr>
              <w:t>Mise à niveau et exploitation fructueuses du passeport électronique (ePasy) et du système de visas EVC2</w:t>
            </w:r>
          </w:p>
        </w:tc>
      </w:tr>
      <w:tr w:rsidR="00025543" w14:paraId="12F0B896" w14:textId="77777777">
        <w:trPr>
          <w:trHeight w:val="99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2B5CF0D" w14:textId="77777777" w:rsidR="00025543" w:rsidRDefault="007E3A2F">
            <w:pPr>
              <w:pStyle w:val="P68B1DB1-Normal56"/>
              <w:spacing w:before="0" w:after="0" w:line="240" w:lineRule="auto"/>
              <w:jc w:val="center"/>
              <w:rPr>
                <w:noProof/>
              </w:rPr>
            </w:pPr>
            <w:r>
              <w:rPr>
                <w:noProof/>
              </w:rPr>
              <w:t>20</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3D4F958" w14:textId="77777777" w:rsidR="00025543" w:rsidRDefault="007E3A2F">
            <w:pPr>
              <w:pStyle w:val="P68B1DB1-Normal57"/>
              <w:spacing w:before="0" w:after="0" w:line="240" w:lineRule="auto"/>
              <w:jc w:val="center"/>
              <w:rPr>
                <w:noProof/>
              </w:rPr>
            </w:pPr>
            <w:r>
              <w:rPr>
                <w:noProof/>
              </w:rPr>
              <w:t>C 1.2: Systèmes d’administration publique numérique — Investissements 2:</w:t>
            </w:r>
            <w:r>
              <w:rPr>
                <w:noProof/>
              </w:rPr>
              <w:br/>
              <w:t>Mise en place de registres et d’installations essentiels pour l’administration en ligne</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C6E73B9" w14:textId="77777777" w:rsidR="00025543" w:rsidRDefault="007E3A2F">
            <w:pPr>
              <w:pStyle w:val="P68B1DB1-Normal57"/>
              <w:spacing w:before="0" w:after="0" w:line="240" w:lineRule="auto"/>
              <w:jc w:val="center"/>
              <w:rPr>
                <w:noProof/>
              </w:rPr>
            </w:pPr>
            <w:r>
              <w:rPr>
                <w:noProof/>
              </w:rPr>
              <w:t>Étapes</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45A3004" w14:textId="77777777" w:rsidR="00025543" w:rsidRDefault="007E3A2F">
            <w:pPr>
              <w:pStyle w:val="P68B1DB1-Normal56"/>
              <w:spacing w:before="0" w:after="0" w:line="240" w:lineRule="auto"/>
              <w:jc w:val="center"/>
              <w:rPr>
                <w:noProof/>
              </w:rPr>
            </w:pPr>
            <w:r>
              <w:rPr>
                <w:noProof/>
              </w:rPr>
              <w:t>Achèvement d’un centre de données entièrement opérationnel défini par logiciel, comprenant des conteneurs de données.</w:t>
            </w:r>
          </w:p>
        </w:tc>
      </w:tr>
      <w:tr w:rsidR="00025543" w14:paraId="21927CC5" w14:textId="77777777">
        <w:trPr>
          <w:trHeight w:val="1185"/>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7E60FA2" w14:textId="77777777" w:rsidR="00025543" w:rsidRDefault="007E3A2F">
            <w:pPr>
              <w:pStyle w:val="P68B1DB1-Normal56"/>
              <w:spacing w:before="0" w:after="0" w:line="240" w:lineRule="auto"/>
              <w:jc w:val="center"/>
              <w:rPr>
                <w:noProof/>
              </w:rPr>
            </w:pPr>
            <w:r>
              <w:rPr>
                <w:noProof/>
              </w:rPr>
              <w:t>23</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FF29C16" w14:textId="77777777" w:rsidR="00025543" w:rsidRDefault="007E3A2F">
            <w:pPr>
              <w:pStyle w:val="P68B1DB1-Normal57"/>
              <w:spacing w:before="0" w:after="0" w:line="240" w:lineRule="auto"/>
              <w:jc w:val="center"/>
              <w:rPr>
                <w:noProof/>
              </w:rPr>
            </w:pPr>
            <w:r>
              <w:rPr>
                <w:noProof/>
              </w:rPr>
              <w:t>C 1.2: Systèmes d’administration publique numérique — Investissements 3:</w:t>
            </w:r>
            <w:r>
              <w:rPr>
                <w:noProof/>
              </w:rPr>
              <w:br/>
              <w:t>Cybersécurité</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95AB07C" w14:textId="77777777" w:rsidR="00025543" w:rsidRDefault="007E3A2F">
            <w:pPr>
              <w:pStyle w:val="P68B1DB1-Normal57"/>
              <w:spacing w:before="0" w:after="0" w:line="240" w:lineRule="auto"/>
              <w:jc w:val="center"/>
              <w:rPr>
                <w:noProof/>
              </w:rPr>
            </w:pPr>
            <w:r>
              <w:rPr>
                <w:noProof/>
              </w:rPr>
              <w:t>Étapes</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731839A" w14:textId="5476A65A" w:rsidR="00025543" w:rsidRDefault="007E3A2F">
            <w:pPr>
              <w:pStyle w:val="P68B1DB1-Normal56"/>
              <w:spacing w:before="0" w:after="0" w:line="240" w:lineRule="auto"/>
              <w:jc w:val="center"/>
              <w:rPr>
                <w:noProof/>
              </w:rPr>
            </w:pPr>
            <w:r>
              <w:rPr>
                <w:noProof/>
              </w:rPr>
              <w:t xml:space="preserve">Modernisation du système d’information et de gestion des événements de la police tchèque en matière de sécurité et extension de son utilisation pour la protection de la cybersécurité de cinq systèmes d’information supplémentaires  </w:t>
            </w:r>
          </w:p>
        </w:tc>
      </w:tr>
      <w:tr w:rsidR="00025543" w14:paraId="1264881A" w14:textId="77777777">
        <w:trPr>
          <w:trHeight w:val="1185"/>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BC95288" w14:textId="77777777" w:rsidR="00025543" w:rsidRDefault="007E3A2F">
            <w:pPr>
              <w:pStyle w:val="P68B1DB1-Normal56"/>
              <w:spacing w:before="0" w:after="0" w:line="240" w:lineRule="auto"/>
              <w:jc w:val="center"/>
              <w:rPr>
                <w:noProof/>
              </w:rPr>
            </w:pPr>
            <w:r>
              <w:rPr>
                <w:noProof/>
              </w:rPr>
              <w:t>25</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56FF164" w14:textId="2B0ED9A9" w:rsidR="00025543" w:rsidRDefault="007E3A2F">
            <w:pPr>
              <w:pStyle w:val="P68B1DB1-Normal57"/>
              <w:spacing w:before="0" w:after="0" w:line="240" w:lineRule="auto"/>
              <w:jc w:val="center"/>
              <w:rPr>
                <w:noProof/>
              </w:rPr>
            </w:pPr>
            <w:r>
              <w:rPr>
                <w:noProof/>
              </w:rPr>
              <w:t>C 1.2: Systèmes d’administration publique numérique — Réformes 1:</w:t>
            </w:r>
            <w:r>
              <w:rPr>
                <w:noProof/>
              </w:rPr>
              <w:br/>
              <w:t>Centres de compétence pour soutenir l’administration en ligne, la cybersécurité et la santé en ligne</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28C55D4" w14:textId="77777777" w:rsidR="00025543" w:rsidRDefault="007E3A2F">
            <w:pPr>
              <w:pStyle w:val="P68B1DB1-Normal57"/>
              <w:spacing w:before="0" w:after="0" w:line="240" w:lineRule="auto"/>
              <w:jc w:val="center"/>
              <w:rPr>
                <w:noProof/>
              </w:rPr>
            </w:pPr>
            <w:r>
              <w:rPr>
                <w:noProof/>
              </w:rPr>
              <w:t>Étapes</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CC59151" w14:textId="2CD71623" w:rsidR="00025543" w:rsidRDefault="007E3A2F">
            <w:pPr>
              <w:pStyle w:val="P68B1DB1-Normal56"/>
              <w:spacing w:before="0" w:after="0" w:line="240" w:lineRule="auto"/>
              <w:jc w:val="center"/>
              <w:rPr>
                <w:noProof/>
              </w:rPr>
            </w:pPr>
            <w:r>
              <w:rPr>
                <w:noProof/>
              </w:rPr>
              <w:t xml:space="preserve">Fonctionnement complet de trois centres de compétences fournissant des services de conseil aux autorités mettant en œuvre les changements dans les systèmes d’information et l’écosystème d’administration en ligne prévus au titre des volets 1.1 et 1.2  </w:t>
            </w:r>
          </w:p>
        </w:tc>
      </w:tr>
      <w:tr w:rsidR="00025543" w14:paraId="59A858B2" w14:textId="77777777">
        <w:trPr>
          <w:trHeight w:val="795"/>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5C5FF59" w14:textId="77777777" w:rsidR="00025543" w:rsidRDefault="007E3A2F">
            <w:pPr>
              <w:pStyle w:val="P68B1DB1-Normal56"/>
              <w:spacing w:before="0" w:after="0" w:line="240" w:lineRule="auto"/>
              <w:jc w:val="center"/>
              <w:rPr>
                <w:noProof/>
              </w:rPr>
            </w:pPr>
            <w:r>
              <w:rPr>
                <w:noProof/>
              </w:rPr>
              <w:t>30</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7E1D220" w14:textId="77777777" w:rsidR="00025543" w:rsidRDefault="007E3A2F">
            <w:pPr>
              <w:pStyle w:val="P68B1DB1-Normal57"/>
              <w:spacing w:before="0" w:after="0" w:line="240" w:lineRule="auto"/>
              <w:jc w:val="center"/>
              <w:rPr>
                <w:noProof/>
              </w:rPr>
            </w:pPr>
            <w:r>
              <w:rPr>
                <w:noProof/>
              </w:rPr>
              <w:t>C 1.2: Systèmes d’administration publique numérique — Investissements 4:</w:t>
            </w:r>
            <w:r>
              <w:rPr>
                <w:noProof/>
              </w:rPr>
              <w:br/>
              <w:t>Créer les conditions d’une justice numérique</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D46D277"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1050BF4" w14:textId="77777777" w:rsidR="00025543" w:rsidRDefault="007E3A2F">
            <w:pPr>
              <w:pStyle w:val="P68B1DB1-Normal56"/>
              <w:spacing w:before="0" w:after="0" w:line="240" w:lineRule="auto"/>
              <w:jc w:val="center"/>
              <w:rPr>
                <w:noProof/>
              </w:rPr>
            </w:pPr>
            <w:r>
              <w:rPr>
                <w:noProof/>
              </w:rPr>
              <w:t>Augmentation du nombre de salles de conférence dans le système judiciaire nouvellement équipées et connectées pour permettre la vidéoconférence.</w:t>
            </w:r>
          </w:p>
        </w:tc>
      </w:tr>
      <w:tr w:rsidR="00025543" w14:paraId="7A7DAE23" w14:textId="77777777">
        <w:trPr>
          <w:trHeight w:val="795"/>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0CA1C38" w14:textId="77777777" w:rsidR="00025543" w:rsidRDefault="007E3A2F">
            <w:pPr>
              <w:pStyle w:val="P68B1DB1-Normal56"/>
              <w:spacing w:before="0" w:after="0" w:line="240" w:lineRule="auto"/>
              <w:jc w:val="center"/>
              <w:rPr>
                <w:noProof/>
              </w:rPr>
            </w:pPr>
            <w:r>
              <w:rPr>
                <w:noProof/>
              </w:rPr>
              <w:t>57</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4A93F19" w14:textId="77777777" w:rsidR="00025543" w:rsidRDefault="007E3A2F">
            <w:pPr>
              <w:pStyle w:val="P68B1DB1-Normal57"/>
              <w:spacing w:before="0" w:after="0" w:line="240" w:lineRule="auto"/>
              <w:jc w:val="center"/>
              <w:rPr>
                <w:noProof/>
              </w:rPr>
            </w:pPr>
            <w:r>
              <w:rPr>
                <w:noProof/>
              </w:rPr>
              <w:t>C 1.4: Économie et société numériques, jeunes pousses innovantes et nouvelles technologies — Investissements 6: Projets d’application de démonstration 5G pour les villes et les zones industrielles</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BE6891C"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626D31B" w14:textId="77777777" w:rsidR="00025543" w:rsidRDefault="007E3A2F">
            <w:pPr>
              <w:pStyle w:val="P68B1DB1-Normal56"/>
              <w:spacing w:before="0" w:after="0" w:line="240" w:lineRule="auto"/>
              <w:jc w:val="center"/>
              <w:rPr>
                <w:noProof/>
              </w:rPr>
            </w:pPr>
            <w:r>
              <w:rPr>
                <w:noProof/>
              </w:rPr>
              <w:t>Développement et exploitation d’applications de référence pour les villes intelligentes</w:t>
            </w:r>
          </w:p>
        </w:tc>
      </w:tr>
      <w:tr w:rsidR="00025543" w14:paraId="7E38DC76" w14:textId="77777777">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E7700DE" w14:textId="77777777" w:rsidR="00025543" w:rsidRDefault="007E3A2F">
            <w:pPr>
              <w:pStyle w:val="P68B1DB1-Normal57"/>
              <w:spacing w:before="0" w:after="0" w:line="240" w:lineRule="auto"/>
              <w:jc w:val="center"/>
              <w:rPr>
                <w:noProof/>
              </w:rPr>
            </w:pPr>
            <w:r>
              <w:rPr>
                <w:noProof/>
              </w:rPr>
              <w:t>90</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669248E" w14:textId="77777777" w:rsidR="00025543" w:rsidRDefault="007E3A2F">
            <w:pPr>
              <w:pStyle w:val="P68B1DB1-Normal57"/>
              <w:spacing w:before="0" w:after="0" w:line="240" w:lineRule="auto"/>
              <w:jc w:val="center"/>
              <w:rPr>
                <w:noProof/>
              </w:rPr>
            </w:pPr>
            <w:r>
              <w:rPr>
                <w:noProof/>
              </w:rPr>
              <w:t>C 2.1: Transports durables — Investissements 3: Amélioration de l’environnement (soutien à l’infrastructure ferroviaire)</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AAC489B"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E6A4729" w14:textId="77777777" w:rsidR="00025543" w:rsidRDefault="007E3A2F">
            <w:pPr>
              <w:pStyle w:val="P68B1DB1-Normal57"/>
              <w:spacing w:before="0" w:after="0" w:line="240" w:lineRule="auto"/>
              <w:jc w:val="center"/>
              <w:rPr>
                <w:noProof/>
              </w:rPr>
            </w:pPr>
            <w:r>
              <w:rPr>
                <w:noProof/>
              </w:rPr>
              <w:t xml:space="preserve">Achèvement de 26 projets issus d’un ensemble prédéfini de projets </w:t>
            </w:r>
          </w:p>
        </w:tc>
      </w:tr>
      <w:tr w:rsidR="00025543" w14:paraId="03A7463D" w14:textId="77777777">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66EA2B6" w14:textId="77777777" w:rsidR="00025543" w:rsidRDefault="007E3A2F">
            <w:pPr>
              <w:pStyle w:val="P68B1DB1-Normal57"/>
              <w:spacing w:before="0" w:after="0" w:line="240" w:lineRule="auto"/>
              <w:jc w:val="center"/>
              <w:rPr>
                <w:noProof/>
              </w:rPr>
            </w:pPr>
            <w:r>
              <w:rPr>
                <w:noProof/>
              </w:rPr>
              <w:t>95</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D650618" w14:textId="77777777" w:rsidR="00025543" w:rsidRDefault="007E3A2F">
            <w:pPr>
              <w:pStyle w:val="P68B1DB1-Normal57"/>
              <w:spacing w:before="0" w:after="0" w:line="240" w:lineRule="auto"/>
              <w:jc w:val="center"/>
              <w:rPr>
                <w:noProof/>
              </w:rPr>
            </w:pPr>
            <w:r>
              <w:rPr>
                <w:noProof/>
              </w:rPr>
              <w:t>C 2.1: Transports durables — Investissements 4: Sécurité routière et ferroviaire (passages ferroviaires, ponts et tunnels, pistes cyclables et itinéraires sans obstacles)</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7A7A8B9"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600B187" w14:textId="77777777" w:rsidR="00025543" w:rsidRDefault="007E3A2F">
            <w:pPr>
              <w:pStyle w:val="P68B1DB1-Normal57"/>
              <w:spacing w:before="0" w:after="0" w:line="240" w:lineRule="auto"/>
              <w:jc w:val="center"/>
              <w:rPr>
                <w:noProof/>
              </w:rPr>
            </w:pPr>
            <w:r>
              <w:rPr>
                <w:noProof/>
              </w:rPr>
              <w:t>Achèvement des ponts ou tunnels ferroviaires modernisés</w:t>
            </w:r>
          </w:p>
        </w:tc>
      </w:tr>
      <w:tr w:rsidR="00025543" w14:paraId="39691AC1" w14:textId="77777777">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33E3C7F" w14:textId="77777777" w:rsidR="00025543" w:rsidRDefault="007E3A2F">
            <w:pPr>
              <w:pStyle w:val="P68B1DB1-Normal57"/>
              <w:spacing w:before="0" w:after="0" w:line="240" w:lineRule="auto"/>
              <w:jc w:val="center"/>
              <w:rPr>
                <w:noProof/>
              </w:rPr>
            </w:pPr>
            <w:r>
              <w:rPr>
                <w:noProof/>
              </w:rPr>
              <w:t>96</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5A39FAA" w14:textId="77777777" w:rsidR="00025543" w:rsidRDefault="007E3A2F">
            <w:pPr>
              <w:pStyle w:val="P68B1DB1-Normal57"/>
              <w:spacing w:before="0" w:after="0" w:line="240" w:lineRule="auto"/>
              <w:jc w:val="center"/>
              <w:rPr>
                <w:noProof/>
              </w:rPr>
            </w:pPr>
            <w:r>
              <w:rPr>
                <w:noProof/>
              </w:rPr>
              <w:t>C 2.1: Transports durables — Investissements 4: Sécurité routière et ferroviaire (passages ferroviaires, ponts et tunnels, pistes cyclables et itinéraires sans obstacles)</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1311A32"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3C6B70C" w14:textId="77777777" w:rsidR="00025543" w:rsidRDefault="007E3A2F">
            <w:pPr>
              <w:pStyle w:val="P68B1DB1-Normal57"/>
              <w:spacing w:before="0" w:after="0" w:line="240" w:lineRule="auto"/>
              <w:jc w:val="center"/>
              <w:rPr>
                <w:noProof/>
              </w:rPr>
            </w:pPr>
            <w:r>
              <w:rPr>
                <w:noProof/>
              </w:rPr>
              <w:t>Achèvement des passages à niveau avec une sécurité accrue</w:t>
            </w:r>
          </w:p>
        </w:tc>
      </w:tr>
      <w:tr w:rsidR="00025543" w14:paraId="6960AB43" w14:textId="77777777">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0343E53" w14:textId="77777777" w:rsidR="00025543" w:rsidRDefault="007E3A2F">
            <w:pPr>
              <w:pStyle w:val="P68B1DB1-Normal57"/>
              <w:spacing w:before="0" w:after="0" w:line="240" w:lineRule="auto"/>
              <w:jc w:val="center"/>
              <w:rPr>
                <w:noProof/>
              </w:rPr>
            </w:pPr>
            <w:r>
              <w:rPr>
                <w:noProof/>
              </w:rPr>
              <w:t>97</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F47B252" w14:textId="77777777" w:rsidR="00025543" w:rsidRDefault="007E3A2F">
            <w:pPr>
              <w:pStyle w:val="P68B1DB1-Normal57"/>
              <w:spacing w:before="0" w:after="0" w:line="240" w:lineRule="auto"/>
              <w:jc w:val="center"/>
              <w:rPr>
                <w:noProof/>
              </w:rPr>
            </w:pPr>
            <w:r>
              <w:rPr>
                <w:noProof/>
              </w:rPr>
              <w:t>C 2.1: Transports durables — Investissements 4: Sécurité routière et ferroviaire (passages ferroviaires, ponts et tunnels, pistes cyclables et itinéraires sans obstacles)</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C90C829"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95B949B" w14:textId="77777777" w:rsidR="00025543" w:rsidRDefault="007E3A2F">
            <w:pPr>
              <w:pStyle w:val="P68B1DB1-Normal57"/>
              <w:spacing w:before="0" w:after="0" w:line="240" w:lineRule="auto"/>
              <w:jc w:val="center"/>
              <w:rPr>
                <w:noProof/>
              </w:rPr>
            </w:pPr>
            <w:r>
              <w:rPr>
                <w:noProof/>
              </w:rPr>
              <w:t>Achèvement des pistes cyclables construites, trottoirs et voies sans barrier</w:t>
            </w:r>
          </w:p>
        </w:tc>
      </w:tr>
      <w:tr w:rsidR="00025543" w14:paraId="49F2C1BE" w14:textId="77777777">
        <w:trPr>
          <w:trHeight w:val="405"/>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C176770" w14:textId="77777777" w:rsidR="00025543" w:rsidRDefault="007E3A2F">
            <w:pPr>
              <w:pStyle w:val="P68B1DB1-Normal56"/>
              <w:spacing w:before="0" w:after="0" w:line="240" w:lineRule="auto"/>
              <w:jc w:val="center"/>
              <w:rPr>
                <w:noProof/>
              </w:rPr>
            </w:pPr>
            <w:r>
              <w:rPr>
                <w:noProof/>
              </w:rPr>
              <w:t>132</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8E80595" w14:textId="77777777" w:rsidR="00025543" w:rsidRDefault="007E3A2F">
            <w:pPr>
              <w:pStyle w:val="P68B1DB1-Normal57"/>
              <w:spacing w:before="0" w:after="0" w:line="240" w:lineRule="auto"/>
              <w:jc w:val="center"/>
              <w:rPr>
                <w:noProof/>
              </w:rPr>
            </w:pPr>
            <w:r>
              <w:rPr>
                <w:noProof/>
              </w:rPr>
              <w:t>C 2.6: Protection de la nature et adaptation au changement climatique — Investissement 1: Protection contre les inondations</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82B136D"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794FE76" w14:textId="1F5497C6" w:rsidR="00025543" w:rsidRDefault="007E3A2F">
            <w:pPr>
              <w:pStyle w:val="P68B1DB1-Normal56"/>
              <w:spacing w:before="0" w:after="0" w:line="240" w:lineRule="auto"/>
              <w:jc w:val="center"/>
              <w:rPr>
                <w:noProof/>
              </w:rPr>
            </w:pPr>
            <w:r>
              <w:rPr>
                <w:noProof/>
              </w:rPr>
              <w:t>T1: Achèvement de 15 projets visant à mettre en place une protection résiliente contre les inondations.</w:t>
            </w:r>
          </w:p>
        </w:tc>
      </w:tr>
      <w:tr w:rsidR="00025543" w14:paraId="2B94D3F9" w14:textId="77777777">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0FF7DCE" w14:textId="77777777" w:rsidR="00025543" w:rsidRDefault="007E3A2F">
            <w:pPr>
              <w:pStyle w:val="P68B1DB1-Normal57"/>
              <w:spacing w:before="0" w:after="0" w:line="240" w:lineRule="auto"/>
              <w:jc w:val="center"/>
              <w:rPr>
                <w:noProof/>
              </w:rPr>
            </w:pPr>
            <w:r>
              <w:rPr>
                <w:noProof/>
              </w:rPr>
              <w:t>150</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489EAE7" w14:textId="77777777" w:rsidR="00025543" w:rsidRDefault="007E3A2F">
            <w:pPr>
              <w:pStyle w:val="P68B1DB1-Normal57"/>
              <w:spacing w:before="0" w:after="0" w:line="240" w:lineRule="auto"/>
              <w:jc w:val="center"/>
              <w:rPr>
                <w:noProof/>
              </w:rPr>
            </w:pPr>
            <w:r>
              <w:rPr>
                <w:noProof/>
              </w:rPr>
              <w:t>C 2.7: Économie circulaire, recyclage et eau industrielle — Investissements 2: Solutions circulaires dans les entreprises</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A057A0F" w14:textId="77777777" w:rsidR="00025543" w:rsidRDefault="007E3A2F">
            <w:pPr>
              <w:pStyle w:val="P68B1DB1-Normal57"/>
              <w:spacing w:before="0" w:after="0" w:line="240" w:lineRule="auto"/>
              <w:jc w:val="center"/>
              <w:rPr>
                <w:noProof/>
              </w:rPr>
            </w:pPr>
            <w:r>
              <w:rPr>
                <w:noProof/>
              </w:rPr>
              <w:t>Étapes</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F286418" w14:textId="77777777" w:rsidR="00025543" w:rsidRDefault="007E3A2F">
            <w:pPr>
              <w:pStyle w:val="P68B1DB1-Normal57"/>
              <w:spacing w:before="0" w:after="0" w:line="240" w:lineRule="auto"/>
              <w:jc w:val="center"/>
              <w:rPr>
                <w:noProof/>
              </w:rPr>
            </w:pPr>
            <w:r>
              <w:rPr>
                <w:noProof/>
              </w:rPr>
              <w:t>Attribution de tous les marchés publics pour des projets investissant dans des solutions circulaires dans les entreprises par le ministère de l’industrie et du commerce</w:t>
            </w:r>
          </w:p>
        </w:tc>
      </w:tr>
      <w:tr w:rsidR="00025543" w14:paraId="5B9E7383" w14:textId="77777777">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794B67A" w14:textId="77777777" w:rsidR="00025543" w:rsidRDefault="007E3A2F">
            <w:pPr>
              <w:pStyle w:val="P68B1DB1-Normal57"/>
              <w:spacing w:before="0" w:after="0" w:line="240" w:lineRule="auto"/>
              <w:jc w:val="center"/>
              <w:rPr>
                <w:noProof/>
              </w:rPr>
            </w:pPr>
            <w:r>
              <w:rPr>
                <w:noProof/>
              </w:rPr>
              <w:t>152</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F291094" w14:textId="77777777" w:rsidR="00025543" w:rsidRDefault="007E3A2F">
            <w:pPr>
              <w:pStyle w:val="P68B1DB1-Normal57"/>
              <w:spacing w:before="0" w:after="0" w:line="240" w:lineRule="auto"/>
              <w:jc w:val="center"/>
              <w:rPr>
                <w:noProof/>
              </w:rPr>
            </w:pPr>
            <w:r>
              <w:rPr>
                <w:noProof/>
              </w:rPr>
              <w:t>C 2.7: Économie circulaire, recyclage et eau industrielle — Investissements 3: Économies d’eau dans l’industrie</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56DE8B1" w14:textId="77777777" w:rsidR="00025543" w:rsidRDefault="007E3A2F">
            <w:pPr>
              <w:pStyle w:val="P68B1DB1-Normal57"/>
              <w:spacing w:before="0" w:after="0" w:line="240" w:lineRule="auto"/>
              <w:jc w:val="center"/>
              <w:rPr>
                <w:noProof/>
              </w:rPr>
            </w:pPr>
            <w:r>
              <w:rPr>
                <w:noProof/>
              </w:rPr>
              <w:t>Étapes</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4848992" w14:textId="77777777" w:rsidR="00025543" w:rsidRDefault="007E3A2F">
            <w:pPr>
              <w:pStyle w:val="P68B1DB1-Normal57"/>
              <w:spacing w:before="0" w:after="0" w:line="240" w:lineRule="auto"/>
              <w:jc w:val="center"/>
              <w:rPr>
                <w:noProof/>
              </w:rPr>
            </w:pPr>
            <w:r>
              <w:rPr>
                <w:noProof/>
              </w:rPr>
              <w:t>Attribution de tous les marchés publics pour des projets d’économie et d’optimisation de l’eau dans l’industrie par le ministère de l’industrie et du commerce</w:t>
            </w:r>
          </w:p>
        </w:tc>
      </w:tr>
      <w:tr w:rsidR="00025543" w14:paraId="770674BD" w14:textId="77777777">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8C261BF" w14:textId="77777777" w:rsidR="00025543" w:rsidRDefault="007E3A2F">
            <w:pPr>
              <w:pStyle w:val="P68B1DB1-Normal56"/>
              <w:spacing w:before="0" w:after="0" w:line="240" w:lineRule="auto"/>
              <w:jc w:val="center"/>
              <w:rPr>
                <w:noProof/>
              </w:rPr>
            </w:pPr>
            <w:r>
              <w:rPr>
                <w:noProof/>
              </w:rPr>
              <w:t>161</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42CD194" w14:textId="77777777" w:rsidR="00025543" w:rsidRDefault="007E3A2F">
            <w:pPr>
              <w:pStyle w:val="P68B1DB1-Normal57"/>
              <w:spacing w:before="0" w:after="0" w:line="240" w:lineRule="auto"/>
              <w:jc w:val="center"/>
              <w:rPr>
                <w:noProof/>
              </w:rPr>
            </w:pPr>
            <w:r>
              <w:rPr>
                <w:noProof/>
              </w:rPr>
              <w:t>C 2.9: Promotion de la biodiversité et lutte contre la sécheresse — Investissement 1: Protection contre les sécheresses et les inondations de la ville de Brno</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670D18A" w14:textId="77777777" w:rsidR="00025543" w:rsidRDefault="007E3A2F">
            <w:pPr>
              <w:pStyle w:val="P68B1DB1-Normal57"/>
              <w:spacing w:before="0" w:after="0" w:line="240" w:lineRule="auto"/>
              <w:jc w:val="center"/>
              <w:rPr>
                <w:noProof/>
              </w:rPr>
            </w:pPr>
            <w:r>
              <w:rPr>
                <w:noProof/>
              </w:rPr>
              <w:t>Étapes</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1236C81" w14:textId="77777777" w:rsidR="00025543" w:rsidRDefault="007E3A2F">
            <w:pPr>
              <w:pStyle w:val="P68B1DB1-Normal56"/>
              <w:spacing w:before="0" w:after="0" w:line="240" w:lineRule="auto"/>
              <w:jc w:val="center"/>
              <w:rPr>
                <w:noProof/>
              </w:rPr>
            </w:pPr>
            <w:r>
              <w:rPr>
                <w:noProof/>
              </w:rPr>
              <w:t xml:space="preserve">Notification de l’attribution de marchés pour des projets visant à protéger la ville de Brno contre les sécheresses et les inondations. </w:t>
            </w:r>
          </w:p>
        </w:tc>
      </w:tr>
      <w:tr w:rsidR="00025543" w14:paraId="6E751AAD" w14:textId="77777777">
        <w:trPr>
          <w:trHeight w:val="99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DB97BCF" w14:textId="77777777" w:rsidR="00025543" w:rsidRDefault="007E3A2F">
            <w:pPr>
              <w:pStyle w:val="P68B1DB1-Normal57"/>
              <w:spacing w:before="0" w:after="0" w:line="240" w:lineRule="auto"/>
              <w:jc w:val="center"/>
              <w:rPr>
                <w:noProof/>
              </w:rPr>
            </w:pPr>
            <w:r>
              <w:rPr>
                <w:noProof/>
              </w:rPr>
              <w:t>228</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FCF857F" w14:textId="77777777" w:rsidR="00025543" w:rsidRDefault="007E3A2F">
            <w:pPr>
              <w:pStyle w:val="P68B1DB1-Normal57"/>
              <w:spacing w:before="0" w:after="0" w:line="240" w:lineRule="auto"/>
              <w:jc w:val="center"/>
              <w:rPr>
                <w:noProof/>
              </w:rPr>
            </w:pPr>
            <w:r>
              <w:rPr>
                <w:noProof/>
              </w:rPr>
              <w:t>C 5.2: Soutien à la recherche et au développement dans les entreprises et introduction des innovations dans les pratiques commerciales — Investissements 2: Soutien à la coopération en matière de recherche et de développement (conformément à la stratégie de spécialisation intelligente)</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741360C"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BC34D30" w14:textId="77777777" w:rsidR="00025543" w:rsidRDefault="007E3A2F">
            <w:pPr>
              <w:pStyle w:val="P68B1DB1-Normal57"/>
              <w:spacing w:before="0" w:after="0" w:line="240" w:lineRule="auto"/>
              <w:jc w:val="center"/>
              <w:rPr>
                <w:noProof/>
              </w:rPr>
            </w:pPr>
            <w:r>
              <w:rPr>
                <w:noProof/>
              </w:rPr>
              <w:t>Coopération des PME avec un organisme public de recherche dans le cadre des centres nationaux de compétences</w:t>
            </w:r>
          </w:p>
        </w:tc>
      </w:tr>
      <w:tr w:rsidR="00025543" w14:paraId="10D383F8" w14:textId="77777777">
        <w:trPr>
          <w:trHeight w:val="795"/>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D8D62CC" w14:textId="77777777" w:rsidR="00025543" w:rsidRDefault="007E3A2F">
            <w:pPr>
              <w:pStyle w:val="P68B1DB1-Normal57"/>
              <w:spacing w:before="0" w:after="0" w:line="240" w:lineRule="auto"/>
              <w:jc w:val="center"/>
              <w:rPr>
                <w:noProof/>
              </w:rPr>
            </w:pPr>
            <w:r>
              <w:rPr>
                <w:noProof/>
              </w:rPr>
              <w:t>232</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4140101" w14:textId="77777777" w:rsidR="00025543" w:rsidRDefault="007E3A2F">
            <w:pPr>
              <w:pStyle w:val="P68B1DB1-Normal57"/>
              <w:spacing w:before="0" w:after="0" w:line="240" w:lineRule="auto"/>
              <w:jc w:val="center"/>
              <w:rPr>
                <w:noProof/>
              </w:rPr>
            </w:pPr>
            <w:r>
              <w:rPr>
                <w:noProof/>
              </w:rPr>
              <w:t>C 6.1: Accroître la résilience du système de santé — Investissement 1: Création du centre intensif de simulation de médicaments et optimisation du système éducatif</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E77557D" w14:textId="77777777" w:rsidR="00025543" w:rsidRDefault="007E3A2F">
            <w:pPr>
              <w:pStyle w:val="P68B1DB1-Normal57"/>
              <w:spacing w:before="0" w:after="0" w:line="240" w:lineRule="auto"/>
              <w:jc w:val="center"/>
              <w:rPr>
                <w:noProof/>
              </w:rPr>
            </w:pPr>
            <w:r>
              <w:rPr>
                <w:noProof/>
              </w:rPr>
              <w:t>Étapes</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31752E2" w14:textId="77777777" w:rsidR="00025543" w:rsidRDefault="007E3A2F">
            <w:pPr>
              <w:pStyle w:val="P68B1DB1-Normal57"/>
              <w:spacing w:before="0" w:after="0" w:line="240" w:lineRule="auto"/>
              <w:jc w:val="center"/>
              <w:rPr>
                <w:noProof/>
              </w:rPr>
            </w:pPr>
            <w:r>
              <w:rPr>
                <w:noProof/>
              </w:rPr>
              <w:t xml:space="preserve">Appel d’offres pour la construction du centre de simulation de médicaments intensifs </w:t>
            </w:r>
          </w:p>
        </w:tc>
      </w:tr>
      <w:tr w:rsidR="00025543" w14:paraId="6A322B76" w14:textId="77777777">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D7A68BC" w14:textId="77777777" w:rsidR="00025543" w:rsidRDefault="007E3A2F">
            <w:pPr>
              <w:pStyle w:val="P68B1DB1-Normal56"/>
              <w:spacing w:before="0" w:after="0" w:line="240" w:lineRule="auto"/>
              <w:jc w:val="center"/>
              <w:rPr>
                <w:noProof/>
              </w:rPr>
            </w:pPr>
            <w:r>
              <w:rPr>
                <w:noProof/>
              </w:rPr>
              <w:t>240</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C10AB24" w14:textId="77777777" w:rsidR="00025543" w:rsidRDefault="007E3A2F">
            <w:pPr>
              <w:pStyle w:val="P68B1DB1-Normal57"/>
              <w:spacing w:before="0" w:after="0" w:line="240" w:lineRule="auto"/>
              <w:jc w:val="center"/>
              <w:rPr>
                <w:noProof/>
              </w:rPr>
            </w:pPr>
            <w:r>
              <w:rPr>
                <w:noProof/>
              </w:rPr>
              <w:t>C 6.2: Plan national de renforcement de la prévention et des soins oncologiques — Investissement 1: Construction et mise en place de l’Institut oncologique tchèque</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68282C9" w14:textId="77777777" w:rsidR="00025543" w:rsidRDefault="007E3A2F">
            <w:pPr>
              <w:pStyle w:val="P68B1DB1-Normal57"/>
              <w:spacing w:before="0" w:after="0" w:line="240" w:lineRule="auto"/>
              <w:jc w:val="center"/>
              <w:rPr>
                <w:noProof/>
              </w:rPr>
            </w:pPr>
            <w:r>
              <w:rPr>
                <w:noProof/>
              </w:rPr>
              <w:t>Étapes</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7E0127D" w14:textId="77777777" w:rsidR="00025543" w:rsidRDefault="007E3A2F">
            <w:pPr>
              <w:pStyle w:val="P68B1DB1-Normal56"/>
              <w:spacing w:before="0" w:after="0" w:line="240" w:lineRule="auto"/>
              <w:jc w:val="center"/>
              <w:rPr>
                <w:noProof/>
              </w:rPr>
            </w:pPr>
            <w:r>
              <w:rPr>
                <w:noProof/>
              </w:rPr>
              <w:t xml:space="preserve">Étude de faisabilité validée par une autorité indépendante </w:t>
            </w:r>
          </w:p>
        </w:tc>
      </w:tr>
      <w:tr w:rsidR="00025543" w14:paraId="20970B9E" w14:textId="77777777">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1BA36FE" w14:textId="77777777" w:rsidR="00025543" w:rsidRDefault="007E3A2F">
            <w:pPr>
              <w:pStyle w:val="P68B1DB1-Normal56"/>
              <w:spacing w:before="0" w:after="0" w:line="240" w:lineRule="auto"/>
              <w:jc w:val="center"/>
              <w:rPr>
                <w:noProof/>
              </w:rPr>
            </w:pPr>
            <w:r>
              <w:rPr>
                <w:noProof/>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FDC820A" w14:textId="77777777" w:rsidR="00025543" w:rsidRDefault="007E3A2F">
            <w:pPr>
              <w:pStyle w:val="P68B1DB1-Normal57"/>
              <w:spacing w:before="0" w:after="0" w:line="240" w:lineRule="auto"/>
              <w:jc w:val="center"/>
              <w:rPr>
                <w:noProof/>
              </w:rPr>
            </w:pPr>
            <w:r>
              <w:rPr>
                <w:noProof/>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975BCAF" w14:textId="77777777" w:rsidR="00025543" w:rsidRDefault="007E3A2F">
            <w:pPr>
              <w:pStyle w:val="P68B1DB1-Normal59"/>
              <w:spacing w:before="0" w:after="0" w:line="240" w:lineRule="auto"/>
              <w:jc w:val="center"/>
              <w:rPr>
                <w:noProof/>
              </w:rPr>
            </w:pPr>
            <w:r>
              <w:rPr>
                <w:noProof/>
              </w:rPr>
              <w:t>Montant de la tranche</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4D45393" w14:textId="35FE20FE" w:rsidR="00025543" w:rsidRDefault="007E3A2F">
            <w:pPr>
              <w:pStyle w:val="P68B1DB1-Normal60"/>
              <w:spacing w:before="0" w:after="0" w:line="240" w:lineRule="auto"/>
              <w:jc w:val="center"/>
              <w:rPr>
                <w:smallCaps/>
                <w:noProof/>
              </w:rPr>
            </w:pPr>
            <w:r>
              <w:rPr>
                <w:noProof/>
              </w:rPr>
              <w:t>660 565 003 EUR</w:t>
            </w:r>
            <w:r>
              <w:rPr>
                <w:smallCaps/>
                <w:noProof/>
              </w:rPr>
              <w:t xml:space="preserve"> </w:t>
            </w:r>
          </w:p>
        </w:tc>
      </w:tr>
    </w:tbl>
    <w:p w14:paraId="5DA55E60" w14:textId="77777777" w:rsidR="00025543" w:rsidRDefault="00025543">
      <w:pPr>
        <w:spacing w:line="240" w:lineRule="auto"/>
        <w:jc w:val="both"/>
        <w:rPr>
          <w:noProof/>
        </w:rPr>
      </w:pPr>
    </w:p>
    <w:p w14:paraId="2C2268A3" w14:textId="77777777" w:rsidR="00025543" w:rsidRDefault="007E3A2F">
      <w:pPr>
        <w:numPr>
          <w:ilvl w:val="1"/>
          <w:numId w:val="198"/>
        </w:numPr>
        <w:spacing w:line="240" w:lineRule="auto"/>
        <w:jc w:val="both"/>
        <w:rPr>
          <w:noProof/>
        </w:rPr>
      </w:pPr>
      <w:r>
        <w:rPr>
          <w:noProof/>
        </w:rPr>
        <w:t xml:space="preserve">Troisième tranche (soutien non remboursable): </w:t>
      </w:r>
    </w:p>
    <w:tbl>
      <w:tblPr>
        <w:tblW w:w="10490" w:type="dxa"/>
        <w:tblInd w:w="-601" w:type="dxa"/>
        <w:tblLook w:val="04A0" w:firstRow="1" w:lastRow="0" w:firstColumn="1" w:lastColumn="0" w:noHBand="0" w:noVBand="1"/>
      </w:tblPr>
      <w:tblGrid>
        <w:gridCol w:w="1276"/>
        <w:gridCol w:w="3969"/>
        <w:gridCol w:w="1843"/>
        <w:gridCol w:w="3402"/>
      </w:tblGrid>
      <w:tr w:rsidR="00025543" w14:paraId="03DDA853" w14:textId="77777777">
        <w:trPr>
          <w:trHeight w:val="825"/>
        </w:trPr>
        <w:tc>
          <w:tcPr>
            <w:tcW w:w="1276" w:type="dxa"/>
            <w:tcBorders>
              <w:top w:val="single" w:sz="8" w:space="0" w:color="auto"/>
              <w:left w:val="single" w:sz="8" w:space="0" w:color="auto"/>
              <w:bottom w:val="single" w:sz="8" w:space="0" w:color="auto"/>
              <w:right w:val="single" w:sz="8" w:space="0" w:color="auto"/>
            </w:tcBorders>
            <w:shd w:val="clear" w:color="auto" w:fill="BDD7EE"/>
            <w:vAlign w:val="center"/>
            <w:hideMark/>
          </w:tcPr>
          <w:p w14:paraId="20F8D6EC" w14:textId="77777777" w:rsidR="00025543" w:rsidRDefault="007E3A2F">
            <w:pPr>
              <w:pStyle w:val="P68B1DB1-Normal55"/>
              <w:spacing w:before="0" w:after="0" w:line="240" w:lineRule="auto"/>
              <w:jc w:val="center"/>
              <w:rPr>
                <w:noProof/>
              </w:rPr>
            </w:pPr>
            <w:r>
              <w:rPr>
                <w:noProof/>
              </w:rPr>
              <w:t>Numéro séquentiel</w:t>
            </w:r>
          </w:p>
        </w:tc>
        <w:tc>
          <w:tcPr>
            <w:tcW w:w="3969" w:type="dxa"/>
            <w:tcBorders>
              <w:top w:val="single" w:sz="8" w:space="0" w:color="auto"/>
              <w:left w:val="nil"/>
              <w:bottom w:val="single" w:sz="8" w:space="0" w:color="auto"/>
              <w:right w:val="single" w:sz="8" w:space="0" w:color="auto"/>
            </w:tcBorders>
            <w:shd w:val="clear" w:color="auto" w:fill="BDD7EE"/>
            <w:vAlign w:val="center"/>
            <w:hideMark/>
          </w:tcPr>
          <w:p w14:paraId="0559E132" w14:textId="77777777" w:rsidR="00025543" w:rsidRDefault="007E3A2F">
            <w:pPr>
              <w:pStyle w:val="P68B1DB1-Normal55"/>
              <w:spacing w:before="0" w:after="0" w:line="240" w:lineRule="auto"/>
              <w:jc w:val="center"/>
              <w:rPr>
                <w:noProof/>
              </w:rPr>
            </w:pPr>
            <w:r>
              <w:rPr>
                <w:noProof/>
              </w:rPr>
              <w:t>Mesure connexe (réforme ou investissement)</w:t>
            </w:r>
          </w:p>
        </w:tc>
        <w:tc>
          <w:tcPr>
            <w:tcW w:w="1843" w:type="dxa"/>
            <w:tcBorders>
              <w:top w:val="single" w:sz="8" w:space="0" w:color="auto"/>
              <w:left w:val="nil"/>
              <w:bottom w:val="single" w:sz="8" w:space="0" w:color="auto"/>
              <w:right w:val="single" w:sz="8" w:space="0" w:color="auto"/>
            </w:tcBorders>
            <w:shd w:val="clear" w:color="auto" w:fill="BDD7EE"/>
            <w:vAlign w:val="center"/>
            <w:hideMark/>
          </w:tcPr>
          <w:p w14:paraId="6420FD40" w14:textId="77777777" w:rsidR="00025543" w:rsidRDefault="007E3A2F">
            <w:pPr>
              <w:pStyle w:val="P68B1DB1-Normal55"/>
              <w:spacing w:before="0" w:after="0" w:line="240" w:lineRule="auto"/>
              <w:jc w:val="center"/>
              <w:rPr>
                <w:noProof/>
              </w:rPr>
            </w:pPr>
            <w:r>
              <w:rPr>
                <w:noProof/>
              </w:rPr>
              <w:t>Jalon/cible</w:t>
            </w:r>
          </w:p>
        </w:tc>
        <w:tc>
          <w:tcPr>
            <w:tcW w:w="3402" w:type="dxa"/>
            <w:tcBorders>
              <w:top w:val="single" w:sz="8" w:space="0" w:color="auto"/>
              <w:left w:val="nil"/>
              <w:bottom w:val="single" w:sz="8" w:space="0" w:color="auto"/>
              <w:right w:val="single" w:sz="8" w:space="0" w:color="auto"/>
            </w:tcBorders>
            <w:shd w:val="clear" w:color="auto" w:fill="BDD7EE"/>
            <w:vAlign w:val="center"/>
            <w:hideMark/>
          </w:tcPr>
          <w:p w14:paraId="60A06208" w14:textId="77777777" w:rsidR="00025543" w:rsidRDefault="007E3A2F">
            <w:pPr>
              <w:pStyle w:val="P68B1DB1-Normal55"/>
              <w:spacing w:before="0" w:after="0" w:line="240" w:lineRule="auto"/>
              <w:jc w:val="center"/>
              <w:rPr>
                <w:noProof/>
              </w:rPr>
            </w:pPr>
            <w:r>
              <w:rPr>
                <w:noProof/>
              </w:rPr>
              <w:t>Nom</w:t>
            </w:r>
          </w:p>
        </w:tc>
      </w:tr>
      <w:tr w:rsidR="00025543" w14:paraId="7D3914DC" w14:textId="77777777">
        <w:trPr>
          <w:trHeight w:val="795"/>
        </w:trPr>
        <w:tc>
          <w:tcPr>
            <w:tcW w:w="1276"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698F1C57" w14:textId="77777777" w:rsidR="00025543" w:rsidRDefault="007E3A2F">
            <w:pPr>
              <w:pStyle w:val="P68B1DB1-Normal56"/>
              <w:spacing w:before="0" w:after="0" w:line="240" w:lineRule="auto"/>
              <w:jc w:val="center"/>
              <w:rPr>
                <w:noProof/>
              </w:rPr>
            </w:pPr>
            <w:r>
              <w:rPr>
                <w:noProof/>
              </w:rPr>
              <w:t>139</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323F2B8B" w14:textId="77777777" w:rsidR="00025543" w:rsidRDefault="007E3A2F">
            <w:pPr>
              <w:pStyle w:val="P68B1DB1-Normal57"/>
              <w:spacing w:before="0" w:after="0" w:line="240" w:lineRule="auto"/>
              <w:jc w:val="center"/>
              <w:rPr>
                <w:noProof/>
              </w:rPr>
            </w:pPr>
            <w:r>
              <w:rPr>
                <w:noProof/>
              </w:rPr>
              <w:t xml:space="preserve">C 2.6: Protection de la nature et adaptation au changement climatique — Investissement 4: Construire des forêts résilientes face au changement climatique  </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3C764997" w14:textId="77777777" w:rsidR="00025543" w:rsidRDefault="007E3A2F">
            <w:pPr>
              <w:pStyle w:val="P68B1DB1-Normal57"/>
              <w:spacing w:before="0" w:after="0" w:line="240" w:lineRule="auto"/>
              <w:jc w:val="center"/>
              <w:rPr>
                <w:noProof/>
              </w:rPr>
            </w:pPr>
            <w:r>
              <w:rPr>
                <w:noProof/>
              </w:rPr>
              <w:t>Étapes</w:t>
            </w:r>
          </w:p>
        </w:tc>
        <w:tc>
          <w:tcPr>
            <w:tcW w:w="3402" w:type="dxa"/>
            <w:tcBorders>
              <w:top w:val="nil"/>
              <w:left w:val="nil"/>
              <w:bottom w:val="single" w:sz="8" w:space="0" w:color="000000" w:themeColor="text1"/>
              <w:right w:val="single" w:sz="8" w:space="0" w:color="auto"/>
            </w:tcBorders>
            <w:shd w:val="clear" w:color="auto" w:fill="C6EFCE"/>
            <w:vAlign w:val="center"/>
            <w:hideMark/>
          </w:tcPr>
          <w:p w14:paraId="20F1F462" w14:textId="77777777" w:rsidR="00025543" w:rsidRDefault="007E3A2F">
            <w:pPr>
              <w:pStyle w:val="P68B1DB1-Normal56"/>
              <w:spacing w:before="0" w:after="0" w:line="240" w:lineRule="auto"/>
              <w:jc w:val="center"/>
              <w:rPr>
                <w:noProof/>
              </w:rPr>
            </w:pPr>
            <w:r>
              <w:rPr>
                <w:noProof/>
              </w:rPr>
              <w:t>Modification du décret ministériel sur la planification de la gestion forestière (modification du décret no 84/1996 Rec. sur la planification de la gestion forestière)</w:t>
            </w:r>
          </w:p>
        </w:tc>
      </w:tr>
      <w:tr w:rsidR="00025543" w14:paraId="322E052B" w14:textId="77777777">
        <w:trPr>
          <w:trHeight w:val="795"/>
        </w:trPr>
        <w:tc>
          <w:tcPr>
            <w:tcW w:w="1276"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6F433E79" w14:textId="39C78616" w:rsidR="00025543" w:rsidRDefault="007E3A2F">
            <w:pPr>
              <w:pStyle w:val="P68B1DB1-Normal56"/>
              <w:spacing w:line="240" w:lineRule="auto"/>
              <w:jc w:val="center"/>
              <w:rPr>
                <w:noProof/>
              </w:rPr>
            </w:pPr>
            <w:r>
              <w:rPr>
                <w:noProof/>
              </w:rPr>
              <w:t>78</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548F17EF" w14:textId="77777777" w:rsidR="00025543" w:rsidRDefault="007E3A2F">
            <w:pPr>
              <w:pStyle w:val="P68B1DB1-Normal57"/>
              <w:spacing w:before="0" w:after="0" w:line="240" w:lineRule="auto"/>
              <w:jc w:val="center"/>
              <w:rPr>
                <w:noProof/>
              </w:rPr>
            </w:pPr>
            <w:r>
              <w:rPr>
                <w:noProof/>
              </w:rPr>
              <w:t>C 2.1: Transports durables — Réforme 1: Créer des alternatives à l’énergie et au transport routier à forte intensité spatiale</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3F33F67D" w14:textId="77777777" w:rsidR="00025543" w:rsidRDefault="007E3A2F">
            <w:pPr>
              <w:pStyle w:val="P68B1DB1-Normal57"/>
              <w:spacing w:before="0" w:after="0" w:line="240" w:lineRule="auto"/>
              <w:jc w:val="center"/>
              <w:rPr>
                <w:noProof/>
              </w:rPr>
            </w:pPr>
            <w:r>
              <w:rPr>
                <w:noProof/>
              </w:rPr>
              <w:t>Étapes</w:t>
            </w:r>
          </w:p>
        </w:tc>
        <w:tc>
          <w:tcPr>
            <w:tcW w:w="3402" w:type="dxa"/>
            <w:tcBorders>
              <w:top w:val="nil"/>
              <w:left w:val="nil"/>
              <w:bottom w:val="single" w:sz="8" w:space="0" w:color="000000" w:themeColor="text1"/>
              <w:right w:val="single" w:sz="8" w:space="0" w:color="auto"/>
            </w:tcBorders>
            <w:shd w:val="clear" w:color="auto" w:fill="C6EFCE"/>
            <w:vAlign w:val="center"/>
            <w:hideMark/>
          </w:tcPr>
          <w:p w14:paraId="6A6BE08F" w14:textId="77777777" w:rsidR="00025543" w:rsidRDefault="007E3A2F">
            <w:pPr>
              <w:pStyle w:val="P68B1DB1-Normal57"/>
              <w:spacing w:before="0" w:after="0" w:line="240" w:lineRule="auto"/>
              <w:jc w:val="center"/>
              <w:rPr>
                <w:noProof/>
              </w:rPr>
            </w:pPr>
            <w:r>
              <w:rPr>
                <w:noProof/>
              </w:rPr>
              <w:t>Approbation des plans de mobilité</w:t>
            </w:r>
          </w:p>
        </w:tc>
      </w:tr>
      <w:tr w:rsidR="00025543" w14:paraId="2A0E1826" w14:textId="77777777">
        <w:trPr>
          <w:trHeight w:val="795"/>
        </w:trPr>
        <w:tc>
          <w:tcPr>
            <w:tcW w:w="1276"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50BB3914" w14:textId="69EA939F" w:rsidR="00025543" w:rsidRDefault="007E3A2F">
            <w:pPr>
              <w:pStyle w:val="P68B1DB1-Normal56"/>
              <w:spacing w:line="240" w:lineRule="auto"/>
              <w:jc w:val="center"/>
              <w:rPr>
                <w:noProof/>
              </w:rPr>
            </w:pPr>
            <w:r>
              <w:rPr>
                <w:noProof/>
              </w:rPr>
              <w:t>87</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505231CB" w14:textId="77777777" w:rsidR="00025543" w:rsidRDefault="007E3A2F">
            <w:pPr>
              <w:pStyle w:val="P68B1DB1-Normal57"/>
              <w:spacing w:before="0" w:after="0" w:line="240" w:lineRule="auto"/>
              <w:jc w:val="center"/>
              <w:rPr>
                <w:noProof/>
              </w:rPr>
            </w:pPr>
            <w:r>
              <w:rPr>
                <w:noProof/>
              </w:rPr>
              <w:t>C 2.1: Transports durables — Investissements 2: Électrification des chemins de fer</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51F5D04E" w14:textId="77777777" w:rsidR="00025543" w:rsidRDefault="007E3A2F">
            <w:pPr>
              <w:pStyle w:val="P68B1DB1-Normal57"/>
              <w:spacing w:before="0" w:after="0" w:line="240" w:lineRule="auto"/>
              <w:jc w:val="center"/>
              <w:rPr>
                <w:noProof/>
              </w:rPr>
            </w:pPr>
            <w:r>
              <w:rPr>
                <w:noProof/>
              </w:rPr>
              <w:t>Cible</w:t>
            </w:r>
          </w:p>
        </w:tc>
        <w:tc>
          <w:tcPr>
            <w:tcW w:w="3402" w:type="dxa"/>
            <w:tcBorders>
              <w:top w:val="nil"/>
              <w:left w:val="nil"/>
              <w:bottom w:val="single" w:sz="8" w:space="0" w:color="000000" w:themeColor="text1"/>
              <w:right w:val="single" w:sz="8" w:space="0" w:color="auto"/>
            </w:tcBorders>
            <w:shd w:val="clear" w:color="auto" w:fill="C6EFCE"/>
            <w:vAlign w:val="center"/>
            <w:hideMark/>
          </w:tcPr>
          <w:p w14:paraId="0E4C36C5" w14:textId="77777777" w:rsidR="00025543" w:rsidRDefault="007E3A2F">
            <w:pPr>
              <w:pStyle w:val="P68B1DB1-Normal57"/>
              <w:spacing w:before="0" w:after="0" w:line="240" w:lineRule="auto"/>
              <w:jc w:val="center"/>
              <w:rPr>
                <w:noProof/>
              </w:rPr>
            </w:pPr>
            <w:r>
              <w:rPr>
                <w:noProof/>
              </w:rPr>
              <w:t xml:space="preserve">Achèvement de deux projets issus d’un ensemble prédéfini de projets </w:t>
            </w:r>
          </w:p>
        </w:tc>
      </w:tr>
      <w:tr w:rsidR="00025543" w14:paraId="200AE9CA" w14:textId="77777777">
        <w:trPr>
          <w:trHeight w:val="795"/>
        </w:trPr>
        <w:tc>
          <w:tcPr>
            <w:tcW w:w="1276" w:type="dxa"/>
            <w:tcBorders>
              <w:top w:val="single" w:sz="4" w:space="0" w:color="000000" w:themeColor="text1"/>
              <w:left w:val="single" w:sz="8" w:space="0" w:color="auto"/>
              <w:bottom w:val="single" w:sz="8" w:space="0" w:color="000000" w:themeColor="text1"/>
              <w:right w:val="single" w:sz="8" w:space="0" w:color="000000" w:themeColor="text1"/>
            </w:tcBorders>
            <w:shd w:val="clear" w:color="auto" w:fill="C6EFCE"/>
            <w:vAlign w:val="center"/>
            <w:hideMark/>
          </w:tcPr>
          <w:p w14:paraId="11E24425" w14:textId="77777777" w:rsidR="00025543" w:rsidRDefault="007E3A2F">
            <w:pPr>
              <w:pStyle w:val="P68B1DB1-Normal56"/>
              <w:spacing w:before="0" w:after="0" w:line="240" w:lineRule="auto"/>
              <w:jc w:val="center"/>
              <w:rPr>
                <w:noProof/>
              </w:rPr>
            </w:pPr>
            <w:r>
              <w:rPr>
                <w:noProof/>
              </w:rPr>
              <w:t>142</w:t>
            </w:r>
          </w:p>
        </w:tc>
        <w:tc>
          <w:tcPr>
            <w:tcW w:w="3969"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305CFB9C" w14:textId="77777777" w:rsidR="00025543" w:rsidRDefault="007E3A2F">
            <w:pPr>
              <w:pStyle w:val="P68B1DB1-Normal57"/>
              <w:spacing w:before="0" w:after="0" w:line="240" w:lineRule="auto"/>
              <w:jc w:val="center"/>
              <w:rPr>
                <w:noProof/>
              </w:rPr>
            </w:pPr>
            <w:r>
              <w:rPr>
                <w:noProof/>
              </w:rPr>
              <w:t>C 2.6: Protection de la nature et adaptation au changement climatique — Investissement 5: Rétention d’eau dans les forêts</w:t>
            </w:r>
          </w:p>
        </w:tc>
        <w:tc>
          <w:tcPr>
            <w:tcW w:w="1843"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7A2D640A" w14:textId="7B56D8B4" w:rsidR="00025543" w:rsidRDefault="007E3A2F">
            <w:pPr>
              <w:pStyle w:val="P68B1DB1-Normal35"/>
              <w:spacing w:before="0" w:after="0" w:line="240" w:lineRule="auto"/>
              <w:jc w:val="center"/>
              <w:rPr>
                <w:rFonts w:eastAsia="Times New Roman"/>
                <w:noProof/>
                <w:sz w:val="20"/>
              </w:rPr>
            </w:pPr>
            <w:r>
              <w:rPr>
                <w:noProof/>
              </w:rPr>
              <w:t>Cible</w:t>
            </w:r>
          </w:p>
        </w:tc>
        <w:tc>
          <w:tcPr>
            <w:tcW w:w="3402" w:type="dxa"/>
            <w:tcBorders>
              <w:top w:val="single" w:sz="4" w:space="0" w:color="000000" w:themeColor="text1"/>
              <w:left w:val="nil"/>
              <w:bottom w:val="single" w:sz="8" w:space="0" w:color="000000" w:themeColor="text1"/>
              <w:right w:val="single" w:sz="8" w:space="0" w:color="auto"/>
            </w:tcBorders>
            <w:shd w:val="clear" w:color="auto" w:fill="C6EFCE"/>
            <w:vAlign w:val="center"/>
            <w:hideMark/>
          </w:tcPr>
          <w:p w14:paraId="3A63C1B4" w14:textId="77777777" w:rsidR="00025543" w:rsidRDefault="007E3A2F">
            <w:pPr>
              <w:pStyle w:val="P68B1DB1-Normal56"/>
              <w:spacing w:before="0" w:after="0" w:line="240" w:lineRule="auto"/>
              <w:jc w:val="center"/>
              <w:rPr>
                <w:noProof/>
              </w:rPr>
            </w:pPr>
            <w:r>
              <w:rPr>
                <w:noProof/>
              </w:rPr>
              <w:t>T1: Achèvement de 40 projets de contrôle des torrent (barrages à petite échelle en bois et en pierre naturelle) afin de ralentir les projets de ruissellement de surface et de rétention d’eau dans les forêts (rétention et petits réservoirs).</w:t>
            </w:r>
          </w:p>
        </w:tc>
      </w:tr>
      <w:tr w:rsidR="00025543" w14:paraId="712E1624" w14:textId="77777777">
        <w:trPr>
          <w:trHeight w:val="795"/>
        </w:trPr>
        <w:tc>
          <w:tcPr>
            <w:tcW w:w="1276"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2AB1A24E" w14:textId="2723B329" w:rsidR="00025543" w:rsidRDefault="007E3A2F">
            <w:pPr>
              <w:pStyle w:val="P68B1DB1-Normal56"/>
              <w:spacing w:before="0" w:after="0" w:line="240" w:lineRule="auto"/>
              <w:jc w:val="center"/>
              <w:rPr>
                <w:noProof/>
              </w:rPr>
            </w:pPr>
            <w:r>
              <w:rPr>
                <w:noProof/>
              </w:rPr>
              <w:t>48</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72FD25B6" w14:textId="77777777" w:rsidR="00025543" w:rsidRDefault="007E3A2F">
            <w:pPr>
              <w:pStyle w:val="P68B1DB1-Normal57"/>
              <w:spacing w:before="0" w:after="0" w:line="240" w:lineRule="auto"/>
              <w:jc w:val="center"/>
              <w:rPr>
                <w:noProof/>
              </w:rPr>
            </w:pPr>
            <w:r>
              <w:rPr>
                <w:noProof/>
              </w:rPr>
              <w:t>C 1.4: Économie et société numériques, jeunes pousses innovantes et nouvelles technologies — Réforme 2: Groupe conjoint de soutien et de certification en matière de technologies stratégiques avec le comité des technologies stratégiques</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1F0FCFCD" w14:textId="43E4D3E2" w:rsidR="00025543" w:rsidRDefault="007E3A2F">
            <w:pPr>
              <w:pStyle w:val="P68B1DB1-Normal57"/>
              <w:spacing w:before="0" w:after="0" w:line="240" w:lineRule="auto"/>
              <w:jc w:val="center"/>
              <w:rPr>
                <w:noProof/>
              </w:rPr>
            </w:pPr>
            <w:r>
              <w:rPr>
                <w:noProof/>
              </w:rPr>
              <w:t>Étapes</w:t>
            </w:r>
          </w:p>
        </w:tc>
        <w:tc>
          <w:tcPr>
            <w:tcW w:w="3402" w:type="dxa"/>
            <w:tcBorders>
              <w:top w:val="nil"/>
              <w:left w:val="nil"/>
              <w:bottom w:val="single" w:sz="8" w:space="0" w:color="000000" w:themeColor="text1"/>
              <w:right w:val="single" w:sz="8" w:space="0" w:color="auto"/>
            </w:tcBorders>
            <w:shd w:val="clear" w:color="auto" w:fill="C6EFCE"/>
            <w:vAlign w:val="center"/>
            <w:hideMark/>
          </w:tcPr>
          <w:p w14:paraId="0DFE4216" w14:textId="4A5B5532" w:rsidR="00025543" w:rsidRDefault="007E3A2F">
            <w:pPr>
              <w:pStyle w:val="P68B1DB1-Normal56"/>
              <w:jc w:val="center"/>
              <w:rPr>
                <w:noProof/>
              </w:rPr>
            </w:pPr>
            <w:r>
              <w:rPr>
                <w:noProof/>
              </w:rPr>
              <w:t>Mise en place et désignation d’un réseau de certification</w:t>
            </w:r>
          </w:p>
        </w:tc>
      </w:tr>
      <w:tr w:rsidR="00025543" w14:paraId="00A735AD" w14:textId="77777777">
        <w:trPr>
          <w:trHeight w:val="990"/>
        </w:trPr>
        <w:tc>
          <w:tcPr>
            <w:tcW w:w="1276" w:type="dxa"/>
            <w:tcBorders>
              <w:top w:val="nil"/>
              <w:left w:val="single" w:sz="8" w:space="0" w:color="auto"/>
              <w:bottom w:val="single" w:sz="4" w:space="0" w:color="000000" w:themeColor="text1"/>
              <w:right w:val="single" w:sz="8" w:space="0" w:color="000000" w:themeColor="text1"/>
            </w:tcBorders>
            <w:shd w:val="clear" w:color="auto" w:fill="C6EFCE"/>
            <w:vAlign w:val="center"/>
            <w:hideMark/>
          </w:tcPr>
          <w:p w14:paraId="5DB7A43A" w14:textId="77777777" w:rsidR="00025543" w:rsidRDefault="007E3A2F">
            <w:pPr>
              <w:pStyle w:val="P68B1DB1-Normal56"/>
              <w:spacing w:before="0" w:after="0" w:line="240" w:lineRule="auto"/>
              <w:jc w:val="center"/>
              <w:rPr>
                <w:noProof/>
              </w:rPr>
            </w:pPr>
            <w:r>
              <w:rPr>
                <w:noProof/>
              </w:rPr>
              <w:t>32</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69242799" w14:textId="73C0E6A8" w:rsidR="00025543" w:rsidRDefault="007E3A2F">
            <w:pPr>
              <w:pStyle w:val="P68B1DB1-Normal57"/>
              <w:spacing w:before="0" w:after="0" w:line="240" w:lineRule="auto"/>
              <w:jc w:val="center"/>
              <w:rPr>
                <w:noProof/>
              </w:rPr>
            </w:pPr>
            <w:r>
              <w:rPr>
                <w:noProof/>
              </w:rPr>
              <w:t>C 1.3: Réseaux numériques à haute capacité — Réforme 1: Amélioration de l’environnement pour le déploiement des réseaux de communications électroniques </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2B101351" w14:textId="77777777" w:rsidR="00025543" w:rsidRDefault="007E3A2F">
            <w:pPr>
              <w:pStyle w:val="P68B1DB1-Normal57"/>
              <w:spacing w:before="0" w:after="0" w:line="240" w:lineRule="auto"/>
              <w:jc w:val="center"/>
              <w:rPr>
                <w:noProof/>
              </w:rPr>
            </w:pPr>
            <w:r>
              <w:rPr>
                <w:noProof/>
              </w:rPr>
              <w:t>Étapes</w:t>
            </w:r>
          </w:p>
        </w:tc>
        <w:tc>
          <w:tcPr>
            <w:tcW w:w="3402" w:type="dxa"/>
            <w:tcBorders>
              <w:top w:val="nil"/>
              <w:left w:val="nil"/>
              <w:bottom w:val="single" w:sz="4" w:space="0" w:color="000000" w:themeColor="text1"/>
              <w:right w:val="single" w:sz="8" w:space="0" w:color="auto"/>
            </w:tcBorders>
            <w:shd w:val="clear" w:color="auto" w:fill="C6EFCE"/>
            <w:vAlign w:val="center"/>
            <w:hideMark/>
          </w:tcPr>
          <w:p w14:paraId="22C1D222" w14:textId="77777777" w:rsidR="00025543" w:rsidRDefault="007E3A2F">
            <w:pPr>
              <w:pStyle w:val="P68B1DB1-Normal56"/>
              <w:spacing w:before="0" w:after="0" w:line="240" w:lineRule="auto"/>
              <w:jc w:val="center"/>
              <w:rPr>
                <w:noProof/>
              </w:rPr>
            </w:pPr>
            <w:r>
              <w:rPr>
                <w:noProof/>
              </w:rPr>
              <w:t>Entrée en vigueur des mesures préparées par le ministère de l’industrie et du commerce en vue d’établir une base de données des plans de projets d’investissement et d’augmenter le nombre de mesures de la qualité du réseau </w:t>
            </w:r>
          </w:p>
        </w:tc>
      </w:tr>
      <w:tr w:rsidR="00025543" w14:paraId="2C58FCC6" w14:textId="77777777">
        <w:trPr>
          <w:trHeight w:val="600"/>
        </w:trPr>
        <w:tc>
          <w:tcPr>
            <w:tcW w:w="1276" w:type="dxa"/>
            <w:tcBorders>
              <w:top w:val="single" w:sz="4" w:space="0" w:color="000000" w:themeColor="text1"/>
              <w:left w:val="single" w:sz="8" w:space="0" w:color="auto"/>
              <w:bottom w:val="single" w:sz="8" w:space="0" w:color="auto"/>
              <w:right w:val="single" w:sz="8" w:space="0" w:color="auto"/>
            </w:tcBorders>
            <w:shd w:val="clear" w:color="auto" w:fill="C6EFCE"/>
            <w:vAlign w:val="center"/>
            <w:hideMark/>
          </w:tcPr>
          <w:p w14:paraId="237AB001" w14:textId="77777777" w:rsidR="00025543" w:rsidRDefault="007E3A2F">
            <w:pPr>
              <w:pStyle w:val="P68B1DB1-Normal57"/>
              <w:spacing w:before="0" w:after="0" w:line="240" w:lineRule="auto"/>
              <w:jc w:val="center"/>
              <w:rPr>
                <w:noProof/>
              </w:rPr>
            </w:pPr>
            <w:r>
              <w:rPr>
                <w:noProof/>
              </w:rPr>
              <w:t>99</w:t>
            </w:r>
          </w:p>
        </w:tc>
        <w:tc>
          <w:tcPr>
            <w:tcW w:w="3969" w:type="dxa"/>
            <w:tcBorders>
              <w:top w:val="nil"/>
              <w:left w:val="nil"/>
              <w:bottom w:val="single" w:sz="8" w:space="0" w:color="auto"/>
              <w:right w:val="single" w:sz="8" w:space="0" w:color="000000" w:themeColor="text1"/>
            </w:tcBorders>
            <w:shd w:val="clear" w:color="auto" w:fill="C6EFCE"/>
            <w:vAlign w:val="center"/>
            <w:hideMark/>
          </w:tcPr>
          <w:p w14:paraId="34BEE17B" w14:textId="77777777" w:rsidR="00025543" w:rsidRDefault="007E3A2F">
            <w:pPr>
              <w:pStyle w:val="P68B1DB1-Normal57"/>
              <w:spacing w:before="0" w:after="0" w:line="240" w:lineRule="auto"/>
              <w:jc w:val="center"/>
              <w:rPr>
                <w:noProof/>
              </w:rPr>
            </w:pPr>
            <w:r>
              <w:rPr>
                <w:noProof/>
              </w:rPr>
              <w:t>C 2.1: Transports durables — Investissements 4: Sécurité routière et ferroviaire (passages ferroviaires, ponts et tunnels, pistes cyclables et itinéraires sans obstacles)</w:t>
            </w:r>
          </w:p>
        </w:tc>
        <w:tc>
          <w:tcPr>
            <w:tcW w:w="1843" w:type="dxa"/>
            <w:tcBorders>
              <w:top w:val="nil"/>
              <w:left w:val="nil"/>
              <w:bottom w:val="single" w:sz="8" w:space="0" w:color="auto"/>
              <w:right w:val="single" w:sz="8" w:space="0" w:color="000000" w:themeColor="text1"/>
            </w:tcBorders>
            <w:shd w:val="clear" w:color="auto" w:fill="C6EFCE"/>
            <w:vAlign w:val="center"/>
            <w:hideMark/>
          </w:tcPr>
          <w:p w14:paraId="19DCF5FA"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4" w:space="0" w:color="000000" w:themeColor="text1"/>
              <w:left w:val="nil"/>
              <w:bottom w:val="single" w:sz="8" w:space="0" w:color="auto"/>
              <w:right w:val="single" w:sz="8" w:space="0" w:color="auto"/>
            </w:tcBorders>
            <w:shd w:val="clear" w:color="auto" w:fill="C6EFCE"/>
            <w:vAlign w:val="center"/>
            <w:hideMark/>
          </w:tcPr>
          <w:p w14:paraId="4CD54230" w14:textId="77777777" w:rsidR="00025543" w:rsidRDefault="007E3A2F">
            <w:pPr>
              <w:pStyle w:val="P68B1DB1-Normal57"/>
              <w:spacing w:before="0" w:after="0" w:line="240" w:lineRule="auto"/>
              <w:jc w:val="center"/>
              <w:rPr>
                <w:noProof/>
              </w:rPr>
            </w:pPr>
            <w:r>
              <w:rPr>
                <w:noProof/>
              </w:rPr>
              <w:t>Achèvement des ponts ou tunnels ferroviaires modernisés</w:t>
            </w:r>
          </w:p>
        </w:tc>
      </w:tr>
      <w:tr w:rsidR="00025543" w14:paraId="3A875010" w14:textId="77777777">
        <w:trPr>
          <w:trHeight w:val="600"/>
        </w:trPr>
        <w:tc>
          <w:tcPr>
            <w:tcW w:w="1276" w:type="dxa"/>
            <w:tcBorders>
              <w:top w:val="nil"/>
              <w:left w:val="single" w:sz="8" w:space="0" w:color="auto"/>
              <w:bottom w:val="single" w:sz="8" w:space="0" w:color="auto"/>
              <w:right w:val="single" w:sz="8" w:space="0" w:color="auto"/>
            </w:tcBorders>
            <w:shd w:val="clear" w:color="auto" w:fill="C6EFCE"/>
            <w:vAlign w:val="center"/>
            <w:hideMark/>
          </w:tcPr>
          <w:p w14:paraId="6CE6051A" w14:textId="77777777" w:rsidR="00025543" w:rsidRDefault="007E3A2F">
            <w:pPr>
              <w:pStyle w:val="P68B1DB1-Normal57"/>
              <w:spacing w:before="0" w:after="0" w:line="240" w:lineRule="auto"/>
              <w:jc w:val="center"/>
              <w:rPr>
                <w:noProof/>
              </w:rPr>
            </w:pPr>
            <w:r>
              <w:rPr>
                <w:noProof/>
              </w:rPr>
              <w:t xml:space="preserve"> </w:t>
            </w:r>
          </w:p>
        </w:tc>
        <w:tc>
          <w:tcPr>
            <w:tcW w:w="3969" w:type="dxa"/>
            <w:tcBorders>
              <w:top w:val="nil"/>
              <w:left w:val="nil"/>
              <w:bottom w:val="single" w:sz="8" w:space="0" w:color="auto"/>
              <w:right w:val="single" w:sz="8" w:space="0" w:color="000000" w:themeColor="text1"/>
            </w:tcBorders>
            <w:shd w:val="clear" w:color="auto" w:fill="C6EFCE"/>
            <w:vAlign w:val="center"/>
            <w:hideMark/>
          </w:tcPr>
          <w:p w14:paraId="4F5EBA18" w14:textId="77777777" w:rsidR="00025543" w:rsidRDefault="007E3A2F">
            <w:pPr>
              <w:pStyle w:val="P68B1DB1-Normal57"/>
              <w:spacing w:before="0" w:after="0" w:line="240" w:lineRule="auto"/>
              <w:jc w:val="center"/>
              <w:rPr>
                <w:noProof/>
              </w:rPr>
            </w:pPr>
            <w:r>
              <w:rPr>
                <w:noProof/>
              </w:rPr>
              <w:t xml:space="preserve"> </w:t>
            </w:r>
          </w:p>
        </w:tc>
        <w:tc>
          <w:tcPr>
            <w:tcW w:w="1843" w:type="dxa"/>
            <w:tcBorders>
              <w:top w:val="nil"/>
              <w:left w:val="nil"/>
              <w:bottom w:val="single" w:sz="8" w:space="0" w:color="auto"/>
              <w:right w:val="single" w:sz="8" w:space="0" w:color="000000" w:themeColor="text1"/>
            </w:tcBorders>
            <w:shd w:val="clear" w:color="auto" w:fill="C6EFCE"/>
            <w:vAlign w:val="center"/>
            <w:hideMark/>
          </w:tcPr>
          <w:p w14:paraId="00160A1B" w14:textId="77777777" w:rsidR="00025543" w:rsidRDefault="007E3A2F">
            <w:pPr>
              <w:pStyle w:val="P68B1DB1-Normal59"/>
              <w:spacing w:before="0" w:after="0" w:line="240" w:lineRule="auto"/>
              <w:jc w:val="center"/>
              <w:rPr>
                <w:noProof/>
              </w:rPr>
            </w:pPr>
            <w:r>
              <w:rPr>
                <w:noProof/>
              </w:rPr>
              <w:t>Montant de la tranche</w:t>
            </w:r>
          </w:p>
        </w:tc>
        <w:tc>
          <w:tcPr>
            <w:tcW w:w="3402" w:type="dxa"/>
            <w:tcBorders>
              <w:top w:val="nil"/>
              <w:left w:val="nil"/>
              <w:bottom w:val="single" w:sz="8" w:space="0" w:color="auto"/>
              <w:right w:val="single" w:sz="8" w:space="0" w:color="auto"/>
            </w:tcBorders>
            <w:shd w:val="clear" w:color="auto" w:fill="C6EFCE"/>
            <w:vAlign w:val="center"/>
            <w:hideMark/>
          </w:tcPr>
          <w:p w14:paraId="688E6A0C" w14:textId="5104978F" w:rsidR="00025543" w:rsidRDefault="007E3A2F">
            <w:pPr>
              <w:pStyle w:val="P68B1DB1-Normal59"/>
              <w:spacing w:before="0" w:after="0" w:line="240" w:lineRule="auto"/>
              <w:jc w:val="center"/>
              <w:rPr>
                <w:noProof/>
              </w:rPr>
            </w:pPr>
            <w:r>
              <w:rPr>
                <w:noProof/>
              </w:rPr>
              <w:t>142 506 202 EUR</w:t>
            </w:r>
          </w:p>
        </w:tc>
      </w:tr>
    </w:tbl>
    <w:p w14:paraId="74174708" w14:textId="77777777" w:rsidR="00025543" w:rsidRDefault="00025543">
      <w:pPr>
        <w:spacing w:line="240" w:lineRule="auto"/>
        <w:jc w:val="both"/>
        <w:rPr>
          <w:noProof/>
        </w:rPr>
      </w:pPr>
    </w:p>
    <w:p w14:paraId="3C0CFA36" w14:textId="77777777" w:rsidR="00025543" w:rsidRDefault="007E3A2F">
      <w:pPr>
        <w:numPr>
          <w:ilvl w:val="1"/>
          <w:numId w:val="198"/>
        </w:numPr>
        <w:spacing w:line="240" w:lineRule="auto"/>
        <w:jc w:val="both"/>
        <w:rPr>
          <w:noProof/>
        </w:rPr>
      </w:pPr>
      <w:r>
        <w:rPr>
          <w:noProof/>
        </w:rPr>
        <w:t xml:space="preserve">Quatrième tranche (soutien non remboursable): </w:t>
      </w:r>
    </w:p>
    <w:tbl>
      <w:tblPr>
        <w:tblW w:w="10285" w:type="dxa"/>
        <w:tblInd w:w="-601" w:type="dxa"/>
        <w:tblLook w:val="04A0" w:firstRow="1" w:lastRow="0" w:firstColumn="1" w:lastColumn="0" w:noHBand="0" w:noVBand="1"/>
      </w:tblPr>
      <w:tblGrid>
        <w:gridCol w:w="1290"/>
        <w:gridCol w:w="3975"/>
        <w:gridCol w:w="1800"/>
        <w:gridCol w:w="3220"/>
      </w:tblGrid>
      <w:tr w:rsidR="00025543" w14:paraId="3449D3EE" w14:textId="77777777">
        <w:trPr>
          <w:trHeight w:val="825"/>
          <w:tblHeader/>
        </w:trPr>
        <w:tc>
          <w:tcPr>
            <w:tcW w:w="1290" w:type="dxa"/>
            <w:tcBorders>
              <w:top w:val="single" w:sz="8" w:space="0" w:color="auto"/>
              <w:left w:val="single" w:sz="8" w:space="0" w:color="auto"/>
              <w:bottom w:val="single" w:sz="8" w:space="0" w:color="auto"/>
              <w:right w:val="single" w:sz="8" w:space="0" w:color="auto"/>
            </w:tcBorders>
            <w:shd w:val="clear" w:color="auto" w:fill="BDD7EE"/>
            <w:vAlign w:val="center"/>
            <w:hideMark/>
          </w:tcPr>
          <w:p w14:paraId="503C1A6A" w14:textId="77777777" w:rsidR="00025543" w:rsidRDefault="007E3A2F">
            <w:pPr>
              <w:pStyle w:val="P68B1DB1-Normal55"/>
              <w:spacing w:before="0" w:after="0" w:line="240" w:lineRule="auto"/>
              <w:jc w:val="center"/>
              <w:rPr>
                <w:noProof/>
              </w:rPr>
            </w:pPr>
            <w:r>
              <w:rPr>
                <w:noProof/>
              </w:rPr>
              <w:t>Numéro séquentiel</w:t>
            </w:r>
          </w:p>
        </w:tc>
        <w:tc>
          <w:tcPr>
            <w:tcW w:w="3975" w:type="dxa"/>
            <w:tcBorders>
              <w:top w:val="single" w:sz="8" w:space="0" w:color="auto"/>
              <w:left w:val="nil"/>
              <w:bottom w:val="single" w:sz="8" w:space="0" w:color="auto"/>
              <w:right w:val="single" w:sz="8" w:space="0" w:color="auto"/>
            </w:tcBorders>
            <w:shd w:val="clear" w:color="auto" w:fill="BDD7EE"/>
            <w:vAlign w:val="center"/>
            <w:hideMark/>
          </w:tcPr>
          <w:p w14:paraId="2CCE317F" w14:textId="77777777" w:rsidR="00025543" w:rsidRDefault="007E3A2F">
            <w:pPr>
              <w:pStyle w:val="P68B1DB1-Normal55"/>
              <w:spacing w:before="0" w:after="0" w:line="240" w:lineRule="auto"/>
              <w:jc w:val="center"/>
              <w:rPr>
                <w:noProof/>
              </w:rPr>
            </w:pPr>
            <w:r>
              <w:rPr>
                <w:noProof/>
              </w:rPr>
              <w:t>Mesure connexe (réforme ou investissement)</w:t>
            </w:r>
          </w:p>
        </w:tc>
        <w:tc>
          <w:tcPr>
            <w:tcW w:w="1800" w:type="dxa"/>
            <w:tcBorders>
              <w:top w:val="single" w:sz="8" w:space="0" w:color="auto"/>
              <w:left w:val="nil"/>
              <w:bottom w:val="single" w:sz="8" w:space="0" w:color="auto"/>
              <w:right w:val="single" w:sz="8" w:space="0" w:color="auto"/>
            </w:tcBorders>
            <w:shd w:val="clear" w:color="auto" w:fill="BDD7EE"/>
            <w:vAlign w:val="center"/>
            <w:hideMark/>
          </w:tcPr>
          <w:p w14:paraId="7D4D9892" w14:textId="77777777" w:rsidR="00025543" w:rsidRDefault="007E3A2F">
            <w:pPr>
              <w:pStyle w:val="P68B1DB1-Normal55"/>
              <w:spacing w:before="0" w:after="0" w:line="240" w:lineRule="auto"/>
              <w:jc w:val="center"/>
              <w:rPr>
                <w:noProof/>
              </w:rPr>
            </w:pPr>
            <w:r>
              <w:rPr>
                <w:noProof/>
              </w:rPr>
              <w:t>Jalon/cible</w:t>
            </w:r>
          </w:p>
        </w:tc>
        <w:tc>
          <w:tcPr>
            <w:tcW w:w="3220" w:type="dxa"/>
            <w:tcBorders>
              <w:top w:val="single" w:sz="8" w:space="0" w:color="auto"/>
              <w:left w:val="nil"/>
              <w:bottom w:val="single" w:sz="8" w:space="0" w:color="auto"/>
              <w:right w:val="single" w:sz="8" w:space="0" w:color="auto"/>
            </w:tcBorders>
            <w:shd w:val="clear" w:color="auto" w:fill="BDD7EE"/>
            <w:vAlign w:val="center"/>
            <w:hideMark/>
          </w:tcPr>
          <w:p w14:paraId="24E3052A" w14:textId="77777777" w:rsidR="00025543" w:rsidRDefault="007E3A2F">
            <w:pPr>
              <w:pStyle w:val="P68B1DB1-Normal55"/>
              <w:spacing w:before="0" w:after="0" w:line="240" w:lineRule="auto"/>
              <w:jc w:val="center"/>
              <w:rPr>
                <w:noProof/>
              </w:rPr>
            </w:pPr>
            <w:r>
              <w:rPr>
                <w:noProof/>
              </w:rPr>
              <w:t>Nom</w:t>
            </w:r>
          </w:p>
        </w:tc>
      </w:tr>
      <w:tr w:rsidR="00025543" w14:paraId="7BE95A43" w14:textId="77777777">
        <w:trPr>
          <w:trHeight w:val="795"/>
        </w:trPr>
        <w:tc>
          <w:tcPr>
            <w:tcW w:w="1290"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5D56BB11" w14:textId="77777777" w:rsidR="00025543" w:rsidRDefault="007E3A2F">
            <w:pPr>
              <w:pStyle w:val="P68B1DB1-Normal57"/>
              <w:spacing w:before="0" w:after="0" w:line="240" w:lineRule="auto"/>
              <w:jc w:val="center"/>
              <w:rPr>
                <w:noProof/>
              </w:rPr>
            </w:pPr>
            <w:r>
              <w:rPr>
                <w:noProof/>
              </w:rPr>
              <w:t>110</w:t>
            </w:r>
          </w:p>
        </w:tc>
        <w:tc>
          <w:tcPr>
            <w:tcW w:w="3975" w:type="dxa"/>
            <w:tcBorders>
              <w:top w:val="nil"/>
              <w:left w:val="nil"/>
              <w:bottom w:val="single" w:sz="8" w:space="0" w:color="000000" w:themeColor="text1"/>
              <w:right w:val="single" w:sz="8" w:space="0" w:color="000000" w:themeColor="text1"/>
            </w:tcBorders>
            <w:shd w:val="clear" w:color="auto" w:fill="C6EFCE"/>
            <w:vAlign w:val="center"/>
            <w:hideMark/>
          </w:tcPr>
          <w:p w14:paraId="40B77790" w14:textId="5927F68F" w:rsidR="00025543" w:rsidRDefault="007E3A2F">
            <w:pPr>
              <w:pStyle w:val="P68B1DB1-Normal57"/>
              <w:spacing w:before="0" w:after="0" w:line="240" w:lineRule="auto"/>
              <w:jc w:val="center"/>
              <w:rPr>
                <w:noProof/>
              </w:rPr>
            </w:pPr>
            <w:r>
              <w:rPr>
                <w:noProof/>
              </w:rPr>
              <w:t>C 2.3: Transition vers des sources d’énergie plus propres —</w:t>
            </w:r>
          </w:p>
          <w:p w14:paraId="0BABB7BD" w14:textId="77777777" w:rsidR="00025543" w:rsidRDefault="007E3A2F">
            <w:pPr>
              <w:pStyle w:val="P68B1DB1-Normal57"/>
              <w:spacing w:before="0" w:after="0" w:line="240" w:lineRule="auto"/>
              <w:jc w:val="center"/>
              <w:rPr>
                <w:noProof/>
              </w:rPr>
            </w:pPr>
            <w:r>
              <w:rPr>
                <w:noProof/>
              </w:rPr>
              <w:t>Réforme 1: Modernisation de la distribution de chaleur dans les systèmes de chauffage urbain</w:t>
            </w:r>
          </w:p>
        </w:tc>
        <w:tc>
          <w:tcPr>
            <w:tcW w:w="1800" w:type="dxa"/>
            <w:tcBorders>
              <w:top w:val="nil"/>
              <w:left w:val="nil"/>
              <w:bottom w:val="single" w:sz="8" w:space="0" w:color="000000" w:themeColor="text1"/>
              <w:right w:val="single" w:sz="8" w:space="0" w:color="000000" w:themeColor="text1"/>
            </w:tcBorders>
            <w:shd w:val="clear" w:color="auto" w:fill="C6EFCE"/>
            <w:vAlign w:val="center"/>
            <w:hideMark/>
          </w:tcPr>
          <w:p w14:paraId="49775C66" w14:textId="77777777" w:rsidR="00025543" w:rsidRDefault="007E3A2F">
            <w:pPr>
              <w:pStyle w:val="P68B1DB1-Normal57"/>
              <w:spacing w:before="0" w:after="0" w:line="240" w:lineRule="auto"/>
              <w:jc w:val="center"/>
              <w:rPr>
                <w:noProof/>
              </w:rPr>
            </w:pPr>
            <w:r>
              <w:rPr>
                <w:noProof/>
              </w:rPr>
              <w:t>Étapes</w:t>
            </w:r>
          </w:p>
        </w:tc>
        <w:tc>
          <w:tcPr>
            <w:tcW w:w="3220" w:type="dxa"/>
            <w:tcBorders>
              <w:top w:val="nil"/>
              <w:left w:val="nil"/>
              <w:bottom w:val="single" w:sz="8" w:space="0" w:color="000000" w:themeColor="text1"/>
              <w:right w:val="single" w:sz="8" w:space="0" w:color="auto"/>
            </w:tcBorders>
            <w:shd w:val="clear" w:color="auto" w:fill="C6EFCE"/>
            <w:vAlign w:val="center"/>
            <w:hideMark/>
          </w:tcPr>
          <w:p w14:paraId="08BBBB10" w14:textId="77777777" w:rsidR="00025543" w:rsidRDefault="007E3A2F">
            <w:pPr>
              <w:pStyle w:val="P68B1DB1-Normal57"/>
              <w:spacing w:before="0" w:after="0" w:line="240" w:lineRule="auto"/>
              <w:jc w:val="center"/>
              <w:rPr>
                <w:noProof/>
              </w:rPr>
            </w:pPr>
            <w:r>
              <w:rPr>
                <w:noProof/>
              </w:rPr>
              <w:t>Évaluation de la décarbonation du chauffage urbain en Tchéquie</w:t>
            </w:r>
          </w:p>
        </w:tc>
      </w:tr>
      <w:tr w:rsidR="00025543" w14:paraId="517FC006" w14:textId="77777777">
        <w:trPr>
          <w:trHeight w:val="795"/>
        </w:trPr>
        <w:tc>
          <w:tcPr>
            <w:tcW w:w="1290"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6103BA79" w14:textId="77777777" w:rsidR="00025543" w:rsidRDefault="007E3A2F">
            <w:pPr>
              <w:pStyle w:val="P68B1DB1-Normal57"/>
              <w:spacing w:before="0" w:after="0" w:line="240" w:lineRule="auto"/>
              <w:jc w:val="center"/>
              <w:rPr>
                <w:noProof/>
              </w:rPr>
            </w:pPr>
            <w:r>
              <w:rPr>
                <w:noProof/>
              </w:rPr>
              <w:t>111</w:t>
            </w:r>
          </w:p>
        </w:tc>
        <w:tc>
          <w:tcPr>
            <w:tcW w:w="3975" w:type="dxa"/>
            <w:tcBorders>
              <w:top w:val="nil"/>
              <w:left w:val="nil"/>
              <w:bottom w:val="single" w:sz="8" w:space="0" w:color="000000" w:themeColor="text1"/>
              <w:right w:val="single" w:sz="8" w:space="0" w:color="000000" w:themeColor="text1"/>
            </w:tcBorders>
            <w:shd w:val="clear" w:color="auto" w:fill="C6EFCE"/>
            <w:vAlign w:val="center"/>
            <w:hideMark/>
          </w:tcPr>
          <w:p w14:paraId="2313BE8C" w14:textId="1236C969" w:rsidR="00025543" w:rsidRDefault="007E3A2F">
            <w:pPr>
              <w:pStyle w:val="P68B1DB1-Normal57"/>
              <w:spacing w:before="0" w:after="0" w:line="240" w:lineRule="auto"/>
              <w:jc w:val="center"/>
              <w:rPr>
                <w:noProof/>
              </w:rPr>
            </w:pPr>
            <w:r>
              <w:rPr>
                <w:noProof/>
              </w:rPr>
              <w:t>C 2.3: Transition vers une réforme de l’énergie plus propre et des sources 2: Modernisation de la distribution de chaleur dans les systèmes de chauffage urbain</w:t>
            </w:r>
          </w:p>
        </w:tc>
        <w:tc>
          <w:tcPr>
            <w:tcW w:w="1800" w:type="dxa"/>
            <w:tcBorders>
              <w:top w:val="nil"/>
              <w:left w:val="nil"/>
              <w:bottom w:val="single" w:sz="8" w:space="0" w:color="000000" w:themeColor="text1"/>
              <w:right w:val="single" w:sz="8" w:space="0" w:color="000000" w:themeColor="text1"/>
            </w:tcBorders>
            <w:shd w:val="clear" w:color="auto" w:fill="C6EFCE"/>
            <w:vAlign w:val="center"/>
            <w:hideMark/>
          </w:tcPr>
          <w:p w14:paraId="2E2406C1" w14:textId="77777777" w:rsidR="00025543" w:rsidRDefault="007E3A2F">
            <w:pPr>
              <w:pStyle w:val="P68B1DB1-Normal57"/>
              <w:spacing w:before="0" w:after="0" w:line="240" w:lineRule="auto"/>
              <w:jc w:val="center"/>
              <w:rPr>
                <w:noProof/>
              </w:rPr>
            </w:pPr>
            <w:r>
              <w:rPr>
                <w:noProof/>
              </w:rPr>
              <w:t>Étapes</w:t>
            </w:r>
          </w:p>
        </w:tc>
        <w:tc>
          <w:tcPr>
            <w:tcW w:w="3220" w:type="dxa"/>
            <w:tcBorders>
              <w:top w:val="nil"/>
              <w:left w:val="nil"/>
              <w:bottom w:val="single" w:sz="8" w:space="0" w:color="000000" w:themeColor="text1"/>
              <w:right w:val="single" w:sz="8" w:space="0" w:color="auto"/>
            </w:tcBorders>
            <w:shd w:val="clear" w:color="auto" w:fill="C6EFCE"/>
            <w:vAlign w:val="center"/>
            <w:hideMark/>
          </w:tcPr>
          <w:p w14:paraId="5204C290" w14:textId="77777777" w:rsidR="00025543" w:rsidRDefault="007E3A2F">
            <w:pPr>
              <w:pStyle w:val="P68B1DB1-Normal57"/>
              <w:spacing w:before="0" w:after="0" w:line="240" w:lineRule="auto"/>
              <w:jc w:val="center"/>
              <w:rPr>
                <w:noProof/>
              </w:rPr>
            </w:pPr>
            <w:r>
              <w:rPr>
                <w:noProof/>
              </w:rPr>
              <w:t>Évaluation des trajectoires d’approvisionnement durable en biomasse en Tchéquie</w:t>
            </w:r>
          </w:p>
        </w:tc>
      </w:tr>
      <w:tr w:rsidR="00025543" w14:paraId="42966180" w14:textId="77777777">
        <w:trPr>
          <w:trHeight w:val="795"/>
        </w:trPr>
        <w:tc>
          <w:tcPr>
            <w:tcW w:w="1290"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09CE04E2" w14:textId="2290DCCD" w:rsidR="00025543" w:rsidRDefault="007E3A2F">
            <w:pPr>
              <w:pStyle w:val="P68B1DB1-Normal57"/>
              <w:spacing w:line="240" w:lineRule="auto"/>
              <w:jc w:val="center"/>
              <w:rPr>
                <w:noProof/>
              </w:rPr>
            </w:pPr>
            <w:r>
              <w:rPr>
                <w:noProof/>
              </w:rPr>
              <w:t>55</w:t>
            </w:r>
          </w:p>
        </w:tc>
        <w:tc>
          <w:tcPr>
            <w:tcW w:w="3975" w:type="dxa"/>
            <w:tcBorders>
              <w:top w:val="nil"/>
              <w:left w:val="nil"/>
              <w:bottom w:val="single" w:sz="8" w:space="0" w:color="000000" w:themeColor="text1"/>
              <w:right w:val="single" w:sz="8" w:space="0" w:color="000000" w:themeColor="text1"/>
            </w:tcBorders>
            <w:shd w:val="clear" w:color="auto" w:fill="C6EFCE"/>
            <w:vAlign w:val="center"/>
            <w:hideMark/>
          </w:tcPr>
          <w:p w14:paraId="1B70CCE2" w14:textId="7EED1750" w:rsidR="00025543" w:rsidRDefault="007E3A2F">
            <w:pPr>
              <w:pStyle w:val="P68B1DB1-Normal57"/>
              <w:spacing w:before="0" w:after="0" w:line="240" w:lineRule="auto"/>
              <w:rPr>
                <w:noProof/>
              </w:rPr>
            </w:pPr>
            <w:r>
              <w:rPr>
                <w:noProof/>
              </w:rPr>
              <w:t>C 1.4: Économie et société numériques, Innovative Start-Ups and New Technology-Investment 5: Infrastructure européenne de services de chaînes de blocs (EBSI) — Obligations DLT pour le financement des PME</w:t>
            </w:r>
          </w:p>
        </w:tc>
        <w:tc>
          <w:tcPr>
            <w:tcW w:w="1800" w:type="dxa"/>
            <w:tcBorders>
              <w:top w:val="nil"/>
              <w:left w:val="nil"/>
              <w:bottom w:val="single" w:sz="8" w:space="0" w:color="000000" w:themeColor="text1"/>
              <w:right w:val="single" w:sz="8" w:space="0" w:color="000000" w:themeColor="text1"/>
            </w:tcBorders>
            <w:shd w:val="clear" w:color="auto" w:fill="C6EFCE"/>
            <w:vAlign w:val="center"/>
            <w:hideMark/>
          </w:tcPr>
          <w:p w14:paraId="32E908AA" w14:textId="77777777" w:rsidR="00025543" w:rsidRDefault="007E3A2F">
            <w:pPr>
              <w:pStyle w:val="P68B1DB1-Normal57"/>
              <w:spacing w:before="0" w:after="0" w:line="240" w:lineRule="auto"/>
              <w:jc w:val="center"/>
              <w:rPr>
                <w:noProof/>
              </w:rPr>
            </w:pPr>
            <w:r>
              <w:rPr>
                <w:noProof/>
              </w:rPr>
              <w:t>Étapes</w:t>
            </w:r>
          </w:p>
        </w:tc>
        <w:tc>
          <w:tcPr>
            <w:tcW w:w="3220" w:type="dxa"/>
            <w:tcBorders>
              <w:top w:val="nil"/>
              <w:left w:val="nil"/>
              <w:bottom w:val="single" w:sz="8" w:space="0" w:color="000000" w:themeColor="text1"/>
              <w:right w:val="single" w:sz="8" w:space="0" w:color="auto"/>
            </w:tcBorders>
            <w:shd w:val="clear" w:color="auto" w:fill="C6EFCE"/>
            <w:vAlign w:val="center"/>
            <w:hideMark/>
          </w:tcPr>
          <w:p w14:paraId="221D6201" w14:textId="0068594A" w:rsidR="00025543" w:rsidRDefault="007E3A2F">
            <w:pPr>
              <w:pStyle w:val="P68B1DB1-Normal57"/>
              <w:spacing w:before="0" w:after="0" w:line="240" w:lineRule="auto"/>
              <w:jc w:val="center"/>
              <w:rPr>
                <w:noProof/>
              </w:rPr>
            </w:pPr>
            <w:r>
              <w:rPr>
                <w:noProof/>
              </w:rPr>
              <w:t>Convention de subvention signée avec le bénéficiaire pour la mise en œuvre du dossier d’utilisation pour les PME</w:t>
            </w:r>
          </w:p>
        </w:tc>
      </w:tr>
      <w:tr w:rsidR="00025543" w14:paraId="5C02BC52" w14:textId="77777777">
        <w:trPr>
          <w:trHeight w:val="795"/>
        </w:trPr>
        <w:tc>
          <w:tcPr>
            <w:tcW w:w="1290"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25915D2E" w14:textId="77777777" w:rsidR="00025543" w:rsidRDefault="007E3A2F">
            <w:pPr>
              <w:pStyle w:val="P68B1DB1-Normal57"/>
              <w:spacing w:before="0" w:after="0" w:line="240" w:lineRule="auto"/>
              <w:jc w:val="center"/>
              <w:rPr>
                <w:noProof/>
              </w:rPr>
            </w:pPr>
            <w:r>
              <w:rPr>
                <w:noProof/>
              </w:rPr>
              <w:t>127</w:t>
            </w:r>
          </w:p>
        </w:tc>
        <w:tc>
          <w:tcPr>
            <w:tcW w:w="3975" w:type="dxa"/>
            <w:tcBorders>
              <w:top w:val="nil"/>
              <w:left w:val="nil"/>
              <w:bottom w:val="single" w:sz="8" w:space="0" w:color="000000" w:themeColor="text1"/>
              <w:right w:val="single" w:sz="8" w:space="0" w:color="000000" w:themeColor="text1"/>
            </w:tcBorders>
            <w:shd w:val="clear" w:color="auto" w:fill="C6EFCE"/>
            <w:vAlign w:val="center"/>
            <w:hideMark/>
          </w:tcPr>
          <w:p w14:paraId="54B070FF" w14:textId="77777777" w:rsidR="00025543" w:rsidRDefault="007E3A2F">
            <w:pPr>
              <w:pStyle w:val="P68B1DB1-Normal57"/>
              <w:spacing w:before="0" w:after="0" w:line="240" w:lineRule="auto"/>
              <w:jc w:val="center"/>
              <w:rPr>
                <w:noProof/>
              </w:rPr>
            </w:pPr>
            <w:r>
              <w:rPr>
                <w:noProof/>
              </w:rPr>
              <w:t>C 2.5: Rénovation des bâtiments et protection de l’air — Investissement 2: Remplacement des sources fixes de pollution dans les ménages par des sources d’énergie renouvelables</w:t>
            </w:r>
          </w:p>
        </w:tc>
        <w:tc>
          <w:tcPr>
            <w:tcW w:w="1800" w:type="dxa"/>
            <w:tcBorders>
              <w:top w:val="nil"/>
              <w:left w:val="nil"/>
              <w:bottom w:val="single" w:sz="8" w:space="0" w:color="000000" w:themeColor="text1"/>
              <w:right w:val="single" w:sz="8" w:space="0" w:color="000000" w:themeColor="text1"/>
            </w:tcBorders>
            <w:shd w:val="clear" w:color="auto" w:fill="C6EFCE"/>
            <w:vAlign w:val="center"/>
            <w:hideMark/>
          </w:tcPr>
          <w:p w14:paraId="0FEBC4D3" w14:textId="09005905" w:rsidR="00025543" w:rsidRDefault="007E3A2F">
            <w:pPr>
              <w:pStyle w:val="P68B1DB1-Normal28"/>
              <w:spacing w:before="0" w:after="0" w:line="240" w:lineRule="auto"/>
              <w:jc w:val="center"/>
              <w:rPr>
                <w:rFonts w:eastAsia="Times New Roman"/>
                <w:noProof/>
                <w:sz w:val="20"/>
              </w:rPr>
            </w:pPr>
            <w:r>
              <w:rPr>
                <w:noProof/>
              </w:rPr>
              <w:t>Cible</w:t>
            </w:r>
          </w:p>
        </w:tc>
        <w:tc>
          <w:tcPr>
            <w:tcW w:w="3220" w:type="dxa"/>
            <w:tcBorders>
              <w:top w:val="nil"/>
              <w:left w:val="nil"/>
              <w:bottom w:val="single" w:sz="8" w:space="0" w:color="000000" w:themeColor="text1"/>
              <w:right w:val="single" w:sz="8" w:space="0" w:color="auto"/>
            </w:tcBorders>
            <w:shd w:val="clear" w:color="auto" w:fill="C6EFCE"/>
            <w:vAlign w:val="center"/>
            <w:hideMark/>
          </w:tcPr>
          <w:p w14:paraId="62EA927D" w14:textId="7BBC1533" w:rsidR="00025543" w:rsidRDefault="007E3A2F">
            <w:pPr>
              <w:pStyle w:val="P68B1DB1-Normal61"/>
              <w:spacing w:before="0" w:after="0" w:line="240" w:lineRule="auto"/>
              <w:jc w:val="center"/>
              <w:rPr>
                <w:noProof/>
                <w:color w:val="006100"/>
              </w:rPr>
            </w:pPr>
            <w:r>
              <w:rPr>
                <w:noProof/>
                <w:color w:val="006100"/>
              </w:rPr>
              <w:t>Projets de réduction de la consommation d’énergie</w:t>
            </w:r>
            <w:r>
              <w:rPr>
                <w:noProof/>
                <w:color w:val="000000" w:themeColor="text1"/>
              </w:rPr>
              <w:t xml:space="preserve"> </w:t>
            </w:r>
            <w:r>
              <w:rPr>
                <w:noProof/>
                <w:color w:val="006100"/>
              </w:rPr>
              <w:t xml:space="preserve">et des émissions de CO2 faisant l’objet de contrats </w:t>
            </w:r>
          </w:p>
        </w:tc>
      </w:tr>
      <w:tr w:rsidR="00025543" w14:paraId="1F8034D9" w14:textId="77777777">
        <w:trPr>
          <w:trHeight w:val="795"/>
        </w:trPr>
        <w:tc>
          <w:tcPr>
            <w:tcW w:w="1290"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6FFF79BE" w14:textId="77777777" w:rsidR="00025543" w:rsidRDefault="007E3A2F">
            <w:pPr>
              <w:pStyle w:val="P68B1DB1-Normal57"/>
              <w:spacing w:before="0" w:after="0" w:line="240" w:lineRule="auto"/>
              <w:jc w:val="center"/>
              <w:rPr>
                <w:noProof/>
              </w:rPr>
            </w:pPr>
            <w:r>
              <w:rPr>
                <w:noProof/>
              </w:rPr>
              <w:t>128</w:t>
            </w:r>
          </w:p>
        </w:tc>
        <w:tc>
          <w:tcPr>
            <w:tcW w:w="3975" w:type="dxa"/>
            <w:tcBorders>
              <w:top w:val="nil"/>
              <w:left w:val="nil"/>
              <w:bottom w:val="single" w:sz="8" w:space="0" w:color="000000" w:themeColor="text1"/>
              <w:right w:val="single" w:sz="8" w:space="0" w:color="000000" w:themeColor="text1"/>
            </w:tcBorders>
            <w:shd w:val="clear" w:color="auto" w:fill="C6EFCE"/>
            <w:vAlign w:val="center"/>
            <w:hideMark/>
          </w:tcPr>
          <w:p w14:paraId="36EE53B4" w14:textId="77777777" w:rsidR="00025543" w:rsidRDefault="007E3A2F">
            <w:pPr>
              <w:pStyle w:val="P68B1DB1-Normal57"/>
              <w:spacing w:before="0" w:after="0" w:line="240" w:lineRule="auto"/>
              <w:jc w:val="center"/>
              <w:rPr>
                <w:noProof/>
              </w:rPr>
            </w:pPr>
            <w:r>
              <w:rPr>
                <w:noProof/>
              </w:rPr>
              <w:t>C 2.5: Rénovation des bâtiments et protection de l’air — Investissement 2: Remplacement des sources fixes de pollution dans les ménages par des sources d’énergie renouvelables</w:t>
            </w:r>
          </w:p>
        </w:tc>
        <w:tc>
          <w:tcPr>
            <w:tcW w:w="1800" w:type="dxa"/>
            <w:tcBorders>
              <w:top w:val="nil"/>
              <w:left w:val="nil"/>
              <w:bottom w:val="single" w:sz="8" w:space="0" w:color="000000" w:themeColor="text1"/>
              <w:right w:val="single" w:sz="8" w:space="0" w:color="000000" w:themeColor="text1"/>
            </w:tcBorders>
            <w:shd w:val="clear" w:color="auto" w:fill="C6EFCE"/>
            <w:vAlign w:val="center"/>
            <w:hideMark/>
          </w:tcPr>
          <w:p w14:paraId="700DE699" w14:textId="77777777" w:rsidR="00025543" w:rsidRDefault="007E3A2F">
            <w:pPr>
              <w:pStyle w:val="P68B1DB1-Normal57"/>
              <w:spacing w:before="0" w:after="0" w:line="240" w:lineRule="auto"/>
              <w:jc w:val="center"/>
              <w:rPr>
                <w:noProof/>
              </w:rPr>
            </w:pPr>
            <w:r>
              <w:rPr>
                <w:noProof/>
              </w:rPr>
              <w:t>Cible</w:t>
            </w:r>
          </w:p>
        </w:tc>
        <w:tc>
          <w:tcPr>
            <w:tcW w:w="3220" w:type="dxa"/>
            <w:tcBorders>
              <w:top w:val="nil"/>
              <w:left w:val="nil"/>
              <w:bottom w:val="single" w:sz="8" w:space="0" w:color="000000" w:themeColor="text1"/>
              <w:right w:val="single" w:sz="8" w:space="0" w:color="auto"/>
            </w:tcBorders>
            <w:shd w:val="clear" w:color="auto" w:fill="C6EFCE"/>
            <w:vAlign w:val="center"/>
            <w:hideMark/>
          </w:tcPr>
          <w:p w14:paraId="60545CFD" w14:textId="77777777" w:rsidR="00025543" w:rsidRDefault="007E3A2F">
            <w:pPr>
              <w:pStyle w:val="P68B1DB1-Normal57"/>
              <w:spacing w:before="0" w:after="0" w:line="240" w:lineRule="auto"/>
              <w:jc w:val="center"/>
              <w:rPr>
                <w:noProof/>
              </w:rPr>
            </w:pPr>
            <w:r>
              <w:rPr>
                <w:noProof/>
              </w:rPr>
              <w:t>Réduction de la consommation d’énergie et des émissions de CO2 (mise en œuvre de 35 %)</w:t>
            </w:r>
          </w:p>
        </w:tc>
      </w:tr>
      <w:tr w:rsidR="00025543" w14:paraId="19C2EF65" w14:textId="77777777">
        <w:trPr>
          <w:trHeight w:val="600"/>
        </w:trPr>
        <w:tc>
          <w:tcPr>
            <w:tcW w:w="1290"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147821A1" w14:textId="77777777" w:rsidR="00025543" w:rsidRDefault="007E3A2F">
            <w:pPr>
              <w:pStyle w:val="P68B1DB1-Normal57"/>
              <w:spacing w:before="0" w:after="0" w:line="240" w:lineRule="auto"/>
              <w:jc w:val="center"/>
              <w:rPr>
                <w:noProof/>
              </w:rPr>
            </w:pPr>
            <w:r>
              <w:rPr>
                <w:noProof/>
              </w:rPr>
              <w:t>144</w:t>
            </w:r>
          </w:p>
        </w:tc>
        <w:tc>
          <w:tcPr>
            <w:tcW w:w="3975" w:type="dxa"/>
            <w:tcBorders>
              <w:top w:val="nil"/>
              <w:left w:val="nil"/>
              <w:bottom w:val="single" w:sz="8" w:space="0" w:color="000000" w:themeColor="text1"/>
              <w:right w:val="single" w:sz="8" w:space="0" w:color="000000" w:themeColor="text1"/>
            </w:tcBorders>
            <w:shd w:val="clear" w:color="auto" w:fill="C6EFCE"/>
            <w:vAlign w:val="center"/>
            <w:hideMark/>
          </w:tcPr>
          <w:p w14:paraId="5FAEEB30" w14:textId="77777777" w:rsidR="00025543" w:rsidRDefault="007E3A2F">
            <w:pPr>
              <w:pStyle w:val="P68B1DB1-Normal57"/>
              <w:spacing w:before="0" w:after="0" w:line="240" w:lineRule="auto"/>
              <w:jc w:val="center"/>
              <w:rPr>
                <w:noProof/>
              </w:rPr>
            </w:pPr>
            <w:r>
              <w:rPr>
                <w:noProof/>
              </w:rPr>
              <w:t>C 2.7: Économie circulaire, recyclage et eau industrielle — Réforme 1: Mise en œuvre de la nouvelle législation sur la gestion des déchets en République tchèque</w:t>
            </w:r>
          </w:p>
        </w:tc>
        <w:tc>
          <w:tcPr>
            <w:tcW w:w="1800" w:type="dxa"/>
            <w:tcBorders>
              <w:top w:val="nil"/>
              <w:left w:val="nil"/>
              <w:bottom w:val="single" w:sz="8" w:space="0" w:color="000000" w:themeColor="text1"/>
              <w:right w:val="single" w:sz="8" w:space="0" w:color="000000" w:themeColor="text1"/>
            </w:tcBorders>
            <w:shd w:val="clear" w:color="auto" w:fill="C6EFCE"/>
            <w:vAlign w:val="center"/>
            <w:hideMark/>
          </w:tcPr>
          <w:p w14:paraId="54817823" w14:textId="77777777" w:rsidR="00025543" w:rsidRDefault="007E3A2F">
            <w:pPr>
              <w:pStyle w:val="P68B1DB1-Normal57"/>
              <w:spacing w:before="0" w:after="0" w:line="240" w:lineRule="auto"/>
              <w:jc w:val="center"/>
              <w:rPr>
                <w:noProof/>
              </w:rPr>
            </w:pPr>
            <w:r>
              <w:rPr>
                <w:noProof/>
              </w:rPr>
              <w:t>Étapes</w:t>
            </w:r>
          </w:p>
        </w:tc>
        <w:tc>
          <w:tcPr>
            <w:tcW w:w="3220" w:type="dxa"/>
            <w:tcBorders>
              <w:top w:val="nil"/>
              <w:left w:val="nil"/>
              <w:bottom w:val="single" w:sz="8" w:space="0" w:color="000000" w:themeColor="text1"/>
              <w:right w:val="single" w:sz="8" w:space="0" w:color="auto"/>
            </w:tcBorders>
            <w:shd w:val="clear" w:color="auto" w:fill="C6EFCE"/>
            <w:vAlign w:val="center"/>
            <w:hideMark/>
          </w:tcPr>
          <w:p w14:paraId="05EABF8B" w14:textId="77777777" w:rsidR="00025543" w:rsidRDefault="007E3A2F">
            <w:pPr>
              <w:pStyle w:val="P68B1DB1-Normal57"/>
              <w:spacing w:before="0" w:after="0" w:line="240" w:lineRule="auto"/>
              <w:jc w:val="center"/>
              <w:rPr>
                <w:noProof/>
              </w:rPr>
            </w:pPr>
            <w:r>
              <w:rPr>
                <w:noProof/>
              </w:rPr>
              <w:t>Entrée en vigueur des décisions d’exécution à la suite de la législation sur la gestion des déchets préparée par le ministère de l’environnement</w:t>
            </w:r>
          </w:p>
        </w:tc>
      </w:tr>
      <w:tr w:rsidR="00025543" w14:paraId="792DC500" w14:textId="77777777">
        <w:trPr>
          <w:trHeight w:val="1380"/>
        </w:trPr>
        <w:tc>
          <w:tcPr>
            <w:tcW w:w="1290" w:type="dxa"/>
            <w:tcBorders>
              <w:top w:val="single" w:sz="4" w:space="0" w:color="000000" w:themeColor="text1"/>
              <w:left w:val="single" w:sz="8" w:space="0" w:color="auto"/>
              <w:bottom w:val="nil"/>
              <w:right w:val="single" w:sz="8" w:space="0" w:color="000000" w:themeColor="text1"/>
            </w:tcBorders>
            <w:shd w:val="clear" w:color="auto" w:fill="C6EFCE"/>
            <w:vAlign w:val="center"/>
            <w:hideMark/>
          </w:tcPr>
          <w:p w14:paraId="6666BC7F" w14:textId="77777777" w:rsidR="00025543" w:rsidRDefault="007E3A2F">
            <w:pPr>
              <w:pStyle w:val="P68B1DB1-Normal57"/>
              <w:spacing w:before="0" w:after="0" w:line="240" w:lineRule="auto"/>
              <w:jc w:val="center"/>
              <w:rPr>
                <w:noProof/>
              </w:rPr>
            </w:pPr>
            <w:r>
              <w:rPr>
                <w:noProof/>
              </w:rPr>
              <w:t>1</w:t>
            </w:r>
          </w:p>
        </w:tc>
        <w:tc>
          <w:tcPr>
            <w:tcW w:w="3975"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0E5A46EE" w14:textId="77777777" w:rsidR="00025543" w:rsidRDefault="007E3A2F">
            <w:pPr>
              <w:pStyle w:val="P68B1DB1-Normal57"/>
              <w:spacing w:before="0" w:after="0" w:line="240" w:lineRule="auto"/>
              <w:jc w:val="center"/>
              <w:rPr>
                <w:noProof/>
              </w:rPr>
            </w:pPr>
            <w:r>
              <w:rPr>
                <w:noProof/>
              </w:rPr>
              <w:t>C 1.1: Services numériques aux citoyens et aux entreprises — Réforme 1: Conditions relatives à la gestion du pool de données de qualité et à la garantie d’un accès contrôlé aux données</w:t>
            </w:r>
          </w:p>
        </w:tc>
        <w:tc>
          <w:tcPr>
            <w:tcW w:w="1800"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385FD66D" w14:textId="77777777" w:rsidR="00025543" w:rsidRDefault="007E3A2F">
            <w:pPr>
              <w:pStyle w:val="P68B1DB1-Normal57"/>
              <w:spacing w:before="0" w:after="0" w:line="240" w:lineRule="auto"/>
              <w:jc w:val="center"/>
              <w:rPr>
                <w:noProof/>
              </w:rPr>
            </w:pPr>
            <w:r>
              <w:rPr>
                <w:noProof/>
              </w:rPr>
              <w:t>Étapes</w:t>
            </w:r>
          </w:p>
        </w:tc>
        <w:tc>
          <w:tcPr>
            <w:tcW w:w="3220" w:type="dxa"/>
            <w:tcBorders>
              <w:top w:val="single" w:sz="4" w:space="0" w:color="000000" w:themeColor="text1"/>
              <w:left w:val="nil"/>
              <w:bottom w:val="nil"/>
              <w:right w:val="single" w:sz="8" w:space="0" w:color="auto"/>
            </w:tcBorders>
            <w:shd w:val="clear" w:color="auto" w:fill="C6EFCE"/>
            <w:vAlign w:val="center"/>
            <w:hideMark/>
          </w:tcPr>
          <w:p w14:paraId="4FB1F5C1" w14:textId="77777777" w:rsidR="00025543" w:rsidRDefault="007E3A2F">
            <w:pPr>
              <w:pStyle w:val="P68B1DB1-Normal57"/>
              <w:spacing w:before="0" w:after="0" w:line="240" w:lineRule="auto"/>
              <w:jc w:val="center"/>
              <w:rPr>
                <w:noProof/>
              </w:rPr>
            </w:pPr>
            <w:r>
              <w:rPr>
                <w:noProof/>
              </w:rPr>
              <w:t>Finalisation de l’audit des données au niveau de l’administration centrale et adoption par le gouvernement du document conceptuel intitulé «Stratégie d’accès contrôlé aux données pour garantir les conditions d’une gestion de la qualité de la collecte des données de l’administration publique», qui constitue la base d’une nouvelle législation en matière de gestion des données</w:t>
            </w:r>
          </w:p>
        </w:tc>
      </w:tr>
      <w:tr w:rsidR="00025543" w14:paraId="148BE8EC" w14:textId="77777777">
        <w:trPr>
          <w:trHeight w:val="990"/>
        </w:trPr>
        <w:tc>
          <w:tcPr>
            <w:tcW w:w="1290" w:type="dxa"/>
            <w:tcBorders>
              <w:top w:val="single" w:sz="8" w:space="0" w:color="auto"/>
              <w:left w:val="single" w:sz="8" w:space="0" w:color="auto"/>
              <w:bottom w:val="single" w:sz="8" w:space="0" w:color="auto"/>
              <w:right w:val="single" w:sz="8" w:space="0" w:color="000000" w:themeColor="text1"/>
            </w:tcBorders>
            <w:shd w:val="clear" w:color="auto" w:fill="C6EFCE"/>
            <w:vAlign w:val="center"/>
            <w:hideMark/>
          </w:tcPr>
          <w:p w14:paraId="4BE440AE" w14:textId="77777777" w:rsidR="00025543" w:rsidRDefault="007E3A2F">
            <w:pPr>
              <w:pStyle w:val="P68B1DB1-Normal57"/>
              <w:spacing w:before="0" w:after="0" w:line="240" w:lineRule="auto"/>
              <w:jc w:val="center"/>
              <w:rPr>
                <w:noProof/>
              </w:rPr>
            </w:pPr>
            <w:r>
              <w:rPr>
                <w:noProof/>
              </w:rPr>
              <w:t>7</w:t>
            </w:r>
          </w:p>
        </w:tc>
        <w:tc>
          <w:tcPr>
            <w:tcW w:w="3975" w:type="dxa"/>
            <w:tcBorders>
              <w:top w:val="nil"/>
              <w:left w:val="nil"/>
              <w:bottom w:val="single" w:sz="8" w:space="0" w:color="000000" w:themeColor="text1"/>
              <w:right w:val="single" w:sz="8" w:space="0" w:color="000000" w:themeColor="text1"/>
            </w:tcBorders>
            <w:shd w:val="clear" w:color="auto" w:fill="C6EFCE"/>
            <w:vAlign w:val="center"/>
            <w:hideMark/>
          </w:tcPr>
          <w:p w14:paraId="643B587B" w14:textId="73BB45A9" w:rsidR="00025543" w:rsidRDefault="007E3A2F">
            <w:pPr>
              <w:pStyle w:val="P68B1DB1-Normal57"/>
              <w:spacing w:before="0" w:after="0" w:line="240" w:lineRule="auto"/>
              <w:jc w:val="center"/>
              <w:rPr>
                <w:noProof/>
              </w:rPr>
            </w:pPr>
            <w:r>
              <w:rPr>
                <w:noProof/>
              </w:rPr>
              <w:t>C 1.1: Services numériques aux citoyens et aux entreprises — Investissement 1: Services numériques pour les utilisateurs finaux</w:t>
            </w:r>
          </w:p>
        </w:tc>
        <w:tc>
          <w:tcPr>
            <w:tcW w:w="1800" w:type="dxa"/>
            <w:tcBorders>
              <w:top w:val="nil"/>
              <w:left w:val="nil"/>
              <w:bottom w:val="single" w:sz="8" w:space="0" w:color="000000" w:themeColor="text1"/>
              <w:right w:val="single" w:sz="8" w:space="0" w:color="000000" w:themeColor="text1"/>
            </w:tcBorders>
            <w:shd w:val="clear" w:color="auto" w:fill="C6EFCE"/>
            <w:vAlign w:val="center"/>
            <w:hideMark/>
          </w:tcPr>
          <w:p w14:paraId="19B79331" w14:textId="77777777" w:rsidR="00025543" w:rsidRDefault="007E3A2F">
            <w:pPr>
              <w:pStyle w:val="P68B1DB1-Normal57"/>
              <w:spacing w:before="0" w:after="0" w:line="240" w:lineRule="auto"/>
              <w:jc w:val="center"/>
              <w:rPr>
                <w:noProof/>
              </w:rPr>
            </w:pPr>
            <w:r>
              <w:rPr>
                <w:noProof/>
              </w:rPr>
              <w:t>Étapes</w:t>
            </w:r>
          </w:p>
        </w:tc>
        <w:tc>
          <w:tcPr>
            <w:tcW w:w="3220" w:type="dxa"/>
            <w:tcBorders>
              <w:top w:val="single" w:sz="8" w:space="0" w:color="auto"/>
              <w:left w:val="nil"/>
              <w:bottom w:val="single" w:sz="8" w:space="0" w:color="auto"/>
              <w:right w:val="single" w:sz="8" w:space="0" w:color="auto"/>
            </w:tcBorders>
            <w:shd w:val="clear" w:color="auto" w:fill="C6EFCE"/>
            <w:vAlign w:val="center"/>
            <w:hideMark/>
          </w:tcPr>
          <w:p w14:paraId="3BEDE3B3" w14:textId="77777777" w:rsidR="00025543" w:rsidRDefault="007E3A2F">
            <w:pPr>
              <w:pStyle w:val="P68B1DB1-Normal57"/>
              <w:spacing w:before="0" w:after="0" w:line="240" w:lineRule="auto"/>
              <w:jc w:val="center"/>
              <w:rPr>
                <w:noProof/>
              </w:rPr>
            </w:pPr>
            <w:r>
              <w:rPr>
                <w:noProof/>
              </w:rPr>
              <w:t>Pleine exploitation du portail numérique unique</w:t>
            </w:r>
          </w:p>
        </w:tc>
      </w:tr>
      <w:tr w:rsidR="00025543" w14:paraId="6C93F337" w14:textId="77777777">
        <w:trPr>
          <w:trHeight w:val="990"/>
        </w:trPr>
        <w:tc>
          <w:tcPr>
            <w:tcW w:w="1290" w:type="dxa"/>
            <w:tcBorders>
              <w:top w:val="single" w:sz="8" w:space="0" w:color="auto"/>
              <w:left w:val="single" w:sz="8" w:space="0" w:color="auto"/>
              <w:bottom w:val="single" w:sz="8" w:space="0" w:color="auto"/>
              <w:right w:val="single" w:sz="8" w:space="0" w:color="000000" w:themeColor="text1"/>
            </w:tcBorders>
            <w:shd w:val="clear" w:color="auto" w:fill="C6EFCE"/>
            <w:vAlign w:val="center"/>
            <w:hideMark/>
          </w:tcPr>
          <w:p w14:paraId="6BEB93AC" w14:textId="77777777" w:rsidR="00025543" w:rsidRDefault="007E3A2F">
            <w:pPr>
              <w:pStyle w:val="P68B1DB1-Normal57"/>
              <w:spacing w:before="0" w:after="0" w:line="240" w:lineRule="auto"/>
              <w:jc w:val="center"/>
              <w:rPr>
                <w:noProof/>
              </w:rPr>
            </w:pPr>
            <w:r>
              <w:rPr>
                <w:noProof/>
              </w:rPr>
              <w:t>8</w:t>
            </w:r>
          </w:p>
        </w:tc>
        <w:tc>
          <w:tcPr>
            <w:tcW w:w="3975" w:type="dxa"/>
            <w:tcBorders>
              <w:top w:val="nil"/>
              <w:left w:val="nil"/>
              <w:bottom w:val="single" w:sz="8" w:space="0" w:color="000000" w:themeColor="text1"/>
              <w:right w:val="single" w:sz="8" w:space="0" w:color="000000" w:themeColor="text1"/>
            </w:tcBorders>
            <w:shd w:val="clear" w:color="auto" w:fill="C6EFCE"/>
            <w:vAlign w:val="center"/>
            <w:hideMark/>
          </w:tcPr>
          <w:p w14:paraId="478D254B" w14:textId="77777777" w:rsidR="00025543" w:rsidRDefault="007E3A2F">
            <w:pPr>
              <w:pStyle w:val="P68B1DB1-Normal57"/>
              <w:spacing w:before="0" w:after="0" w:line="240" w:lineRule="auto"/>
              <w:jc w:val="center"/>
              <w:rPr>
                <w:noProof/>
              </w:rPr>
            </w:pPr>
            <w:r>
              <w:rPr>
                <w:noProof/>
              </w:rPr>
              <w:t>C 1.1: Services numériques aux citoyens et aux entreprises — Investissement 1: Services numériques pour les utilisateurs finaux</w:t>
            </w:r>
          </w:p>
        </w:tc>
        <w:tc>
          <w:tcPr>
            <w:tcW w:w="1800" w:type="dxa"/>
            <w:tcBorders>
              <w:top w:val="nil"/>
              <w:left w:val="nil"/>
              <w:bottom w:val="single" w:sz="8" w:space="0" w:color="000000" w:themeColor="text1"/>
              <w:right w:val="single" w:sz="8" w:space="0" w:color="000000" w:themeColor="text1"/>
            </w:tcBorders>
            <w:shd w:val="clear" w:color="auto" w:fill="C6EFCE"/>
            <w:vAlign w:val="center"/>
            <w:hideMark/>
          </w:tcPr>
          <w:p w14:paraId="0CDC992C" w14:textId="77777777" w:rsidR="00025543" w:rsidRDefault="007E3A2F">
            <w:pPr>
              <w:pStyle w:val="P68B1DB1-Normal57"/>
              <w:spacing w:before="0" w:after="0" w:line="240" w:lineRule="auto"/>
              <w:jc w:val="center"/>
              <w:rPr>
                <w:noProof/>
              </w:rPr>
            </w:pPr>
            <w:r>
              <w:rPr>
                <w:noProof/>
              </w:rPr>
              <w:t>Étapes</w:t>
            </w:r>
          </w:p>
        </w:tc>
        <w:tc>
          <w:tcPr>
            <w:tcW w:w="3220" w:type="dxa"/>
            <w:tcBorders>
              <w:top w:val="single" w:sz="8" w:space="0" w:color="auto"/>
              <w:left w:val="nil"/>
              <w:bottom w:val="single" w:sz="8" w:space="0" w:color="auto"/>
              <w:right w:val="single" w:sz="8" w:space="0" w:color="auto"/>
            </w:tcBorders>
            <w:shd w:val="clear" w:color="auto" w:fill="C6EFCE"/>
            <w:vAlign w:val="center"/>
            <w:hideMark/>
          </w:tcPr>
          <w:p w14:paraId="36CDE54F" w14:textId="1D07B5D3" w:rsidR="00025543" w:rsidRDefault="007E3A2F">
            <w:pPr>
              <w:pStyle w:val="P68B1DB1-Normal57"/>
              <w:spacing w:before="0" w:after="0" w:line="240" w:lineRule="auto"/>
              <w:jc w:val="center"/>
              <w:rPr>
                <w:noProof/>
              </w:rPr>
            </w:pPr>
            <w:r>
              <w:rPr>
                <w:noProof/>
              </w:rPr>
              <w:t>Achèvement des nouveaux systèmes d’information</w:t>
            </w:r>
          </w:p>
          <w:p w14:paraId="05ECE82E" w14:textId="3D0716D3" w:rsidR="00025543" w:rsidRDefault="00025543">
            <w:pPr>
              <w:spacing w:before="0" w:after="0" w:line="240" w:lineRule="auto"/>
              <w:jc w:val="center"/>
              <w:rPr>
                <w:rFonts w:eastAsia="Times New Roman"/>
                <w:noProof/>
                <w:color w:val="006100"/>
                <w:sz w:val="20"/>
              </w:rPr>
            </w:pPr>
          </w:p>
        </w:tc>
      </w:tr>
      <w:tr w:rsidR="00025543" w14:paraId="646E9BF9" w14:textId="77777777">
        <w:trPr>
          <w:trHeight w:val="795"/>
        </w:trPr>
        <w:tc>
          <w:tcPr>
            <w:tcW w:w="1290"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02E68244" w14:textId="77777777" w:rsidR="00025543" w:rsidRDefault="007E3A2F">
            <w:pPr>
              <w:pStyle w:val="P68B1DB1-Normal57"/>
              <w:spacing w:before="0" w:after="0" w:line="240" w:lineRule="auto"/>
              <w:jc w:val="center"/>
              <w:rPr>
                <w:noProof/>
              </w:rPr>
            </w:pPr>
            <w:r>
              <w:rPr>
                <w:noProof/>
              </w:rPr>
              <w:t>13</w:t>
            </w:r>
          </w:p>
        </w:tc>
        <w:tc>
          <w:tcPr>
            <w:tcW w:w="3975" w:type="dxa"/>
            <w:tcBorders>
              <w:top w:val="nil"/>
              <w:left w:val="nil"/>
              <w:bottom w:val="single" w:sz="8" w:space="0" w:color="000000" w:themeColor="text1"/>
              <w:right w:val="single" w:sz="8" w:space="0" w:color="000000" w:themeColor="text1"/>
            </w:tcBorders>
            <w:shd w:val="clear" w:color="auto" w:fill="C6EFCE"/>
            <w:vAlign w:val="center"/>
            <w:hideMark/>
          </w:tcPr>
          <w:p w14:paraId="602012CA" w14:textId="77777777" w:rsidR="00025543" w:rsidRDefault="007E3A2F">
            <w:pPr>
              <w:pStyle w:val="P68B1DB1-Normal57"/>
              <w:spacing w:before="0" w:after="0" w:line="240" w:lineRule="auto"/>
              <w:jc w:val="center"/>
              <w:rPr>
                <w:noProof/>
              </w:rPr>
            </w:pPr>
            <w:r>
              <w:rPr>
                <w:noProof/>
              </w:rPr>
              <w:t>C 1.1: Services numériques aux citoyens et aux entreprises — Investissement 3: Service numérique pour la justice</w:t>
            </w:r>
          </w:p>
        </w:tc>
        <w:tc>
          <w:tcPr>
            <w:tcW w:w="1800" w:type="dxa"/>
            <w:tcBorders>
              <w:top w:val="nil"/>
              <w:left w:val="nil"/>
              <w:bottom w:val="single" w:sz="8" w:space="0" w:color="000000" w:themeColor="text1"/>
              <w:right w:val="single" w:sz="8" w:space="0" w:color="000000" w:themeColor="text1"/>
            </w:tcBorders>
            <w:shd w:val="clear" w:color="auto" w:fill="C6EFCE"/>
            <w:vAlign w:val="center"/>
            <w:hideMark/>
          </w:tcPr>
          <w:p w14:paraId="497DB00B" w14:textId="77777777" w:rsidR="00025543" w:rsidRDefault="007E3A2F">
            <w:pPr>
              <w:pStyle w:val="P68B1DB1-Normal57"/>
              <w:spacing w:before="0" w:after="0" w:line="240" w:lineRule="auto"/>
              <w:jc w:val="center"/>
              <w:rPr>
                <w:noProof/>
              </w:rPr>
            </w:pPr>
            <w:r>
              <w:rPr>
                <w:noProof/>
              </w:rPr>
              <w:t>Étapes</w:t>
            </w:r>
          </w:p>
        </w:tc>
        <w:tc>
          <w:tcPr>
            <w:tcW w:w="3220" w:type="dxa"/>
            <w:tcBorders>
              <w:top w:val="nil"/>
              <w:left w:val="nil"/>
              <w:bottom w:val="single" w:sz="8" w:space="0" w:color="000000" w:themeColor="text1"/>
              <w:right w:val="single" w:sz="8" w:space="0" w:color="auto"/>
            </w:tcBorders>
            <w:shd w:val="clear" w:color="auto" w:fill="C6EFCE"/>
            <w:vAlign w:val="center"/>
            <w:hideMark/>
          </w:tcPr>
          <w:p w14:paraId="75D76C9C" w14:textId="77777777" w:rsidR="00025543" w:rsidRDefault="007E3A2F">
            <w:pPr>
              <w:pStyle w:val="P68B1DB1-Normal57"/>
              <w:spacing w:before="0" w:after="0" w:line="240" w:lineRule="auto"/>
              <w:jc w:val="center"/>
              <w:rPr>
                <w:noProof/>
              </w:rPr>
            </w:pPr>
            <w:r>
              <w:rPr>
                <w:noProof/>
              </w:rPr>
              <w:t>Déploiement d’une nouvelle plateforme technologique du portail «Justice», qui met des services numériques à la disposition des citoyens et est connectée au portail central des citoyens</w:t>
            </w:r>
          </w:p>
        </w:tc>
      </w:tr>
      <w:tr w:rsidR="00025543" w14:paraId="387FDD2B" w14:textId="77777777">
        <w:trPr>
          <w:trHeight w:val="405"/>
        </w:trPr>
        <w:tc>
          <w:tcPr>
            <w:tcW w:w="1290"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026290AE" w14:textId="77777777" w:rsidR="00025543" w:rsidRDefault="007E3A2F">
            <w:pPr>
              <w:pStyle w:val="P68B1DB1-Normal57"/>
              <w:spacing w:before="0" w:after="0" w:line="240" w:lineRule="auto"/>
              <w:jc w:val="center"/>
              <w:rPr>
                <w:noProof/>
              </w:rPr>
            </w:pPr>
            <w:r>
              <w:rPr>
                <w:noProof/>
              </w:rPr>
              <w:t>14</w:t>
            </w:r>
          </w:p>
        </w:tc>
        <w:tc>
          <w:tcPr>
            <w:tcW w:w="3975" w:type="dxa"/>
            <w:tcBorders>
              <w:top w:val="nil"/>
              <w:left w:val="nil"/>
              <w:bottom w:val="single" w:sz="8" w:space="0" w:color="000000" w:themeColor="text1"/>
              <w:right w:val="single" w:sz="8" w:space="0" w:color="000000" w:themeColor="text1"/>
            </w:tcBorders>
            <w:shd w:val="clear" w:color="auto" w:fill="C6EFCE"/>
            <w:vAlign w:val="center"/>
            <w:hideMark/>
          </w:tcPr>
          <w:p w14:paraId="1A5501EF" w14:textId="77777777" w:rsidR="00025543" w:rsidRDefault="007E3A2F">
            <w:pPr>
              <w:pStyle w:val="P68B1DB1-Normal57"/>
              <w:spacing w:before="0" w:after="0" w:line="240" w:lineRule="auto"/>
              <w:jc w:val="center"/>
              <w:rPr>
                <w:noProof/>
              </w:rPr>
            </w:pPr>
            <w:r>
              <w:rPr>
                <w:noProof/>
              </w:rPr>
              <w:t>C 1.1: Services numériques aux citoyens et aux entreprises — Investissement 3: Service numérique pour la justice</w:t>
            </w:r>
          </w:p>
        </w:tc>
        <w:tc>
          <w:tcPr>
            <w:tcW w:w="1800" w:type="dxa"/>
            <w:tcBorders>
              <w:top w:val="nil"/>
              <w:left w:val="nil"/>
              <w:bottom w:val="single" w:sz="8" w:space="0" w:color="000000" w:themeColor="text1"/>
              <w:right w:val="single" w:sz="8" w:space="0" w:color="000000" w:themeColor="text1"/>
            </w:tcBorders>
            <w:shd w:val="clear" w:color="auto" w:fill="C6EFCE"/>
            <w:vAlign w:val="center"/>
            <w:hideMark/>
          </w:tcPr>
          <w:p w14:paraId="4A37F36F" w14:textId="77777777" w:rsidR="00025543" w:rsidRDefault="007E3A2F">
            <w:pPr>
              <w:pStyle w:val="P68B1DB1-Normal57"/>
              <w:spacing w:before="0" w:after="0" w:line="240" w:lineRule="auto"/>
              <w:jc w:val="center"/>
              <w:rPr>
                <w:noProof/>
              </w:rPr>
            </w:pPr>
            <w:r>
              <w:rPr>
                <w:noProof/>
              </w:rPr>
              <w:t>Cible</w:t>
            </w:r>
          </w:p>
        </w:tc>
        <w:tc>
          <w:tcPr>
            <w:tcW w:w="3220" w:type="dxa"/>
            <w:tcBorders>
              <w:top w:val="nil"/>
              <w:left w:val="nil"/>
              <w:bottom w:val="single" w:sz="8" w:space="0" w:color="000000" w:themeColor="text1"/>
              <w:right w:val="single" w:sz="8" w:space="0" w:color="auto"/>
            </w:tcBorders>
            <w:shd w:val="clear" w:color="auto" w:fill="C6EFCE"/>
            <w:vAlign w:val="center"/>
            <w:hideMark/>
          </w:tcPr>
          <w:p w14:paraId="5F82D059" w14:textId="77777777" w:rsidR="00025543" w:rsidRDefault="007E3A2F">
            <w:pPr>
              <w:pStyle w:val="P68B1DB1-Normal57"/>
              <w:spacing w:before="0" w:after="0" w:line="240" w:lineRule="auto"/>
              <w:jc w:val="center"/>
              <w:rPr>
                <w:noProof/>
              </w:rPr>
            </w:pPr>
            <w:r>
              <w:rPr>
                <w:noProof/>
              </w:rPr>
              <w:t>Équipement de salles d’audience avec enregistreurs de données audiovisuels</w:t>
            </w:r>
          </w:p>
        </w:tc>
      </w:tr>
      <w:tr w:rsidR="00025543" w14:paraId="18472E6B" w14:textId="77777777">
        <w:trPr>
          <w:trHeight w:val="795"/>
        </w:trPr>
        <w:tc>
          <w:tcPr>
            <w:tcW w:w="1290"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61F17235" w14:textId="77777777" w:rsidR="00025543" w:rsidRDefault="007E3A2F">
            <w:pPr>
              <w:pStyle w:val="P68B1DB1-Normal56"/>
              <w:spacing w:before="0" w:after="0" w:line="240" w:lineRule="auto"/>
              <w:jc w:val="center"/>
              <w:rPr>
                <w:noProof/>
              </w:rPr>
            </w:pPr>
            <w:r>
              <w:rPr>
                <w:noProof/>
              </w:rPr>
              <w:t>27</w:t>
            </w:r>
          </w:p>
        </w:tc>
        <w:tc>
          <w:tcPr>
            <w:tcW w:w="3975" w:type="dxa"/>
            <w:tcBorders>
              <w:top w:val="nil"/>
              <w:left w:val="nil"/>
              <w:bottom w:val="single" w:sz="8" w:space="0" w:color="000000" w:themeColor="text1"/>
              <w:right w:val="single" w:sz="8" w:space="0" w:color="000000" w:themeColor="text1"/>
            </w:tcBorders>
            <w:shd w:val="clear" w:color="auto" w:fill="C6EFCE"/>
            <w:vAlign w:val="center"/>
            <w:hideMark/>
          </w:tcPr>
          <w:p w14:paraId="06B73E76" w14:textId="77777777" w:rsidR="00025543" w:rsidRDefault="007E3A2F">
            <w:pPr>
              <w:spacing w:before="0" w:after="0" w:line="240" w:lineRule="auto"/>
              <w:jc w:val="center"/>
              <w:rPr>
                <w:rFonts w:eastAsia="Times New Roman"/>
                <w:noProof/>
                <w:color w:val="006100"/>
                <w:sz w:val="20"/>
              </w:rPr>
            </w:pPr>
            <w:r>
              <w:rPr>
                <w:rFonts w:eastAsia="Times New Roman"/>
                <w:noProof/>
                <w:color w:val="006100"/>
                <w:sz w:val="20"/>
              </w:rPr>
              <w:t>C 1.2: Systèmes d’administration publique numérique — Réforme 2:</w:t>
            </w:r>
            <w:r>
              <w:rPr>
                <w:noProof/>
              </w:rPr>
              <w:br/>
            </w:r>
            <w:r>
              <w:rPr>
                <w:rFonts w:eastAsia="Times New Roman"/>
                <w:noProof/>
                <w:color w:val="006100"/>
                <w:sz w:val="20"/>
              </w:rPr>
              <w:t>Développement de systèmes soutenant la santé en ligne</w:t>
            </w:r>
          </w:p>
        </w:tc>
        <w:tc>
          <w:tcPr>
            <w:tcW w:w="1800" w:type="dxa"/>
            <w:tcBorders>
              <w:top w:val="nil"/>
              <w:left w:val="nil"/>
              <w:bottom w:val="single" w:sz="8" w:space="0" w:color="000000" w:themeColor="text1"/>
              <w:right w:val="single" w:sz="8" w:space="0" w:color="000000" w:themeColor="text1"/>
            </w:tcBorders>
            <w:shd w:val="clear" w:color="auto" w:fill="C6EFCE"/>
            <w:vAlign w:val="center"/>
            <w:hideMark/>
          </w:tcPr>
          <w:p w14:paraId="3EE3FB3A" w14:textId="77777777" w:rsidR="00025543" w:rsidRDefault="007E3A2F">
            <w:pPr>
              <w:pStyle w:val="P68B1DB1-Normal57"/>
              <w:spacing w:before="0" w:after="0" w:line="240" w:lineRule="auto"/>
              <w:jc w:val="center"/>
              <w:rPr>
                <w:noProof/>
              </w:rPr>
            </w:pPr>
            <w:r>
              <w:rPr>
                <w:noProof/>
              </w:rPr>
              <w:t>Étapes</w:t>
            </w:r>
          </w:p>
        </w:tc>
        <w:tc>
          <w:tcPr>
            <w:tcW w:w="3220" w:type="dxa"/>
            <w:tcBorders>
              <w:top w:val="nil"/>
              <w:left w:val="nil"/>
              <w:bottom w:val="single" w:sz="8" w:space="0" w:color="000000" w:themeColor="text1"/>
              <w:right w:val="single" w:sz="8" w:space="0" w:color="auto"/>
            </w:tcBorders>
            <w:shd w:val="clear" w:color="auto" w:fill="C6EFCE"/>
            <w:vAlign w:val="center"/>
            <w:hideMark/>
          </w:tcPr>
          <w:p w14:paraId="4B29A90D" w14:textId="77777777" w:rsidR="00025543" w:rsidRDefault="007E3A2F">
            <w:pPr>
              <w:pStyle w:val="P68B1DB1-Normal56"/>
              <w:spacing w:before="0" w:after="0" w:line="240" w:lineRule="auto"/>
              <w:jc w:val="center"/>
              <w:rPr>
                <w:noProof/>
              </w:rPr>
            </w:pPr>
            <w:r>
              <w:rPr>
                <w:noProof/>
              </w:rPr>
              <w:t>Extension de l’enregistrement partagé des médicaments (ePrescreption) aux stupéfiants et aux substances psychotropes et aux bons électroniques pour dispositifs médicaux</w:t>
            </w:r>
          </w:p>
        </w:tc>
      </w:tr>
      <w:tr w:rsidR="00025543" w14:paraId="3F127452" w14:textId="77777777">
        <w:trPr>
          <w:trHeight w:val="795"/>
        </w:trPr>
        <w:tc>
          <w:tcPr>
            <w:tcW w:w="1290"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049C2CAE" w14:textId="77777777" w:rsidR="00025543" w:rsidRDefault="007E3A2F">
            <w:pPr>
              <w:pStyle w:val="P68B1DB1-Normal56"/>
              <w:spacing w:before="0" w:after="0" w:line="240" w:lineRule="auto"/>
              <w:jc w:val="center"/>
              <w:rPr>
                <w:noProof/>
              </w:rPr>
            </w:pPr>
            <w:r>
              <w:rPr>
                <w:noProof/>
              </w:rPr>
              <w:t>202</w:t>
            </w:r>
          </w:p>
        </w:tc>
        <w:tc>
          <w:tcPr>
            <w:tcW w:w="3975" w:type="dxa"/>
            <w:tcBorders>
              <w:top w:val="nil"/>
              <w:left w:val="nil"/>
              <w:bottom w:val="single" w:sz="8" w:space="0" w:color="000000" w:themeColor="text1"/>
              <w:right w:val="single" w:sz="8" w:space="0" w:color="000000" w:themeColor="text1"/>
            </w:tcBorders>
            <w:shd w:val="clear" w:color="auto" w:fill="C6EFCE"/>
            <w:vAlign w:val="center"/>
            <w:hideMark/>
          </w:tcPr>
          <w:p w14:paraId="0189F854" w14:textId="77777777" w:rsidR="00025543" w:rsidRDefault="007E3A2F">
            <w:pPr>
              <w:pStyle w:val="P68B1DB1-Normal57"/>
              <w:spacing w:before="0" w:after="0" w:line="240" w:lineRule="auto"/>
              <w:jc w:val="center"/>
              <w:rPr>
                <w:noProof/>
              </w:rPr>
            </w:pPr>
            <w:r>
              <w:rPr>
                <w:noProof/>
              </w:rPr>
              <w:t xml:space="preserve">C 4.3: Réformes anticorruption — Réforme 1: Protection des lanceurs d’alerte </w:t>
            </w:r>
          </w:p>
        </w:tc>
        <w:tc>
          <w:tcPr>
            <w:tcW w:w="1800" w:type="dxa"/>
            <w:tcBorders>
              <w:top w:val="nil"/>
              <w:left w:val="nil"/>
              <w:bottom w:val="single" w:sz="8" w:space="0" w:color="000000" w:themeColor="text1"/>
              <w:right w:val="single" w:sz="8" w:space="0" w:color="000000" w:themeColor="text1"/>
            </w:tcBorders>
            <w:shd w:val="clear" w:color="auto" w:fill="C6EFCE"/>
            <w:vAlign w:val="center"/>
            <w:hideMark/>
          </w:tcPr>
          <w:p w14:paraId="072819CD" w14:textId="77777777" w:rsidR="00025543" w:rsidRDefault="007E3A2F">
            <w:pPr>
              <w:pStyle w:val="P68B1DB1-Normal57"/>
              <w:spacing w:before="0" w:after="0" w:line="240" w:lineRule="auto"/>
              <w:jc w:val="center"/>
              <w:rPr>
                <w:noProof/>
              </w:rPr>
            </w:pPr>
            <w:r>
              <w:rPr>
                <w:noProof/>
              </w:rPr>
              <w:t>Étapes</w:t>
            </w:r>
          </w:p>
        </w:tc>
        <w:tc>
          <w:tcPr>
            <w:tcW w:w="3220" w:type="dxa"/>
            <w:tcBorders>
              <w:top w:val="nil"/>
              <w:left w:val="nil"/>
              <w:bottom w:val="single" w:sz="8" w:space="0" w:color="000000" w:themeColor="text1"/>
              <w:right w:val="single" w:sz="8" w:space="0" w:color="auto"/>
            </w:tcBorders>
            <w:shd w:val="clear" w:color="auto" w:fill="C6EFCE"/>
            <w:vAlign w:val="center"/>
            <w:hideMark/>
          </w:tcPr>
          <w:p w14:paraId="0CEED4FE" w14:textId="77777777" w:rsidR="00025543" w:rsidRDefault="007E3A2F">
            <w:pPr>
              <w:pStyle w:val="P68B1DB1-Normal56"/>
              <w:spacing w:before="0" w:after="0" w:line="240" w:lineRule="auto"/>
              <w:jc w:val="center"/>
              <w:rPr>
                <w:noProof/>
              </w:rPr>
            </w:pPr>
            <w:r>
              <w:rPr>
                <w:noProof/>
              </w:rPr>
              <w:t>Entrée en vigueur de la loi sur la protection des lanceurs d’alerte et de la loi modificative qui l’accompagne</w:t>
            </w:r>
          </w:p>
        </w:tc>
      </w:tr>
      <w:tr w:rsidR="00025543" w14:paraId="653413DF" w14:textId="77777777">
        <w:trPr>
          <w:trHeight w:val="795"/>
        </w:trPr>
        <w:tc>
          <w:tcPr>
            <w:tcW w:w="1290" w:type="dxa"/>
            <w:tcBorders>
              <w:top w:val="single" w:sz="4" w:space="0" w:color="auto"/>
              <w:left w:val="single" w:sz="8" w:space="0" w:color="auto"/>
              <w:bottom w:val="single" w:sz="8" w:space="0" w:color="000000" w:themeColor="text1"/>
              <w:right w:val="single" w:sz="8" w:space="0" w:color="000000" w:themeColor="text1"/>
            </w:tcBorders>
            <w:shd w:val="clear" w:color="auto" w:fill="C6EFCE"/>
            <w:vAlign w:val="center"/>
            <w:hideMark/>
          </w:tcPr>
          <w:p w14:paraId="4EAD5638" w14:textId="77777777" w:rsidR="00025543" w:rsidRDefault="007E3A2F">
            <w:pPr>
              <w:pStyle w:val="P68B1DB1-Normal56"/>
              <w:spacing w:before="0" w:after="0" w:line="240" w:lineRule="auto"/>
              <w:jc w:val="center"/>
              <w:rPr>
                <w:noProof/>
              </w:rPr>
            </w:pPr>
            <w:r>
              <w:rPr>
                <w:noProof/>
              </w:rPr>
              <w:t>59</w:t>
            </w:r>
          </w:p>
        </w:tc>
        <w:tc>
          <w:tcPr>
            <w:tcW w:w="3975" w:type="dxa"/>
            <w:tcBorders>
              <w:top w:val="nil"/>
              <w:left w:val="nil"/>
              <w:bottom w:val="single" w:sz="8" w:space="0" w:color="000000" w:themeColor="text1"/>
              <w:right w:val="single" w:sz="8" w:space="0" w:color="000000" w:themeColor="text1"/>
            </w:tcBorders>
            <w:shd w:val="clear" w:color="auto" w:fill="C6EFCE"/>
            <w:vAlign w:val="center"/>
            <w:hideMark/>
          </w:tcPr>
          <w:p w14:paraId="6AD1894B" w14:textId="77777777" w:rsidR="00025543" w:rsidRDefault="007E3A2F">
            <w:pPr>
              <w:pStyle w:val="P68B1DB1-Normal57"/>
              <w:spacing w:before="0" w:after="0" w:line="240" w:lineRule="auto"/>
              <w:jc w:val="center"/>
              <w:rPr>
                <w:noProof/>
              </w:rPr>
            </w:pPr>
            <w:r>
              <w:rPr>
                <w:noProof/>
              </w:rPr>
              <w:t>C 1.4: Économie et société numériques, jeunes pousses innovantes et nouvelles technologies — Investissements 7: Programme «Rise-Up» tchèque</w:t>
            </w:r>
          </w:p>
        </w:tc>
        <w:tc>
          <w:tcPr>
            <w:tcW w:w="1800" w:type="dxa"/>
            <w:tcBorders>
              <w:top w:val="nil"/>
              <w:left w:val="nil"/>
              <w:bottom w:val="single" w:sz="8" w:space="0" w:color="000000" w:themeColor="text1"/>
              <w:right w:val="single" w:sz="8" w:space="0" w:color="000000" w:themeColor="text1"/>
            </w:tcBorders>
            <w:shd w:val="clear" w:color="auto" w:fill="C6EFCE"/>
            <w:vAlign w:val="center"/>
            <w:hideMark/>
          </w:tcPr>
          <w:p w14:paraId="038CF21E" w14:textId="77777777" w:rsidR="00025543" w:rsidRDefault="007E3A2F">
            <w:pPr>
              <w:pStyle w:val="P68B1DB1-Normal57"/>
              <w:spacing w:before="0" w:after="0" w:line="240" w:lineRule="auto"/>
              <w:jc w:val="center"/>
              <w:rPr>
                <w:noProof/>
              </w:rPr>
            </w:pPr>
            <w:r>
              <w:rPr>
                <w:noProof/>
              </w:rPr>
              <w:t>Cible</w:t>
            </w:r>
          </w:p>
        </w:tc>
        <w:tc>
          <w:tcPr>
            <w:tcW w:w="3220" w:type="dxa"/>
            <w:tcBorders>
              <w:top w:val="single" w:sz="4" w:space="0" w:color="auto"/>
              <w:left w:val="nil"/>
              <w:bottom w:val="single" w:sz="8" w:space="0" w:color="000000" w:themeColor="text1"/>
              <w:right w:val="single" w:sz="8" w:space="0" w:color="auto"/>
            </w:tcBorders>
            <w:shd w:val="clear" w:color="auto" w:fill="C6EFCE"/>
            <w:vAlign w:val="center"/>
            <w:hideMark/>
          </w:tcPr>
          <w:p w14:paraId="513123B7" w14:textId="6E21A346" w:rsidR="00025543" w:rsidRDefault="007E3A2F">
            <w:pPr>
              <w:pStyle w:val="P68B1DB1-Normal56"/>
              <w:spacing w:before="0" w:after="0" w:line="240" w:lineRule="auto"/>
              <w:jc w:val="center"/>
              <w:rPr>
                <w:noProof/>
              </w:rPr>
            </w:pPr>
            <w:r>
              <w:rPr>
                <w:noProof/>
              </w:rPr>
              <w:t>Soutien à des projets visant à innover dans les solutions médicales et numériques pour faire face aux effets de la COVID-19 et à ses conséquences économiques et sociales</w:t>
            </w:r>
          </w:p>
        </w:tc>
      </w:tr>
      <w:tr w:rsidR="00025543" w14:paraId="60D68A06" w14:textId="77777777">
        <w:trPr>
          <w:trHeight w:val="600"/>
        </w:trPr>
        <w:tc>
          <w:tcPr>
            <w:tcW w:w="1290" w:type="dxa"/>
            <w:tcBorders>
              <w:top w:val="nil"/>
              <w:left w:val="single" w:sz="8" w:space="0" w:color="auto"/>
              <w:bottom w:val="single" w:sz="4" w:space="0" w:color="auto"/>
              <w:right w:val="single" w:sz="8" w:space="0" w:color="000000" w:themeColor="text1"/>
            </w:tcBorders>
            <w:shd w:val="clear" w:color="auto" w:fill="C6EFCE"/>
            <w:vAlign w:val="center"/>
            <w:hideMark/>
          </w:tcPr>
          <w:p w14:paraId="4A08F2AF" w14:textId="77777777" w:rsidR="00025543" w:rsidRDefault="007E3A2F">
            <w:pPr>
              <w:pStyle w:val="P68B1DB1-Normal57"/>
              <w:spacing w:before="0" w:after="0" w:line="240" w:lineRule="auto"/>
              <w:jc w:val="center"/>
              <w:rPr>
                <w:noProof/>
              </w:rPr>
            </w:pPr>
            <w:r>
              <w:rPr>
                <w:noProof/>
              </w:rPr>
              <w:t>79</w:t>
            </w:r>
          </w:p>
        </w:tc>
        <w:tc>
          <w:tcPr>
            <w:tcW w:w="3975" w:type="dxa"/>
            <w:tcBorders>
              <w:top w:val="nil"/>
              <w:left w:val="nil"/>
              <w:bottom w:val="single" w:sz="4" w:space="0" w:color="auto"/>
              <w:right w:val="single" w:sz="8" w:space="0" w:color="000000" w:themeColor="text1"/>
            </w:tcBorders>
            <w:shd w:val="clear" w:color="auto" w:fill="C6EFCE"/>
            <w:vAlign w:val="center"/>
            <w:hideMark/>
          </w:tcPr>
          <w:p w14:paraId="5453019C" w14:textId="77777777" w:rsidR="00025543" w:rsidRDefault="007E3A2F">
            <w:pPr>
              <w:pStyle w:val="P68B1DB1-Normal57"/>
              <w:spacing w:before="0" w:after="0" w:line="240" w:lineRule="auto"/>
              <w:jc w:val="center"/>
              <w:rPr>
                <w:noProof/>
              </w:rPr>
            </w:pPr>
            <w:r>
              <w:rPr>
                <w:noProof/>
              </w:rPr>
              <w:t>C 2.1: Transports durables — Réforme 1: Créer des alternatives à l’énergie et au transport routier à forte intensité spatiale</w:t>
            </w:r>
          </w:p>
        </w:tc>
        <w:tc>
          <w:tcPr>
            <w:tcW w:w="1800" w:type="dxa"/>
            <w:tcBorders>
              <w:top w:val="nil"/>
              <w:left w:val="nil"/>
              <w:bottom w:val="single" w:sz="4" w:space="0" w:color="auto"/>
              <w:right w:val="single" w:sz="8" w:space="0" w:color="000000" w:themeColor="text1"/>
            </w:tcBorders>
            <w:shd w:val="clear" w:color="auto" w:fill="C6EFCE"/>
            <w:vAlign w:val="center"/>
            <w:hideMark/>
          </w:tcPr>
          <w:p w14:paraId="0F7195F1" w14:textId="77777777" w:rsidR="00025543" w:rsidRDefault="007E3A2F">
            <w:pPr>
              <w:pStyle w:val="P68B1DB1-Normal57"/>
              <w:spacing w:before="0" w:after="0" w:line="240" w:lineRule="auto"/>
              <w:jc w:val="center"/>
              <w:rPr>
                <w:noProof/>
              </w:rPr>
            </w:pPr>
            <w:r>
              <w:rPr>
                <w:noProof/>
              </w:rPr>
              <w:t>Étapes</w:t>
            </w:r>
          </w:p>
        </w:tc>
        <w:tc>
          <w:tcPr>
            <w:tcW w:w="3220" w:type="dxa"/>
            <w:tcBorders>
              <w:top w:val="nil"/>
              <w:left w:val="nil"/>
              <w:bottom w:val="single" w:sz="4" w:space="0" w:color="auto"/>
              <w:right w:val="single" w:sz="8" w:space="0" w:color="auto"/>
            </w:tcBorders>
            <w:shd w:val="clear" w:color="auto" w:fill="C6EFCE"/>
            <w:vAlign w:val="center"/>
            <w:hideMark/>
          </w:tcPr>
          <w:p w14:paraId="1391F0FB" w14:textId="77777777" w:rsidR="00025543" w:rsidRDefault="007E3A2F">
            <w:pPr>
              <w:pStyle w:val="P68B1DB1-Normal57"/>
              <w:spacing w:before="0" w:after="0" w:line="240" w:lineRule="auto"/>
              <w:jc w:val="center"/>
              <w:rPr>
                <w:noProof/>
              </w:rPr>
            </w:pPr>
            <w:r>
              <w:rPr>
                <w:noProof/>
              </w:rPr>
              <w:t>Approbation et entrée en vigueur du nouveau concept de transport de marchandises</w:t>
            </w:r>
          </w:p>
        </w:tc>
      </w:tr>
      <w:tr w:rsidR="00025543" w14:paraId="4039D8C4" w14:textId="77777777">
        <w:trPr>
          <w:trHeight w:val="600"/>
        </w:trPr>
        <w:tc>
          <w:tcPr>
            <w:tcW w:w="1290"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179F4E7" w14:textId="77777777" w:rsidR="00025543" w:rsidRDefault="007E3A2F">
            <w:pPr>
              <w:pStyle w:val="P68B1DB1-Normal57"/>
              <w:spacing w:before="0" w:after="0" w:line="240" w:lineRule="auto"/>
              <w:jc w:val="center"/>
              <w:rPr>
                <w:noProof/>
              </w:rPr>
            </w:pPr>
            <w:r>
              <w:rPr>
                <w:noProof/>
              </w:rPr>
              <w:t>80</w:t>
            </w:r>
          </w:p>
        </w:tc>
        <w:tc>
          <w:tcPr>
            <w:tcW w:w="3975"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EB50AE6" w14:textId="77777777" w:rsidR="00025543" w:rsidRDefault="007E3A2F">
            <w:pPr>
              <w:pStyle w:val="P68B1DB1-Normal57"/>
              <w:spacing w:before="0" w:after="0" w:line="240" w:lineRule="auto"/>
              <w:jc w:val="center"/>
              <w:rPr>
                <w:noProof/>
              </w:rPr>
            </w:pPr>
            <w:r>
              <w:rPr>
                <w:noProof/>
              </w:rPr>
              <w:t>C 2.1: Transports durables — Réforme 1: Créer des alternatives à l’énergie et au transport routier à forte intensité spatiale</w:t>
            </w:r>
          </w:p>
        </w:tc>
        <w:tc>
          <w:tcPr>
            <w:tcW w:w="1800"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26FF03F" w14:textId="77777777" w:rsidR="00025543" w:rsidRDefault="007E3A2F">
            <w:pPr>
              <w:pStyle w:val="P68B1DB1-Normal57"/>
              <w:spacing w:before="0" w:after="0" w:line="240" w:lineRule="auto"/>
              <w:jc w:val="center"/>
              <w:rPr>
                <w:noProof/>
              </w:rPr>
            </w:pPr>
            <w:r>
              <w:rPr>
                <w:noProof/>
              </w:rPr>
              <w:t>Étapes</w:t>
            </w:r>
          </w:p>
        </w:tc>
        <w:tc>
          <w:tcPr>
            <w:tcW w:w="3220"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B6080CB" w14:textId="77777777" w:rsidR="00025543" w:rsidRDefault="007E3A2F">
            <w:pPr>
              <w:pStyle w:val="P68B1DB1-Normal57"/>
              <w:spacing w:before="0" w:after="0" w:line="240" w:lineRule="auto"/>
              <w:jc w:val="center"/>
              <w:rPr>
                <w:noProof/>
              </w:rPr>
            </w:pPr>
            <w:r>
              <w:rPr>
                <w:noProof/>
              </w:rPr>
              <w:t>Approbation des plans de service de transport.</w:t>
            </w:r>
          </w:p>
        </w:tc>
      </w:tr>
      <w:tr w:rsidR="00025543" w14:paraId="35357C99" w14:textId="77777777">
        <w:trPr>
          <w:trHeight w:val="600"/>
        </w:trPr>
        <w:tc>
          <w:tcPr>
            <w:tcW w:w="1290"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C59A5D7" w14:textId="77777777" w:rsidR="00025543" w:rsidRDefault="007E3A2F">
            <w:pPr>
              <w:pStyle w:val="P68B1DB1-Normal57"/>
              <w:spacing w:before="0" w:after="0"/>
              <w:jc w:val="center"/>
              <w:rPr>
                <w:noProof/>
              </w:rPr>
            </w:pPr>
            <w:r>
              <w:rPr>
                <w:noProof/>
              </w:rPr>
              <w:t>88</w:t>
            </w:r>
          </w:p>
        </w:tc>
        <w:tc>
          <w:tcPr>
            <w:tcW w:w="3975"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441BB56" w14:textId="77777777" w:rsidR="00025543" w:rsidRDefault="007E3A2F">
            <w:pPr>
              <w:pStyle w:val="P68B1DB1-Normal57"/>
              <w:spacing w:before="0" w:after="0"/>
              <w:jc w:val="center"/>
              <w:rPr>
                <w:noProof/>
              </w:rPr>
            </w:pPr>
            <w:r>
              <w:rPr>
                <w:noProof/>
              </w:rPr>
              <w:t>C 2.1: Transports durables — Investissements 2: Électrification des chemins de fer</w:t>
            </w:r>
          </w:p>
        </w:tc>
        <w:tc>
          <w:tcPr>
            <w:tcW w:w="1800"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F7B7B96" w14:textId="77777777" w:rsidR="00025543" w:rsidRDefault="007E3A2F">
            <w:pPr>
              <w:pStyle w:val="P68B1DB1-Normal57"/>
              <w:spacing w:before="0" w:after="0"/>
              <w:jc w:val="center"/>
              <w:rPr>
                <w:noProof/>
              </w:rPr>
            </w:pPr>
            <w:r>
              <w:rPr>
                <w:noProof/>
              </w:rPr>
              <w:t>Cible</w:t>
            </w:r>
          </w:p>
        </w:tc>
        <w:tc>
          <w:tcPr>
            <w:tcW w:w="3220"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7AB7AD6" w14:textId="77777777" w:rsidR="00025543" w:rsidRDefault="007E3A2F">
            <w:pPr>
              <w:pStyle w:val="P68B1DB1-Normal57"/>
              <w:spacing w:before="0" w:after="0"/>
              <w:jc w:val="center"/>
              <w:rPr>
                <w:noProof/>
              </w:rPr>
            </w:pPr>
            <w:r>
              <w:rPr>
                <w:noProof/>
              </w:rPr>
              <w:t xml:space="preserve">Achèvement de six projets supplémentaires issus d’un ensemble prédéfini de projets </w:t>
            </w:r>
          </w:p>
        </w:tc>
      </w:tr>
      <w:tr w:rsidR="00025543" w14:paraId="5055308F" w14:textId="77777777">
        <w:trPr>
          <w:trHeight w:val="600"/>
        </w:trPr>
        <w:tc>
          <w:tcPr>
            <w:tcW w:w="1290" w:type="dxa"/>
            <w:tcBorders>
              <w:top w:val="single" w:sz="4" w:space="0" w:color="auto"/>
              <w:left w:val="single" w:sz="8" w:space="0" w:color="auto"/>
              <w:bottom w:val="single" w:sz="8" w:space="0" w:color="000000" w:themeColor="text1"/>
              <w:right w:val="single" w:sz="8" w:space="0" w:color="000000" w:themeColor="text1"/>
            </w:tcBorders>
            <w:shd w:val="clear" w:color="auto" w:fill="C6EFCE"/>
            <w:vAlign w:val="center"/>
            <w:hideMark/>
          </w:tcPr>
          <w:p w14:paraId="6E159E6A" w14:textId="74378C96" w:rsidR="00025543" w:rsidRDefault="007E3A2F">
            <w:pPr>
              <w:pStyle w:val="P68B1DB1-Normal57"/>
              <w:spacing w:before="0" w:after="0" w:line="240" w:lineRule="auto"/>
              <w:jc w:val="center"/>
              <w:rPr>
                <w:noProof/>
              </w:rPr>
            </w:pPr>
            <w:r>
              <w:rPr>
                <w:noProof/>
              </w:rPr>
              <w:t>91</w:t>
            </w:r>
          </w:p>
        </w:tc>
        <w:tc>
          <w:tcPr>
            <w:tcW w:w="3975"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4E6B390D" w14:textId="77777777" w:rsidR="00025543" w:rsidRDefault="007E3A2F">
            <w:pPr>
              <w:pStyle w:val="P68B1DB1-Normal57"/>
              <w:spacing w:before="0" w:after="0" w:line="240" w:lineRule="auto"/>
              <w:jc w:val="center"/>
              <w:rPr>
                <w:noProof/>
              </w:rPr>
            </w:pPr>
            <w:r>
              <w:rPr>
                <w:noProof/>
              </w:rPr>
              <w:t>C 2.1: Transports durables — Investissements 3: Amélioration de l’environnement (soutien à l’infrastructure ferroviaire)</w:t>
            </w:r>
          </w:p>
        </w:tc>
        <w:tc>
          <w:tcPr>
            <w:tcW w:w="1800"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02787AF9" w14:textId="77777777" w:rsidR="00025543" w:rsidRDefault="007E3A2F">
            <w:pPr>
              <w:pStyle w:val="P68B1DB1-Normal57"/>
              <w:spacing w:before="0" w:after="0" w:line="240" w:lineRule="auto"/>
              <w:jc w:val="center"/>
              <w:rPr>
                <w:noProof/>
              </w:rPr>
            </w:pPr>
            <w:r>
              <w:rPr>
                <w:noProof/>
              </w:rPr>
              <w:t>Cible</w:t>
            </w:r>
          </w:p>
        </w:tc>
        <w:tc>
          <w:tcPr>
            <w:tcW w:w="3220" w:type="dxa"/>
            <w:tcBorders>
              <w:top w:val="single" w:sz="4" w:space="0" w:color="auto"/>
              <w:left w:val="nil"/>
              <w:bottom w:val="single" w:sz="8" w:space="0" w:color="000000" w:themeColor="text1"/>
              <w:right w:val="single" w:sz="8" w:space="0" w:color="auto"/>
            </w:tcBorders>
            <w:shd w:val="clear" w:color="auto" w:fill="C6EFCE"/>
            <w:vAlign w:val="center"/>
            <w:hideMark/>
          </w:tcPr>
          <w:p w14:paraId="63124E5D" w14:textId="468FCDFE" w:rsidR="00025543" w:rsidRDefault="007E3A2F">
            <w:pPr>
              <w:pStyle w:val="P68B1DB1-Normal57"/>
              <w:spacing w:before="0" w:after="0" w:line="240" w:lineRule="auto"/>
              <w:jc w:val="center"/>
              <w:rPr>
                <w:noProof/>
              </w:rPr>
            </w:pPr>
            <w:r>
              <w:rPr>
                <w:noProof/>
              </w:rPr>
              <w:t xml:space="preserve">Achèvement de 11 projets supplémentaires issus d’un ensemble prédéfini de projets   </w:t>
            </w:r>
          </w:p>
        </w:tc>
      </w:tr>
      <w:tr w:rsidR="00025543" w14:paraId="4AEE9253" w14:textId="77777777">
        <w:trPr>
          <w:trHeight w:val="600"/>
        </w:trPr>
        <w:tc>
          <w:tcPr>
            <w:tcW w:w="1290" w:type="dxa"/>
            <w:tcBorders>
              <w:top w:val="single" w:sz="4" w:space="0" w:color="000000" w:themeColor="text1"/>
              <w:left w:val="single" w:sz="8" w:space="0" w:color="auto"/>
              <w:bottom w:val="single" w:sz="8" w:space="0" w:color="000000" w:themeColor="text1"/>
              <w:right w:val="single" w:sz="8" w:space="0" w:color="000000" w:themeColor="text1"/>
            </w:tcBorders>
            <w:shd w:val="clear" w:color="auto" w:fill="C6EFCE"/>
            <w:vAlign w:val="center"/>
            <w:hideMark/>
          </w:tcPr>
          <w:p w14:paraId="69B0B66D" w14:textId="4FA25F1F" w:rsidR="00025543" w:rsidRDefault="007E3A2F">
            <w:pPr>
              <w:pStyle w:val="P68B1DB1-Normal57"/>
              <w:spacing w:line="240" w:lineRule="auto"/>
              <w:jc w:val="center"/>
              <w:rPr>
                <w:noProof/>
              </w:rPr>
            </w:pPr>
            <w:r>
              <w:rPr>
                <w:noProof/>
              </w:rPr>
              <w:t>343</w:t>
            </w:r>
          </w:p>
        </w:tc>
        <w:tc>
          <w:tcPr>
            <w:tcW w:w="3975"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14913FC7" w14:textId="7EA5DDA7" w:rsidR="00025543" w:rsidRDefault="007E3A2F">
            <w:pPr>
              <w:pStyle w:val="P68B1DB1-Normal57"/>
              <w:spacing w:before="0" w:after="0" w:line="240" w:lineRule="auto"/>
              <w:jc w:val="center"/>
              <w:rPr>
                <w:noProof/>
              </w:rPr>
            </w:pPr>
            <w:r>
              <w:rPr>
                <w:noProof/>
              </w:rPr>
              <w:t xml:space="preserve">C 7.7 Simplifier les procédures d’autorisation environnementale et définir des domaines pour le développement des sources d’énergie renouvelables — Réforme 2: Zones d’accélération des énergies renouvelables </w:t>
            </w:r>
          </w:p>
        </w:tc>
        <w:tc>
          <w:tcPr>
            <w:tcW w:w="1800"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2755BEF8" w14:textId="04401103" w:rsidR="00025543" w:rsidRDefault="007E3A2F">
            <w:pPr>
              <w:pStyle w:val="P68B1DB1-Normal57"/>
              <w:spacing w:line="240" w:lineRule="auto"/>
              <w:jc w:val="center"/>
              <w:rPr>
                <w:noProof/>
              </w:rPr>
            </w:pPr>
            <w:r>
              <w:rPr>
                <w:noProof/>
              </w:rPr>
              <w:t>Étapes</w:t>
            </w:r>
          </w:p>
        </w:tc>
        <w:tc>
          <w:tcPr>
            <w:tcW w:w="3220" w:type="dxa"/>
            <w:tcBorders>
              <w:top w:val="single" w:sz="4" w:space="0" w:color="000000" w:themeColor="text1"/>
              <w:left w:val="nil"/>
              <w:bottom w:val="single" w:sz="8" w:space="0" w:color="000000" w:themeColor="text1"/>
              <w:right w:val="single" w:sz="8" w:space="0" w:color="auto"/>
            </w:tcBorders>
            <w:shd w:val="clear" w:color="auto" w:fill="C6EFCE"/>
            <w:vAlign w:val="center"/>
            <w:hideMark/>
          </w:tcPr>
          <w:p w14:paraId="5528389D" w14:textId="1A2D1E61" w:rsidR="00025543" w:rsidRDefault="007E3A2F">
            <w:pPr>
              <w:pStyle w:val="P68B1DB1-Normal57"/>
              <w:spacing w:before="0" w:after="0" w:line="240" w:lineRule="auto"/>
              <w:jc w:val="center"/>
              <w:rPr>
                <w:noProof/>
              </w:rPr>
            </w:pPr>
            <w:r>
              <w:rPr>
                <w:noProof/>
              </w:rPr>
              <w:t xml:space="preserve">Méthodologie de désignation des zones d’accélération des énergies renouvelables  </w:t>
            </w:r>
          </w:p>
        </w:tc>
      </w:tr>
      <w:tr w:rsidR="00025543" w14:paraId="3F393FD2" w14:textId="77777777">
        <w:trPr>
          <w:trHeight w:val="600"/>
        </w:trPr>
        <w:tc>
          <w:tcPr>
            <w:tcW w:w="1290"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3955AB2C" w14:textId="49B3A922" w:rsidR="00025543" w:rsidRDefault="007E3A2F">
            <w:pPr>
              <w:pStyle w:val="P68B1DB1-Normal57"/>
              <w:spacing w:line="240" w:lineRule="auto"/>
              <w:jc w:val="center"/>
              <w:rPr>
                <w:noProof/>
              </w:rPr>
            </w:pPr>
            <w:r>
              <w:rPr>
                <w:noProof/>
              </w:rPr>
              <w:t>341</w:t>
            </w:r>
          </w:p>
        </w:tc>
        <w:tc>
          <w:tcPr>
            <w:tcW w:w="3975" w:type="dxa"/>
            <w:tcBorders>
              <w:top w:val="nil"/>
              <w:left w:val="nil"/>
              <w:bottom w:val="single" w:sz="8" w:space="0" w:color="000000" w:themeColor="text1"/>
              <w:right w:val="single" w:sz="8" w:space="0" w:color="000000" w:themeColor="text1"/>
            </w:tcBorders>
            <w:shd w:val="clear" w:color="auto" w:fill="C6EFCE"/>
            <w:vAlign w:val="center"/>
            <w:hideMark/>
          </w:tcPr>
          <w:p w14:paraId="4EC87A94" w14:textId="733E7885" w:rsidR="00025543" w:rsidRDefault="007E3A2F">
            <w:pPr>
              <w:pStyle w:val="P68B1DB1-Normal57"/>
              <w:spacing w:before="0" w:after="0" w:line="240" w:lineRule="auto"/>
              <w:jc w:val="center"/>
              <w:rPr>
                <w:noProof/>
              </w:rPr>
            </w:pPr>
            <w:r>
              <w:rPr>
                <w:noProof/>
              </w:rPr>
              <w:t xml:space="preserve">C 7.7 Simplifier les procédures d’autorisation environnementale et définir des domaines pour le développement des sources d’énergie renouvelables — Réforme 1: </w:t>
            </w:r>
          </w:p>
          <w:p w14:paraId="4E2B9443" w14:textId="13D73E71" w:rsidR="00025543" w:rsidRDefault="007E3A2F">
            <w:pPr>
              <w:pStyle w:val="P68B1DB1-Normal57"/>
              <w:spacing w:before="0" w:after="0" w:line="240" w:lineRule="auto"/>
              <w:jc w:val="center"/>
              <w:rPr>
                <w:noProof/>
              </w:rPr>
            </w:pPr>
            <w:r>
              <w:rPr>
                <w:noProof/>
              </w:rPr>
              <w:t xml:space="preserve">Avis unique sur l’environnement  </w:t>
            </w:r>
          </w:p>
        </w:tc>
        <w:tc>
          <w:tcPr>
            <w:tcW w:w="1800" w:type="dxa"/>
            <w:tcBorders>
              <w:top w:val="nil"/>
              <w:left w:val="nil"/>
              <w:bottom w:val="single" w:sz="8" w:space="0" w:color="000000" w:themeColor="text1"/>
              <w:right w:val="single" w:sz="8" w:space="0" w:color="000000" w:themeColor="text1"/>
            </w:tcBorders>
            <w:shd w:val="clear" w:color="auto" w:fill="C6EFCE"/>
            <w:vAlign w:val="center"/>
            <w:hideMark/>
          </w:tcPr>
          <w:p w14:paraId="70A2A34E" w14:textId="0DAC5A58" w:rsidR="00025543" w:rsidRDefault="007E3A2F">
            <w:pPr>
              <w:pStyle w:val="P68B1DB1-Normal57"/>
              <w:spacing w:line="240" w:lineRule="auto"/>
              <w:jc w:val="center"/>
              <w:rPr>
                <w:noProof/>
              </w:rPr>
            </w:pPr>
            <w:r>
              <w:rPr>
                <w:noProof/>
              </w:rPr>
              <w:t>Étapes</w:t>
            </w:r>
          </w:p>
        </w:tc>
        <w:tc>
          <w:tcPr>
            <w:tcW w:w="3220" w:type="dxa"/>
            <w:tcBorders>
              <w:top w:val="nil"/>
              <w:left w:val="nil"/>
              <w:bottom w:val="single" w:sz="8" w:space="0" w:color="000000" w:themeColor="text1"/>
              <w:right w:val="single" w:sz="8" w:space="0" w:color="auto"/>
            </w:tcBorders>
            <w:shd w:val="clear" w:color="auto" w:fill="C6EFCE"/>
            <w:vAlign w:val="center"/>
            <w:hideMark/>
          </w:tcPr>
          <w:p w14:paraId="03C96AB5" w14:textId="4741AE6E" w:rsidR="00025543" w:rsidRDefault="007E3A2F">
            <w:pPr>
              <w:pStyle w:val="P68B1DB1-Normal57"/>
              <w:spacing w:before="0" w:after="0" w:line="240" w:lineRule="auto"/>
              <w:jc w:val="center"/>
              <w:rPr>
                <w:noProof/>
              </w:rPr>
            </w:pPr>
            <w:r>
              <w:rPr>
                <w:noProof/>
              </w:rPr>
              <w:t>Assistance technique pour accélérer et améliorer la qualité des procédures d’autorisation environnementale   </w:t>
            </w:r>
          </w:p>
        </w:tc>
      </w:tr>
      <w:tr w:rsidR="00025543" w14:paraId="2127B8C9" w14:textId="77777777">
        <w:trPr>
          <w:trHeight w:val="600"/>
        </w:trPr>
        <w:tc>
          <w:tcPr>
            <w:tcW w:w="1290"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6C803042" w14:textId="72058CAB" w:rsidR="00025543" w:rsidRDefault="007E3A2F">
            <w:pPr>
              <w:pStyle w:val="P68B1DB1-Normal57"/>
              <w:spacing w:line="240" w:lineRule="auto"/>
              <w:jc w:val="center"/>
              <w:rPr>
                <w:noProof/>
              </w:rPr>
            </w:pPr>
            <w:r>
              <w:rPr>
                <w:noProof/>
              </w:rPr>
              <w:t>325</w:t>
            </w:r>
          </w:p>
        </w:tc>
        <w:tc>
          <w:tcPr>
            <w:tcW w:w="3975" w:type="dxa"/>
            <w:tcBorders>
              <w:top w:val="nil"/>
              <w:left w:val="nil"/>
              <w:bottom w:val="single" w:sz="8" w:space="0" w:color="000000" w:themeColor="text1"/>
              <w:right w:val="single" w:sz="8" w:space="0" w:color="000000" w:themeColor="text1"/>
            </w:tcBorders>
            <w:shd w:val="clear" w:color="auto" w:fill="C6EFCE"/>
            <w:vAlign w:val="center"/>
            <w:hideMark/>
          </w:tcPr>
          <w:p w14:paraId="0B8B73C8" w14:textId="22CFFBDA" w:rsidR="00025543" w:rsidRDefault="007E3A2F">
            <w:pPr>
              <w:pStyle w:val="P68B1DB1-Normal57"/>
              <w:spacing w:before="0" w:after="0" w:line="240" w:lineRule="auto"/>
              <w:jc w:val="center"/>
              <w:rPr>
                <w:noProof/>
              </w:rPr>
            </w:pPr>
            <w:r>
              <w:rPr>
                <w:noProof/>
              </w:rPr>
              <w:t xml:space="preserve">C 7.4: Adaptation des écoles — Promouvoir les compétences vertes et la durabilité dans l’univers — Réforme 1: Transformation des universités pour s’adapter à l’évolution des besoins du marché du travail </w:t>
            </w:r>
          </w:p>
        </w:tc>
        <w:tc>
          <w:tcPr>
            <w:tcW w:w="1800" w:type="dxa"/>
            <w:tcBorders>
              <w:top w:val="nil"/>
              <w:left w:val="nil"/>
              <w:bottom w:val="single" w:sz="8" w:space="0" w:color="000000" w:themeColor="text1"/>
              <w:right w:val="single" w:sz="8" w:space="0" w:color="000000" w:themeColor="text1"/>
            </w:tcBorders>
            <w:shd w:val="clear" w:color="auto" w:fill="C6EFCE"/>
            <w:vAlign w:val="center"/>
            <w:hideMark/>
          </w:tcPr>
          <w:p w14:paraId="292B722C" w14:textId="288AD612" w:rsidR="00025543" w:rsidRDefault="007E3A2F">
            <w:pPr>
              <w:pStyle w:val="P68B1DB1-Normal57"/>
              <w:spacing w:before="0" w:after="0" w:line="240" w:lineRule="auto"/>
              <w:jc w:val="center"/>
              <w:rPr>
                <w:noProof/>
              </w:rPr>
            </w:pPr>
            <w:r>
              <w:rPr>
                <w:noProof/>
              </w:rPr>
              <w:t xml:space="preserve">Étapes </w:t>
            </w:r>
          </w:p>
        </w:tc>
        <w:tc>
          <w:tcPr>
            <w:tcW w:w="3220" w:type="dxa"/>
            <w:tcBorders>
              <w:top w:val="nil"/>
              <w:left w:val="nil"/>
              <w:bottom w:val="single" w:sz="8" w:space="0" w:color="000000" w:themeColor="text1"/>
              <w:right w:val="single" w:sz="8" w:space="0" w:color="auto"/>
            </w:tcBorders>
            <w:shd w:val="clear" w:color="auto" w:fill="C6EFCE"/>
            <w:vAlign w:val="center"/>
            <w:hideMark/>
          </w:tcPr>
          <w:p w14:paraId="382A4846" w14:textId="479AB0F8" w:rsidR="00025543" w:rsidRDefault="007E3A2F">
            <w:pPr>
              <w:pStyle w:val="P68B1DB1-Normal57"/>
              <w:spacing w:before="0" w:after="0" w:line="240" w:lineRule="auto"/>
              <w:jc w:val="center"/>
              <w:rPr>
                <w:noProof/>
              </w:rPr>
            </w:pPr>
            <w:r>
              <w:rPr>
                <w:noProof/>
              </w:rPr>
              <w:t>Lancement d’un programme de soutien à la transformation des universités</w:t>
            </w:r>
          </w:p>
        </w:tc>
      </w:tr>
      <w:tr w:rsidR="00025543" w14:paraId="17D9E70D" w14:textId="77777777">
        <w:trPr>
          <w:trHeight w:val="600"/>
        </w:trPr>
        <w:tc>
          <w:tcPr>
            <w:tcW w:w="1290"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6F34C892" w14:textId="77777777" w:rsidR="00025543" w:rsidRDefault="007E3A2F">
            <w:pPr>
              <w:pStyle w:val="P68B1DB1-Normal57"/>
              <w:spacing w:before="0" w:after="0" w:line="240" w:lineRule="auto"/>
              <w:jc w:val="center"/>
              <w:rPr>
                <w:noProof/>
              </w:rPr>
            </w:pPr>
            <w:r>
              <w:rPr>
                <w:noProof/>
              </w:rPr>
              <w:t>100</w:t>
            </w:r>
          </w:p>
        </w:tc>
        <w:tc>
          <w:tcPr>
            <w:tcW w:w="3975" w:type="dxa"/>
            <w:tcBorders>
              <w:top w:val="nil"/>
              <w:left w:val="nil"/>
              <w:bottom w:val="single" w:sz="8" w:space="0" w:color="000000" w:themeColor="text1"/>
              <w:right w:val="single" w:sz="8" w:space="0" w:color="000000" w:themeColor="text1"/>
            </w:tcBorders>
            <w:shd w:val="clear" w:color="auto" w:fill="C6EFCE"/>
            <w:vAlign w:val="center"/>
            <w:hideMark/>
          </w:tcPr>
          <w:p w14:paraId="56FF7516" w14:textId="77777777" w:rsidR="00025543" w:rsidRDefault="007E3A2F">
            <w:pPr>
              <w:pStyle w:val="P68B1DB1-Normal57"/>
              <w:spacing w:before="0" w:after="0" w:line="240" w:lineRule="auto"/>
              <w:jc w:val="center"/>
              <w:rPr>
                <w:noProof/>
              </w:rPr>
            </w:pPr>
            <w:r>
              <w:rPr>
                <w:noProof/>
              </w:rPr>
              <w:t>C 2.1: Transports durables — Investissements 4: Sécurité routière et ferroviaire (passages ferroviaires, ponts et tunnels, pistes cyclables et itinéraires sans obstacles)</w:t>
            </w:r>
          </w:p>
        </w:tc>
        <w:tc>
          <w:tcPr>
            <w:tcW w:w="1800" w:type="dxa"/>
            <w:tcBorders>
              <w:top w:val="nil"/>
              <w:left w:val="nil"/>
              <w:bottom w:val="single" w:sz="8" w:space="0" w:color="000000" w:themeColor="text1"/>
              <w:right w:val="single" w:sz="8" w:space="0" w:color="000000" w:themeColor="text1"/>
            </w:tcBorders>
            <w:shd w:val="clear" w:color="auto" w:fill="C6EFCE"/>
            <w:vAlign w:val="center"/>
            <w:hideMark/>
          </w:tcPr>
          <w:p w14:paraId="213BA423" w14:textId="77777777" w:rsidR="00025543" w:rsidRDefault="007E3A2F">
            <w:pPr>
              <w:pStyle w:val="P68B1DB1-Normal57"/>
              <w:spacing w:before="0" w:after="0" w:line="240" w:lineRule="auto"/>
              <w:jc w:val="center"/>
              <w:rPr>
                <w:noProof/>
              </w:rPr>
            </w:pPr>
            <w:r>
              <w:rPr>
                <w:noProof/>
              </w:rPr>
              <w:t>Cible</w:t>
            </w:r>
          </w:p>
        </w:tc>
        <w:tc>
          <w:tcPr>
            <w:tcW w:w="3220" w:type="dxa"/>
            <w:tcBorders>
              <w:top w:val="nil"/>
              <w:left w:val="nil"/>
              <w:bottom w:val="single" w:sz="8" w:space="0" w:color="000000" w:themeColor="text1"/>
              <w:right w:val="single" w:sz="8" w:space="0" w:color="auto"/>
            </w:tcBorders>
            <w:shd w:val="clear" w:color="auto" w:fill="C6EFCE"/>
            <w:vAlign w:val="center"/>
            <w:hideMark/>
          </w:tcPr>
          <w:p w14:paraId="08148FB6" w14:textId="77777777" w:rsidR="00025543" w:rsidRDefault="007E3A2F">
            <w:pPr>
              <w:pStyle w:val="P68B1DB1-Normal57"/>
              <w:spacing w:before="0" w:after="0" w:line="240" w:lineRule="auto"/>
              <w:jc w:val="center"/>
              <w:rPr>
                <w:noProof/>
              </w:rPr>
            </w:pPr>
            <w:r>
              <w:rPr>
                <w:noProof/>
              </w:rPr>
              <w:t>Achèvement des pistes cyclables construites, trottoirs et voies sans barrier</w:t>
            </w:r>
          </w:p>
        </w:tc>
      </w:tr>
      <w:tr w:rsidR="00025543" w14:paraId="759C46A5" w14:textId="77777777">
        <w:trPr>
          <w:trHeight w:val="600"/>
        </w:trPr>
        <w:tc>
          <w:tcPr>
            <w:tcW w:w="1290"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1D819E77" w14:textId="77777777" w:rsidR="00025543" w:rsidRDefault="007E3A2F">
            <w:pPr>
              <w:pStyle w:val="P68B1DB1-Normal57"/>
              <w:spacing w:before="0" w:after="0" w:line="240" w:lineRule="auto"/>
              <w:jc w:val="center"/>
              <w:rPr>
                <w:noProof/>
              </w:rPr>
            </w:pPr>
            <w:r>
              <w:rPr>
                <w:noProof/>
              </w:rPr>
              <w:t>101</w:t>
            </w:r>
          </w:p>
        </w:tc>
        <w:tc>
          <w:tcPr>
            <w:tcW w:w="3975" w:type="dxa"/>
            <w:tcBorders>
              <w:top w:val="nil"/>
              <w:left w:val="nil"/>
              <w:bottom w:val="single" w:sz="8" w:space="0" w:color="000000" w:themeColor="text1"/>
              <w:right w:val="single" w:sz="8" w:space="0" w:color="000000" w:themeColor="text1"/>
            </w:tcBorders>
            <w:shd w:val="clear" w:color="auto" w:fill="C6EFCE"/>
            <w:vAlign w:val="center"/>
            <w:hideMark/>
          </w:tcPr>
          <w:p w14:paraId="10A8EC50" w14:textId="77777777" w:rsidR="00025543" w:rsidRDefault="007E3A2F">
            <w:pPr>
              <w:pStyle w:val="P68B1DB1-Normal57"/>
              <w:spacing w:before="0" w:after="0" w:line="240" w:lineRule="auto"/>
              <w:jc w:val="center"/>
              <w:rPr>
                <w:noProof/>
              </w:rPr>
            </w:pPr>
            <w:r>
              <w:rPr>
                <w:noProof/>
              </w:rPr>
              <w:t>C 2.1: Transports durables — Investissements 4: Sécurité routière et ferroviaire (passages ferroviaires, ponts et tunnels, pistes cyclables et itinéraires sans obstacles)</w:t>
            </w:r>
          </w:p>
        </w:tc>
        <w:tc>
          <w:tcPr>
            <w:tcW w:w="1800" w:type="dxa"/>
            <w:tcBorders>
              <w:top w:val="nil"/>
              <w:left w:val="nil"/>
              <w:bottom w:val="single" w:sz="8" w:space="0" w:color="000000" w:themeColor="text1"/>
              <w:right w:val="single" w:sz="8" w:space="0" w:color="000000" w:themeColor="text1"/>
            </w:tcBorders>
            <w:shd w:val="clear" w:color="auto" w:fill="C6EFCE"/>
            <w:vAlign w:val="center"/>
            <w:hideMark/>
          </w:tcPr>
          <w:p w14:paraId="3B7E6B91" w14:textId="77777777" w:rsidR="00025543" w:rsidRDefault="007E3A2F">
            <w:pPr>
              <w:pStyle w:val="P68B1DB1-Normal57"/>
              <w:spacing w:before="0" w:after="0" w:line="240" w:lineRule="auto"/>
              <w:jc w:val="center"/>
              <w:rPr>
                <w:noProof/>
              </w:rPr>
            </w:pPr>
            <w:r>
              <w:rPr>
                <w:noProof/>
              </w:rPr>
              <w:t>Cible</w:t>
            </w:r>
          </w:p>
        </w:tc>
        <w:tc>
          <w:tcPr>
            <w:tcW w:w="3220" w:type="dxa"/>
            <w:tcBorders>
              <w:top w:val="nil"/>
              <w:left w:val="nil"/>
              <w:bottom w:val="single" w:sz="8" w:space="0" w:color="000000" w:themeColor="text1"/>
              <w:right w:val="single" w:sz="8" w:space="0" w:color="auto"/>
            </w:tcBorders>
            <w:shd w:val="clear" w:color="auto" w:fill="C6EFCE"/>
            <w:vAlign w:val="center"/>
            <w:hideMark/>
          </w:tcPr>
          <w:p w14:paraId="7BF15D7C" w14:textId="77777777" w:rsidR="00025543" w:rsidRDefault="007E3A2F">
            <w:pPr>
              <w:pStyle w:val="P68B1DB1-Normal57"/>
              <w:spacing w:before="0" w:after="0" w:line="240" w:lineRule="auto"/>
              <w:jc w:val="center"/>
              <w:rPr>
                <w:noProof/>
              </w:rPr>
            </w:pPr>
            <w:r>
              <w:rPr>
                <w:noProof/>
              </w:rPr>
              <w:t>Achèvement des ponts ou tunnels ferroviaires modernisés</w:t>
            </w:r>
          </w:p>
        </w:tc>
      </w:tr>
      <w:tr w:rsidR="00025543" w14:paraId="2E8384E5" w14:textId="77777777">
        <w:trPr>
          <w:trHeight w:val="600"/>
        </w:trPr>
        <w:tc>
          <w:tcPr>
            <w:tcW w:w="1290"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22F6A40" w14:textId="77777777" w:rsidR="00025543" w:rsidRDefault="007E3A2F">
            <w:pPr>
              <w:pStyle w:val="P68B1DB1-Normal56"/>
              <w:spacing w:before="0" w:after="0" w:line="240" w:lineRule="auto"/>
              <w:jc w:val="center"/>
              <w:rPr>
                <w:noProof/>
              </w:rPr>
            </w:pPr>
            <w:r>
              <w:rPr>
                <w:noProof/>
              </w:rPr>
              <w:t>108</w:t>
            </w:r>
          </w:p>
        </w:tc>
        <w:tc>
          <w:tcPr>
            <w:tcW w:w="3975"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00BF9AF" w14:textId="2E0004BC" w:rsidR="00025543" w:rsidRDefault="007E3A2F">
            <w:pPr>
              <w:pStyle w:val="P68B1DB1-Normal57"/>
              <w:spacing w:before="0" w:after="0" w:line="240" w:lineRule="auto"/>
              <w:jc w:val="center"/>
              <w:rPr>
                <w:noProof/>
              </w:rPr>
            </w:pPr>
            <w:r>
              <w:rPr>
                <w:noProof/>
              </w:rPr>
              <w:t>C 2.2: Réduction de la consommation d’énergie dans le secteur public — Investissements 3: Amélioration de la performance énergétique des bâtiments publics</w:t>
            </w:r>
          </w:p>
        </w:tc>
        <w:tc>
          <w:tcPr>
            <w:tcW w:w="1800"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6767FA5" w14:textId="77777777" w:rsidR="00025543" w:rsidRDefault="007E3A2F">
            <w:pPr>
              <w:pStyle w:val="P68B1DB1-Normal57"/>
              <w:spacing w:before="0" w:after="0" w:line="240" w:lineRule="auto"/>
              <w:jc w:val="center"/>
              <w:rPr>
                <w:noProof/>
              </w:rPr>
            </w:pPr>
            <w:r>
              <w:rPr>
                <w:noProof/>
              </w:rPr>
              <w:t>Cible</w:t>
            </w:r>
          </w:p>
        </w:tc>
        <w:tc>
          <w:tcPr>
            <w:tcW w:w="3220"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B0BCB50" w14:textId="77777777" w:rsidR="00025543" w:rsidRDefault="007E3A2F">
            <w:pPr>
              <w:pStyle w:val="P68B1DB1-Normal56"/>
              <w:spacing w:before="0" w:after="0" w:line="240" w:lineRule="auto"/>
              <w:jc w:val="center"/>
              <w:rPr>
                <w:noProof/>
              </w:rPr>
            </w:pPr>
            <w:r>
              <w:rPr>
                <w:noProof/>
              </w:rPr>
              <w:t>Attribution de 75 % de l’ensemble des marchés publics pour des projets de rénovation de bâtiments permettant d’économiser au moins 30 % d’énergie primaire</w:t>
            </w:r>
          </w:p>
        </w:tc>
      </w:tr>
      <w:tr w:rsidR="00025543" w14:paraId="5AA60FF6" w14:textId="77777777">
        <w:trPr>
          <w:trHeight w:val="600"/>
        </w:trPr>
        <w:tc>
          <w:tcPr>
            <w:tcW w:w="1290"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7215043D" w14:textId="77777777" w:rsidR="00025543" w:rsidRDefault="007E3A2F">
            <w:pPr>
              <w:pStyle w:val="P68B1DB1-Normal56"/>
              <w:spacing w:before="0" w:after="0" w:line="240" w:lineRule="auto"/>
              <w:jc w:val="center"/>
              <w:rPr>
                <w:noProof/>
              </w:rPr>
            </w:pPr>
            <w:r>
              <w:rPr>
                <w:noProof/>
              </w:rPr>
              <w:t>136</w:t>
            </w:r>
          </w:p>
        </w:tc>
        <w:tc>
          <w:tcPr>
            <w:tcW w:w="3975" w:type="dxa"/>
            <w:tcBorders>
              <w:top w:val="nil"/>
              <w:left w:val="nil"/>
              <w:bottom w:val="single" w:sz="8" w:space="0" w:color="000000" w:themeColor="text1"/>
              <w:right w:val="single" w:sz="8" w:space="0" w:color="000000" w:themeColor="text1"/>
            </w:tcBorders>
            <w:shd w:val="clear" w:color="auto" w:fill="C6EFCE"/>
            <w:vAlign w:val="center"/>
            <w:hideMark/>
          </w:tcPr>
          <w:p w14:paraId="2B5091FF" w14:textId="77777777" w:rsidR="00025543" w:rsidRDefault="007E3A2F">
            <w:pPr>
              <w:pStyle w:val="P68B1DB1-Normal57"/>
              <w:spacing w:before="0" w:after="0" w:line="240" w:lineRule="auto"/>
              <w:jc w:val="center"/>
              <w:rPr>
                <w:noProof/>
              </w:rPr>
            </w:pPr>
            <w:r>
              <w:rPr>
                <w:noProof/>
              </w:rPr>
              <w:t xml:space="preserve">C 2.6: Protection de la nature et adaptation au changement climatique — Investissement 2: Petits cours d’eau et réservoirs d’eau </w:t>
            </w:r>
          </w:p>
        </w:tc>
        <w:tc>
          <w:tcPr>
            <w:tcW w:w="1800" w:type="dxa"/>
            <w:tcBorders>
              <w:top w:val="nil"/>
              <w:left w:val="nil"/>
              <w:bottom w:val="single" w:sz="8" w:space="0" w:color="000000" w:themeColor="text1"/>
              <w:right w:val="single" w:sz="8" w:space="0" w:color="000000" w:themeColor="text1"/>
            </w:tcBorders>
            <w:shd w:val="clear" w:color="auto" w:fill="C6EFCE"/>
            <w:vAlign w:val="center"/>
            <w:hideMark/>
          </w:tcPr>
          <w:p w14:paraId="4CFDA499" w14:textId="77777777" w:rsidR="00025543" w:rsidRDefault="007E3A2F">
            <w:pPr>
              <w:pStyle w:val="P68B1DB1-Normal57"/>
              <w:spacing w:before="0" w:after="0" w:line="240" w:lineRule="auto"/>
              <w:jc w:val="center"/>
              <w:rPr>
                <w:noProof/>
              </w:rPr>
            </w:pPr>
            <w:r>
              <w:rPr>
                <w:noProof/>
              </w:rPr>
              <w:t>Cible</w:t>
            </w:r>
          </w:p>
        </w:tc>
        <w:tc>
          <w:tcPr>
            <w:tcW w:w="3220" w:type="dxa"/>
            <w:tcBorders>
              <w:top w:val="nil"/>
              <w:left w:val="nil"/>
              <w:bottom w:val="single" w:sz="8" w:space="0" w:color="000000" w:themeColor="text1"/>
              <w:right w:val="single" w:sz="8" w:space="0" w:color="auto"/>
            </w:tcBorders>
            <w:shd w:val="clear" w:color="auto" w:fill="C6EFCE"/>
            <w:vAlign w:val="center"/>
            <w:hideMark/>
          </w:tcPr>
          <w:p w14:paraId="39A06DEE" w14:textId="77777777" w:rsidR="00025543" w:rsidRDefault="007E3A2F">
            <w:pPr>
              <w:pStyle w:val="P68B1DB1-Normal56"/>
              <w:spacing w:before="0" w:after="0" w:line="240" w:lineRule="auto"/>
              <w:jc w:val="center"/>
              <w:rPr>
                <w:noProof/>
              </w:rPr>
            </w:pPr>
            <w:r>
              <w:rPr>
                <w:noProof/>
              </w:rPr>
              <w:t xml:space="preserve">T2: Achèvement de 50 % de petits cours d’eau et réservoirs d’eau supplémentaires </w:t>
            </w:r>
          </w:p>
        </w:tc>
      </w:tr>
      <w:tr w:rsidR="00025543" w14:paraId="0F4C3528" w14:textId="77777777">
        <w:trPr>
          <w:trHeight w:val="600"/>
        </w:trPr>
        <w:tc>
          <w:tcPr>
            <w:tcW w:w="1290"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0DE88C6A" w14:textId="77777777" w:rsidR="00025543" w:rsidRDefault="007E3A2F">
            <w:pPr>
              <w:pStyle w:val="P68B1DB1-Normal57"/>
              <w:spacing w:before="0" w:after="0" w:line="240" w:lineRule="auto"/>
              <w:jc w:val="center"/>
              <w:rPr>
                <w:noProof/>
              </w:rPr>
            </w:pPr>
            <w:r>
              <w:rPr>
                <w:noProof/>
              </w:rPr>
              <w:t>145</w:t>
            </w:r>
          </w:p>
        </w:tc>
        <w:tc>
          <w:tcPr>
            <w:tcW w:w="3975" w:type="dxa"/>
            <w:tcBorders>
              <w:top w:val="nil"/>
              <w:left w:val="nil"/>
              <w:bottom w:val="single" w:sz="8" w:space="0" w:color="000000" w:themeColor="text1"/>
              <w:right w:val="single" w:sz="8" w:space="0" w:color="000000" w:themeColor="text1"/>
            </w:tcBorders>
            <w:shd w:val="clear" w:color="auto" w:fill="C6EFCE"/>
            <w:vAlign w:val="center"/>
            <w:hideMark/>
          </w:tcPr>
          <w:p w14:paraId="2D5F7DAD" w14:textId="77777777" w:rsidR="00025543" w:rsidRDefault="007E3A2F">
            <w:pPr>
              <w:pStyle w:val="P68B1DB1-Normal57"/>
              <w:spacing w:before="0" w:after="0" w:line="240" w:lineRule="auto"/>
              <w:jc w:val="center"/>
              <w:rPr>
                <w:noProof/>
              </w:rPr>
            </w:pPr>
            <w:r>
              <w:rPr>
                <w:noProof/>
              </w:rPr>
              <w:t>C 2.7: Économie circulaire, recyclage et eau industrielle — Réforme 1: Mise en œuvre de la nouvelle législation sur la gestion des déchets en République tchèque</w:t>
            </w:r>
          </w:p>
        </w:tc>
        <w:tc>
          <w:tcPr>
            <w:tcW w:w="1800" w:type="dxa"/>
            <w:tcBorders>
              <w:top w:val="single" w:sz="8" w:space="0" w:color="000000" w:themeColor="text1"/>
              <w:left w:val="nil"/>
              <w:bottom w:val="single" w:sz="8" w:space="0" w:color="000000" w:themeColor="text1"/>
              <w:right w:val="single" w:sz="8" w:space="0" w:color="000000" w:themeColor="text1"/>
            </w:tcBorders>
            <w:shd w:val="clear" w:color="auto" w:fill="C6EFCE"/>
            <w:vAlign w:val="center"/>
            <w:hideMark/>
          </w:tcPr>
          <w:p w14:paraId="43650E0B" w14:textId="77777777" w:rsidR="00025543" w:rsidRDefault="007E3A2F">
            <w:pPr>
              <w:pStyle w:val="P68B1DB1-Normal57"/>
              <w:spacing w:before="0" w:after="0" w:line="240" w:lineRule="auto"/>
              <w:jc w:val="center"/>
              <w:rPr>
                <w:noProof/>
              </w:rPr>
            </w:pPr>
            <w:r>
              <w:rPr>
                <w:noProof/>
              </w:rPr>
              <w:t>Étapes</w:t>
            </w:r>
          </w:p>
        </w:tc>
        <w:tc>
          <w:tcPr>
            <w:tcW w:w="3220" w:type="dxa"/>
            <w:tcBorders>
              <w:top w:val="single" w:sz="8" w:space="0" w:color="000000" w:themeColor="text1"/>
              <w:left w:val="nil"/>
              <w:bottom w:val="single" w:sz="8" w:space="0" w:color="000000" w:themeColor="text1"/>
              <w:right w:val="single" w:sz="8" w:space="0" w:color="auto"/>
            </w:tcBorders>
            <w:shd w:val="clear" w:color="auto" w:fill="C6EFCE"/>
            <w:vAlign w:val="center"/>
            <w:hideMark/>
          </w:tcPr>
          <w:p w14:paraId="16D89EAE" w14:textId="77777777" w:rsidR="00025543" w:rsidRDefault="007E3A2F">
            <w:pPr>
              <w:pStyle w:val="P68B1DB1-Normal57"/>
              <w:spacing w:before="0" w:after="0" w:line="240" w:lineRule="auto"/>
              <w:jc w:val="center"/>
              <w:rPr>
                <w:noProof/>
              </w:rPr>
            </w:pPr>
            <w:r>
              <w:rPr>
                <w:noProof/>
              </w:rPr>
              <w:t>Entrée en vigueur d’un plan national et régional de gestion des déchets</w:t>
            </w:r>
          </w:p>
        </w:tc>
      </w:tr>
      <w:tr w:rsidR="00025543" w14:paraId="5902F026" w14:textId="77777777">
        <w:trPr>
          <w:trHeight w:val="405"/>
        </w:trPr>
        <w:tc>
          <w:tcPr>
            <w:tcW w:w="1290" w:type="dxa"/>
            <w:tcBorders>
              <w:top w:val="nil"/>
              <w:left w:val="single" w:sz="8" w:space="0" w:color="auto"/>
              <w:bottom w:val="nil"/>
              <w:right w:val="single" w:sz="8" w:space="0" w:color="000000" w:themeColor="text1"/>
            </w:tcBorders>
            <w:shd w:val="clear" w:color="auto" w:fill="C6EFCE"/>
            <w:vAlign w:val="center"/>
            <w:hideMark/>
          </w:tcPr>
          <w:p w14:paraId="799FFEFE" w14:textId="77777777" w:rsidR="00025543" w:rsidRDefault="007E3A2F">
            <w:pPr>
              <w:pStyle w:val="P68B1DB1-Normal56"/>
              <w:spacing w:before="0" w:after="0" w:line="240" w:lineRule="auto"/>
              <w:jc w:val="center"/>
              <w:rPr>
                <w:noProof/>
              </w:rPr>
            </w:pPr>
            <w:r>
              <w:rPr>
                <w:noProof/>
              </w:rPr>
              <w:t>154</w:t>
            </w:r>
          </w:p>
        </w:tc>
        <w:tc>
          <w:tcPr>
            <w:tcW w:w="3975" w:type="dxa"/>
            <w:tcBorders>
              <w:top w:val="nil"/>
              <w:left w:val="nil"/>
              <w:bottom w:val="single" w:sz="8" w:space="0" w:color="000000" w:themeColor="text1"/>
              <w:right w:val="single" w:sz="8" w:space="0" w:color="000000" w:themeColor="text1"/>
            </w:tcBorders>
            <w:shd w:val="clear" w:color="auto" w:fill="C6EFCE"/>
            <w:vAlign w:val="center"/>
            <w:hideMark/>
          </w:tcPr>
          <w:p w14:paraId="0A0650B6" w14:textId="77777777" w:rsidR="00025543" w:rsidRDefault="007E3A2F">
            <w:pPr>
              <w:pStyle w:val="P68B1DB1-Normal57"/>
              <w:spacing w:before="0" w:after="0" w:line="240" w:lineRule="auto"/>
              <w:jc w:val="center"/>
              <w:rPr>
                <w:noProof/>
              </w:rPr>
            </w:pPr>
            <w:r>
              <w:rPr>
                <w:noProof/>
              </w:rPr>
              <w:t>C 2.8: Friches industrielles revitalisation — Investissement 1: Soutien à la revitalisation de zones spécifiques</w:t>
            </w:r>
          </w:p>
        </w:tc>
        <w:tc>
          <w:tcPr>
            <w:tcW w:w="1800" w:type="dxa"/>
            <w:tcBorders>
              <w:top w:val="single" w:sz="8" w:space="0" w:color="000000" w:themeColor="text1"/>
              <w:left w:val="nil"/>
              <w:bottom w:val="single" w:sz="4" w:space="0" w:color="auto"/>
              <w:right w:val="single" w:sz="8" w:space="0" w:color="000000" w:themeColor="text1"/>
            </w:tcBorders>
            <w:shd w:val="clear" w:color="auto" w:fill="C6EFCE"/>
            <w:vAlign w:val="center"/>
            <w:hideMark/>
          </w:tcPr>
          <w:p w14:paraId="2F53021A" w14:textId="77777777" w:rsidR="00025543" w:rsidRDefault="007E3A2F">
            <w:pPr>
              <w:pStyle w:val="P68B1DB1-Normal57"/>
              <w:spacing w:before="0" w:after="0" w:line="240" w:lineRule="auto"/>
              <w:jc w:val="center"/>
              <w:rPr>
                <w:noProof/>
              </w:rPr>
            </w:pPr>
            <w:r>
              <w:rPr>
                <w:noProof/>
              </w:rPr>
              <w:t>Étapes</w:t>
            </w:r>
          </w:p>
        </w:tc>
        <w:tc>
          <w:tcPr>
            <w:tcW w:w="3220" w:type="dxa"/>
            <w:tcBorders>
              <w:top w:val="single" w:sz="8" w:space="0" w:color="000000" w:themeColor="text1"/>
              <w:left w:val="nil"/>
              <w:bottom w:val="single" w:sz="4" w:space="0" w:color="auto"/>
              <w:right w:val="single" w:sz="8" w:space="0" w:color="auto"/>
            </w:tcBorders>
            <w:shd w:val="clear" w:color="auto" w:fill="C6EFCE"/>
            <w:vAlign w:val="center"/>
            <w:hideMark/>
          </w:tcPr>
          <w:p w14:paraId="1E846AD3" w14:textId="35B72863" w:rsidR="00025543" w:rsidRDefault="007E3A2F">
            <w:pPr>
              <w:pStyle w:val="P68B1DB1-Normal56"/>
              <w:spacing w:before="0" w:after="0" w:line="240" w:lineRule="auto"/>
              <w:jc w:val="center"/>
              <w:rPr>
                <w:noProof/>
              </w:rPr>
            </w:pPr>
            <w:r>
              <w:rPr>
                <w:noProof/>
              </w:rPr>
              <w:t xml:space="preserve">Entrée en vigueur de tous les contrats de subvention entre le Fonds d’investissement de l’État et certains porteurs de projets de friches  </w:t>
            </w:r>
          </w:p>
        </w:tc>
      </w:tr>
      <w:tr w:rsidR="00025543" w14:paraId="2D9652A4" w14:textId="77777777">
        <w:trPr>
          <w:trHeight w:val="600"/>
        </w:trPr>
        <w:tc>
          <w:tcPr>
            <w:tcW w:w="1290" w:type="dxa"/>
            <w:tcBorders>
              <w:top w:val="single" w:sz="8" w:space="0" w:color="auto"/>
              <w:left w:val="single" w:sz="8" w:space="0" w:color="auto"/>
              <w:bottom w:val="single" w:sz="8" w:space="0" w:color="auto"/>
              <w:right w:val="single" w:sz="8" w:space="0" w:color="000000" w:themeColor="text1"/>
            </w:tcBorders>
            <w:shd w:val="clear" w:color="auto" w:fill="C6EFCE"/>
            <w:vAlign w:val="center"/>
            <w:hideMark/>
          </w:tcPr>
          <w:p w14:paraId="60C3D74A" w14:textId="77777777" w:rsidR="00025543" w:rsidRDefault="007E3A2F">
            <w:pPr>
              <w:pStyle w:val="P68B1DB1-Normal56"/>
              <w:spacing w:before="0" w:after="0" w:line="240" w:lineRule="auto"/>
              <w:jc w:val="center"/>
              <w:rPr>
                <w:noProof/>
              </w:rPr>
            </w:pPr>
            <w:r>
              <w:rPr>
                <w:noProof/>
              </w:rPr>
              <w:t>156</w:t>
            </w:r>
          </w:p>
        </w:tc>
        <w:tc>
          <w:tcPr>
            <w:tcW w:w="3975" w:type="dxa"/>
            <w:tcBorders>
              <w:top w:val="nil"/>
              <w:left w:val="nil"/>
              <w:bottom w:val="single" w:sz="8" w:space="0" w:color="000000" w:themeColor="text1"/>
              <w:right w:val="single" w:sz="8" w:space="0" w:color="000000" w:themeColor="text1"/>
            </w:tcBorders>
            <w:shd w:val="clear" w:color="auto" w:fill="C6EFCE"/>
            <w:vAlign w:val="center"/>
            <w:hideMark/>
          </w:tcPr>
          <w:p w14:paraId="54272AE4" w14:textId="77777777" w:rsidR="00025543" w:rsidRDefault="007E3A2F">
            <w:pPr>
              <w:pStyle w:val="P68B1DB1-Normal57"/>
              <w:spacing w:before="0" w:after="0" w:line="240" w:lineRule="auto"/>
              <w:jc w:val="center"/>
              <w:rPr>
                <w:noProof/>
              </w:rPr>
            </w:pPr>
            <w:r>
              <w:rPr>
                <w:noProof/>
              </w:rPr>
              <w:t>C 2.8: Friches industrielles revitalisation — Investissement 2: Soutien à la revitalisation des zones appartenant au secteur public à des fins non professionnelles</w:t>
            </w:r>
          </w:p>
        </w:tc>
        <w:tc>
          <w:tcPr>
            <w:tcW w:w="1800"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7DA55413" w14:textId="77777777" w:rsidR="00025543" w:rsidRDefault="007E3A2F">
            <w:pPr>
              <w:pStyle w:val="P68B1DB1-Normal57"/>
              <w:spacing w:before="0" w:after="0" w:line="240" w:lineRule="auto"/>
              <w:jc w:val="center"/>
              <w:rPr>
                <w:noProof/>
              </w:rPr>
            </w:pPr>
            <w:r>
              <w:rPr>
                <w:noProof/>
              </w:rPr>
              <w:t>Étapes</w:t>
            </w:r>
          </w:p>
        </w:tc>
        <w:tc>
          <w:tcPr>
            <w:tcW w:w="3220" w:type="dxa"/>
            <w:tcBorders>
              <w:top w:val="single" w:sz="4" w:space="0" w:color="auto"/>
              <w:left w:val="nil"/>
              <w:bottom w:val="single" w:sz="8" w:space="0" w:color="auto"/>
              <w:right w:val="single" w:sz="8" w:space="0" w:color="auto"/>
            </w:tcBorders>
            <w:shd w:val="clear" w:color="auto" w:fill="C6EFCE"/>
            <w:vAlign w:val="center"/>
            <w:hideMark/>
          </w:tcPr>
          <w:p w14:paraId="4A9768A5" w14:textId="67AF85BE" w:rsidR="00025543" w:rsidRDefault="007E3A2F">
            <w:pPr>
              <w:pStyle w:val="P68B1DB1-Normal56"/>
              <w:spacing w:before="0" w:after="0" w:line="240" w:lineRule="auto"/>
              <w:jc w:val="center"/>
              <w:rPr>
                <w:noProof/>
              </w:rPr>
            </w:pPr>
            <w:r>
              <w:rPr>
                <w:noProof/>
              </w:rPr>
              <w:t xml:space="preserve">Entrée en vigueur de tous les contrats entre le Fonds d’investissement de l’État et certains porteurs de projets de friches  </w:t>
            </w:r>
          </w:p>
        </w:tc>
      </w:tr>
      <w:tr w:rsidR="00025543" w14:paraId="14733457" w14:textId="77777777">
        <w:trPr>
          <w:trHeight w:val="600"/>
        </w:trPr>
        <w:tc>
          <w:tcPr>
            <w:tcW w:w="1290" w:type="dxa"/>
            <w:tcBorders>
              <w:top w:val="nil"/>
              <w:left w:val="single" w:sz="8" w:space="0" w:color="auto"/>
              <w:bottom w:val="single" w:sz="4" w:space="0" w:color="auto"/>
              <w:right w:val="single" w:sz="8" w:space="0" w:color="000000" w:themeColor="text1"/>
            </w:tcBorders>
            <w:shd w:val="clear" w:color="auto" w:fill="C6EFCE"/>
            <w:vAlign w:val="center"/>
            <w:hideMark/>
          </w:tcPr>
          <w:p w14:paraId="7AED291A" w14:textId="7FA685D4" w:rsidR="00025543" w:rsidRDefault="007E3A2F">
            <w:pPr>
              <w:pStyle w:val="P68B1DB1-Normal56"/>
              <w:spacing w:before="0" w:after="0" w:line="240" w:lineRule="auto"/>
              <w:jc w:val="center"/>
              <w:rPr>
                <w:noProof/>
              </w:rPr>
            </w:pPr>
            <w:r>
              <w:rPr>
                <w:noProof/>
              </w:rPr>
              <w:t>158</w:t>
            </w:r>
          </w:p>
        </w:tc>
        <w:tc>
          <w:tcPr>
            <w:tcW w:w="3975" w:type="dxa"/>
            <w:tcBorders>
              <w:top w:val="nil"/>
              <w:left w:val="nil"/>
              <w:bottom w:val="single" w:sz="4" w:space="0" w:color="auto"/>
              <w:right w:val="single" w:sz="8" w:space="0" w:color="000000" w:themeColor="text1"/>
            </w:tcBorders>
            <w:shd w:val="clear" w:color="auto" w:fill="C6EFCE"/>
            <w:vAlign w:val="center"/>
            <w:hideMark/>
          </w:tcPr>
          <w:p w14:paraId="774ECE3E" w14:textId="77777777" w:rsidR="00025543" w:rsidRDefault="007E3A2F">
            <w:pPr>
              <w:pStyle w:val="P68B1DB1-Normal57"/>
              <w:spacing w:before="0" w:after="0" w:line="240" w:lineRule="auto"/>
              <w:jc w:val="center"/>
              <w:rPr>
                <w:noProof/>
              </w:rPr>
            </w:pPr>
            <w:r>
              <w:rPr>
                <w:noProof/>
              </w:rPr>
              <w:t>C 2.8: Friches industrielles revitalisation — Investissement 3: Soutien à la revitalisation des zones détenues par le secteur public à des fins professionnelles</w:t>
            </w:r>
          </w:p>
        </w:tc>
        <w:tc>
          <w:tcPr>
            <w:tcW w:w="1800" w:type="dxa"/>
            <w:tcBorders>
              <w:top w:val="nil"/>
              <w:left w:val="nil"/>
              <w:bottom w:val="single" w:sz="4" w:space="0" w:color="auto"/>
              <w:right w:val="single" w:sz="8" w:space="0" w:color="000000" w:themeColor="text1"/>
            </w:tcBorders>
            <w:shd w:val="clear" w:color="auto" w:fill="C6EFCE"/>
            <w:vAlign w:val="center"/>
            <w:hideMark/>
          </w:tcPr>
          <w:p w14:paraId="254B0DD9" w14:textId="77777777" w:rsidR="00025543" w:rsidRDefault="007E3A2F">
            <w:pPr>
              <w:pStyle w:val="P68B1DB1-Normal57"/>
              <w:spacing w:before="0" w:after="0" w:line="240" w:lineRule="auto"/>
              <w:jc w:val="center"/>
              <w:rPr>
                <w:noProof/>
              </w:rPr>
            </w:pPr>
            <w:r>
              <w:rPr>
                <w:noProof/>
              </w:rPr>
              <w:t>Étapes</w:t>
            </w:r>
          </w:p>
        </w:tc>
        <w:tc>
          <w:tcPr>
            <w:tcW w:w="3220" w:type="dxa"/>
            <w:tcBorders>
              <w:top w:val="nil"/>
              <w:left w:val="nil"/>
              <w:bottom w:val="single" w:sz="4" w:space="0" w:color="auto"/>
              <w:right w:val="single" w:sz="8" w:space="0" w:color="auto"/>
            </w:tcBorders>
            <w:shd w:val="clear" w:color="auto" w:fill="C6EFCE"/>
            <w:vAlign w:val="center"/>
            <w:hideMark/>
          </w:tcPr>
          <w:p w14:paraId="4B5EF1E8" w14:textId="78F2AE8D" w:rsidR="00025543" w:rsidRDefault="007E3A2F">
            <w:pPr>
              <w:pStyle w:val="P68B1DB1-Normal56"/>
              <w:spacing w:before="0" w:after="0" w:line="240" w:lineRule="auto"/>
              <w:jc w:val="center"/>
              <w:rPr>
                <w:noProof/>
              </w:rPr>
            </w:pPr>
            <w:r>
              <w:rPr>
                <w:noProof/>
              </w:rPr>
              <w:t xml:space="preserve">Entrée en vigueur de tous les marchés publics pour la régénération de friches industrielles publiques à des fins professionnelles  </w:t>
            </w:r>
          </w:p>
        </w:tc>
      </w:tr>
      <w:tr w:rsidR="00025543" w14:paraId="56D9CA32" w14:textId="77777777">
        <w:trPr>
          <w:trHeight w:val="405"/>
        </w:trPr>
        <w:tc>
          <w:tcPr>
            <w:tcW w:w="1290" w:type="dxa"/>
            <w:tcBorders>
              <w:top w:val="single" w:sz="4" w:space="0" w:color="auto"/>
              <w:left w:val="single" w:sz="8" w:space="0" w:color="auto"/>
              <w:bottom w:val="single" w:sz="8" w:space="0" w:color="auto"/>
              <w:right w:val="single" w:sz="8" w:space="0" w:color="000000" w:themeColor="text1"/>
            </w:tcBorders>
            <w:shd w:val="clear" w:color="auto" w:fill="C6EFCE"/>
            <w:vAlign w:val="center"/>
            <w:hideMark/>
          </w:tcPr>
          <w:p w14:paraId="22ABA607" w14:textId="77777777" w:rsidR="00025543" w:rsidRDefault="007E3A2F">
            <w:pPr>
              <w:pStyle w:val="P68B1DB1-Normal56"/>
              <w:spacing w:before="0" w:after="0" w:line="240" w:lineRule="auto"/>
              <w:jc w:val="center"/>
              <w:rPr>
                <w:noProof/>
              </w:rPr>
            </w:pPr>
            <w:r>
              <w:rPr>
                <w:noProof/>
              </w:rPr>
              <w:t>183</w:t>
            </w:r>
          </w:p>
        </w:tc>
        <w:tc>
          <w:tcPr>
            <w:tcW w:w="3975"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2E0D2BC4" w14:textId="77777777" w:rsidR="00025543" w:rsidRDefault="007E3A2F">
            <w:pPr>
              <w:pStyle w:val="P68B1DB1-Normal57"/>
              <w:spacing w:before="0" w:after="0" w:line="240" w:lineRule="auto"/>
              <w:jc w:val="center"/>
              <w:rPr>
                <w:noProof/>
              </w:rPr>
            </w:pPr>
            <w:r>
              <w:rPr>
                <w:noProof/>
              </w:rPr>
              <w:t xml:space="preserve">C 3.2: Adaptation des programmes scolaires — Investissement 2: Tutorat des élèves </w:t>
            </w:r>
          </w:p>
        </w:tc>
        <w:tc>
          <w:tcPr>
            <w:tcW w:w="1800"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4A54D425" w14:textId="77777777" w:rsidR="00025543" w:rsidRDefault="007E3A2F">
            <w:pPr>
              <w:pStyle w:val="P68B1DB1-Normal57"/>
              <w:spacing w:before="0" w:after="0" w:line="240" w:lineRule="auto"/>
              <w:jc w:val="center"/>
              <w:rPr>
                <w:noProof/>
              </w:rPr>
            </w:pPr>
            <w:r>
              <w:rPr>
                <w:noProof/>
              </w:rPr>
              <w:t>Cible</w:t>
            </w:r>
          </w:p>
        </w:tc>
        <w:tc>
          <w:tcPr>
            <w:tcW w:w="3220" w:type="dxa"/>
            <w:tcBorders>
              <w:top w:val="single" w:sz="4" w:space="0" w:color="auto"/>
              <w:left w:val="nil"/>
              <w:bottom w:val="single" w:sz="8" w:space="0" w:color="auto"/>
              <w:right w:val="single" w:sz="8" w:space="0" w:color="auto"/>
            </w:tcBorders>
            <w:shd w:val="clear" w:color="auto" w:fill="C6EFCE"/>
            <w:vAlign w:val="center"/>
            <w:hideMark/>
          </w:tcPr>
          <w:p w14:paraId="335B7665" w14:textId="0DB14A3F" w:rsidR="00025543" w:rsidRDefault="007E3A2F">
            <w:pPr>
              <w:pStyle w:val="P68B1DB1-Normal57"/>
              <w:spacing w:before="0" w:after="0" w:line="240" w:lineRule="auto"/>
              <w:jc w:val="center"/>
              <w:rPr>
                <w:noProof/>
              </w:rPr>
            </w:pPr>
            <w:r>
              <w:rPr>
                <w:noProof/>
              </w:rPr>
              <w:t xml:space="preserve">Nombre d’inscriptions individuelles pour des cours de tutorat   </w:t>
            </w:r>
          </w:p>
        </w:tc>
      </w:tr>
      <w:tr w:rsidR="00025543" w14:paraId="19289533" w14:textId="77777777">
        <w:trPr>
          <w:trHeight w:val="600"/>
        </w:trPr>
        <w:tc>
          <w:tcPr>
            <w:tcW w:w="1290" w:type="dxa"/>
            <w:tcBorders>
              <w:top w:val="nil"/>
              <w:left w:val="single" w:sz="8" w:space="0" w:color="auto"/>
              <w:bottom w:val="nil"/>
              <w:right w:val="single" w:sz="8" w:space="0" w:color="000000" w:themeColor="text1"/>
            </w:tcBorders>
            <w:shd w:val="clear" w:color="auto" w:fill="C6EFCE"/>
            <w:vAlign w:val="center"/>
            <w:hideMark/>
          </w:tcPr>
          <w:p w14:paraId="7C2EC145" w14:textId="77777777" w:rsidR="00025543" w:rsidRDefault="007E3A2F">
            <w:pPr>
              <w:pStyle w:val="P68B1DB1-Normal57"/>
              <w:spacing w:before="0" w:after="0" w:line="240" w:lineRule="auto"/>
              <w:jc w:val="center"/>
              <w:rPr>
                <w:noProof/>
              </w:rPr>
            </w:pPr>
            <w:r>
              <w:rPr>
                <w:noProof/>
              </w:rPr>
              <w:t>186</w:t>
            </w:r>
          </w:p>
        </w:tc>
        <w:tc>
          <w:tcPr>
            <w:tcW w:w="3975" w:type="dxa"/>
            <w:tcBorders>
              <w:top w:val="nil"/>
              <w:left w:val="nil"/>
              <w:bottom w:val="single" w:sz="8" w:space="0" w:color="000000" w:themeColor="text1"/>
              <w:right w:val="single" w:sz="8" w:space="0" w:color="000000" w:themeColor="text1"/>
            </w:tcBorders>
            <w:shd w:val="clear" w:color="auto" w:fill="C6EFCE"/>
            <w:vAlign w:val="center"/>
            <w:hideMark/>
          </w:tcPr>
          <w:p w14:paraId="28B95D7E" w14:textId="77777777" w:rsidR="00025543" w:rsidRDefault="007E3A2F">
            <w:pPr>
              <w:pStyle w:val="P68B1DB1-Normal57"/>
              <w:spacing w:before="0" w:after="0" w:line="240" w:lineRule="auto"/>
              <w:jc w:val="center"/>
              <w:rPr>
                <w:noProof/>
              </w:rPr>
            </w:pPr>
            <w:r>
              <w:rPr>
                <w:noProof/>
              </w:rPr>
              <w:t>C 3.3: Modernisation des services de l’emploi et développement du marché du travail — Réforme 1: Développement des politiques du marché du travail</w:t>
            </w:r>
          </w:p>
        </w:tc>
        <w:tc>
          <w:tcPr>
            <w:tcW w:w="1800" w:type="dxa"/>
            <w:tcBorders>
              <w:top w:val="nil"/>
              <w:left w:val="nil"/>
              <w:bottom w:val="single" w:sz="8" w:space="0" w:color="000000" w:themeColor="text1"/>
              <w:right w:val="single" w:sz="8" w:space="0" w:color="000000" w:themeColor="text1"/>
            </w:tcBorders>
            <w:shd w:val="clear" w:color="auto" w:fill="C6EFCE"/>
            <w:vAlign w:val="center"/>
            <w:hideMark/>
          </w:tcPr>
          <w:p w14:paraId="6A447420" w14:textId="77777777" w:rsidR="00025543" w:rsidRDefault="007E3A2F">
            <w:pPr>
              <w:pStyle w:val="P68B1DB1-Normal57"/>
              <w:spacing w:before="0" w:after="0" w:line="240" w:lineRule="auto"/>
              <w:jc w:val="center"/>
              <w:rPr>
                <w:noProof/>
              </w:rPr>
            </w:pPr>
            <w:r>
              <w:rPr>
                <w:noProof/>
              </w:rPr>
              <w:t>Étapes</w:t>
            </w:r>
          </w:p>
        </w:tc>
        <w:tc>
          <w:tcPr>
            <w:tcW w:w="3220" w:type="dxa"/>
            <w:tcBorders>
              <w:top w:val="nil"/>
              <w:left w:val="nil"/>
              <w:bottom w:val="nil"/>
              <w:right w:val="single" w:sz="8" w:space="0" w:color="auto"/>
            </w:tcBorders>
            <w:shd w:val="clear" w:color="auto" w:fill="C6EFCE"/>
            <w:vAlign w:val="center"/>
            <w:hideMark/>
          </w:tcPr>
          <w:p w14:paraId="5F27E928" w14:textId="77777777" w:rsidR="00025543" w:rsidRDefault="007E3A2F">
            <w:pPr>
              <w:pStyle w:val="P68B1DB1-Normal57"/>
              <w:spacing w:before="0" w:after="0" w:line="240" w:lineRule="auto"/>
              <w:jc w:val="center"/>
              <w:rPr>
                <w:noProof/>
              </w:rPr>
            </w:pPr>
            <w:r>
              <w:rPr>
                <w:noProof/>
              </w:rPr>
              <w:t>Base de données des cours de reconversion et de perfectionnement professionnels</w:t>
            </w:r>
          </w:p>
        </w:tc>
      </w:tr>
      <w:tr w:rsidR="00025543" w14:paraId="2882E634" w14:textId="77777777">
        <w:trPr>
          <w:trHeight w:val="600"/>
        </w:trPr>
        <w:tc>
          <w:tcPr>
            <w:tcW w:w="1290" w:type="dxa"/>
            <w:tcBorders>
              <w:top w:val="single" w:sz="8" w:space="0" w:color="000000" w:themeColor="text1"/>
              <w:left w:val="single" w:sz="8" w:space="0" w:color="auto"/>
              <w:bottom w:val="single" w:sz="8" w:space="0" w:color="auto"/>
              <w:right w:val="single" w:sz="8" w:space="0" w:color="000000" w:themeColor="text1"/>
            </w:tcBorders>
            <w:shd w:val="clear" w:color="auto" w:fill="C6EFCE"/>
            <w:vAlign w:val="center"/>
            <w:hideMark/>
          </w:tcPr>
          <w:p w14:paraId="44F08E0F" w14:textId="77777777" w:rsidR="00025543" w:rsidRDefault="007E3A2F">
            <w:pPr>
              <w:pStyle w:val="P68B1DB1-Normal57"/>
              <w:spacing w:before="0" w:after="0" w:line="240" w:lineRule="auto"/>
              <w:jc w:val="center"/>
              <w:rPr>
                <w:noProof/>
              </w:rPr>
            </w:pPr>
            <w:r>
              <w:rPr>
                <w:noProof/>
              </w:rPr>
              <w:t>192</w:t>
            </w:r>
          </w:p>
        </w:tc>
        <w:tc>
          <w:tcPr>
            <w:tcW w:w="3975" w:type="dxa"/>
            <w:tcBorders>
              <w:top w:val="nil"/>
              <w:left w:val="nil"/>
              <w:bottom w:val="single" w:sz="8" w:space="0" w:color="000000" w:themeColor="text1"/>
              <w:right w:val="single" w:sz="8" w:space="0" w:color="000000" w:themeColor="text1"/>
            </w:tcBorders>
            <w:shd w:val="clear" w:color="auto" w:fill="C6EFCE"/>
            <w:vAlign w:val="center"/>
            <w:hideMark/>
          </w:tcPr>
          <w:p w14:paraId="5B86A8B1" w14:textId="77777777" w:rsidR="00025543" w:rsidRDefault="007E3A2F">
            <w:pPr>
              <w:pStyle w:val="P68B1DB1-Normal57"/>
              <w:spacing w:before="0" w:after="0" w:line="240" w:lineRule="auto"/>
              <w:jc w:val="center"/>
              <w:rPr>
                <w:noProof/>
              </w:rPr>
            </w:pPr>
            <w:r>
              <w:rPr>
                <w:noProof/>
              </w:rPr>
              <w:t xml:space="preserve">C 3.3: Modernisation des services de l’emploi et développement du marché du travail — Réforme 2: Assurer la viabilité du financement des structures d’accueil des enfants </w:t>
            </w:r>
          </w:p>
        </w:tc>
        <w:tc>
          <w:tcPr>
            <w:tcW w:w="1800" w:type="dxa"/>
            <w:tcBorders>
              <w:top w:val="nil"/>
              <w:left w:val="nil"/>
              <w:bottom w:val="single" w:sz="8" w:space="0" w:color="000000" w:themeColor="text1"/>
              <w:right w:val="single" w:sz="8" w:space="0" w:color="000000" w:themeColor="text1"/>
            </w:tcBorders>
            <w:shd w:val="clear" w:color="auto" w:fill="C6EFCE"/>
            <w:vAlign w:val="center"/>
            <w:hideMark/>
          </w:tcPr>
          <w:p w14:paraId="580286EF" w14:textId="77777777" w:rsidR="00025543" w:rsidRDefault="007E3A2F">
            <w:pPr>
              <w:pStyle w:val="P68B1DB1-Normal57"/>
              <w:spacing w:before="0" w:after="0" w:line="240" w:lineRule="auto"/>
              <w:jc w:val="center"/>
              <w:rPr>
                <w:noProof/>
              </w:rPr>
            </w:pPr>
            <w:r>
              <w:rPr>
                <w:noProof/>
              </w:rPr>
              <w:t>Étapes</w:t>
            </w:r>
          </w:p>
        </w:tc>
        <w:tc>
          <w:tcPr>
            <w:tcW w:w="3220" w:type="dxa"/>
            <w:tcBorders>
              <w:top w:val="single" w:sz="8" w:space="0" w:color="000000" w:themeColor="text1"/>
              <w:left w:val="nil"/>
              <w:bottom w:val="single" w:sz="8" w:space="0" w:color="auto"/>
              <w:right w:val="single" w:sz="8" w:space="0" w:color="auto"/>
            </w:tcBorders>
            <w:shd w:val="clear" w:color="auto" w:fill="C6EFCE"/>
            <w:vAlign w:val="center"/>
            <w:hideMark/>
          </w:tcPr>
          <w:p w14:paraId="73FF6998" w14:textId="23A481AD" w:rsidR="00025543" w:rsidRDefault="007E3A2F">
            <w:pPr>
              <w:pStyle w:val="P68B1DB1-Normal57"/>
              <w:spacing w:before="0" w:after="0" w:line="240" w:lineRule="auto"/>
              <w:jc w:val="center"/>
              <w:rPr>
                <w:noProof/>
              </w:rPr>
            </w:pPr>
            <w:r>
              <w:rPr>
                <w:noProof/>
              </w:rPr>
              <w:t xml:space="preserve">Entrée en vigueur de la loi sur la garde d’enfants (modification de la loi no 247/2014 relative à la prestation de services de garde d’enfants dans un groupe d’enfants) </w:t>
            </w:r>
          </w:p>
        </w:tc>
      </w:tr>
      <w:tr w:rsidR="00025543" w14:paraId="287073C2" w14:textId="77777777">
        <w:trPr>
          <w:trHeight w:val="600"/>
        </w:trPr>
        <w:tc>
          <w:tcPr>
            <w:tcW w:w="1290" w:type="dxa"/>
            <w:tcBorders>
              <w:top w:val="single" w:sz="8" w:space="0" w:color="auto"/>
              <w:left w:val="single" w:sz="8" w:space="0" w:color="auto"/>
              <w:bottom w:val="single" w:sz="4" w:space="0" w:color="auto"/>
              <w:right w:val="single" w:sz="8" w:space="0" w:color="000000" w:themeColor="text1"/>
            </w:tcBorders>
            <w:shd w:val="clear" w:color="auto" w:fill="C6EFCE"/>
            <w:vAlign w:val="center"/>
            <w:hideMark/>
          </w:tcPr>
          <w:p w14:paraId="40C627A4" w14:textId="77777777" w:rsidR="00025543" w:rsidRDefault="007E3A2F">
            <w:pPr>
              <w:pStyle w:val="P68B1DB1-Normal57"/>
              <w:spacing w:before="0" w:after="0" w:line="240" w:lineRule="auto"/>
              <w:jc w:val="center"/>
              <w:rPr>
                <w:noProof/>
              </w:rPr>
            </w:pPr>
            <w:r>
              <w:rPr>
                <w:noProof/>
              </w:rPr>
              <w:t>193</w:t>
            </w:r>
          </w:p>
        </w:tc>
        <w:tc>
          <w:tcPr>
            <w:tcW w:w="3975" w:type="dxa"/>
            <w:tcBorders>
              <w:top w:val="single" w:sz="8" w:space="0" w:color="000000" w:themeColor="text1"/>
              <w:left w:val="nil"/>
              <w:bottom w:val="single" w:sz="4" w:space="0" w:color="auto"/>
              <w:right w:val="single" w:sz="8" w:space="0" w:color="000000" w:themeColor="text1"/>
            </w:tcBorders>
            <w:shd w:val="clear" w:color="auto" w:fill="C6EFCE"/>
            <w:vAlign w:val="center"/>
            <w:hideMark/>
          </w:tcPr>
          <w:p w14:paraId="0CEB94C0" w14:textId="77777777" w:rsidR="00025543" w:rsidRDefault="007E3A2F">
            <w:pPr>
              <w:pStyle w:val="P68B1DB1-Normal57"/>
              <w:spacing w:before="0" w:after="0" w:line="240" w:lineRule="auto"/>
              <w:jc w:val="center"/>
              <w:rPr>
                <w:noProof/>
              </w:rPr>
            </w:pPr>
            <w:r>
              <w:rPr>
                <w:noProof/>
              </w:rPr>
              <w:t>C 3.3: Modernisation des services de l’emploi et développement du marché du travail — Réforme 3: Réforme des soins de longue durée</w:t>
            </w:r>
          </w:p>
        </w:tc>
        <w:tc>
          <w:tcPr>
            <w:tcW w:w="1800" w:type="dxa"/>
            <w:tcBorders>
              <w:top w:val="single" w:sz="8" w:space="0" w:color="000000" w:themeColor="text1"/>
              <w:left w:val="nil"/>
              <w:bottom w:val="single" w:sz="4" w:space="0" w:color="auto"/>
              <w:right w:val="single" w:sz="8" w:space="0" w:color="000000" w:themeColor="text1"/>
            </w:tcBorders>
            <w:shd w:val="clear" w:color="auto" w:fill="C6EFCE"/>
            <w:vAlign w:val="center"/>
            <w:hideMark/>
          </w:tcPr>
          <w:p w14:paraId="44B638E1" w14:textId="77777777" w:rsidR="00025543" w:rsidRDefault="007E3A2F">
            <w:pPr>
              <w:pStyle w:val="P68B1DB1-Normal57"/>
              <w:spacing w:before="0" w:after="0" w:line="240" w:lineRule="auto"/>
              <w:jc w:val="center"/>
              <w:rPr>
                <w:noProof/>
              </w:rPr>
            </w:pPr>
            <w:r>
              <w:rPr>
                <w:noProof/>
              </w:rPr>
              <w:t>Étapes</w:t>
            </w:r>
          </w:p>
        </w:tc>
        <w:tc>
          <w:tcPr>
            <w:tcW w:w="3220" w:type="dxa"/>
            <w:tcBorders>
              <w:top w:val="single" w:sz="8" w:space="0" w:color="auto"/>
              <w:left w:val="nil"/>
              <w:bottom w:val="single" w:sz="4" w:space="0" w:color="auto"/>
              <w:right w:val="single" w:sz="8" w:space="0" w:color="auto"/>
            </w:tcBorders>
            <w:shd w:val="clear" w:color="auto" w:fill="C6EFCE"/>
            <w:vAlign w:val="center"/>
            <w:hideMark/>
          </w:tcPr>
          <w:p w14:paraId="1DB0F33F" w14:textId="77777777" w:rsidR="00025543" w:rsidRDefault="007E3A2F">
            <w:pPr>
              <w:pStyle w:val="P68B1DB1-Normal57"/>
              <w:spacing w:before="0" w:after="0" w:line="240" w:lineRule="auto"/>
              <w:jc w:val="center"/>
              <w:rPr>
                <w:noProof/>
              </w:rPr>
            </w:pPr>
            <w:r>
              <w:rPr>
                <w:noProof/>
              </w:rPr>
              <w:t>Entrée en vigueur de la loi sur les soins de longue durée</w:t>
            </w:r>
          </w:p>
        </w:tc>
      </w:tr>
      <w:tr w:rsidR="00025543" w14:paraId="6A21672C" w14:textId="77777777">
        <w:trPr>
          <w:trHeight w:val="405"/>
        </w:trPr>
        <w:tc>
          <w:tcPr>
            <w:tcW w:w="1290" w:type="dxa"/>
            <w:tcBorders>
              <w:top w:val="single" w:sz="4" w:space="0" w:color="auto"/>
              <w:left w:val="single" w:sz="8" w:space="0" w:color="auto"/>
              <w:bottom w:val="single" w:sz="8" w:space="0" w:color="000000" w:themeColor="text1"/>
              <w:right w:val="single" w:sz="8" w:space="0" w:color="000000" w:themeColor="text1"/>
            </w:tcBorders>
            <w:shd w:val="clear" w:color="auto" w:fill="C6EFCE"/>
            <w:vAlign w:val="center"/>
            <w:hideMark/>
          </w:tcPr>
          <w:p w14:paraId="59211879" w14:textId="51C28BA9" w:rsidR="00025543" w:rsidRDefault="007E3A2F">
            <w:pPr>
              <w:pStyle w:val="P68B1DB1-Normal57"/>
              <w:spacing w:before="0" w:after="0"/>
              <w:jc w:val="center"/>
              <w:rPr>
                <w:noProof/>
              </w:rPr>
            </w:pPr>
            <w:r>
              <w:rPr>
                <w:noProof/>
              </w:rPr>
              <w:t xml:space="preserve">301 </w:t>
            </w:r>
          </w:p>
        </w:tc>
        <w:tc>
          <w:tcPr>
            <w:tcW w:w="3975"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3A62811C" w14:textId="51C28BA9" w:rsidR="00025543" w:rsidRDefault="007E3A2F">
            <w:pPr>
              <w:pStyle w:val="P68B1DB1-Normal57"/>
              <w:spacing w:before="0" w:after="0"/>
              <w:rPr>
                <w:noProof/>
              </w:rPr>
            </w:pPr>
            <w:r>
              <w:rPr>
                <w:noProof/>
              </w:rPr>
              <w:t xml:space="preserve">C 7.1:  Infrastructures pour les énergies renouvelables et l’électricité — Réforme 1: Simplification des procédures d’autorisation pour les énergies renouvelables </w:t>
            </w:r>
          </w:p>
        </w:tc>
        <w:tc>
          <w:tcPr>
            <w:tcW w:w="1800"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793EB97A" w14:textId="51C28BA9" w:rsidR="00025543" w:rsidRDefault="007E3A2F">
            <w:pPr>
              <w:pStyle w:val="P68B1DB1-Normal57"/>
              <w:spacing w:before="0" w:after="0" w:line="240" w:lineRule="auto"/>
              <w:jc w:val="center"/>
              <w:rPr>
                <w:noProof/>
              </w:rPr>
            </w:pPr>
            <w:r>
              <w:rPr>
                <w:noProof/>
              </w:rPr>
              <w:t xml:space="preserve">Étapes </w:t>
            </w:r>
          </w:p>
        </w:tc>
        <w:tc>
          <w:tcPr>
            <w:tcW w:w="3220" w:type="dxa"/>
            <w:tcBorders>
              <w:top w:val="single" w:sz="4" w:space="0" w:color="auto"/>
              <w:left w:val="nil"/>
              <w:bottom w:val="single" w:sz="8" w:space="0" w:color="000000" w:themeColor="text1"/>
              <w:right w:val="single" w:sz="8" w:space="0" w:color="auto"/>
            </w:tcBorders>
            <w:shd w:val="clear" w:color="auto" w:fill="C6EFCE"/>
            <w:vAlign w:val="center"/>
            <w:hideMark/>
          </w:tcPr>
          <w:p w14:paraId="56BCCB16" w14:textId="51C28BA9" w:rsidR="00025543" w:rsidRDefault="007E3A2F">
            <w:pPr>
              <w:pStyle w:val="P68B1DB1-Normal57"/>
              <w:spacing w:before="0" w:after="0"/>
              <w:jc w:val="both"/>
              <w:rPr>
                <w:noProof/>
              </w:rPr>
            </w:pPr>
            <w:r>
              <w:rPr>
                <w:noProof/>
              </w:rPr>
              <w:t xml:space="preserve">Entrée en vigueur de la législation modifiée </w:t>
            </w:r>
          </w:p>
          <w:p w14:paraId="5B3636C1" w14:textId="51C28BA9" w:rsidR="00025543" w:rsidRDefault="00025543">
            <w:pPr>
              <w:spacing w:before="0" w:after="0"/>
              <w:rPr>
                <w:rFonts w:eastAsia="Times New Roman"/>
                <w:noProof/>
                <w:color w:val="006100"/>
                <w:sz w:val="20"/>
              </w:rPr>
            </w:pPr>
          </w:p>
        </w:tc>
      </w:tr>
      <w:tr w:rsidR="00025543" w14:paraId="59E21990" w14:textId="77777777">
        <w:trPr>
          <w:trHeight w:val="405"/>
        </w:trPr>
        <w:tc>
          <w:tcPr>
            <w:tcW w:w="1290" w:type="dxa"/>
            <w:tcBorders>
              <w:top w:val="single" w:sz="4" w:space="0" w:color="000000" w:themeColor="text1"/>
              <w:left w:val="single" w:sz="8" w:space="0" w:color="auto"/>
              <w:bottom w:val="single" w:sz="8" w:space="0" w:color="auto"/>
              <w:right w:val="single" w:sz="8" w:space="0" w:color="000000" w:themeColor="text1"/>
            </w:tcBorders>
            <w:shd w:val="clear" w:color="auto" w:fill="C6EFCE"/>
            <w:vAlign w:val="center"/>
            <w:hideMark/>
          </w:tcPr>
          <w:p w14:paraId="166F5430" w14:textId="6EC0DAE6" w:rsidR="00025543" w:rsidRDefault="007E3A2F">
            <w:pPr>
              <w:pStyle w:val="P68B1DB1-Normal57"/>
              <w:spacing w:before="0" w:after="0" w:line="240" w:lineRule="auto"/>
              <w:jc w:val="center"/>
              <w:rPr>
                <w:noProof/>
              </w:rPr>
            </w:pPr>
            <w:r>
              <w:rPr>
                <w:noProof/>
              </w:rPr>
              <w:t xml:space="preserve">340 </w:t>
            </w:r>
          </w:p>
        </w:tc>
        <w:tc>
          <w:tcPr>
            <w:tcW w:w="3975" w:type="dxa"/>
            <w:tcBorders>
              <w:top w:val="single" w:sz="4" w:space="0" w:color="000000" w:themeColor="text1"/>
              <w:left w:val="nil"/>
              <w:bottom w:val="single" w:sz="8" w:space="0" w:color="auto"/>
              <w:right w:val="single" w:sz="8" w:space="0" w:color="000000" w:themeColor="text1"/>
            </w:tcBorders>
            <w:shd w:val="clear" w:color="auto" w:fill="C6EFCE"/>
            <w:vAlign w:val="center"/>
            <w:hideMark/>
          </w:tcPr>
          <w:p w14:paraId="66A70883" w14:textId="7E988E80" w:rsidR="00025543" w:rsidRDefault="007E3A2F">
            <w:pPr>
              <w:pStyle w:val="P68B1DB1-Normal57"/>
              <w:spacing w:before="0" w:after="0" w:line="240" w:lineRule="auto"/>
              <w:jc w:val="center"/>
              <w:rPr>
                <w:noProof/>
              </w:rPr>
            </w:pPr>
            <w:r>
              <w:rPr>
                <w:noProof/>
              </w:rPr>
              <w:t>C 7.7 Simplifier les procédures d’autorisation environnementale et définir les zones de développement des sources d’énergie renouvelables</w:t>
            </w:r>
          </w:p>
          <w:p w14:paraId="48EECAFB" w14:textId="3341C560" w:rsidR="00025543" w:rsidRDefault="007E3A2F">
            <w:pPr>
              <w:pStyle w:val="P68B1DB1-Normal57"/>
              <w:spacing w:before="0" w:after="0" w:line="240" w:lineRule="auto"/>
              <w:jc w:val="center"/>
              <w:rPr>
                <w:noProof/>
              </w:rPr>
            </w:pPr>
            <w:r>
              <w:rPr>
                <w:noProof/>
              </w:rPr>
              <w:t xml:space="preserve">Réforme 1: </w:t>
            </w:r>
          </w:p>
          <w:p w14:paraId="53F3C8EB" w14:textId="6DFB59B1" w:rsidR="00025543" w:rsidRDefault="007E3A2F">
            <w:pPr>
              <w:pStyle w:val="P68B1DB1-Normal57"/>
              <w:spacing w:before="0" w:after="0" w:line="240" w:lineRule="auto"/>
              <w:jc w:val="center"/>
              <w:rPr>
                <w:noProof/>
              </w:rPr>
            </w:pPr>
            <w:r>
              <w:rPr>
                <w:noProof/>
              </w:rPr>
              <w:t xml:space="preserve">Avis unique sur l’environnement   </w:t>
            </w:r>
          </w:p>
        </w:tc>
        <w:tc>
          <w:tcPr>
            <w:tcW w:w="1800" w:type="dxa"/>
            <w:tcBorders>
              <w:top w:val="single" w:sz="4" w:space="0" w:color="000000" w:themeColor="text1"/>
              <w:left w:val="nil"/>
              <w:bottom w:val="single" w:sz="8" w:space="0" w:color="auto"/>
              <w:right w:val="single" w:sz="8" w:space="0" w:color="000000" w:themeColor="text1"/>
            </w:tcBorders>
            <w:shd w:val="clear" w:color="auto" w:fill="C6EFCE"/>
            <w:vAlign w:val="center"/>
            <w:hideMark/>
          </w:tcPr>
          <w:p w14:paraId="77BF8AC7" w14:textId="67C5F647" w:rsidR="00025543" w:rsidRDefault="007E3A2F">
            <w:pPr>
              <w:pStyle w:val="P68B1DB1-Normal57"/>
              <w:spacing w:before="0" w:after="0" w:line="240" w:lineRule="auto"/>
              <w:jc w:val="center"/>
              <w:rPr>
                <w:noProof/>
              </w:rPr>
            </w:pPr>
            <w:r>
              <w:rPr>
                <w:noProof/>
              </w:rPr>
              <w:t xml:space="preserve">Étapes  </w:t>
            </w:r>
          </w:p>
        </w:tc>
        <w:tc>
          <w:tcPr>
            <w:tcW w:w="3220" w:type="dxa"/>
            <w:tcBorders>
              <w:top w:val="single" w:sz="4" w:space="0" w:color="000000" w:themeColor="text1"/>
              <w:left w:val="nil"/>
              <w:bottom w:val="single" w:sz="8" w:space="0" w:color="auto"/>
              <w:right w:val="single" w:sz="8" w:space="0" w:color="auto"/>
            </w:tcBorders>
            <w:shd w:val="clear" w:color="auto" w:fill="C6EFCE"/>
            <w:vAlign w:val="center"/>
            <w:hideMark/>
          </w:tcPr>
          <w:p w14:paraId="5F4F4F84" w14:textId="2CD95A6C" w:rsidR="00025543" w:rsidRDefault="007E3A2F">
            <w:pPr>
              <w:pStyle w:val="P68B1DB1-Normal57"/>
              <w:spacing w:before="0" w:after="0" w:line="240" w:lineRule="auto"/>
              <w:jc w:val="center"/>
              <w:rPr>
                <w:noProof/>
              </w:rPr>
            </w:pPr>
            <w:r>
              <w:rPr>
                <w:noProof/>
              </w:rPr>
              <w:t>Entrée en vigueur de l’avis unique sur l’environnement </w:t>
            </w:r>
          </w:p>
        </w:tc>
      </w:tr>
      <w:tr w:rsidR="00025543" w14:paraId="13788A3E" w14:textId="77777777">
        <w:trPr>
          <w:trHeight w:val="405"/>
        </w:trPr>
        <w:tc>
          <w:tcPr>
            <w:tcW w:w="1290" w:type="dxa"/>
            <w:tcBorders>
              <w:top w:val="nil"/>
              <w:left w:val="single" w:sz="8" w:space="0" w:color="auto"/>
              <w:bottom w:val="single" w:sz="8" w:space="0" w:color="auto"/>
              <w:right w:val="single" w:sz="8" w:space="0" w:color="000000" w:themeColor="text1"/>
            </w:tcBorders>
            <w:shd w:val="clear" w:color="auto" w:fill="C6EFCE"/>
            <w:vAlign w:val="center"/>
            <w:hideMark/>
          </w:tcPr>
          <w:p w14:paraId="5E380A96" w14:textId="478DF843" w:rsidR="00025543" w:rsidRDefault="007E3A2F">
            <w:pPr>
              <w:pStyle w:val="P68B1DB1-Normal56"/>
              <w:spacing w:line="240" w:lineRule="auto"/>
              <w:jc w:val="center"/>
              <w:rPr>
                <w:noProof/>
              </w:rPr>
            </w:pPr>
            <w:r>
              <w:rPr>
                <w:noProof/>
              </w:rPr>
              <w:t>284</w:t>
            </w:r>
          </w:p>
        </w:tc>
        <w:tc>
          <w:tcPr>
            <w:tcW w:w="3975" w:type="dxa"/>
            <w:tcBorders>
              <w:top w:val="nil"/>
              <w:left w:val="nil"/>
              <w:bottom w:val="single" w:sz="8" w:space="0" w:color="auto"/>
              <w:right w:val="single" w:sz="8" w:space="0" w:color="000000" w:themeColor="text1"/>
            </w:tcBorders>
            <w:shd w:val="clear" w:color="auto" w:fill="C6EFCE"/>
            <w:vAlign w:val="center"/>
            <w:hideMark/>
          </w:tcPr>
          <w:p w14:paraId="62609D83" w14:textId="6FAF52ED" w:rsidR="00025543" w:rsidRDefault="007E3A2F">
            <w:pPr>
              <w:pStyle w:val="P68B1DB1-Normal57"/>
              <w:spacing w:before="0" w:after="0" w:line="240" w:lineRule="auto"/>
              <w:rPr>
                <w:noProof/>
              </w:rPr>
            </w:pPr>
            <w:r>
              <w:rPr>
                <w:noProof/>
              </w:rPr>
              <w:t>C4.1: Soutien systémique à l’investissement public — Réforme 4: Accroître l’efficacité et améliorer la mise en œuvre du plan pour la reprise et la résilience</w:t>
            </w:r>
          </w:p>
        </w:tc>
        <w:tc>
          <w:tcPr>
            <w:tcW w:w="1800" w:type="dxa"/>
            <w:tcBorders>
              <w:top w:val="nil"/>
              <w:left w:val="nil"/>
              <w:bottom w:val="single" w:sz="8" w:space="0" w:color="auto"/>
              <w:right w:val="single" w:sz="8" w:space="0" w:color="000000" w:themeColor="text1"/>
            </w:tcBorders>
            <w:shd w:val="clear" w:color="auto" w:fill="C6EFCE"/>
            <w:vAlign w:val="center"/>
            <w:hideMark/>
          </w:tcPr>
          <w:p w14:paraId="595B14D7" w14:textId="2C4AE619" w:rsidR="00025543" w:rsidRDefault="007E3A2F">
            <w:pPr>
              <w:pStyle w:val="P68B1DB1-Normal57"/>
              <w:spacing w:before="0" w:after="0" w:line="240" w:lineRule="auto"/>
              <w:jc w:val="center"/>
              <w:rPr>
                <w:noProof/>
              </w:rPr>
            </w:pPr>
            <w:r>
              <w:rPr>
                <w:noProof/>
              </w:rPr>
              <w:t>Étapes</w:t>
            </w:r>
          </w:p>
        </w:tc>
        <w:tc>
          <w:tcPr>
            <w:tcW w:w="3220" w:type="dxa"/>
            <w:tcBorders>
              <w:top w:val="nil"/>
              <w:left w:val="nil"/>
              <w:bottom w:val="single" w:sz="8" w:space="0" w:color="auto"/>
              <w:right w:val="single" w:sz="8" w:space="0" w:color="auto"/>
            </w:tcBorders>
            <w:shd w:val="clear" w:color="auto" w:fill="C6EFCE"/>
            <w:vAlign w:val="center"/>
            <w:hideMark/>
          </w:tcPr>
          <w:p w14:paraId="7FE76ACA" w14:textId="506A2A84" w:rsidR="00025543" w:rsidRDefault="007E3A2F">
            <w:pPr>
              <w:pStyle w:val="P68B1DB1-Normal57"/>
              <w:spacing w:before="0" w:after="0" w:line="240" w:lineRule="auto"/>
              <w:rPr>
                <w:noProof/>
              </w:rPr>
            </w:pPr>
            <w:r>
              <w:rPr>
                <w:noProof/>
              </w:rPr>
              <w:t>Approbation d’une résolution du gouvernement sur le renforcement de la capacité administrative pour la mise en œuvre du plan national pour la reprise et la résilience (décision de systématisation) et approbation du budget correspondant</w:t>
            </w:r>
          </w:p>
        </w:tc>
      </w:tr>
      <w:tr w:rsidR="00025543" w14:paraId="773DE333" w14:textId="77777777">
        <w:trPr>
          <w:trHeight w:val="405"/>
        </w:trPr>
        <w:tc>
          <w:tcPr>
            <w:tcW w:w="1290" w:type="dxa"/>
            <w:tcBorders>
              <w:top w:val="nil"/>
              <w:left w:val="single" w:sz="8" w:space="0" w:color="auto"/>
              <w:bottom w:val="single" w:sz="8" w:space="0" w:color="auto"/>
              <w:right w:val="single" w:sz="8" w:space="0" w:color="000000" w:themeColor="text1"/>
            </w:tcBorders>
            <w:shd w:val="clear" w:color="auto" w:fill="C6EFCE"/>
            <w:vAlign w:val="center"/>
            <w:hideMark/>
          </w:tcPr>
          <w:p w14:paraId="629732F8" w14:textId="7A8ED838" w:rsidR="00025543" w:rsidRDefault="007E3A2F">
            <w:pPr>
              <w:pStyle w:val="P68B1DB1-Normal57"/>
              <w:spacing w:before="0" w:after="0" w:line="240" w:lineRule="auto"/>
              <w:jc w:val="center"/>
              <w:rPr>
                <w:noProof/>
              </w:rPr>
            </w:pPr>
            <w:r>
              <w:rPr>
                <w:noProof/>
              </w:rPr>
              <w:t xml:space="preserve">285 </w:t>
            </w:r>
          </w:p>
        </w:tc>
        <w:tc>
          <w:tcPr>
            <w:tcW w:w="3975" w:type="dxa"/>
            <w:tcBorders>
              <w:top w:val="nil"/>
              <w:left w:val="nil"/>
              <w:bottom w:val="single" w:sz="8" w:space="0" w:color="auto"/>
              <w:right w:val="single" w:sz="8" w:space="0" w:color="000000" w:themeColor="text1"/>
            </w:tcBorders>
            <w:shd w:val="clear" w:color="auto" w:fill="C6EFCE"/>
            <w:vAlign w:val="center"/>
            <w:hideMark/>
          </w:tcPr>
          <w:p w14:paraId="51348394" w14:textId="6BA48943" w:rsidR="00025543" w:rsidRDefault="007E3A2F">
            <w:pPr>
              <w:pStyle w:val="P68B1DB1-Normal57"/>
              <w:spacing w:before="0" w:after="0" w:line="240" w:lineRule="auto"/>
              <w:jc w:val="center"/>
              <w:rPr>
                <w:noProof/>
              </w:rPr>
            </w:pPr>
            <w:r>
              <w:rPr>
                <w:noProof/>
              </w:rPr>
              <w:t>C 4.1: Soutien systémique à l’investissement public —</w:t>
            </w:r>
          </w:p>
          <w:p w14:paraId="5927B2EC" w14:textId="4C4A2802" w:rsidR="00025543" w:rsidRDefault="007E3A2F">
            <w:pPr>
              <w:pStyle w:val="P68B1DB1-Normal57"/>
              <w:spacing w:before="0" w:after="0" w:line="240" w:lineRule="auto"/>
              <w:jc w:val="center"/>
              <w:rPr>
                <w:noProof/>
              </w:rPr>
            </w:pPr>
            <w:r>
              <w:rPr>
                <w:noProof/>
              </w:rPr>
              <w:t xml:space="preserve">Réforme 4:  </w:t>
            </w:r>
          </w:p>
          <w:p w14:paraId="37E440B5" w14:textId="2EDEB65D" w:rsidR="00025543" w:rsidRDefault="007E3A2F">
            <w:pPr>
              <w:pStyle w:val="P68B1DB1-Normal57"/>
              <w:spacing w:before="0" w:after="0" w:line="240" w:lineRule="auto"/>
              <w:jc w:val="center"/>
              <w:rPr>
                <w:noProof/>
              </w:rPr>
            </w:pPr>
            <w:r>
              <w:rPr>
                <w:noProof/>
              </w:rPr>
              <w:t xml:space="preserve">Accroître l’efficacité et améliorer la mise en œuvre du plan pour la reprise et la résilience </w:t>
            </w:r>
          </w:p>
        </w:tc>
        <w:tc>
          <w:tcPr>
            <w:tcW w:w="1800" w:type="dxa"/>
            <w:tcBorders>
              <w:top w:val="nil"/>
              <w:left w:val="nil"/>
              <w:bottom w:val="single" w:sz="8" w:space="0" w:color="auto"/>
              <w:right w:val="single" w:sz="8" w:space="0" w:color="000000" w:themeColor="text1"/>
            </w:tcBorders>
            <w:shd w:val="clear" w:color="auto" w:fill="C6EFCE"/>
            <w:vAlign w:val="center"/>
            <w:hideMark/>
          </w:tcPr>
          <w:p w14:paraId="6DB3E7E1" w14:textId="50957659" w:rsidR="00025543" w:rsidRDefault="007E3A2F">
            <w:pPr>
              <w:pStyle w:val="P68B1DB1-Normal57"/>
              <w:spacing w:before="0" w:after="0" w:line="240" w:lineRule="auto"/>
              <w:jc w:val="center"/>
              <w:rPr>
                <w:noProof/>
              </w:rPr>
            </w:pPr>
            <w:r>
              <w:rPr>
                <w:noProof/>
              </w:rPr>
              <w:t xml:space="preserve">Cible </w:t>
            </w:r>
          </w:p>
        </w:tc>
        <w:tc>
          <w:tcPr>
            <w:tcW w:w="3220" w:type="dxa"/>
            <w:tcBorders>
              <w:top w:val="nil"/>
              <w:left w:val="nil"/>
              <w:bottom w:val="single" w:sz="8" w:space="0" w:color="auto"/>
              <w:right w:val="single" w:sz="8" w:space="0" w:color="auto"/>
            </w:tcBorders>
            <w:shd w:val="clear" w:color="auto" w:fill="C6EFCE"/>
            <w:vAlign w:val="center"/>
            <w:hideMark/>
          </w:tcPr>
          <w:p w14:paraId="295441B1" w14:textId="7990FB6E" w:rsidR="00025543" w:rsidRDefault="007E3A2F">
            <w:pPr>
              <w:pStyle w:val="P68B1DB1-Normal57"/>
              <w:spacing w:before="0" w:after="0" w:line="240" w:lineRule="auto"/>
              <w:jc w:val="center"/>
              <w:rPr>
                <w:noProof/>
              </w:rPr>
            </w:pPr>
            <w:r>
              <w:rPr>
                <w:noProof/>
              </w:rPr>
              <w:t>Augmentation du nombre de personnes travaillant sur le plan pour la reprise et la résilience d’ici à 2023</w:t>
            </w:r>
          </w:p>
        </w:tc>
      </w:tr>
      <w:tr w:rsidR="00025543" w14:paraId="407241AD" w14:textId="77777777">
        <w:trPr>
          <w:trHeight w:val="405"/>
        </w:trPr>
        <w:tc>
          <w:tcPr>
            <w:tcW w:w="1290" w:type="dxa"/>
            <w:tcBorders>
              <w:top w:val="nil"/>
              <w:left w:val="single" w:sz="8" w:space="0" w:color="auto"/>
              <w:bottom w:val="single" w:sz="8" w:space="0" w:color="auto"/>
              <w:right w:val="single" w:sz="8" w:space="0" w:color="000000" w:themeColor="text1"/>
            </w:tcBorders>
            <w:shd w:val="clear" w:color="auto" w:fill="C6EFCE"/>
            <w:vAlign w:val="center"/>
          </w:tcPr>
          <w:p w14:paraId="4B23DADF" w14:textId="267E0B69" w:rsidR="00025543" w:rsidRDefault="007E3A2F">
            <w:pPr>
              <w:pStyle w:val="P68B1DB1-Normal57"/>
              <w:spacing w:before="0" w:after="0" w:line="240" w:lineRule="auto"/>
              <w:jc w:val="center"/>
              <w:rPr>
                <w:noProof/>
              </w:rPr>
            </w:pPr>
            <w:r>
              <w:rPr>
                <w:noProof/>
              </w:rPr>
              <w:t>280</w:t>
            </w:r>
          </w:p>
        </w:tc>
        <w:tc>
          <w:tcPr>
            <w:tcW w:w="3975" w:type="dxa"/>
            <w:tcBorders>
              <w:top w:val="nil"/>
              <w:left w:val="nil"/>
              <w:bottom w:val="single" w:sz="8" w:space="0" w:color="auto"/>
              <w:right w:val="single" w:sz="8" w:space="0" w:color="000000" w:themeColor="text1"/>
            </w:tcBorders>
            <w:shd w:val="clear" w:color="auto" w:fill="C6EFCE"/>
            <w:vAlign w:val="center"/>
          </w:tcPr>
          <w:p w14:paraId="39907E1F" w14:textId="70579EB8" w:rsidR="00025543" w:rsidRDefault="007E3A2F">
            <w:pPr>
              <w:pStyle w:val="P68B1DB1-Normal57"/>
              <w:spacing w:before="0" w:after="0" w:line="240" w:lineRule="auto"/>
              <w:jc w:val="center"/>
              <w:rPr>
                <w:noProof/>
              </w:rPr>
            </w:pPr>
            <w:r>
              <w:rPr>
                <w:noProof/>
              </w:rPr>
              <w:t>C 4.1: Soutien systémique à l’investissement public — Réforme 1:  Appui méthodologique à la préparation de projets conformes aux objectifs de l’UE</w:t>
            </w:r>
          </w:p>
        </w:tc>
        <w:tc>
          <w:tcPr>
            <w:tcW w:w="1800" w:type="dxa"/>
            <w:tcBorders>
              <w:top w:val="nil"/>
              <w:left w:val="nil"/>
              <w:bottom w:val="single" w:sz="8" w:space="0" w:color="auto"/>
              <w:right w:val="single" w:sz="8" w:space="0" w:color="000000" w:themeColor="text1"/>
            </w:tcBorders>
            <w:shd w:val="clear" w:color="auto" w:fill="C6EFCE"/>
            <w:vAlign w:val="center"/>
          </w:tcPr>
          <w:p w14:paraId="77432E52" w14:textId="1B8403F5" w:rsidR="00025543" w:rsidRDefault="007E3A2F">
            <w:pPr>
              <w:pStyle w:val="P68B1DB1-Normal57"/>
              <w:spacing w:before="0" w:after="0" w:line="240" w:lineRule="auto"/>
              <w:jc w:val="center"/>
              <w:rPr>
                <w:noProof/>
              </w:rPr>
            </w:pPr>
            <w:r>
              <w:rPr>
                <w:noProof/>
              </w:rPr>
              <w:t>Étapes</w:t>
            </w:r>
          </w:p>
        </w:tc>
        <w:tc>
          <w:tcPr>
            <w:tcW w:w="3220" w:type="dxa"/>
            <w:tcBorders>
              <w:top w:val="nil"/>
              <w:left w:val="nil"/>
              <w:bottom w:val="single" w:sz="8" w:space="0" w:color="auto"/>
              <w:right w:val="single" w:sz="8" w:space="0" w:color="auto"/>
            </w:tcBorders>
            <w:shd w:val="clear" w:color="auto" w:fill="C6EFCE"/>
            <w:vAlign w:val="center"/>
          </w:tcPr>
          <w:p w14:paraId="6754EF6E" w14:textId="1FCEBC36" w:rsidR="00025543" w:rsidRDefault="007E3A2F">
            <w:pPr>
              <w:pStyle w:val="P68B1DB1-Normal57"/>
              <w:spacing w:before="0" w:after="0" w:line="240" w:lineRule="auto"/>
              <w:jc w:val="center"/>
              <w:rPr>
                <w:noProof/>
              </w:rPr>
            </w:pPr>
            <w:r>
              <w:rPr>
                <w:noProof/>
              </w:rPr>
              <w:t xml:space="preserve">Mise en place du Centre de coordination et de compétences et adoption de son plan de gestion.   </w:t>
            </w:r>
          </w:p>
        </w:tc>
      </w:tr>
      <w:tr w:rsidR="00025543" w14:paraId="54673897" w14:textId="77777777">
        <w:trPr>
          <w:trHeight w:val="405"/>
        </w:trPr>
        <w:tc>
          <w:tcPr>
            <w:tcW w:w="1290" w:type="dxa"/>
            <w:tcBorders>
              <w:top w:val="nil"/>
              <w:left w:val="single" w:sz="8" w:space="0" w:color="auto"/>
              <w:bottom w:val="single" w:sz="8" w:space="0" w:color="auto"/>
              <w:right w:val="single" w:sz="8" w:space="0" w:color="000000" w:themeColor="text1"/>
            </w:tcBorders>
            <w:shd w:val="clear" w:color="auto" w:fill="C6EFCE"/>
            <w:vAlign w:val="center"/>
            <w:hideMark/>
          </w:tcPr>
          <w:p w14:paraId="35BA75D5" w14:textId="77777777" w:rsidR="00025543" w:rsidRDefault="007E3A2F">
            <w:pPr>
              <w:pStyle w:val="P68B1DB1-Normal56"/>
              <w:spacing w:before="0" w:after="0" w:line="240" w:lineRule="auto"/>
              <w:jc w:val="center"/>
              <w:rPr>
                <w:noProof/>
              </w:rPr>
            </w:pPr>
            <w:r>
              <w:rPr>
                <w:noProof/>
              </w:rPr>
              <w:t>205</w:t>
            </w:r>
          </w:p>
        </w:tc>
        <w:tc>
          <w:tcPr>
            <w:tcW w:w="3975" w:type="dxa"/>
            <w:tcBorders>
              <w:top w:val="nil"/>
              <w:left w:val="nil"/>
              <w:bottom w:val="single" w:sz="8" w:space="0" w:color="auto"/>
              <w:right w:val="single" w:sz="8" w:space="0" w:color="000000" w:themeColor="text1"/>
            </w:tcBorders>
            <w:shd w:val="clear" w:color="auto" w:fill="C6EFCE"/>
            <w:vAlign w:val="center"/>
            <w:hideMark/>
          </w:tcPr>
          <w:p w14:paraId="4D472DCA" w14:textId="77777777" w:rsidR="00025543" w:rsidRDefault="007E3A2F">
            <w:pPr>
              <w:pStyle w:val="P68B1DB1-Normal57"/>
              <w:spacing w:before="0" w:after="0" w:line="240" w:lineRule="auto"/>
              <w:jc w:val="center"/>
              <w:rPr>
                <w:noProof/>
              </w:rPr>
            </w:pPr>
            <w:r>
              <w:rPr>
                <w:noProof/>
              </w:rPr>
              <w:t>C 4.3: Réformes anticorruption — Réforme 3: Collecte et analyse de données sur la corruption</w:t>
            </w:r>
          </w:p>
        </w:tc>
        <w:tc>
          <w:tcPr>
            <w:tcW w:w="1800" w:type="dxa"/>
            <w:tcBorders>
              <w:top w:val="nil"/>
              <w:left w:val="nil"/>
              <w:bottom w:val="single" w:sz="8" w:space="0" w:color="auto"/>
              <w:right w:val="single" w:sz="8" w:space="0" w:color="000000" w:themeColor="text1"/>
            </w:tcBorders>
            <w:shd w:val="clear" w:color="auto" w:fill="C6EFCE"/>
            <w:vAlign w:val="center"/>
            <w:hideMark/>
          </w:tcPr>
          <w:p w14:paraId="3EB48E2D" w14:textId="77777777" w:rsidR="00025543" w:rsidRDefault="007E3A2F">
            <w:pPr>
              <w:pStyle w:val="P68B1DB1-Normal57"/>
              <w:spacing w:before="0" w:after="0" w:line="240" w:lineRule="auto"/>
              <w:jc w:val="center"/>
              <w:rPr>
                <w:noProof/>
              </w:rPr>
            </w:pPr>
            <w:r>
              <w:rPr>
                <w:noProof/>
              </w:rPr>
              <w:t>Étapes</w:t>
            </w:r>
          </w:p>
        </w:tc>
        <w:tc>
          <w:tcPr>
            <w:tcW w:w="3220" w:type="dxa"/>
            <w:tcBorders>
              <w:top w:val="nil"/>
              <w:left w:val="nil"/>
              <w:bottom w:val="single" w:sz="8" w:space="0" w:color="auto"/>
              <w:right w:val="single" w:sz="8" w:space="0" w:color="auto"/>
            </w:tcBorders>
            <w:shd w:val="clear" w:color="auto" w:fill="C6EFCE"/>
            <w:vAlign w:val="center"/>
            <w:hideMark/>
          </w:tcPr>
          <w:p w14:paraId="2FBF2E7D" w14:textId="77777777" w:rsidR="00025543" w:rsidRDefault="007E3A2F">
            <w:pPr>
              <w:pStyle w:val="P68B1DB1-Normal56"/>
              <w:spacing w:before="0" w:after="0" w:line="240" w:lineRule="auto"/>
              <w:jc w:val="center"/>
              <w:rPr>
                <w:noProof/>
              </w:rPr>
            </w:pPr>
            <w:r>
              <w:rPr>
                <w:noProof/>
              </w:rPr>
              <w:t>Création d’une méthodologie pour mesurer la corruption en République tchèque</w:t>
            </w:r>
          </w:p>
        </w:tc>
      </w:tr>
      <w:tr w:rsidR="00025543" w14:paraId="564B6B7F" w14:textId="77777777">
        <w:trPr>
          <w:trHeight w:val="543"/>
        </w:trPr>
        <w:tc>
          <w:tcPr>
            <w:tcW w:w="1290" w:type="dxa"/>
            <w:tcBorders>
              <w:top w:val="nil"/>
              <w:left w:val="single" w:sz="8" w:space="0" w:color="auto"/>
              <w:bottom w:val="single" w:sz="8" w:space="0" w:color="auto"/>
              <w:right w:val="single" w:sz="8" w:space="0" w:color="000000" w:themeColor="text1"/>
            </w:tcBorders>
            <w:shd w:val="clear" w:color="auto" w:fill="C6EFCE"/>
            <w:vAlign w:val="center"/>
            <w:hideMark/>
          </w:tcPr>
          <w:p w14:paraId="16F2E820" w14:textId="77777777" w:rsidR="00025543" w:rsidRDefault="007E3A2F">
            <w:pPr>
              <w:pStyle w:val="P68B1DB1-Normal56"/>
              <w:spacing w:before="0" w:after="0" w:line="240" w:lineRule="auto"/>
              <w:jc w:val="center"/>
              <w:rPr>
                <w:noProof/>
              </w:rPr>
            </w:pPr>
            <w:r>
              <w:rPr>
                <w:noProof/>
              </w:rPr>
              <w:t xml:space="preserve"> </w:t>
            </w:r>
          </w:p>
        </w:tc>
        <w:tc>
          <w:tcPr>
            <w:tcW w:w="3975" w:type="dxa"/>
            <w:tcBorders>
              <w:top w:val="nil"/>
              <w:left w:val="nil"/>
              <w:bottom w:val="single" w:sz="8" w:space="0" w:color="auto"/>
              <w:right w:val="single" w:sz="8" w:space="0" w:color="000000" w:themeColor="text1"/>
            </w:tcBorders>
            <w:shd w:val="clear" w:color="auto" w:fill="C6EFCE"/>
            <w:vAlign w:val="center"/>
            <w:hideMark/>
          </w:tcPr>
          <w:p w14:paraId="7FBFE358" w14:textId="77777777" w:rsidR="00025543" w:rsidRDefault="007E3A2F">
            <w:pPr>
              <w:pStyle w:val="P68B1DB1-Normal57"/>
              <w:spacing w:before="0" w:after="0" w:line="240" w:lineRule="auto"/>
              <w:jc w:val="center"/>
              <w:rPr>
                <w:noProof/>
              </w:rPr>
            </w:pPr>
            <w:r>
              <w:rPr>
                <w:noProof/>
              </w:rPr>
              <w:t xml:space="preserve"> </w:t>
            </w:r>
          </w:p>
        </w:tc>
        <w:tc>
          <w:tcPr>
            <w:tcW w:w="1800" w:type="dxa"/>
            <w:tcBorders>
              <w:top w:val="nil"/>
              <w:left w:val="nil"/>
              <w:bottom w:val="single" w:sz="8" w:space="0" w:color="auto"/>
              <w:right w:val="single" w:sz="8" w:space="0" w:color="000000" w:themeColor="text1"/>
            </w:tcBorders>
            <w:shd w:val="clear" w:color="auto" w:fill="C6EFCE"/>
            <w:vAlign w:val="center"/>
            <w:hideMark/>
          </w:tcPr>
          <w:p w14:paraId="7F81B15C" w14:textId="77777777" w:rsidR="00025543" w:rsidRDefault="007E3A2F">
            <w:pPr>
              <w:pStyle w:val="P68B1DB1-Normal59"/>
              <w:spacing w:before="0" w:after="0" w:line="240" w:lineRule="auto"/>
              <w:jc w:val="center"/>
              <w:rPr>
                <w:noProof/>
              </w:rPr>
            </w:pPr>
            <w:r>
              <w:rPr>
                <w:noProof/>
              </w:rPr>
              <w:t>Montant de la tranche</w:t>
            </w:r>
          </w:p>
        </w:tc>
        <w:tc>
          <w:tcPr>
            <w:tcW w:w="3220" w:type="dxa"/>
            <w:tcBorders>
              <w:top w:val="nil"/>
              <w:left w:val="nil"/>
              <w:bottom w:val="single" w:sz="8" w:space="0" w:color="auto"/>
              <w:right w:val="single" w:sz="8" w:space="0" w:color="auto"/>
            </w:tcBorders>
            <w:shd w:val="clear" w:color="auto" w:fill="C6EFCE"/>
            <w:vAlign w:val="center"/>
            <w:hideMark/>
          </w:tcPr>
          <w:p w14:paraId="2D7E0325" w14:textId="6BCE2C15" w:rsidR="00025543" w:rsidRDefault="007E3A2F">
            <w:pPr>
              <w:pStyle w:val="P68B1DB1-Normal59"/>
              <w:spacing w:before="0" w:after="0" w:line="240" w:lineRule="auto"/>
              <w:jc w:val="center"/>
              <w:rPr>
                <w:noProof/>
              </w:rPr>
            </w:pPr>
            <w:r>
              <w:rPr>
                <w:noProof/>
              </w:rPr>
              <w:t>1 268 379 005 EUR</w:t>
            </w:r>
          </w:p>
        </w:tc>
      </w:tr>
    </w:tbl>
    <w:p w14:paraId="2667C4CD" w14:textId="77777777" w:rsidR="00025543" w:rsidRDefault="00025543">
      <w:pPr>
        <w:spacing w:line="240" w:lineRule="auto"/>
        <w:jc w:val="both"/>
        <w:rPr>
          <w:noProof/>
        </w:rPr>
      </w:pPr>
    </w:p>
    <w:p w14:paraId="75F5A1E5" w14:textId="77777777" w:rsidR="00025543" w:rsidRDefault="007E3A2F">
      <w:pPr>
        <w:numPr>
          <w:ilvl w:val="1"/>
          <w:numId w:val="198"/>
        </w:numPr>
        <w:spacing w:line="240" w:lineRule="auto"/>
        <w:jc w:val="both"/>
        <w:rPr>
          <w:noProof/>
        </w:rPr>
      </w:pPr>
      <w:r>
        <w:rPr>
          <w:noProof/>
        </w:rPr>
        <w:t xml:space="preserve">Cinquième tranche (soutien non remboursable): </w:t>
      </w:r>
    </w:p>
    <w:tbl>
      <w:tblPr>
        <w:tblW w:w="10490" w:type="dxa"/>
        <w:tblInd w:w="-601" w:type="dxa"/>
        <w:tblLook w:val="04A0" w:firstRow="1" w:lastRow="0" w:firstColumn="1" w:lastColumn="0" w:noHBand="0" w:noVBand="1"/>
      </w:tblPr>
      <w:tblGrid>
        <w:gridCol w:w="1276"/>
        <w:gridCol w:w="3969"/>
        <w:gridCol w:w="1843"/>
        <w:gridCol w:w="3402"/>
      </w:tblGrid>
      <w:tr w:rsidR="00025543" w14:paraId="036BEB33" w14:textId="77777777">
        <w:trPr>
          <w:trHeight w:val="825"/>
          <w:tblHeader/>
        </w:trPr>
        <w:tc>
          <w:tcPr>
            <w:tcW w:w="1276" w:type="dxa"/>
            <w:tcBorders>
              <w:top w:val="single" w:sz="8" w:space="0" w:color="auto"/>
              <w:left w:val="single" w:sz="8" w:space="0" w:color="auto"/>
              <w:bottom w:val="single" w:sz="4" w:space="0" w:color="auto"/>
              <w:right w:val="single" w:sz="8" w:space="0" w:color="auto"/>
            </w:tcBorders>
            <w:shd w:val="clear" w:color="auto" w:fill="BDD7EE"/>
            <w:vAlign w:val="center"/>
            <w:hideMark/>
          </w:tcPr>
          <w:p w14:paraId="13394AD4" w14:textId="77777777" w:rsidR="00025543" w:rsidRDefault="007E3A2F">
            <w:pPr>
              <w:pStyle w:val="P68B1DB1-Normal55"/>
              <w:spacing w:before="0" w:after="0" w:line="240" w:lineRule="auto"/>
              <w:jc w:val="center"/>
              <w:rPr>
                <w:noProof/>
              </w:rPr>
            </w:pPr>
            <w:r>
              <w:rPr>
                <w:noProof/>
              </w:rPr>
              <w:t>Numéro séquentiel</w:t>
            </w:r>
          </w:p>
        </w:tc>
        <w:tc>
          <w:tcPr>
            <w:tcW w:w="3969" w:type="dxa"/>
            <w:tcBorders>
              <w:top w:val="single" w:sz="8" w:space="0" w:color="auto"/>
              <w:left w:val="nil"/>
              <w:bottom w:val="single" w:sz="4" w:space="0" w:color="auto"/>
              <w:right w:val="single" w:sz="8" w:space="0" w:color="auto"/>
            </w:tcBorders>
            <w:shd w:val="clear" w:color="auto" w:fill="BDD7EE"/>
            <w:vAlign w:val="center"/>
            <w:hideMark/>
          </w:tcPr>
          <w:p w14:paraId="17F858B2" w14:textId="77777777" w:rsidR="00025543" w:rsidRDefault="007E3A2F">
            <w:pPr>
              <w:pStyle w:val="P68B1DB1-Normal55"/>
              <w:spacing w:before="0" w:after="0" w:line="240" w:lineRule="auto"/>
              <w:jc w:val="center"/>
              <w:rPr>
                <w:noProof/>
              </w:rPr>
            </w:pPr>
            <w:r>
              <w:rPr>
                <w:noProof/>
              </w:rPr>
              <w:t>Mesure connexe (réforme ou investissement)</w:t>
            </w:r>
          </w:p>
        </w:tc>
        <w:tc>
          <w:tcPr>
            <w:tcW w:w="1843" w:type="dxa"/>
            <w:tcBorders>
              <w:top w:val="single" w:sz="8" w:space="0" w:color="auto"/>
              <w:left w:val="nil"/>
              <w:bottom w:val="single" w:sz="4" w:space="0" w:color="auto"/>
              <w:right w:val="single" w:sz="8" w:space="0" w:color="auto"/>
            </w:tcBorders>
            <w:shd w:val="clear" w:color="auto" w:fill="BDD7EE"/>
            <w:vAlign w:val="center"/>
            <w:hideMark/>
          </w:tcPr>
          <w:p w14:paraId="2D6F688D" w14:textId="77777777" w:rsidR="00025543" w:rsidRDefault="007E3A2F">
            <w:pPr>
              <w:pStyle w:val="P68B1DB1-Normal55"/>
              <w:spacing w:before="0" w:after="0" w:line="240" w:lineRule="auto"/>
              <w:jc w:val="center"/>
              <w:rPr>
                <w:noProof/>
              </w:rPr>
            </w:pPr>
            <w:r>
              <w:rPr>
                <w:noProof/>
              </w:rPr>
              <w:t>Jalon/cible</w:t>
            </w:r>
          </w:p>
        </w:tc>
        <w:tc>
          <w:tcPr>
            <w:tcW w:w="3402" w:type="dxa"/>
            <w:tcBorders>
              <w:top w:val="single" w:sz="8" w:space="0" w:color="auto"/>
              <w:left w:val="nil"/>
              <w:bottom w:val="single" w:sz="4" w:space="0" w:color="auto"/>
              <w:right w:val="single" w:sz="8" w:space="0" w:color="auto"/>
            </w:tcBorders>
            <w:shd w:val="clear" w:color="auto" w:fill="BDD7EE"/>
            <w:vAlign w:val="center"/>
            <w:hideMark/>
          </w:tcPr>
          <w:p w14:paraId="260AB26E" w14:textId="77777777" w:rsidR="00025543" w:rsidRDefault="007E3A2F">
            <w:pPr>
              <w:pStyle w:val="P68B1DB1-Normal55"/>
              <w:spacing w:before="0" w:after="0" w:line="240" w:lineRule="auto"/>
              <w:jc w:val="center"/>
              <w:rPr>
                <w:noProof/>
              </w:rPr>
            </w:pPr>
            <w:r>
              <w:rPr>
                <w:noProof/>
              </w:rPr>
              <w:t>Nom</w:t>
            </w:r>
          </w:p>
        </w:tc>
      </w:tr>
      <w:tr w:rsidR="00025543" w14:paraId="7CAE7284" w14:textId="77777777">
        <w:trPr>
          <w:trHeight w:val="99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E2AB0B5" w14:textId="77777777" w:rsidR="00025543" w:rsidRDefault="007E3A2F">
            <w:pPr>
              <w:pStyle w:val="P68B1DB1-Normal56"/>
              <w:spacing w:before="0" w:after="0" w:line="240" w:lineRule="auto"/>
              <w:jc w:val="center"/>
              <w:rPr>
                <w:noProof/>
              </w:rPr>
            </w:pPr>
            <w:r>
              <w:rPr>
                <w:noProof/>
              </w:rPr>
              <w:t>143</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6C9FDE6" w14:textId="77777777" w:rsidR="00025543" w:rsidRDefault="007E3A2F">
            <w:pPr>
              <w:pStyle w:val="P68B1DB1-Normal57"/>
              <w:spacing w:before="0" w:after="0" w:line="240" w:lineRule="auto"/>
              <w:jc w:val="center"/>
              <w:rPr>
                <w:noProof/>
              </w:rPr>
            </w:pPr>
            <w:r>
              <w:rPr>
                <w:noProof/>
              </w:rPr>
              <w:t>C 2.6: Protection de la nature et adaptation au changement climatique — Investissement 5: Rétention d’eau dans les forêts</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E1E3AD8" w14:textId="49C4638F" w:rsidR="00025543" w:rsidRDefault="007E3A2F">
            <w:pPr>
              <w:pStyle w:val="P68B1DB1-Normal28"/>
              <w:spacing w:before="0" w:after="0" w:line="240" w:lineRule="auto"/>
              <w:jc w:val="center"/>
              <w:rPr>
                <w:rFonts w:eastAsia="Times New Roman"/>
                <w:noProof/>
                <w:sz w:val="20"/>
              </w:rPr>
            </w:pPr>
            <w:r>
              <w:rPr>
                <w:noProof/>
              </w:rPr>
              <w:t>Cible</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8C44596" w14:textId="1401D7A8" w:rsidR="00025543" w:rsidRDefault="007E3A2F">
            <w:pPr>
              <w:pStyle w:val="P68B1DB1-Normal56"/>
              <w:spacing w:before="0" w:after="0" w:line="240" w:lineRule="auto"/>
              <w:jc w:val="center"/>
              <w:rPr>
                <w:noProof/>
              </w:rPr>
            </w:pPr>
            <w:r>
              <w:rPr>
                <w:noProof/>
              </w:rPr>
              <w:t>T2: Achèvement de 20 projets supplémentaires de contrôle des torrent (barrages à petite échelle en bois et en pierre naturelle) afin de ralentir les projets de ruissellement de surface et de rétention d’eau dans les forêts (rétention et petits réservoirs).</w:t>
            </w:r>
          </w:p>
        </w:tc>
      </w:tr>
      <w:tr w:rsidR="00025543" w14:paraId="1EE6D0A3" w14:textId="77777777">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B6C28CA" w14:textId="77777777" w:rsidR="00025543" w:rsidRDefault="007E3A2F">
            <w:pPr>
              <w:pStyle w:val="P68B1DB1-Normal56"/>
              <w:spacing w:before="0" w:after="0" w:line="240" w:lineRule="auto"/>
              <w:jc w:val="center"/>
              <w:rPr>
                <w:noProof/>
              </w:rPr>
            </w:pPr>
            <w:r>
              <w:rPr>
                <w:noProof/>
              </w:rPr>
              <w:t>174</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F65AA86" w14:textId="77777777" w:rsidR="00025543" w:rsidRDefault="007E3A2F">
            <w:pPr>
              <w:pStyle w:val="P68B1DB1-Normal57"/>
              <w:spacing w:before="0" w:after="0" w:line="240" w:lineRule="auto"/>
              <w:jc w:val="center"/>
              <w:rPr>
                <w:noProof/>
              </w:rPr>
            </w:pPr>
            <w:r>
              <w:rPr>
                <w:noProof/>
              </w:rPr>
              <w:t>C 3.1: Innovation dans l’éducation dans le contexte de la numérisation — Investissement 2: Équipement numérique pour les écoles</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A4B81B0"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DBB20D1" w14:textId="77777777" w:rsidR="00025543" w:rsidRDefault="007E3A2F">
            <w:pPr>
              <w:pStyle w:val="P68B1DB1-Normal56"/>
              <w:spacing w:before="0" w:after="0" w:line="240" w:lineRule="auto"/>
              <w:jc w:val="center"/>
              <w:rPr>
                <w:noProof/>
              </w:rPr>
            </w:pPr>
            <w:r>
              <w:rPr>
                <w:noProof/>
              </w:rPr>
              <w:t xml:space="preserve">Nombre d’écoles bénéficiant d’un soutien au moyen de technologies et d’équipements numériques afin de promouvoir l’habileté numérique et de mettre en œuvre les nouveaux programmes informatiques </w:t>
            </w:r>
          </w:p>
        </w:tc>
      </w:tr>
      <w:tr w:rsidR="00025543" w14:paraId="1BD98661" w14:textId="77777777">
        <w:trPr>
          <w:trHeight w:val="795"/>
        </w:trPr>
        <w:tc>
          <w:tcPr>
            <w:tcW w:w="1276" w:type="dxa"/>
            <w:tcBorders>
              <w:top w:val="single" w:sz="4" w:space="0" w:color="auto"/>
              <w:left w:val="single" w:sz="8" w:space="0" w:color="auto"/>
              <w:bottom w:val="single" w:sz="8" w:space="0" w:color="auto"/>
              <w:right w:val="single" w:sz="8" w:space="0" w:color="000000" w:themeColor="text1"/>
            </w:tcBorders>
            <w:shd w:val="clear" w:color="auto" w:fill="C6EFCE"/>
            <w:vAlign w:val="center"/>
            <w:hideMark/>
          </w:tcPr>
          <w:p w14:paraId="17DEC779" w14:textId="77777777" w:rsidR="00025543" w:rsidRDefault="007E3A2F">
            <w:pPr>
              <w:pStyle w:val="P68B1DB1-Normal56"/>
              <w:spacing w:before="0" w:after="0" w:line="240" w:lineRule="auto"/>
              <w:jc w:val="center"/>
              <w:rPr>
                <w:noProof/>
              </w:rPr>
            </w:pPr>
            <w:r>
              <w:rPr>
                <w:noProof/>
              </w:rPr>
              <w:t>18</w:t>
            </w:r>
          </w:p>
        </w:tc>
        <w:tc>
          <w:tcPr>
            <w:tcW w:w="3969"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589720A8" w14:textId="77777777" w:rsidR="00025543" w:rsidRDefault="007E3A2F">
            <w:pPr>
              <w:pStyle w:val="P68B1DB1-Normal57"/>
              <w:spacing w:before="0" w:after="0" w:line="240" w:lineRule="auto"/>
              <w:jc w:val="center"/>
              <w:rPr>
                <w:noProof/>
              </w:rPr>
            </w:pPr>
            <w:r>
              <w:rPr>
                <w:noProof/>
              </w:rPr>
              <w:t>C 1.2: Systèmes d’administration publique numérique — Investissements 1:</w:t>
            </w:r>
            <w:r>
              <w:rPr>
                <w:noProof/>
              </w:rPr>
              <w:br/>
              <w:t>Développement des systèmes d’information</w:t>
            </w:r>
          </w:p>
        </w:tc>
        <w:tc>
          <w:tcPr>
            <w:tcW w:w="1843"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38CCB39C"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4" w:space="0" w:color="auto"/>
              <w:left w:val="nil"/>
              <w:bottom w:val="single" w:sz="8" w:space="0" w:color="auto"/>
              <w:right w:val="single" w:sz="8" w:space="0" w:color="auto"/>
            </w:tcBorders>
            <w:shd w:val="clear" w:color="auto" w:fill="C6EFCE"/>
            <w:vAlign w:val="center"/>
            <w:hideMark/>
          </w:tcPr>
          <w:p w14:paraId="201334B3" w14:textId="72E5B44D" w:rsidR="00025543" w:rsidRDefault="007E3A2F">
            <w:pPr>
              <w:pStyle w:val="P68B1DB1-Normal56"/>
              <w:spacing w:before="0" w:after="0" w:line="240" w:lineRule="auto"/>
              <w:jc w:val="center"/>
              <w:rPr>
                <w:noProof/>
              </w:rPr>
            </w:pPr>
            <w:r>
              <w:rPr>
                <w:noProof/>
              </w:rPr>
              <w:t>Passation de marchés pour l’exécution des projets de systèmes d’information énumérés qui constituent la base dorsale du développement des systèmes d’information pour l’administration publique</w:t>
            </w:r>
          </w:p>
        </w:tc>
      </w:tr>
      <w:tr w:rsidR="00025543" w14:paraId="2814F29B" w14:textId="77777777">
        <w:trPr>
          <w:trHeight w:val="600"/>
        </w:trPr>
        <w:tc>
          <w:tcPr>
            <w:tcW w:w="1276" w:type="dxa"/>
            <w:tcBorders>
              <w:top w:val="nil"/>
              <w:left w:val="single" w:sz="8" w:space="0" w:color="auto"/>
              <w:bottom w:val="nil"/>
              <w:right w:val="single" w:sz="8" w:space="0" w:color="000000" w:themeColor="text1"/>
            </w:tcBorders>
            <w:shd w:val="clear" w:color="auto" w:fill="C6EFCE"/>
            <w:vAlign w:val="center"/>
            <w:hideMark/>
          </w:tcPr>
          <w:p w14:paraId="327ADEA0" w14:textId="77777777" w:rsidR="00025543" w:rsidRDefault="007E3A2F">
            <w:pPr>
              <w:pStyle w:val="P68B1DB1-Normal57"/>
              <w:spacing w:before="0" w:after="0" w:line="240" w:lineRule="auto"/>
              <w:jc w:val="center"/>
              <w:rPr>
                <w:noProof/>
              </w:rPr>
            </w:pPr>
            <w:r>
              <w:rPr>
                <w:noProof/>
              </w:rPr>
              <w:t>84</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2EBB7ED6" w14:textId="77777777" w:rsidR="00025543" w:rsidRDefault="007E3A2F">
            <w:pPr>
              <w:pStyle w:val="P68B1DB1-Normal57"/>
              <w:spacing w:before="0" w:after="0" w:line="240" w:lineRule="auto"/>
              <w:jc w:val="center"/>
              <w:rPr>
                <w:noProof/>
              </w:rPr>
            </w:pPr>
            <w:r>
              <w:rPr>
                <w:noProof/>
              </w:rPr>
              <w:t>C 2.1: Transports durables — Investissements 1: Nouvelles technologies et numérisation de l’infrastructure ferroviaire</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69FDA1FE" w14:textId="77777777" w:rsidR="00025543" w:rsidRDefault="007E3A2F">
            <w:pPr>
              <w:pStyle w:val="P68B1DB1-Normal57"/>
              <w:spacing w:before="0" w:after="0" w:line="240" w:lineRule="auto"/>
              <w:jc w:val="center"/>
              <w:rPr>
                <w:noProof/>
              </w:rPr>
            </w:pPr>
            <w:r>
              <w:rPr>
                <w:noProof/>
              </w:rPr>
              <w:t>Cible</w:t>
            </w:r>
          </w:p>
        </w:tc>
        <w:tc>
          <w:tcPr>
            <w:tcW w:w="3402" w:type="dxa"/>
            <w:tcBorders>
              <w:top w:val="nil"/>
              <w:left w:val="nil"/>
              <w:bottom w:val="nil"/>
              <w:right w:val="single" w:sz="8" w:space="0" w:color="auto"/>
            </w:tcBorders>
            <w:shd w:val="clear" w:color="auto" w:fill="C6EFCE"/>
            <w:vAlign w:val="center"/>
            <w:hideMark/>
          </w:tcPr>
          <w:p w14:paraId="423C8DB3" w14:textId="77777777" w:rsidR="00025543" w:rsidRDefault="007E3A2F">
            <w:pPr>
              <w:pStyle w:val="P68B1DB1-Normal57"/>
              <w:spacing w:before="0" w:after="0" w:line="240" w:lineRule="auto"/>
              <w:jc w:val="center"/>
              <w:rPr>
                <w:noProof/>
              </w:rPr>
            </w:pPr>
            <w:r>
              <w:rPr>
                <w:noProof/>
              </w:rPr>
              <w:t>Achèvement de deux projets issus d’un ensemble prédéfini de projets.</w:t>
            </w:r>
          </w:p>
        </w:tc>
      </w:tr>
      <w:tr w:rsidR="00025543" w14:paraId="337731DC" w14:textId="77777777">
        <w:trPr>
          <w:trHeight w:val="600"/>
        </w:trPr>
        <w:tc>
          <w:tcPr>
            <w:tcW w:w="1276" w:type="dxa"/>
            <w:tcBorders>
              <w:top w:val="single" w:sz="8" w:space="0" w:color="auto"/>
              <w:left w:val="single" w:sz="8" w:space="0" w:color="auto"/>
              <w:bottom w:val="single" w:sz="8" w:space="0" w:color="auto"/>
              <w:right w:val="single" w:sz="8" w:space="0" w:color="000000" w:themeColor="text1"/>
            </w:tcBorders>
            <w:shd w:val="clear" w:color="auto" w:fill="C6EFCE"/>
            <w:vAlign w:val="center"/>
          </w:tcPr>
          <w:p w14:paraId="1E0C0B28" w14:textId="77777777" w:rsidR="00025543" w:rsidRDefault="007E3A2F">
            <w:pPr>
              <w:pStyle w:val="P68B1DB1-Normal56"/>
              <w:spacing w:before="0" w:after="0" w:line="240" w:lineRule="auto"/>
              <w:jc w:val="center"/>
              <w:rPr>
                <w:noProof/>
              </w:rPr>
            </w:pPr>
            <w:r>
              <w:rPr>
                <w:noProof/>
              </w:rPr>
              <w:t>56</w:t>
            </w:r>
          </w:p>
        </w:tc>
        <w:tc>
          <w:tcPr>
            <w:tcW w:w="3969" w:type="dxa"/>
            <w:tcBorders>
              <w:top w:val="nil"/>
              <w:left w:val="nil"/>
              <w:bottom w:val="single" w:sz="8" w:space="0" w:color="000000" w:themeColor="text1"/>
              <w:right w:val="single" w:sz="8" w:space="0" w:color="000000" w:themeColor="text1"/>
            </w:tcBorders>
            <w:shd w:val="clear" w:color="auto" w:fill="C6EFCE"/>
            <w:vAlign w:val="center"/>
          </w:tcPr>
          <w:p w14:paraId="474277DA" w14:textId="77777777" w:rsidR="00025543" w:rsidRDefault="007E3A2F">
            <w:pPr>
              <w:pStyle w:val="P68B1DB1-Normal56"/>
              <w:spacing w:before="0" w:after="0" w:line="240" w:lineRule="auto"/>
              <w:jc w:val="center"/>
              <w:rPr>
                <w:noProof/>
              </w:rPr>
            </w:pPr>
            <w:r>
              <w:rPr>
                <w:noProof/>
              </w:rPr>
              <w:t>C 1.4: Économie et société numériques, jeunes pousses innovantes et nouvelles technologies — Investissements 5: Infrastructure européenne de services de chaînes de blocs (EBSI) — Obligations DLT pour le financement des PME</w:t>
            </w:r>
          </w:p>
        </w:tc>
        <w:tc>
          <w:tcPr>
            <w:tcW w:w="1843" w:type="dxa"/>
            <w:tcBorders>
              <w:top w:val="nil"/>
              <w:left w:val="nil"/>
              <w:bottom w:val="single" w:sz="8" w:space="0" w:color="000000" w:themeColor="text1"/>
              <w:right w:val="single" w:sz="8" w:space="0" w:color="000000" w:themeColor="text1"/>
            </w:tcBorders>
            <w:shd w:val="clear" w:color="auto" w:fill="C6EFCE"/>
            <w:vAlign w:val="center"/>
          </w:tcPr>
          <w:p w14:paraId="6F782698" w14:textId="77777777" w:rsidR="00025543" w:rsidRDefault="007E3A2F">
            <w:pPr>
              <w:pStyle w:val="P68B1DB1-Normal56"/>
              <w:spacing w:before="0" w:after="0" w:line="240" w:lineRule="auto"/>
              <w:jc w:val="center"/>
              <w:rPr>
                <w:noProof/>
              </w:rPr>
            </w:pPr>
            <w:r>
              <w:rPr>
                <w:noProof/>
              </w:rPr>
              <w:t>Cible</w:t>
            </w:r>
          </w:p>
        </w:tc>
        <w:tc>
          <w:tcPr>
            <w:tcW w:w="3402" w:type="dxa"/>
            <w:tcBorders>
              <w:top w:val="single" w:sz="8" w:space="0" w:color="auto"/>
              <w:left w:val="nil"/>
              <w:bottom w:val="single" w:sz="8" w:space="0" w:color="auto"/>
              <w:right w:val="single" w:sz="8" w:space="0" w:color="auto"/>
            </w:tcBorders>
            <w:shd w:val="clear" w:color="auto" w:fill="C6EFCE"/>
            <w:vAlign w:val="center"/>
          </w:tcPr>
          <w:p w14:paraId="644A1ED5" w14:textId="3C6C38AF" w:rsidR="00025543" w:rsidRDefault="007E3A2F">
            <w:pPr>
              <w:pStyle w:val="P68B1DB1-Normal57"/>
              <w:spacing w:before="0" w:after="0" w:line="240" w:lineRule="auto"/>
              <w:jc w:val="center"/>
              <w:rPr>
                <w:noProof/>
                <w:color w:val="004300"/>
              </w:rPr>
            </w:pPr>
            <w:r>
              <w:rPr>
                <w:noProof/>
              </w:rPr>
              <w:t>Nombre de PME autorisées à proposer des obligations numériques sur la base de l’EBSI</w:t>
            </w:r>
          </w:p>
        </w:tc>
      </w:tr>
      <w:tr w:rsidR="00025543" w14:paraId="06F8C8DE" w14:textId="77777777">
        <w:trPr>
          <w:trHeight w:val="600"/>
        </w:trPr>
        <w:tc>
          <w:tcPr>
            <w:tcW w:w="1276" w:type="dxa"/>
            <w:tcBorders>
              <w:top w:val="single" w:sz="8" w:space="0" w:color="auto"/>
              <w:left w:val="single" w:sz="8" w:space="0" w:color="auto"/>
              <w:bottom w:val="single" w:sz="8" w:space="0" w:color="auto"/>
              <w:right w:val="single" w:sz="8" w:space="0" w:color="000000" w:themeColor="text1"/>
            </w:tcBorders>
            <w:shd w:val="clear" w:color="auto" w:fill="C6EFCE"/>
            <w:vAlign w:val="center"/>
          </w:tcPr>
          <w:p w14:paraId="2A08099E" w14:textId="3BA7447D" w:rsidR="00025543" w:rsidRDefault="007E3A2F">
            <w:pPr>
              <w:pStyle w:val="P68B1DB1-Normal56"/>
              <w:spacing w:before="0" w:after="0" w:line="240" w:lineRule="auto"/>
              <w:jc w:val="center"/>
              <w:rPr>
                <w:noProof/>
              </w:rPr>
            </w:pPr>
            <w:r>
              <w:rPr>
                <w:noProof/>
              </w:rPr>
              <w:t>64</w:t>
            </w:r>
          </w:p>
        </w:tc>
        <w:tc>
          <w:tcPr>
            <w:tcW w:w="3969"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tcPr>
          <w:p w14:paraId="2157E650" w14:textId="35B1138C" w:rsidR="00025543" w:rsidRDefault="007E3A2F">
            <w:pPr>
              <w:pStyle w:val="P68B1DB1-Normal57"/>
              <w:spacing w:before="0" w:after="0" w:line="240" w:lineRule="auto"/>
              <w:jc w:val="center"/>
              <w:rPr>
                <w:noProof/>
              </w:rPr>
            </w:pPr>
            <w:r>
              <w:rPr>
                <w:noProof/>
              </w:rPr>
              <w:t>C 1.4: Économie et société numériques, jeunes pousses innovantes et nouvelles technologies — Investissements 11: Bacs à sable réglementaires numériques conformes aux priorités de l’UE</w:t>
            </w:r>
          </w:p>
        </w:tc>
        <w:tc>
          <w:tcPr>
            <w:tcW w:w="1843"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tcPr>
          <w:p w14:paraId="6450545D" w14:textId="3BA7447D" w:rsidR="00025543" w:rsidRDefault="007E3A2F">
            <w:pPr>
              <w:pStyle w:val="P68B1DB1-Normal57"/>
              <w:spacing w:before="0" w:after="0" w:line="240" w:lineRule="auto"/>
              <w:jc w:val="center"/>
              <w:rPr>
                <w:noProof/>
              </w:rPr>
            </w:pPr>
            <w:r>
              <w:rPr>
                <w:noProof/>
              </w:rPr>
              <w:t>Étapes</w:t>
            </w:r>
          </w:p>
        </w:tc>
        <w:tc>
          <w:tcPr>
            <w:tcW w:w="3402" w:type="dxa"/>
            <w:tcBorders>
              <w:top w:val="single" w:sz="8" w:space="0" w:color="auto"/>
              <w:left w:val="nil"/>
              <w:bottom w:val="single" w:sz="8" w:space="0" w:color="auto"/>
              <w:right w:val="single" w:sz="8" w:space="0" w:color="auto"/>
            </w:tcBorders>
            <w:shd w:val="clear" w:color="auto" w:fill="C6EFCE"/>
            <w:vAlign w:val="center"/>
          </w:tcPr>
          <w:p w14:paraId="64C60B25" w14:textId="1A4B7008" w:rsidR="00025543" w:rsidRDefault="007E3A2F">
            <w:pPr>
              <w:pStyle w:val="P68B1DB1-Normal56"/>
              <w:spacing w:before="0" w:after="0" w:line="240" w:lineRule="auto"/>
              <w:jc w:val="center"/>
              <w:rPr>
                <w:noProof/>
              </w:rPr>
            </w:pPr>
            <w:r>
              <w:rPr>
                <w:noProof/>
              </w:rPr>
              <w:t>Lancement du bac à sable réglementaire numérique</w:t>
            </w:r>
          </w:p>
        </w:tc>
      </w:tr>
      <w:tr w:rsidR="00025543" w14:paraId="005039A1" w14:textId="77777777">
        <w:trPr>
          <w:trHeight w:val="600"/>
        </w:trPr>
        <w:tc>
          <w:tcPr>
            <w:tcW w:w="1276" w:type="dxa"/>
            <w:tcBorders>
              <w:top w:val="single" w:sz="8" w:space="0" w:color="auto"/>
              <w:left w:val="single" w:sz="8" w:space="0" w:color="auto"/>
              <w:bottom w:val="single" w:sz="8" w:space="0" w:color="auto"/>
              <w:right w:val="single" w:sz="8" w:space="0" w:color="000000" w:themeColor="text1"/>
            </w:tcBorders>
            <w:shd w:val="clear" w:color="auto" w:fill="C6EFCE"/>
            <w:vAlign w:val="center"/>
            <w:hideMark/>
          </w:tcPr>
          <w:p w14:paraId="46ABF156" w14:textId="77777777" w:rsidR="00025543" w:rsidRDefault="007E3A2F">
            <w:pPr>
              <w:pStyle w:val="P68B1DB1-Normal57"/>
              <w:spacing w:before="0" w:after="0" w:line="240" w:lineRule="auto"/>
              <w:jc w:val="center"/>
              <w:rPr>
                <w:noProof/>
              </w:rPr>
            </w:pPr>
            <w:r>
              <w:rPr>
                <w:noProof/>
              </w:rPr>
              <w:t>113</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4D563F97" w14:textId="77777777" w:rsidR="00025543" w:rsidRDefault="007E3A2F">
            <w:pPr>
              <w:pStyle w:val="P68B1DB1-Normal57"/>
              <w:spacing w:before="0" w:after="0" w:line="240" w:lineRule="auto"/>
              <w:jc w:val="center"/>
              <w:rPr>
                <w:noProof/>
              </w:rPr>
            </w:pPr>
            <w:r>
              <w:rPr>
                <w:noProof/>
              </w:rPr>
              <w:t>C 2.3: Transition vers des sources d’énergie plus propres — Investissement 2: Modernisation de la distribution de chaleur dans les systèmes de chauffage urbain</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00D26B69" w14:textId="77777777" w:rsidR="00025543" w:rsidRDefault="007E3A2F">
            <w:pPr>
              <w:pStyle w:val="P68B1DB1-Normal57"/>
              <w:spacing w:before="0" w:after="0" w:line="240" w:lineRule="auto"/>
              <w:jc w:val="center"/>
              <w:rPr>
                <w:noProof/>
              </w:rPr>
            </w:pPr>
            <w:r>
              <w:rPr>
                <w:noProof/>
              </w:rPr>
              <w:t>Étapes</w:t>
            </w:r>
          </w:p>
        </w:tc>
        <w:tc>
          <w:tcPr>
            <w:tcW w:w="3402" w:type="dxa"/>
            <w:tcBorders>
              <w:top w:val="single" w:sz="8" w:space="0" w:color="auto"/>
              <w:left w:val="nil"/>
              <w:bottom w:val="single" w:sz="8" w:space="0" w:color="auto"/>
              <w:right w:val="single" w:sz="8" w:space="0" w:color="auto"/>
            </w:tcBorders>
            <w:shd w:val="clear" w:color="auto" w:fill="C6EFCE"/>
            <w:vAlign w:val="center"/>
            <w:hideMark/>
          </w:tcPr>
          <w:p w14:paraId="236F4FAC" w14:textId="77777777" w:rsidR="00025543" w:rsidRDefault="007E3A2F">
            <w:pPr>
              <w:pStyle w:val="P68B1DB1-Normal57"/>
              <w:spacing w:before="0" w:after="0" w:line="240" w:lineRule="auto"/>
              <w:jc w:val="center"/>
              <w:rPr>
                <w:noProof/>
              </w:rPr>
            </w:pPr>
            <w:r>
              <w:rPr>
                <w:noProof/>
              </w:rPr>
              <w:t>Plan d’investissement dans les installations de production de chaleur/d’électricité</w:t>
            </w:r>
          </w:p>
        </w:tc>
      </w:tr>
      <w:tr w:rsidR="00025543" w14:paraId="079545E5" w14:textId="77777777">
        <w:trPr>
          <w:trHeight w:val="600"/>
        </w:trPr>
        <w:tc>
          <w:tcPr>
            <w:tcW w:w="1276" w:type="dxa"/>
            <w:tcBorders>
              <w:top w:val="nil"/>
              <w:left w:val="single" w:sz="8" w:space="0" w:color="auto"/>
              <w:bottom w:val="single" w:sz="8" w:space="0" w:color="auto"/>
              <w:right w:val="single" w:sz="8" w:space="0" w:color="000000" w:themeColor="text1"/>
            </w:tcBorders>
            <w:shd w:val="clear" w:color="auto" w:fill="C6EFCE"/>
            <w:vAlign w:val="center"/>
            <w:hideMark/>
          </w:tcPr>
          <w:p w14:paraId="20BF80B0" w14:textId="77777777" w:rsidR="00025543" w:rsidRDefault="007E3A2F">
            <w:pPr>
              <w:pStyle w:val="P68B1DB1-Normal57"/>
              <w:spacing w:before="0" w:after="0" w:line="240" w:lineRule="auto"/>
              <w:jc w:val="center"/>
              <w:rPr>
                <w:noProof/>
              </w:rPr>
            </w:pPr>
            <w:r>
              <w:rPr>
                <w:noProof/>
              </w:rPr>
              <w:t>179</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6DB89BB1" w14:textId="77777777" w:rsidR="00025543" w:rsidRDefault="007E3A2F">
            <w:pPr>
              <w:pStyle w:val="P68B1DB1-Normal57"/>
              <w:spacing w:before="0" w:after="0" w:line="240" w:lineRule="auto"/>
              <w:jc w:val="center"/>
              <w:rPr>
                <w:noProof/>
              </w:rPr>
            </w:pPr>
            <w:r>
              <w:rPr>
                <w:noProof/>
              </w:rPr>
              <w:t>C 3.2: Adaptation des programmes scolaires — Investissement 1: Développement de sites universitaires clés sélectionnés</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5E39CB46" w14:textId="77777777" w:rsidR="00025543" w:rsidRDefault="007E3A2F">
            <w:pPr>
              <w:pStyle w:val="P68B1DB1-Normal57"/>
              <w:spacing w:before="0" w:after="0" w:line="240" w:lineRule="auto"/>
              <w:jc w:val="center"/>
              <w:rPr>
                <w:noProof/>
              </w:rPr>
            </w:pPr>
            <w:r>
              <w:rPr>
                <w:noProof/>
              </w:rPr>
              <w:t>Étapes</w:t>
            </w:r>
          </w:p>
        </w:tc>
        <w:tc>
          <w:tcPr>
            <w:tcW w:w="3402" w:type="dxa"/>
            <w:tcBorders>
              <w:top w:val="nil"/>
              <w:left w:val="nil"/>
              <w:bottom w:val="single" w:sz="8" w:space="0" w:color="auto"/>
              <w:right w:val="single" w:sz="8" w:space="0" w:color="auto"/>
            </w:tcBorders>
            <w:shd w:val="clear" w:color="auto" w:fill="C6EFCE"/>
            <w:vAlign w:val="center"/>
            <w:hideMark/>
          </w:tcPr>
          <w:p w14:paraId="6A38294C" w14:textId="77777777" w:rsidR="00025543" w:rsidRDefault="007E3A2F">
            <w:pPr>
              <w:pStyle w:val="P68B1DB1-Normal57"/>
              <w:spacing w:before="0" w:after="0" w:line="240" w:lineRule="auto"/>
              <w:jc w:val="center"/>
              <w:rPr>
                <w:noProof/>
              </w:rPr>
            </w:pPr>
            <w:r>
              <w:rPr>
                <w:noProof/>
              </w:rPr>
              <w:t xml:space="preserve">Attribution de marchés pour la construction de nouvelles installations universitaires </w:t>
            </w:r>
          </w:p>
        </w:tc>
      </w:tr>
      <w:tr w:rsidR="00025543" w14:paraId="49D4EC37" w14:textId="77777777">
        <w:trPr>
          <w:trHeight w:val="600"/>
        </w:trPr>
        <w:tc>
          <w:tcPr>
            <w:tcW w:w="1276" w:type="dxa"/>
            <w:tcBorders>
              <w:top w:val="nil"/>
              <w:left w:val="single" w:sz="8" w:space="0" w:color="auto"/>
              <w:bottom w:val="single" w:sz="4" w:space="0" w:color="auto"/>
              <w:right w:val="single" w:sz="8" w:space="0" w:color="000000" w:themeColor="text1"/>
            </w:tcBorders>
            <w:shd w:val="clear" w:color="auto" w:fill="C6EFCE"/>
            <w:vAlign w:val="center"/>
            <w:hideMark/>
          </w:tcPr>
          <w:p w14:paraId="04A70A48" w14:textId="77777777" w:rsidR="00025543" w:rsidRDefault="007E3A2F">
            <w:pPr>
              <w:pStyle w:val="P68B1DB1-Normal57"/>
              <w:spacing w:before="0" w:after="0" w:line="240" w:lineRule="auto"/>
              <w:jc w:val="center"/>
              <w:rPr>
                <w:noProof/>
              </w:rPr>
            </w:pPr>
            <w:r>
              <w:rPr>
                <w:noProof/>
              </w:rPr>
              <w:t>231</w:t>
            </w:r>
          </w:p>
        </w:tc>
        <w:tc>
          <w:tcPr>
            <w:tcW w:w="3969" w:type="dxa"/>
            <w:tcBorders>
              <w:top w:val="nil"/>
              <w:left w:val="nil"/>
              <w:bottom w:val="single" w:sz="4" w:space="0" w:color="auto"/>
              <w:right w:val="single" w:sz="8" w:space="0" w:color="000000" w:themeColor="text1"/>
            </w:tcBorders>
            <w:shd w:val="clear" w:color="auto" w:fill="C6EFCE"/>
            <w:vAlign w:val="center"/>
            <w:hideMark/>
          </w:tcPr>
          <w:p w14:paraId="17422674" w14:textId="2A30C75A" w:rsidR="00025543" w:rsidRDefault="007E3A2F">
            <w:pPr>
              <w:pStyle w:val="P68B1DB1-Normal57"/>
              <w:spacing w:before="0" w:after="0" w:line="240" w:lineRule="auto"/>
              <w:jc w:val="center"/>
              <w:rPr>
                <w:noProof/>
              </w:rPr>
            </w:pPr>
            <w:r>
              <w:rPr>
                <w:noProof/>
              </w:rPr>
              <w:t xml:space="preserve">C 6.1: Accroître la résilience du système de santé — Réforme 1: Amélioration de l’éducation des professionnels de la santé </w:t>
            </w:r>
          </w:p>
        </w:tc>
        <w:tc>
          <w:tcPr>
            <w:tcW w:w="1843" w:type="dxa"/>
            <w:tcBorders>
              <w:top w:val="nil"/>
              <w:left w:val="nil"/>
              <w:bottom w:val="single" w:sz="4" w:space="0" w:color="auto"/>
              <w:right w:val="single" w:sz="8" w:space="0" w:color="000000" w:themeColor="text1"/>
            </w:tcBorders>
            <w:shd w:val="clear" w:color="auto" w:fill="C6EFCE"/>
            <w:vAlign w:val="center"/>
            <w:hideMark/>
          </w:tcPr>
          <w:p w14:paraId="5FC9EFC1" w14:textId="77777777" w:rsidR="00025543" w:rsidRDefault="007E3A2F">
            <w:pPr>
              <w:pStyle w:val="P68B1DB1-Normal57"/>
              <w:spacing w:before="0" w:after="0" w:line="240" w:lineRule="auto"/>
              <w:jc w:val="center"/>
              <w:rPr>
                <w:noProof/>
              </w:rPr>
            </w:pPr>
            <w:r>
              <w:rPr>
                <w:noProof/>
              </w:rPr>
              <w:t>Étapes</w:t>
            </w:r>
          </w:p>
        </w:tc>
        <w:tc>
          <w:tcPr>
            <w:tcW w:w="3402" w:type="dxa"/>
            <w:tcBorders>
              <w:top w:val="nil"/>
              <w:left w:val="nil"/>
              <w:bottom w:val="single" w:sz="4" w:space="0" w:color="auto"/>
              <w:right w:val="single" w:sz="8" w:space="0" w:color="auto"/>
            </w:tcBorders>
            <w:shd w:val="clear" w:color="auto" w:fill="C6EFCE"/>
            <w:vAlign w:val="center"/>
            <w:hideMark/>
          </w:tcPr>
          <w:p w14:paraId="60FFA11E" w14:textId="77777777" w:rsidR="00025543" w:rsidRDefault="007E3A2F">
            <w:pPr>
              <w:pStyle w:val="P68B1DB1-Normal57"/>
              <w:spacing w:before="0" w:after="0" w:line="240" w:lineRule="auto"/>
              <w:jc w:val="center"/>
              <w:rPr>
                <w:noProof/>
              </w:rPr>
            </w:pPr>
            <w:r>
              <w:rPr>
                <w:noProof/>
              </w:rPr>
              <w:t xml:space="preserve">Système électronique de gestion, d’administration et d’évaluation de la formation des </w:t>
            </w:r>
            <w:r>
              <w:rPr>
                <w:noProof/>
                <w:u w:val="single"/>
              </w:rPr>
              <w:t>professionnels</w:t>
            </w:r>
            <w:r>
              <w:rPr>
                <w:noProof/>
              </w:rPr>
              <w:t>de la santé</w:t>
            </w:r>
          </w:p>
        </w:tc>
      </w:tr>
      <w:tr w:rsidR="00025543" w14:paraId="22BB72A7" w14:textId="77777777">
        <w:trPr>
          <w:trHeight w:val="600"/>
        </w:trPr>
        <w:tc>
          <w:tcPr>
            <w:tcW w:w="1276" w:type="dxa"/>
            <w:tcBorders>
              <w:top w:val="nil"/>
              <w:left w:val="single" w:sz="8" w:space="0" w:color="auto"/>
              <w:bottom w:val="single" w:sz="4" w:space="0" w:color="auto"/>
              <w:right w:val="single" w:sz="8" w:space="0" w:color="000000" w:themeColor="text1"/>
            </w:tcBorders>
            <w:shd w:val="clear" w:color="auto" w:fill="C6EFCE"/>
            <w:vAlign w:val="center"/>
          </w:tcPr>
          <w:p w14:paraId="2C2536CB" w14:textId="1E087176" w:rsidR="00025543" w:rsidRDefault="007E3A2F">
            <w:pPr>
              <w:pStyle w:val="P68B1DB1-Normal57"/>
              <w:spacing w:before="0" w:after="0" w:line="240" w:lineRule="auto"/>
              <w:jc w:val="center"/>
              <w:rPr>
                <w:noProof/>
              </w:rPr>
            </w:pPr>
            <w:r>
              <w:rPr>
                <w:noProof/>
              </w:rPr>
              <w:t xml:space="preserve">274 </w:t>
            </w:r>
          </w:p>
        </w:tc>
        <w:tc>
          <w:tcPr>
            <w:tcW w:w="3969" w:type="dxa"/>
            <w:tcBorders>
              <w:top w:val="nil"/>
              <w:left w:val="nil"/>
              <w:bottom w:val="single" w:sz="4" w:space="0" w:color="auto"/>
              <w:right w:val="single" w:sz="8" w:space="0" w:color="000000" w:themeColor="text1"/>
            </w:tcBorders>
            <w:shd w:val="clear" w:color="auto" w:fill="C6EFCE"/>
            <w:vAlign w:val="center"/>
          </w:tcPr>
          <w:p w14:paraId="5CD75AC4" w14:textId="79CD8393" w:rsidR="00025543" w:rsidRDefault="007E3A2F">
            <w:pPr>
              <w:pStyle w:val="P68B1DB1-Normal57"/>
              <w:spacing w:before="0" w:after="0" w:line="240" w:lineRule="auto"/>
              <w:jc w:val="center"/>
              <w:rPr>
                <w:noProof/>
              </w:rPr>
            </w:pPr>
            <w:r>
              <w:rPr>
                <w:noProof/>
              </w:rPr>
              <w:t>C3.3: Modernisation des services de l’emploi et développement du marché du travail —</w:t>
            </w:r>
          </w:p>
          <w:p w14:paraId="173B5CCA" w14:textId="6ADF2173" w:rsidR="00025543" w:rsidRDefault="007E3A2F">
            <w:pPr>
              <w:pStyle w:val="P68B1DB1-Normal57"/>
              <w:spacing w:before="0" w:after="0" w:line="240" w:lineRule="auto"/>
              <w:jc w:val="center"/>
              <w:rPr>
                <w:noProof/>
              </w:rPr>
            </w:pPr>
            <w:r>
              <w:rPr>
                <w:noProof/>
              </w:rPr>
              <w:t xml:space="preserve">Investissement 4: Développement et modernisation des infrastructures de protection sociale des enfants </w:t>
            </w:r>
          </w:p>
          <w:p w14:paraId="66826C4F" w14:textId="6C1E52B6" w:rsidR="00025543" w:rsidRDefault="007E3A2F">
            <w:pPr>
              <w:pStyle w:val="P68B1DB1-Normal57"/>
              <w:spacing w:before="0" w:after="0" w:line="240" w:lineRule="auto"/>
              <w:jc w:val="center"/>
              <w:rPr>
                <w:noProof/>
              </w:rPr>
            </w:pPr>
            <w:r>
              <w:rPr>
                <w:noProof/>
              </w:rPr>
              <w:t xml:space="preserve"> </w:t>
            </w:r>
          </w:p>
        </w:tc>
        <w:tc>
          <w:tcPr>
            <w:tcW w:w="1843" w:type="dxa"/>
            <w:tcBorders>
              <w:top w:val="nil"/>
              <w:left w:val="nil"/>
              <w:bottom w:val="single" w:sz="4" w:space="0" w:color="auto"/>
              <w:right w:val="single" w:sz="8" w:space="0" w:color="000000" w:themeColor="text1"/>
            </w:tcBorders>
            <w:shd w:val="clear" w:color="auto" w:fill="C6EFCE"/>
            <w:vAlign w:val="center"/>
          </w:tcPr>
          <w:p w14:paraId="0A1EF1A5" w14:textId="3E005D13" w:rsidR="00025543" w:rsidRDefault="007E3A2F">
            <w:pPr>
              <w:pStyle w:val="P68B1DB1-Normal57"/>
              <w:spacing w:before="0" w:after="0" w:line="240" w:lineRule="auto"/>
              <w:jc w:val="center"/>
              <w:rPr>
                <w:noProof/>
              </w:rPr>
            </w:pPr>
            <w:r>
              <w:rPr>
                <w:noProof/>
              </w:rPr>
              <w:t xml:space="preserve">Étapes </w:t>
            </w:r>
          </w:p>
        </w:tc>
        <w:tc>
          <w:tcPr>
            <w:tcW w:w="3402" w:type="dxa"/>
            <w:tcBorders>
              <w:top w:val="nil"/>
              <w:left w:val="nil"/>
              <w:bottom w:val="single" w:sz="4" w:space="0" w:color="auto"/>
              <w:right w:val="single" w:sz="8" w:space="0" w:color="auto"/>
            </w:tcBorders>
            <w:shd w:val="clear" w:color="auto" w:fill="C6EFCE"/>
            <w:vAlign w:val="center"/>
          </w:tcPr>
          <w:p w14:paraId="7B1CD112" w14:textId="7ED67E63" w:rsidR="00025543" w:rsidRDefault="007E3A2F">
            <w:pPr>
              <w:pStyle w:val="P68B1DB1-Normal57"/>
              <w:spacing w:before="0" w:after="0" w:line="240" w:lineRule="auto"/>
              <w:jc w:val="center"/>
              <w:rPr>
                <w:noProof/>
              </w:rPr>
            </w:pPr>
            <w:r>
              <w:rPr>
                <w:noProof/>
              </w:rPr>
              <w:t xml:space="preserve">Appel à projets publié pour le logement des enfants à risque </w:t>
            </w:r>
          </w:p>
        </w:tc>
      </w:tr>
      <w:tr w:rsidR="00025543" w14:paraId="00CE47F5" w14:textId="77777777">
        <w:trPr>
          <w:trHeight w:val="600"/>
        </w:trPr>
        <w:tc>
          <w:tcPr>
            <w:tcW w:w="1276" w:type="dxa"/>
            <w:tcBorders>
              <w:top w:val="nil"/>
              <w:left w:val="single" w:sz="8" w:space="0" w:color="auto"/>
              <w:bottom w:val="single" w:sz="4" w:space="0" w:color="auto"/>
              <w:right w:val="single" w:sz="8" w:space="0" w:color="000000" w:themeColor="text1"/>
            </w:tcBorders>
            <w:shd w:val="clear" w:color="auto" w:fill="C6EFCE"/>
            <w:vAlign w:val="center"/>
          </w:tcPr>
          <w:p w14:paraId="66F79E09" w14:textId="46DC12D0" w:rsidR="00025543" w:rsidRDefault="007E3A2F">
            <w:pPr>
              <w:pStyle w:val="P68B1DB1-Normal57"/>
              <w:spacing w:before="0" w:after="0" w:line="240" w:lineRule="auto"/>
              <w:jc w:val="center"/>
              <w:rPr>
                <w:noProof/>
              </w:rPr>
            </w:pPr>
            <w:r>
              <w:rPr>
                <w:noProof/>
              </w:rPr>
              <w:t xml:space="preserve">275 </w:t>
            </w:r>
          </w:p>
        </w:tc>
        <w:tc>
          <w:tcPr>
            <w:tcW w:w="3969" w:type="dxa"/>
            <w:tcBorders>
              <w:top w:val="nil"/>
              <w:left w:val="nil"/>
              <w:bottom w:val="single" w:sz="4" w:space="0" w:color="auto"/>
              <w:right w:val="single" w:sz="8" w:space="0" w:color="000000" w:themeColor="text1"/>
            </w:tcBorders>
            <w:shd w:val="clear" w:color="auto" w:fill="C6EFCE"/>
            <w:vAlign w:val="center"/>
          </w:tcPr>
          <w:p w14:paraId="75C901D6" w14:textId="56182923" w:rsidR="00025543" w:rsidRDefault="007E3A2F">
            <w:pPr>
              <w:pStyle w:val="P68B1DB1-Normal57"/>
              <w:spacing w:before="0" w:after="0" w:line="240" w:lineRule="auto"/>
              <w:jc w:val="center"/>
              <w:rPr>
                <w:noProof/>
              </w:rPr>
            </w:pPr>
            <w:r>
              <w:rPr>
                <w:noProof/>
              </w:rPr>
              <w:t>C3.3: Modernisation des services de l’emploi et développement du marché du travail —</w:t>
            </w:r>
          </w:p>
          <w:p w14:paraId="7C747A25" w14:textId="29AE3C61" w:rsidR="00025543" w:rsidRDefault="007E3A2F">
            <w:pPr>
              <w:pStyle w:val="P68B1DB1-Normal57"/>
              <w:spacing w:before="0" w:after="0" w:line="240" w:lineRule="auto"/>
              <w:jc w:val="center"/>
              <w:rPr>
                <w:noProof/>
              </w:rPr>
            </w:pPr>
            <w:r>
              <w:rPr>
                <w:noProof/>
              </w:rPr>
              <w:t xml:space="preserve">Investissement 4: Développement et modernisation des infrastructures de protection sociale des enfants </w:t>
            </w:r>
          </w:p>
        </w:tc>
        <w:tc>
          <w:tcPr>
            <w:tcW w:w="1843" w:type="dxa"/>
            <w:tcBorders>
              <w:top w:val="nil"/>
              <w:left w:val="nil"/>
              <w:bottom w:val="single" w:sz="4" w:space="0" w:color="auto"/>
              <w:right w:val="single" w:sz="8" w:space="0" w:color="000000" w:themeColor="text1"/>
            </w:tcBorders>
            <w:shd w:val="clear" w:color="auto" w:fill="C6EFCE"/>
            <w:vAlign w:val="center"/>
          </w:tcPr>
          <w:p w14:paraId="72888984" w14:textId="60518946" w:rsidR="00025543" w:rsidRDefault="007E3A2F">
            <w:pPr>
              <w:pStyle w:val="P68B1DB1-Normal57"/>
              <w:spacing w:before="0" w:after="0" w:line="240" w:lineRule="auto"/>
              <w:jc w:val="center"/>
              <w:rPr>
                <w:noProof/>
              </w:rPr>
            </w:pPr>
            <w:r>
              <w:rPr>
                <w:noProof/>
              </w:rPr>
              <w:t xml:space="preserve">Étapes </w:t>
            </w:r>
          </w:p>
        </w:tc>
        <w:tc>
          <w:tcPr>
            <w:tcW w:w="3402" w:type="dxa"/>
            <w:tcBorders>
              <w:top w:val="nil"/>
              <w:left w:val="nil"/>
              <w:bottom w:val="single" w:sz="4" w:space="0" w:color="auto"/>
              <w:right w:val="single" w:sz="8" w:space="0" w:color="auto"/>
            </w:tcBorders>
            <w:shd w:val="clear" w:color="auto" w:fill="C6EFCE"/>
            <w:vAlign w:val="center"/>
          </w:tcPr>
          <w:p w14:paraId="04D73618" w14:textId="1EB665AE" w:rsidR="00025543" w:rsidRDefault="007E3A2F">
            <w:pPr>
              <w:pStyle w:val="P68B1DB1-Normal57"/>
              <w:spacing w:before="0" w:after="0" w:line="240" w:lineRule="auto"/>
              <w:jc w:val="center"/>
              <w:rPr>
                <w:noProof/>
              </w:rPr>
            </w:pPr>
            <w:r>
              <w:rPr>
                <w:noProof/>
              </w:rPr>
              <w:t>Appel à projets publié pour des installations destinées aux enfants à risque</w:t>
            </w:r>
          </w:p>
        </w:tc>
      </w:tr>
      <w:tr w:rsidR="00025543" w14:paraId="7F30D91B" w14:textId="77777777">
        <w:trPr>
          <w:trHeight w:val="600"/>
        </w:trPr>
        <w:tc>
          <w:tcPr>
            <w:tcW w:w="1276" w:type="dxa"/>
            <w:tcBorders>
              <w:top w:val="nil"/>
              <w:left w:val="single" w:sz="8" w:space="0" w:color="auto"/>
              <w:bottom w:val="single" w:sz="4" w:space="0" w:color="auto"/>
              <w:right w:val="single" w:sz="8" w:space="0" w:color="000000" w:themeColor="text1"/>
            </w:tcBorders>
            <w:shd w:val="clear" w:color="auto" w:fill="C6EFCE"/>
            <w:vAlign w:val="center"/>
          </w:tcPr>
          <w:p w14:paraId="5F781ADC" w14:textId="67EE7A81" w:rsidR="00025543" w:rsidRDefault="007E3A2F">
            <w:pPr>
              <w:pStyle w:val="P68B1DB1-Normal57"/>
              <w:spacing w:before="0" w:after="0" w:line="240" w:lineRule="auto"/>
              <w:jc w:val="center"/>
              <w:rPr>
                <w:noProof/>
              </w:rPr>
            </w:pPr>
            <w:r>
              <w:rPr>
                <w:noProof/>
              </w:rPr>
              <w:t xml:space="preserve">281 </w:t>
            </w:r>
          </w:p>
        </w:tc>
        <w:tc>
          <w:tcPr>
            <w:tcW w:w="3969" w:type="dxa"/>
            <w:tcBorders>
              <w:top w:val="nil"/>
              <w:left w:val="nil"/>
              <w:bottom w:val="single" w:sz="4" w:space="0" w:color="auto"/>
              <w:right w:val="single" w:sz="8" w:space="0" w:color="000000" w:themeColor="text1"/>
            </w:tcBorders>
            <w:shd w:val="clear" w:color="auto" w:fill="C6EFCE"/>
            <w:vAlign w:val="center"/>
          </w:tcPr>
          <w:p w14:paraId="7D4F38AB" w14:textId="7D740218" w:rsidR="00025543" w:rsidRDefault="007E3A2F">
            <w:pPr>
              <w:pStyle w:val="P68B1DB1-Normal57"/>
              <w:spacing w:before="0" w:after="0" w:line="240" w:lineRule="auto"/>
              <w:jc w:val="center"/>
              <w:rPr>
                <w:noProof/>
              </w:rPr>
            </w:pPr>
            <w:r>
              <w:rPr>
                <w:noProof/>
              </w:rPr>
              <w:t xml:space="preserve">C 4.1: Soutien systémique à l’investissement public — Réforme 2: Soutien méthodologique et modernisation des investissements publics  </w:t>
            </w:r>
          </w:p>
        </w:tc>
        <w:tc>
          <w:tcPr>
            <w:tcW w:w="1843" w:type="dxa"/>
            <w:tcBorders>
              <w:top w:val="nil"/>
              <w:left w:val="nil"/>
              <w:bottom w:val="single" w:sz="4" w:space="0" w:color="auto"/>
              <w:right w:val="single" w:sz="8" w:space="0" w:color="000000" w:themeColor="text1"/>
            </w:tcBorders>
            <w:shd w:val="clear" w:color="auto" w:fill="C6EFCE"/>
            <w:vAlign w:val="center"/>
          </w:tcPr>
          <w:p w14:paraId="718BD7BF" w14:textId="4070C848" w:rsidR="00025543" w:rsidRDefault="007E3A2F">
            <w:pPr>
              <w:pStyle w:val="P68B1DB1-Normal57"/>
              <w:spacing w:before="0" w:after="0" w:line="240" w:lineRule="auto"/>
              <w:jc w:val="center"/>
              <w:rPr>
                <w:noProof/>
              </w:rPr>
            </w:pPr>
            <w:r>
              <w:rPr>
                <w:noProof/>
              </w:rPr>
              <w:t xml:space="preserve">Étapes </w:t>
            </w:r>
          </w:p>
        </w:tc>
        <w:tc>
          <w:tcPr>
            <w:tcW w:w="3402" w:type="dxa"/>
            <w:tcBorders>
              <w:top w:val="nil"/>
              <w:left w:val="nil"/>
              <w:bottom w:val="single" w:sz="4" w:space="0" w:color="auto"/>
              <w:right w:val="single" w:sz="8" w:space="0" w:color="auto"/>
            </w:tcBorders>
            <w:shd w:val="clear" w:color="auto" w:fill="C6EFCE"/>
            <w:vAlign w:val="center"/>
          </w:tcPr>
          <w:p w14:paraId="0C168423" w14:textId="61C30F8B" w:rsidR="00025543" w:rsidRDefault="007E3A2F">
            <w:pPr>
              <w:pStyle w:val="P68B1DB1-Normal57"/>
              <w:spacing w:before="0" w:after="0" w:line="240" w:lineRule="auto"/>
              <w:jc w:val="center"/>
              <w:rPr>
                <w:noProof/>
              </w:rPr>
            </w:pPr>
            <w:r>
              <w:rPr>
                <w:noProof/>
              </w:rPr>
              <w:t>Adoption par le gouvernement de la République tchèque d’une nouvelle stratégie en matière de marchés publics et d’un plan d’action pour sa mise en œuvre</w:t>
            </w:r>
          </w:p>
        </w:tc>
      </w:tr>
      <w:tr w:rsidR="00025543" w14:paraId="727346BC" w14:textId="77777777">
        <w:trPr>
          <w:trHeight w:val="600"/>
        </w:trPr>
        <w:tc>
          <w:tcPr>
            <w:tcW w:w="1276" w:type="dxa"/>
            <w:tcBorders>
              <w:top w:val="nil"/>
              <w:left w:val="single" w:sz="8" w:space="0" w:color="auto"/>
              <w:bottom w:val="single" w:sz="4" w:space="0" w:color="auto"/>
              <w:right w:val="single" w:sz="8" w:space="0" w:color="000000" w:themeColor="text1"/>
            </w:tcBorders>
            <w:shd w:val="clear" w:color="auto" w:fill="C6EFCE"/>
            <w:vAlign w:val="center"/>
          </w:tcPr>
          <w:p w14:paraId="2B1EA487" w14:textId="02666EAC" w:rsidR="00025543" w:rsidRDefault="007E3A2F">
            <w:pPr>
              <w:pStyle w:val="P68B1DB1-Normal57"/>
              <w:spacing w:before="0" w:after="0" w:line="240" w:lineRule="auto"/>
              <w:jc w:val="center"/>
              <w:rPr>
                <w:noProof/>
              </w:rPr>
            </w:pPr>
            <w:r>
              <w:rPr>
                <w:noProof/>
              </w:rPr>
              <w:t xml:space="preserve">286 </w:t>
            </w:r>
          </w:p>
        </w:tc>
        <w:tc>
          <w:tcPr>
            <w:tcW w:w="3969" w:type="dxa"/>
            <w:tcBorders>
              <w:top w:val="nil"/>
              <w:left w:val="nil"/>
              <w:bottom w:val="single" w:sz="4" w:space="0" w:color="auto"/>
              <w:right w:val="single" w:sz="8" w:space="0" w:color="000000" w:themeColor="text1"/>
            </w:tcBorders>
            <w:shd w:val="clear" w:color="auto" w:fill="C6EFCE"/>
            <w:vAlign w:val="center"/>
          </w:tcPr>
          <w:p w14:paraId="0647713B" w14:textId="02E26D87" w:rsidR="00025543" w:rsidRDefault="007E3A2F">
            <w:pPr>
              <w:pStyle w:val="P68B1DB1-Normal57"/>
              <w:spacing w:before="0" w:after="0" w:line="240" w:lineRule="auto"/>
              <w:jc w:val="center"/>
              <w:rPr>
                <w:noProof/>
              </w:rPr>
            </w:pPr>
            <w:r>
              <w:rPr>
                <w:noProof/>
              </w:rPr>
              <w:t xml:space="preserve">C 4.1: Soutien systémique à l’investissement public — Réforme 4:  </w:t>
            </w:r>
          </w:p>
          <w:p w14:paraId="6DE061DB" w14:textId="5B35FA36" w:rsidR="00025543" w:rsidRDefault="007E3A2F">
            <w:pPr>
              <w:pStyle w:val="P68B1DB1-Normal57"/>
              <w:spacing w:before="0" w:after="0" w:line="240" w:lineRule="auto"/>
              <w:jc w:val="center"/>
              <w:rPr>
                <w:noProof/>
              </w:rPr>
            </w:pPr>
            <w:r>
              <w:rPr>
                <w:noProof/>
              </w:rPr>
              <w:t xml:space="preserve">Accroître l’efficacité et améliorer la mise en œuvre du plan pour la reprise et la résilience </w:t>
            </w:r>
          </w:p>
        </w:tc>
        <w:tc>
          <w:tcPr>
            <w:tcW w:w="1843" w:type="dxa"/>
            <w:tcBorders>
              <w:top w:val="nil"/>
              <w:left w:val="nil"/>
              <w:bottom w:val="single" w:sz="4" w:space="0" w:color="auto"/>
              <w:right w:val="single" w:sz="8" w:space="0" w:color="000000" w:themeColor="text1"/>
            </w:tcBorders>
            <w:shd w:val="clear" w:color="auto" w:fill="C6EFCE"/>
            <w:vAlign w:val="center"/>
          </w:tcPr>
          <w:p w14:paraId="192F03D0" w14:textId="1512B7B7" w:rsidR="00025543" w:rsidRDefault="007E3A2F">
            <w:pPr>
              <w:pStyle w:val="P68B1DB1-Normal57"/>
              <w:spacing w:before="0" w:after="0" w:line="240" w:lineRule="auto"/>
              <w:jc w:val="center"/>
              <w:rPr>
                <w:noProof/>
              </w:rPr>
            </w:pPr>
            <w:r>
              <w:rPr>
                <w:noProof/>
              </w:rPr>
              <w:t xml:space="preserve">Étapes </w:t>
            </w:r>
          </w:p>
        </w:tc>
        <w:tc>
          <w:tcPr>
            <w:tcW w:w="3402" w:type="dxa"/>
            <w:tcBorders>
              <w:top w:val="nil"/>
              <w:left w:val="nil"/>
              <w:bottom w:val="single" w:sz="4" w:space="0" w:color="auto"/>
              <w:right w:val="single" w:sz="8" w:space="0" w:color="auto"/>
            </w:tcBorders>
            <w:shd w:val="clear" w:color="auto" w:fill="C6EFCE"/>
            <w:vAlign w:val="center"/>
          </w:tcPr>
          <w:p w14:paraId="363D9243" w14:textId="7EC62C6B" w:rsidR="00025543" w:rsidRDefault="007E3A2F">
            <w:pPr>
              <w:pStyle w:val="P68B1DB1-Normal57"/>
              <w:spacing w:before="0" w:after="0" w:line="240" w:lineRule="auto"/>
              <w:jc w:val="center"/>
              <w:rPr>
                <w:noProof/>
              </w:rPr>
            </w:pPr>
            <w:r>
              <w:rPr>
                <w:noProof/>
              </w:rPr>
              <w:t>Plan de communication et de médias approuvé pour le plan pour la reprise et la résilience révisé</w:t>
            </w:r>
          </w:p>
        </w:tc>
      </w:tr>
      <w:tr w:rsidR="00025543" w14:paraId="35D7182B" w14:textId="77777777">
        <w:trPr>
          <w:trHeight w:val="600"/>
        </w:trPr>
        <w:tc>
          <w:tcPr>
            <w:tcW w:w="1276" w:type="dxa"/>
            <w:tcBorders>
              <w:top w:val="nil"/>
              <w:left w:val="single" w:sz="8" w:space="0" w:color="auto"/>
              <w:bottom w:val="single" w:sz="4" w:space="0" w:color="auto"/>
              <w:right w:val="single" w:sz="8" w:space="0" w:color="000000" w:themeColor="text1"/>
            </w:tcBorders>
            <w:shd w:val="clear" w:color="auto" w:fill="C6EFCE"/>
            <w:vAlign w:val="center"/>
          </w:tcPr>
          <w:p w14:paraId="46424E3D" w14:textId="37595877" w:rsidR="00025543" w:rsidRDefault="007E3A2F">
            <w:pPr>
              <w:pStyle w:val="P68B1DB1-Normal57"/>
              <w:spacing w:before="0" w:after="0" w:line="240" w:lineRule="auto"/>
              <w:jc w:val="center"/>
              <w:rPr>
                <w:noProof/>
              </w:rPr>
            </w:pPr>
            <w:r>
              <w:rPr>
                <w:noProof/>
              </w:rPr>
              <w:t xml:space="preserve">304 </w:t>
            </w:r>
          </w:p>
        </w:tc>
        <w:tc>
          <w:tcPr>
            <w:tcW w:w="3969" w:type="dxa"/>
            <w:tcBorders>
              <w:top w:val="nil"/>
              <w:left w:val="nil"/>
              <w:bottom w:val="single" w:sz="4" w:space="0" w:color="auto"/>
              <w:right w:val="single" w:sz="8" w:space="0" w:color="000000" w:themeColor="text1"/>
            </w:tcBorders>
            <w:shd w:val="clear" w:color="auto" w:fill="C6EFCE"/>
            <w:vAlign w:val="center"/>
          </w:tcPr>
          <w:p w14:paraId="677E6458" w14:textId="76ED4C81" w:rsidR="00025543" w:rsidRDefault="007E3A2F">
            <w:pPr>
              <w:pStyle w:val="P68B1DB1-Normal57"/>
              <w:spacing w:before="0" w:after="0" w:line="240" w:lineRule="auto"/>
              <w:jc w:val="center"/>
              <w:rPr>
                <w:noProof/>
              </w:rPr>
            </w:pPr>
            <w:r>
              <w:rPr>
                <w:noProof/>
              </w:rPr>
              <w:t xml:space="preserve">C 7.1:  Énergies renouvelables et infrastructures électriques — Réforme 3 — Sous-mesure 1 </w:t>
            </w:r>
          </w:p>
          <w:p w14:paraId="30F16879" w14:textId="78FEE74C" w:rsidR="00025543" w:rsidRDefault="007E3A2F">
            <w:pPr>
              <w:pStyle w:val="P68B1DB1-Normal57"/>
              <w:spacing w:before="0" w:after="0" w:line="240" w:lineRule="auto"/>
              <w:jc w:val="center"/>
              <w:rPr>
                <w:noProof/>
              </w:rPr>
            </w:pPr>
            <w:r>
              <w:rPr>
                <w:noProof/>
              </w:rPr>
              <w:t xml:space="preserve">Améliorer la transparence de la procédure de raccordement au réseau  </w:t>
            </w:r>
          </w:p>
        </w:tc>
        <w:tc>
          <w:tcPr>
            <w:tcW w:w="1843" w:type="dxa"/>
            <w:tcBorders>
              <w:top w:val="nil"/>
              <w:left w:val="nil"/>
              <w:bottom w:val="single" w:sz="4" w:space="0" w:color="auto"/>
              <w:right w:val="single" w:sz="8" w:space="0" w:color="000000" w:themeColor="text1"/>
            </w:tcBorders>
            <w:shd w:val="clear" w:color="auto" w:fill="C6EFCE"/>
            <w:vAlign w:val="center"/>
          </w:tcPr>
          <w:p w14:paraId="289509EC" w14:textId="54860C3D" w:rsidR="00025543" w:rsidRDefault="007E3A2F">
            <w:pPr>
              <w:pStyle w:val="P68B1DB1-Normal57"/>
              <w:spacing w:before="0" w:after="0" w:line="240" w:lineRule="auto"/>
              <w:jc w:val="center"/>
              <w:rPr>
                <w:noProof/>
              </w:rPr>
            </w:pPr>
            <w:r>
              <w:rPr>
                <w:noProof/>
              </w:rPr>
              <w:t xml:space="preserve">Étapes </w:t>
            </w:r>
          </w:p>
        </w:tc>
        <w:tc>
          <w:tcPr>
            <w:tcW w:w="3402" w:type="dxa"/>
            <w:tcBorders>
              <w:top w:val="nil"/>
              <w:left w:val="nil"/>
              <w:bottom w:val="single" w:sz="4" w:space="0" w:color="auto"/>
              <w:right w:val="single" w:sz="8" w:space="0" w:color="auto"/>
            </w:tcBorders>
            <w:shd w:val="clear" w:color="auto" w:fill="C6EFCE"/>
            <w:vAlign w:val="center"/>
          </w:tcPr>
          <w:p w14:paraId="08DF036B" w14:textId="2D185523" w:rsidR="00025543" w:rsidRDefault="007E3A2F">
            <w:pPr>
              <w:pStyle w:val="P68B1DB1-Normal57"/>
              <w:spacing w:before="0" w:after="0" w:line="240" w:lineRule="auto"/>
              <w:jc w:val="center"/>
              <w:rPr>
                <w:noProof/>
              </w:rPr>
            </w:pPr>
            <w:r>
              <w:rPr>
                <w:noProof/>
              </w:rPr>
              <w:t xml:space="preserve">Entrée en vigueur des modifications législatives et procédurales   </w:t>
            </w:r>
          </w:p>
          <w:p w14:paraId="7F91F077" w14:textId="4C866EB4" w:rsidR="00025543" w:rsidRDefault="00025543">
            <w:pPr>
              <w:spacing w:before="0" w:after="0" w:line="240" w:lineRule="auto"/>
              <w:jc w:val="center"/>
              <w:rPr>
                <w:rFonts w:eastAsia="Times New Roman"/>
                <w:noProof/>
                <w:color w:val="006100"/>
                <w:sz w:val="20"/>
              </w:rPr>
            </w:pPr>
          </w:p>
        </w:tc>
      </w:tr>
      <w:tr w:rsidR="00025543" w14:paraId="59E68414" w14:textId="77777777">
        <w:trPr>
          <w:trHeight w:val="600"/>
        </w:trPr>
        <w:tc>
          <w:tcPr>
            <w:tcW w:w="1276" w:type="dxa"/>
            <w:tcBorders>
              <w:top w:val="nil"/>
              <w:left w:val="single" w:sz="8" w:space="0" w:color="auto"/>
              <w:bottom w:val="single" w:sz="4" w:space="0" w:color="auto"/>
              <w:right w:val="single" w:sz="8" w:space="0" w:color="000000" w:themeColor="text1"/>
            </w:tcBorders>
            <w:shd w:val="clear" w:color="auto" w:fill="C6EFCE"/>
            <w:vAlign w:val="center"/>
          </w:tcPr>
          <w:p w14:paraId="7C49E070" w14:textId="2F430923" w:rsidR="00025543" w:rsidRDefault="007E3A2F">
            <w:pPr>
              <w:pStyle w:val="P68B1DB1-Normal57"/>
              <w:spacing w:before="0" w:after="0" w:line="240" w:lineRule="auto"/>
              <w:jc w:val="center"/>
              <w:rPr>
                <w:noProof/>
              </w:rPr>
            </w:pPr>
            <w:r>
              <w:rPr>
                <w:noProof/>
              </w:rPr>
              <w:t xml:space="preserve">305 </w:t>
            </w:r>
          </w:p>
        </w:tc>
        <w:tc>
          <w:tcPr>
            <w:tcW w:w="3969" w:type="dxa"/>
            <w:tcBorders>
              <w:top w:val="nil"/>
              <w:left w:val="nil"/>
              <w:bottom w:val="single" w:sz="4" w:space="0" w:color="auto"/>
              <w:right w:val="single" w:sz="8" w:space="0" w:color="000000" w:themeColor="text1"/>
            </w:tcBorders>
            <w:shd w:val="clear" w:color="auto" w:fill="C6EFCE"/>
            <w:vAlign w:val="center"/>
          </w:tcPr>
          <w:p w14:paraId="63D67FB5" w14:textId="3C9E69B1" w:rsidR="00025543" w:rsidRDefault="007E3A2F">
            <w:pPr>
              <w:pStyle w:val="P68B1DB1-Normal57"/>
              <w:spacing w:before="0" w:after="0" w:line="240" w:lineRule="auto"/>
              <w:jc w:val="center"/>
              <w:rPr>
                <w:noProof/>
              </w:rPr>
            </w:pPr>
            <w:r>
              <w:rPr>
                <w:noProof/>
              </w:rPr>
              <w:t xml:space="preserve">C 7.1:  Énergies renouvelables et infrastructures électriques — Réforme 3 — Sous-mesure 1 </w:t>
            </w:r>
          </w:p>
          <w:p w14:paraId="6E352367" w14:textId="715CDB34" w:rsidR="00025543" w:rsidRDefault="007E3A2F">
            <w:pPr>
              <w:pStyle w:val="P68B1DB1-Normal57"/>
              <w:spacing w:before="0" w:after="0" w:line="240" w:lineRule="auto"/>
              <w:jc w:val="center"/>
              <w:rPr>
                <w:noProof/>
              </w:rPr>
            </w:pPr>
            <w:r>
              <w:rPr>
                <w:noProof/>
              </w:rPr>
              <w:t xml:space="preserve">Améliorer la transparence de la procédure de raccordement au réseau </w:t>
            </w:r>
          </w:p>
          <w:p w14:paraId="78AED665" w14:textId="19C6B91A" w:rsidR="00025543" w:rsidRDefault="007E3A2F">
            <w:pPr>
              <w:pStyle w:val="P68B1DB1-Normal57"/>
              <w:spacing w:before="0" w:after="0" w:line="240" w:lineRule="auto"/>
              <w:jc w:val="center"/>
              <w:rPr>
                <w:noProof/>
              </w:rPr>
            </w:pPr>
            <w:r>
              <w:rPr>
                <w:noProof/>
              </w:rPr>
              <w:t xml:space="preserve"> </w:t>
            </w:r>
          </w:p>
        </w:tc>
        <w:tc>
          <w:tcPr>
            <w:tcW w:w="1843" w:type="dxa"/>
            <w:tcBorders>
              <w:top w:val="nil"/>
              <w:left w:val="nil"/>
              <w:bottom w:val="single" w:sz="4" w:space="0" w:color="auto"/>
              <w:right w:val="single" w:sz="8" w:space="0" w:color="000000" w:themeColor="text1"/>
            </w:tcBorders>
            <w:shd w:val="clear" w:color="auto" w:fill="C6EFCE"/>
            <w:vAlign w:val="center"/>
          </w:tcPr>
          <w:p w14:paraId="4A1A5F40" w14:textId="7C948738" w:rsidR="00025543" w:rsidRDefault="007E3A2F">
            <w:pPr>
              <w:pStyle w:val="P68B1DB1-Normal57"/>
              <w:spacing w:before="0" w:after="0" w:line="240" w:lineRule="auto"/>
              <w:jc w:val="center"/>
              <w:rPr>
                <w:noProof/>
              </w:rPr>
            </w:pPr>
            <w:r>
              <w:rPr>
                <w:noProof/>
              </w:rPr>
              <w:t xml:space="preserve">Étapes </w:t>
            </w:r>
          </w:p>
        </w:tc>
        <w:tc>
          <w:tcPr>
            <w:tcW w:w="3402" w:type="dxa"/>
            <w:tcBorders>
              <w:top w:val="nil"/>
              <w:left w:val="nil"/>
              <w:bottom w:val="single" w:sz="4" w:space="0" w:color="auto"/>
              <w:right w:val="single" w:sz="8" w:space="0" w:color="auto"/>
            </w:tcBorders>
            <w:shd w:val="clear" w:color="auto" w:fill="C6EFCE"/>
            <w:vAlign w:val="center"/>
          </w:tcPr>
          <w:p w14:paraId="1C5066B9" w14:textId="5BC36ECB" w:rsidR="00025543" w:rsidRDefault="007E3A2F">
            <w:pPr>
              <w:pStyle w:val="P68B1DB1-Normal57"/>
              <w:spacing w:before="0" w:after="0" w:line="240" w:lineRule="auto"/>
              <w:jc w:val="center"/>
              <w:rPr>
                <w:noProof/>
              </w:rPr>
            </w:pPr>
            <w:r>
              <w:rPr>
                <w:noProof/>
              </w:rPr>
              <w:t xml:space="preserve">Publication d’informations sur les demandes de raccordement au réseau et les capacités </w:t>
            </w:r>
          </w:p>
          <w:p w14:paraId="4AFA5028" w14:textId="5961E827" w:rsidR="00025543" w:rsidRDefault="007E3A2F">
            <w:pPr>
              <w:pStyle w:val="P68B1DB1-Normal57"/>
              <w:spacing w:before="0" w:after="0" w:line="240" w:lineRule="auto"/>
              <w:jc w:val="center"/>
              <w:rPr>
                <w:noProof/>
              </w:rPr>
            </w:pPr>
            <w:r>
              <w:rPr>
                <w:noProof/>
              </w:rPr>
              <w:t xml:space="preserve">  </w:t>
            </w:r>
          </w:p>
        </w:tc>
      </w:tr>
      <w:tr w:rsidR="00025543" w14:paraId="197D296C" w14:textId="77777777">
        <w:trPr>
          <w:trHeight w:val="600"/>
        </w:trPr>
        <w:tc>
          <w:tcPr>
            <w:tcW w:w="1276" w:type="dxa"/>
            <w:tcBorders>
              <w:top w:val="nil"/>
              <w:left w:val="single" w:sz="8" w:space="0" w:color="auto"/>
              <w:bottom w:val="single" w:sz="4" w:space="0" w:color="auto"/>
              <w:right w:val="single" w:sz="8" w:space="0" w:color="000000" w:themeColor="text1"/>
            </w:tcBorders>
            <w:shd w:val="clear" w:color="auto" w:fill="C6EFCE"/>
            <w:vAlign w:val="center"/>
          </w:tcPr>
          <w:p w14:paraId="49333854" w14:textId="64BB1DFF" w:rsidR="00025543" w:rsidRDefault="007E3A2F">
            <w:pPr>
              <w:pStyle w:val="P68B1DB1-Normal57"/>
              <w:spacing w:before="0" w:after="0" w:line="240" w:lineRule="auto"/>
              <w:jc w:val="center"/>
              <w:rPr>
                <w:noProof/>
              </w:rPr>
            </w:pPr>
            <w:r>
              <w:rPr>
                <w:noProof/>
              </w:rPr>
              <w:t xml:space="preserve">309 </w:t>
            </w:r>
          </w:p>
        </w:tc>
        <w:tc>
          <w:tcPr>
            <w:tcW w:w="3969" w:type="dxa"/>
            <w:tcBorders>
              <w:top w:val="nil"/>
              <w:left w:val="nil"/>
              <w:bottom w:val="single" w:sz="4" w:space="0" w:color="auto"/>
              <w:right w:val="single" w:sz="8" w:space="0" w:color="000000" w:themeColor="text1"/>
            </w:tcBorders>
            <w:shd w:val="clear" w:color="auto" w:fill="C6EFCE"/>
            <w:vAlign w:val="center"/>
          </w:tcPr>
          <w:p w14:paraId="2C2B0630" w14:textId="52402A84" w:rsidR="00025543" w:rsidRDefault="007E3A2F">
            <w:pPr>
              <w:pStyle w:val="P68B1DB1-Normal57"/>
              <w:spacing w:before="0" w:after="0" w:line="240" w:lineRule="auto"/>
              <w:jc w:val="center"/>
              <w:rPr>
                <w:noProof/>
              </w:rPr>
            </w:pPr>
            <w:r>
              <w:rPr>
                <w:noProof/>
              </w:rPr>
              <w:t xml:space="preserve">C 7.2 Soutenir la décentralisation et la numérisation de l’énergie — Investissement 1:  Centre de données sur l’électricité </w:t>
            </w:r>
          </w:p>
          <w:p w14:paraId="4B5F937A" w14:textId="4A34208F" w:rsidR="00025543" w:rsidRDefault="007E3A2F">
            <w:pPr>
              <w:pStyle w:val="P68B1DB1-Normal57"/>
              <w:spacing w:before="0" w:after="0" w:line="240" w:lineRule="auto"/>
              <w:jc w:val="center"/>
              <w:rPr>
                <w:noProof/>
              </w:rPr>
            </w:pPr>
            <w:r>
              <w:rPr>
                <w:noProof/>
              </w:rPr>
              <w:t xml:space="preserve"> </w:t>
            </w:r>
          </w:p>
        </w:tc>
        <w:tc>
          <w:tcPr>
            <w:tcW w:w="1843" w:type="dxa"/>
            <w:tcBorders>
              <w:top w:val="nil"/>
              <w:left w:val="nil"/>
              <w:bottom w:val="single" w:sz="4" w:space="0" w:color="auto"/>
              <w:right w:val="single" w:sz="8" w:space="0" w:color="000000" w:themeColor="text1"/>
            </w:tcBorders>
            <w:shd w:val="clear" w:color="auto" w:fill="C6EFCE"/>
            <w:vAlign w:val="center"/>
          </w:tcPr>
          <w:p w14:paraId="11037CC2" w14:textId="4D69B2EE" w:rsidR="00025543" w:rsidRDefault="007E3A2F">
            <w:pPr>
              <w:pStyle w:val="P68B1DB1-Normal57"/>
              <w:spacing w:before="0" w:after="0" w:line="240" w:lineRule="auto"/>
              <w:jc w:val="center"/>
              <w:rPr>
                <w:noProof/>
              </w:rPr>
            </w:pPr>
            <w:r>
              <w:rPr>
                <w:noProof/>
              </w:rPr>
              <w:t xml:space="preserve">Étapes </w:t>
            </w:r>
          </w:p>
        </w:tc>
        <w:tc>
          <w:tcPr>
            <w:tcW w:w="3402" w:type="dxa"/>
            <w:tcBorders>
              <w:top w:val="nil"/>
              <w:left w:val="nil"/>
              <w:bottom w:val="single" w:sz="4" w:space="0" w:color="auto"/>
              <w:right w:val="single" w:sz="8" w:space="0" w:color="auto"/>
            </w:tcBorders>
            <w:shd w:val="clear" w:color="auto" w:fill="C6EFCE"/>
            <w:vAlign w:val="center"/>
          </w:tcPr>
          <w:p w14:paraId="5D0BFC4E" w14:textId="1BBE76E4" w:rsidR="00025543" w:rsidRDefault="007E3A2F">
            <w:pPr>
              <w:pStyle w:val="P68B1DB1-Normal57"/>
              <w:spacing w:before="0" w:after="0" w:line="240" w:lineRule="auto"/>
              <w:jc w:val="center"/>
              <w:rPr>
                <w:noProof/>
              </w:rPr>
            </w:pPr>
            <w:r>
              <w:rPr>
                <w:noProof/>
              </w:rPr>
              <w:t>Entrée en vigueur de la législation portant création du centre de données sur l’électricité</w:t>
            </w:r>
          </w:p>
        </w:tc>
      </w:tr>
      <w:tr w:rsidR="00025543" w14:paraId="0A255041" w14:textId="77777777">
        <w:trPr>
          <w:trHeight w:val="600"/>
        </w:trPr>
        <w:tc>
          <w:tcPr>
            <w:tcW w:w="1276" w:type="dxa"/>
            <w:tcBorders>
              <w:top w:val="nil"/>
              <w:left w:val="single" w:sz="8" w:space="0" w:color="auto"/>
              <w:bottom w:val="single" w:sz="4" w:space="0" w:color="auto"/>
              <w:right w:val="single" w:sz="8" w:space="0" w:color="000000" w:themeColor="text1"/>
            </w:tcBorders>
            <w:shd w:val="clear" w:color="auto" w:fill="C6EFCE"/>
            <w:vAlign w:val="center"/>
          </w:tcPr>
          <w:p w14:paraId="1422882B" w14:textId="7B52CF41" w:rsidR="00025543" w:rsidRDefault="007E3A2F">
            <w:pPr>
              <w:pStyle w:val="P68B1DB1-Normal57"/>
              <w:spacing w:before="0" w:after="0" w:line="240" w:lineRule="auto"/>
              <w:jc w:val="center"/>
              <w:rPr>
                <w:noProof/>
              </w:rPr>
            </w:pPr>
            <w:r>
              <w:rPr>
                <w:noProof/>
              </w:rPr>
              <w:t>250</w:t>
            </w:r>
          </w:p>
        </w:tc>
        <w:tc>
          <w:tcPr>
            <w:tcW w:w="3969" w:type="dxa"/>
            <w:tcBorders>
              <w:top w:val="nil"/>
              <w:left w:val="nil"/>
              <w:bottom w:val="single" w:sz="4" w:space="0" w:color="auto"/>
              <w:right w:val="single" w:sz="8" w:space="0" w:color="000000" w:themeColor="text1"/>
            </w:tcBorders>
            <w:shd w:val="clear" w:color="auto" w:fill="C6EFCE"/>
            <w:vAlign w:val="center"/>
          </w:tcPr>
          <w:p w14:paraId="32A2C74E" w14:textId="7D8298BD" w:rsidR="00025543" w:rsidRDefault="007E3A2F">
            <w:pPr>
              <w:pStyle w:val="P68B1DB1-Normal57"/>
              <w:spacing w:before="0" w:after="0" w:line="240" w:lineRule="auto"/>
              <w:jc w:val="center"/>
              <w:rPr>
                <w:noProof/>
              </w:rPr>
            </w:pPr>
            <w:r>
              <w:rPr>
                <w:noProof/>
              </w:rPr>
              <w:t>C 1.4: Économie et société numériques, start-up innovantes et nouvelles technologies —</w:t>
            </w:r>
          </w:p>
          <w:p w14:paraId="0AAF0E3A" w14:textId="72CF5267" w:rsidR="00025543" w:rsidRDefault="007E3A2F">
            <w:pPr>
              <w:pStyle w:val="P68B1DB1-Normal57"/>
              <w:spacing w:before="0" w:after="0" w:line="240" w:lineRule="auto"/>
              <w:jc w:val="center"/>
              <w:rPr>
                <w:noProof/>
              </w:rPr>
            </w:pPr>
            <w:r>
              <w:rPr>
                <w:noProof/>
              </w:rPr>
              <w:t xml:space="preserve">Investissement 2: Observatoire européen des médias numériques (EDMO) </w:t>
            </w:r>
          </w:p>
        </w:tc>
        <w:tc>
          <w:tcPr>
            <w:tcW w:w="1843" w:type="dxa"/>
            <w:tcBorders>
              <w:top w:val="nil"/>
              <w:left w:val="nil"/>
              <w:bottom w:val="single" w:sz="4" w:space="0" w:color="auto"/>
              <w:right w:val="single" w:sz="8" w:space="0" w:color="000000" w:themeColor="text1"/>
            </w:tcBorders>
            <w:shd w:val="clear" w:color="auto" w:fill="C6EFCE"/>
            <w:vAlign w:val="center"/>
          </w:tcPr>
          <w:p w14:paraId="025AC742" w14:textId="1A559CB3" w:rsidR="00025543" w:rsidRDefault="007E3A2F">
            <w:pPr>
              <w:pStyle w:val="P68B1DB1-Normal57"/>
              <w:spacing w:before="0" w:after="0" w:line="240" w:lineRule="auto"/>
              <w:jc w:val="center"/>
              <w:rPr>
                <w:noProof/>
              </w:rPr>
            </w:pPr>
            <w:r>
              <w:rPr>
                <w:noProof/>
              </w:rPr>
              <w:t xml:space="preserve">Étapes </w:t>
            </w:r>
          </w:p>
        </w:tc>
        <w:tc>
          <w:tcPr>
            <w:tcW w:w="3402" w:type="dxa"/>
            <w:tcBorders>
              <w:top w:val="nil"/>
              <w:left w:val="nil"/>
              <w:bottom w:val="single" w:sz="4" w:space="0" w:color="auto"/>
              <w:right w:val="single" w:sz="8" w:space="0" w:color="auto"/>
            </w:tcBorders>
            <w:shd w:val="clear" w:color="auto" w:fill="C6EFCE"/>
            <w:vAlign w:val="center"/>
          </w:tcPr>
          <w:p w14:paraId="64F69B41" w14:textId="54C3A7D4" w:rsidR="00025543" w:rsidRDefault="007E3A2F">
            <w:pPr>
              <w:pStyle w:val="P68B1DB1-Normal57"/>
              <w:spacing w:before="0" w:after="0" w:line="240" w:lineRule="auto"/>
              <w:jc w:val="center"/>
              <w:rPr>
                <w:noProof/>
              </w:rPr>
            </w:pPr>
            <w:r>
              <w:rPr>
                <w:noProof/>
              </w:rPr>
              <w:t xml:space="preserve">Lancement de la plateforme CEDMO élargie  </w:t>
            </w:r>
          </w:p>
        </w:tc>
      </w:tr>
      <w:tr w:rsidR="00025543" w14:paraId="0A160DC9" w14:textId="77777777">
        <w:trPr>
          <w:trHeight w:val="600"/>
        </w:trPr>
        <w:tc>
          <w:tcPr>
            <w:tcW w:w="1276" w:type="dxa"/>
            <w:tcBorders>
              <w:top w:val="nil"/>
              <w:left w:val="single" w:sz="8" w:space="0" w:color="auto"/>
              <w:bottom w:val="single" w:sz="4" w:space="0" w:color="000000" w:themeColor="text1"/>
              <w:right w:val="single" w:sz="8" w:space="0" w:color="000000" w:themeColor="text1"/>
            </w:tcBorders>
            <w:shd w:val="clear" w:color="auto" w:fill="C6EFCE"/>
            <w:vAlign w:val="center"/>
          </w:tcPr>
          <w:p w14:paraId="3E6C42D5" w14:textId="3DBCC65A" w:rsidR="00025543" w:rsidRDefault="007E3A2F">
            <w:pPr>
              <w:pStyle w:val="P68B1DB1-Normal57"/>
              <w:spacing w:before="0" w:after="0" w:line="240" w:lineRule="auto"/>
              <w:jc w:val="center"/>
              <w:rPr>
                <w:noProof/>
              </w:rPr>
            </w:pPr>
            <w:r>
              <w:rPr>
                <w:noProof/>
              </w:rPr>
              <w:t xml:space="preserve">256 </w:t>
            </w:r>
          </w:p>
        </w:tc>
        <w:tc>
          <w:tcPr>
            <w:tcW w:w="3969" w:type="dxa"/>
            <w:tcBorders>
              <w:top w:val="nil"/>
              <w:left w:val="nil"/>
              <w:bottom w:val="single" w:sz="4" w:space="0" w:color="000000" w:themeColor="text1"/>
              <w:right w:val="single" w:sz="8" w:space="0" w:color="000000" w:themeColor="text1"/>
            </w:tcBorders>
            <w:shd w:val="clear" w:color="auto" w:fill="C6EFCE"/>
            <w:vAlign w:val="center"/>
          </w:tcPr>
          <w:p w14:paraId="5C794F2A" w14:textId="12A3729C" w:rsidR="00025543" w:rsidRDefault="007E3A2F">
            <w:pPr>
              <w:pStyle w:val="P68B1DB1-Normal57"/>
              <w:spacing w:before="0" w:after="0" w:line="240" w:lineRule="auto"/>
              <w:jc w:val="center"/>
              <w:rPr>
                <w:noProof/>
              </w:rPr>
            </w:pPr>
            <w:r>
              <w:rPr>
                <w:noProof/>
              </w:rPr>
              <w:t>C 1.7: Transformation numérique de l’administration publique —</w:t>
            </w:r>
          </w:p>
          <w:p w14:paraId="338BDF73" w14:textId="2E5EE4E7" w:rsidR="00025543" w:rsidRDefault="007E3A2F">
            <w:pPr>
              <w:pStyle w:val="P68B1DB1-Normal57"/>
              <w:spacing w:before="0" w:after="0" w:line="240" w:lineRule="auto"/>
              <w:jc w:val="center"/>
              <w:rPr>
                <w:noProof/>
              </w:rPr>
            </w:pPr>
            <w:r>
              <w:rPr>
                <w:noProof/>
              </w:rPr>
              <w:t xml:space="preserve">Investissement 2: Amélioration du système de gestion des services numérisés </w:t>
            </w:r>
          </w:p>
        </w:tc>
        <w:tc>
          <w:tcPr>
            <w:tcW w:w="1843" w:type="dxa"/>
            <w:tcBorders>
              <w:top w:val="nil"/>
              <w:left w:val="nil"/>
              <w:bottom w:val="single" w:sz="4" w:space="0" w:color="000000" w:themeColor="text1"/>
              <w:right w:val="single" w:sz="8" w:space="0" w:color="000000" w:themeColor="text1"/>
            </w:tcBorders>
            <w:shd w:val="clear" w:color="auto" w:fill="C6EFCE"/>
            <w:vAlign w:val="center"/>
          </w:tcPr>
          <w:p w14:paraId="26A07BF1" w14:textId="222A2519" w:rsidR="00025543" w:rsidRDefault="007E3A2F">
            <w:pPr>
              <w:pStyle w:val="P68B1DB1-Normal57"/>
              <w:spacing w:before="0" w:after="0" w:line="240" w:lineRule="auto"/>
              <w:jc w:val="center"/>
              <w:rPr>
                <w:noProof/>
              </w:rPr>
            </w:pPr>
            <w:r>
              <w:rPr>
                <w:noProof/>
              </w:rPr>
              <w:t xml:space="preserve">Étapes </w:t>
            </w:r>
          </w:p>
        </w:tc>
        <w:tc>
          <w:tcPr>
            <w:tcW w:w="3402" w:type="dxa"/>
            <w:tcBorders>
              <w:top w:val="nil"/>
              <w:left w:val="nil"/>
              <w:bottom w:val="single" w:sz="4" w:space="0" w:color="000000" w:themeColor="text1"/>
              <w:right w:val="single" w:sz="8" w:space="0" w:color="auto"/>
            </w:tcBorders>
            <w:shd w:val="clear" w:color="auto" w:fill="C6EFCE"/>
            <w:vAlign w:val="center"/>
          </w:tcPr>
          <w:p w14:paraId="33320548" w14:textId="6108F9F0" w:rsidR="00025543" w:rsidRDefault="007E3A2F">
            <w:pPr>
              <w:pStyle w:val="P68B1DB1-Normal57"/>
              <w:spacing w:before="0" w:after="0" w:line="240" w:lineRule="auto"/>
              <w:jc w:val="center"/>
              <w:rPr>
                <w:noProof/>
              </w:rPr>
            </w:pPr>
            <w:r>
              <w:rPr>
                <w:noProof/>
              </w:rPr>
              <w:t>Constitution des groupes de travail</w:t>
            </w:r>
          </w:p>
        </w:tc>
      </w:tr>
      <w:tr w:rsidR="00025543" w14:paraId="29E813B4" w14:textId="77777777">
        <w:trPr>
          <w:trHeight w:val="600"/>
        </w:trPr>
        <w:tc>
          <w:tcPr>
            <w:tcW w:w="1276" w:type="dxa"/>
            <w:tcBorders>
              <w:top w:val="single" w:sz="4" w:space="0" w:color="000000" w:themeColor="text1"/>
              <w:left w:val="single" w:sz="8" w:space="0" w:color="auto"/>
              <w:bottom w:val="single" w:sz="4" w:space="0" w:color="auto"/>
              <w:right w:val="single" w:sz="8" w:space="0" w:color="000000" w:themeColor="text1"/>
            </w:tcBorders>
            <w:shd w:val="clear" w:color="auto" w:fill="C6EFCE"/>
            <w:vAlign w:val="center"/>
          </w:tcPr>
          <w:p w14:paraId="53FCBAF2" w14:textId="708DC3F4" w:rsidR="00025543" w:rsidRDefault="007E3A2F">
            <w:pPr>
              <w:pStyle w:val="P68B1DB1-Normal57"/>
              <w:spacing w:before="0" w:after="0" w:line="240" w:lineRule="auto"/>
              <w:jc w:val="center"/>
              <w:rPr>
                <w:noProof/>
              </w:rPr>
            </w:pPr>
            <w:r>
              <w:rPr>
                <w:noProof/>
              </w:rPr>
              <w:t xml:space="preserve">292 </w:t>
            </w:r>
          </w:p>
        </w:tc>
        <w:tc>
          <w:tcPr>
            <w:tcW w:w="3969" w:type="dxa"/>
            <w:tcBorders>
              <w:top w:val="single" w:sz="4" w:space="0" w:color="000000" w:themeColor="text1"/>
              <w:left w:val="nil"/>
              <w:bottom w:val="single" w:sz="4" w:space="0" w:color="auto"/>
              <w:right w:val="single" w:sz="8" w:space="0" w:color="000000" w:themeColor="text1"/>
            </w:tcBorders>
            <w:shd w:val="clear" w:color="auto" w:fill="C6EFCE"/>
            <w:vAlign w:val="center"/>
          </w:tcPr>
          <w:p w14:paraId="5B7EE8FF" w14:textId="771CBB0C" w:rsidR="00025543" w:rsidRDefault="007E3A2F">
            <w:pPr>
              <w:pStyle w:val="P68B1DB1-Normal57"/>
              <w:spacing w:before="0" w:after="0" w:line="240" w:lineRule="auto"/>
              <w:jc w:val="center"/>
              <w:rPr>
                <w:noProof/>
              </w:rPr>
            </w:pPr>
            <w:r>
              <w:rPr>
                <w:noProof/>
              </w:rPr>
              <w:t xml:space="preserve">C 5.2: Soutien à la recherche et au développement dans les entreprises et introduction des innovations dans les pratiques commerciales — Investissements 5: Aides à la recherche et au développement dans les entreprises conformément à la stratégie nationale RIS3 </w:t>
            </w:r>
          </w:p>
        </w:tc>
        <w:tc>
          <w:tcPr>
            <w:tcW w:w="1843" w:type="dxa"/>
            <w:tcBorders>
              <w:top w:val="single" w:sz="4" w:space="0" w:color="000000" w:themeColor="text1"/>
              <w:left w:val="nil"/>
              <w:bottom w:val="single" w:sz="4" w:space="0" w:color="auto"/>
              <w:right w:val="single" w:sz="8" w:space="0" w:color="000000" w:themeColor="text1"/>
            </w:tcBorders>
            <w:shd w:val="clear" w:color="auto" w:fill="C6EFCE"/>
            <w:vAlign w:val="center"/>
          </w:tcPr>
          <w:p w14:paraId="5E52109A" w14:textId="5B7DCA53" w:rsidR="00025543" w:rsidRDefault="007E3A2F">
            <w:pPr>
              <w:pStyle w:val="P68B1DB1-Normal57"/>
              <w:spacing w:before="0" w:after="0" w:line="240" w:lineRule="auto"/>
              <w:jc w:val="center"/>
              <w:rPr>
                <w:noProof/>
              </w:rPr>
            </w:pPr>
            <w:r>
              <w:rPr>
                <w:noProof/>
              </w:rPr>
              <w:t xml:space="preserve">Cible </w:t>
            </w:r>
          </w:p>
        </w:tc>
        <w:tc>
          <w:tcPr>
            <w:tcW w:w="3402" w:type="dxa"/>
            <w:tcBorders>
              <w:top w:val="single" w:sz="4" w:space="0" w:color="000000" w:themeColor="text1"/>
              <w:left w:val="nil"/>
              <w:bottom w:val="single" w:sz="4" w:space="0" w:color="auto"/>
              <w:right w:val="single" w:sz="8" w:space="0" w:color="auto"/>
            </w:tcBorders>
            <w:shd w:val="clear" w:color="auto" w:fill="C6EFCE"/>
            <w:vAlign w:val="center"/>
          </w:tcPr>
          <w:p w14:paraId="21BB4875" w14:textId="71791F54" w:rsidR="00025543" w:rsidRDefault="007E3A2F">
            <w:pPr>
              <w:pStyle w:val="P68B1DB1-Normal57"/>
              <w:spacing w:before="0" w:after="0" w:line="240" w:lineRule="auto"/>
              <w:jc w:val="center"/>
              <w:rPr>
                <w:noProof/>
              </w:rPr>
            </w:pPr>
            <w:r>
              <w:rPr>
                <w:noProof/>
              </w:rPr>
              <w:t>Recherche et développement conformément à la stratégie RIS3</w:t>
            </w:r>
          </w:p>
        </w:tc>
      </w:tr>
      <w:tr w:rsidR="00025543" w14:paraId="351DA99C" w14:textId="77777777">
        <w:trPr>
          <w:trHeight w:val="600"/>
        </w:trPr>
        <w:tc>
          <w:tcPr>
            <w:tcW w:w="1276" w:type="dxa"/>
            <w:tcBorders>
              <w:top w:val="nil"/>
              <w:left w:val="single" w:sz="8" w:space="0" w:color="auto"/>
              <w:bottom w:val="single" w:sz="4" w:space="0" w:color="auto"/>
              <w:right w:val="single" w:sz="8" w:space="0" w:color="000000" w:themeColor="text1"/>
            </w:tcBorders>
            <w:shd w:val="clear" w:color="auto" w:fill="C6EFCE"/>
            <w:vAlign w:val="center"/>
          </w:tcPr>
          <w:p w14:paraId="3CD3B238" w14:textId="4B6F6DAF" w:rsidR="00025543" w:rsidRDefault="007E3A2F">
            <w:pPr>
              <w:pStyle w:val="P68B1DB1-Normal57"/>
              <w:spacing w:before="0" w:after="0" w:line="240" w:lineRule="auto"/>
              <w:jc w:val="center"/>
              <w:rPr>
                <w:noProof/>
              </w:rPr>
            </w:pPr>
            <w:r>
              <w:rPr>
                <w:noProof/>
              </w:rPr>
              <w:t xml:space="preserve">294 </w:t>
            </w:r>
          </w:p>
        </w:tc>
        <w:tc>
          <w:tcPr>
            <w:tcW w:w="3969" w:type="dxa"/>
            <w:tcBorders>
              <w:top w:val="nil"/>
              <w:left w:val="nil"/>
              <w:bottom w:val="single" w:sz="4" w:space="0" w:color="auto"/>
              <w:right w:val="single" w:sz="8" w:space="0" w:color="000000" w:themeColor="text1"/>
            </w:tcBorders>
            <w:shd w:val="clear" w:color="auto" w:fill="C6EFCE"/>
            <w:vAlign w:val="center"/>
          </w:tcPr>
          <w:p w14:paraId="2256D1A5" w14:textId="350CA6FB" w:rsidR="00025543" w:rsidRDefault="007E3A2F">
            <w:pPr>
              <w:pStyle w:val="P68B1DB1-Normal57"/>
              <w:spacing w:before="0" w:after="0" w:line="240" w:lineRule="auto"/>
              <w:jc w:val="center"/>
              <w:rPr>
                <w:noProof/>
              </w:rPr>
            </w:pPr>
            <w:r>
              <w:rPr>
                <w:noProof/>
              </w:rPr>
              <w:t xml:space="preserve">C 5.2: Soutien à la recherche et au développement dans les entreprises et introduction des innovations dans les pratiques commerciales — Investissements 6: Aides à la recherche et au développement dans le domaine des transports </w:t>
            </w:r>
          </w:p>
        </w:tc>
        <w:tc>
          <w:tcPr>
            <w:tcW w:w="1843" w:type="dxa"/>
            <w:tcBorders>
              <w:top w:val="nil"/>
              <w:left w:val="nil"/>
              <w:bottom w:val="single" w:sz="4" w:space="0" w:color="auto"/>
              <w:right w:val="single" w:sz="8" w:space="0" w:color="000000" w:themeColor="text1"/>
            </w:tcBorders>
            <w:shd w:val="clear" w:color="auto" w:fill="C6EFCE"/>
            <w:vAlign w:val="center"/>
          </w:tcPr>
          <w:p w14:paraId="71365931" w14:textId="14CF0A64" w:rsidR="00025543" w:rsidRDefault="007E3A2F">
            <w:pPr>
              <w:pStyle w:val="P68B1DB1-Normal57"/>
              <w:spacing w:before="0" w:after="0" w:line="240" w:lineRule="auto"/>
              <w:jc w:val="center"/>
              <w:rPr>
                <w:noProof/>
              </w:rPr>
            </w:pPr>
            <w:r>
              <w:rPr>
                <w:noProof/>
              </w:rPr>
              <w:t xml:space="preserve">Cible </w:t>
            </w:r>
          </w:p>
        </w:tc>
        <w:tc>
          <w:tcPr>
            <w:tcW w:w="3402" w:type="dxa"/>
            <w:tcBorders>
              <w:top w:val="nil"/>
              <w:left w:val="nil"/>
              <w:bottom w:val="single" w:sz="4" w:space="0" w:color="auto"/>
              <w:right w:val="single" w:sz="8" w:space="0" w:color="auto"/>
            </w:tcBorders>
            <w:shd w:val="clear" w:color="auto" w:fill="C6EFCE"/>
            <w:vAlign w:val="center"/>
          </w:tcPr>
          <w:p w14:paraId="7E68E3FE" w14:textId="1C55252F" w:rsidR="00025543" w:rsidRDefault="007E3A2F">
            <w:pPr>
              <w:pStyle w:val="P68B1DB1-Normal57"/>
              <w:spacing w:before="0" w:after="0" w:line="240" w:lineRule="auto"/>
              <w:jc w:val="center"/>
              <w:rPr>
                <w:noProof/>
              </w:rPr>
            </w:pPr>
            <w:r>
              <w:rPr>
                <w:noProof/>
              </w:rPr>
              <w:t>Recherche et développement dans le secteur des transports</w:t>
            </w:r>
          </w:p>
        </w:tc>
      </w:tr>
      <w:tr w:rsidR="00025543" w14:paraId="021C8557" w14:textId="77777777">
        <w:trPr>
          <w:trHeight w:val="600"/>
        </w:trPr>
        <w:tc>
          <w:tcPr>
            <w:tcW w:w="1276" w:type="dxa"/>
            <w:tcBorders>
              <w:top w:val="nil"/>
              <w:left w:val="single" w:sz="8" w:space="0" w:color="auto"/>
              <w:bottom w:val="single" w:sz="4" w:space="0" w:color="auto"/>
              <w:right w:val="single" w:sz="8" w:space="0" w:color="000000" w:themeColor="text1"/>
            </w:tcBorders>
            <w:shd w:val="clear" w:color="auto" w:fill="C6EFCE"/>
            <w:vAlign w:val="center"/>
          </w:tcPr>
          <w:p w14:paraId="2F7936AE" w14:textId="4EA01670" w:rsidR="00025543" w:rsidRDefault="007E3A2F">
            <w:pPr>
              <w:pStyle w:val="P68B1DB1-Normal57"/>
              <w:spacing w:before="0" w:after="0" w:line="240" w:lineRule="auto"/>
              <w:jc w:val="center"/>
              <w:rPr>
                <w:noProof/>
              </w:rPr>
            </w:pPr>
            <w:r>
              <w:rPr>
                <w:noProof/>
              </w:rPr>
              <w:t xml:space="preserve">296 </w:t>
            </w:r>
          </w:p>
        </w:tc>
        <w:tc>
          <w:tcPr>
            <w:tcW w:w="3969" w:type="dxa"/>
            <w:tcBorders>
              <w:top w:val="nil"/>
              <w:left w:val="nil"/>
              <w:bottom w:val="single" w:sz="4" w:space="0" w:color="auto"/>
              <w:right w:val="single" w:sz="8" w:space="0" w:color="000000" w:themeColor="text1"/>
            </w:tcBorders>
            <w:shd w:val="clear" w:color="auto" w:fill="C6EFCE"/>
            <w:vAlign w:val="center"/>
          </w:tcPr>
          <w:p w14:paraId="2403F707" w14:textId="6C618D78" w:rsidR="00025543" w:rsidRDefault="007E3A2F">
            <w:pPr>
              <w:pStyle w:val="P68B1DB1-Normal57"/>
              <w:spacing w:before="0" w:after="0" w:line="240" w:lineRule="auto"/>
              <w:jc w:val="center"/>
              <w:rPr>
                <w:noProof/>
              </w:rPr>
            </w:pPr>
            <w:r>
              <w:rPr>
                <w:noProof/>
              </w:rPr>
              <w:t xml:space="preserve">C 5.2: Soutien à la recherche et au développement dans les entreprises et introduction des innovations dans les pratiques commerciales — Investissements 7: Aides à la recherche et au développement dans le domaine de l’environnement </w:t>
            </w:r>
          </w:p>
        </w:tc>
        <w:tc>
          <w:tcPr>
            <w:tcW w:w="1843" w:type="dxa"/>
            <w:tcBorders>
              <w:top w:val="nil"/>
              <w:left w:val="nil"/>
              <w:bottom w:val="single" w:sz="4" w:space="0" w:color="auto"/>
              <w:right w:val="single" w:sz="8" w:space="0" w:color="000000" w:themeColor="text1"/>
            </w:tcBorders>
            <w:shd w:val="clear" w:color="auto" w:fill="C6EFCE"/>
            <w:vAlign w:val="center"/>
          </w:tcPr>
          <w:p w14:paraId="11156A05" w14:textId="4ED35396" w:rsidR="00025543" w:rsidRDefault="007E3A2F">
            <w:pPr>
              <w:pStyle w:val="P68B1DB1-Normal57"/>
              <w:spacing w:before="0" w:after="0" w:line="240" w:lineRule="auto"/>
              <w:jc w:val="center"/>
              <w:rPr>
                <w:noProof/>
              </w:rPr>
            </w:pPr>
            <w:r>
              <w:rPr>
                <w:noProof/>
              </w:rPr>
              <w:t xml:space="preserve">Cible </w:t>
            </w:r>
          </w:p>
        </w:tc>
        <w:tc>
          <w:tcPr>
            <w:tcW w:w="3402" w:type="dxa"/>
            <w:tcBorders>
              <w:top w:val="nil"/>
              <w:left w:val="nil"/>
              <w:bottom w:val="single" w:sz="4" w:space="0" w:color="auto"/>
              <w:right w:val="single" w:sz="8" w:space="0" w:color="auto"/>
            </w:tcBorders>
            <w:shd w:val="clear" w:color="auto" w:fill="C6EFCE"/>
            <w:vAlign w:val="center"/>
          </w:tcPr>
          <w:p w14:paraId="39D1504A" w14:textId="39F78CBF" w:rsidR="00025543" w:rsidRDefault="007E3A2F">
            <w:pPr>
              <w:pStyle w:val="P68B1DB1-Normal57"/>
              <w:spacing w:before="0" w:after="0" w:line="240" w:lineRule="auto"/>
              <w:jc w:val="center"/>
              <w:rPr>
                <w:noProof/>
              </w:rPr>
            </w:pPr>
            <w:r>
              <w:rPr>
                <w:noProof/>
              </w:rPr>
              <w:t>Recherche et développement dans le domaine de l’environnement</w:t>
            </w:r>
          </w:p>
        </w:tc>
      </w:tr>
      <w:tr w:rsidR="00025543" w14:paraId="2A5DD583" w14:textId="77777777">
        <w:trPr>
          <w:trHeight w:val="600"/>
        </w:trPr>
        <w:tc>
          <w:tcPr>
            <w:tcW w:w="1276" w:type="dxa"/>
            <w:tcBorders>
              <w:top w:val="nil"/>
              <w:left w:val="single" w:sz="8" w:space="0" w:color="auto"/>
              <w:bottom w:val="single" w:sz="4" w:space="0" w:color="auto"/>
              <w:right w:val="single" w:sz="8" w:space="0" w:color="000000" w:themeColor="text1"/>
            </w:tcBorders>
            <w:shd w:val="clear" w:color="auto" w:fill="C6EFCE"/>
            <w:vAlign w:val="center"/>
          </w:tcPr>
          <w:p w14:paraId="22983DD7" w14:textId="3FAEE075" w:rsidR="00025543" w:rsidRDefault="007E3A2F">
            <w:pPr>
              <w:pStyle w:val="P68B1DB1-Normal57"/>
              <w:spacing w:before="0" w:after="0" w:line="240" w:lineRule="auto"/>
              <w:jc w:val="center"/>
              <w:rPr>
                <w:noProof/>
              </w:rPr>
            </w:pPr>
            <w:r>
              <w:rPr>
                <w:noProof/>
              </w:rPr>
              <w:t xml:space="preserve">312 </w:t>
            </w:r>
          </w:p>
        </w:tc>
        <w:tc>
          <w:tcPr>
            <w:tcW w:w="3969" w:type="dxa"/>
            <w:tcBorders>
              <w:top w:val="nil"/>
              <w:left w:val="nil"/>
              <w:bottom w:val="single" w:sz="4" w:space="0" w:color="auto"/>
              <w:right w:val="single" w:sz="8" w:space="0" w:color="000000" w:themeColor="text1"/>
            </w:tcBorders>
            <w:shd w:val="clear" w:color="auto" w:fill="C6EFCE"/>
            <w:vAlign w:val="center"/>
          </w:tcPr>
          <w:p w14:paraId="260EE668" w14:textId="7A4FE21F" w:rsidR="00025543" w:rsidRDefault="007E3A2F">
            <w:pPr>
              <w:pStyle w:val="P68B1DB1-Normal57"/>
              <w:spacing w:before="0" w:after="0" w:line="240" w:lineRule="auto"/>
              <w:jc w:val="center"/>
              <w:rPr>
                <w:noProof/>
              </w:rPr>
            </w:pPr>
            <w:r>
              <w:rPr>
                <w:noProof/>
              </w:rPr>
              <w:t xml:space="preserve">C 7.2 Soutenir la décentralisation et la numérisation de l’énergie — Réforme 1: Communautés énergétiques </w:t>
            </w:r>
          </w:p>
        </w:tc>
        <w:tc>
          <w:tcPr>
            <w:tcW w:w="1843" w:type="dxa"/>
            <w:tcBorders>
              <w:top w:val="nil"/>
              <w:left w:val="nil"/>
              <w:bottom w:val="single" w:sz="4" w:space="0" w:color="auto"/>
              <w:right w:val="single" w:sz="8" w:space="0" w:color="000000" w:themeColor="text1"/>
            </w:tcBorders>
            <w:shd w:val="clear" w:color="auto" w:fill="C6EFCE"/>
            <w:vAlign w:val="center"/>
          </w:tcPr>
          <w:p w14:paraId="291EE7BA" w14:textId="5BABFB69" w:rsidR="00025543" w:rsidRDefault="007E3A2F">
            <w:pPr>
              <w:pStyle w:val="P68B1DB1-Normal57"/>
              <w:spacing w:before="0" w:after="0" w:line="240" w:lineRule="auto"/>
              <w:jc w:val="center"/>
              <w:rPr>
                <w:noProof/>
              </w:rPr>
            </w:pPr>
            <w:r>
              <w:rPr>
                <w:noProof/>
              </w:rPr>
              <w:t xml:space="preserve">Étapes </w:t>
            </w:r>
          </w:p>
        </w:tc>
        <w:tc>
          <w:tcPr>
            <w:tcW w:w="3402" w:type="dxa"/>
            <w:tcBorders>
              <w:top w:val="nil"/>
              <w:left w:val="nil"/>
              <w:bottom w:val="single" w:sz="4" w:space="0" w:color="auto"/>
              <w:right w:val="single" w:sz="8" w:space="0" w:color="auto"/>
            </w:tcBorders>
            <w:shd w:val="clear" w:color="auto" w:fill="C6EFCE"/>
            <w:vAlign w:val="center"/>
          </w:tcPr>
          <w:p w14:paraId="581938AB" w14:textId="1189B999" w:rsidR="00025543" w:rsidRDefault="007E3A2F">
            <w:pPr>
              <w:pStyle w:val="P68B1DB1-Normal57"/>
              <w:spacing w:before="0" w:after="0" w:line="240" w:lineRule="auto"/>
              <w:jc w:val="center"/>
              <w:rPr>
                <w:noProof/>
              </w:rPr>
            </w:pPr>
            <w:r>
              <w:rPr>
                <w:noProof/>
              </w:rPr>
              <w:t xml:space="preserve">Entrée en vigueur de la législation modifiée sur les communautés énergétiques </w:t>
            </w:r>
          </w:p>
          <w:p w14:paraId="5F62A944" w14:textId="6F9CCAAF" w:rsidR="00025543" w:rsidRDefault="00025543">
            <w:pPr>
              <w:spacing w:before="0" w:after="0" w:line="240" w:lineRule="auto"/>
              <w:jc w:val="center"/>
              <w:rPr>
                <w:rFonts w:eastAsia="Times New Roman"/>
                <w:noProof/>
                <w:color w:val="006100"/>
                <w:sz w:val="20"/>
              </w:rPr>
            </w:pPr>
          </w:p>
        </w:tc>
      </w:tr>
      <w:tr w:rsidR="00025543" w14:paraId="66C50868" w14:textId="77777777">
        <w:trPr>
          <w:trHeight w:val="600"/>
        </w:trPr>
        <w:tc>
          <w:tcPr>
            <w:tcW w:w="1276" w:type="dxa"/>
            <w:tcBorders>
              <w:top w:val="nil"/>
              <w:left w:val="single" w:sz="8" w:space="0" w:color="auto"/>
              <w:bottom w:val="single" w:sz="4" w:space="0" w:color="auto"/>
              <w:right w:val="single" w:sz="8" w:space="0" w:color="000000" w:themeColor="text1"/>
            </w:tcBorders>
            <w:shd w:val="clear" w:color="auto" w:fill="C6EFCE"/>
            <w:vAlign w:val="center"/>
          </w:tcPr>
          <w:p w14:paraId="79ECB0E7" w14:textId="121365E9" w:rsidR="00025543" w:rsidRDefault="007E3A2F">
            <w:pPr>
              <w:pStyle w:val="P68B1DB1-Normal57"/>
              <w:spacing w:before="0" w:after="0"/>
              <w:jc w:val="center"/>
              <w:rPr>
                <w:noProof/>
              </w:rPr>
            </w:pPr>
            <w:r>
              <w:rPr>
                <w:noProof/>
              </w:rPr>
              <w:t xml:space="preserve">329 </w:t>
            </w:r>
          </w:p>
        </w:tc>
        <w:tc>
          <w:tcPr>
            <w:tcW w:w="3969" w:type="dxa"/>
            <w:tcBorders>
              <w:top w:val="nil"/>
              <w:left w:val="nil"/>
              <w:bottom w:val="single" w:sz="4" w:space="0" w:color="auto"/>
              <w:right w:val="single" w:sz="8" w:space="0" w:color="000000" w:themeColor="text1"/>
            </w:tcBorders>
            <w:shd w:val="clear" w:color="auto" w:fill="C6EFCE"/>
            <w:vAlign w:val="center"/>
          </w:tcPr>
          <w:p w14:paraId="3B235486" w14:textId="4FDFC98F" w:rsidR="00025543" w:rsidRDefault="007E3A2F">
            <w:pPr>
              <w:pStyle w:val="P68B1DB1-Normal57"/>
              <w:spacing w:before="0" w:after="0" w:line="240" w:lineRule="auto"/>
              <w:jc w:val="center"/>
              <w:rPr>
                <w:noProof/>
              </w:rPr>
            </w:pPr>
            <w:r>
              <w:rPr>
                <w:noProof/>
              </w:rPr>
              <w:t xml:space="preserve">C 7.5 Décarbonisation du transport routier — Réforme 1: Plan d’action national pour une mobilité propre et objectifs de déploiement pour une mobilité à émissions nulles  </w:t>
            </w:r>
          </w:p>
          <w:p w14:paraId="5B4CC531" w14:textId="341932DB" w:rsidR="00025543" w:rsidRDefault="007E3A2F">
            <w:pPr>
              <w:pStyle w:val="P68B1DB1-Normal57"/>
              <w:spacing w:before="0" w:after="0" w:line="240" w:lineRule="auto"/>
              <w:jc w:val="center"/>
              <w:rPr>
                <w:noProof/>
              </w:rPr>
            </w:pPr>
            <w:r>
              <w:rPr>
                <w:noProof/>
              </w:rPr>
              <w:t xml:space="preserve">  </w:t>
            </w:r>
          </w:p>
        </w:tc>
        <w:tc>
          <w:tcPr>
            <w:tcW w:w="1843" w:type="dxa"/>
            <w:tcBorders>
              <w:top w:val="nil"/>
              <w:left w:val="nil"/>
              <w:bottom w:val="single" w:sz="4" w:space="0" w:color="auto"/>
              <w:right w:val="single" w:sz="8" w:space="0" w:color="000000" w:themeColor="text1"/>
            </w:tcBorders>
            <w:shd w:val="clear" w:color="auto" w:fill="C6EFCE"/>
            <w:vAlign w:val="center"/>
          </w:tcPr>
          <w:p w14:paraId="5B601942" w14:textId="708C0EB3" w:rsidR="00025543" w:rsidRDefault="007E3A2F">
            <w:pPr>
              <w:pStyle w:val="P68B1DB1-Normal57"/>
              <w:spacing w:before="0" w:after="0" w:line="240" w:lineRule="auto"/>
              <w:jc w:val="center"/>
              <w:rPr>
                <w:noProof/>
              </w:rPr>
            </w:pPr>
            <w:r>
              <w:rPr>
                <w:noProof/>
              </w:rPr>
              <w:t xml:space="preserve">Étapes </w:t>
            </w:r>
          </w:p>
        </w:tc>
        <w:tc>
          <w:tcPr>
            <w:tcW w:w="3402" w:type="dxa"/>
            <w:tcBorders>
              <w:top w:val="nil"/>
              <w:left w:val="nil"/>
              <w:bottom w:val="single" w:sz="4" w:space="0" w:color="auto"/>
              <w:right w:val="single" w:sz="8" w:space="0" w:color="auto"/>
            </w:tcBorders>
            <w:shd w:val="clear" w:color="auto" w:fill="C6EFCE"/>
            <w:vAlign w:val="center"/>
          </w:tcPr>
          <w:p w14:paraId="0EA81419" w14:textId="33360A2E" w:rsidR="00025543" w:rsidRDefault="007E3A2F">
            <w:pPr>
              <w:pStyle w:val="P68B1DB1-Normal57"/>
              <w:spacing w:before="0" w:after="0"/>
              <w:jc w:val="center"/>
              <w:rPr>
                <w:noProof/>
              </w:rPr>
            </w:pPr>
            <w:r>
              <w:rPr>
                <w:noProof/>
              </w:rPr>
              <w:t>Révision du plan d’action national pour une mobilité propre</w:t>
            </w:r>
          </w:p>
        </w:tc>
      </w:tr>
      <w:tr w:rsidR="00025543" w14:paraId="0BF3FC68" w14:textId="77777777">
        <w:trPr>
          <w:trHeight w:val="600"/>
        </w:trPr>
        <w:tc>
          <w:tcPr>
            <w:tcW w:w="1276" w:type="dxa"/>
            <w:tcBorders>
              <w:top w:val="nil"/>
              <w:left w:val="single" w:sz="8" w:space="0" w:color="auto"/>
              <w:bottom w:val="single" w:sz="4" w:space="0" w:color="auto"/>
              <w:right w:val="single" w:sz="8" w:space="0" w:color="000000" w:themeColor="text1"/>
            </w:tcBorders>
            <w:shd w:val="clear" w:color="auto" w:fill="C6EFCE"/>
            <w:vAlign w:val="center"/>
          </w:tcPr>
          <w:p w14:paraId="5BEFD7CE" w14:textId="39AC6E63" w:rsidR="00025543" w:rsidRDefault="007E3A2F">
            <w:pPr>
              <w:pStyle w:val="P68B1DB1-Normal57"/>
              <w:spacing w:before="0" w:after="0"/>
              <w:jc w:val="center"/>
              <w:rPr>
                <w:noProof/>
              </w:rPr>
            </w:pPr>
            <w:r>
              <w:rPr>
                <w:noProof/>
              </w:rPr>
              <w:t xml:space="preserve">333 </w:t>
            </w:r>
          </w:p>
        </w:tc>
        <w:tc>
          <w:tcPr>
            <w:tcW w:w="3969" w:type="dxa"/>
            <w:tcBorders>
              <w:top w:val="nil"/>
              <w:left w:val="nil"/>
              <w:bottom w:val="single" w:sz="4" w:space="0" w:color="auto"/>
              <w:right w:val="single" w:sz="8" w:space="0" w:color="000000" w:themeColor="text1"/>
            </w:tcBorders>
            <w:shd w:val="clear" w:color="auto" w:fill="C6EFCE"/>
            <w:vAlign w:val="center"/>
          </w:tcPr>
          <w:p w14:paraId="3EB22EED" w14:textId="3DA87F83" w:rsidR="00025543" w:rsidRDefault="007E3A2F">
            <w:pPr>
              <w:pStyle w:val="P68B1DB1-Normal57"/>
              <w:spacing w:before="0" w:after="0"/>
              <w:rPr>
                <w:noProof/>
              </w:rPr>
            </w:pPr>
            <w:r>
              <w:rPr>
                <w:noProof/>
              </w:rPr>
              <w:t xml:space="preserve">C 7.5 Décarbonisation du transport routier (REPowerEU) — </w:t>
            </w:r>
          </w:p>
          <w:p w14:paraId="390863A4" w14:textId="658B6985" w:rsidR="00025543" w:rsidRDefault="007E3A2F">
            <w:pPr>
              <w:pStyle w:val="P68B1DB1-Normal57"/>
              <w:spacing w:before="0" w:after="0"/>
              <w:rPr>
                <w:noProof/>
              </w:rPr>
            </w:pPr>
            <w:r>
              <w:rPr>
                <w:noProof/>
              </w:rPr>
              <w:t xml:space="preserve">Réforme 3: Amélioration du cadre réglementaire pour l’hydrogène renouvelable </w:t>
            </w:r>
          </w:p>
        </w:tc>
        <w:tc>
          <w:tcPr>
            <w:tcW w:w="1843" w:type="dxa"/>
            <w:tcBorders>
              <w:top w:val="nil"/>
              <w:left w:val="nil"/>
              <w:bottom w:val="single" w:sz="4" w:space="0" w:color="auto"/>
              <w:right w:val="single" w:sz="8" w:space="0" w:color="000000" w:themeColor="text1"/>
            </w:tcBorders>
            <w:shd w:val="clear" w:color="auto" w:fill="C6EFCE"/>
            <w:vAlign w:val="center"/>
          </w:tcPr>
          <w:p w14:paraId="5C7A80F7" w14:textId="2C0B808A" w:rsidR="00025543" w:rsidRDefault="007E3A2F">
            <w:pPr>
              <w:pStyle w:val="P68B1DB1-Normal57"/>
              <w:spacing w:before="0" w:after="0" w:line="240" w:lineRule="auto"/>
              <w:jc w:val="center"/>
              <w:rPr>
                <w:noProof/>
              </w:rPr>
            </w:pPr>
            <w:r>
              <w:rPr>
                <w:noProof/>
              </w:rPr>
              <w:t xml:space="preserve">Étapes </w:t>
            </w:r>
          </w:p>
        </w:tc>
        <w:tc>
          <w:tcPr>
            <w:tcW w:w="3402" w:type="dxa"/>
            <w:tcBorders>
              <w:top w:val="nil"/>
              <w:left w:val="nil"/>
              <w:bottom w:val="single" w:sz="4" w:space="0" w:color="auto"/>
              <w:right w:val="single" w:sz="8" w:space="0" w:color="auto"/>
            </w:tcBorders>
            <w:shd w:val="clear" w:color="auto" w:fill="C6EFCE"/>
            <w:vAlign w:val="center"/>
          </w:tcPr>
          <w:p w14:paraId="3FC24025" w14:textId="40F68E91" w:rsidR="00025543" w:rsidRDefault="007E3A2F">
            <w:pPr>
              <w:pStyle w:val="P68B1DB1-Normal57"/>
              <w:spacing w:before="0" w:after="0"/>
              <w:jc w:val="center"/>
              <w:rPr>
                <w:noProof/>
              </w:rPr>
            </w:pPr>
            <w:r>
              <w:rPr>
                <w:noProof/>
              </w:rPr>
              <w:t>Révision de la stratégie tchèque pour l’hydrogène</w:t>
            </w:r>
          </w:p>
        </w:tc>
      </w:tr>
      <w:tr w:rsidR="00025543" w14:paraId="1FA908FD" w14:textId="77777777">
        <w:trPr>
          <w:trHeight w:val="600"/>
        </w:trPr>
        <w:tc>
          <w:tcPr>
            <w:tcW w:w="1276" w:type="dxa"/>
            <w:tcBorders>
              <w:top w:val="single" w:sz="4" w:space="0" w:color="auto"/>
              <w:left w:val="single" w:sz="8" w:space="0" w:color="auto"/>
              <w:bottom w:val="single" w:sz="8" w:space="0" w:color="auto"/>
              <w:right w:val="single" w:sz="8" w:space="0" w:color="000000" w:themeColor="text1"/>
            </w:tcBorders>
            <w:shd w:val="clear" w:color="auto" w:fill="C6EFCE"/>
            <w:vAlign w:val="center"/>
          </w:tcPr>
          <w:p w14:paraId="0876DE8A" w14:textId="77777777" w:rsidR="00025543" w:rsidRDefault="00025543">
            <w:pPr>
              <w:spacing w:before="0" w:after="0" w:line="240" w:lineRule="auto"/>
              <w:jc w:val="center"/>
              <w:rPr>
                <w:rFonts w:eastAsia="Times New Roman"/>
                <w:noProof/>
                <w:color w:val="006100"/>
                <w:sz w:val="20"/>
              </w:rPr>
            </w:pPr>
          </w:p>
        </w:tc>
        <w:tc>
          <w:tcPr>
            <w:tcW w:w="3969" w:type="dxa"/>
            <w:tcBorders>
              <w:top w:val="single" w:sz="4" w:space="0" w:color="auto"/>
              <w:left w:val="nil"/>
              <w:bottom w:val="single" w:sz="8" w:space="0" w:color="auto"/>
              <w:right w:val="single" w:sz="8" w:space="0" w:color="000000" w:themeColor="text1"/>
            </w:tcBorders>
            <w:shd w:val="clear" w:color="auto" w:fill="C6EFCE"/>
            <w:vAlign w:val="center"/>
          </w:tcPr>
          <w:p w14:paraId="5343FE77" w14:textId="77777777" w:rsidR="00025543" w:rsidRDefault="00025543">
            <w:pPr>
              <w:spacing w:before="0" w:after="0" w:line="240" w:lineRule="auto"/>
              <w:jc w:val="center"/>
              <w:rPr>
                <w:rFonts w:eastAsia="Times New Roman"/>
                <w:noProof/>
                <w:color w:val="006100"/>
                <w:sz w:val="20"/>
              </w:rPr>
            </w:pPr>
          </w:p>
        </w:tc>
        <w:tc>
          <w:tcPr>
            <w:tcW w:w="1843" w:type="dxa"/>
            <w:tcBorders>
              <w:top w:val="single" w:sz="4" w:space="0" w:color="auto"/>
              <w:left w:val="nil"/>
              <w:bottom w:val="single" w:sz="8" w:space="0" w:color="auto"/>
              <w:right w:val="single" w:sz="8" w:space="0" w:color="000000" w:themeColor="text1"/>
            </w:tcBorders>
            <w:shd w:val="clear" w:color="auto" w:fill="C6EFCE"/>
            <w:vAlign w:val="center"/>
          </w:tcPr>
          <w:p w14:paraId="72860D1E" w14:textId="77777777" w:rsidR="00025543" w:rsidRDefault="007E3A2F">
            <w:pPr>
              <w:pStyle w:val="P68B1DB1-Normal59"/>
              <w:spacing w:before="0" w:after="0" w:line="240" w:lineRule="auto"/>
              <w:jc w:val="center"/>
              <w:rPr>
                <w:noProof/>
              </w:rPr>
            </w:pPr>
            <w:r>
              <w:rPr>
                <w:noProof/>
              </w:rPr>
              <w:t>Montant de la tranche</w:t>
            </w:r>
          </w:p>
        </w:tc>
        <w:tc>
          <w:tcPr>
            <w:tcW w:w="3402" w:type="dxa"/>
            <w:tcBorders>
              <w:top w:val="single" w:sz="4" w:space="0" w:color="auto"/>
              <w:left w:val="nil"/>
              <w:bottom w:val="single" w:sz="8" w:space="0" w:color="auto"/>
              <w:right w:val="single" w:sz="8" w:space="0" w:color="auto"/>
            </w:tcBorders>
            <w:shd w:val="clear" w:color="auto" w:fill="C6EFCE"/>
            <w:vAlign w:val="center"/>
          </w:tcPr>
          <w:p w14:paraId="1BB23BB3" w14:textId="0E79FF4F" w:rsidR="00025543" w:rsidRDefault="007E3A2F">
            <w:pPr>
              <w:pStyle w:val="P68B1DB1-Normal59"/>
              <w:spacing w:before="0" w:after="0" w:line="240" w:lineRule="auto"/>
              <w:jc w:val="center"/>
              <w:rPr>
                <w:noProof/>
              </w:rPr>
            </w:pPr>
            <w:r>
              <w:rPr>
                <w:noProof/>
              </w:rPr>
              <w:t>687 612 357 EUR</w:t>
            </w:r>
          </w:p>
        </w:tc>
      </w:tr>
    </w:tbl>
    <w:p w14:paraId="32CA85E9" w14:textId="77777777" w:rsidR="00025543" w:rsidRDefault="00025543">
      <w:pPr>
        <w:spacing w:line="240" w:lineRule="auto"/>
        <w:jc w:val="both"/>
        <w:rPr>
          <w:noProof/>
        </w:rPr>
      </w:pPr>
    </w:p>
    <w:p w14:paraId="1E8017BC" w14:textId="77777777" w:rsidR="00025543" w:rsidRDefault="007E3A2F">
      <w:pPr>
        <w:numPr>
          <w:ilvl w:val="1"/>
          <w:numId w:val="198"/>
        </w:numPr>
        <w:spacing w:line="240" w:lineRule="auto"/>
        <w:jc w:val="both"/>
        <w:rPr>
          <w:noProof/>
        </w:rPr>
      </w:pPr>
      <w:r>
        <w:rPr>
          <w:noProof/>
        </w:rPr>
        <w:t xml:space="preserve">Sixième tranche (aide non remboursable): </w:t>
      </w:r>
    </w:p>
    <w:tbl>
      <w:tblPr>
        <w:tblW w:w="10489" w:type="dxa"/>
        <w:tblInd w:w="-601" w:type="dxa"/>
        <w:tblLook w:val="04A0" w:firstRow="1" w:lastRow="0" w:firstColumn="1" w:lastColumn="0" w:noHBand="0" w:noVBand="1"/>
      </w:tblPr>
      <w:tblGrid>
        <w:gridCol w:w="1275"/>
        <w:gridCol w:w="4035"/>
        <w:gridCol w:w="1770"/>
        <w:gridCol w:w="3409"/>
      </w:tblGrid>
      <w:tr w:rsidR="00025543" w14:paraId="1DA465FE" w14:textId="77777777">
        <w:trPr>
          <w:trHeight w:val="825"/>
          <w:tblHeader/>
        </w:trPr>
        <w:tc>
          <w:tcPr>
            <w:tcW w:w="1275" w:type="dxa"/>
            <w:tcBorders>
              <w:top w:val="single" w:sz="8" w:space="0" w:color="auto"/>
              <w:left w:val="single" w:sz="8" w:space="0" w:color="auto"/>
              <w:bottom w:val="single" w:sz="8" w:space="0" w:color="auto"/>
              <w:right w:val="single" w:sz="8" w:space="0" w:color="auto"/>
            </w:tcBorders>
            <w:shd w:val="clear" w:color="auto" w:fill="BDD7EE"/>
            <w:vAlign w:val="center"/>
            <w:hideMark/>
          </w:tcPr>
          <w:p w14:paraId="38065FF4" w14:textId="77777777" w:rsidR="00025543" w:rsidRDefault="007E3A2F">
            <w:pPr>
              <w:pStyle w:val="P68B1DB1-Normal55"/>
              <w:spacing w:before="0" w:after="0" w:line="240" w:lineRule="auto"/>
              <w:jc w:val="center"/>
              <w:rPr>
                <w:noProof/>
              </w:rPr>
            </w:pPr>
            <w:r>
              <w:rPr>
                <w:noProof/>
              </w:rPr>
              <w:t>Numéro séquentiel</w:t>
            </w:r>
          </w:p>
        </w:tc>
        <w:tc>
          <w:tcPr>
            <w:tcW w:w="4035" w:type="dxa"/>
            <w:tcBorders>
              <w:top w:val="single" w:sz="8" w:space="0" w:color="auto"/>
              <w:left w:val="nil"/>
              <w:bottom w:val="single" w:sz="8" w:space="0" w:color="auto"/>
              <w:right w:val="single" w:sz="8" w:space="0" w:color="auto"/>
            </w:tcBorders>
            <w:shd w:val="clear" w:color="auto" w:fill="BDD7EE"/>
            <w:vAlign w:val="center"/>
            <w:hideMark/>
          </w:tcPr>
          <w:p w14:paraId="679BED1A" w14:textId="77777777" w:rsidR="00025543" w:rsidRDefault="007E3A2F">
            <w:pPr>
              <w:pStyle w:val="P68B1DB1-Normal55"/>
              <w:spacing w:before="0" w:after="0" w:line="240" w:lineRule="auto"/>
              <w:jc w:val="center"/>
              <w:rPr>
                <w:noProof/>
              </w:rPr>
            </w:pPr>
            <w:r>
              <w:rPr>
                <w:noProof/>
              </w:rPr>
              <w:t>Mesure connexe (réforme ou investissement)</w:t>
            </w:r>
          </w:p>
        </w:tc>
        <w:tc>
          <w:tcPr>
            <w:tcW w:w="1770" w:type="dxa"/>
            <w:tcBorders>
              <w:top w:val="single" w:sz="8" w:space="0" w:color="auto"/>
              <w:left w:val="nil"/>
              <w:bottom w:val="single" w:sz="8" w:space="0" w:color="auto"/>
              <w:right w:val="single" w:sz="8" w:space="0" w:color="auto"/>
            </w:tcBorders>
            <w:shd w:val="clear" w:color="auto" w:fill="BDD7EE"/>
            <w:vAlign w:val="center"/>
            <w:hideMark/>
          </w:tcPr>
          <w:p w14:paraId="63E3FA00" w14:textId="77777777" w:rsidR="00025543" w:rsidRDefault="007E3A2F">
            <w:pPr>
              <w:pStyle w:val="P68B1DB1-Normal55"/>
              <w:spacing w:before="0" w:after="0" w:line="240" w:lineRule="auto"/>
              <w:jc w:val="center"/>
              <w:rPr>
                <w:noProof/>
              </w:rPr>
            </w:pPr>
            <w:r>
              <w:rPr>
                <w:noProof/>
              </w:rPr>
              <w:t>Jalon/cible</w:t>
            </w:r>
          </w:p>
        </w:tc>
        <w:tc>
          <w:tcPr>
            <w:tcW w:w="3409" w:type="dxa"/>
            <w:tcBorders>
              <w:top w:val="single" w:sz="8" w:space="0" w:color="auto"/>
              <w:left w:val="nil"/>
              <w:bottom w:val="single" w:sz="8" w:space="0" w:color="auto"/>
              <w:right w:val="single" w:sz="8" w:space="0" w:color="auto"/>
            </w:tcBorders>
            <w:shd w:val="clear" w:color="auto" w:fill="BDD7EE"/>
            <w:vAlign w:val="center"/>
            <w:hideMark/>
          </w:tcPr>
          <w:p w14:paraId="3BFABFFF" w14:textId="77777777" w:rsidR="00025543" w:rsidRDefault="007E3A2F">
            <w:pPr>
              <w:pStyle w:val="P68B1DB1-Normal55"/>
              <w:spacing w:before="0" w:after="0" w:line="240" w:lineRule="auto"/>
              <w:jc w:val="center"/>
              <w:rPr>
                <w:noProof/>
              </w:rPr>
            </w:pPr>
            <w:r>
              <w:rPr>
                <w:noProof/>
              </w:rPr>
              <w:t>Nom</w:t>
            </w:r>
          </w:p>
        </w:tc>
      </w:tr>
      <w:tr w:rsidR="00025543" w14:paraId="226D69DE" w14:textId="77777777">
        <w:trPr>
          <w:trHeight w:val="600"/>
        </w:trPr>
        <w:tc>
          <w:tcPr>
            <w:tcW w:w="1275" w:type="dxa"/>
            <w:tcBorders>
              <w:top w:val="nil"/>
              <w:left w:val="single" w:sz="8" w:space="0" w:color="auto"/>
              <w:bottom w:val="single" w:sz="8" w:space="0" w:color="auto"/>
              <w:right w:val="single" w:sz="8" w:space="0" w:color="000000" w:themeColor="text1"/>
            </w:tcBorders>
            <w:shd w:val="clear" w:color="auto" w:fill="C6EFCE"/>
            <w:vAlign w:val="center"/>
            <w:hideMark/>
          </w:tcPr>
          <w:p w14:paraId="46E97845" w14:textId="77777777" w:rsidR="00025543" w:rsidRDefault="007E3A2F">
            <w:pPr>
              <w:pStyle w:val="P68B1DB1-Normal57"/>
              <w:spacing w:before="0" w:after="0" w:line="240" w:lineRule="auto"/>
              <w:jc w:val="center"/>
              <w:rPr>
                <w:noProof/>
              </w:rPr>
            </w:pPr>
            <w:r>
              <w:rPr>
                <w:noProof/>
              </w:rPr>
              <w:t>125</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05B7D559" w14:textId="77777777" w:rsidR="00025543" w:rsidRDefault="007E3A2F">
            <w:pPr>
              <w:pStyle w:val="P68B1DB1-Normal57"/>
              <w:spacing w:before="0" w:after="0" w:line="240" w:lineRule="auto"/>
              <w:rPr>
                <w:noProof/>
              </w:rPr>
            </w:pPr>
            <w:r>
              <w:rPr>
                <w:noProof/>
              </w:rPr>
              <w:t>C 2.5: Rénovation des bâtiments et protection de l’air — Investissement 1: Rénovation et revitalisation des bâtiments en vue d’économies d’énergie</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7880687B" w14:textId="37DD85FC" w:rsidR="00025543" w:rsidRDefault="007E3A2F">
            <w:pPr>
              <w:pStyle w:val="P68B1DB1-Normal28"/>
              <w:spacing w:before="0" w:after="0" w:line="240" w:lineRule="auto"/>
              <w:jc w:val="center"/>
              <w:rPr>
                <w:rFonts w:eastAsia="Times New Roman"/>
                <w:noProof/>
                <w:sz w:val="20"/>
              </w:rPr>
            </w:pPr>
            <w:r>
              <w:rPr>
                <w:noProof/>
              </w:rPr>
              <w:t>Cible</w:t>
            </w:r>
          </w:p>
        </w:tc>
        <w:tc>
          <w:tcPr>
            <w:tcW w:w="3409" w:type="dxa"/>
            <w:tcBorders>
              <w:top w:val="nil"/>
              <w:left w:val="nil"/>
              <w:bottom w:val="single" w:sz="8" w:space="0" w:color="auto"/>
              <w:right w:val="single" w:sz="8" w:space="0" w:color="auto"/>
            </w:tcBorders>
            <w:shd w:val="clear" w:color="auto" w:fill="C6EFCE"/>
            <w:vAlign w:val="center"/>
            <w:hideMark/>
          </w:tcPr>
          <w:p w14:paraId="71353CE1" w14:textId="503FE158" w:rsidR="00025543" w:rsidRDefault="007E3A2F">
            <w:pPr>
              <w:pStyle w:val="P68B1DB1-Normal57"/>
              <w:spacing w:before="0" w:after="0" w:line="240" w:lineRule="auto"/>
              <w:rPr>
                <w:noProof/>
              </w:rPr>
            </w:pPr>
            <w:r>
              <w:rPr>
                <w:noProof/>
              </w:rPr>
              <w:t xml:space="preserve">Projets de réduction de la consommation d’énergie faisant l’objet de contrats </w:t>
            </w:r>
          </w:p>
        </w:tc>
      </w:tr>
      <w:tr w:rsidR="00025543" w14:paraId="08EA76E6" w14:textId="77777777">
        <w:trPr>
          <w:trHeight w:val="600"/>
        </w:trPr>
        <w:tc>
          <w:tcPr>
            <w:tcW w:w="1275" w:type="dxa"/>
            <w:tcBorders>
              <w:top w:val="nil"/>
              <w:left w:val="single" w:sz="8" w:space="0" w:color="auto"/>
              <w:bottom w:val="single" w:sz="8" w:space="0" w:color="auto"/>
              <w:right w:val="single" w:sz="8" w:space="0" w:color="000000" w:themeColor="text1"/>
            </w:tcBorders>
            <w:shd w:val="clear" w:color="auto" w:fill="C6EFCE"/>
            <w:vAlign w:val="center"/>
            <w:hideMark/>
          </w:tcPr>
          <w:p w14:paraId="6644A433" w14:textId="63479EEB" w:rsidR="00025543" w:rsidRDefault="007E3A2F">
            <w:pPr>
              <w:pStyle w:val="P68B1DB1-Normal11"/>
              <w:spacing w:before="0" w:after="0" w:line="240" w:lineRule="auto"/>
              <w:jc w:val="center"/>
              <w:rPr>
                <w:noProof/>
              </w:rPr>
            </w:pPr>
            <w:r>
              <w:rPr>
                <w:noProof/>
              </w:rPr>
              <w:t xml:space="preserve">148 </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636AEF06" w14:textId="1BC4E47F" w:rsidR="00025543" w:rsidRDefault="007E3A2F">
            <w:pPr>
              <w:pStyle w:val="P68B1DB1-Normal61"/>
              <w:spacing w:before="0" w:after="0" w:line="240" w:lineRule="auto"/>
              <w:ind w:left="567"/>
              <w:rPr>
                <w:noProof/>
              </w:rPr>
            </w:pPr>
            <w:r>
              <w:rPr>
                <w:noProof/>
                <w:color w:val="006100"/>
              </w:rPr>
              <w:t>C</w:t>
            </w:r>
            <w:r>
              <w:rPr>
                <w:noProof/>
              </w:rPr>
              <w:t xml:space="preserve"> </w:t>
            </w:r>
            <w:r>
              <w:rPr>
                <w:noProof/>
                <w:color w:val="006100"/>
              </w:rPr>
              <w:t xml:space="preserve">2.7: Économie circulaire, recyclage et eau industrielle — Investissements 1: Construction d’infrastructures de recyclage </w:t>
            </w:r>
            <w:r>
              <w:rPr>
                <w:noProof/>
              </w:rPr>
              <w:t xml:space="preserve"> </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485024C2" w14:textId="0EB7C68C" w:rsidR="00025543" w:rsidRDefault="007E3A2F">
            <w:pPr>
              <w:pStyle w:val="P68B1DB1-Normal57"/>
              <w:spacing w:line="240" w:lineRule="auto"/>
              <w:jc w:val="center"/>
              <w:rPr>
                <w:noProof/>
              </w:rPr>
            </w:pPr>
            <w:r>
              <w:rPr>
                <w:noProof/>
              </w:rPr>
              <w:t>Étapes</w:t>
            </w:r>
          </w:p>
        </w:tc>
        <w:tc>
          <w:tcPr>
            <w:tcW w:w="3409" w:type="dxa"/>
            <w:tcBorders>
              <w:top w:val="nil"/>
              <w:left w:val="nil"/>
              <w:bottom w:val="single" w:sz="8" w:space="0" w:color="auto"/>
              <w:right w:val="single" w:sz="8" w:space="0" w:color="auto"/>
            </w:tcBorders>
            <w:shd w:val="clear" w:color="auto" w:fill="C6EFCE"/>
            <w:vAlign w:val="center"/>
            <w:hideMark/>
          </w:tcPr>
          <w:p w14:paraId="72D875EF" w14:textId="1BC4E47F" w:rsidR="00025543" w:rsidRDefault="007E3A2F">
            <w:pPr>
              <w:pStyle w:val="FooterText"/>
              <w:rPr>
                <w:noProof/>
                <w:sz w:val="18"/>
              </w:rPr>
            </w:pPr>
            <w:r>
              <w:rPr>
                <w:noProof/>
                <w:color w:val="006100"/>
                <w:sz w:val="20"/>
              </w:rPr>
              <w:t xml:space="preserve">Attribution des marchés pour des projets d’investissement dans des infrastructures de recyclage par le ministère de l’environnement </w:t>
            </w:r>
            <w:r>
              <w:rPr>
                <w:noProof/>
                <w:color w:val="006100"/>
                <w:sz w:val="18"/>
              </w:rPr>
              <w:t xml:space="preserve"> </w:t>
            </w:r>
            <w:r>
              <w:rPr>
                <w:noProof/>
                <w:sz w:val="18"/>
              </w:rPr>
              <w:t xml:space="preserve"> </w:t>
            </w:r>
          </w:p>
        </w:tc>
      </w:tr>
      <w:tr w:rsidR="00025543" w14:paraId="2412DAEB" w14:textId="77777777">
        <w:trPr>
          <w:trHeight w:val="600"/>
        </w:trPr>
        <w:tc>
          <w:tcPr>
            <w:tcW w:w="1275" w:type="dxa"/>
            <w:tcBorders>
              <w:top w:val="nil"/>
              <w:left w:val="single" w:sz="8" w:space="0" w:color="auto"/>
              <w:bottom w:val="nil"/>
              <w:right w:val="single" w:sz="8" w:space="0" w:color="000000" w:themeColor="text1"/>
            </w:tcBorders>
            <w:shd w:val="clear" w:color="auto" w:fill="C6EFCE"/>
            <w:vAlign w:val="center"/>
            <w:hideMark/>
          </w:tcPr>
          <w:p w14:paraId="5A83334D" w14:textId="77777777" w:rsidR="00025543" w:rsidRDefault="007E3A2F">
            <w:pPr>
              <w:pStyle w:val="P68B1DB1-Normal56"/>
              <w:spacing w:before="0" w:after="0" w:line="240" w:lineRule="auto"/>
              <w:jc w:val="center"/>
              <w:rPr>
                <w:noProof/>
              </w:rPr>
            </w:pPr>
            <w:r>
              <w:rPr>
                <w:noProof/>
              </w:rPr>
              <w:t>141</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76540003" w14:textId="61490F74" w:rsidR="00025543" w:rsidRDefault="007E3A2F">
            <w:pPr>
              <w:pStyle w:val="P68B1DB1-Normal57"/>
              <w:spacing w:before="0" w:after="0" w:line="240" w:lineRule="auto"/>
              <w:jc w:val="center"/>
              <w:rPr>
                <w:noProof/>
              </w:rPr>
            </w:pPr>
            <w:r>
              <w:rPr>
                <w:noProof/>
              </w:rPr>
              <w:t>C 2.6: Protection de la nature et adaptation au changement climatique — Investissement 4: Construire des forêts résilientes face au changement climatique</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0F917AA3" w14:textId="77777777" w:rsidR="00025543" w:rsidRDefault="007E3A2F">
            <w:pPr>
              <w:pStyle w:val="P68B1DB1-Normal57"/>
              <w:spacing w:before="0" w:after="0" w:line="240" w:lineRule="auto"/>
              <w:jc w:val="center"/>
              <w:rPr>
                <w:noProof/>
              </w:rPr>
            </w:pPr>
            <w:r>
              <w:rPr>
                <w:noProof/>
              </w:rPr>
              <w:t>Cible</w:t>
            </w:r>
          </w:p>
        </w:tc>
        <w:tc>
          <w:tcPr>
            <w:tcW w:w="3409" w:type="dxa"/>
            <w:tcBorders>
              <w:top w:val="nil"/>
              <w:left w:val="nil"/>
              <w:bottom w:val="nil"/>
              <w:right w:val="single" w:sz="8" w:space="0" w:color="auto"/>
            </w:tcBorders>
            <w:shd w:val="clear" w:color="auto" w:fill="C6EFCE"/>
            <w:vAlign w:val="center"/>
            <w:hideMark/>
          </w:tcPr>
          <w:p w14:paraId="5B1A8951" w14:textId="790F8962" w:rsidR="00025543" w:rsidRDefault="007E3A2F">
            <w:pPr>
              <w:pStyle w:val="P68B1DB1-Normal56"/>
              <w:spacing w:before="0" w:after="0" w:line="240" w:lineRule="auto"/>
              <w:jc w:val="center"/>
              <w:rPr>
                <w:noProof/>
              </w:rPr>
            </w:pPr>
            <w:r>
              <w:rPr>
                <w:noProof/>
              </w:rPr>
              <w:t xml:space="preserve">T2: Reboisement de 24 000 ha supplémentaires par des essences forestières améliorées et stabilisatrices </w:t>
            </w:r>
          </w:p>
        </w:tc>
      </w:tr>
      <w:tr w:rsidR="00025543" w14:paraId="1171C906" w14:textId="77777777">
        <w:trPr>
          <w:trHeight w:val="405"/>
        </w:trPr>
        <w:tc>
          <w:tcPr>
            <w:tcW w:w="1275" w:type="dxa"/>
            <w:tcBorders>
              <w:top w:val="single" w:sz="8" w:space="0" w:color="000000" w:themeColor="text1"/>
              <w:left w:val="single" w:sz="8" w:space="0" w:color="auto"/>
              <w:bottom w:val="nil"/>
              <w:right w:val="single" w:sz="8" w:space="0" w:color="000000" w:themeColor="text1"/>
            </w:tcBorders>
            <w:shd w:val="clear" w:color="auto" w:fill="C6EFCE"/>
            <w:vAlign w:val="center"/>
            <w:hideMark/>
          </w:tcPr>
          <w:p w14:paraId="0DF6FAAE" w14:textId="5B74D4F6" w:rsidR="00025543" w:rsidRDefault="007E3A2F">
            <w:pPr>
              <w:pStyle w:val="P68B1DB1-Normal11"/>
              <w:spacing w:before="0" w:after="0"/>
              <w:jc w:val="center"/>
              <w:rPr>
                <w:noProof/>
              </w:rPr>
            </w:pPr>
            <w:r>
              <w:rPr>
                <w:noProof/>
              </w:rPr>
              <w:t>245</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3ED0B701" w14:textId="4B4F87F5" w:rsidR="00025543" w:rsidRDefault="007E3A2F">
            <w:pPr>
              <w:pStyle w:val="P68B1DB1-Normal57"/>
              <w:spacing w:line="240" w:lineRule="auto"/>
              <w:jc w:val="center"/>
              <w:rPr>
                <w:noProof/>
              </w:rPr>
            </w:pPr>
            <w:r>
              <w:rPr>
                <w:noProof/>
              </w:rPr>
              <w:t>C1.1: Services numériques aux citoyens et aux entreprises — Investissements 2: Développement de données ouvertes et de données publiques</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2B79D8BB" w14:textId="177F7A2A" w:rsidR="00025543" w:rsidRDefault="007E3A2F">
            <w:pPr>
              <w:pStyle w:val="P68B1DB1-Normal57"/>
              <w:spacing w:line="240" w:lineRule="auto"/>
              <w:jc w:val="center"/>
              <w:rPr>
                <w:noProof/>
              </w:rPr>
            </w:pPr>
            <w:r>
              <w:rPr>
                <w:noProof/>
              </w:rPr>
              <w:t>Cible</w:t>
            </w:r>
          </w:p>
        </w:tc>
        <w:tc>
          <w:tcPr>
            <w:tcW w:w="3409" w:type="dxa"/>
            <w:tcBorders>
              <w:top w:val="single" w:sz="8" w:space="0" w:color="000000" w:themeColor="text1"/>
              <w:left w:val="nil"/>
              <w:bottom w:val="nil"/>
              <w:right w:val="single" w:sz="8" w:space="0" w:color="auto"/>
            </w:tcBorders>
            <w:shd w:val="clear" w:color="auto" w:fill="C6EFCE"/>
            <w:vAlign w:val="center"/>
            <w:hideMark/>
          </w:tcPr>
          <w:p w14:paraId="1A870900" w14:textId="7A5DF7FD" w:rsidR="00025543" w:rsidRDefault="007E3A2F">
            <w:pPr>
              <w:pStyle w:val="P68B1DB1-Normal57"/>
              <w:spacing w:line="240" w:lineRule="auto"/>
              <w:jc w:val="center"/>
              <w:rPr>
                <w:noProof/>
              </w:rPr>
            </w:pPr>
            <w:r>
              <w:rPr>
                <w:noProof/>
              </w:rPr>
              <w:t>Augmentation du nombre d’ensembles de données ouvertes nouveaux ou améliorés publiés dans le catalogue national des données ouvertes</w:t>
            </w:r>
          </w:p>
        </w:tc>
      </w:tr>
      <w:tr w:rsidR="00025543" w14:paraId="667A3279" w14:textId="77777777">
        <w:trPr>
          <w:trHeight w:val="405"/>
        </w:trPr>
        <w:tc>
          <w:tcPr>
            <w:tcW w:w="1275" w:type="dxa"/>
            <w:tcBorders>
              <w:top w:val="single" w:sz="8" w:space="0" w:color="000000" w:themeColor="text1"/>
              <w:left w:val="single" w:sz="8" w:space="0" w:color="auto"/>
              <w:bottom w:val="single" w:sz="4" w:space="0" w:color="000000" w:themeColor="text1"/>
              <w:right w:val="single" w:sz="8" w:space="0" w:color="000000" w:themeColor="text1"/>
            </w:tcBorders>
            <w:shd w:val="clear" w:color="auto" w:fill="C6EFCE"/>
            <w:vAlign w:val="center"/>
            <w:hideMark/>
          </w:tcPr>
          <w:p w14:paraId="026531D5" w14:textId="77777777" w:rsidR="00025543" w:rsidRDefault="007E3A2F">
            <w:pPr>
              <w:pStyle w:val="P68B1DB1-Normal57"/>
              <w:spacing w:before="0" w:after="0" w:line="240" w:lineRule="auto"/>
              <w:jc w:val="center"/>
              <w:rPr>
                <w:noProof/>
              </w:rPr>
            </w:pPr>
            <w:r>
              <w:rPr>
                <w:noProof/>
              </w:rPr>
              <w:t>9</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7F355E4A" w14:textId="77777777" w:rsidR="00025543" w:rsidRDefault="007E3A2F">
            <w:pPr>
              <w:pStyle w:val="P68B1DB1-Normal57"/>
              <w:spacing w:before="0" w:after="0" w:line="240" w:lineRule="auto"/>
              <w:jc w:val="center"/>
              <w:rPr>
                <w:noProof/>
              </w:rPr>
            </w:pPr>
            <w:r>
              <w:rPr>
                <w:noProof/>
              </w:rPr>
              <w:t>C 1.1: Services numériques aux citoyens et aux entreprises — Investissement 1: Services numériques pour les utilisateurs finaux</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3D6F39A4" w14:textId="77777777" w:rsidR="00025543" w:rsidRDefault="007E3A2F">
            <w:pPr>
              <w:pStyle w:val="P68B1DB1-Normal57"/>
              <w:spacing w:before="0" w:after="0" w:line="240" w:lineRule="auto"/>
              <w:jc w:val="center"/>
              <w:rPr>
                <w:noProof/>
              </w:rPr>
            </w:pPr>
            <w:r>
              <w:rPr>
                <w:noProof/>
              </w:rPr>
              <w:t>Étapes</w:t>
            </w:r>
          </w:p>
        </w:tc>
        <w:tc>
          <w:tcPr>
            <w:tcW w:w="3409" w:type="dxa"/>
            <w:tcBorders>
              <w:top w:val="single" w:sz="8" w:space="0" w:color="000000" w:themeColor="text1"/>
              <w:left w:val="nil"/>
              <w:bottom w:val="single" w:sz="4" w:space="0" w:color="000000" w:themeColor="text1"/>
              <w:right w:val="single" w:sz="8" w:space="0" w:color="auto"/>
            </w:tcBorders>
            <w:shd w:val="clear" w:color="auto" w:fill="C6EFCE"/>
            <w:vAlign w:val="center"/>
            <w:hideMark/>
          </w:tcPr>
          <w:p w14:paraId="6F03239D" w14:textId="77777777" w:rsidR="00025543" w:rsidRDefault="007E3A2F">
            <w:pPr>
              <w:pStyle w:val="P68B1DB1-Normal57"/>
              <w:spacing w:before="0" w:after="0" w:line="240" w:lineRule="auto"/>
              <w:jc w:val="center"/>
              <w:rPr>
                <w:noProof/>
              </w:rPr>
            </w:pPr>
            <w:r>
              <w:rPr>
                <w:noProof/>
              </w:rPr>
              <w:t>Fonctionnement complet de 4 systèmes d’information</w:t>
            </w:r>
          </w:p>
        </w:tc>
      </w:tr>
      <w:tr w:rsidR="00025543" w14:paraId="5DB399AB" w14:textId="77777777">
        <w:trPr>
          <w:trHeight w:val="600"/>
        </w:trPr>
        <w:tc>
          <w:tcPr>
            <w:tcW w:w="1275" w:type="dxa"/>
            <w:tcBorders>
              <w:top w:val="single" w:sz="8" w:space="0" w:color="000000" w:themeColor="text1"/>
              <w:left w:val="single" w:sz="8" w:space="0" w:color="auto"/>
              <w:bottom w:val="nil"/>
              <w:right w:val="single" w:sz="8" w:space="0" w:color="000000" w:themeColor="text1"/>
            </w:tcBorders>
            <w:shd w:val="clear" w:color="auto" w:fill="C6EFCE"/>
            <w:vAlign w:val="center"/>
            <w:hideMark/>
          </w:tcPr>
          <w:p w14:paraId="3C9AD80B" w14:textId="40FF5202" w:rsidR="00025543" w:rsidRDefault="007E3A2F">
            <w:pPr>
              <w:pStyle w:val="P68B1DB1-Normal57"/>
              <w:spacing w:before="0" w:after="0" w:line="240" w:lineRule="auto"/>
              <w:jc w:val="center"/>
              <w:rPr>
                <w:noProof/>
              </w:rPr>
            </w:pPr>
            <w:r>
              <w:rPr>
                <w:noProof/>
              </w:rPr>
              <w:t>261</w:t>
            </w:r>
          </w:p>
        </w:tc>
        <w:tc>
          <w:tcPr>
            <w:tcW w:w="4035"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0926A1CC" w14:textId="2FD9FB2C" w:rsidR="00025543" w:rsidRDefault="007E3A2F">
            <w:pPr>
              <w:pStyle w:val="P68B1DB1-Normal57"/>
              <w:spacing w:before="0" w:after="0" w:line="240" w:lineRule="auto"/>
              <w:jc w:val="center"/>
              <w:rPr>
                <w:noProof/>
              </w:rPr>
            </w:pPr>
            <w:r>
              <w:rPr>
                <w:noProof/>
              </w:rPr>
              <w:t xml:space="preserve">C 2.1: Transport durable — Investissements 3: Amélioration de l’environnement (soutien à l’infrastructure ferroviaire) </w:t>
            </w:r>
          </w:p>
        </w:tc>
        <w:tc>
          <w:tcPr>
            <w:tcW w:w="1770"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328D189F" w14:textId="6B5A0C29" w:rsidR="00025543" w:rsidRDefault="007E3A2F">
            <w:pPr>
              <w:pStyle w:val="P68B1DB1-Normal57"/>
              <w:spacing w:before="0" w:after="0" w:line="240" w:lineRule="auto"/>
              <w:jc w:val="center"/>
              <w:rPr>
                <w:noProof/>
              </w:rPr>
            </w:pPr>
            <w:r>
              <w:rPr>
                <w:noProof/>
              </w:rPr>
              <w:t xml:space="preserve">Cible </w:t>
            </w:r>
          </w:p>
        </w:tc>
        <w:tc>
          <w:tcPr>
            <w:tcW w:w="3409" w:type="dxa"/>
            <w:tcBorders>
              <w:top w:val="single" w:sz="8" w:space="0" w:color="000000" w:themeColor="text1"/>
              <w:left w:val="nil"/>
              <w:bottom w:val="nil"/>
              <w:right w:val="single" w:sz="8" w:space="0" w:color="auto"/>
            </w:tcBorders>
            <w:shd w:val="clear" w:color="auto" w:fill="C6EFCE"/>
            <w:vAlign w:val="center"/>
            <w:hideMark/>
          </w:tcPr>
          <w:p w14:paraId="0E4CC9E4" w14:textId="07111432" w:rsidR="00025543" w:rsidRDefault="007E3A2F">
            <w:pPr>
              <w:pStyle w:val="P68B1DB1-Normal57"/>
              <w:spacing w:before="0" w:after="0" w:line="240" w:lineRule="auto"/>
              <w:jc w:val="center"/>
              <w:rPr>
                <w:noProof/>
              </w:rPr>
            </w:pPr>
            <w:r>
              <w:rPr>
                <w:noProof/>
              </w:rPr>
              <w:t>Achèvement de 19 projets supplémentaires issus d’un ensemble prédéfini de projets</w:t>
            </w:r>
          </w:p>
        </w:tc>
      </w:tr>
      <w:tr w:rsidR="00025543" w14:paraId="58BCFE4A" w14:textId="77777777">
        <w:trPr>
          <w:trHeight w:val="600"/>
        </w:trPr>
        <w:tc>
          <w:tcPr>
            <w:tcW w:w="1275" w:type="dxa"/>
            <w:tcBorders>
              <w:top w:val="single" w:sz="8" w:space="0" w:color="000000" w:themeColor="text1"/>
              <w:left w:val="single" w:sz="8" w:space="0" w:color="auto"/>
              <w:bottom w:val="nil"/>
              <w:right w:val="single" w:sz="8" w:space="0" w:color="000000" w:themeColor="text1"/>
            </w:tcBorders>
            <w:shd w:val="clear" w:color="auto" w:fill="C6EFCE"/>
            <w:vAlign w:val="center"/>
            <w:hideMark/>
          </w:tcPr>
          <w:p w14:paraId="4A06407F" w14:textId="7FFE12C9" w:rsidR="00025543" w:rsidRDefault="007E3A2F">
            <w:pPr>
              <w:pStyle w:val="P68B1DB1-Normal57"/>
              <w:spacing w:before="0" w:after="0" w:line="240" w:lineRule="auto"/>
              <w:jc w:val="center"/>
              <w:rPr>
                <w:noProof/>
              </w:rPr>
            </w:pPr>
            <w:r>
              <w:rPr>
                <w:noProof/>
              </w:rPr>
              <w:t>276</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080C021F" w14:textId="6019308C" w:rsidR="00025543" w:rsidRDefault="007E3A2F">
            <w:pPr>
              <w:pStyle w:val="P68B1DB1-Normal57"/>
              <w:spacing w:before="0" w:after="0" w:line="240" w:lineRule="auto"/>
              <w:jc w:val="center"/>
              <w:rPr>
                <w:noProof/>
              </w:rPr>
            </w:pPr>
            <w:r>
              <w:rPr>
                <w:noProof/>
              </w:rPr>
              <w:t>C3.3: Modernisation des services de l’emploi et développement du marché du travail —</w:t>
            </w:r>
          </w:p>
          <w:p w14:paraId="7A770561" w14:textId="75276424" w:rsidR="00025543" w:rsidRDefault="007E3A2F">
            <w:pPr>
              <w:pStyle w:val="P68B1DB1-Normal57"/>
              <w:spacing w:before="0" w:after="0" w:line="240" w:lineRule="auto"/>
              <w:jc w:val="center"/>
              <w:rPr>
                <w:noProof/>
              </w:rPr>
            </w:pPr>
            <w:r>
              <w:rPr>
                <w:noProof/>
              </w:rPr>
              <w:t xml:space="preserve">Réforme 4: Réforme de l’hébergement et de la prise en charge sociale des enfants et des familles vulnérables </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710A2E63" w14:textId="1E60973C" w:rsidR="00025543" w:rsidRDefault="007E3A2F">
            <w:pPr>
              <w:pStyle w:val="P68B1DB1-Normal57"/>
              <w:spacing w:before="0" w:after="0" w:line="240" w:lineRule="auto"/>
              <w:jc w:val="center"/>
              <w:rPr>
                <w:noProof/>
              </w:rPr>
            </w:pPr>
            <w:r>
              <w:rPr>
                <w:noProof/>
              </w:rPr>
              <w:t xml:space="preserve"> </w:t>
            </w:r>
          </w:p>
          <w:p w14:paraId="4F629192" w14:textId="566AD665" w:rsidR="00025543" w:rsidRDefault="007E3A2F">
            <w:pPr>
              <w:pStyle w:val="P68B1DB1-Normal57"/>
              <w:spacing w:before="0" w:after="0" w:line="240" w:lineRule="auto"/>
              <w:jc w:val="center"/>
              <w:rPr>
                <w:noProof/>
              </w:rPr>
            </w:pPr>
            <w:r>
              <w:rPr>
                <w:noProof/>
              </w:rPr>
              <w:t xml:space="preserve">Étapes </w:t>
            </w:r>
          </w:p>
        </w:tc>
        <w:tc>
          <w:tcPr>
            <w:tcW w:w="3409" w:type="dxa"/>
            <w:tcBorders>
              <w:top w:val="single" w:sz="8" w:space="0" w:color="000000" w:themeColor="text1"/>
              <w:left w:val="nil"/>
              <w:bottom w:val="nil"/>
              <w:right w:val="single" w:sz="8" w:space="0" w:color="auto"/>
            </w:tcBorders>
            <w:shd w:val="clear" w:color="auto" w:fill="C6EFCE"/>
            <w:vAlign w:val="center"/>
            <w:hideMark/>
          </w:tcPr>
          <w:p w14:paraId="7EB83CAD" w14:textId="55E6548C" w:rsidR="00025543" w:rsidRDefault="007E3A2F">
            <w:pPr>
              <w:pStyle w:val="P68B1DB1-Normal57"/>
              <w:spacing w:before="0" w:after="0" w:line="240" w:lineRule="auto"/>
              <w:jc w:val="center"/>
              <w:rPr>
                <w:noProof/>
              </w:rPr>
            </w:pPr>
            <w:r>
              <w:rPr>
                <w:noProof/>
              </w:rPr>
              <w:t>Entrée en vigueur d’un amendement à la loi sur la protection sociale et juridique des enfants</w:t>
            </w:r>
          </w:p>
        </w:tc>
      </w:tr>
      <w:tr w:rsidR="00025543" w14:paraId="45A9BA73" w14:textId="77777777">
        <w:trPr>
          <w:trHeight w:val="600"/>
        </w:trPr>
        <w:tc>
          <w:tcPr>
            <w:tcW w:w="1275" w:type="dxa"/>
            <w:tcBorders>
              <w:top w:val="single" w:sz="8" w:space="0" w:color="000000" w:themeColor="text1"/>
              <w:left w:val="single" w:sz="8" w:space="0" w:color="auto"/>
              <w:bottom w:val="nil"/>
              <w:right w:val="single" w:sz="8" w:space="0" w:color="000000" w:themeColor="text1"/>
            </w:tcBorders>
            <w:shd w:val="clear" w:color="auto" w:fill="C6EFCE"/>
            <w:vAlign w:val="center"/>
            <w:hideMark/>
          </w:tcPr>
          <w:p w14:paraId="39AE8E86" w14:textId="1151EEDB" w:rsidR="00025543" w:rsidRDefault="007E3A2F">
            <w:pPr>
              <w:pStyle w:val="P68B1DB1-Normal57"/>
              <w:spacing w:before="0" w:after="0" w:line="240" w:lineRule="auto"/>
              <w:jc w:val="center"/>
              <w:rPr>
                <w:noProof/>
              </w:rPr>
            </w:pPr>
            <w:r>
              <w:rPr>
                <w:noProof/>
              </w:rPr>
              <w:t>302</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00EE7103" w14:textId="7D88B7A5" w:rsidR="00025543" w:rsidRDefault="007E3A2F">
            <w:pPr>
              <w:pStyle w:val="P68B1DB1-Normal57"/>
              <w:spacing w:before="0" w:after="0" w:line="240" w:lineRule="auto"/>
              <w:jc w:val="center"/>
              <w:rPr>
                <w:noProof/>
              </w:rPr>
            </w:pPr>
            <w:r>
              <w:rPr>
                <w:noProof/>
              </w:rPr>
              <w:t xml:space="preserve">C 7.1:  Énergies renouvelables et infrastructures électriques — Réforme 2: Accélérer et numériser le processus d’autorisation pour les énergies renouvelables </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76DEDCD4" w14:textId="27E78E3A" w:rsidR="00025543" w:rsidRDefault="007E3A2F">
            <w:pPr>
              <w:pStyle w:val="P68B1DB1-Normal57"/>
              <w:spacing w:before="0" w:after="0" w:line="240" w:lineRule="auto"/>
              <w:jc w:val="center"/>
              <w:rPr>
                <w:noProof/>
              </w:rPr>
            </w:pPr>
            <w:r>
              <w:rPr>
                <w:noProof/>
              </w:rPr>
              <w:t xml:space="preserve">Étapes </w:t>
            </w:r>
          </w:p>
        </w:tc>
        <w:tc>
          <w:tcPr>
            <w:tcW w:w="3409" w:type="dxa"/>
            <w:tcBorders>
              <w:top w:val="single" w:sz="8" w:space="0" w:color="000000" w:themeColor="text1"/>
              <w:left w:val="nil"/>
              <w:bottom w:val="nil"/>
              <w:right w:val="single" w:sz="8" w:space="0" w:color="auto"/>
            </w:tcBorders>
            <w:shd w:val="clear" w:color="auto" w:fill="C6EFCE"/>
            <w:vAlign w:val="center"/>
            <w:hideMark/>
          </w:tcPr>
          <w:p w14:paraId="63F43140" w14:textId="3A247C24" w:rsidR="00025543" w:rsidRDefault="007E3A2F">
            <w:pPr>
              <w:pStyle w:val="P68B1DB1-Normal57"/>
              <w:spacing w:before="0" w:after="0" w:line="240" w:lineRule="auto"/>
              <w:jc w:val="center"/>
              <w:rPr>
                <w:noProof/>
              </w:rPr>
            </w:pPr>
            <w:r>
              <w:rPr>
                <w:noProof/>
              </w:rPr>
              <w:t xml:space="preserve">Entrée en vigueur de la législation modifiée </w:t>
            </w:r>
          </w:p>
          <w:p w14:paraId="0D917AC8" w14:textId="362DB93B" w:rsidR="00025543" w:rsidRDefault="00025543">
            <w:pPr>
              <w:spacing w:before="0" w:after="0" w:line="240" w:lineRule="auto"/>
              <w:jc w:val="center"/>
              <w:rPr>
                <w:rFonts w:eastAsia="Times New Roman"/>
                <w:noProof/>
                <w:color w:val="006100"/>
                <w:sz w:val="20"/>
              </w:rPr>
            </w:pPr>
          </w:p>
        </w:tc>
      </w:tr>
      <w:tr w:rsidR="00025543" w14:paraId="2C37CBB8" w14:textId="77777777">
        <w:trPr>
          <w:trHeight w:val="600"/>
        </w:trPr>
        <w:tc>
          <w:tcPr>
            <w:tcW w:w="1275" w:type="dxa"/>
            <w:tcBorders>
              <w:top w:val="single" w:sz="8" w:space="0" w:color="000000" w:themeColor="text1"/>
              <w:left w:val="single" w:sz="8" w:space="0" w:color="auto"/>
              <w:bottom w:val="nil"/>
              <w:right w:val="single" w:sz="8" w:space="0" w:color="000000" w:themeColor="text1"/>
            </w:tcBorders>
            <w:shd w:val="clear" w:color="auto" w:fill="C6EFCE"/>
            <w:vAlign w:val="center"/>
            <w:hideMark/>
          </w:tcPr>
          <w:p w14:paraId="44D88CB4" w14:textId="21B8C319" w:rsidR="00025543" w:rsidRDefault="007E3A2F">
            <w:pPr>
              <w:pStyle w:val="P68B1DB1-Normal57"/>
              <w:spacing w:before="0" w:after="0" w:line="240" w:lineRule="auto"/>
              <w:jc w:val="center"/>
              <w:rPr>
                <w:noProof/>
              </w:rPr>
            </w:pPr>
            <w:r>
              <w:rPr>
                <w:noProof/>
              </w:rPr>
              <w:t>303</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3AC7C0E2" w14:textId="01A68B5B" w:rsidR="00025543" w:rsidRDefault="007E3A2F">
            <w:pPr>
              <w:pStyle w:val="P68B1DB1-Normal57"/>
              <w:spacing w:before="0" w:after="0" w:line="240" w:lineRule="auto"/>
              <w:jc w:val="center"/>
              <w:rPr>
                <w:noProof/>
              </w:rPr>
            </w:pPr>
            <w:r>
              <w:rPr>
                <w:noProof/>
              </w:rPr>
              <w:t xml:space="preserve">C 7.1:  Énergies renouvelables et infrastructures électriques — Réforme 2: Accélérer et numériser le processus d’autorisation pour les énergies renouvelables </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18B8F987" w14:textId="488C4774" w:rsidR="00025543" w:rsidRDefault="007E3A2F">
            <w:pPr>
              <w:pStyle w:val="P68B1DB1-Normal57"/>
              <w:spacing w:before="0" w:after="0" w:line="240" w:lineRule="auto"/>
              <w:jc w:val="center"/>
              <w:rPr>
                <w:noProof/>
              </w:rPr>
            </w:pPr>
            <w:r>
              <w:rPr>
                <w:noProof/>
              </w:rPr>
              <w:t xml:space="preserve">Étapes </w:t>
            </w:r>
          </w:p>
        </w:tc>
        <w:tc>
          <w:tcPr>
            <w:tcW w:w="3409" w:type="dxa"/>
            <w:tcBorders>
              <w:top w:val="single" w:sz="8" w:space="0" w:color="000000" w:themeColor="text1"/>
              <w:left w:val="nil"/>
              <w:bottom w:val="nil"/>
              <w:right w:val="single" w:sz="8" w:space="0" w:color="auto"/>
            </w:tcBorders>
            <w:shd w:val="clear" w:color="auto" w:fill="C6EFCE"/>
            <w:vAlign w:val="center"/>
            <w:hideMark/>
          </w:tcPr>
          <w:p w14:paraId="61D3A181" w14:textId="7056181E" w:rsidR="00025543" w:rsidRDefault="007E3A2F">
            <w:pPr>
              <w:pStyle w:val="P68B1DB1-Normal57"/>
              <w:spacing w:before="0" w:after="0" w:line="240" w:lineRule="auto"/>
              <w:jc w:val="center"/>
              <w:rPr>
                <w:noProof/>
              </w:rPr>
            </w:pPr>
            <w:r>
              <w:rPr>
                <w:noProof/>
              </w:rPr>
              <w:t>Guichet unique numérique</w:t>
            </w:r>
          </w:p>
        </w:tc>
      </w:tr>
      <w:tr w:rsidR="00025543" w14:paraId="00090D1C" w14:textId="77777777">
        <w:trPr>
          <w:trHeight w:val="795"/>
        </w:trPr>
        <w:tc>
          <w:tcPr>
            <w:tcW w:w="1275" w:type="dxa"/>
            <w:tcBorders>
              <w:top w:val="single" w:sz="8" w:space="0" w:color="auto"/>
              <w:left w:val="single" w:sz="8" w:space="0" w:color="auto"/>
              <w:bottom w:val="nil"/>
              <w:right w:val="single" w:sz="8" w:space="0" w:color="auto"/>
            </w:tcBorders>
            <w:shd w:val="clear" w:color="auto" w:fill="C6EFCE"/>
            <w:vAlign w:val="center"/>
            <w:hideMark/>
          </w:tcPr>
          <w:p w14:paraId="5D88E7F6" w14:textId="77777777" w:rsidR="00025543" w:rsidRDefault="007E3A2F">
            <w:pPr>
              <w:pStyle w:val="P68B1DB1-Normal56"/>
              <w:spacing w:before="0" w:after="0" w:line="240" w:lineRule="auto"/>
              <w:jc w:val="center"/>
              <w:rPr>
                <w:noProof/>
              </w:rPr>
            </w:pPr>
            <w:r>
              <w:rPr>
                <w:noProof/>
              </w:rPr>
              <w:t>31</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6837BF34" w14:textId="77777777" w:rsidR="00025543" w:rsidRDefault="007E3A2F">
            <w:pPr>
              <w:spacing w:before="0" w:after="0" w:line="240" w:lineRule="auto"/>
              <w:jc w:val="center"/>
              <w:rPr>
                <w:rFonts w:eastAsia="Times New Roman"/>
                <w:noProof/>
                <w:color w:val="006100"/>
                <w:sz w:val="20"/>
              </w:rPr>
            </w:pPr>
            <w:r>
              <w:rPr>
                <w:rFonts w:eastAsia="Times New Roman"/>
                <w:noProof/>
                <w:color w:val="006100"/>
                <w:sz w:val="20"/>
              </w:rPr>
              <w:t>C 1.2: Systèmes d’administration publique numérique — Investissements 4:</w:t>
            </w:r>
            <w:r>
              <w:rPr>
                <w:noProof/>
              </w:rPr>
              <w:br/>
            </w:r>
            <w:r>
              <w:rPr>
                <w:rFonts w:eastAsia="Times New Roman"/>
                <w:noProof/>
                <w:color w:val="006100"/>
                <w:sz w:val="20"/>
              </w:rPr>
              <w:t>Créer les conditions d’une justice numérique</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3DAF0AE1" w14:textId="77777777" w:rsidR="00025543" w:rsidRDefault="007E3A2F">
            <w:pPr>
              <w:pStyle w:val="P68B1DB1-Normal57"/>
              <w:spacing w:before="0" w:after="0" w:line="240" w:lineRule="auto"/>
              <w:jc w:val="center"/>
              <w:rPr>
                <w:noProof/>
              </w:rPr>
            </w:pPr>
            <w:r>
              <w:rPr>
                <w:noProof/>
              </w:rPr>
              <w:t>Cible</w:t>
            </w:r>
          </w:p>
        </w:tc>
        <w:tc>
          <w:tcPr>
            <w:tcW w:w="3409" w:type="dxa"/>
            <w:tcBorders>
              <w:top w:val="single" w:sz="8" w:space="0" w:color="auto"/>
              <w:left w:val="nil"/>
              <w:bottom w:val="nil"/>
              <w:right w:val="single" w:sz="8" w:space="0" w:color="auto"/>
            </w:tcBorders>
            <w:shd w:val="clear" w:color="auto" w:fill="C6EFCE"/>
            <w:vAlign w:val="center"/>
            <w:hideMark/>
          </w:tcPr>
          <w:p w14:paraId="7F411D2C" w14:textId="77777777" w:rsidR="00025543" w:rsidRDefault="007E3A2F">
            <w:pPr>
              <w:pStyle w:val="P68B1DB1-Normal56"/>
              <w:spacing w:before="0" w:after="0" w:line="240" w:lineRule="auto"/>
              <w:jc w:val="center"/>
              <w:rPr>
                <w:noProof/>
              </w:rPr>
            </w:pPr>
            <w:r>
              <w:rPr>
                <w:noProof/>
              </w:rPr>
              <w:t>Augmentation de la capacité de stockage des données</w:t>
            </w:r>
          </w:p>
        </w:tc>
      </w:tr>
      <w:tr w:rsidR="00025543" w14:paraId="56FDD6C4" w14:textId="77777777">
        <w:trPr>
          <w:trHeight w:val="600"/>
        </w:trPr>
        <w:tc>
          <w:tcPr>
            <w:tcW w:w="1275" w:type="dxa"/>
            <w:tcBorders>
              <w:top w:val="single" w:sz="8" w:space="0" w:color="auto"/>
              <w:left w:val="single" w:sz="8" w:space="0" w:color="auto"/>
              <w:bottom w:val="nil"/>
              <w:right w:val="single" w:sz="8" w:space="0" w:color="auto"/>
            </w:tcBorders>
            <w:shd w:val="clear" w:color="auto" w:fill="C6EFCE"/>
            <w:vAlign w:val="center"/>
            <w:hideMark/>
          </w:tcPr>
          <w:p w14:paraId="7648A2D7" w14:textId="77777777" w:rsidR="00025543" w:rsidRDefault="007E3A2F">
            <w:pPr>
              <w:pStyle w:val="P68B1DB1-Normal56"/>
              <w:spacing w:before="0" w:after="0" w:line="240" w:lineRule="auto"/>
              <w:jc w:val="center"/>
              <w:rPr>
                <w:noProof/>
              </w:rPr>
            </w:pPr>
            <w:r>
              <w:rPr>
                <w:noProof/>
              </w:rPr>
              <w:t>36</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5B9C10BC" w14:textId="64167600" w:rsidR="00025543" w:rsidRDefault="007E3A2F">
            <w:pPr>
              <w:pStyle w:val="P68B1DB1-Normal57"/>
              <w:spacing w:before="0" w:after="0" w:line="240" w:lineRule="auto"/>
              <w:jc w:val="center"/>
              <w:rPr>
                <w:noProof/>
              </w:rPr>
            </w:pPr>
            <w:r>
              <w:rPr>
                <w:noProof/>
              </w:rPr>
              <w:t>C 1.3: Réseaux numériques à haute capacité — Réforme 2: Soutenir le développement de l’écosystème 5G</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0D3AE2E1" w14:textId="77777777" w:rsidR="00025543" w:rsidRDefault="007E3A2F">
            <w:pPr>
              <w:pStyle w:val="P68B1DB1-Normal57"/>
              <w:spacing w:before="0" w:after="0" w:line="240" w:lineRule="auto"/>
              <w:jc w:val="center"/>
              <w:rPr>
                <w:noProof/>
              </w:rPr>
            </w:pPr>
            <w:r>
              <w:rPr>
                <w:noProof/>
              </w:rPr>
              <w:t>Cible</w:t>
            </w:r>
          </w:p>
        </w:tc>
        <w:tc>
          <w:tcPr>
            <w:tcW w:w="3409" w:type="dxa"/>
            <w:tcBorders>
              <w:top w:val="single" w:sz="8" w:space="0" w:color="auto"/>
              <w:left w:val="nil"/>
              <w:bottom w:val="nil"/>
              <w:right w:val="single" w:sz="8" w:space="0" w:color="auto"/>
            </w:tcBorders>
            <w:shd w:val="clear" w:color="auto" w:fill="C6EFCE"/>
            <w:vAlign w:val="center"/>
            <w:hideMark/>
          </w:tcPr>
          <w:p w14:paraId="271E7867" w14:textId="77777777" w:rsidR="00025543" w:rsidRDefault="007E3A2F">
            <w:pPr>
              <w:pStyle w:val="P68B1DB1-Normal56"/>
              <w:spacing w:before="0" w:after="0" w:line="240" w:lineRule="auto"/>
              <w:jc w:val="center"/>
              <w:rPr>
                <w:noProof/>
              </w:rPr>
            </w:pPr>
            <w:r>
              <w:rPr>
                <w:noProof/>
              </w:rPr>
              <w:t>Publication d’études visant à améliorer le déploiement des réseaux 5G par le ministère de l’industrie et du commerce </w:t>
            </w:r>
          </w:p>
        </w:tc>
      </w:tr>
      <w:tr w:rsidR="00025543" w14:paraId="1CC16035" w14:textId="77777777">
        <w:trPr>
          <w:trHeight w:val="795"/>
        </w:trPr>
        <w:tc>
          <w:tcPr>
            <w:tcW w:w="1275" w:type="dxa"/>
            <w:tcBorders>
              <w:top w:val="single" w:sz="8" w:space="0" w:color="auto"/>
              <w:left w:val="single" w:sz="8" w:space="0" w:color="auto"/>
              <w:bottom w:val="single" w:sz="4" w:space="0" w:color="auto"/>
              <w:right w:val="single" w:sz="8" w:space="0" w:color="auto"/>
            </w:tcBorders>
            <w:shd w:val="clear" w:color="auto" w:fill="C6EFCE"/>
            <w:vAlign w:val="center"/>
            <w:hideMark/>
          </w:tcPr>
          <w:p w14:paraId="632504C1" w14:textId="77777777" w:rsidR="00025543" w:rsidRDefault="007E3A2F">
            <w:pPr>
              <w:pStyle w:val="P68B1DB1-Normal56"/>
              <w:spacing w:before="0" w:after="0" w:line="240" w:lineRule="auto"/>
              <w:jc w:val="center"/>
              <w:rPr>
                <w:noProof/>
              </w:rPr>
            </w:pPr>
            <w:r>
              <w:rPr>
                <w:noProof/>
              </w:rPr>
              <w:t>38</w:t>
            </w:r>
          </w:p>
        </w:tc>
        <w:tc>
          <w:tcPr>
            <w:tcW w:w="4035" w:type="dxa"/>
            <w:tcBorders>
              <w:top w:val="nil"/>
              <w:left w:val="nil"/>
              <w:bottom w:val="single" w:sz="4" w:space="0" w:color="auto"/>
              <w:right w:val="single" w:sz="8" w:space="0" w:color="000000" w:themeColor="text1"/>
            </w:tcBorders>
            <w:shd w:val="clear" w:color="auto" w:fill="C6EFCE"/>
            <w:vAlign w:val="center"/>
            <w:hideMark/>
          </w:tcPr>
          <w:p w14:paraId="1E343B01" w14:textId="4CB9D283" w:rsidR="00025543" w:rsidRDefault="007E3A2F">
            <w:pPr>
              <w:pStyle w:val="P68B1DB1-Normal57"/>
              <w:spacing w:before="0" w:after="0" w:line="240" w:lineRule="auto"/>
              <w:jc w:val="center"/>
              <w:rPr>
                <w:noProof/>
              </w:rPr>
            </w:pPr>
            <w:r>
              <w:rPr>
                <w:noProof/>
              </w:rPr>
              <w:t>C 1.3: Réseaux numériques à haute capacité — Investissements 1: Mise en place de connexions à haute capacité </w:t>
            </w:r>
          </w:p>
        </w:tc>
        <w:tc>
          <w:tcPr>
            <w:tcW w:w="1770" w:type="dxa"/>
            <w:tcBorders>
              <w:top w:val="nil"/>
              <w:left w:val="nil"/>
              <w:bottom w:val="single" w:sz="4" w:space="0" w:color="auto"/>
              <w:right w:val="single" w:sz="8" w:space="0" w:color="000000" w:themeColor="text1"/>
            </w:tcBorders>
            <w:shd w:val="clear" w:color="auto" w:fill="C6EFCE"/>
            <w:vAlign w:val="center"/>
            <w:hideMark/>
          </w:tcPr>
          <w:p w14:paraId="54C85580" w14:textId="77777777" w:rsidR="00025543" w:rsidRDefault="007E3A2F">
            <w:pPr>
              <w:pStyle w:val="P68B1DB1-Normal57"/>
              <w:spacing w:before="0" w:after="0" w:line="240" w:lineRule="auto"/>
              <w:jc w:val="center"/>
              <w:rPr>
                <w:noProof/>
              </w:rPr>
            </w:pPr>
            <w:r>
              <w:rPr>
                <w:noProof/>
              </w:rPr>
              <w:t>Étapes</w:t>
            </w:r>
          </w:p>
        </w:tc>
        <w:tc>
          <w:tcPr>
            <w:tcW w:w="3409" w:type="dxa"/>
            <w:tcBorders>
              <w:top w:val="single" w:sz="8" w:space="0" w:color="auto"/>
              <w:left w:val="nil"/>
              <w:bottom w:val="single" w:sz="4" w:space="0" w:color="auto"/>
              <w:right w:val="single" w:sz="8" w:space="0" w:color="auto"/>
            </w:tcBorders>
            <w:shd w:val="clear" w:color="auto" w:fill="C6EFCE"/>
            <w:vAlign w:val="center"/>
            <w:hideMark/>
          </w:tcPr>
          <w:p w14:paraId="2484FBEC" w14:textId="0FCDD6BE" w:rsidR="00025543" w:rsidRDefault="007E3A2F">
            <w:pPr>
              <w:pStyle w:val="P68B1DB1-Normal56"/>
              <w:spacing w:before="0" w:after="0" w:line="240" w:lineRule="auto"/>
              <w:jc w:val="center"/>
              <w:rPr>
                <w:noProof/>
              </w:rPr>
            </w:pPr>
            <w:r>
              <w:rPr>
                <w:noProof/>
              </w:rPr>
              <w:t>Octroi, par le ministère de l’industrie et du commerce, de toutes les décisions de subvention pour la connexion des points d’adresse au réseau à très haute capacité (VHCN) </w:t>
            </w:r>
          </w:p>
        </w:tc>
      </w:tr>
      <w:tr w:rsidR="00025543" w14:paraId="04B487EC" w14:textId="77777777">
        <w:trPr>
          <w:trHeight w:val="795"/>
        </w:trPr>
        <w:tc>
          <w:tcPr>
            <w:tcW w:w="1275" w:type="dxa"/>
            <w:tcBorders>
              <w:top w:val="single" w:sz="4" w:space="0" w:color="auto"/>
              <w:left w:val="single" w:sz="8" w:space="0" w:color="auto"/>
              <w:bottom w:val="nil"/>
              <w:right w:val="single" w:sz="8" w:space="0" w:color="auto"/>
            </w:tcBorders>
            <w:shd w:val="clear" w:color="auto" w:fill="C6EFCE"/>
            <w:vAlign w:val="center"/>
            <w:hideMark/>
          </w:tcPr>
          <w:p w14:paraId="41949211" w14:textId="77777777" w:rsidR="00025543" w:rsidRDefault="007E3A2F">
            <w:pPr>
              <w:pStyle w:val="P68B1DB1-Normal56"/>
              <w:spacing w:before="0" w:after="0" w:line="240" w:lineRule="auto"/>
              <w:jc w:val="center"/>
              <w:rPr>
                <w:noProof/>
              </w:rPr>
            </w:pPr>
            <w:r>
              <w:rPr>
                <w:noProof/>
              </w:rPr>
              <w:t>43</w:t>
            </w:r>
          </w:p>
        </w:tc>
        <w:tc>
          <w:tcPr>
            <w:tcW w:w="4035"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7BB47495" w14:textId="66B3E0C2" w:rsidR="00025543" w:rsidRDefault="007E3A2F">
            <w:pPr>
              <w:pStyle w:val="P68B1DB1-Normal57"/>
              <w:spacing w:before="0" w:after="0" w:line="240" w:lineRule="auto"/>
              <w:jc w:val="center"/>
              <w:rPr>
                <w:noProof/>
              </w:rPr>
            </w:pPr>
            <w:r>
              <w:rPr>
                <w:noProof/>
              </w:rPr>
              <w:t>C 1.3: Réseaux numériques à haute capacité — Investissements 3: Soutenir le développement d’infrastructures mobiles 5G dans les zones blanches à forte intensité d’investissements ruraux </w:t>
            </w:r>
          </w:p>
        </w:tc>
        <w:tc>
          <w:tcPr>
            <w:tcW w:w="1770"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54E9733C" w14:textId="77777777" w:rsidR="00025543" w:rsidRDefault="007E3A2F">
            <w:pPr>
              <w:pStyle w:val="P68B1DB1-Normal57"/>
              <w:spacing w:before="0" w:after="0" w:line="240" w:lineRule="auto"/>
              <w:jc w:val="center"/>
              <w:rPr>
                <w:noProof/>
              </w:rPr>
            </w:pPr>
            <w:r>
              <w:rPr>
                <w:noProof/>
              </w:rPr>
              <w:t>Étapes</w:t>
            </w:r>
          </w:p>
        </w:tc>
        <w:tc>
          <w:tcPr>
            <w:tcW w:w="3409" w:type="dxa"/>
            <w:tcBorders>
              <w:top w:val="single" w:sz="4" w:space="0" w:color="auto"/>
              <w:left w:val="nil"/>
              <w:bottom w:val="nil"/>
              <w:right w:val="single" w:sz="8" w:space="0" w:color="auto"/>
            </w:tcBorders>
            <w:shd w:val="clear" w:color="auto" w:fill="C6EFCE"/>
            <w:vAlign w:val="center"/>
            <w:hideMark/>
          </w:tcPr>
          <w:p w14:paraId="1AF6AF6C" w14:textId="77777777" w:rsidR="00025543" w:rsidRDefault="007E3A2F">
            <w:pPr>
              <w:pStyle w:val="P68B1DB1-Normal56"/>
              <w:spacing w:before="0" w:after="0" w:line="240" w:lineRule="auto"/>
              <w:jc w:val="center"/>
              <w:rPr>
                <w:noProof/>
              </w:rPr>
            </w:pPr>
            <w:r>
              <w:rPr>
                <w:noProof/>
              </w:rPr>
              <w:t>Octroi de toutes les décisions de subvention pour la connexion de municipalités disposant d’une connexion à haute capacité </w:t>
            </w:r>
          </w:p>
        </w:tc>
      </w:tr>
      <w:tr w:rsidR="00025543" w14:paraId="2FA418C3" w14:textId="77777777">
        <w:trPr>
          <w:trHeight w:val="600"/>
        </w:trPr>
        <w:tc>
          <w:tcPr>
            <w:tcW w:w="1275" w:type="dxa"/>
            <w:tcBorders>
              <w:top w:val="single" w:sz="8" w:space="0" w:color="auto"/>
              <w:left w:val="single" w:sz="8" w:space="0" w:color="auto"/>
              <w:bottom w:val="single" w:sz="4" w:space="0" w:color="auto"/>
              <w:right w:val="single" w:sz="8" w:space="0" w:color="auto"/>
            </w:tcBorders>
            <w:shd w:val="clear" w:color="auto" w:fill="C6EFCE"/>
            <w:vAlign w:val="center"/>
            <w:hideMark/>
          </w:tcPr>
          <w:p w14:paraId="1CCF195E" w14:textId="77777777" w:rsidR="00025543" w:rsidRDefault="007E3A2F">
            <w:pPr>
              <w:pStyle w:val="P68B1DB1-Normal56"/>
              <w:spacing w:before="0" w:after="0" w:line="240" w:lineRule="auto"/>
              <w:jc w:val="center"/>
              <w:rPr>
                <w:noProof/>
              </w:rPr>
            </w:pPr>
            <w:r>
              <w:rPr>
                <w:noProof/>
              </w:rPr>
              <w:t>45</w:t>
            </w:r>
          </w:p>
        </w:tc>
        <w:tc>
          <w:tcPr>
            <w:tcW w:w="4035" w:type="dxa"/>
            <w:tcBorders>
              <w:top w:val="nil"/>
              <w:left w:val="nil"/>
              <w:bottom w:val="single" w:sz="4" w:space="0" w:color="auto"/>
              <w:right w:val="single" w:sz="8" w:space="0" w:color="000000" w:themeColor="text1"/>
            </w:tcBorders>
            <w:shd w:val="clear" w:color="auto" w:fill="C6EFCE"/>
            <w:vAlign w:val="center"/>
            <w:hideMark/>
          </w:tcPr>
          <w:p w14:paraId="500CDA34" w14:textId="1DC252FD" w:rsidR="00025543" w:rsidRDefault="007E3A2F">
            <w:pPr>
              <w:pStyle w:val="P68B1DB1-Normal57"/>
              <w:spacing w:before="0" w:after="0" w:line="240" w:lineRule="auto"/>
              <w:jc w:val="center"/>
              <w:rPr>
                <w:noProof/>
              </w:rPr>
            </w:pPr>
            <w:r>
              <w:rPr>
                <w:noProof/>
              </w:rPr>
              <w:t>C 1.3: Réseaux numériques à haute capacité — Investissements 4: Activités de recherche scientifique liées au développement de réseaux et de services 5G </w:t>
            </w:r>
          </w:p>
        </w:tc>
        <w:tc>
          <w:tcPr>
            <w:tcW w:w="1770" w:type="dxa"/>
            <w:tcBorders>
              <w:top w:val="nil"/>
              <w:left w:val="nil"/>
              <w:bottom w:val="single" w:sz="4" w:space="0" w:color="auto"/>
              <w:right w:val="single" w:sz="8" w:space="0" w:color="000000" w:themeColor="text1"/>
            </w:tcBorders>
            <w:shd w:val="clear" w:color="auto" w:fill="C6EFCE"/>
            <w:vAlign w:val="center"/>
            <w:hideMark/>
          </w:tcPr>
          <w:p w14:paraId="181BD96E" w14:textId="77777777" w:rsidR="00025543" w:rsidRDefault="007E3A2F">
            <w:pPr>
              <w:pStyle w:val="P68B1DB1-Normal57"/>
              <w:spacing w:before="0" w:after="0" w:line="240" w:lineRule="auto"/>
              <w:jc w:val="center"/>
              <w:rPr>
                <w:noProof/>
              </w:rPr>
            </w:pPr>
            <w:r>
              <w:rPr>
                <w:noProof/>
              </w:rPr>
              <w:t>Étapes</w:t>
            </w:r>
          </w:p>
        </w:tc>
        <w:tc>
          <w:tcPr>
            <w:tcW w:w="3409" w:type="dxa"/>
            <w:tcBorders>
              <w:top w:val="single" w:sz="8" w:space="0" w:color="auto"/>
              <w:left w:val="nil"/>
              <w:bottom w:val="single" w:sz="4" w:space="0" w:color="auto"/>
              <w:right w:val="single" w:sz="8" w:space="0" w:color="auto"/>
            </w:tcBorders>
            <w:shd w:val="clear" w:color="auto" w:fill="C6EFCE"/>
            <w:vAlign w:val="center"/>
            <w:hideMark/>
          </w:tcPr>
          <w:p w14:paraId="7F7110F2" w14:textId="77777777" w:rsidR="00025543" w:rsidRDefault="007E3A2F">
            <w:pPr>
              <w:pStyle w:val="P68B1DB1-Normal56"/>
              <w:spacing w:before="0" w:after="0" w:line="240" w:lineRule="auto"/>
              <w:jc w:val="center"/>
              <w:rPr>
                <w:noProof/>
              </w:rPr>
            </w:pPr>
            <w:r>
              <w:rPr>
                <w:noProof/>
              </w:rPr>
              <w:t>Octroi de toutes les décisions de subvention pour des projets de recherche scientifique liés aux réseaux 5G </w:t>
            </w:r>
          </w:p>
        </w:tc>
      </w:tr>
      <w:tr w:rsidR="00025543" w14:paraId="79797EC3" w14:textId="77777777">
        <w:trPr>
          <w:trHeight w:val="600"/>
        </w:trPr>
        <w:tc>
          <w:tcPr>
            <w:tcW w:w="1275"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6426A05D" w14:textId="77777777" w:rsidR="00025543" w:rsidRDefault="007E3A2F">
            <w:pPr>
              <w:pStyle w:val="P68B1DB1-Normal56"/>
              <w:spacing w:before="0" w:after="0" w:line="240" w:lineRule="auto"/>
              <w:jc w:val="center"/>
              <w:rPr>
                <w:noProof/>
              </w:rPr>
            </w:pPr>
            <w:r>
              <w:rPr>
                <w:noProof/>
              </w:rPr>
              <w:t>60</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38E2EAC0" w14:textId="77777777" w:rsidR="00025543" w:rsidRDefault="007E3A2F">
            <w:pPr>
              <w:pStyle w:val="P68B1DB1-Normal57"/>
              <w:spacing w:before="0" w:after="0" w:line="240" w:lineRule="auto"/>
              <w:jc w:val="center"/>
              <w:rPr>
                <w:noProof/>
              </w:rPr>
            </w:pPr>
            <w:r>
              <w:rPr>
                <w:noProof/>
              </w:rPr>
              <w:t>C 1.4: Économie et société numériques, jeunes pousses innovantes et nouvelles technologies — Investissements 8: Encourager l’esprit d’entreprise et les entreprises innovantes</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74548EDB" w14:textId="77777777" w:rsidR="00025543" w:rsidRDefault="007E3A2F">
            <w:pPr>
              <w:pStyle w:val="P68B1DB1-Normal57"/>
              <w:spacing w:before="0" w:after="0" w:line="240" w:lineRule="auto"/>
              <w:jc w:val="center"/>
              <w:rPr>
                <w:noProof/>
              </w:rPr>
            </w:pPr>
            <w:r>
              <w:rPr>
                <w:noProof/>
              </w:rPr>
              <w:t>Cible</w:t>
            </w:r>
          </w:p>
        </w:tc>
        <w:tc>
          <w:tcPr>
            <w:tcW w:w="3409" w:type="dxa"/>
            <w:tcBorders>
              <w:top w:val="nil"/>
              <w:left w:val="nil"/>
              <w:bottom w:val="single" w:sz="8" w:space="0" w:color="000000" w:themeColor="text1"/>
              <w:right w:val="single" w:sz="8" w:space="0" w:color="auto"/>
            </w:tcBorders>
            <w:shd w:val="clear" w:color="auto" w:fill="C6EFCE"/>
            <w:vAlign w:val="center"/>
            <w:hideMark/>
          </w:tcPr>
          <w:p w14:paraId="6AF94FDB" w14:textId="77777777" w:rsidR="00025543" w:rsidRDefault="007E3A2F">
            <w:pPr>
              <w:pStyle w:val="P68B1DB1-Normal56"/>
              <w:spacing w:before="0" w:after="0" w:line="240" w:lineRule="auto"/>
              <w:jc w:val="center"/>
              <w:rPr>
                <w:noProof/>
              </w:rPr>
            </w:pPr>
            <w:r>
              <w:rPr>
                <w:noProof/>
              </w:rPr>
              <w:t>Nombre de jeunes pousses soutenues par l’intermédiaire de pôles d’innovation et d’organisations partenaires du programme</w:t>
            </w:r>
          </w:p>
        </w:tc>
      </w:tr>
      <w:tr w:rsidR="00025543" w14:paraId="39DD5097" w14:textId="77777777">
        <w:trPr>
          <w:trHeight w:val="600"/>
        </w:trPr>
        <w:tc>
          <w:tcPr>
            <w:tcW w:w="1275" w:type="dxa"/>
            <w:tcBorders>
              <w:top w:val="nil"/>
              <w:left w:val="single" w:sz="8" w:space="0" w:color="auto"/>
              <w:bottom w:val="nil"/>
              <w:right w:val="single" w:sz="8" w:space="0" w:color="000000" w:themeColor="text1"/>
            </w:tcBorders>
            <w:shd w:val="clear" w:color="auto" w:fill="C6EFCE"/>
            <w:vAlign w:val="center"/>
            <w:hideMark/>
          </w:tcPr>
          <w:p w14:paraId="450108EF" w14:textId="77777777" w:rsidR="00025543" w:rsidRDefault="007E3A2F">
            <w:pPr>
              <w:pStyle w:val="P68B1DB1-Normal57"/>
              <w:spacing w:before="0" w:after="0" w:line="240" w:lineRule="auto"/>
              <w:jc w:val="center"/>
              <w:rPr>
                <w:noProof/>
              </w:rPr>
            </w:pPr>
            <w:r>
              <w:rPr>
                <w:noProof/>
              </w:rPr>
              <w:t>69</w:t>
            </w:r>
          </w:p>
        </w:tc>
        <w:tc>
          <w:tcPr>
            <w:tcW w:w="4035" w:type="dxa"/>
            <w:tcBorders>
              <w:top w:val="nil"/>
              <w:left w:val="nil"/>
              <w:bottom w:val="nil"/>
              <w:right w:val="single" w:sz="8" w:space="0" w:color="000000" w:themeColor="text1"/>
            </w:tcBorders>
            <w:shd w:val="clear" w:color="auto" w:fill="C6EFCE"/>
            <w:vAlign w:val="center"/>
            <w:hideMark/>
          </w:tcPr>
          <w:p w14:paraId="53C089AC" w14:textId="77777777" w:rsidR="00025543" w:rsidRDefault="007E3A2F">
            <w:pPr>
              <w:pStyle w:val="P68B1DB1-Normal57"/>
              <w:spacing w:before="0" w:after="0" w:line="240" w:lineRule="auto"/>
              <w:jc w:val="center"/>
              <w:rPr>
                <w:noProof/>
              </w:rPr>
            </w:pPr>
            <w:r>
              <w:rPr>
                <w:noProof/>
              </w:rPr>
              <w:t>C 1.5: Transformation numérique des entreprises — Investissements 1: Pôles d’innovation numérique européens et nationaux</w:t>
            </w:r>
          </w:p>
        </w:tc>
        <w:tc>
          <w:tcPr>
            <w:tcW w:w="1770" w:type="dxa"/>
            <w:tcBorders>
              <w:top w:val="nil"/>
              <w:left w:val="nil"/>
              <w:bottom w:val="nil"/>
              <w:right w:val="single" w:sz="8" w:space="0" w:color="000000" w:themeColor="text1"/>
            </w:tcBorders>
            <w:shd w:val="clear" w:color="auto" w:fill="C6EFCE"/>
            <w:vAlign w:val="center"/>
            <w:hideMark/>
          </w:tcPr>
          <w:p w14:paraId="1C6E64F4" w14:textId="77777777" w:rsidR="00025543" w:rsidRDefault="007E3A2F">
            <w:pPr>
              <w:pStyle w:val="P68B1DB1-Normal57"/>
              <w:spacing w:before="0" w:after="0" w:line="240" w:lineRule="auto"/>
              <w:jc w:val="center"/>
              <w:rPr>
                <w:noProof/>
              </w:rPr>
            </w:pPr>
            <w:r>
              <w:rPr>
                <w:noProof/>
              </w:rPr>
              <w:t>Cible</w:t>
            </w:r>
          </w:p>
        </w:tc>
        <w:tc>
          <w:tcPr>
            <w:tcW w:w="3409" w:type="dxa"/>
            <w:tcBorders>
              <w:top w:val="nil"/>
              <w:left w:val="nil"/>
              <w:bottom w:val="nil"/>
              <w:right w:val="single" w:sz="8" w:space="0" w:color="auto"/>
            </w:tcBorders>
            <w:shd w:val="clear" w:color="auto" w:fill="C6EFCE"/>
            <w:vAlign w:val="center"/>
            <w:hideMark/>
          </w:tcPr>
          <w:p w14:paraId="52239378" w14:textId="77777777" w:rsidR="00025543" w:rsidRDefault="007E3A2F">
            <w:pPr>
              <w:pStyle w:val="P68B1DB1-Normal57"/>
              <w:spacing w:before="0" w:after="0" w:line="240" w:lineRule="auto"/>
              <w:jc w:val="center"/>
              <w:rPr>
                <w:noProof/>
              </w:rPr>
            </w:pPr>
            <w:r>
              <w:rPr>
                <w:noProof/>
              </w:rPr>
              <w:t>Création de pôles d’innovation numérique européens et nationaux fonctionnels et interconnectés</w:t>
            </w:r>
          </w:p>
        </w:tc>
      </w:tr>
      <w:tr w:rsidR="00025543" w14:paraId="1A018D62" w14:textId="77777777">
        <w:trPr>
          <w:trHeight w:val="600"/>
        </w:trPr>
        <w:tc>
          <w:tcPr>
            <w:tcW w:w="1275" w:type="dxa"/>
            <w:tcBorders>
              <w:top w:val="single" w:sz="8" w:space="0" w:color="auto"/>
              <w:left w:val="single" w:sz="8" w:space="0" w:color="auto"/>
              <w:bottom w:val="single" w:sz="8" w:space="0" w:color="auto"/>
              <w:right w:val="single" w:sz="8" w:space="0" w:color="000000" w:themeColor="text1"/>
            </w:tcBorders>
            <w:shd w:val="clear" w:color="auto" w:fill="C6EFCE"/>
            <w:vAlign w:val="center"/>
            <w:hideMark/>
          </w:tcPr>
          <w:p w14:paraId="7A697D34" w14:textId="77777777" w:rsidR="00025543" w:rsidRDefault="007E3A2F">
            <w:pPr>
              <w:pStyle w:val="P68B1DB1-Normal57"/>
              <w:spacing w:before="0" w:after="0" w:line="240" w:lineRule="auto"/>
              <w:jc w:val="center"/>
              <w:rPr>
                <w:noProof/>
              </w:rPr>
            </w:pPr>
            <w:r>
              <w:rPr>
                <w:noProof/>
              </w:rPr>
              <w:t>76</w:t>
            </w:r>
          </w:p>
        </w:tc>
        <w:tc>
          <w:tcPr>
            <w:tcW w:w="4035" w:type="dxa"/>
            <w:tcBorders>
              <w:top w:val="single" w:sz="8" w:space="0" w:color="auto"/>
              <w:left w:val="nil"/>
              <w:bottom w:val="single" w:sz="8" w:space="0" w:color="auto"/>
              <w:right w:val="single" w:sz="8" w:space="0" w:color="000000" w:themeColor="text1"/>
            </w:tcBorders>
            <w:shd w:val="clear" w:color="auto" w:fill="C6EFCE"/>
            <w:vAlign w:val="center"/>
            <w:hideMark/>
          </w:tcPr>
          <w:p w14:paraId="3BF5379D" w14:textId="77777777" w:rsidR="00025543" w:rsidRDefault="007E3A2F">
            <w:pPr>
              <w:pStyle w:val="P68B1DB1-Normal57"/>
              <w:spacing w:before="0" w:after="0" w:line="240" w:lineRule="auto"/>
              <w:jc w:val="center"/>
              <w:rPr>
                <w:noProof/>
              </w:rPr>
            </w:pPr>
            <w:r>
              <w:rPr>
                <w:noProof/>
              </w:rPr>
              <w:t>C 1.6: Accélération et numérisation du processus de construction — Investissement 2: Développement et utilisation des données de l’administration publique dans le cadre de l’aménagement du territoire</w:t>
            </w:r>
          </w:p>
        </w:tc>
        <w:tc>
          <w:tcPr>
            <w:tcW w:w="1770" w:type="dxa"/>
            <w:tcBorders>
              <w:top w:val="single" w:sz="8" w:space="0" w:color="auto"/>
              <w:left w:val="nil"/>
              <w:bottom w:val="single" w:sz="8" w:space="0" w:color="auto"/>
              <w:right w:val="single" w:sz="8" w:space="0" w:color="000000" w:themeColor="text1"/>
            </w:tcBorders>
            <w:shd w:val="clear" w:color="auto" w:fill="C6EFCE"/>
            <w:vAlign w:val="center"/>
            <w:hideMark/>
          </w:tcPr>
          <w:p w14:paraId="49636876" w14:textId="77777777" w:rsidR="00025543" w:rsidRDefault="007E3A2F">
            <w:pPr>
              <w:pStyle w:val="P68B1DB1-Normal57"/>
              <w:spacing w:before="0" w:after="0" w:line="240" w:lineRule="auto"/>
              <w:jc w:val="center"/>
              <w:rPr>
                <w:noProof/>
              </w:rPr>
            </w:pPr>
            <w:r>
              <w:rPr>
                <w:noProof/>
              </w:rPr>
              <w:t>Étapes</w:t>
            </w:r>
          </w:p>
        </w:tc>
        <w:tc>
          <w:tcPr>
            <w:tcW w:w="3409" w:type="dxa"/>
            <w:tcBorders>
              <w:top w:val="single" w:sz="8" w:space="0" w:color="auto"/>
              <w:left w:val="nil"/>
              <w:bottom w:val="single" w:sz="8" w:space="0" w:color="auto"/>
              <w:right w:val="single" w:sz="8" w:space="0" w:color="auto"/>
            </w:tcBorders>
            <w:shd w:val="clear" w:color="auto" w:fill="C6EFCE"/>
            <w:vAlign w:val="center"/>
            <w:hideMark/>
          </w:tcPr>
          <w:p w14:paraId="05AB5C53" w14:textId="77777777" w:rsidR="00025543" w:rsidRDefault="007E3A2F">
            <w:pPr>
              <w:pStyle w:val="P68B1DB1-Normal57"/>
              <w:spacing w:before="0" w:after="0" w:line="240" w:lineRule="auto"/>
              <w:jc w:val="center"/>
              <w:rPr>
                <w:noProof/>
              </w:rPr>
            </w:pPr>
            <w:r>
              <w:rPr>
                <w:noProof/>
              </w:rPr>
              <w:t>Création d’une base de données normalisée de documentation analytique spatiale</w:t>
            </w:r>
          </w:p>
        </w:tc>
      </w:tr>
      <w:tr w:rsidR="00025543" w14:paraId="1ABA51DD" w14:textId="77777777">
        <w:trPr>
          <w:trHeight w:val="600"/>
        </w:trPr>
        <w:tc>
          <w:tcPr>
            <w:tcW w:w="1275"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4899A90A" w14:textId="77777777" w:rsidR="00025543" w:rsidRDefault="007E3A2F">
            <w:pPr>
              <w:pStyle w:val="P68B1DB1-Normal57"/>
              <w:spacing w:before="0" w:after="0" w:line="240" w:lineRule="auto"/>
              <w:jc w:val="center"/>
              <w:rPr>
                <w:noProof/>
              </w:rPr>
            </w:pPr>
            <w:r>
              <w:rPr>
                <w:noProof/>
              </w:rPr>
              <w:t>77</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49F6C690" w14:textId="77777777" w:rsidR="00025543" w:rsidRDefault="007E3A2F">
            <w:pPr>
              <w:pStyle w:val="P68B1DB1-Normal57"/>
              <w:spacing w:before="0" w:after="0" w:line="240" w:lineRule="auto"/>
              <w:jc w:val="center"/>
              <w:rPr>
                <w:noProof/>
              </w:rPr>
            </w:pPr>
            <w:r>
              <w:rPr>
                <w:noProof/>
              </w:rPr>
              <w:t>C 1.6: Accélération et numérisation du processus de construction — Investissement 3: Tirer pleinement parti de la numérisation des bâtiments</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1B2C6BAA" w14:textId="77777777" w:rsidR="00025543" w:rsidRDefault="007E3A2F">
            <w:pPr>
              <w:pStyle w:val="P68B1DB1-Normal57"/>
              <w:spacing w:before="0" w:after="0" w:line="240" w:lineRule="auto"/>
              <w:jc w:val="center"/>
              <w:rPr>
                <w:noProof/>
              </w:rPr>
            </w:pPr>
            <w:r>
              <w:rPr>
                <w:noProof/>
              </w:rPr>
              <w:t>Étapes</w:t>
            </w:r>
          </w:p>
        </w:tc>
        <w:tc>
          <w:tcPr>
            <w:tcW w:w="3409" w:type="dxa"/>
            <w:tcBorders>
              <w:top w:val="nil"/>
              <w:left w:val="nil"/>
              <w:bottom w:val="single" w:sz="8" w:space="0" w:color="000000" w:themeColor="text1"/>
              <w:right w:val="single" w:sz="8" w:space="0" w:color="auto"/>
            </w:tcBorders>
            <w:shd w:val="clear" w:color="auto" w:fill="C6EFCE"/>
            <w:vAlign w:val="center"/>
            <w:hideMark/>
          </w:tcPr>
          <w:p w14:paraId="122B1B13" w14:textId="77777777" w:rsidR="00025543" w:rsidRDefault="007E3A2F">
            <w:pPr>
              <w:pStyle w:val="P68B1DB1-Normal57"/>
              <w:spacing w:before="0" w:after="0" w:line="240" w:lineRule="auto"/>
              <w:jc w:val="center"/>
              <w:rPr>
                <w:noProof/>
              </w:rPr>
            </w:pPr>
            <w:r>
              <w:rPr>
                <w:noProof/>
              </w:rPr>
              <w:t>Systèmes informatiques soutenant la numérisation du processus de permis de construire pleinement opérationnels</w:t>
            </w:r>
          </w:p>
        </w:tc>
      </w:tr>
      <w:tr w:rsidR="00025543" w14:paraId="25BD6C78" w14:textId="77777777">
        <w:trPr>
          <w:trHeight w:val="600"/>
        </w:trPr>
        <w:tc>
          <w:tcPr>
            <w:tcW w:w="1275" w:type="dxa"/>
            <w:tcBorders>
              <w:top w:val="single" w:sz="8" w:space="0" w:color="000000" w:themeColor="text1"/>
              <w:left w:val="single" w:sz="8" w:space="0" w:color="auto"/>
              <w:bottom w:val="single" w:sz="4" w:space="0" w:color="auto"/>
              <w:right w:val="single" w:sz="8" w:space="0" w:color="000000" w:themeColor="text1"/>
            </w:tcBorders>
            <w:shd w:val="clear" w:color="auto" w:fill="C6EFCE"/>
            <w:vAlign w:val="center"/>
            <w:hideMark/>
          </w:tcPr>
          <w:p w14:paraId="78E35A55" w14:textId="77777777" w:rsidR="00025543" w:rsidRDefault="007E3A2F">
            <w:pPr>
              <w:pStyle w:val="P68B1DB1-Normal57"/>
              <w:spacing w:before="0" w:after="0" w:line="240" w:lineRule="auto"/>
              <w:jc w:val="center"/>
              <w:rPr>
                <w:noProof/>
              </w:rPr>
            </w:pPr>
            <w:r>
              <w:rPr>
                <w:noProof/>
              </w:rPr>
              <w:t>85</w:t>
            </w:r>
          </w:p>
        </w:tc>
        <w:tc>
          <w:tcPr>
            <w:tcW w:w="4035" w:type="dxa"/>
            <w:tcBorders>
              <w:top w:val="single" w:sz="8" w:space="0" w:color="000000" w:themeColor="text1"/>
              <w:left w:val="nil"/>
              <w:bottom w:val="single" w:sz="4" w:space="0" w:color="auto"/>
              <w:right w:val="single" w:sz="8" w:space="0" w:color="000000" w:themeColor="text1"/>
            </w:tcBorders>
            <w:shd w:val="clear" w:color="auto" w:fill="C6EFCE"/>
            <w:vAlign w:val="center"/>
            <w:hideMark/>
          </w:tcPr>
          <w:p w14:paraId="450D60EB" w14:textId="77777777" w:rsidR="00025543" w:rsidRDefault="007E3A2F">
            <w:pPr>
              <w:pStyle w:val="P68B1DB1-Normal57"/>
              <w:spacing w:before="0" w:after="0" w:line="240" w:lineRule="auto"/>
              <w:jc w:val="center"/>
              <w:rPr>
                <w:noProof/>
              </w:rPr>
            </w:pPr>
            <w:r>
              <w:rPr>
                <w:noProof/>
              </w:rPr>
              <w:t>C 2.1: Transports durables — Investissements 1: Nouvelles technologies et numérisation de l’infrastructure ferroviaire</w:t>
            </w:r>
          </w:p>
        </w:tc>
        <w:tc>
          <w:tcPr>
            <w:tcW w:w="1770" w:type="dxa"/>
            <w:tcBorders>
              <w:top w:val="single" w:sz="8" w:space="0" w:color="000000" w:themeColor="text1"/>
              <w:left w:val="nil"/>
              <w:bottom w:val="single" w:sz="4" w:space="0" w:color="auto"/>
              <w:right w:val="single" w:sz="8" w:space="0" w:color="000000" w:themeColor="text1"/>
            </w:tcBorders>
            <w:shd w:val="clear" w:color="auto" w:fill="C6EFCE"/>
            <w:vAlign w:val="center"/>
            <w:hideMark/>
          </w:tcPr>
          <w:p w14:paraId="2D4C02E5" w14:textId="77777777" w:rsidR="00025543" w:rsidRDefault="007E3A2F">
            <w:pPr>
              <w:pStyle w:val="P68B1DB1-Normal57"/>
              <w:spacing w:before="0" w:after="0" w:line="240" w:lineRule="auto"/>
              <w:jc w:val="center"/>
              <w:rPr>
                <w:noProof/>
              </w:rPr>
            </w:pPr>
            <w:r>
              <w:rPr>
                <w:noProof/>
              </w:rPr>
              <w:t>Cible</w:t>
            </w:r>
          </w:p>
        </w:tc>
        <w:tc>
          <w:tcPr>
            <w:tcW w:w="3409" w:type="dxa"/>
            <w:tcBorders>
              <w:top w:val="single" w:sz="8" w:space="0" w:color="000000" w:themeColor="text1"/>
              <w:left w:val="nil"/>
              <w:bottom w:val="single" w:sz="4" w:space="0" w:color="auto"/>
              <w:right w:val="single" w:sz="8" w:space="0" w:color="auto"/>
            </w:tcBorders>
            <w:shd w:val="clear" w:color="auto" w:fill="C6EFCE"/>
            <w:vAlign w:val="center"/>
            <w:hideMark/>
          </w:tcPr>
          <w:p w14:paraId="5817D7C4" w14:textId="77777777" w:rsidR="00025543" w:rsidRDefault="007E3A2F">
            <w:pPr>
              <w:pStyle w:val="P68B1DB1-Normal57"/>
              <w:spacing w:before="0" w:after="0" w:line="240" w:lineRule="auto"/>
              <w:jc w:val="center"/>
              <w:rPr>
                <w:noProof/>
              </w:rPr>
            </w:pPr>
            <w:r>
              <w:rPr>
                <w:noProof/>
              </w:rPr>
              <w:t>Achèvement de six projets supplémentaires issus d’un ensemble prédéfini de projets.</w:t>
            </w:r>
          </w:p>
        </w:tc>
      </w:tr>
      <w:tr w:rsidR="00025543" w14:paraId="6EAF93B6" w14:textId="77777777">
        <w:trPr>
          <w:trHeight w:val="600"/>
        </w:trPr>
        <w:tc>
          <w:tcPr>
            <w:tcW w:w="1275" w:type="dxa"/>
            <w:tcBorders>
              <w:top w:val="single" w:sz="8" w:space="0" w:color="000000" w:themeColor="text1"/>
              <w:left w:val="single" w:sz="8" w:space="0" w:color="auto"/>
              <w:bottom w:val="single" w:sz="4" w:space="0" w:color="auto"/>
              <w:right w:val="single" w:sz="8" w:space="0" w:color="000000" w:themeColor="text1"/>
            </w:tcBorders>
            <w:shd w:val="clear" w:color="auto" w:fill="C6EFCE"/>
            <w:vAlign w:val="center"/>
            <w:hideMark/>
          </w:tcPr>
          <w:p w14:paraId="3A4B4545" w14:textId="71BEBC2A" w:rsidR="00025543" w:rsidRDefault="007E3A2F">
            <w:pPr>
              <w:pStyle w:val="P68B1DB1-Normal15"/>
              <w:spacing w:before="0" w:after="0"/>
              <w:jc w:val="center"/>
              <w:rPr>
                <w:noProof/>
              </w:rPr>
            </w:pPr>
            <w:r>
              <w:rPr>
                <w:noProof/>
              </w:rPr>
              <w:t xml:space="preserve">103 </w:t>
            </w:r>
          </w:p>
          <w:p w14:paraId="0C211D45" w14:textId="7D41C455" w:rsidR="00025543" w:rsidRDefault="00025543">
            <w:pPr>
              <w:spacing w:before="0" w:after="0"/>
              <w:rPr>
                <w:rFonts w:eastAsia="Times New Roman"/>
                <w:noProof/>
                <w:color w:val="004300"/>
                <w:sz w:val="18"/>
              </w:rPr>
            </w:pPr>
          </w:p>
        </w:tc>
        <w:tc>
          <w:tcPr>
            <w:tcW w:w="4035" w:type="dxa"/>
            <w:tcBorders>
              <w:top w:val="single" w:sz="8" w:space="0" w:color="000000" w:themeColor="text1"/>
              <w:left w:val="nil"/>
              <w:bottom w:val="single" w:sz="4" w:space="0" w:color="auto"/>
              <w:right w:val="single" w:sz="8" w:space="0" w:color="000000" w:themeColor="text1"/>
            </w:tcBorders>
            <w:shd w:val="clear" w:color="auto" w:fill="C6EFCE"/>
            <w:vAlign w:val="center"/>
            <w:hideMark/>
          </w:tcPr>
          <w:p w14:paraId="0C6A2C3E" w14:textId="7133FE13" w:rsidR="00025543" w:rsidRDefault="007E3A2F">
            <w:pPr>
              <w:spacing w:before="0" w:after="0" w:line="240" w:lineRule="auto"/>
              <w:rPr>
                <w:rFonts w:eastAsia="Times New Roman"/>
                <w:noProof/>
                <w:sz w:val="18"/>
              </w:rPr>
            </w:pPr>
            <w:r>
              <w:rPr>
                <w:rFonts w:eastAsia="Times New Roman"/>
                <w:noProof/>
                <w:color w:val="004300"/>
                <w:sz w:val="20"/>
              </w:rPr>
              <w:t>C</w:t>
            </w:r>
            <w:r>
              <w:rPr>
                <w:rFonts w:ascii="Calibri" w:hAnsi="Calibri" w:cs="Calibri"/>
                <w:noProof/>
                <w:sz w:val="20"/>
              </w:rPr>
              <w:t xml:space="preserve"> </w:t>
            </w:r>
            <w:r>
              <w:rPr>
                <w:rFonts w:eastAsia="Times New Roman"/>
                <w:noProof/>
                <w:color w:val="004300"/>
                <w:sz w:val="20"/>
              </w:rPr>
              <w:t>2.2: Réduction de la consommation d’énergie dans le secteur public — Investissements 1: Amélioration de la performance énergétique des bâtiments publics</w:t>
            </w:r>
            <w:r>
              <w:rPr>
                <w:rFonts w:eastAsia="Times New Roman"/>
                <w:noProof/>
                <w:color w:val="004300"/>
                <w:sz w:val="18"/>
              </w:rPr>
              <w:t xml:space="preserve"> </w:t>
            </w:r>
            <w:r>
              <w:rPr>
                <w:rFonts w:eastAsia="Times New Roman"/>
                <w:noProof/>
                <w:sz w:val="18"/>
              </w:rPr>
              <w:t xml:space="preserve"> </w:t>
            </w:r>
          </w:p>
        </w:tc>
        <w:tc>
          <w:tcPr>
            <w:tcW w:w="1770" w:type="dxa"/>
            <w:tcBorders>
              <w:top w:val="single" w:sz="8" w:space="0" w:color="000000" w:themeColor="text1"/>
              <w:left w:val="nil"/>
              <w:bottom w:val="single" w:sz="4" w:space="0" w:color="auto"/>
              <w:right w:val="single" w:sz="8" w:space="0" w:color="000000" w:themeColor="text1"/>
            </w:tcBorders>
            <w:shd w:val="clear" w:color="auto" w:fill="C6EFCE"/>
            <w:vAlign w:val="center"/>
            <w:hideMark/>
          </w:tcPr>
          <w:p w14:paraId="44477B43" w14:textId="260AF551" w:rsidR="00025543" w:rsidRDefault="007E3A2F">
            <w:pPr>
              <w:pStyle w:val="P68B1DB1-Normal57"/>
              <w:spacing w:line="240" w:lineRule="auto"/>
              <w:jc w:val="center"/>
              <w:rPr>
                <w:noProof/>
              </w:rPr>
            </w:pPr>
            <w:r>
              <w:rPr>
                <w:noProof/>
              </w:rPr>
              <w:t>Cible</w:t>
            </w:r>
          </w:p>
        </w:tc>
        <w:tc>
          <w:tcPr>
            <w:tcW w:w="3409" w:type="dxa"/>
            <w:tcBorders>
              <w:top w:val="single" w:sz="8" w:space="0" w:color="000000" w:themeColor="text1"/>
              <w:left w:val="nil"/>
              <w:bottom w:val="single" w:sz="4" w:space="0" w:color="auto"/>
              <w:right w:val="single" w:sz="8" w:space="0" w:color="auto"/>
            </w:tcBorders>
            <w:shd w:val="clear" w:color="auto" w:fill="C6EFCE"/>
            <w:vAlign w:val="center"/>
            <w:hideMark/>
          </w:tcPr>
          <w:p w14:paraId="476958AC" w14:textId="1C15AC25" w:rsidR="00025543" w:rsidRDefault="007E3A2F">
            <w:pPr>
              <w:pStyle w:val="P68B1DB1-Normal57"/>
              <w:spacing w:line="240" w:lineRule="auto"/>
              <w:jc w:val="center"/>
              <w:rPr>
                <w:noProof/>
              </w:rPr>
            </w:pPr>
            <w:r>
              <w:rPr>
                <w:noProof/>
              </w:rPr>
              <w:t xml:space="preserve">Attribution de 75 % de l’ensemble des marchés publics pour des projets de rénovation de bâtiments permettant d’économiser au moins 30 % d’énergie primaire  </w:t>
            </w:r>
          </w:p>
        </w:tc>
      </w:tr>
      <w:tr w:rsidR="00025543" w14:paraId="625474BA" w14:textId="77777777">
        <w:trPr>
          <w:trHeight w:val="600"/>
        </w:trPr>
        <w:tc>
          <w:tcPr>
            <w:tcW w:w="1275" w:type="dxa"/>
            <w:tcBorders>
              <w:top w:val="single" w:sz="4" w:space="0" w:color="auto"/>
              <w:left w:val="single" w:sz="8" w:space="0" w:color="auto"/>
              <w:bottom w:val="single" w:sz="8" w:space="0" w:color="auto"/>
              <w:right w:val="single" w:sz="8" w:space="0" w:color="000000" w:themeColor="text1"/>
            </w:tcBorders>
            <w:shd w:val="clear" w:color="auto" w:fill="C6EFCE"/>
            <w:vAlign w:val="center"/>
            <w:hideMark/>
          </w:tcPr>
          <w:p w14:paraId="6EF71181" w14:textId="77777777" w:rsidR="00025543" w:rsidRDefault="007E3A2F">
            <w:pPr>
              <w:pStyle w:val="P68B1DB1-Normal57"/>
              <w:spacing w:before="0" w:after="0" w:line="240" w:lineRule="auto"/>
              <w:jc w:val="center"/>
              <w:rPr>
                <w:noProof/>
              </w:rPr>
            </w:pPr>
            <w:r>
              <w:rPr>
                <w:noProof/>
              </w:rPr>
              <w:t>98</w:t>
            </w:r>
          </w:p>
        </w:tc>
        <w:tc>
          <w:tcPr>
            <w:tcW w:w="4035"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176780DF" w14:textId="77777777" w:rsidR="00025543" w:rsidRDefault="007E3A2F">
            <w:pPr>
              <w:pStyle w:val="P68B1DB1-Normal57"/>
              <w:spacing w:before="0" w:after="0" w:line="240" w:lineRule="auto"/>
              <w:jc w:val="center"/>
              <w:rPr>
                <w:noProof/>
              </w:rPr>
            </w:pPr>
            <w:r>
              <w:rPr>
                <w:noProof/>
              </w:rPr>
              <w:t>C 2.1: Transports durables — Investissements 4: Sécurité routière et ferroviaire (passages ferroviaires, ponts et tunnels, pistes cyclables et itinéraires sans obstacles)</w:t>
            </w:r>
          </w:p>
        </w:tc>
        <w:tc>
          <w:tcPr>
            <w:tcW w:w="1770"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78C799FD" w14:textId="77777777" w:rsidR="00025543" w:rsidRDefault="007E3A2F">
            <w:pPr>
              <w:pStyle w:val="P68B1DB1-Normal57"/>
              <w:spacing w:before="0" w:after="0" w:line="240" w:lineRule="auto"/>
              <w:jc w:val="center"/>
              <w:rPr>
                <w:noProof/>
              </w:rPr>
            </w:pPr>
            <w:r>
              <w:rPr>
                <w:noProof/>
              </w:rPr>
              <w:t>Cible</w:t>
            </w:r>
          </w:p>
        </w:tc>
        <w:tc>
          <w:tcPr>
            <w:tcW w:w="3409" w:type="dxa"/>
            <w:tcBorders>
              <w:top w:val="single" w:sz="4" w:space="0" w:color="auto"/>
              <w:left w:val="nil"/>
              <w:bottom w:val="single" w:sz="8" w:space="0" w:color="auto"/>
              <w:right w:val="single" w:sz="8" w:space="0" w:color="auto"/>
            </w:tcBorders>
            <w:shd w:val="clear" w:color="auto" w:fill="C6EFCE"/>
            <w:vAlign w:val="center"/>
            <w:hideMark/>
          </w:tcPr>
          <w:p w14:paraId="1C6B7AD8" w14:textId="77777777" w:rsidR="00025543" w:rsidRDefault="007E3A2F">
            <w:pPr>
              <w:pStyle w:val="P68B1DB1-Normal57"/>
              <w:spacing w:before="0" w:after="0" w:line="240" w:lineRule="auto"/>
              <w:jc w:val="center"/>
              <w:rPr>
                <w:noProof/>
              </w:rPr>
            </w:pPr>
            <w:r>
              <w:rPr>
                <w:noProof/>
              </w:rPr>
              <w:t>Achèvement des passages à niveau avec une sécurité accrue</w:t>
            </w:r>
          </w:p>
        </w:tc>
      </w:tr>
      <w:tr w:rsidR="00025543" w14:paraId="04824467" w14:textId="77777777">
        <w:trPr>
          <w:trHeight w:val="600"/>
        </w:trPr>
        <w:tc>
          <w:tcPr>
            <w:tcW w:w="1275" w:type="dxa"/>
            <w:tcBorders>
              <w:top w:val="nil"/>
              <w:left w:val="single" w:sz="8" w:space="0" w:color="auto"/>
              <w:bottom w:val="single" w:sz="8" w:space="0" w:color="auto"/>
              <w:right w:val="single" w:sz="8" w:space="0" w:color="000000" w:themeColor="text1"/>
            </w:tcBorders>
            <w:shd w:val="clear" w:color="auto" w:fill="C6EFCE"/>
            <w:vAlign w:val="center"/>
            <w:hideMark/>
          </w:tcPr>
          <w:p w14:paraId="6ED1DCE1" w14:textId="7157E56D" w:rsidR="00025543" w:rsidRDefault="007E3A2F">
            <w:pPr>
              <w:pStyle w:val="P68B1DB1-Normal56"/>
              <w:spacing w:line="240" w:lineRule="auto"/>
              <w:jc w:val="center"/>
              <w:rPr>
                <w:noProof/>
              </w:rPr>
            </w:pPr>
            <w:r>
              <w:rPr>
                <w:noProof/>
              </w:rPr>
              <w:t xml:space="preserve">133   </w:t>
            </w:r>
          </w:p>
          <w:p w14:paraId="1A9A7438" w14:textId="2257FD70" w:rsidR="00025543" w:rsidRDefault="00025543">
            <w:pPr>
              <w:spacing w:line="240" w:lineRule="auto"/>
              <w:jc w:val="center"/>
              <w:rPr>
                <w:rFonts w:eastAsia="Times New Roman"/>
                <w:noProof/>
                <w:color w:val="004300"/>
                <w:sz w:val="20"/>
              </w:rPr>
            </w:pP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5DBC91B8" w14:textId="4C4EAD59" w:rsidR="00025543" w:rsidRDefault="007E3A2F">
            <w:pPr>
              <w:pStyle w:val="P68B1DB1-Normal56"/>
              <w:spacing w:line="240" w:lineRule="auto"/>
              <w:jc w:val="center"/>
              <w:rPr>
                <w:noProof/>
              </w:rPr>
            </w:pPr>
            <w:r>
              <w:rPr>
                <w:noProof/>
              </w:rPr>
              <w:t xml:space="preserve">C 2.6: Protection de la nature et adaptation au changement climatique 1: Protection contre les inondations   </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67BB3BBA" w14:textId="27DD1CAE" w:rsidR="00025543" w:rsidRDefault="007E3A2F">
            <w:pPr>
              <w:pStyle w:val="P68B1DB1-Normal57"/>
              <w:spacing w:before="0" w:after="0" w:line="240" w:lineRule="auto"/>
              <w:jc w:val="center"/>
              <w:rPr>
                <w:noProof/>
              </w:rPr>
            </w:pPr>
            <w:r>
              <w:rPr>
                <w:noProof/>
              </w:rPr>
              <w:t xml:space="preserve">Cible  </w:t>
            </w:r>
          </w:p>
        </w:tc>
        <w:tc>
          <w:tcPr>
            <w:tcW w:w="3409" w:type="dxa"/>
            <w:tcBorders>
              <w:top w:val="nil"/>
              <w:left w:val="nil"/>
              <w:bottom w:val="single" w:sz="8" w:space="0" w:color="auto"/>
              <w:right w:val="single" w:sz="8" w:space="0" w:color="auto"/>
            </w:tcBorders>
            <w:shd w:val="clear" w:color="auto" w:fill="C6EFCE"/>
            <w:vAlign w:val="center"/>
            <w:hideMark/>
          </w:tcPr>
          <w:p w14:paraId="57446E40" w14:textId="4B2071C0" w:rsidR="00025543" w:rsidRDefault="007E3A2F">
            <w:pPr>
              <w:pStyle w:val="P68B1DB1-Normal62"/>
              <w:spacing w:before="0" w:after="0" w:line="240" w:lineRule="auto"/>
              <w:rPr>
                <w:noProof/>
                <w:sz w:val="18"/>
              </w:rPr>
            </w:pPr>
            <w:r>
              <w:rPr>
                <w:noProof/>
                <w:sz w:val="20"/>
              </w:rPr>
              <w:t>T2: Achèvement de 23 projets supplémentaires visant à mettre en place une protection résiliente contre les inondations.</w:t>
            </w:r>
            <w:r>
              <w:rPr>
                <w:noProof/>
                <w:sz w:val="18"/>
              </w:rPr>
              <w:t xml:space="preserve">  </w:t>
            </w:r>
          </w:p>
        </w:tc>
      </w:tr>
      <w:tr w:rsidR="00025543" w14:paraId="18D8BF17" w14:textId="77777777">
        <w:trPr>
          <w:trHeight w:val="600"/>
        </w:trPr>
        <w:tc>
          <w:tcPr>
            <w:tcW w:w="1275" w:type="dxa"/>
            <w:tcBorders>
              <w:top w:val="nil"/>
              <w:left w:val="single" w:sz="8" w:space="0" w:color="auto"/>
              <w:bottom w:val="single" w:sz="8" w:space="0" w:color="auto"/>
              <w:right w:val="single" w:sz="8" w:space="0" w:color="000000" w:themeColor="text1"/>
            </w:tcBorders>
            <w:shd w:val="clear" w:color="auto" w:fill="C6EFCE"/>
            <w:vAlign w:val="center"/>
            <w:hideMark/>
          </w:tcPr>
          <w:p w14:paraId="5D0EEF9E" w14:textId="77777777" w:rsidR="00025543" w:rsidRDefault="007E3A2F">
            <w:pPr>
              <w:pStyle w:val="P68B1DB1-Normal56"/>
              <w:spacing w:before="0" w:after="0" w:line="240" w:lineRule="auto"/>
              <w:jc w:val="center"/>
              <w:rPr>
                <w:noProof/>
              </w:rPr>
            </w:pPr>
            <w:r>
              <w:rPr>
                <w:noProof/>
              </w:rPr>
              <w:t>106</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210B5764" w14:textId="256FD1ED" w:rsidR="00025543" w:rsidRDefault="007E3A2F">
            <w:pPr>
              <w:pStyle w:val="P68B1DB1-Normal57"/>
              <w:spacing w:before="0" w:after="0" w:line="240" w:lineRule="auto"/>
              <w:jc w:val="center"/>
              <w:rPr>
                <w:noProof/>
              </w:rPr>
            </w:pPr>
            <w:r>
              <w:rPr>
                <w:noProof/>
              </w:rPr>
              <w:t>C 2.2: Réduction de la consommation d’énergie dans le secteur public — Investissements 2: Amélioration de la performance énergétique des systèmes d’éclairage public</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4B246CBF" w14:textId="77777777" w:rsidR="00025543" w:rsidRDefault="007E3A2F">
            <w:pPr>
              <w:pStyle w:val="P68B1DB1-Normal57"/>
              <w:spacing w:before="0" w:after="0" w:line="240" w:lineRule="auto"/>
              <w:jc w:val="center"/>
              <w:rPr>
                <w:noProof/>
              </w:rPr>
            </w:pPr>
            <w:r>
              <w:rPr>
                <w:noProof/>
              </w:rPr>
              <w:t>Cible</w:t>
            </w:r>
          </w:p>
        </w:tc>
        <w:tc>
          <w:tcPr>
            <w:tcW w:w="3409" w:type="dxa"/>
            <w:tcBorders>
              <w:top w:val="nil"/>
              <w:left w:val="nil"/>
              <w:bottom w:val="single" w:sz="8" w:space="0" w:color="auto"/>
              <w:right w:val="single" w:sz="8" w:space="0" w:color="auto"/>
            </w:tcBorders>
            <w:shd w:val="clear" w:color="auto" w:fill="C6EFCE"/>
            <w:vAlign w:val="center"/>
            <w:hideMark/>
          </w:tcPr>
          <w:p w14:paraId="4F6CB7EC" w14:textId="77777777" w:rsidR="00025543" w:rsidRDefault="007E3A2F">
            <w:pPr>
              <w:pStyle w:val="P68B1DB1-Normal56"/>
              <w:spacing w:before="0" w:after="0" w:line="240" w:lineRule="auto"/>
              <w:jc w:val="center"/>
              <w:rPr>
                <w:noProof/>
              </w:rPr>
            </w:pPr>
            <w:r>
              <w:rPr>
                <w:noProof/>
              </w:rPr>
              <w:t>Attribution de 80 % de l’ensemble des marchés publics pour la rénovation de systèmes de parafoudre publics permettant d’économiser au moins 30 % d’énergie primaire</w:t>
            </w:r>
          </w:p>
        </w:tc>
      </w:tr>
      <w:tr w:rsidR="00025543" w14:paraId="668D5A5E" w14:textId="77777777">
        <w:trPr>
          <w:trHeight w:val="600"/>
        </w:trPr>
        <w:tc>
          <w:tcPr>
            <w:tcW w:w="1275" w:type="dxa"/>
            <w:tcBorders>
              <w:top w:val="single" w:sz="8" w:space="0" w:color="auto"/>
              <w:left w:val="single" w:sz="8" w:space="0" w:color="auto"/>
              <w:bottom w:val="single" w:sz="4" w:space="0" w:color="auto"/>
              <w:right w:val="single" w:sz="8" w:space="0" w:color="000000" w:themeColor="text1"/>
            </w:tcBorders>
            <w:shd w:val="clear" w:color="auto" w:fill="C6EFCE"/>
            <w:vAlign w:val="center"/>
            <w:hideMark/>
          </w:tcPr>
          <w:p w14:paraId="3CF53C4D" w14:textId="77777777" w:rsidR="00025543" w:rsidRDefault="007E3A2F">
            <w:pPr>
              <w:pStyle w:val="P68B1DB1-Normal61"/>
              <w:spacing w:before="0" w:after="0" w:line="240" w:lineRule="auto"/>
              <w:jc w:val="center"/>
              <w:rPr>
                <w:noProof/>
              </w:rPr>
            </w:pPr>
            <w:r>
              <w:rPr>
                <w:noProof/>
              </w:rPr>
              <w:t>137</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541DEDF2" w14:textId="77777777" w:rsidR="00025543" w:rsidRDefault="007E3A2F">
            <w:pPr>
              <w:pStyle w:val="P68B1DB1-Normal57"/>
              <w:spacing w:before="0" w:after="0" w:line="240" w:lineRule="auto"/>
              <w:jc w:val="center"/>
              <w:rPr>
                <w:noProof/>
              </w:rPr>
            </w:pPr>
            <w:r>
              <w:rPr>
                <w:noProof/>
              </w:rPr>
              <w:t xml:space="preserve">C 2.6: Protection de la nature et adaptation au changement climatique — Investissement 3: Remembrement </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734DC918" w14:textId="77777777" w:rsidR="00025543" w:rsidRDefault="007E3A2F">
            <w:pPr>
              <w:pStyle w:val="P68B1DB1-Normal57"/>
              <w:spacing w:before="0" w:after="0" w:line="240" w:lineRule="auto"/>
              <w:jc w:val="center"/>
              <w:rPr>
                <w:noProof/>
              </w:rPr>
            </w:pPr>
            <w:r>
              <w:rPr>
                <w:noProof/>
              </w:rPr>
              <w:t>Cible</w:t>
            </w:r>
          </w:p>
        </w:tc>
        <w:tc>
          <w:tcPr>
            <w:tcW w:w="3409" w:type="dxa"/>
            <w:tcBorders>
              <w:top w:val="single" w:sz="8" w:space="0" w:color="auto"/>
              <w:left w:val="nil"/>
              <w:bottom w:val="single" w:sz="4" w:space="0" w:color="auto"/>
              <w:right w:val="single" w:sz="8" w:space="0" w:color="auto"/>
            </w:tcBorders>
            <w:shd w:val="clear" w:color="auto" w:fill="C6EFCE"/>
            <w:vAlign w:val="center"/>
            <w:hideMark/>
          </w:tcPr>
          <w:p w14:paraId="1AA7718A" w14:textId="77777777" w:rsidR="00025543" w:rsidRDefault="007E3A2F">
            <w:pPr>
              <w:pStyle w:val="P68B1DB1-Normal56"/>
              <w:spacing w:before="0" w:after="0" w:line="240" w:lineRule="auto"/>
              <w:jc w:val="center"/>
              <w:rPr>
                <w:noProof/>
              </w:rPr>
            </w:pPr>
            <w:r>
              <w:rPr>
                <w:noProof/>
              </w:rPr>
              <w:t>Achèvement de projets d’infrastructures vertes en faveur de la biodiversité, y compris les centres biologiques, les corridors biologiques et la plantation de verdure typique locale dans le paysage agricole (en ha de terres desservies par l’investissement).</w:t>
            </w:r>
          </w:p>
        </w:tc>
      </w:tr>
      <w:tr w:rsidR="00025543" w14:paraId="337B7BB0" w14:textId="77777777">
        <w:trPr>
          <w:trHeight w:val="600"/>
        </w:trPr>
        <w:tc>
          <w:tcPr>
            <w:tcW w:w="1275" w:type="dxa"/>
            <w:tcBorders>
              <w:top w:val="single" w:sz="4" w:space="0" w:color="auto"/>
              <w:left w:val="single" w:sz="8" w:space="0" w:color="auto"/>
              <w:bottom w:val="single" w:sz="4" w:space="0" w:color="auto"/>
              <w:right w:val="single" w:sz="8" w:space="0" w:color="000000" w:themeColor="text1"/>
            </w:tcBorders>
            <w:shd w:val="clear" w:color="auto" w:fill="C6EFCE"/>
            <w:vAlign w:val="center"/>
            <w:hideMark/>
          </w:tcPr>
          <w:p w14:paraId="13CE7DE7" w14:textId="77777777" w:rsidR="00025543" w:rsidRDefault="007E3A2F">
            <w:pPr>
              <w:pStyle w:val="P68B1DB1-Normal61"/>
              <w:spacing w:before="0" w:after="0" w:line="240" w:lineRule="auto"/>
              <w:jc w:val="center"/>
              <w:rPr>
                <w:noProof/>
              </w:rPr>
            </w:pPr>
            <w:r>
              <w:rPr>
                <w:noProof/>
              </w:rPr>
              <w:t>138</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21383046" w14:textId="77777777" w:rsidR="00025543" w:rsidRDefault="007E3A2F">
            <w:pPr>
              <w:pStyle w:val="P68B1DB1-Normal57"/>
              <w:spacing w:before="0" w:after="0" w:line="240" w:lineRule="auto"/>
              <w:jc w:val="center"/>
              <w:rPr>
                <w:noProof/>
              </w:rPr>
            </w:pPr>
            <w:r>
              <w:rPr>
                <w:noProof/>
              </w:rPr>
              <w:t xml:space="preserve">C 2.6: Protection de la nature et adaptation au changement climatique — Investissement 3: Remembrement </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23070804" w14:textId="77777777" w:rsidR="00025543" w:rsidRDefault="007E3A2F">
            <w:pPr>
              <w:pStyle w:val="P68B1DB1-Normal57"/>
              <w:spacing w:before="0" w:after="0" w:line="240" w:lineRule="auto"/>
              <w:jc w:val="center"/>
              <w:rPr>
                <w:noProof/>
              </w:rPr>
            </w:pPr>
            <w:r>
              <w:rPr>
                <w:noProof/>
              </w:rPr>
              <w:t>Cible</w:t>
            </w:r>
          </w:p>
        </w:tc>
        <w:tc>
          <w:tcPr>
            <w:tcW w:w="3409" w:type="dxa"/>
            <w:tcBorders>
              <w:top w:val="single" w:sz="4" w:space="0" w:color="auto"/>
              <w:left w:val="nil"/>
              <w:bottom w:val="single" w:sz="4" w:space="0" w:color="000000" w:themeColor="text1"/>
              <w:right w:val="single" w:sz="8" w:space="0" w:color="auto"/>
            </w:tcBorders>
            <w:shd w:val="clear" w:color="auto" w:fill="C6EFCE"/>
            <w:vAlign w:val="center"/>
            <w:hideMark/>
          </w:tcPr>
          <w:p w14:paraId="0D689D31" w14:textId="54286FE7" w:rsidR="00025543" w:rsidRDefault="00025543">
            <w:pPr>
              <w:spacing w:before="0" w:after="0" w:line="240" w:lineRule="auto"/>
              <w:jc w:val="center"/>
              <w:rPr>
                <w:rFonts w:eastAsia="Times New Roman"/>
                <w:noProof/>
                <w:color w:val="004300"/>
                <w:sz w:val="20"/>
              </w:rPr>
            </w:pPr>
          </w:p>
          <w:p w14:paraId="088D4772" w14:textId="54286FE7" w:rsidR="00025543" w:rsidRDefault="007E3A2F">
            <w:pPr>
              <w:pStyle w:val="P68B1DB1-Normal56"/>
              <w:spacing w:before="0" w:after="0" w:line="240" w:lineRule="auto"/>
              <w:jc w:val="center"/>
              <w:rPr>
                <w:noProof/>
              </w:rPr>
            </w:pPr>
            <w:r>
              <w:rPr>
                <w:noProof/>
              </w:rPr>
              <w:t xml:space="preserve">Achèvement des activités de protection de l’environnement et adaptation au changement climatique (en ha de terres desservies par l’investissement). </w:t>
            </w:r>
          </w:p>
        </w:tc>
      </w:tr>
      <w:tr w:rsidR="00025543" w14:paraId="6EBCE078" w14:textId="77777777">
        <w:trPr>
          <w:trHeight w:val="600"/>
        </w:trPr>
        <w:tc>
          <w:tcPr>
            <w:tcW w:w="1275" w:type="dxa"/>
            <w:tcBorders>
              <w:top w:val="single" w:sz="4" w:space="0" w:color="auto"/>
              <w:left w:val="single" w:sz="8" w:space="0" w:color="auto"/>
              <w:bottom w:val="nil"/>
              <w:right w:val="single" w:sz="8" w:space="0" w:color="000000" w:themeColor="text1"/>
            </w:tcBorders>
            <w:shd w:val="clear" w:color="auto" w:fill="C6EFCE"/>
            <w:vAlign w:val="center"/>
            <w:hideMark/>
          </w:tcPr>
          <w:p w14:paraId="4E278D7A" w14:textId="77777777" w:rsidR="00025543" w:rsidRDefault="007E3A2F">
            <w:pPr>
              <w:pStyle w:val="P68B1DB1-Normal56"/>
              <w:spacing w:before="0" w:after="0" w:line="240" w:lineRule="auto"/>
              <w:jc w:val="center"/>
              <w:rPr>
                <w:noProof/>
              </w:rPr>
            </w:pPr>
            <w:r>
              <w:rPr>
                <w:noProof/>
              </w:rPr>
              <w:t>160</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5E6B5D08" w14:textId="77777777" w:rsidR="00025543" w:rsidRDefault="007E3A2F">
            <w:pPr>
              <w:pStyle w:val="P68B1DB1-Normal57"/>
              <w:spacing w:before="0" w:after="0" w:line="240" w:lineRule="auto"/>
              <w:jc w:val="center"/>
              <w:rPr>
                <w:noProof/>
              </w:rPr>
            </w:pPr>
            <w:r>
              <w:rPr>
                <w:noProof/>
              </w:rPr>
              <w:t>C 2.9: Promotion de la biodiversité et lutte contre la sécheresse — Réforme 1: Modification de la loi sur la gestion de l’eau</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57DCE255" w14:textId="77777777" w:rsidR="00025543" w:rsidRDefault="007E3A2F">
            <w:pPr>
              <w:pStyle w:val="P68B1DB1-Normal57"/>
              <w:spacing w:before="0" w:after="0" w:line="240" w:lineRule="auto"/>
              <w:jc w:val="center"/>
              <w:rPr>
                <w:noProof/>
              </w:rPr>
            </w:pPr>
            <w:r>
              <w:rPr>
                <w:noProof/>
              </w:rPr>
              <w:t>Étapes</w:t>
            </w:r>
          </w:p>
        </w:tc>
        <w:tc>
          <w:tcPr>
            <w:tcW w:w="3409" w:type="dxa"/>
            <w:tcBorders>
              <w:top w:val="single" w:sz="4" w:space="0" w:color="000000" w:themeColor="text1"/>
              <w:left w:val="nil"/>
              <w:bottom w:val="nil"/>
              <w:right w:val="single" w:sz="8" w:space="0" w:color="auto"/>
            </w:tcBorders>
            <w:shd w:val="clear" w:color="auto" w:fill="C6EFCE"/>
            <w:vAlign w:val="center"/>
            <w:hideMark/>
          </w:tcPr>
          <w:p w14:paraId="4FE3BC55" w14:textId="77777777" w:rsidR="00025543" w:rsidRDefault="007E3A2F">
            <w:pPr>
              <w:pStyle w:val="P68B1DB1-Normal56"/>
              <w:spacing w:before="0" w:after="0" w:line="240" w:lineRule="auto"/>
              <w:jc w:val="center"/>
              <w:rPr>
                <w:noProof/>
              </w:rPr>
            </w:pPr>
            <w:r>
              <w:rPr>
                <w:noProof/>
              </w:rPr>
              <w:t xml:space="preserve">Modification de la loi sur la gestion de l’eau (loi no 254/2001 Rec.) visant à adopter une approche systémique de la gestion de la sécheresse et de la rareté de l’eau. </w:t>
            </w:r>
          </w:p>
        </w:tc>
      </w:tr>
      <w:tr w:rsidR="00025543" w14:paraId="6DCD2227" w14:textId="77777777">
        <w:trPr>
          <w:trHeight w:val="600"/>
        </w:trPr>
        <w:tc>
          <w:tcPr>
            <w:tcW w:w="1275" w:type="dxa"/>
            <w:tcBorders>
              <w:top w:val="single" w:sz="8" w:space="0" w:color="000000" w:themeColor="text1"/>
              <w:left w:val="single" w:sz="8" w:space="0" w:color="auto"/>
              <w:bottom w:val="nil"/>
              <w:right w:val="single" w:sz="8" w:space="0" w:color="000000" w:themeColor="text1"/>
            </w:tcBorders>
            <w:shd w:val="clear" w:color="auto" w:fill="C6EFCE"/>
            <w:vAlign w:val="center"/>
            <w:hideMark/>
          </w:tcPr>
          <w:p w14:paraId="5EFC4265" w14:textId="77777777" w:rsidR="00025543" w:rsidRDefault="007E3A2F">
            <w:pPr>
              <w:pStyle w:val="P68B1DB1-Normal56"/>
              <w:spacing w:before="0" w:after="0" w:line="240" w:lineRule="auto"/>
              <w:jc w:val="center"/>
              <w:rPr>
                <w:noProof/>
              </w:rPr>
            </w:pPr>
            <w:r>
              <w:rPr>
                <w:noProof/>
              </w:rPr>
              <w:t>170</w:t>
            </w:r>
          </w:p>
        </w:tc>
        <w:tc>
          <w:tcPr>
            <w:tcW w:w="4035" w:type="dxa"/>
            <w:tcBorders>
              <w:top w:val="nil"/>
              <w:left w:val="nil"/>
              <w:bottom w:val="single" w:sz="2" w:space="0" w:color="000000" w:themeColor="text1"/>
              <w:right w:val="single" w:sz="8" w:space="0" w:color="000000" w:themeColor="text1"/>
            </w:tcBorders>
            <w:shd w:val="clear" w:color="auto" w:fill="C6EFCE"/>
            <w:vAlign w:val="center"/>
            <w:hideMark/>
          </w:tcPr>
          <w:p w14:paraId="0E8BFEA0" w14:textId="77777777" w:rsidR="00025543" w:rsidRDefault="007E3A2F">
            <w:pPr>
              <w:pStyle w:val="P68B1DB1-Normal57"/>
              <w:spacing w:before="0" w:after="0" w:line="240" w:lineRule="auto"/>
              <w:jc w:val="center"/>
              <w:rPr>
                <w:noProof/>
              </w:rPr>
            </w:pPr>
            <w:r>
              <w:rPr>
                <w:noProof/>
              </w:rPr>
              <w:t xml:space="preserve">C 3.1: Innovation dans l’éducation dans le contexte de la numérisation — Investissement 1: Mise en œuvre du programme d’études révisé et compétences numériques des enseignants </w:t>
            </w:r>
          </w:p>
        </w:tc>
        <w:tc>
          <w:tcPr>
            <w:tcW w:w="1770" w:type="dxa"/>
            <w:tcBorders>
              <w:top w:val="nil"/>
              <w:left w:val="nil"/>
              <w:bottom w:val="single" w:sz="4" w:space="0" w:color="000000" w:themeColor="text1"/>
              <w:right w:val="single" w:sz="8" w:space="0" w:color="000000" w:themeColor="text1"/>
            </w:tcBorders>
            <w:shd w:val="clear" w:color="auto" w:fill="C6EFCE"/>
            <w:vAlign w:val="center"/>
            <w:hideMark/>
          </w:tcPr>
          <w:p w14:paraId="2BB4031D" w14:textId="77777777" w:rsidR="00025543" w:rsidRDefault="007E3A2F">
            <w:pPr>
              <w:pStyle w:val="P68B1DB1-Normal57"/>
              <w:spacing w:before="0" w:after="0" w:line="240" w:lineRule="auto"/>
              <w:jc w:val="center"/>
              <w:rPr>
                <w:noProof/>
              </w:rPr>
            </w:pPr>
            <w:r>
              <w:rPr>
                <w:noProof/>
              </w:rPr>
              <w:t>Étapes</w:t>
            </w:r>
          </w:p>
        </w:tc>
        <w:tc>
          <w:tcPr>
            <w:tcW w:w="3409" w:type="dxa"/>
            <w:tcBorders>
              <w:top w:val="single" w:sz="8" w:space="0" w:color="000000" w:themeColor="text1"/>
              <w:left w:val="nil"/>
              <w:bottom w:val="nil"/>
              <w:right w:val="single" w:sz="8" w:space="0" w:color="000000" w:themeColor="text1"/>
            </w:tcBorders>
            <w:shd w:val="clear" w:color="auto" w:fill="C6EFCE"/>
            <w:vAlign w:val="center"/>
            <w:hideMark/>
          </w:tcPr>
          <w:p w14:paraId="33E831D9" w14:textId="77777777" w:rsidR="00025543" w:rsidRDefault="007E3A2F">
            <w:pPr>
              <w:pStyle w:val="P68B1DB1-Normal56"/>
              <w:spacing w:before="0" w:after="0" w:line="240" w:lineRule="auto"/>
              <w:jc w:val="center"/>
              <w:rPr>
                <w:noProof/>
              </w:rPr>
            </w:pPr>
            <w:r>
              <w:rPr>
                <w:noProof/>
              </w:rPr>
              <w:t xml:space="preserve">Création d’une plateforme numérique pour un partage efficace des ressources éducatives </w:t>
            </w:r>
          </w:p>
        </w:tc>
      </w:tr>
      <w:tr w:rsidR="00025543" w14:paraId="42F90E1B" w14:textId="77777777">
        <w:trPr>
          <w:trHeight w:val="795"/>
        </w:trPr>
        <w:tc>
          <w:tcPr>
            <w:tcW w:w="1275" w:type="dxa"/>
            <w:tcBorders>
              <w:top w:val="single" w:sz="8" w:space="0" w:color="auto"/>
              <w:left w:val="single" w:sz="8" w:space="0" w:color="auto"/>
              <w:bottom w:val="single" w:sz="8" w:space="0" w:color="auto"/>
              <w:right w:val="single" w:sz="8" w:space="0" w:color="000000" w:themeColor="text1"/>
            </w:tcBorders>
            <w:shd w:val="clear" w:color="auto" w:fill="C6EFCE"/>
            <w:vAlign w:val="center"/>
            <w:hideMark/>
          </w:tcPr>
          <w:p w14:paraId="2C342E07" w14:textId="77777777" w:rsidR="00025543" w:rsidRDefault="007E3A2F">
            <w:pPr>
              <w:pStyle w:val="P68B1DB1-Normal56"/>
              <w:spacing w:before="0" w:after="0" w:line="240" w:lineRule="auto"/>
              <w:jc w:val="center"/>
              <w:rPr>
                <w:noProof/>
              </w:rPr>
            </w:pPr>
            <w:r>
              <w:rPr>
                <w:noProof/>
              </w:rPr>
              <w:t>204</w:t>
            </w:r>
          </w:p>
        </w:tc>
        <w:tc>
          <w:tcPr>
            <w:tcW w:w="4035" w:type="dxa"/>
            <w:tcBorders>
              <w:top w:val="single" w:sz="2" w:space="0" w:color="000000" w:themeColor="text1"/>
              <w:left w:val="nil"/>
              <w:bottom w:val="single" w:sz="8" w:space="0" w:color="000000" w:themeColor="text1"/>
              <w:right w:val="single" w:sz="8" w:space="0" w:color="000000" w:themeColor="text1"/>
            </w:tcBorders>
            <w:shd w:val="clear" w:color="auto" w:fill="C6EFCE"/>
            <w:vAlign w:val="center"/>
            <w:hideMark/>
          </w:tcPr>
          <w:p w14:paraId="68D6866D" w14:textId="77777777" w:rsidR="00025543" w:rsidRDefault="007E3A2F">
            <w:pPr>
              <w:pStyle w:val="P68B1DB1-Normal57"/>
              <w:spacing w:before="0" w:after="0" w:line="240" w:lineRule="auto"/>
              <w:jc w:val="center"/>
              <w:rPr>
                <w:noProof/>
              </w:rPr>
            </w:pPr>
            <w:r>
              <w:rPr>
                <w:noProof/>
              </w:rPr>
              <w:t>C 4.3: Réformes anticorruption — Réforme 2: Réforme du système judiciaire visant à renforcer le cadre législatif et la transparence dans les domaines des tribunaux, des juges, des procureurs et des huissiers de justice</w:t>
            </w:r>
          </w:p>
        </w:tc>
        <w:tc>
          <w:tcPr>
            <w:tcW w:w="1770"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08EFF32B" w14:textId="77777777" w:rsidR="00025543" w:rsidRDefault="007E3A2F">
            <w:pPr>
              <w:pStyle w:val="P68B1DB1-Normal57"/>
              <w:spacing w:before="0" w:after="0" w:line="240" w:lineRule="auto"/>
              <w:jc w:val="center"/>
              <w:rPr>
                <w:noProof/>
              </w:rPr>
            </w:pPr>
            <w:r>
              <w:rPr>
                <w:noProof/>
              </w:rPr>
              <w:t>Étapes</w:t>
            </w:r>
          </w:p>
        </w:tc>
        <w:tc>
          <w:tcPr>
            <w:tcW w:w="3409" w:type="dxa"/>
            <w:tcBorders>
              <w:top w:val="single" w:sz="8" w:space="0" w:color="000000" w:themeColor="text1"/>
              <w:left w:val="nil"/>
              <w:bottom w:val="single" w:sz="8" w:space="0" w:color="auto"/>
              <w:right w:val="single" w:sz="8" w:space="0" w:color="auto"/>
            </w:tcBorders>
            <w:shd w:val="clear" w:color="auto" w:fill="C6EFCE"/>
            <w:vAlign w:val="center"/>
            <w:hideMark/>
          </w:tcPr>
          <w:p w14:paraId="78507DDA" w14:textId="77777777" w:rsidR="00025543" w:rsidRDefault="007E3A2F">
            <w:pPr>
              <w:pStyle w:val="P68B1DB1-Normal56"/>
              <w:spacing w:before="0" w:after="0" w:line="240" w:lineRule="auto"/>
              <w:jc w:val="center"/>
              <w:rPr>
                <w:noProof/>
              </w:rPr>
            </w:pPr>
            <w:r>
              <w:rPr>
                <w:noProof/>
              </w:rPr>
              <w:t>Entrée en vigueur de la loi sur les procédures concernant les juges, les procureurs et les huissiers de justice</w:t>
            </w:r>
          </w:p>
        </w:tc>
      </w:tr>
      <w:tr w:rsidR="00025543" w14:paraId="1503470B" w14:textId="77777777">
        <w:trPr>
          <w:trHeight w:val="405"/>
        </w:trPr>
        <w:tc>
          <w:tcPr>
            <w:tcW w:w="1275"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3DCCDE8C" w14:textId="68D974B0" w:rsidR="00025543" w:rsidRDefault="007E3A2F">
            <w:pPr>
              <w:pStyle w:val="P68B1DB1-Normal56"/>
              <w:spacing w:line="240" w:lineRule="auto"/>
              <w:jc w:val="center"/>
              <w:rPr>
                <w:noProof/>
              </w:rPr>
            </w:pPr>
            <w:r>
              <w:rPr>
                <w:noProof/>
              </w:rPr>
              <w:t>11</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3CC7E276" w14:textId="252A54D1" w:rsidR="00025543" w:rsidRDefault="007E3A2F">
            <w:pPr>
              <w:pStyle w:val="P68B1DB1-Normal57"/>
              <w:spacing w:before="0" w:after="0" w:line="240" w:lineRule="auto"/>
              <w:jc w:val="center"/>
              <w:rPr>
                <w:noProof/>
              </w:rPr>
            </w:pPr>
            <w:r>
              <w:rPr>
                <w:noProof/>
              </w:rPr>
              <w:t xml:space="preserve">C 1.1: Services numériques aux citoyens et aux entreprises — Investissement 2: Développement de données ouvertes et de données publiques </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67C4F978" w14:textId="168B971D" w:rsidR="00025543" w:rsidRDefault="007E3A2F">
            <w:pPr>
              <w:pStyle w:val="P68B1DB1-Normal57"/>
              <w:spacing w:before="0" w:after="0" w:line="240" w:lineRule="auto"/>
              <w:jc w:val="center"/>
              <w:rPr>
                <w:noProof/>
              </w:rPr>
            </w:pPr>
            <w:r>
              <w:rPr>
                <w:noProof/>
              </w:rPr>
              <w:t xml:space="preserve"> Étapes </w:t>
            </w:r>
          </w:p>
        </w:tc>
        <w:tc>
          <w:tcPr>
            <w:tcW w:w="3409" w:type="dxa"/>
            <w:tcBorders>
              <w:top w:val="nil"/>
              <w:left w:val="nil"/>
              <w:bottom w:val="single" w:sz="8" w:space="0" w:color="000000" w:themeColor="text1"/>
              <w:right w:val="single" w:sz="8" w:space="0" w:color="auto"/>
            </w:tcBorders>
            <w:shd w:val="clear" w:color="auto" w:fill="C6EFCE"/>
            <w:vAlign w:val="center"/>
            <w:hideMark/>
          </w:tcPr>
          <w:p w14:paraId="172E2CCB" w14:textId="3EF318C3" w:rsidR="00025543" w:rsidRDefault="007E3A2F">
            <w:pPr>
              <w:pStyle w:val="P68B1DB1-Normal57"/>
              <w:spacing w:before="0" w:after="0" w:line="240" w:lineRule="auto"/>
              <w:jc w:val="center"/>
              <w:rPr>
                <w:noProof/>
              </w:rPr>
            </w:pPr>
            <w:r>
              <w:rPr>
                <w:noProof/>
              </w:rPr>
              <w:t xml:space="preserve">Extension du catalogue national des données ouvertes avec des fonctionnalités avancées  </w:t>
            </w:r>
          </w:p>
        </w:tc>
      </w:tr>
      <w:tr w:rsidR="00025543" w14:paraId="5155A2A9" w14:textId="77777777">
        <w:trPr>
          <w:trHeight w:val="405"/>
        </w:trPr>
        <w:tc>
          <w:tcPr>
            <w:tcW w:w="1275"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679EE9AA" w14:textId="77777777" w:rsidR="00025543" w:rsidRDefault="007E3A2F">
            <w:pPr>
              <w:pStyle w:val="P68B1DB1-Normal56"/>
              <w:spacing w:before="0" w:after="0" w:line="240" w:lineRule="auto"/>
              <w:jc w:val="center"/>
              <w:rPr>
                <w:noProof/>
              </w:rPr>
            </w:pPr>
            <w:r>
              <w:rPr>
                <w:noProof/>
              </w:rPr>
              <w:t>218</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56770004" w14:textId="40AD72BF" w:rsidR="00025543" w:rsidRDefault="007E3A2F">
            <w:pPr>
              <w:pStyle w:val="P68B1DB1-Normal57"/>
              <w:spacing w:before="0" w:after="0" w:line="240" w:lineRule="auto"/>
              <w:jc w:val="center"/>
              <w:rPr>
                <w:noProof/>
              </w:rPr>
            </w:pPr>
            <w:r>
              <w:rPr>
                <w:noProof/>
              </w:rPr>
              <w:t>C 4.5: Développement du secteur culturel et créatif — Réforme 1: Statut de l’artiste</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2E486A74" w14:textId="77777777" w:rsidR="00025543" w:rsidRDefault="007E3A2F">
            <w:pPr>
              <w:pStyle w:val="P68B1DB1-Normal57"/>
              <w:spacing w:before="0" w:after="0" w:line="240" w:lineRule="auto"/>
              <w:jc w:val="center"/>
              <w:rPr>
                <w:noProof/>
              </w:rPr>
            </w:pPr>
            <w:r>
              <w:rPr>
                <w:noProof/>
              </w:rPr>
              <w:t>Cible</w:t>
            </w:r>
          </w:p>
        </w:tc>
        <w:tc>
          <w:tcPr>
            <w:tcW w:w="3409" w:type="dxa"/>
            <w:tcBorders>
              <w:top w:val="nil"/>
              <w:left w:val="nil"/>
              <w:bottom w:val="single" w:sz="8" w:space="0" w:color="000000" w:themeColor="text1"/>
              <w:right w:val="single" w:sz="8" w:space="0" w:color="auto"/>
            </w:tcBorders>
            <w:shd w:val="clear" w:color="auto" w:fill="C6EFCE"/>
            <w:vAlign w:val="center"/>
            <w:hideMark/>
          </w:tcPr>
          <w:p w14:paraId="2B28A52E" w14:textId="77777777" w:rsidR="00025543" w:rsidRDefault="007E3A2F">
            <w:pPr>
              <w:pStyle w:val="P68B1DB1-Normal56"/>
              <w:spacing w:before="0" w:after="0" w:line="240" w:lineRule="auto"/>
              <w:jc w:val="center"/>
              <w:rPr>
                <w:noProof/>
              </w:rPr>
            </w:pPr>
            <w:r>
              <w:rPr>
                <w:noProof/>
              </w:rPr>
              <w:t>Nombre de professionnels de la culture et de la création soutenus par l’offre de compétences</w:t>
            </w:r>
          </w:p>
        </w:tc>
      </w:tr>
      <w:tr w:rsidR="00025543" w14:paraId="683D9928" w14:textId="77777777">
        <w:trPr>
          <w:trHeight w:val="600"/>
        </w:trPr>
        <w:tc>
          <w:tcPr>
            <w:tcW w:w="1275"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030247F8" w14:textId="54E0EAD0" w:rsidR="00025543" w:rsidRDefault="007E3A2F">
            <w:pPr>
              <w:pStyle w:val="P68B1DB1-Normal15"/>
              <w:spacing w:before="0" w:after="0" w:line="240" w:lineRule="auto"/>
              <w:jc w:val="center"/>
              <w:rPr>
                <w:noProof/>
              </w:rPr>
            </w:pPr>
            <w:r>
              <w:rPr>
                <w:noProof/>
              </w:rPr>
              <w:t xml:space="preserve">49 </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42FA85B1" w14:textId="0462A5BA" w:rsidR="00025543" w:rsidRDefault="007E3A2F">
            <w:pPr>
              <w:pStyle w:val="P68B1DB1-Normal56"/>
              <w:spacing w:before="0" w:after="0" w:line="240" w:lineRule="auto"/>
              <w:jc w:val="center"/>
              <w:rPr>
                <w:noProof/>
              </w:rPr>
            </w:pPr>
            <w:r>
              <w:rPr>
                <w:noProof/>
              </w:rPr>
              <w:t>C 1.4: Économie et société numériques, start-up innovantes et nouvelles technologies —</w:t>
            </w:r>
          </w:p>
          <w:p w14:paraId="25AE1C88" w14:textId="21C3C3E3" w:rsidR="00025543" w:rsidRDefault="007E3A2F">
            <w:pPr>
              <w:pStyle w:val="P68B1DB1-Normal56"/>
              <w:spacing w:before="0" w:after="0" w:line="240" w:lineRule="auto"/>
              <w:jc w:val="center"/>
              <w:rPr>
                <w:noProof/>
              </w:rPr>
            </w:pPr>
            <w:r>
              <w:rPr>
                <w:noProof/>
              </w:rPr>
              <w:t xml:space="preserve">Réforme 2: Groupe conjoint de soutien et de certification en matière de technologies stratégiques avec le comité des technologies stratégiques </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5ADE386F" w14:textId="647B5683" w:rsidR="00025543" w:rsidRDefault="007E3A2F">
            <w:pPr>
              <w:pStyle w:val="P68B1DB1-Normal62"/>
              <w:spacing w:before="0" w:after="0" w:line="240" w:lineRule="auto"/>
              <w:jc w:val="center"/>
              <w:rPr>
                <w:noProof/>
                <w:sz w:val="20"/>
              </w:rPr>
            </w:pPr>
            <w:r>
              <w:rPr>
                <w:noProof/>
                <w:sz w:val="18"/>
              </w:rPr>
              <w:t> </w:t>
            </w:r>
            <w:r>
              <w:rPr>
                <w:noProof/>
                <w:sz w:val="20"/>
              </w:rPr>
              <w:t>Cible</w:t>
            </w:r>
          </w:p>
        </w:tc>
        <w:tc>
          <w:tcPr>
            <w:tcW w:w="3409" w:type="dxa"/>
            <w:tcBorders>
              <w:top w:val="nil"/>
              <w:left w:val="nil"/>
              <w:bottom w:val="single" w:sz="8" w:space="0" w:color="000000" w:themeColor="text1"/>
              <w:right w:val="single" w:sz="8" w:space="0" w:color="auto"/>
            </w:tcBorders>
            <w:shd w:val="clear" w:color="auto" w:fill="C6EFCE"/>
            <w:vAlign w:val="center"/>
            <w:hideMark/>
          </w:tcPr>
          <w:p w14:paraId="05788BB4" w14:textId="1BB412BC" w:rsidR="00025543" w:rsidRDefault="007E3A2F">
            <w:pPr>
              <w:pStyle w:val="P68B1DB1-Normal62"/>
              <w:spacing w:before="0" w:after="0" w:line="240" w:lineRule="auto"/>
              <w:jc w:val="center"/>
              <w:rPr>
                <w:noProof/>
                <w:sz w:val="18"/>
              </w:rPr>
            </w:pPr>
            <w:r>
              <w:rPr>
                <w:noProof/>
                <w:sz w:val="20"/>
              </w:rPr>
              <w:t xml:space="preserve">Nombre d’entreprises bénéficiant d’une certification </w:t>
            </w:r>
            <w:r>
              <w:rPr>
                <w:noProof/>
                <w:sz w:val="18"/>
              </w:rPr>
              <w:t xml:space="preserve"> </w:t>
            </w:r>
          </w:p>
        </w:tc>
      </w:tr>
      <w:tr w:rsidR="00025543" w14:paraId="1991CDC9" w14:textId="77777777">
        <w:trPr>
          <w:trHeight w:val="600"/>
        </w:trPr>
        <w:tc>
          <w:tcPr>
            <w:tcW w:w="1275"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292D6C94" w14:textId="68BF692F" w:rsidR="00025543" w:rsidRDefault="007E3A2F">
            <w:pPr>
              <w:pStyle w:val="P68B1DB1-Normal11"/>
              <w:spacing w:before="0" w:after="0" w:line="240" w:lineRule="auto"/>
              <w:jc w:val="center"/>
              <w:rPr>
                <w:noProof/>
              </w:rPr>
            </w:pPr>
            <w:r>
              <w:rPr>
                <w:noProof/>
              </w:rPr>
              <w:t xml:space="preserve">70 </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224C50C2" w14:textId="3D93BB9D" w:rsidR="00025543" w:rsidRDefault="007E3A2F">
            <w:pPr>
              <w:pStyle w:val="P68B1DB1-Normal57"/>
              <w:spacing w:before="0" w:after="0" w:line="240" w:lineRule="auto"/>
              <w:jc w:val="center"/>
              <w:rPr>
                <w:noProof/>
              </w:rPr>
            </w:pPr>
            <w:r>
              <w:rPr>
                <w:noProof/>
              </w:rPr>
              <w:t>C 1.5: Transformation numérique des entreprises —</w:t>
            </w:r>
          </w:p>
          <w:p w14:paraId="6CF500BD" w14:textId="10930E8C" w:rsidR="00025543" w:rsidRDefault="007E3A2F">
            <w:pPr>
              <w:pStyle w:val="P68B1DB1-Normal63"/>
              <w:spacing w:before="0" w:after="0" w:line="240" w:lineRule="auto"/>
              <w:jc w:val="center"/>
              <w:rPr>
                <w:noProof/>
                <w:sz w:val="18"/>
              </w:rPr>
            </w:pPr>
            <w:r>
              <w:rPr>
                <w:noProof/>
                <w:sz w:val="20"/>
              </w:rPr>
              <w:t>Investissement 2: Installation européenne d’essai et d’expérimentation de référence</w:t>
            </w:r>
            <w:r>
              <w:rPr>
                <w:noProof/>
                <w:sz w:val="18"/>
              </w:rPr>
              <w:t xml:space="preserve"> </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252B6A20" w14:textId="533009FC" w:rsidR="00025543" w:rsidRDefault="007E3A2F">
            <w:pPr>
              <w:pStyle w:val="P68B1DB1-Normal63"/>
              <w:spacing w:before="0" w:after="0" w:line="240" w:lineRule="auto"/>
              <w:jc w:val="center"/>
              <w:rPr>
                <w:noProof/>
                <w:sz w:val="18"/>
              </w:rPr>
            </w:pPr>
            <w:r>
              <w:rPr>
                <w:noProof/>
                <w:sz w:val="20"/>
              </w:rPr>
              <w:t>Cible</w:t>
            </w:r>
            <w:r>
              <w:rPr>
                <w:noProof/>
                <w:sz w:val="18"/>
              </w:rPr>
              <w:t xml:space="preserve"> </w:t>
            </w:r>
          </w:p>
        </w:tc>
        <w:tc>
          <w:tcPr>
            <w:tcW w:w="3409" w:type="dxa"/>
            <w:tcBorders>
              <w:top w:val="nil"/>
              <w:left w:val="nil"/>
              <w:bottom w:val="single" w:sz="8" w:space="0" w:color="000000" w:themeColor="text1"/>
              <w:right w:val="single" w:sz="8" w:space="0" w:color="auto"/>
            </w:tcBorders>
            <w:shd w:val="clear" w:color="auto" w:fill="C6EFCE"/>
            <w:vAlign w:val="center"/>
            <w:hideMark/>
          </w:tcPr>
          <w:p w14:paraId="15B2EDB3" w14:textId="2A8FD7D3" w:rsidR="00025543" w:rsidRDefault="007E3A2F">
            <w:pPr>
              <w:pStyle w:val="P68B1DB1-Normal57"/>
              <w:spacing w:before="0" w:after="0" w:line="240" w:lineRule="auto"/>
              <w:jc w:val="center"/>
              <w:rPr>
                <w:noProof/>
              </w:rPr>
            </w:pPr>
            <w:r>
              <w:rPr>
                <w:noProof/>
              </w:rPr>
              <w:t>Création d’une installation européenne d’essai et d’expérimentation de référence</w:t>
            </w:r>
          </w:p>
        </w:tc>
      </w:tr>
      <w:tr w:rsidR="00025543" w14:paraId="6374D47F" w14:textId="77777777">
        <w:trPr>
          <w:trHeight w:val="600"/>
        </w:trPr>
        <w:tc>
          <w:tcPr>
            <w:tcW w:w="1275"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0557169E" w14:textId="13499DD6" w:rsidR="00025543" w:rsidRDefault="007E3A2F">
            <w:pPr>
              <w:pStyle w:val="P68B1DB1-Normal11"/>
              <w:spacing w:before="0" w:after="0" w:line="240" w:lineRule="auto"/>
              <w:jc w:val="center"/>
              <w:rPr>
                <w:noProof/>
              </w:rPr>
            </w:pPr>
            <w:r>
              <w:rPr>
                <w:noProof/>
              </w:rPr>
              <w:t xml:space="preserve">73 </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79FD2CFA" w14:textId="3A709307" w:rsidR="00025543" w:rsidRDefault="007E3A2F">
            <w:pPr>
              <w:pStyle w:val="P68B1DB1-Normal57"/>
              <w:spacing w:before="0" w:after="0" w:line="240" w:lineRule="auto"/>
              <w:jc w:val="center"/>
              <w:rPr>
                <w:noProof/>
              </w:rPr>
            </w:pPr>
            <w:r>
              <w:rPr>
                <w:noProof/>
              </w:rPr>
              <w:t>C 1.6: Accélération et numérisation du processus de construction —</w:t>
            </w:r>
          </w:p>
          <w:p w14:paraId="02991200" w14:textId="4FDA62CE" w:rsidR="00025543" w:rsidRDefault="007E3A2F">
            <w:pPr>
              <w:pStyle w:val="P68B1DB1-Normal63"/>
              <w:spacing w:before="0" w:after="0" w:line="240" w:lineRule="auto"/>
              <w:jc w:val="center"/>
              <w:rPr>
                <w:noProof/>
                <w:sz w:val="18"/>
              </w:rPr>
            </w:pPr>
            <w:r>
              <w:rPr>
                <w:noProof/>
                <w:sz w:val="20"/>
              </w:rPr>
              <w:t>Réforme 1: Mise en œuvre de la nouvelle loi sur la construction et de la loi sur le zonage</w:t>
            </w:r>
            <w:r>
              <w:rPr>
                <w:noProof/>
                <w:sz w:val="18"/>
              </w:rPr>
              <w:t xml:space="preserve"> </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3B3AF2F5" w14:textId="4A1DF2C3" w:rsidR="00025543" w:rsidRDefault="007E3A2F">
            <w:pPr>
              <w:pStyle w:val="P68B1DB1-Normal57"/>
              <w:spacing w:before="0" w:after="0" w:line="240" w:lineRule="auto"/>
              <w:rPr>
                <w:noProof/>
              </w:rPr>
            </w:pPr>
            <w:r>
              <w:rPr>
                <w:noProof/>
              </w:rPr>
              <w:t xml:space="preserve">   Étapes</w:t>
            </w:r>
          </w:p>
        </w:tc>
        <w:tc>
          <w:tcPr>
            <w:tcW w:w="3409" w:type="dxa"/>
            <w:tcBorders>
              <w:top w:val="nil"/>
              <w:left w:val="nil"/>
              <w:bottom w:val="single" w:sz="8" w:space="0" w:color="000000" w:themeColor="text1"/>
              <w:right w:val="single" w:sz="8" w:space="0" w:color="auto"/>
            </w:tcBorders>
            <w:shd w:val="clear" w:color="auto" w:fill="C6EFCE"/>
            <w:vAlign w:val="center"/>
            <w:hideMark/>
          </w:tcPr>
          <w:p w14:paraId="5AE082A5" w14:textId="2AD03A11" w:rsidR="00025543" w:rsidRDefault="007E3A2F">
            <w:pPr>
              <w:pStyle w:val="P68B1DB1-Normal57"/>
              <w:spacing w:before="0" w:after="0" w:line="240" w:lineRule="auto"/>
              <w:jc w:val="center"/>
              <w:rPr>
                <w:noProof/>
              </w:rPr>
            </w:pPr>
            <w:r>
              <w:rPr>
                <w:noProof/>
              </w:rPr>
              <w:t>Début de l’activité de la nouvelle structure des autorités immobilières</w:t>
            </w:r>
          </w:p>
        </w:tc>
      </w:tr>
      <w:tr w:rsidR="00025543" w14:paraId="32843A24" w14:textId="77777777">
        <w:trPr>
          <w:trHeight w:val="600"/>
        </w:trPr>
        <w:tc>
          <w:tcPr>
            <w:tcW w:w="1275"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57C9E25D" w14:textId="724BFE6B" w:rsidR="00025543" w:rsidRDefault="007E3A2F">
            <w:pPr>
              <w:pStyle w:val="P68B1DB1-Normal11"/>
              <w:spacing w:before="0" w:after="0" w:line="240" w:lineRule="auto"/>
              <w:jc w:val="center"/>
              <w:rPr>
                <w:noProof/>
              </w:rPr>
            </w:pPr>
            <w:r>
              <w:rPr>
                <w:noProof/>
              </w:rPr>
              <w:t xml:space="preserve">75 </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3C889A38" w14:textId="7AF91344" w:rsidR="00025543" w:rsidRDefault="007E3A2F">
            <w:pPr>
              <w:pStyle w:val="P68B1DB1-Normal57"/>
              <w:spacing w:before="0" w:after="0" w:line="240" w:lineRule="auto"/>
              <w:jc w:val="center"/>
              <w:rPr>
                <w:noProof/>
              </w:rPr>
            </w:pPr>
            <w:r>
              <w:rPr>
                <w:noProof/>
              </w:rPr>
              <w:t>C 1.6: Accélération et numérisation du processus de construction —</w:t>
            </w:r>
          </w:p>
          <w:p w14:paraId="0089F991" w14:textId="6CDCD4C9" w:rsidR="00025543" w:rsidRDefault="007E3A2F">
            <w:pPr>
              <w:pStyle w:val="P68B1DB1-Normal57"/>
              <w:spacing w:before="0" w:after="0" w:line="240" w:lineRule="auto"/>
              <w:jc w:val="center"/>
              <w:rPr>
                <w:noProof/>
              </w:rPr>
            </w:pPr>
            <w:r>
              <w:rPr>
                <w:noProof/>
              </w:rPr>
              <w:t xml:space="preserve">Investissement 1: Création d’un nouveau système central d’information («AIS») </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3130AA2F" w14:textId="463CD1A0" w:rsidR="00025543" w:rsidRDefault="007E3A2F">
            <w:pPr>
              <w:pStyle w:val="P68B1DB1-Normal57"/>
              <w:spacing w:before="0" w:after="0" w:line="240" w:lineRule="auto"/>
              <w:jc w:val="center"/>
              <w:rPr>
                <w:noProof/>
              </w:rPr>
            </w:pPr>
            <w:r>
              <w:rPr>
                <w:noProof/>
              </w:rPr>
              <w:t xml:space="preserve">Étapes </w:t>
            </w:r>
          </w:p>
        </w:tc>
        <w:tc>
          <w:tcPr>
            <w:tcW w:w="3409" w:type="dxa"/>
            <w:tcBorders>
              <w:top w:val="nil"/>
              <w:left w:val="nil"/>
              <w:bottom w:val="single" w:sz="8" w:space="0" w:color="000000" w:themeColor="text1"/>
              <w:right w:val="single" w:sz="8" w:space="0" w:color="auto"/>
            </w:tcBorders>
            <w:shd w:val="clear" w:color="auto" w:fill="C6EFCE"/>
            <w:vAlign w:val="center"/>
            <w:hideMark/>
          </w:tcPr>
          <w:p w14:paraId="2560122F" w14:textId="5BAB08E2" w:rsidR="00025543" w:rsidRDefault="007E3A2F">
            <w:pPr>
              <w:pStyle w:val="P68B1DB1-Normal57"/>
              <w:spacing w:before="0" w:after="0" w:line="240" w:lineRule="auto"/>
              <w:jc w:val="center"/>
              <w:rPr>
                <w:noProof/>
              </w:rPr>
            </w:pPr>
            <w:r>
              <w:rPr>
                <w:noProof/>
              </w:rPr>
              <w:t>Système d’information central pleinement opérationnel</w:t>
            </w:r>
          </w:p>
        </w:tc>
      </w:tr>
      <w:tr w:rsidR="00025543" w14:paraId="10BC12B6" w14:textId="77777777">
        <w:trPr>
          <w:trHeight w:val="600"/>
        </w:trPr>
        <w:tc>
          <w:tcPr>
            <w:tcW w:w="1275"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5D4E1C23" w14:textId="126A4F0F" w:rsidR="00025543" w:rsidRDefault="007E3A2F">
            <w:pPr>
              <w:pStyle w:val="P68B1DB1-Normal57"/>
              <w:spacing w:before="0" w:after="0" w:line="240" w:lineRule="auto"/>
              <w:jc w:val="center"/>
              <w:rPr>
                <w:noProof/>
              </w:rPr>
            </w:pPr>
            <w:r>
              <w:rPr>
                <w:noProof/>
              </w:rPr>
              <w:t>220</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189A5664" w14:textId="52798550" w:rsidR="00025543" w:rsidRDefault="007E3A2F">
            <w:pPr>
              <w:pStyle w:val="P68B1DB1-Normal57"/>
              <w:spacing w:before="0" w:after="0" w:line="240" w:lineRule="auto"/>
              <w:jc w:val="center"/>
              <w:rPr>
                <w:noProof/>
              </w:rPr>
            </w:pPr>
            <w:r>
              <w:rPr>
                <w:noProof/>
              </w:rPr>
              <w:t>C 4.5: Développement du secteur culturel et créatif — Réforme 2. Réforme législative introduisant un financement multisources des institutions culturelles</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73F0EE7A" w14:textId="61BC4843" w:rsidR="00025543" w:rsidRDefault="007E3A2F">
            <w:pPr>
              <w:pStyle w:val="P68B1DB1-Normal57"/>
              <w:spacing w:before="0" w:after="0" w:line="240" w:lineRule="auto"/>
              <w:jc w:val="center"/>
              <w:rPr>
                <w:noProof/>
              </w:rPr>
            </w:pPr>
            <w:r>
              <w:rPr>
                <w:noProof/>
              </w:rPr>
              <w:t>Étapes</w:t>
            </w:r>
          </w:p>
        </w:tc>
        <w:tc>
          <w:tcPr>
            <w:tcW w:w="3409" w:type="dxa"/>
            <w:tcBorders>
              <w:top w:val="nil"/>
              <w:left w:val="nil"/>
              <w:bottom w:val="single" w:sz="8" w:space="0" w:color="000000" w:themeColor="text1"/>
              <w:right w:val="single" w:sz="8" w:space="0" w:color="auto"/>
            </w:tcBorders>
            <w:shd w:val="clear" w:color="auto" w:fill="C6EFCE"/>
            <w:vAlign w:val="center"/>
            <w:hideMark/>
          </w:tcPr>
          <w:p w14:paraId="7CF9A857" w14:textId="63A21DA1" w:rsidR="00025543" w:rsidRDefault="007E3A2F">
            <w:pPr>
              <w:pStyle w:val="P68B1DB1-Normal57"/>
              <w:spacing w:before="0" w:after="0" w:line="240" w:lineRule="auto"/>
              <w:jc w:val="center"/>
              <w:rPr>
                <w:noProof/>
              </w:rPr>
            </w:pPr>
            <w:r>
              <w:rPr>
                <w:noProof/>
              </w:rPr>
              <w:t xml:space="preserve">Entrée en vigueur d’une modification législative permettant un financement coopératif multisources de la culture </w:t>
            </w:r>
          </w:p>
        </w:tc>
      </w:tr>
      <w:tr w:rsidR="00025543" w14:paraId="525836C2" w14:textId="77777777">
        <w:trPr>
          <w:trHeight w:val="600"/>
        </w:trPr>
        <w:tc>
          <w:tcPr>
            <w:tcW w:w="1275"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785C243B" w14:textId="77777777" w:rsidR="00025543" w:rsidRDefault="007E3A2F">
            <w:pPr>
              <w:pStyle w:val="P68B1DB1-Normal57"/>
              <w:spacing w:before="0" w:after="0" w:line="240" w:lineRule="auto"/>
              <w:jc w:val="center"/>
              <w:rPr>
                <w:noProof/>
              </w:rPr>
            </w:pPr>
            <w:r>
              <w:rPr>
                <w:noProof/>
              </w:rPr>
              <w:t>196</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3B604DCD" w14:textId="77777777" w:rsidR="00025543" w:rsidRDefault="007E3A2F">
            <w:pPr>
              <w:pStyle w:val="P68B1DB1-Normal57"/>
              <w:spacing w:before="0" w:after="0" w:line="240" w:lineRule="auto"/>
              <w:jc w:val="center"/>
              <w:rPr>
                <w:noProof/>
              </w:rPr>
            </w:pPr>
            <w:r>
              <w:rPr>
                <w:noProof/>
              </w:rPr>
              <w:t>C 3.3: Modernisation des services de l’emploi et développement du marché du travail — Investissement 3: Développement et modernisation des infrastructures d’aide sociale</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47C5294B" w14:textId="77777777" w:rsidR="00025543" w:rsidRDefault="007E3A2F">
            <w:pPr>
              <w:pStyle w:val="P68B1DB1-Normal57"/>
              <w:spacing w:before="0" w:after="0" w:line="240" w:lineRule="auto"/>
              <w:jc w:val="center"/>
              <w:rPr>
                <w:noProof/>
              </w:rPr>
            </w:pPr>
            <w:r>
              <w:rPr>
                <w:noProof/>
              </w:rPr>
              <w:t>Cible</w:t>
            </w:r>
          </w:p>
        </w:tc>
        <w:tc>
          <w:tcPr>
            <w:tcW w:w="3409" w:type="dxa"/>
            <w:tcBorders>
              <w:top w:val="nil"/>
              <w:left w:val="nil"/>
              <w:bottom w:val="single" w:sz="8" w:space="0" w:color="000000" w:themeColor="text1"/>
              <w:right w:val="single" w:sz="8" w:space="0" w:color="auto"/>
            </w:tcBorders>
            <w:shd w:val="clear" w:color="auto" w:fill="C6EFCE"/>
            <w:vAlign w:val="center"/>
            <w:hideMark/>
          </w:tcPr>
          <w:p w14:paraId="6A9F6710" w14:textId="77777777" w:rsidR="00025543" w:rsidRDefault="007E3A2F">
            <w:pPr>
              <w:pStyle w:val="P68B1DB1-Normal57"/>
              <w:spacing w:before="0" w:after="0" w:line="240" w:lineRule="auto"/>
              <w:jc w:val="center"/>
              <w:rPr>
                <w:noProof/>
              </w:rPr>
            </w:pPr>
            <w:r>
              <w:rPr>
                <w:noProof/>
              </w:rPr>
              <w:t>T1: Nombre de véhicules à faibles émissions achetés pour des services de prévention sociale, de conseil et de soins à domicile</w:t>
            </w:r>
          </w:p>
        </w:tc>
      </w:tr>
      <w:tr w:rsidR="00025543" w14:paraId="0DAA6FE4" w14:textId="77777777">
        <w:trPr>
          <w:trHeight w:val="600"/>
        </w:trPr>
        <w:tc>
          <w:tcPr>
            <w:tcW w:w="1275" w:type="dxa"/>
            <w:tcBorders>
              <w:top w:val="single" w:sz="4" w:space="0" w:color="000000" w:themeColor="text1"/>
              <w:left w:val="single" w:sz="8" w:space="0" w:color="auto"/>
              <w:bottom w:val="single" w:sz="8" w:space="0" w:color="auto"/>
              <w:right w:val="single" w:sz="8" w:space="0" w:color="000000" w:themeColor="text1"/>
            </w:tcBorders>
            <w:shd w:val="clear" w:color="auto" w:fill="C6EFCE"/>
            <w:vAlign w:val="center"/>
            <w:hideMark/>
          </w:tcPr>
          <w:p w14:paraId="1A268266" w14:textId="77777777" w:rsidR="00025543" w:rsidRDefault="007E3A2F">
            <w:pPr>
              <w:pStyle w:val="P68B1DB1-Normal57"/>
              <w:spacing w:before="0" w:after="0" w:line="240" w:lineRule="auto"/>
              <w:jc w:val="center"/>
              <w:rPr>
                <w:noProof/>
              </w:rPr>
            </w:pPr>
            <w:r>
              <w:rPr>
                <w:noProof/>
              </w:rPr>
              <w:t>234</w:t>
            </w:r>
          </w:p>
        </w:tc>
        <w:tc>
          <w:tcPr>
            <w:tcW w:w="4035" w:type="dxa"/>
            <w:tcBorders>
              <w:top w:val="single" w:sz="4" w:space="0" w:color="000000" w:themeColor="text1"/>
              <w:left w:val="nil"/>
              <w:bottom w:val="single" w:sz="8" w:space="0" w:color="auto"/>
              <w:right w:val="single" w:sz="8" w:space="0" w:color="000000" w:themeColor="text1"/>
            </w:tcBorders>
            <w:shd w:val="clear" w:color="auto" w:fill="C6EFCE"/>
            <w:vAlign w:val="center"/>
            <w:hideMark/>
          </w:tcPr>
          <w:p w14:paraId="526531F6" w14:textId="77777777" w:rsidR="00025543" w:rsidRDefault="007E3A2F">
            <w:pPr>
              <w:pStyle w:val="P68B1DB1-Normal57"/>
              <w:spacing w:before="0" w:after="0" w:line="240" w:lineRule="auto"/>
              <w:jc w:val="center"/>
              <w:rPr>
                <w:noProof/>
              </w:rPr>
            </w:pPr>
            <w:r>
              <w:rPr>
                <w:noProof/>
              </w:rPr>
              <w:t>C 6.1: Accroître la résilience du système de santé — Investissement 2: Soins de réadaptation pour les patients qui se rétablit d’affections critiques</w:t>
            </w:r>
          </w:p>
        </w:tc>
        <w:tc>
          <w:tcPr>
            <w:tcW w:w="1770" w:type="dxa"/>
            <w:tcBorders>
              <w:top w:val="single" w:sz="4" w:space="0" w:color="000000" w:themeColor="text1"/>
              <w:left w:val="nil"/>
              <w:bottom w:val="single" w:sz="8" w:space="0" w:color="auto"/>
              <w:right w:val="single" w:sz="8" w:space="0" w:color="000000" w:themeColor="text1"/>
            </w:tcBorders>
            <w:shd w:val="clear" w:color="auto" w:fill="C6EFCE"/>
            <w:vAlign w:val="center"/>
            <w:hideMark/>
          </w:tcPr>
          <w:p w14:paraId="0F3A78F8" w14:textId="77777777" w:rsidR="00025543" w:rsidRDefault="007E3A2F">
            <w:pPr>
              <w:pStyle w:val="P68B1DB1-Normal57"/>
              <w:spacing w:before="0" w:after="0" w:line="240" w:lineRule="auto"/>
              <w:jc w:val="center"/>
              <w:rPr>
                <w:noProof/>
              </w:rPr>
            </w:pPr>
            <w:r>
              <w:rPr>
                <w:noProof/>
              </w:rPr>
              <w:t>Cible</w:t>
            </w:r>
          </w:p>
        </w:tc>
        <w:tc>
          <w:tcPr>
            <w:tcW w:w="3409" w:type="dxa"/>
            <w:tcBorders>
              <w:top w:val="single" w:sz="4" w:space="0" w:color="000000" w:themeColor="text1"/>
              <w:left w:val="nil"/>
              <w:bottom w:val="single" w:sz="8" w:space="0" w:color="auto"/>
              <w:right w:val="single" w:sz="8" w:space="0" w:color="auto"/>
            </w:tcBorders>
            <w:shd w:val="clear" w:color="auto" w:fill="C6EFCE"/>
            <w:vAlign w:val="center"/>
            <w:hideMark/>
          </w:tcPr>
          <w:p w14:paraId="513F8A53" w14:textId="77777777" w:rsidR="00025543" w:rsidRDefault="007E3A2F">
            <w:pPr>
              <w:pStyle w:val="P68B1DB1-Normal57"/>
              <w:spacing w:before="0" w:after="0" w:line="240" w:lineRule="auto"/>
              <w:jc w:val="center"/>
              <w:rPr>
                <w:noProof/>
              </w:rPr>
            </w:pPr>
            <w:r>
              <w:rPr>
                <w:noProof/>
              </w:rPr>
              <w:t xml:space="preserve">Soutien aux soins de réadaptation </w:t>
            </w:r>
          </w:p>
        </w:tc>
      </w:tr>
      <w:tr w:rsidR="00025543" w14:paraId="119FF051" w14:textId="77777777">
        <w:trPr>
          <w:trHeight w:val="600"/>
        </w:trPr>
        <w:tc>
          <w:tcPr>
            <w:tcW w:w="1275" w:type="dxa"/>
            <w:tcBorders>
              <w:top w:val="nil"/>
              <w:left w:val="single" w:sz="8" w:space="0" w:color="auto"/>
              <w:bottom w:val="single" w:sz="8" w:space="0" w:color="auto"/>
              <w:right w:val="single" w:sz="8" w:space="0" w:color="000000" w:themeColor="text1"/>
            </w:tcBorders>
            <w:shd w:val="clear" w:color="auto" w:fill="C6EFCE"/>
            <w:vAlign w:val="center"/>
            <w:hideMark/>
          </w:tcPr>
          <w:p w14:paraId="25B6814E" w14:textId="00DBA8F3" w:rsidR="00025543" w:rsidRDefault="007E3A2F">
            <w:pPr>
              <w:pStyle w:val="P68B1DB1-Normal57"/>
              <w:spacing w:line="240" w:lineRule="auto"/>
              <w:jc w:val="center"/>
              <w:rPr>
                <w:noProof/>
              </w:rPr>
            </w:pPr>
            <w:r>
              <w:rPr>
                <w:noProof/>
              </w:rPr>
              <w:t xml:space="preserve">282 </w:t>
            </w:r>
          </w:p>
        </w:tc>
        <w:tc>
          <w:tcPr>
            <w:tcW w:w="4035" w:type="dxa"/>
            <w:tcBorders>
              <w:top w:val="nil"/>
              <w:left w:val="nil"/>
              <w:bottom w:val="single" w:sz="8" w:space="0" w:color="auto"/>
              <w:right w:val="single" w:sz="8" w:space="0" w:color="000000" w:themeColor="text1"/>
            </w:tcBorders>
            <w:shd w:val="clear" w:color="auto" w:fill="C6EFCE"/>
            <w:vAlign w:val="center"/>
            <w:hideMark/>
          </w:tcPr>
          <w:p w14:paraId="365A3840" w14:textId="127B81F3" w:rsidR="00025543" w:rsidRDefault="007E3A2F">
            <w:pPr>
              <w:spacing w:line="240" w:lineRule="auto"/>
              <w:jc w:val="center"/>
              <w:rPr>
                <w:rFonts w:eastAsia="Times New Roman"/>
                <w:noProof/>
                <w:color w:val="006100"/>
                <w:sz w:val="20"/>
              </w:rPr>
            </w:pPr>
            <w:r>
              <w:rPr>
                <w:rFonts w:eastAsia="Times New Roman"/>
                <w:noProof/>
                <w:color w:val="006100"/>
                <w:sz w:val="20"/>
              </w:rPr>
              <w:t xml:space="preserve">C4.1: Soutien systémique à l’investissement public — Réforme 3: </w:t>
            </w:r>
            <w:r>
              <w:rPr>
                <w:noProof/>
              </w:rPr>
              <w:br/>
            </w:r>
            <w:r>
              <w:rPr>
                <w:rFonts w:eastAsia="Times New Roman"/>
                <w:noProof/>
                <w:color w:val="006100"/>
                <w:sz w:val="20"/>
              </w:rPr>
              <w:t xml:space="preserve"> Soutien financier à la préparation de projets conformes aux objectifs de l’UE</w:t>
            </w:r>
          </w:p>
        </w:tc>
        <w:tc>
          <w:tcPr>
            <w:tcW w:w="1770" w:type="dxa"/>
            <w:tcBorders>
              <w:top w:val="nil"/>
              <w:left w:val="nil"/>
              <w:bottom w:val="single" w:sz="8" w:space="0" w:color="auto"/>
              <w:right w:val="single" w:sz="8" w:space="0" w:color="000000" w:themeColor="text1"/>
            </w:tcBorders>
            <w:shd w:val="clear" w:color="auto" w:fill="C6EFCE"/>
            <w:vAlign w:val="center"/>
            <w:hideMark/>
          </w:tcPr>
          <w:p w14:paraId="40FB3D62" w14:textId="164AAABD" w:rsidR="00025543" w:rsidRDefault="007E3A2F">
            <w:pPr>
              <w:pStyle w:val="P68B1DB1-Normal57"/>
              <w:spacing w:line="240" w:lineRule="auto"/>
              <w:jc w:val="center"/>
              <w:rPr>
                <w:noProof/>
              </w:rPr>
            </w:pPr>
            <w:r>
              <w:rPr>
                <w:noProof/>
              </w:rPr>
              <w:t>Cible</w:t>
            </w:r>
          </w:p>
        </w:tc>
        <w:tc>
          <w:tcPr>
            <w:tcW w:w="3409" w:type="dxa"/>
            <w:tcBorders>
              <w:top w:val="nil"/>
              <w:left w:val="nil"/>
              <w:bottom w:val="single" w:sz="8" w:space="0" w:color="auto"/>
              <w:right w:val="single" w:sz="8" w:space="0" w:color="auto"/>
            </w:tcBorders>
            <w:shd w:val="clear" w:color="auto" w:fill="C6EFCE"/>
            <w:vAlign w:val="center"/>
            <w:hideMark/>
          </w:tcPr>
          <w:p w14:paraId="297FEEA2" w14:textId="5DE44DBD" w:rsidR="00025543" w:rsidRDefault="007E3A2F">
            <w:pPr>
              <w:pStyle w:val="P68B1DB1-Normal57"/>
              <w:spacing w:line="240" w:lineRule="auto"/>
              <w:jc w:val="center"/>
              <w:rPr>
                <w:noProof/>
              </w:rPr>
            </w:pPr>
            <w:r>
              <w:rPr>
                <w:noProof/>
              </w:rPr>
              <w:t>Nombre de projets préparés en vue de leur mise en œuvre</w:t>
            </w:r>
          </w:p>
        </w:tc>
      </w:tr>
      <w:tr w:rsidR="00025543" w14:paraId="39F308E8" w14:textId="77777777">
        <w:trPr>
          <w:trHeight w:val="600"/>
        </w:trPr>
        <w:tc>
          <w:tcPr>
            <w:tcW w:w="1275" w:type="dxa"/>
            <w:tcBorders>
              <w:top w:val="nil"/>
              <w:left w:val="single" w:sz="8" w:space="0" w:color="auto"/>
              <w:bottom w:val="single" w:sz="8" w:space="0" w:color="auto"/>
              <w:right w:val="single" w:sz="8" w:space="0" w:color="000000" w:themeColor="text1"/>
            </w:tcBorders>
            <w:shd w:val="clear" w:color="auto" w:fill="C6EFCE"/>
            <w:vAlign w:val="center"/>
            <w:hideMark/>
          </w:tcPr>
          <w:p w14:paraId="493E1008" w14:textId="187D5AAB" w:rsidR="00025543" w:rsidRDefault="007E3A2F">
            <w:pPr>
              <w:pStyle w:val="P68B1DB1-Normal57"/>
              <w:spacing w:line="240" w:lineRule="auto"/>
              <w:jc w:val="center"/>
              <w:rPr>
                <w:noProof/>
              </w:rPr>
            </w:pPr>
            <w:r>
              <w:rPr>
                <w:noProof/>
              </w:rPr>
              <w:t xml:space="preserve">287 </w:t>
            </w:r>
          </w:p>
        </w:tc>
        <w:tc>
          <w:tcPr>
            <w:tcW w:w="4035" w:type="dxa"/>
            <w:tcBorders>
              <w:top w:val="nil"/>
              <w:left w:val="nil"/>
              <w:bottom w:val="single" w:sz="8" w:space="0" w:color="auto"/>
              <w:right w:val="single" w:sz="8" w:space="0" w:color="000000" w:themeColor="text1"/>
            </w:tcBorders>
            <w:shd w:val="clear" w:color="auto" w:fill="C6EFCE"/>
            <w:vAlign w:val="center"/>
            <w:hideMark/>
          </w:tcPr>
          <w:p w14:paraId="0635773C" w14:textId="5BB2D77E" w:rsidR="00025543" w:rsidRDefault="007E3A2F">
            <w:pPr>
              <w:pStyle w:val="P68B1DB1-Normal57"/>
              <w:spacing w:line="240" w:lineRule="auto"/>
              <w:jc w:val="center"/>
              <w:rPr>
                <w:noProof/>
              </w:rPr>
            </w:pPr>
            <w:r>
              <w:rPr>
                <w:noProof/>
              </w:rPr>
              <w:t>C4.1: Soutien systémique à l’investissement public — Réforme 4:  Accroître l’efficacité et améliorer la mise en œuvre du plan national pour la reprise et la résilience</w:t>
            </w:r>
          </w:p>
        </w:tc>
        <w:tc>
          <w:tcPr>
            <w:tcW w:w="1770" w:type="dxa"/>
            <w:tcBorders>
              <w:top w:val="nil"/>
              <w:left w:val="nil"/>
              <w:bottom w:val="single" w:sz="8" w:space="0" w:color="auto"/>
              <w:right w:val="single" w:sz="8" w:space="0" w:color="000000" w:themeColor="text1"/>
            </w:tcBorders>
            <w:shd w:val="clear" w:color="auto" w:fill="C6EFCE"/>
            <w:vAlign w:val="center"/>
            <w:hideMark/>
          </w:tcPr>
          <w:p w14:paraId="052C75FF" w14:textId="2FC1135C" w:rsidR="00025543" w:rsidRDefault="007E3A2F">
            <w:pPr>
              <w:pStyle w:val="P68B1DB1-Normal57"/>
              <w:spacing w:line="240" w:lineRule="auto"/>
              <w:jc w:val="center"/>
              <w:rPr>
                <w:noProof/>
              </w:rPr>
            </w:pPr>
            <w:r>
              <w:rPr>
                <w:noProof/>
              </w:rPr>
              <w:t>Étapes</w:t>
            </w:r>
          </w:p>
        </w:tc>
        <w:tc>
          <w:tcPr>
            <w:tcW w:w="3409" w:type="dxa"/>
            <w:tcBorders>
              <w:top w:val="nil"/>
              <w:left w:val="nil"/>
              <w:bottom w:val="single" w:sz="8" w:space="0" w:color="auto"/>
              <w:right w:val="single" w:sz="8" w:space="0" w:color="auto"/>
            </w:tcBorders>
            <w:shd w:val="clear" w:color="auto" w:fill="C6EFCE"/>
            <w:vAlign w:val="center"/>
            <w:hideMark/>
          </w:tcPr>
          <w:p w14:paraId="4F7F2091" w14:textId="67A75ECE" w:rsidR="00025543" w:rsidRDefault="007E3A2F">
            <w:pPr>
              <w:pStyle w:val="P68B1DB1-Normal57"/>
              <w:spacing w:line="240" w:lineRule="auto"/>
              <w:jc w:val="center"/>
              <w:rPr>
                <w:noProof/>
              </w:rPr>
            </w:pPr>
            <w:r>
              <w:rPr>
                <w:noProof/>
              </w:rPr>
              <w:t>Mise à niveau du système de répertoires (AIS)</w:t>
            </w:r>
          </w:p>
          <w:p w14:paraId="13F1E836" w14:textId="7867D2C8" w:rsidR="00025543" w:rsidRDefault="00025543">
            <w:pPr>
              <w:spacing w:line="240" w:lineRule="auto"/>
              <w:jc w:val="center"/>
              <w:rPr>
                <w:rFonts w:eastAsia="Times New Roman"/>
                <w:noProof/>
                <w:color w:val="006100"/>
                <w:sz w:val="20"/>
              </w:rPr>
            </w:pPr>
          </w:p>
        </w:tc>
      </w:tr>
      <w:tr w:rsidR="00025543" w14:paraId="4A5B14C1" w14:textId="77777777">
        <w:trPr>
          <w:trHeight w:val="600"/>
        </w:trPr>
        <w:tc>
          <w:tcPr>
            <w:tcW w:w="1275" w:type="dxa"/>
            <w:tcBorders>
              <w:top w:val="nil"/>
              <w:left w:val="single" w:sz="8" w:space="0" w:color="auto"/>
              <w:bottom w:val="single" w:sz="8" w:space="0" w:color="auto"/>
              <w:right w:val="single" w:sz="8" w:space="0" w:color="000000" w:themeColor="text1"/>
            </w:tcBorders>
            <w:shd w:val="clear" w:color="auto" w:fill="C6EFCE"/>
            <w:vAlign w:val="center"/>
            <w:hideMark/>
          </w:tcPr>
          <w:p w14:paraId="7DE95585" w14:textId="4C663591" w:rsidR="00025543" w:rsidRDefault="007E3A2F">
            <w:pPr>
              <w:pStyle w:val="P68B1DB1-Normal57"/>
              <w:spacing w:line="240" w:lineRule="auto"/>
              <w:jc w:val="center"/>
              <w:rPr>
                <w:noProof/>
              </w:rPr>
            </w:pPr>
            <w:r>
              <w:rPr>
                <w:noProof/>
              </w:rPr>
              <w:t xml:space="preserve">288 </w:t>
            </w:r>
          </w:p>
        </w:tc>
        <w:tc>
          <w:tcPr>
            <w:tcW w:w="4035" w:type="dxa"/>
            <w:tcBorders>
              <w:top w:val="nil"/>
              <w:left w:val="nil"/>
              <w:bottom w:val="single" w:sz="8" w:space="0" w:color="auto"/>
              <w:right w:val="single" w:sz="8" w:space="0" w:color="000000" w:themeColor="text1"/>
            </w:tcBorders>
            <w:shd w:val="clear" w:color="auto" w:fill="C6EFCE"/>
            <w:vAlign w:val="center"/>
            <w:hideMark/>
          </w:tcPr>
          <w:p w14:paraId="46138CDB" w14:textId="7808D640" w:rsidR="00025543" w:rsidRDefault="007E3A2F">
            <w:pPr>
              <w:pStyle w:val="P68B1DB1-Normal57"/>
              <w:spacing w:line="240" w:lineRule="auto"/>
              <w:jc w:val="center"/>
              <w:rPr>
                <w:noProof/>
              </w:rPr>
            </w:pPr>
            <w:r>
              <w:rPr>
                <w:noProof/>
              </w:rPr>
              <w:t>C4.1: Soutien systémique à l’investissement public — Réforme 4:  Accroître l’efficacité et améliorer la mise en œuvre du plan national pour la reprise et la résilience</w:t>
            </w:r>
          </w:p>
        </w:tc>
        <w:tc>
          <w:tcPr>
            <w:tcW w:w="1770" w:type="dxa"/>
            <w:tcBorders>
              <w:top w:val="nil"/>
              <w:left w:val="nil"/>
              <w:bottom w:val="single" w:sz="8" w:space="0" w:color="auto"/>
              <w:right w:val="single" w:sz="8" w:space="0" w:color="000000" w:themeColor="text1"/>
            </w:tcBorders>
            <w:shd w:val="clear" w:color="auto" w:fill="C6EFCE"/>
            <w:vAlign w:val="center"/>
            <w:hideMark/>
          </w:tcPr>
          <w:p w14:paraId="0E7D0018" w14:textId="09D17019" w:rsidR="00025543" w:rsidRDefault="007E3A2F">
            <w:pPr>
              <w:pStyle w:val="P68B1DB1-Normal57"/>
              <w:spacing w:line="240" w:lineRule="auto"/>
              <w:jc w:val="center"/>
              <w:rPr>
                <w:noProof/>
              </w:rPr>
            </w:pPr>
            <w:r>
              <w:rPr>
                <w:noProof/>
              </w:rPr>
              <w:t>Cible</w:t>
            </w:r>
          </w:p>
        </w:tc>
        <w:tc>
          <w:tcPr>
            <w:tcW w:w="3409" w:type="dxa"/>
            <w:tcBorders>
              <w:top w:val="nil"/>
              <w:left w:val="nil"/>
              <w:bottom w:val="single" w:sz="8" w:space="0" w:color="auto"/>
              <w:right w:val="single" w:sz="8" w:space="0" w:color="auto"/>
            </w:tcBorders>
            <w:shd w:val="clear" w:color="auto" w:fill="C6EFCE"/>
            <w:vAlign w:val="center"/>
            <w:hideMark/>
          </w:tcPr>
          <w:p w14:paraId="1B88A2FD" w14:textId="3DB33694" w:rsidR="00025543" w:rsidRDefault="007E3A2F">
            <w:pPr>
              <w:pStyle w:val="P68B1DB1-Normal57"/>
              <w:spacing w:line="240" w:lineRule="auto"/>
              <w:jc w:val="center"/>
              <w:rPr>
                <w:noProof/>
              </w:rPr>
            </w:pPr>
            <w:r>
              <w:rPr>
                <w:noProof/>
              </w:rPr>
              <w:t>Augmentation du nombre de personnes travaillant sur le plan pour la reprise et la résilience d’ici à 2024</w:t>
            </w:r>
          </w:p>
          <w:p w14:paraId="5606DBD9" w14:textId="156DE36E" w:rsidR="00025543" w:rsidRDefault="00025543">
            <w:pPr>
              <w:spacing w:line="240" w:lineRule="auto"/>
              <w:jc w:val="center"/>
              <w:rPr>
                <w:rFonts w:eastAsia="Times New Roman"/>
                <w:noProof/>
                <w:color w:val="006100"/>
                <w:sz w:val="20"/>
              </w:rPr>
            </w:pPr>
          </w:p>
        </w:tc>
      </w:tr>
      <w:tr w:rsidR="00025543" w14:paraId="14858923" w14:textId="77777777">
        <w:trPr>
          <w:trHeight w:val="600"/>
        </w:trPr>
        <w:tc>
          <w:tcPr>
            <w:tcW w:w="1275" w:type="dxa"/>
            <w:tcBorders>
              <w:top w:val="nil"/>
              <w:left w:val="single" w:sz="8" w:space="0" w:color="auto"/>
              <w:bottom w:val="single" w:sz="8" w:space="0" w:color="auto"/>
              <w:right w:val="single" w:sz="8" w:space="0" w:color="000000" w:themeColor="text1"/>
            </w:tcBorders>
            <w:shd w:val="clear" w:color="auto" w:fill="C6EFCE"/>
            <w:vAlign w:val="center"/>
            <w:hideMark/>
          </w:tcPr>
          <w:p w14:paraId="15F16F1A" w14:textId="66881536" w:rsidR="00025543" w:rsidRDefault="007E3A2F">
            <w:pPr>
              <w:pStyle w:val="P68B1DB1-Normal57"/>
              <w:spacing w:line="240" w:lineRule="auto"/>
              <w:jc w:val="center"/>
              <w:rPr>
                <w:noProof/>
              </w:rPr>
            </w:pPr>
            <w:r>
              <w:rPr>
                <w:noProof/>
              </w:rPr>
              <w:t>310</w:t>
            </w:r>
          </w:p>
        </w:tc>
        <w:tc>
          <w:tcPr>
            <w:tcW w:w="4035" w:type="dxa"/>
            <w:tcBorders>
              <w:top w:val="nil"/>
              <w:left w:val="nil"/>
              <w:bottom w:val="single" w:sz="8" w:space="0" w:color="auto"/>
              <w:right w:val="single" w:sz="8" w:space="0" w:color="000000" w:themeColor="text1"/>
            </w:tcBorders>
            <w:shd w:val="clear" w:color="auto" w:fill="C6EFCE"/>
            <w:vAlign w:val="center"/>
            <w:hideMark/>
          </w:tcPr>
          <w:p w14:paraId="015CD107" w14:textId="66881536" w:rsidR="00025543" w:rsidRDefault="007E3A2F">
            <w:pPr>
              <w:pStyle w:val="P68B1DB1-Normal57"/>
              <w:spacing w:before="0" w:after="0" w:line="240" w:lineRule="auto"/>
              <w:jc w:val="center"/>
              <w:rPr>
                <w:noProof/>
              </w:rPr>
            </w:pPr>
            <w:r>
              <w:rPr>
                <w:noProof/>
              </w:rPr>
              <w:t xml:space="preserve">C 7.2 Soutenir la décentralisation et la numérisation du secteur de l’énergie — Investissements 1:  Centre de données sur l’électricité </w:t>
            </w:r>
          </w:p>
        </w:tc>
        <w:tc>
          <w:tcPr>
            <w:tcW w:w="1770" w:type="dxa"/>
            <w:tcBorders>
              <w:top w:val="nil"/>
              <w:left w:val="nil"/>
              <w:bottom w:val="single" w:sz="8" w:space="0" w:color="auto"/>
              <w:right w:val="single" w:sz="8" w:space="0" w:color="000000" w:themeColor="text1"/>
            </w:tcBorders>
            <w:shd w:val="clear" w:color="auto" w:fill="C6EFCE"/>
            <w:vAlign w:val="center"/>
            <w:hideMark/>
          </w:tcPr>
          <w:p w14:paraId="1ADDAAEC" w14:textId="761A361B" w:rsidR="00025543" w:rsidRDefault="007E3A2F">
            <w:pPr>
              <w:pStyle w:val="P68B1DB1-Normal57"/>
              <w:spacing w:before="0" w:after="0" w:line="240" w:lineRule="auto"/>
              <w:rPr>
                <w:noProof/>
              </w:rPr>
            </w:pPr>
            <w:r>
              <w:rPr>
                <w:noProof/>
              </w:rPr>
              <w:t xml:space="preserve">       Étapes </w:t>
            </w:r>
          </w:p>
        </w:tc>
        <w:tc>
          <w:tcPr>
            <w:tcW w:w="3409" w:type="dxa"/>
            <w:tcBorders>
              <w:top w:val="nil"/>
              <w:left w:val="nil"/>
              <w:bottom w:val="single" w:sz="8" w:space="0" w:color="auto"/>
              <w:right w:val="single" w:sz="8" w:space="0" w:color="auto"/>
            </w:tcBorders>
            <w:shd w:val="clear" w:color="auto" w:fill="C6EFCE"/>
            <w:vAlign w:val="center"/>
            <w:hideMark/>
          </w:tcPr>
          <w:p w14:paraId="0DC095F5" w14:textId="519692C3" w:rsidR="00025543" w:rsidRDefault="007E3A2F">
            <w:pPr>
              <w:pStyle w:val="P68B1DB1-Normal57"/>
              <w:spacing w:before="0" w:after="0" w:line="240" w:lineRule="auto"/>
              <w:rPr>
                <w:noProof/>
              </w:rPr>
            </w:pPr>
            <w:r>
              <w:rPr>
                <w:noProof/>
              </w:rPr>
              <w:t>Mise en service du centre de données sur l’énergie</w:t>
            </w:r>
          </w:p>
        </w:tc>
      </w:tr>
      <w:tr w:rsidR="00025543" w14:paraId="6DE4423D" w14:textId="77777777">
        <w:trPr>
          <w:trHeight w:val="600"/>
        </w:trPr>
        <w:tc>
          <w:tcPr>
            <w:tcW w:w="1275" w:type="dxa"/>
            <w:tcBorders>
              <w:top w:val="nil"/>
              <w:left w:val="single" w:sz="8" w:space="0" w:color="auto"/>
              <w:bottom w:val="single" w:sz="8" w:space="0" w:color="auto"/>
              <w:right w:val="single" w:sz="8" w:space="0" w:color="000000" w:themeColor="text1"/>
            </w:tcBorders>
            <w:shd w:val="clear" w:color="auto" w:fill="C6EFCE"/>
            <w:vAlign w:val="center"/>
            <w:hideMark/>
          </w:tcPr>
          <w:p w14:paraId="0DDFBB52" w14:textId="519692C3" w:rsidR="00025543" w:rsidRDefault="007E3A2F">
            <w:pPr>
              <w:pStyle w:val="P68B1DB1-Normal57"/>
              <w:spacing w:line="240" w:lineRule="auto"/>
              <w:jc w:val="center"/>
              <w:rPr>
                <w:noProof/>
              </w:rPr>
            </w:pPr>
            <w:r>
              <w:rPr>
                <w:noProof/>
              </w:rPr>
              <w:t>315</w:t>
            </w:r>
          </w:p>
        </w:tc>
        <w:tc>
          <w:tcPr>
            <w:tcW w:w="4035" w:type="dxa"/>
            <w:tcBorders>
              <w:top w:val="nil"/>
              <w:left w:val="nil"/>
              <w:bottom w:val="single" w:sz="8" w:space="0" w:color="auto"/>
              <w:right w:val="single" w:sz="8" w:space="0" w:color="000000" w:themeColor="text1"/>
            </w:tcBorders>
            <w:shd w:val="clear" w:color="auto" w:fill="C6EFCE"/>
            <w:vAlign w:val="center"/>
            <w:hideMark/>
          </w:tcPr>
          <w:p w14:paraId="08B134CF" w14:textId="608FD2E9" w:rsidR="00025543" w:rsidRDefault="007E3A2F">
            <w:pPr>
              <w:pStyle w:val="P68B1DB1-Normal57"/>
              <w:spacing w:before="0" w:after="0" w:line="240" w:lineRule="auto"/>
              <w:jc w:val="center"/>
              <w:rPr>
                <w:noProof/>
              </w:rPr>
            </w:pPr>
            <w:r>
              <w:rPr>
                <w:noProof/>
              </w:rPr>
              <w:t xml:space="preserve">C 7.2 Soutenir la décentralisation et la numérisation du secteur de l’énergie — Réforme 2: </w:t>
            </w:r>
          </w:p>
          <w:p w14:paraId="21FE2DF1" w14:textId="519692C3" w:rsidR="00025543" w:rsidRDefault="007E3A2F">
            <w:pPr>
              <w:pStyle w:val="P68B1DB1-Normal57"/>
              <w:spacing w:before="0" w:after="0" w:line="240" w:lineRule="auto"/>
              <w:jc w:val="center"/>
              <w:rPr>
                <w:noProof/>
              </w:rPr>
            </w:pPr>
            <w:r>
              <w:rPr>
                <w:noProof/>
              </w:rPr>
              <w:t xml:space="preserve">Cadre pour le stockage de l’énergie et la flexibilité non fossile </w:t>
            </w:r>
          </w:p>
          <w:p w14:paraId="47D66390" w14:textId="519692C3" w:rsidR="00025543" w:rsidRDefault="007E3A2F">
            <w:pPr>
              <w:pStyle w:val="P68B1DB1-Normal57"/>
              <w:spacing w:before="0" w:after="0" w:line="240" w:lineRule="auto"/>
              <w:rPr>
                <w:noProof/>
              </w:rPr>
            </w:pPr>
            <w:r>
              <w:rPr>
                <w:noProof/>
              </w:rPr>
              <w:t xml:space="preserve">  </w:t>
            </w:r>
          </w:p>
        </w:tc>
        <w:tc>
          <w:tcPr>
            <w:tcW w:w="1770" w:type="dxa"/>
            <w:tcBorders>
              <w:top w:val="nil"/>
              <w:left w:val="nil"/>
              <w:bottom w:val="single" w:sz="8" w:space="0" w:color="auto"/>
              <w:right w:val="single" w:sz="8" w:space="0" w:color="000000" w:themeColor="text1"/>
            </w:tcBorders>
            <w:shd w:val="clear" w:color="auto" w:fill="C6EFCE"/>
            <w:vAlign w:val="center"/>
            <w:hideMark/>
          </w:tcPr>
          <w:p w14:paraId="29011907" w14:textId="15C28910" w:rsidR="00025543" w:rsidRDefault="007E3A2F">
            <w:pPr>
              <w:pStyle w:val="P68B1DB1-Normal57"/>
              <w:spacing w:before="0" w:after="0" w:line="240" w:lineRule="auto"/>
              <w:rPr>
                <w:noProof/>
              </w:rPr>
            </w:pPr>
            <w:r>
              <w:rPr>
                <w:noProof/>
              </w:rPr>
              <w:t xml:space="preserve">       Étapes </w:t>
            </w:r>
          </w:p>
        </w:tc>
        <w:tc>
          <w:tcPr>
            <w:tcW w:w="3409" w:type="dxa"/>
            <w:tcBorders>
              <w:top w:val="nil"/>
              <w:left w:val="nil"/>
              <w:bottom w:val="single" w:sz="8" w:space="0" w:color="auto"/>
              <w:right w:val="single" w:sz="8" w:space="0" w:color="auto"/>
            </w:tcBorders>
            <w:shd w:val="clear" w:color="auto" w:fill="C6EFCE"/>
            <w:vAlign w:val="center"/>
            <w:hideMark/>
          </w:tcPr>
          <w:p w14:paraId="59AAE728" w14:textId="4D109454" w:rsidR="00025543" w:rsidRDefault="007E3A2F">
            <w:pPr>
              <w:pStyle w:val="P68B1DB1-Normal57"/>
              <w:spacing w:before="0" w:after="0" w:line="240" w:lineRule="auto"/>
              <w:rPr>
                <w:noProof/>
              </w:rPr>
            </w:pPr>
            <w:r>
              <w:rPr>
                <w:noProof/>
              </w:rPr>
              <w:t>Rapport sur la nécessité d’une flexibilité non fossile</w:t>
            </w:r>
          </w:p>
        </w:tc>
      </w:tr>
      <w:tr w:rsidR="00025543" w14:paraId="31128C1B" w14:textId="77777777">
        <w:trPr>
          <w:trHeight w:val="600"/>
        </w:trPr>
        <w:tc>
          <w:tcPr>
            <w:tcW w:w="1275" w:type="dxa"/>
            <w:tcBorders>
              <w:top w:val="nil"/>
              <w:left w:val="single" w:sz="8" w:space="0" w:color="auto"/>
              <w:bottom w:val="single" w:sz="8" w:space="0" w:color="auto"/>
              <w:right w:val="single" w:sz="8" w:space="0" w:color="000000" w:themeColor="text1"/>
            </w:tcBorders>
            <w:shd w:val="clear" w:color="auto" w:fill="C6EFCE"/>
            <w:vAlign w:val="center"/>
            <w:hideMark/>
          </w:tcPr>
          <w:p w14:paraId="2FE43FB5" w14:textId="519692C3" w:rsidR="00025543" w:rsidRDefault="007E3A2F">
            <w:pPr>
              <w:pStyle w:val="P68B1DB1-Normal57"/>
              <w:spacing w:line="240" w:lineRule="auto"/>
              <w:jc w:val="center"/>
              <w:rPr>
                <w:noProof/>
              </w:rPr>
            </w:pPr>
            <w:r>
              <w:rPr>
                <w:noProof/>
              </w:rPr>
              <w:t>316</w:t>
            </w:r>
          </w:p>
        </w:tc>
        <w:tc>
          <w:tcPr>
            <w:tcW w:w="4035" w:type="dxa"/>
            <w:tcBorders>
              <w:top w:val="nil"/>
              <w:left w:val="nil"/>
              <w:bottom w:val="single" w:sz="8" w:space="0" w:color="auto"/>
              <w:right w:val="single" w:sz="8" w:space="0" w:color="000000" w:themeColor="text1"/>
            </w:tcBorders>
            <w:shd w:val="clear" w:color="auto" w:fill="C6EFCE"/>
            <w:vAlign w:val="center"/>
            <w:hideMark/>
          </w:tcPr>
          <w:p w14:paraId="610EE3AC" w14:textId="519692C3" w:rsidR="00025543" w:rsidRDefault="007E3A2F">
            <w:pPr>
              <w:pStyle w:val="P68B1DB1-Normal57"/>
              <w:spacing w:before="0" w:after="0" w:line="240" w:lineRule="auto"/>
              <w:jc w:val="center"/>
              <w:rPr>
                <w:noProof/>
              </w:rPr>
            </w:pPr>
            <w:r>
              <w:rPr>
                <w:noProof/>
              </w:rPr>
              <w:t>C 7.2 Soutenir la décentralisation et la numérisation du secteur de l’énergie —</w:t>
            </w:r>
          </w:p>
          <w:p w14:paraId="35389029" w14:textId="519692C3" w:rsidR="00025543" w:rsidRDefault="007E3A2F">
            <w:pPr>
              <w:pStyle w:val="P68B1DB1-Normal57"/>
              <w:spacing w:before="0" w:after="0" w:line="240" w:lineRule="auto"/>
              <w:jc w:val="center"/>
              <w:rPr>
                <w:noProof/>
              </w:rPr>
            </w:pPr>
            <w:r>
              <w:rPr>
                <w:noProof/>
              </w:rPr>
              <w:t xml:space="preserve">Réforme 2:  </w:t>
            </w:r>
          </w:p>
          <w:p w14:paraId="3FDD1856" w14:textId="519692C3" w:rsidR="00025543" w:rsidRDefault="007E3A2F">
            <w:pPr>
              <w:pStyle w:val="P68B1DB1-Normal57"/>
              <w:spacing w:before="0" w:after="0" w:line="240" w:lineRule="auto"/>
              <w:jc w:val="center"/>
              <w:rPr>
                <w:noProof/>
              </w:rPr>
            </w:pPr>
            <w:r>
              <w:rPr>
                <w:noProof/>
              </w:rPr>
              <w:t xml:space="preserve">Cadre pour le stockage de l’énergie et la flexibilité non fossile </w:t>
            </w:r>
          </w:p>
          <w:p w14:paraId="2EF11D2B" w14:textId="519692C3" w:rsidR="00025543" w:rsidRDefault="007E3A2F">
            <w:pPr>
              <w:pStyle w:val="P68B1DB1-Normal57"/>
              <w:spacing w:before="0" w:after="0" w:line="240" w:lineRule="auto"/>
              <w:jc w:val="center"/>
              <w:rPr>
                <w:noProof/>
              </w:rPr>
            </w:pPr>
            <w:r>
              <w:rPr>
                <w:noProof/>
              </w:rPr>
              <w:t xml:space="preserve">  </w:t>
            </w:r>
          </w:p>
        </w:tc>
        <w:tc>
          <w:tcPr>
            <w:tcW w:w="1770" w:type="dxa"/>
            <w:tcBorders>
              <w:top w:val="nil"/>
              <w:left w:val="nil"/>
              <w:bottom w:val="single" w:sz="8" w:space="0" w:color="auto"/>
              <w:right w:val="single" w:sz="8" w:space="0" w:color="000000" w:themeColor="text1"/>
            </w:tcBorders>
            <w:shd w:val="clear" w:color="auto" w:fill="C6EFCE"/>
            <w:vAlign w:val="center"/>
            <w:hideMark/>
          </w:tcPr>
          <w:p w14:paraId="65E89F94" w14:textId="16BD5CC9" w:rsidR="00025543" w:rsidRDefault="007E3A2F">
            <w:pPr>
              <w:pStyle w:val="P68B1DB1-Normal57"/>
              <w:spacing w:before="0" w:after="0" w:line="240" w:lineRule="auto"/>
              <w:rPr>
                <w:noProof/>
              </w:rPr>
            </w:pPr>
            <w:r>
              <w:rPr>
                <w:noProof/>
              </w:rPr>
              <w:t xml:space="preserve">       Étapes </w:t>
            </w:r>
          </w:p>
        </w:tc>
        <w:tc>
          <w:tcPr>
            <w:tcW w:w="3409" w:type="dxa"/>
            <w:tcBorders>
              <w:top w:val="nil"/>
              <w:left w:val="nil"/>
              <w:bottom w:val="single" w:sz="8" w:space="0" w:color="auto"/>
              <w:right w:val="single" w:sz="8" w:space="0" w:color="auto"/>
            </w:tcBorders>
            <w:shd w:val="clear" w:color="auto" w:fill="C6EFCE"/>
            <w:vAlign w:val="center"/>
            <w:hideMark/>
          </w:tcPr>
          <w:p w14:paraId="7B46823B" w14:textId="519692C3" w:rsidR="00025543" w:rsidRDefault="007E3A2F">
            <w:pPr>
              <w:pStyle w:val="P68B1DB1-Normal57"/>
              <w:spacing w:before="0" w:after="0" w:line="240" w:lineRule="auto"/>
              <w:rPr>
                <w:noProof/>
              </w:rPr>
            </w:pPr>
            <w:r>
              <w:rPr>
                <w:noProof/>
              </w:rPr>
              <w:t>Entrée en vigueur des modifications législatives</w:t>
            </w:r>
          </w:p>
        </w:tc>
      </w:tr>
      <w:tr w:rsidR="00025543" w14:paraId="33ADDC7F" w14:textId="77777777">
        <w:trPr>
          <w:trHeight w:val="600"/>
        </w:trPr>
        <w:tc>
          <w:tcPr>
            <w:tcW w:w="1275" w:type="dxa"/>
            <w:tcBorders>
              <w:top w:val="nil"/>
              <w:left w:val="single" w:sz="8" w:space="0" w:color="auto"/>
              <w:bottom w:val="single" w:sz="8" w:space="0" w:color="auto"/>
              <w:right w:val="single" w:sz="8" w:space="0" w:color="000000" w:themeColor="text1"/>
            </w:tcBorders>
            <w:shd w:val="clear" w:color="auto" w:fill="C6EFCE"/>
            <w:vAlign w:val="center"/>
            <w:hideMark/>
          </w:tcPr>
          <w:p w14:paraId="078FC106" w14:textId="519692C3" w:rsidR="00025543" w:rsidRDefault="007E3A2F">
            <w:pPr>
              <w:pStyle w:val="P68B1DB1-Normal57"/>
              <w:spacing w:line="240" w:lineRule="auto"/>
              <w:jc w:val="center"/>
              <w:rPr>
                <w:noProof/>
              </w:rPr>
            </w:pPr>
            <w:r>
              <w:rPr>
                <w:noProof/>
              </w:rPr>
              <w:t>318</w:t>
            </w:r>
          </w:p>
        </w:tc>
        <w:tc>
          <w:tcPr>
            <w:tcW w:w="4035" w:type="dxa"/>
            <w:tcBorders>
              <w:top w:val="nil"/>
              <w:left w:val="nil"/>
              <w:bottom w:val="single" w:sz="8" w:space="0" w:color="auto"/>
              <w:right w:val="single" w:sz="8" w:space="0" w:color="000000" w:themeColor="text1"/>
            </w:tcBorders>
            <w:shd w:val="clear" w:color="auto" w:fill="C6EFCE"/>
            <w:vAlign w:val="center"/>
            <w:hideMark/>
          </w:tcPr>
          <w:p w14:paraId="1C6D801A" w14:textId="519692C3" w:rsidR="00025543" w:rsidRDefault="007E3A2F">
            <w:pPr>
              <w:pStyle w:val="P68B1DB1-Normal57"/>
              <w:spacing w:before="0" w:after="0" w:line="240" w:lineRule="auto"/>
              <w:rPr>
                <w:noProof/>
              </w:rPr>
            </w:pPr>
            <w:r>
              <w:rPr>
                <w:noProof/>
              </w:rPr>
              <w:t>C 7.3: Réforme globale de la vague de rénovations en République tchèque —</w:t>
            </w:r>
          </w:p>
          <w:p w14:paraId="110139C0" w14:textId="519692C3" w:rsidR="00025543" w:rsidRDefault="007E3A2F">
            <w:pPr>
              <w:pStyle w:val="P68B1DB1-Normal57"/>
              <w:spacing w:before="0" w:after="0" w:line="240" w:lineRule="auto"/>
              <w:rPr>
                <w:noProof/>
              </w:rPr>
            </w:pPr>
            <w:r>
              <w:rPr>
                <w:noProof/>
              </w:rPr>
              <w:t xml:space="preserve">Réforme 1: Guichets uniques pour les communautés énergétiques et les rénovations visant à améliorer l’efficacité énergétique </w:t>
            </w:r>
          </w:p>
          <w:p w14:paraId="5CDFA473" w14:textId="519692C3" w:rsidR="00025543" w:rsidRDefault="007E3A2F">
            <w:pPr>
              <w:pStyle w:val="P68B1DB1-Normal57"/>
              <w:spacing w:before="0" w:after="0" w:line="240" w:lineRule="auto"/>
              <w:rPr>
                <w:noProof/>
              </w:rPr>
            </w:pPr>
            <w:r>
              <w:rPr>
                <w:noProof/>
              </w:rPr>
              <w:t xml:space="preserve"> </w:t>
            </w:r>
          </w:p>
        </w:tc>
        <w:tc>
          <w:tcPr>
            <w:tcW w:w="1770" w:type="dxa"/>
            <w:tcBorders>
              <w:top w:val="nil"/>
              <w:left w:val="nil"/>
              <w:bottom w:val="single" w:sz="8" w:space="0" w:color="auto"/>
              <w:right w:val="single" w:sz="8" w:space="0" w:color="000000" w:themeColor="text1"/>
            </w:tcBorders>
            <w:shd w:val="clear" w:color="auto" w:fill="C6EFCE"/>
            <w:vAlign w:val="center"/>
            <w:hideMark/>
          </w:tcPr>
          <w:p w14:paraId="257A4B2E" w14:textId="2D52F812" w:rsidR="00025543" w:rsidRDefault="007E3A2F">
            <w:pPr>
              <w:pStyle w:val="P68B1DB1-Normal57"/>
              <w:spacing w:before="0" w:after="0" w:line="240" w:lineRule="auto"/>
              <w:rPr>
                <w:noProof/>
              </w:rPr>
            </w:pPr>
            <w:r>
              <w:rPr>
                <w:noProof/>
              </w:rPr>
              <w:t xml:space="preserve">       Étapes </w:t>
            </w:r>
          </w:p>
        </w:tc>
        <w:tc>
          <w:tcPr>
            <w:tcW w:w="3409" w:type="dxa"/>
            <w:tcBorders>
              <w:top w:val="nil"/>
              <w:left w:val="nil"/>
              <w:bottom w:val="single" w:sz="8" w:space="0" w:color="auto"/>
              <w:right w:val="single" w:sz="8" w:space="0" w:color="auto"/>
            </w:tcBorders>
            <w:shd w:val="clear" w:color="auto" w:fill="C6EFCE"/>
            <w:vAlign w:val="center"/>
            <w:hideMark/>
          </w:tcPr>
          <w:p w14:paraId="0D7C620A" w14:textId="519692C3" w:rsidR="00025543" w:rsidRDefault="007E3A2F">
            <w:pPr>
              <w:pStyle w:val="P68B1DB1-Normal57"/>
              <w:spacing w:before="0" w:after="0" w:line="240" w:lineRule="auto"/>
              <w:rPr>
                <w:noProof/>
              </w:rPr>
            </w:pPr>
            <w:r>
              <w:rPr>
                <w:noProof/>
              </w:rPr>
              <w:t>Guichet unique pour l’énergie</w:t>
            </w:r>
          </w:p>
        </w:tc>
      </w:tr>
      <w:tr w:rsidR="00025543" w14:paraId="4D53DE42" w14:textId="77777777">
        <w:trPr>
          <w:trHeight w:val="600"/>
        </w:trPr>
        <w:tc>
          <w:tcPr>
            <w:tcW w:w="1275" w:type="dxa"/>
            <w:tcBorders>
              <w:top w:val="nil"/>
              <w:left w:val="single" w:sz="8" w:space="0" w:color="auto"/>
              <w:bottom w:val="single" w:sz="8" w:space="0" w:color="auto"/>
              <w:right w:val="single" w:sz="8" w:space="0" w:color="000000" w:themeColor="text1"/>
            </w:tcBorders>
            <w:shd w:val="clear" w:color="auto" w:fill="C6EFCE"/>
            <w:vAlign w:val="center"/>
            <w:hideMark/>
          </w:tcPr>
          <w:p w14:paraId="25766AAA" w14:textId="519692C3" w:rsidR="00025543" w:rsidRDefault="007E3A2F">
            <w:pPr>
              <w:pStyle w:val="P68B1DB1-Normal57"/>
              <w:spacing w:line="240" w:lineRule="auto"/>
              <w:jc w:val="center"/>
              <w:rPr>
                <w:noProof/>
              </w:rPr>
            </w:pPr>
            <w:r>
              <w:rPr>
                <w:noProof/>
              </w:rPr>
              <w:t>327</w:t>
            </w:r>
          </w:p>
        </w:tc>
        <w:tc>
          <w:tcPr>
            <w:tcW w:w="4035" w:type="dxa"/>
            <w:tcBorders>
              <w:top w:val="nil"/>
              <w:left w:val="nil"/>
              <w:bottom w:val="single" w:sz="8" w:space="0" w:color="auto"/>
              <w:right w:val="single" w:sz="8" w:space="0" w:color="000000" w:themeColor="text1"/>
            </w:tcBorders>
            <w:shd w:val="clear" w:color="auto" w:fill="C6EFCE"/>
            <w:vAlign w:val="center"/>
            <w:hideMark/>
          </w:tcPr>
          <w:p w14:paraId="74AA231C" w14:textId="519692C3" w:rsidR="00025543" w:rsidRDefault="007E3A2F">
            <w:pPr>
              <w:pStyle w:val="P68B1DB1-Normal57"/>
              <w:spacing w:before="0" w:after="0" w:line="240" w:lineRule="auto"/>
              <w:rPr>
                <w:noProof/>
              </w:rPr>
            </w:pPr>
            <w:r>
              <w:rPr>
                <w:noProof/>
              </w:rPr>
              <w:t>C 7.4: Adaptation scolaire — Promouvoir les compétences vertes et la durabilité dans les universités —</w:t>
            </w:r>
          </w:p>
          <w:p w14:paraId="1B8CE20D" w14:textId="519692C3" w:rsidR="00025543" w:rsidRDefault="007E3A2F">
            <w:pPr>
              <w:pStyle w:val="P68B1DB1-Normal57"/>
              <w:spacing w:before="0" w:after="0" w:line="240" w:lineRule="auto"/>
              <w:rPr>
                <w:noProof/>
              </w:rPr>
            </w:pPr>
            <w:r>
              <w:rPr>
                <w:noProof/>
              </w:rPr>
              <w:t xml:space="preserve">Investissement 1: Stratégies de transition écologique et durable </w:t>
            </w:r>
          </w:p>
          <w:p w14:paraId="7017747B" w14:textId="519692C3" w:rsidR="00025543" w:rsidRDefault="007E3A2F">
            <w:pPr>
              <w:pStyle w:val="P68B1DB1-Normal57"/>
              <w:spacing w:before="0" w:after="0" w:line="240" w:lineRule="auto"/>
              <w:rPr>
                <w:noProof/>
              </w:rPr>
            </w:pPr>
            <w:r>
              <w:rPr>
                <w:noProof/>
              </w:rPr>
              <w:t xml:space="preserve">  </w:t>
            </w:r>
          </w:p>
          <w:p w14:paraId="7D1C2F20" w14:textId="519692C3" w:rsidR="00025543" w:rsidRDefault="007E3A2F">
            <w:pPr>
              <w:pStyle w:val="P68B1DB1-Normal57"/>
              <w:spacing w:before="0" w:after="0" w:line="240" w:lineRule="auto"/>
              <w:rPr>
                <w:noProof/>
              </w:rPr>
            </w:pPr>
            <w:r>
              <w:rPr>
                <w:noProof/>
              </w:rPr>
              <w:t xml:space="preserve">  </w:t>
            </w:r>
          </w:p>
        </w:tc>
        <w:tc>
          <w:tcPr>
            <w:tcW w:w="1770" w:type="dxa"/>
            <w:tcBorders>
              <w:top w:val="nil"/>
              <w:left w:val="nil"/>
              <w:bottom w:val="single" w:sz="8" w:space="0" w:color="auto"/>
              <w:right w:val="single" w:sz="8" w:space="0" w:color="000000" w:themeColor="text1"/>
            </w:tcBorders>
            <w:shd w:val="clear" w:color="auto" w:fill="C6EFCE"/>
            <w:vAlign w:val="center"/>
            <w:hideMark/>
          </w:tcPr>
          <w:p w14:paraId="6285AC5E" w14:textId="0A76421C" w:rsidR="00025543" w:rsidRDefault="007E3A2F">
            <w:pPr>
              <w:pStyle w:val="P68B1DB1-Normal57"/>
              <w:spacing w:before="0" w:after="0" w:line="240" w:lineRule="auto"/>
              <w:rPr>
                <w:noProof/>
              </w:rPr>
            </w:pPr>
            <w:r>
              <w:rPr>
                <w:noProof/>
              </w:rPr>
              <w:t xml:space="preserve">         Cible </w:t>
            </w:r>
          </w:p>
        </w:tc>
        <w:tc>
          <w:tcPr>
            <w:tcW w:w="3409" w:type="dxa"/>
            <w:tcBorders>
              <w:top w:val="nil"/>
              <w:left w:val="nil"/>
              <w:bottom w:val="single" w:sz="8" w:space="0" w:color="auto"/>
              <w:right w:val="single" w:sz="8" w:space="0" w:color="auto"/>
            </w:tcBorders>
            <w:shd w:val="clear" w:color="auto" w:fill="C6EFCE"/>
            <w:vAlign w:val="center"/>
            <w:hideMark/>
          </w:tcPr>
          <w:p w14:paraId="6BC5ECD6" w14:textId="519692C3" w:rsidR="00025543" w:rsidRDefault="007E3A2F">
            <w:pPr>
              <w:pStyle w:val="P68B1DB1-Normal57"/>
              <w:spacing w:before="0" w:after="0" w:line="240" w:lineRule="auto"/>
              <w:rPr>
                <w:noProof/>
              </w:rPr>
            </w:pPr>
            <w:r>
              <w:rPr>
                <w:noProof/>
              </w:rPr>
              <w:t>Adoption de nouvelles stratégies de transition durable et écologique par les universités publiques</w:t>
            </w:r>
          </w:p>
        </w:tc>
      </w:tr>
      <w:tr w:rsidR="00025543" w14:paraId="0B9BCC4A" w14:textId="77777777">
        <w:trPr>
          <w:trHeight w:val="600"/>
        </w:trPr>
        <w:tc>
          <w:tcPr>
            <w:tcW w:w="1275" w:type="dxa"/>
            <w:tcBorders>
              <w:top w:val="nil"/>
              <w:left w:val="single" w:sz="8" w:space="0" w:color="auto"/>
              <w:bottom w:val="single" w:sz="8" w:space="0" w:color="auto"/>
              <w:right w:val="single" w:sz="8" w:space="0" w:color="000000" w:themeColor="text1"/>
            </w:tcBorders>
            <w:shd w:val="clear" w:color="auto" w:fill="C6EFCE"/>
            <w:vAlign w:val="center"/>
            <w:hideMark/>
          </w:tcPr>
          <w:p w14:paraId="1F8DBD7A" w14:textId="519692C3" w:rsidR="00025543" w:rsidRDefault="007E3A2F">
            <w:pPr>
              <w:pStyle w:val="P68B1DB1-Normal57"/>
              <w:spacing w:line="240" w:lineRule="auto"/>
              <w:jc w:val="center"/>
              <w:rPr>
                <w:noProof/>
              </w:rPr>
            </w:pPr>
            <w:r>
              <w:rPr>
                <w:noProof/>
              </w:rPr>
              <w:t>332</w:t>
            </w:r>
          </w:p>
        </w:tc>
        <w:tc>
          <w:tcPr>
            <w:tcW w:w="4035" w:type="dxa"/>
            <w:tcBorders>
              <w:top w:val="nil"/>
              <w:left w:val="nil"/>
              <w:bottom w:val="single" w:sz="8" w:space="0" w:color="auto"/>
              <w:right w:val="single" w:sz="8" w:space="0" w:color="000000" w:themeColor="text1"/>
            </w:tcBorders>
            <w:shd w:val="clear" w:color="auto" w:fill="C6EFCE"/>
            <w:vAlign w:val="center"/>
            <w:hideMark/>
          </w:tcPr>
          <w:p w14:paraId="0F465CBA" w14:textId="25771130" w:rsidR="00025543" w:rsidRDefault="007E3A2F">
            <w:pPr>
              <w:pStyle w:val="P68B1DB1-Normal57"/>
              <w:spacing w:before="0" w:after="0" w:line="240" w:lineRule="auto"/>
              <w:rPr>
                <w:noProof/>
              </w:rPr>
            </w:pPr>
            <w:r>
              <w:rPr>
                <w:noProof/>
              </w:rPr>
              <w:t>C 7.5 Décarbonisation du transport routier (REPowerEU) —</w:t>
            </w:r>
          </w:p>
          <w:p w14:paraId="3754BB6A" w14:textId="7F83E57B" w:rsidR="00025543" w:rsidRDefault="007E3A2F">
            <w:pPr>
              <w:pStyle w:val="P68B1DB1-Normal57"/>
              <w:spacing w:before="0" w:after="0" w:line="240" w:lineRule="auto"/>
              <w:rPr>
                <w:noProof/>
              </w:rPr>
            </w:pPr>
            <w:r>
              <w:rPr>
                <w:noProof/>
              </w:rPr>
              <w:t xml:space="preserve">Réforme 2: Mesures fiscales en faveur de la mobilité à émissions nulles </w:t>
            </w:r>
          </w:p>
        </w:tc>
        <w:tc>
          <w:tcPr>
            <w:tcW w:w="1770" w:type="dxa"/>
            <w:tcBorders>
              <w:top w:val="nil"/>
              <w:left w:val="nil"/>
              <w:bottom w:val="single" w:sz="8" w:space="0" w:color="auto"/>
              <w:right w:val="single" w:sz="8" w:space="0" w:color="000000" w:themeColor="text1"/>
            </w:tcBorders>
            <w:shd w:val="clear" w:color="auto" w:fill="C6EFCE"/>
            <w:vAlign w:val="center"/>
            <w:hideMark/>
          </w:tcPr>
          <w:p w14:paraId="52316D70" w14:textId="54D7634F" w:rsidR="00025543" w:rsidRDefault="007E3A2F">
            <w:pPr>
              <w:pStyle w:val="P68B1DB1-Normal57"/>
              <w:spacing w:before="0" w:after="0" w:line="240" w:lineRule="auto"/>
              <w:rPr>
                <w:noProof/>
              </w:rPr>
            </w:pPr>
            <w:r>
              <w:rPr>
                <w:noProof/>
              </w:rPr>
              <w:t xml:space="preserve">     Étapes  </w:t>
            </w:r>
          </w:p>
        </w:tc>
        <w:tc>
          <w:tcPr>
            <w:tcW w:w="3409" w:type="dxa"/>
            <w:tcBorders>
              <w:top w:val="nil"/>
              <w:left w:val="nil"/>
              <w:bottom w:val="single" w:sz="8" w:space="0" w:color="auto"/>
              <w:right w:val="single" w:sz="8" w:space="0" w:color="auto"/>
            </w:tcBorders>
            <w:shd w:val="clear" w:color="auto" w:fill="C6EFCE"/>
            <w:vAlign w:val="center"/>
            <w:hideMark/>
          </w:tcPr>
          <w:p w14:paraId="5664D234" w14:textId="7F83E57B" w:rsidR="00025543" w:rsidRDefault="007E3A2F">
            <w:pPr>
              <w:pStyle w:val="P68B1DB1-Normal57"/>
              <w:spacing w:before="0" w:after="0" w:line="240" w:lineRule="auto"/>
              <w:rPr>
                <w:noProof/>
              </w:rPr>
            </w:pPr>
            <w:r>
              <w:rPr>
                <w:noProof/>
              </w:rPr>
              <w:t>Exonérations fiscales pour la promotion du déploiement de véhicules à émissions nulles dans les entreprises privées</w:t>
            </w:r>
          </w:p>
        </w:tc>
      </w:tr>
      <w:tr w:rsidR="00025543" w14:paraId="2AEFA08A" w14:textId="77777777">
        <w:trPr>
          <w:trHeight w:val="600"/>
        </w:trPr>
        <w:tc>
          <w:tcPr>
            <w:tcW w:w="1275" w:type="dxa"/>
            <w:tcBorders>
              <w:top w:val="nil"/>
              <w:left w:val="single" w:sz="8" w:space="0" w:color="auto"/>
              <w:bottom w:val="single" w:sz="8" w:space="0" w:color="auto"/>
              <w:right w:val="single" w:sz="8" w:space="0" w:color="000000" w:themeColor="text1"/>
            </w:tcBorders>
            <w:shd w:val="clear" w:color="auto" w:fill="C6EFCE"/>
            <w:vAlign w:val="center"/>
            <w:hideMark/>
          </w:tcPr>
          <w:p w14:paraId="58FC6F9B" w14:textId="7F83E57B" w:rsidR="00025543" w:rsidRDefault="007E3A2F">
            <w:pPr>
              <w:pStyle w:val="P68B1DB1-Normal57"/>
              <w:spacing w:line="240" w:lineRule="auto"/>
              <w:jc w:val="center"/>
              <w:rPr>
                <w:noProof/>
              </w:rPr>
            </w:pPr>
            <w:r>
              <w:rPr>
                <w:noProof/>
              </w:rPr>
              <w:t>335</w:t>
            </w:r>
          </w:p>
        </w:tc>
        <w:tc>
          <w:tcPr>
            <w:tcW w:w="4035" w:type="dxa"/>
            <w:tcBorders>
              <w:top w:val="nil"/>
              <w:left w:val="nil"/>
              <w:bottom w:val="single" w:sz="8" w:space="0" w:color="auto"/>
              <w:right w:val="single" w:sz="8" w:space="0" w:color="000000" w:themeColor="text1"/>
            </w:tcBorders>
            <w:shd w:val="clear" w:color="auto" w:fill="C6EFCE"/>
            <w:vAlign w:val="center"/>
            <w:hideMark/>
          </w:tcPr>
          <w:p w14:paraId="74BE9404" w14:textId="6A6CC739" w:rsidR="00025543" w:rsidRDefault="007E3A2F">
            <w:pPr>
              <w:pStyle w:val="P68B1DB1-Normal57"/>
              <w:spacing w:before="0" w:after="0" w:line="240" w:lineRule="auto"/>
              <w:rPr>
                <w:noProof/>
              </w:rPr>
            </w:pPr>
            <w:r>
              <w:rPr>
                <w:noProof/>
              </w:rPr>
              <w:t>C 7.5 Décarbonisation du transport routier (REPowerEU) —</w:t>
            </w:r>
          </w:p>
          <w:p w14:paraId="7791C083" w14:textId="7F83E57B" w:rsidR="00025543" w:rsidRDefault="007E3A2F">
            <w:pPr>
              <w:pStyle w:val="P68B1DB1-Normal57"/>
              <w:spacing w:before="0" w:after="0" w:line="240" w:lineRule="auto"/>
              <w:rPr>
                <w:noProof/>
              </w:rPr>
            </w:pPr>
            <w:r>
              <w:rPr>
                <w:noProof/>
              </w:rPr>
              <w:t xml:space="preserve">Réforme 4: Conditions favorisantes pour les infrastructures pour carburants alternatifs à émissions nulles </w:t>
            </w:r>
          </w:p>
        </w:tc>
        <w:tc>
          <w:tcPr>
            <w:tcW w:w="1770" w:type="dxa"/>
            <w:tcBorders>
              <w:top w:val="nil"/>
              <w:left w:val="nil"/>
              <w:bottom w:val="single" w:sz="8" w:space="0" w:color="auto"/>
              <w:right w:val="single" w:sz="8" w:space="0" w:color="000000" w:themeColor="text1"/>
            </w:tcBorders>
            <w:shd w:val="clear" w:color="auto" w:fill="C6EFCE"/>
            <w:vAlign w:val="center"/>
            <w:hideMark/>
          </w:tcPr>
          <w:p w14:paraId="41663258" w14:textId="42261569" w:rsidR="00025543" w:rsidRDefault="007E3A2F">
            <w:pPr>
              <w:pStyle w:val="P68B1DB1-Normal57"/>
              <w:spacing w:before="0" w:after="0" w:line="240" w:lineRule="auto"/>
              <w:rPr>
                <w:noProof/>
              </w:rPr>
            </w:pPr>
            <w:r>
              <w:rPr>
                <w:noProof/>
              </w:rPr>
              <w:t xml:space="preserve">     Étapes </w:t>
            </w:r>
          </w:p>
        </w:tc>
        <w:tc>
          <w:tcPr>
            <w:tcW w:w="3409" w:type="dxa"/>
            <w:tcBorders>
              <w:top w:val="nil"/>
              <w:left w:val="nil"/>
              <w:bottom w:val="single" w:sz="8" w:space="0" w:color="auto"/>
              <w:right w:val="single" w:sz="8" w:space="0" w:color="auto"/>
            </w:tcBorders>
            <w:shd w:val="clear" w:color="auto" w:fill="C6EFCE"/>
            <w:vAlign w:val="center"/>
            <w:hideMark/>
          </w:tcPr>
          <w:p w14:paraId="6F331ED9" w14:textId="7F83E57B" w:rsidR="00025543" w:rsidRDefault="007E3A2F">
            <w:pPr>
              <w:pStyle w:val="P68B1DB1-Normal57"/>
              <w:spacing w:before="0" w:after="0" w:line="240" w:lineRule="auto"/>
              <w:rPr>
                <w:noProof/>
              </w:rPr>
            </w:pPr>
            <w:r>
              <w:rPr>
                <w:noProof/>
              </w:rPr>
              <w:t>Simplification du processus d’autorisation pour la construction de stations de recharge électrique et de stations de ravitaillement en hydrogène</w:t>
            </w:r>
          </w:p>
        </w:tc>
      </w:tr>
      <w:tr w:rsidR="00025543" w14:paraId="032DEC2D" w14:textId="77777777">
        <w:trPr>
          <w:trHeight w:val="600"/>
        </w:trPr>
        <w:tc>
          <w:tcPr>
            <w:tcW w:w="1275" w:type="dxa"/>
            <w:tcBorders>
              <w:top w:val="nil"/>
              <w:left w:val="single" w:sz="8" w:space="0" w:color="auto"/>
              <w:bottom w:val="single" w:sz="8" w:space="0" w:color="000000" w:themeColor="text1"/>
              <w:right w:val="single" w:sz="8" w:space="0" w:color="000000" w:themeColor="text1"/>
            </w:tcBorders>
            <w:shd w:val="clear" w:color="auto" w:fill="C6EFCE"/>
            <w:vAlign w:val="center"/>
            <w:hideMark/>
          </w:tcPr>
          <w:p w14:paraId="11010798" w14:textId="7F83E57B" w:rsidR="00025543" w:rsidRDefault="007E3A2F">
            <w:pPr>
              <w:pStyle w:val="P68B1DB1-Normal57"/>
              <w:spacing w:line="240" w:lineRule="auto"/>
              <w:jc w:val="center"/>
              <w:rPr>
                <w:noProof/>
              </w:rPr>
            </w:pPr>
            <w:r>
              <w:rPr>
                <w:noProof/>
              </w:rPr>
              <w:t>337</w:t>
            </w:r>
          </w:p>
        </w:tc>
        <w:tc>
          <w:tcPr>
            <w:tcW w:w="4035" w:type="dxa"/>
            <w:tcBorders>
              <w:top w:val="nil"/>
              <w:left w:val="nil"/>
              <w:bottom w:val="single" w:sz="8" w:space="0" w:color="000000" w:themeColor="text1"/>
              <w:right w:val="single" w:sz="8" w:space="0" w:color="000000" w:themeColor="text1"/>
            </w:tcBorders>
            <w:shd w:val="clear" w:color="auto" w:fill="C6EFCE"/>
            <w:vAlign w:val="center"/>
            <w:hideMark/>
          </w:tcPr>
          <w:p w14:paraId="618835BB" w14:textId="59CAE169" w:rsidR="00025543" w:rsidRDefault="007E3A2F">
            <w:pPr>
              <w:pStyle w:val="P68B1DB1-Normal57"/>
              <w:spacing w:before="0" w:after="0" w:line="240" w:lineRule="auto"/>
              <w:rPr>
                <w:noProof/>
              </w:rPr>
            </w:pPr>
            <w:r>
              <w:rPr>
                <w:noProof/>
              </w:rPr>
              <w:t>C 7.5 Décarbonisation du transport routier (REPowerEU) —</w:t>
            </w:r>
          </w:p>
          <w:p w14:paraId="5500FF6B" w14:textId="7F83E57B" w:rsidR="00025543" w:rsidRDefault="007E3A2F">
            <w:pPr>
              <w:pStyle w:val="P68B1DB1-Normal57"/>
              <w:spacing w:before="0" w:after="0" w:line="240" w:lineRule="auto"/>
              <w:rPr>
                <w:noProof/>
              </w:rPr>
            </w:pPr>
            <w:r>
              <w:rPr>
                <w:noProof/>
              </w:rPr>
              <w:t xml:space="preserve">Réforme 5: Encourager la mobilité à émissions nulles par la modification de la vignette autoroutière </w:t>
            </w:r>
          </w:p>
        </w:tc>
        <w:tc>
          <w:tcPr>
            <w:tcW w:w="1770" w:type="dxa"/>
            <w:tcBorders>
              <w:top w:val="nil"/>
              <w:left w:val="nil"/>
              <w:bottom w:val="single" w:sz="8" w:space="0" w:color="000000" w:themeColor="text1"/>
              <w:right w:val="single" w:sz="8" w:space="0" w:color="000000" w:themeColor="text1"/>
            </w:tcBorders>
            <w:shd w:val="clear" w:color="auto" w:fill="C6EFCE"/>
            <w:vAlign w:val="center"/>
            <w:hideMark/>
          </w:tcPr>
          <w:p w14:paraId="58D2A5D8" w14:textId="61805428" w:rsidR="00025543" w:rsidRDefault="007E3A2F">
            <w:pPr>
              <w:pStyle w:val="P68B1DB1-Normal57"/>
              <w:spacing w:before="0" w:after="0" w:line="240" w:lineRule="auto"/>
              <w:rPr>
                <w:noProof/>
              </w:rPr>
            </w:pPr>
            <w:r>
              <w:rPr>
                <w:noProof/>
              </w:rPr>
              <w:t xml:space="preserve">     Étapes </w:t>
            </w:r>
          </w:p>
        </w:tc>
        <w:tc>
          <w:tcPr>
            <w:tcW w:w="3409" w:type="dxa"/>
            <w:tcBorders>
              <w:top w:val="nil"/>
              <w:left w:val="nil"/>
              <w:bottom w:val="single" w:sz="8" w:space="0" w:color="000000" w:themeColor="text1"/>
              <w:right w:val="single" w:sz="8" w:space="0" w:color="auto"/>
            </w:tcBorders>
            <w:shd w:val="clear" w:color="auto" w:fill="C6EFCE"/>
            <w:vAlign w:val="center"/>
            <w:hideMark/>
          </w:tcPr>
          <w:p w14:paraId="6BCECBE4" w14:textId="7F83E57B" w:rsidR="00025543" w:rsidRDefault="007E3A2F">
            <w:pPr>
              <w:pStyle w:val="P68B1DB1-Normal57"/>
              <w:spacing w:before="0" w:after="0" w:line="240" w:lineRule="auto"/>
              <w:rPr>
                <w:noProof/>
              </w:rPr>
            </w:pPr>
            <w:r>
              <w:rPr>
                <w:noProof/>
              </w:rPr>
              <w:t xml:space="preserve">Révision des coûts de la vignette autoroutière  </w:t>
            </w:r>
          </w:p>
        </w:tc>
      </w:tr>
      <w:tr w:rsidR="00025543" w14:paraId="213D0938" w14:textId="77777777">
        <w:trPr>
          <w:trHeight w:val="600"/>
        </w:trPr>
        <w:tc>
          <w:tcPr>
            <w:tcW w:w="1275" w:type="dxa"/>
            <w:tcBorders>
              <w:top w:val="single" w:sz="4" w:space="0" w:color="000000" w:themeColor="text1"/>
              <w:left w:val="single" w:sz="8" w:space="0" w:color="auto"/>
              <w:bottom w:val="single" w:sz="8" w:space="0" w:color="auto"/>
              <w:right w:val="single" w:sz="8" w:space="0" w:color="000000" w:themeColor="text1"/>
            </w:tcBorders>
            <w:shd w:val="clear" w:color="auto" w:fill="C6EFCE"/>
            <w:vAlign w:val="center"/>
            <w:hideMark/>
          </w:tcPr>
          <w:p w14:paraId="7EAEC414" w14:textId="15973CA3" w:rsidR="00025543" w:rsidRDefault="007E3A2F">
            <w:pPr>
              <w:pStyle w:val="P68B1DB1-Normal57"/>
              <w:spacing w:line="240" w:lineRule="auto"/>
              <w:jc w:val="center"/>
              <w:rPr>
                <w:noProof/>
              </w:rPr>
            </w:pPr>
            <w:r>
              <w:rPr>
                <w:noProof/>
              </w:rPr>
              <w:t>342</w:t>
            </w:r>
          </w:p>
        </w:tc>
        <w:tc>
          <w:tcPr>
            <w:tcW w:w="4035" w:type="dxa"/>
            <w:tcBorders>
              <w:top w:val="single" w:sz="4" w:space="0" w:color="000000" w:themeColor="text1"/>
              <w:left w:val="nil"/>
              <w:bottom w:val="single" w:sz="8" w:space="0" w:color="auto"/>
              <w:right w:val="single" w:sz="8" w:space="0" w:color="000000" w:themeColor="text1"/>
            </w:tcBorders>
            <w:shd w:val="clear" w:color="auto" w:fill="C6EFCE"/>
            <w:vAlign w:val="center"/>
            <w:hideMark/>
          </w:tcPr>
          <w:p w14:paraId="5503A361" w14:textId="011E7202" w:rsidR="00025543" w:rsidRDefault="007E3A2F">
            <w:pPr>
              <w:pStyle w:val="P68B1DB1-Normal57"/>
              <w:spacing w:before="0" w:after="0" w:line="240" w:lineRule="auto"/>
              <w:rPr>
                <w:noProof/>
              </w:rPr>
            </w:pPr>
            <w:r>
              <w:rPr>
                <w:noProof/>
              </w:rPr>
              <w:t>C7.7 Simplifier les procédures d’autorisation environnementale et définir les zones de développement des sources d’énergie renouvelables —</w:t>
            </w:r>
          </w:p>
          <w:p w14:paraId="317D70EB" w14:textId="72590A27" w:rsidR="00025543" w:rsidRDefault="007E3A2F">
            <w:pPr>
              <w:pStyle w:val="P68B1DB1-Normal57"/>
              <w:spacing w:before="0" w:after="0" w:line="240" w:lineRule="auto"/>
              <w:rPr>
                <w:noProof/>
              </w:rPr>
            </w:pPr>
            <w:r>
              <w:rPr>
                <w:noProof/>
              </w:rPr>
              <w:t xml:space="preserve">Réforme 1:  Avis unique sur l’environnement </w:t>
            </w:r>
          </w:p>
        </w:tc>
        <w:tc>
          <w:tcPr>
            <w:tcW w:w="1770" w:type="dxa"/>
            <w:tcBorders>
              <w:top w:val="single" w:sz="4" w:space="0" w:color="000000" w:themeColor="text1"/>
              <w:left w:val="nil"/>
              <w:bottom w:val="single" w:sz="8" w:space="0" w:color="auto"/>
              <w:right w:val="single" w:sz="8" w:space="0" w:color="000000" w:themeColor="text1"/>
            </w:tcBorders>
            <w:shd w:val="clear" w:color="auto" w:fill="C6EFCE"/>
            <w:vAlign w:val="center"/>
            <w:hideMark/>
          </w:tcPr>
          <w:p w14:paraId="1D760488" w14:textId="747D9C73" w:rsidR="00025543" w:rsidRDefault="007E3A2F">
            <w:pPr>
              <w:pStyle w:val="P68B1DB1-Normal57"/>
              <w:spacing w:before="0" w:after="0" w:line="240" w:lineRule="auto"/>
              <w:rPr>
                <w:noProof/>
              </w:rPr>
            </w:pPr>
            <w:r>
              <w:rPr>
                <w:noProof/>
              </w:rPr>
              <w:t xml:space="preserve">      Étapes </w:t>
            </w:r>
          </w:p>
        </w:tc>
        <w:tc>
          <w:tcPr>
            <w:tcW w:w="3409" w:type="dxa"/>
            <w:tcBorders>
              <w:top w:val="single" w:sz="4" w:space="0" w:color="000000" w:themeColor="text1"/>
              <w:left w:val="nil"/>
              <w:bottom w:val="single" w:sz="8" w:space="0" w:color="auto"/>
              <w:right w:val="single" w:sz="8" w:space="0" w:color="auto"/>
            </w:tcBorders>
            <w:shd w:val="clear" w:color="auto" w:fill="C6EFCE"/>
            <w:vAlign w:val="center"/>
            <w:hideMark/>
          </w:tcPr>
          <w:p w14:paraId="6A9ADD95" w14:textId="481E8362" w:rsidR="00025543" w:rsidRDefault="007E3A2F">
            <w:pPr>
              <w:pStyle w:val="P68B1DB1-Normal57"/>
              <w:spacing w:before="0" w:after="0" w:line="240" w:lineRule="auto"/>
              <w:rPr>
                <w:noProof/>
              </w:rPr>
            </w:pPr>
            <w:r>
              <w:rPr>
                <w:noProof/>
              </w:rPr>
              <w:t xml:space="preserve">Publication de méthodologies et de modèles par le ministère de l’environnement   </w:t>
            </w:r>
          </w:p>
        </w:tc>
      </w:tr>
      <w:tr w:rsidR="00025543" w14:paraId="16795C5B" w14:textId="77777777">
        <w:trPr>
          <w:trHeight w:val="600"/>
        </w:trPr>
        <w:tc>
          <w:tcPr>
            <w:tcW w:w="1275" w:type="dxa"/>
            <w:tcBorders>
              <w:top w:val="nil"/>
              <w:left w:val="single" w:sz="8" w:space="0" w:color="auto"/>
              <w:bottom w:val="single" w:sz="8" w:space="0" w:color="auto"/>
              <w:right w:val="single" w:sz="8" w:space="0" w:color="000000" w:themeColor="text1"/>
            </w:tcBorders>
            <w:shd w:val="clear" w:color="auto" w:fill="C6EFCE"/>
            <w:vAlign w:val="center"/>
            <w:hideMark/>
          </w:tcPr>
          <w:p w14:paraId="05741BB6" w14:textId="0C19C899" w:rsidR="00025543" w:rsidRDefault="007E3A2F">
            <w:pPr>
              <w:pStyle w:val="P68B1DB1-Normal57"/>
              <w:spacing w:line="240" w:lineRule="auto"/>
              <w:jc w:val="center"/>
              <w:rPr>
                <w:noProof/>
              </w:rPr>
            </w:pPr>
            <w:r>
              <w:rPr>
                <w:noProof/>
              </w:rPr>
              <w:t>344</w:t>
            </w:r>
          </w:p>
        </w:tc>
        <w:tc>
          <w:tcPr>
            <w:tcW w:w="4035" w:type="dxa"/>
            <w:tcBorders>
              <w:top w:val="nil"/>
              <w:left w:val="nil"/>
              <w:bottom w:val="single" w:sz="8" w:space="0" w:color="auto"/>
              <w:right w:val="single" w:sz="8" w:space="0" w:color="000000" w:themeColor="text1"/>
            </w:tcBorders>
            <w:shd w:val="clear" w:color="auto" w:fill="C6EFCE"/>
            <w:vAlign w:val="center"/>
            <w:hideMark/>
          </w:tcPr>
          <w:p w14:paraId="3BF4A935" w14:textId="2DADE6C4" w:rsidR="00025543" w:rsidRDefault="007E3A2F">
            <w:pPr>
              <w:pStyle w:val="P68B1DB1-Normal57"/>
              <w:spacing w:before="0" w:after="0" w:line="240" w:lineRule="auto"/>
              <w:rPr>
                <w:noProof/>
              </w:rPr>
            </w:pPr>
            <w:r>
              <w:rPr>
                <w:noProof/>
              </w:rPr>
              <w:t xml:space="preserve">C7.7 Simplifier les procédures d’autorisation environnementale et définir des domaines pour le développement des sources d’énergie renouvelables — Réforme 2: </w:t>
            </w:r>
          </w:p>
          <w:p w14:paraId="0EB18D8C" w14:textId="7DD3E0E7" w:rsidR="00025543" w:rsidRDefault="007E3A2F">
            <w:pPr>
              <w:pStyle w:val="P68B1DB1-Normal57"/>
              <w:spacing w:before="0" w:after="0" w:line="240" w:lineRule="auto"/>
              <w:rPr>
                <w:noProof/>
              </w:rPr>
            </w:pPr>
            <w:r>
              <w:rPr>
                <w:noProof/>
              </w:rPr>
              <w:t xml:space="preserve">Zones d’accélération des énergies renouvelables  </w:t>
            </w:r>
          </w:p>
        </w:tc>
        <w:tc>
          <w:tcPr>
            <w:tcW w:w="1770" w:type="dxa"/>
            <w:tcBorders>
              <w:top w:val="nil"/>
              <w:left w:val="nil"/>
              <w:bottom w:val="single" w:sz="8" w:space="0" w:color="auto"/>
              <w:right w:val="single" w:sz="8" w:space="0" w:color="000000" w:themeColor="text1"/>
            </w:tcBorders>
            <w:shd w:val="clear" w:color="auto" w:fill="C6EFCE"/>
            <w:vAlign w:val="center"/>
            <w:hideMark/>
          </w:tcPr>
          <w:p w14:paraId="7FB1216E" w14:textId="32BF4A31" w:rsidR="00025543" w:rsidRDefault="007E3A2F">
            <w:pPr>
              <w:pStyle w:val="P68B1DB1-Normal57"/>
              <w:spacing w:before="0" w:after="0" w:line="240" w:lineRule="auto"/>
              <w:rPr>
                <w:noProof/>
              </w:rPr>
            </w:pPr>
            <w:r>
              <w:rPr>
                <w:noProof/>
              </w:rPr>
              <w:t xml:space="preserve">      Étapes </w:t>
            </w:r>
          </w:p>
        </w:tc>
        <w:tc>
          <w:tcPr>
            <w:tcW w:w="3409" w:type="dxa"/>
            <w:tcBorders>
              <w:top w:val="nil"/>
              <w:left w:val="nil"/>
              <w:bottom w:val="single" w:sz="8" w:space="0" w:color="auto"/>
              <w:right w:val="single" w:sz="8" w:space="0" w:color="auto"/>
            </w:tcBorders>
            <w:shd w:val="clear" w:color="auto" w:fill="C6EFCE"/>
            <w:vAlign w:val="center"/>
            <w:hideMark/>
          </w:tcPr>
          <w:p w14:paraId="637BB62D" w14:textId="0CBE7B36" w:rsidR="00025543" w:rsidRDefault="007E3A2F">
            <w:pPr>
              <w:pStyle w:val="P68B1DB1-Normal57"/>
              <w:spacing w:before="0" w:after="0" w:line="240" w:lineRule="auto"/>
              <w:rPr>
                <w:noProof/>
              </w:rPr>
            </w:pPr>
            <w:r>
              <w:rPr>
                <w:noProof/>
              </w:rPr>
              <w:t xml:space="preserve">Cadre de soutien aux zones d’accélération des énergies renouvelables </w:t>
            </w:r>
          </w:p>
          <w:p w14:paraId="07B5126B" w14:textId="018EDBB6" w:rsidR="00025543" w:rsidRDefault="00025543">
            <w:pPr>
              <w:spacing w:before="0" w:after="0" w:line="240" w:lineRule="auto"/>
              <w:rPr>
                <w:rFonts w:eastAsia="Times New Roman"/>
                <w:noProof/>
                <w:color w:val="006100"/>
                <w:sz w:val="20"/>
              </w:rPr>
            </w:pPr>
          </w:p>
        </w:tc>
      </w:tr>
      <w:tr w:rsidR="00025543" w14:paraId="70F7B788" w14:textId="77777777">
        <w:trPr>
          <w:trHeight w:val="600"/>
        </w:trPr>
        <w:tc>
          <w:tcPr>
            <w:tcW w:w="1275" w:type="dxa"/>
            <w:tcBorders>
              <w:top w:val="nil"/>
              <w:left w:val="single" w:sz="8" w:space="0" w:color="auto"/>
              <w:bottom w:val="single" w:sz="8" w:space="0" w:color="auto"/>
              <w:right w:val="single" w:sz="8" w:space="0" w:color="000000" w:themeColor="text1"/>
            </w:tcBorders>
            <w:shd w:val="clear" w:color="auto" w:fill="C6EFCE"/>
            <w:vAlign w:val="center"/>
            <w:hideMark/>
          </w:tcPr>
          <w:p w14:paraId="6BE0DB8B" w14:textId="2A75F5A3" w:rsidR="00025543" w:rsidRDefault="007E3A2F">
            <w:pPr>
              <w:pStyle w:val="P68B1DB1-Normal57"/>
              <w:spacing w:line="240" w:lineRule="auto"/>
              <w:jc w:val="center"/>
              <w:rPr>
                <w:noProof/>
              </w:rPr>
            </w:pPr>
            <w:r>
              <w:rPr>
                <w:noProof/>
              </w:rPr>
              <w:t>345</w:t>
            </w:r>
          </w:p>
        </w:tc>
        <w:tc>
          <w:tcPr>
            <w:tcW w:w="4035" w:type="dxa"/>
            <w:tcBorders>
              <w:top w:val="nil"/>
              <w:left w:val="nil"/>
              <w:bottom w:val="single" w:sz="8" w:space="0" w:color="auto"/>
              <w:right w:val="single" w:sz="8" w:space="0" w:color="000000" w:themeColor="text1"/>
            </w:tcBorders>
            <w:shd w:val="clear" w:color="auto" w:fill="C6EFCE"/>
            <w:vAlign w:val="center"/>
            <w:hideMark/>
          </w:tcPr>
          <w:p w14:paraId="352F84A3" w14:textId="676445A0" w:rsidR="00025543" w:rsidRDefault="007E3A2F">
            <w:pPr>
              <w:pStyle w:val="P68B1DB1-Normal57"/>
              <w:spacing w:before="0" w:after="0" w:line="240" w:lineRule="auto"/>
              <w:rPr>
                <w:noProof/>
              </w:rPr>
            </w:pPr>
            <w:r>
              <w:rPr>
                <w:noProof/>
              </w:rPr>
              <w:t xml:space="preserve">C7.7 Simplifier les procédures d’autorisation environnementale et définir des domaines pour le développement des sources d’énergie renouvelables — Réforme 2: </w:t>
            </w:r>
          </w:p>
          <w:p w14:paraId="32E49DA3" w14:textId="79A35A6B" w:rsidR="00025543" w:rsidRDefault="007E3A2F">
            <w:pPr>
              <w:pStyle w:val="P68B1DB1-Normal57"/>
              <w:spacing w:before="0" w:after="0" w:line="240" w:lineRule="auto"/>
              <w:rPr>
                <w:noProof/>
              </w:rPr>
            </w:pPr>
            <w:r>
              <w:rPr>
                <w:noProof/>
              </w:rPr>
              <w:t xml:space="preserve">Zones d’accélération des énergies renouvelables </w:t>
            </w:r>
          </w:p>
          <w:p w14:paraId="7744272D" w14:textId="694E940A" w:rsidR="00025543" w:rsidRDefault="007E3A2F">
            <w:pPr>
              <w:pStyle w:val="P68B1DB1-Normal57"/>
              <w:spacing w:before="0" w:after="0" w:line="240" w:lineRule="auto"/>
              <w:rPr>
                <w:noProof/>
              </w:rPr>
            </w:pPr>
            <w:r>
              <w:rPr>
                <w:noProof/>
              </w:rPr>
              <w:t xml:space="preserve"> </w:t>
            </w:r>
          </w:p>
        </w:tc>
        <w:tc>
          <w:tcPr>
            <w:tcW w:w="1770" w:type="dxa"/>
            <w:tcBorders>
              <w:top w:val="nil"/>
              <w:left w:val="nil"/>
              <w:bottom w:val="single" w:sz="8" w:space="0" w:color="auto"/>
              <w:right w:val="single" w:sz="8" w:space="0" w:color="000000" w:themeColor="text1"/>
            </w:tcBorders>
            <w:shd w:val="clear" w:color="auto" w:fill="C6EFCE"/>
            <w:vAlign w:val="center"/>
            <w:hideMark/>
          </w:tcPr>
          <w:p w14:paraId="37BDC06C" w14:textId="14E4BB0F" w:rsidR="00025543" w:rsidRDefault="007E3A2F">
            <w:pPr>
              <w:pStyle w:val="P68B1DB1-Normal57"/>
              <w:spacing w:before="0" w:after="0" w:line="240" w:lineRule="auto"/>
              <w:rPr>
                <w:noProof/>
              </w:rPr>
            </w:pPr>
            <w:r>
              <w:rPr>
                <w:noProof/>
              </w:rPr>
              <w:t xml:space="preserve">       Cible   </w:t>
            </w:r>
          </w:p>
        </w:tc>
        <w:tc>
          <w:tcPr>
            <w:tcW w:w="3409" w:type="dxa"/>
            <w:tcBorders>
              <w:top w:val="nil"/>
              <w:left w:val="nil"/>
              <w:bottom w:val="single" w:sz="8" w:space="0" w:color="auto"/>
              <w:right w:val="single" w:sz="8" w:space="0" w:color="auto"/>
            </w:tcBorders>
            <w:shd w:val="clear" w:color="auto" w:fill="C6EFCE"/>
            <w:vAlign w:val="center"/>
            <w:hideMark/>
          </w:tcPr>
          <w:p w14:paraId="17EB5399" w14:textId="52F3CA25" w:rsidR="00025543" w:rsidRDefault="007E3A2F">
            <w:pPr>
              <w:pStyle w:val="P68B1DB1-Normal57"/>
              <w:spacing w:before="0" w:after="0" w:line="240" w:lineRule="auto"/>
              <w:rPr>
                <w:noProof/>
              </w:rPr>
            </w:pPr>
            <w:r>
              <w:rPr>
                <w:noProof/>
              </w:rPr>
              <w:t>Désignation de zones d’accélération des énergies renouvelables pour le développement de l’énergie éolienne et solaire</w:t>
            </w:r>
          </w:p>
        </w:tc>
      </w:tr>
      <w:tr w:rsidR="00025543" w14:paraId="44DA0E4A" w14:textId="77777777">
        <w:trPr>
          <w:trHeight w:val="575"/>
        </w:trPr>
        <w:tc>
          <w:tcPr>
            <w:tcW w:w="1275" w:type="dxa"/>
            <w:tcBorders>
              <w:top w:val="nil"/>
              <w:left w:val="single" w:sz="8" w:space="0" w:color="auto"/>
              <w:bottom w:val="single" w:sz="8" w:space="0" w:color="auto"/>
              <w:right w:val="single" w:sz="8" w:space="0" w:color="000000" w:themeColor="text1"/>
            </w:tcBorders>
            <w:shd w:val="clear" w:color="auto" w:fill="C6EFCE"/>
            <w:vAlign w:val="center"/>
          </w:tcPr>
          <w:p w14:paraId="5E933A38" w14:textId="77777777" w:rsidR="00025543" w:rsidRDefault="00025543">
            <w:pPr>
              <w:spacing w:before="0" w:after="0" w:line="240" w:lineRule="auto"/>
              <w:jc w:val="center"/>
              <w:rPr>
                <w:rFonts w:eastAsia="Times New Roman"/>
                <w:noProof/>
                <w:color w:val="006100"/>
                <w:sz w:val="20"/>
              </w:rPr>
            </w:pPr>
          </w:p>
        </w:tc>
        <w:tc>
          <w:tcPr>
            <w:tcW w:w="4035" w:type="dxa"/>
            <w:tcBorders>
              <w:top w:val="nil"/>
              <w:left w:val="nil"/>
              <w:bottom w:val="single" w:sz="8" w:space="0" w:color="auto"/>
              <w:right w:val="single" w:sz="8" w:space="0" w:color="000000" w:themeColor="text1"/>
            </w:tcBorders>
            <w:shd w:val="clear" w:color="auto" w:fill="C6EFCE"/>
            <w:vAlign w:val="center"/>
          </w:tcPr>
          <w:p w14:paraId="512D5F9E" w14:textId="77777777" w:rsidR="00025543" w:rsidRDefault="00025543">
            <w:pPr>
              <w:spacing w:before="0" w:after="0" w:line="240" w:lineRule="auto"/>
              <w:jc w:val="center"/>
              <w:rPr>
                <w:rFonts w:eastAsia="Times New Roman"/>
                <w:noProof/>
                <w:color w:val="006100"/>
                <w:sz w:val="20"/>
              </w:rPr>
            </w:pPr>
          </w:p>
        </w:tc>
        <w:tc>
          <w:tcPr>
            <w:tcW w:w="1770" w:type="dxa"/>
            <w:tcBorders>
              <w:top w:val="nil"/>
              <w:left w:val="nil"/>
              <w:bottom w:val="single" w:sz="8" w:space="0" w:color="auto"/>
              <w:right w:val="single" w:sz="8" w:space="0" w:color="000000" w:themeColor="text1"/>
            </w:tcBorders>
            <w:shd w:val="clear" w:color="auto" w:fill="C6EFCE"/>
            <w:vAlign w:val="center"/>
          </w:tcPr>
          <w:p w14:paraId="54BA121B" w14:textId="77777777" w:rsidR="00025543" w:rsidRDefault="007E3A2F">
            <w:pPr>
              <w:pStyle w:val="P68B1DB1-Normal59"/>
              <w:spacing w:before="0" w:after="0" w:line="240" w:lineRule="auto"/>
              <w:jc w:val="center"/>
              <w:rPr>
                <w:noProof/>
              </w:rPr>
            </w:pPr>
            <w:r>
              <w:rPr>
                <w:noProof/>
              </w:rPr>
              <w:t>Montant de la tranche</w:t>
            </w:r>
          </w:p>
        </w:tc>
        <w:tc>
          <w:tcPr>
            <w:tcW w:w="3409" w:type="dxa"/>
            <w:tcBorders>
              <w:top w:val="nil"/>
              <w:left w:val="nil"/>
              <w:bottom w:val="single" w:sz="8" w:space="0" w:color="auto"/>
              <w:right w:val="single" w:sz="8" w:space="0" w:color="auto"/>
            </w:tcBorders>
            <w:shd w:val="clear" w:color="auto" w:fill="C6EFCE"/>
            <w:vAlign w:val="center"/>
          </w:tcPr>
          <w:p w14:paraId="01556A42" w14:textId="22312CB3" w:rsidR="00025543" w:rsidRDefault="007E3A2F">
            <w:pPr>
              <w:pStyle w:val="P68B1DB1-Normal59"/>
              <w:spacing w:before="0" w:after="0" w:line="240" w:lineRule="auto"/>
              <w:jc w:val="center"/>
              <w:rPr>
                <w:noProof/>
              </w:rPr>
            </w:pPr>
            <w:r>
              <w:rPr>
                <w:noProof/>
              </w:rPr>
              <w:t>1 616 469 125 EUR</w:t>
            </w:r>
          </w:p>
        </w:tc>
      </w:tr>
    </w:tbl>
    <w:p w14:paraId="7C62FC14" w14:textId="77777777" w:rsidR="00025543" w:rsidRDefault="00025543">
      <w:pPr>
        <w:spacing w:line="240" w:lineRule="auto"/>
        <w:jc w:val="both"/>
        <w:rPr>
          <w:noProof/>
        </w:rPr>
      </w:pPr>
    </w:p>
    <w:p w14:paraId="7C6D96B4" w14:textId="77777777" w:rsidR="00025543" w:rsidRDefault="007E3A2F">
      <w:pPr>
        <w:numPr>
          <w:ilvl w:val="1"/>
          <w:numId w:val="198"/>
        </w:numPr>
        <w:spacing w:line="240" w:lineRule="auto"/>
        <w:jc w:val="both"/>
        <w:rPr>
          <w:noProof/>
        </w:rPr>
      </w:pPr>
      <w:r>
        <w:rPr>
          <w:noProof/>
        </w:rPr>
        <w:t xml:space="preserve">Septième tranche (aide non remboursable): </w:t>
      </w:r>
    </w:p>
    <w:tbl>
      <w:tblPr>
        <w:tblW w:w="10490" w:type="dxa"/>
        <w:tblInd w:w="-601" w:type="dxa"/>
        <w:tblLook w:val="04A0" w:firstRow="1" w:lastRow="0" w:firstColumn="1" w:lastColumn="0" w:noHBand="0" w:noVBand="1"/>
      </w:tblPr>
      <w:tblGrid>
        <w:gridCol w:w="1276"/>
        <w:gridCol w:w="3969"/>
        <w:gridCol w:w="1843"/>
        <w:gridCol w:w="3402"/>
      </w:tblGrid>
      <w:tr w:rsidR="00025543" w14:paraId="565ED868" w14:textId="77777777">
        <w:trPr>
          <w:trHeight w:val="825"/>
          <w:tblHeader/>
        </w:trPr>
        <w:tc>
          <w:tcPr>
            <w:tcW w:w="1276" w:type="dxa"/>
            <w:tcBorders>
              <w:top w:val="single" w:sz="8" w:space="0" w:color="auto"/>
              <w:left w:val="single" w:sz="8" w:space="0" w:color="auto"/>
              <w:bottom w:val="single" w:sz="8" w:space="0" w:color="auto"/>
              <w:right w:val="single" w:sz="8" w:space="0" w:color="auto"/>
            </w:tcBorders>
            <w:shd w:val="clear" w:color="auto" w:fill="BDD7EE"/>
            <w:vAlign w:val="center"/>
            <w:hideMark/>
          </w:tcPr>
          <w:p w14:paraId="6B9B91A3" w14:textId="77777777" w:rsidR="00025543" w:rsidRDefault="007E3A2F">
            <w:pPr>
              <w:pStyle w:val="P68B1DB1-Normal55"/>
              <w:spacing w:before="0" w:after="0" w:line="240" w:lineRule="auto"/>
              <w:jc w:val="center"/>
              <w:rPr>
                <w:noProof/>
              </w:rPr>
            </w:pPr>
            <w:r>
              <w:rPr>
                <w:noProof/>
              </w:rPr>
              <w:t>Numéro séquentiel</w:t>
            </w:r>
          </w:p>
        </w:tc>
        <w:tc>
          <w:tcPr>
            <w:tcW w:w="3969" w:type="dxa"/>
            <w:tcBorders>
              <w:top w:val="single" w:sz="8" w:space="0" w:color="auto"/>
              <w:left w:val="nil"/>
              <w:bottom w:val="single" w:sz="8" w:space="0" w:color="auto"/>
              <w:right w:val="single" w:sz="8" w:space="0" w:color="auto"/>
            </w:tcBorders>
            <w:shd w:val="clear" w:color="auto" w:fill="BDD7EE"/>
            <w:vAlign w:val="center"/>
            <w:hideMark/>
          </w:tcPr>
          <w:p w14:paraId="4A2EFD1F" w14:textId="77777777" w:rsidR="00025543" w:rsidRDefault="007E3A2F">
            <w:pPr>
              <w:pStyle w:val="P68B1DB1-Normal55"/>
              <w:spacing w:before="0" w:after="0" w:line="240" w:lineRule="auto"/>
              <w:jc w:val="center"/>
              <w:rPr>
                <w:noProof/>
              </w:rPr>
            </w:pPr>
            <w:r>
              <w:rPr>
                <w:noProof/>
              </w:rPr>
              <w:t>Mesure connexe (réforme ou investissement)</w:t>
            </w:r>
          </w:p>
        </w:tc>
        <w:tc>
          <w:tcPr>
            <w:tcW w:w="1843" w:type="dxa"/>
            <w:tcBorders>
              <w:top w:val="single" w:sz="8" w:space="0" w:color="auto"/>
              <w:left w:val="nil"/>
              <w:bottom w:val="single" w:sz="8" w:space="0" w:color="auto"/>
              <w:right w:val="single" w:sz="8" w:space="0" w:color="auto"/>
            </w:tcBorders>
            <w:shd w:val="clear" w:color="auto" w:fill="BDD7EE"/>
            <w:vAlign w:val="center"/>
            <w:hideMark/>
          </w:tcPr>
          <w:p w14:paraId="07B15F1D" w14:textId="77777777" w:rsidR="00025543" w:rsidRDefault="007E3A2F">
            <w:pPr>
              <w:pStyle w:val="P68B1DB1-Normal55"/>
              <w:spacing w:before="0" w:after="0" w:line="240" w:lineRule="auto"/>
              <w:jc w:val="center"/>
              <w:rPr>
                <w:noProof/>
              </w:rPr>
            </w:pPr>
            <w:r>
              <w:rPr>
                <w:noProof/>
              </w:rPr>
              <w:t>Jalon/cible</w:t>
            </w:r>
          </w:p>
        </w:tc>
        <w:tc>
          <w:tcPr>
            <w:tcW w:w="3402" w:type="dxa"/>
            <w:tcBorders>
              <w:top w:val="single" w:sz="8" w:space="0" w:color="auto"/>
              <w:left w:val="nil"/>
              <w:bottom w:val="single" w:sz="8" w:space="0" w:color="auto"/>
              <w:right w:val="single" w:sz="8" w:space="0" w:color="auto"/>
            </w:tcBorders>
            <w:shd w:val="clear" w:color="auto" w:fill="BDD7EE"/>
            <w:vAlign w:val="center"/>
            <w:hideMark/>
          </w:tcPr>
          <w:p w14:paraId="3A9A8EA3" w14:textId="77777777" w:rsidR="00025543" w:rsidRDefault="007E3A2F">
            <w:pPr>
              <w:pStyle w:val="P68B1DB1-Normal55"/>
              <w:spacing w:before="0" w:after="0" w:line="240" w:lineRule="auto"/>
              <w:jc w:val="center"/>
              <w:rPr>
                <w:noProof/>
              </w:rPr>
            </w:pPr>
            <w:r>
              <w:rPr>
                <w:noProof/>
              </w:rPr>
              <w:t>Nom</w:t>
            </w:r>
          </w:p>
        </w:tc>
      </w:tr>
      <w:tr w:rsidR="00025543" w14:paraId="77997413" w14:textId="77777777">
        <w:trPr>
          <w:trHeight w:val="795"/>
        </w:trPr>
        <w:tc>
          <w:tcPr>
            <w:tcW w:w="1276" w:type="dxa"/>
            <w:tcBorders>
              <w:top w:val="nil"/>
              <w:left w:val="single" w:sz="8" w:space="0" w:color="auto"/>
              <w:bottom w:val="single" w:sz="4" w:space="0" w:color="auto"/>
              <w:right w:val="single" w:sz="8" w:space="0" w:color="000000" w:themeColor="text1"/>
            </w:tcBorders>
            <w:shd w:val="clear" w:color="auto" w:fill="C6EFCE"/>
            <w:vAlign w:val="center"/>
            <w:hideMark/>
          </w:tcPr>
          <w:p w14:paraId="2938E294" w14:textId="7770C85F" w:rsidR="00025543" w:rsidRDefault="007E3A2F">
            <w:pPr>
              <w:pStyle w:val="P68B1DB1-Normal56"/>
              <w:spacing w:line="240" w:lineRule="auto"/>
              <w:jc w:val="center"/>
              <w:rPr>
                <w:noProof/>
              </w:rPr>
            </w:pPr>
            <w:r>
              <w:rPr>
                <w:noProof/>
              </w:rPr>
              <w:t>21</w:t>
            </w:r>
          </w:p>
        </w:tc>
        <w:tc>
          <w:tcPr>
            <w:tcW w:w="3969" w:type="dxa"/>
            <w:tcBorders>
              <w:top w:val="nil"/>
              <w:left w:val="nil"/>
              <w:bottom w:val="single" w:sz="4" w:space="0" w:color="auto"/>
              <w:right w:val="single" w:sz="8" w:space="0" w:color="000000" w:themeColor="text1"/>
            </w:tcBorders>
            <w:shd w:val="clear" w:color="auto" w:fill="C6EFCE"/>
            <w:vAlign w:val="center"/>
            <w:hideMark/>
          </w:tcPr>
          <w:p w14:paraId="6E390B89" w14:textId="7AB26B46" w:rsidR="00025543" w:rsidRDefault="007E3A2F">
            <w:pPr>
              <w:pStyle w:val="P68B1DB1-Normal57"/>
              <w:spacing w:line="240" w:lineRule="auto"/>
              <w:jc w:val="center"/>
              <w:rPr>
                <w:noProof/>
              </w:rPr>
            </w:pPr>
            <w:r>
              <w:rPr>
                <w:noProof/>
              </w:rPr>
              <w:t>C 1.2: Systèmes d’administration publique numérique — Investissements 2: Mise en place de registres et d’installations essentiels pour l’administration en ligne</w:t>
            </w:r>
          </w:p>
        </w:tc>
        <w:tc>
          <w:tcPr>
            <w:tcW w:w="1843" w:type="dxa"/>
            <w:tcBorders>
              <w:top w:val="nil"/>
              <w:left w:val="nil"/>
              <w:bottom w:val="single" w:sz="4" w:space="0" w:color="auto"/>
              <w:right w:val="single" w:sz="8" w:space="0" w:color="000000" w:themeColor="text1"/>
            </w:tcBorders>
            <w:shd w:val="clear" w:color="auto" w:fill="C6EFCE"/>
            <w:vAlign w:val="center"/>
            <w:hideMark/>
          </w:tcPr>
          <w:p w14:paraId="01273A5C" w14:textId="3060D3F2" w:rsidR="00025543" w:rsidRDefault="007E3A2F">
            <w:pPr>
              <w:pStyle w:val="P68B1DB1-Normal57"/>
              <w:spacing w:line="240" w:lineRule="auto"/>
              <w:jc w:val="center"/>
              <w:rPr>
                <w:noProof/>
              </w:rPr>
            </w:pPr>
            <w:r>
              <w:rPr>
                <w:noProof/>
              </w:rPr>
              <w:t>Étapes</w:t>
            </w:r>
          </w:p>
        </w:tc>
        <w:tc>
          <w:tcPr>
            <w:tcW w:w="3402" w:type="dxa"/>
            <w:tcBorders>
              <w:top w:val="nil"/>
              <w:left w:val="nil"/>
              <w:bottom w:val="single" w:sz="4" w:space="0" w:color="auto"/>
              <w:right w:val="single" w:sz="8" w:space="0" w:color="auto"/>
            </w:tcBorders>
            <w:shd w:val="clear" w:color="auto" w:fill="C6EFCE"/>
            <w:vAlign w:val="center"/>
            <w:hideMark/>
          </w:tcPr>
          <w:p w14:paraId="344118C0" w14:textId="757445F1" w:rsidR="00025543" w:rsidRDefault="007E3A2F">
            <w:pPr>
              <w:pStyle w:val="P68B1DB1-Normal56"/>
              <w:spacing w:line="240" w:lineRule="auto"/>
              <w:jc w:val="center"/>
              <w:rPr>
                <w:noProof/>
              </w:rPr>
            </w:pPr>
            <w:r>
              <w:rPr>
                <w:noProof/>
              </w:rPr>
              <w:t>Achèvement des projets énumérés visant à accroître la capacité de transmission du point central des services et à moderniser et optimiser l’infrastructure et les systèmes d’information et de communication</w:t>
            </w:r>
          </w:p>
        </w:tc>
      </w:tr>
      <w:tr w:rsidR="00025543" w14:paraId="4244AEC4" w14:textId="77777777">
        <w:trPr>
          <w:trHeight w:val="795"/>
        </w:trPr>
        <w:tc>
          <w:tcPr>
            <w:tcW w:w="1276" w:type="dxa"/>
            <w:tcBorders>
              <w:top w:val="nil"/>
              <w:left w:val="single" w:sz="8" w:space="0" w:color="auto"/>
              <w:bottom w:val="single" w:sz="4" w:space="0" w:color="auto"/>
              <w:right w:val="single" w:sz="8" w:space="0" w:color="000000" w:themeColor="text1"/>
            </w:tcBorders>
            <w:shd w:val="clear" w:color="auto" w:fill="C6EFCE"/>
            <w:vAlign w:val="center"/>
            <w:hideMark/>
          </w:tcPr>
          <w:p w14:paraId="0FA0FBC7" w14:textId="77777777" w:rsidR="00025543" w:rsidRDefault="007E3A2F">
            <w:pPr>
              <w:pStyle w:val="P68B1DB1-Normal56"/>
              <w:spacing w:before="0" w:after="0" w:line="240" w:lineRule="auto"/>
              <w:jc w:val="center"/>
              <w:rPr>
                <w:noProof/>
              </w:rPr>
            </w:pPr>
            <w:r>
              <w:rPr>
                <w:noProof/>
              </w:rPr>
              <w:t>47</w:t>
            </w:r>
          </w:p>
        </w:tc>
        <w:tc>
          <w:tcPr>
            <w:tcW w:w="3969" w:type="dxa"/>
            <w:tcBorders>
              <w:top w:val="nil"/>
              <w:left w:val="nil"/>
              <w:bottom w:val="single" w:sz="4" w:space="0" w:color="auto"/>
              <w:right w:val="single" w:sz="8" w:space="0" w:color="000000" w:themeColor="text1"/>
            </w:tcBorders>
            <w:shd w:val="clear" w:color="auto" w:fill="C6EFCE"/>
            <w:vAlign w:val="center"/>
            <w:hideMark/>
          </w:tcPr>
          <w:p w14:paraId="2DE7CDA5" w14:textId="77777777" w:rsidR="00025543" w:rsidRDefault="007E3A2F">
            <w:pPr>
              <w:pStyle w:val="P68B1DB1-Normal57"/>
              <w:spacing w:before="0" w:after="0" w:line="240" w:lineRule="auto"/>
              <w:jc w:val="center"/>
              <w:rPr>
                <w:noProof/>
              </w:rPr>
            </w:pPr>
            <w:r>
              <w:rPr>
                <w:noProof/>
              </w:rPr>
              <w:t>C 1.4: Économie et société numériques, jeunes pousses innovantes et nouvelles technologies — Réforme 1: Réforme institutionnelle du système de coordination et de soutien à la transformation numérique de l’économie (y compris RIS 3)</w:t>
            </w:r>
          </w:p>
        </w:tc>
        <w:tc>
          <w:tcPr>
            <w:tcW w:w="1843" w:type="dxa"/>
            <w:tcBorders>
              <w:top w:val="nil"/>
              <w:left w:val="nil"/>
              <w:bottom w:val="single" w:sz="4" w:space="0" w:color="auto"/>
              <w:right w:val="single" w:sz="8" w:space="0" w:color="000000" w:themeColor="text1"/>
            </w:tcBorders>
            <w:shd w:val="clear" w:color="auto" w:fill="C6EFCE"/>
            <w:vAlign w:val="center"/>
            <w:hideMark/>
          </w:tcPr>
          <w:p w14:paraId="30C9104E" w14:textId="77777777" w:rsidR="00025543" w:rsidRDefault="007E3A2F">
            <w:pPr>
              <w:pStyle w:val="P68B1DB1-Normal57"/>
              <w:spacing w:before="0" w:after="0" w:line="240" w:lineRule="auto"/>
              <w:jc w:val="center"/>
              <w:rPr>
                <w:noProof/>
              </w:rPr>
            </w:pPr>
            <w:r>
              <w:rPr>
                <w:noProof/>
              </w:rPr>
              <w:t>Étapes</w:t>
            </w:r>
          </w:p>
        </w:tc>
        <w:tc>
          <w:tcPr>
            <w:tcW w:w="3402" w:type="dxa"/>
            <w:tcBorders>
              <w:top w:val="nil"/>
              <w:left w:val="nil"/>
              <w:bottom w:val="single" w:sz="4" w:space="0" w:color="auto"/>
              <w:right w:val="single" w:sz="8" w:space="0" w:color="auto"/>
            </w:tcBorders>
            <w:shd w:val="clear" w:color="auto" w:fill="C6EFCE"/>
            <w:vAlign w:val="center"/>
            <w:hideMark/>
          </w:tcPr>
          <w:p w14:paraId="2C834040" w14:textId="77777777" w:rsidR="00025543" w:rsidRDefault="007E3A2F">
            <w:pPr>
              <w:pStyle w:val="P68B1DB1-Normal56"/>
              <w:spacing w:before="0" w:after="0" w:line="240" w:lineRule="auto"/>
              <w:jc w:val="center"/>
              <w:rPr>
                <w:noProof/>
              </w:rPr>
            </w:pPr>
            <w:r>
              <w:rPr>
                <w:noProof/>
              </w:rPr>
              <w:t>Mise en œuvre de changements organisationnels pour réformer la structure des organismes publics chargés de superviser la transformation numérique de l’économie</w:t>
            </w:r>
          </w:p>
        </w:tc>
      </w:tr>
      <w:tr w:rsidR="00025543" w14:paraId="4AF51886" w14:textId="77777777">
        <w:trPr>
          <w:trHeight w:val="795"/>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DB3EB72" w14:textId="33A79399" w:rsidR="00025543" w:rsidRDefault="007E3A2F">
            <w:pPr>
              <w:pStyle w:val="P68B1DB1-Normal56"/>
              <w:spacing w:line="240" w:lineRule="auto"/>
              <w:jc w:val="center"/>
              <w:rPr>
                <w:noProof/>
              </w:rPr>
            </w:pPr>
            <w:r>
              <w:rPr>
                <w:noProof/>
              </w:rPr>
              <w:t>65</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AAE9FF1" w14:textId="429A108B" w:rsidR="00025543" w:rsidRDefault="007E3A2F">
            <w:pPr>
              <w:pStyle w:val="P68B1DB1-Normal57"/>
              <w:spacing w:line="240" w:lineRule="auto"/>
              <w:jc w:val="center"/>
              <w:rPr>
                <w:noProof/>
              </w:rPr>
            </w:pPr>
            <w:r>
              <w:rPr>
                <w:noProof/>
              </w:rPr>
              <w:t xml:space="preserve">C 1.4: Économie et société numériques, jeunes pousses innovantes et nouvelles technologies — Investissements 11: Bac à sable réglementaire numérique conforme aux priorités de l’UE  </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05984A1" w14:textId="290C643D" w:rsidR="00025543" w:rsidRDefault="007E3A2F">
            <w:pPr>
              <w:pStyle w:val="P68B1DB1-Normal57"/>
              <w:spacing w:line="240" w:lineRule="auto"/>
              <w:jc w:val="center"/>
              <w:rPr>
                <w:noProof/>
              </w:rPr>
            </w:pPr>
            <w:r>
              <w:rPr>
                <w:noProof/>
              </w:rPr>
              <w:t>Cible</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8469360" w14:textId="67752DC8" w:rsidR="00025543" w:rsidRDefault="007E3A2F">
            <w:pPr>
              <w:pStyle w:val="P68B1DB1-Normal56"/>
              <w:spacing w:line="240" w:lineRule="auto"/>
              <w:jc w:val="center"/>
              <w:rPr>
                <w:noProof/>
              </w:rPr>
            </w:pPr>
            <w:r>
              <w:rPr>
                <w:noProof/>
              </w:rPr>
              <w:t xml:space="preserve">Participants du bac à sable soutenus par le bac à sable  </w:t>
            </w:r>
          </w:p>
        </w:tc>
      </w:tr>
      <w:tr w:rsidR="00025543" w14:paraId="76268C54" w14:textId="77777777">
        <w:trPr>
          <w:trHeight w:val="795"/>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10FC27A" w14:textId="440F86A8" w:rsidR="00025543" w:rsidRDefault="007E3A2F">
            <w:pPr>
              <w:pStyle w:val="P68B1DB1-Normal56"/>
              <w:spacing w:line="240" w:lineRule="auto"/>
              <w:jc w:val="center"/>
              <w:rPr>
                <w:noProof/>
              </w:rPr>
            </w:pPr>
            <w:r>
              <w:rPr>
                <w:noProof/>
              </w:rPr>
              <w:t>197</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CCAE353" w14:textId="068BD408" w:rsidR="00025543" w:rsidRDefault="007E3A2F">
            <w:pPr>
              <w:pStyle w:val="P68B1DB1-Normal57"/>
              <w:spacing w:line="240" w:lineRule="auto"/>
              <w:jc w:val="center"/>
              <w:rPr>
                <w:noProof/>
              </w:rPr>
            </w:pPr>
            <w:r>
              <w:rPr>
                <w:noProof/>
              </w:rPr>
              <w:t xml:space="preserve">C. 3.3: Modernisation des services de l’emploi et développement du marché du travail — Investissement 3: Développement et modernisation des infrastructures d’aide sociale  </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08188CB" w14:textId="5616EDAC" w:rsidR="00025543" w:rsidRDefault="007E3A2F">
            <w:pPr>
              <w:pStyle w:val="P68B1DB1-Normal57"/>
              <w:spacing w:line="240" w:lineRule="auto"/>
              <w:jc w:val="center"/>
              <w:rPr>
                <w:noProof/>
              </w:rPr>
            </w:pPr>
            <w:r>
              <w:rPr>
                <w:noProof/>
              </w:rPr>
              <w:t>Cible</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9AAB9FB" w14:textId="73A42329" w:rsidR="00025543" w:rsidRDefault="007E3A2F">
            <w:pPr>
              <w:pStyle w:val="P68B1DB1-Normal56"/>
              <w:spacing w:line="240" w:lineRule="auto"/>
              <w:jc w:val="center"/>
              <w:rPr>
                <w:noProof/>
              </w:rPr>
            </w:pPr>
            <w:r>
              <w:rPr>
                <w:noProof/>
              </w:rPr>
              <w:t>T2: Nombre de véhicules à faibles émissions achetés pour des services de prévention sociale, de conseil et de soins à domicile</w:t>
            </w:r>
          </w:p>
        </w:tc>
      </w:tr>
      <w:tr w:rsidR="00025543" w14:paraId="53E4FA48" w14:textId="77777777">
        <w:trPr>
          <w:trHeight w:val="795"/>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E90917E" w14:textId="573710AB" w:rsidR="00025543" w:rsidRDefault="007E3A2F">
            <w:pPr>
              <w:pStyle w:val="P68B1DB1-Normal56"/>
              <w:spacing w:line="240" w:lineRule="auto"/>
              <w:jc w:val="center"/>
              <w:rPr>
                <w:noProof/>
              </w:rPr>
            </w:pPr>
            <w:r>
              <w:rPr>
                <w:noProof/>
              </w:rPr>
              <w:t>206</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FEA85CE" w14:textId="07F85AED" w:rsidR="00025543" w:rsidRDefault="007E3A2F">
            <w:pPr>
              <w:pStyle w:val="P68B1DB1-Normal57"/>
              <w:spacing w:line="240" w:lineRule="auto"/>
              <w:jc w:val="center"/>
              <w:rPr>
                <w:noProof/>
              </w:rPr>
            </w:pPr>
            <w:r>
              <w:rPr>
                <w:noProof/>
              </w:rPr>
              <w:t>C 4.3: Réformes anticorruption — Réforme 4: Réglementation du lobbying</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2030539" w14:textId="2F50E90F" w:rsidR="00025543" w:rsidRDefault="007E3A2F">
            <w:pPr>
              <w:pStyle w:val="P68B1DB1-Normal57"/>
              <w:spacing w:line="240" w:lineRule="auto"/>
              <w:jc w:val="center"/>
              <w:rPr>
                <w:noProof/>
              </w:rPr>
            </w:pPr>
            <w:r>
              <w:rPr>
                <w:noProof/>
              </w:rPr>
              <w:t>Étapes</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842F497" w14:textId="7B9C09D7" w:rsidR="00025543" w:rsidRDefault="007E3A2F">
            <w:pPr>
              <w:pStyle w:val="P68B1DB1-Normal56"/>
              <w:spacing w:line="240" w:lineRule="auto"/>
              <w:jc w:val="center"/>
              <w:rPr>
                <w:noProof/>
              </w:rPr>
            </w:pPr>
            <w:r>
              <w:rPr>
                <w:noProof/>
              </w:rPr>
              <w:t>Entrée en vigueur de la loi sur le lobbying</w:t>
            </w:r>
          </w:p>
        </w:tc>
      </w:tr>
      <w:tr w:rsidR="00025543" w14:paraId="1940B133" w14:textId="77777777">
        <w:trPr>
          <w:trHeight w:val="795"/>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FF17509" w14:textId="77777777" w:rsidR="00025543" w:rsidRDefault="007E3A2F">
            <w:pPr>
              <w:pStyle w:val="P68B1DB1-Normal56"/>
              <w:spacing w:before="0" w:after="0" w:line="240" w:lineRule="auto"/>
              <w:jc w:val="center"/>
              <w:rPr>
                <w:noProof/>
              </w:rPr>
            </w:pPr>
            <w:r>
              <w:rPr>
                <w:noProof/>
              </w:rPr>
              <w:t>237</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D23C052" w14:textId="77777777" w:rsidR="00025543" w:rsidRDefault="007E3A2F">
            <w:pPr>
              <w:pStyle w:val="P68B1DB1-Normal57"/>
              <w:spacing w:before="0" w:after="0" w:line="240" w:lineRule="auto"/>
              <w:jc w:val="center"/>
              <w:rPr>
                <w:noProof/>
              </w:rPr>
            </w:pPr>
            <w:r>
              <w:rPr>
                <w:noProof/>
              </w:rPr>
              <w:t>C 6.2: Plan national de renforcement de la prévention et des soins oncologiques — Réforme 2: Soutenir et améliorer la qualité des programmes de dépistage préventif</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F95F2C3" w14:textId="77777777" w:rsidR="00025543" w:rsidRDefault="007E3A2F">
            <w:pPr>
              <w:pStyle w:val="P68B1DB1-Normal57"/>
              <w:spacing w:before="0" w:after="0" w:line="240" w:lineRule="auto"/>
              <w:jc w:val="center"/>
              <w:rPr>
                <w:noProof/>
              </w:rPr>
            </w:pPr>
            <w:r>
              <w:rPr>
                <w:noProof/>
              </w:rPr>
              <w:t>Étapes</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68F0F09" w14:textId="77777777" w:rsidR="00025543" w:rsidRDefault="007E3A2F">
            <w:pPr>
              <w:pStyle w:val="P68B1DB1-Normal56"/>
              <w:spacing w:before="0" w:after="0" w:line="240" w:lineRule="auto"/>
              <w:jc w:val="center"/>
              <w:rPr>
                <w:noProof/>
              </w:rPr>
            </w:pPr>
            <w:r>
              <w:rPr>
                <w:noProof/>
              </w:rPr>
              <w:t xml:space="preserve">Désignation d’une institution chargée de la coordination des programmes de dépistage oncologique </w:t>
            </w:r>
          </w:p>
        </w:tc>
      </w:tr>
      <w:tr w:rsidR="00025543" w14:paraId="6DB9DCE9" w14:textId="77777777">
        <w:trPr>
          <w:trHeight w:val="569"/>
        </w:trPr>
        <w:tc>
          <w:tcPr>
            <w:tcW w:w="1276" w:type="dxa"/>
            <w:tcBorders>
              <w:top w:val="single" w:sz="4" w:space="0" w:color="auto"/>
              <w:left w:val="single" w:sz="8" w:space="0" w:color="auto"/>
              <w:bottom w:val="single" w:sz="8" w:space="0" w:color="auto"/>
              <w:right w:val="single" w:sz="8" w:space="0" w:color="000000" w:themeColor="text1"/>
            </w:tcBorders>
            <w:shd w:val="clear" w:color="auto" w:fill="C6EFCE"/>
            <w:vAlign w:val="center"/>
          </w:tcPr>
          <w:p w14:paraId="70CD965A" w14:textId="1C3D45AD" w:rsidR="00025543" w:rsidRDefault="007E3A2F">
            <w:pPr>
              <w:pStyle w:val="P68B1DB1-Normal56"/>
              <w:spacing w:line="240" w:lineRule="auto"/>
              <w:jc w:val="center"/>
              <w:rPr>
                <w:noProof/>
              </w:rPr>
            </w:pPr>
            <w:r>
              <w:rPr>
                <w:noProof/>
              </w:rPr>
              <w:t>273</w:t>
            </w:r>
          </w:p>
        </w:tc>
        <w:tc>
          <w:tcPr>
            <w:tcW w:w="3969" w:type="dxa"/>
            <w:tcBorders>
              <w:top w:val="single" w:sz="4" w:space="0" w:color="auto"/>
              <w:left w:val="nil"/>
              <w:bottom w:val="single" w:sz="8" w:space="0" w:color="auto"/>
              <w:right w:val="single" w:sz="8" w:space="0" w:color="000000" w:themeColor="text1"/>
            </w:tcBorders>
            <w:shd w:val="clear" w:color="auto" w:fill="C6EFCE"/>
            <w:vAlign w:val="center"/>
          </w:tcPr>
          <w:p w14:paraId="7E91FF38" w14:textId="39EE93C5" w:rsidR="00025543" w:rsidRDefault="007E3A2F">
            <w:pPr>
              <w:pStyle w:val="P68B1DB1-Normal57"/>
              <w:spacing w:line="240" w:lineRule="auto"/>
              <w:jc w:val="center"/>
              <w:rPr>
                <w:noProof/>
              </w:rPr>
            </w:pPr>
            <w:r>
              <w:rPr>
                <w:noProof/>
              </w:rPr>
              <w:t>C 3.3: Modernisation des services de l’emploi et développement du marché du travail — Investissement 3: Développement et modernisation des infrastructures d’aide sociale</w:t>
            </w:r>
          </w:p>
        </w:tc>
        <w:tc>
          <w:tcPr>
            <w:tcW w:w="1843" w:type="dxa"/>
            <w:tcBorders>
              <w:top w:val="single" w:sz="4" w:space="0" w:color="auto"/>
              <w:left w:val="nil"/>
              <w:bottom w:val="single" w:sz="8" w:space="0" w:color="auto"/>
              <w:right w:val="single" w:sz="8" w:space="0" w:color="000000" w:themeColor="text1"/>
            </w:tcBorders>
            <w:shd w:val="clear" w:color="auto" w:fill="C6EFCE"/>
            <w:vAlign w:val="center"/>
          </w:tcPr>
          <w:p w14:paraId="5E7CB820" w14:textId="684F10B8" w:rsidR="00025543" w:rsidRDefault="007E3A2F">
            <w:pPr>
              <w:pStyle w:val="P68B1DB1-Normal57"/>
              <w:spacing w:line="240" w:lineRule="auto"/>
              <w:jc w:val="center"/>
              <w:rPr>
                <w:noProof/>
              </w:rPr>
            </w:pPr>
            <w:r>
              <w:rPr>
                <w:noProof/>
              </w:rPr>
              <w:t>Étapes</w:t>
            </w:r>
          </w:p>
        </w:tc>
        <w:tc>
          <w:tcPr>
            <w:tcW w:w="3402" w:type="dxa"/>
            <w:tcBorders>
              <w:top w:val="single" w:sz="4" w:space="0" w:color="auto"/>
              <w:left w:val="nil"/>
              <w:bottom w:val="single" w:sz="8" w:space="0" w:color="auto"/>
              <w:right w:val="single" w:sz="8" w:space="0" w:color="auto"/>
            </w:tcBorders>
            <w:shd w:val="clear" w:color="auto" w:fill="C6EFCE"/>
            <w:vAlign w:val="center"/>
          </w:tcPr>
          <w:p w14:paraId="63BC7A04" w14:textId="02AE52C7" w:rsidR="00025543" w:rsidRDefault="007E3A2F">
            <w:pPr>
              <w:pStyle w:val="P68B1DB1-Normal56"/>
              <w:spacing w:line="240" w:lineRule="auto"/>
              <w:jc w:val="center"/>
              <w:rPr>
                <w:noProof/>
              </w:rPr>
            </w:pPr>
            <w:r>
              <w:rPr>
                <w:noProof/>
              </w:rPr>
              <w:t xml:space="preserve">Modification de la loi sur les services sociaux concernant les inspections et les plaintes  </w:t>
            </w:r>
          </w:p>
        </w:tc>
      </w:tr>
      <w:tr w:rsidR="00025543" w14:paraId="1C3E08C0" w14:textId="77777777">
        <w:trPr>
          <w:trHeight w:val="569"/>
        </w:trPr>
        <w:tc>
          <w:tcPr>
            <w:tcW w:w="1276" w:type="dxa"/>
            <w:tcBorders>
              <w:top w:val="single" w:sz="4" w:space="0" w:color="auto"/>
              <w:left w:val="single" w:sz="8" w:space="0" w:color="auto"/>
              <w:bottom w:val="single" w:sz="8" w:space="0" w:color="auto"/>
              <w:right w:val="single" w:sz="8" w:space="0" w:color="000000" w:themeColor="text1"/>
            </w:tcBorders>
            <w:shd w:val="clear" w:color="auto" w:fill="C6EFCE"/>
            <w:vAlign w:val="center"/>
          </w:tcPr>
          <w:p w14:paraId="58407B05" w14:textId="390F93DD" w:rsidR="00025543" w:rsidRDefault="007E3A2F">
            <w:pPr>
              <w:pStyle w:val="P68B1DB1-Normal56"/>
              <w:spacing w:line="240" w:lineRule="auto"/>
              <w:jc w:val="center"/>
              <w:rPr>
                <w:noProof/>
              </w:rPr>
            </w:pPr>
            <w:r>
              <w:rPr>
                <w:noProof/>
              </w:rPr>
              <w:t>277</w:t>
            </w:r>
          </w:p>
        </w:tc>
        <w:tc>
          <w:tcPr>
            <w:tcW w:w="3969" w:type="dxa"/>
            <w:tcBorders>
              <w:top w:val="single" w:sz="4" w:space="0" w:color="auto"/>
              <w:left w:val="nil"/>
              <w:bottom w:val="single" w:sz="8" w:space="0" w:color="auto"/>
              <w:right w:val="single" w:sz="8" w:space="0" w:color="000000" w:themeColor="text1"/>
            </w:tcBorders>
            <w:shd w:val="clear" w:color="auto" w:fill="C6EFCE"/>
            <w:vAlign w:val="center"/>
          </w:tcPr>
          <w:p w14:paraId="76139271" w14:textId="13AF730F" w:rsidR="00025543" w:rsidRDefault="007E3A2F">
            <w:pPr>
              <w:pStyle w:val="P68B1DB1-Normal57"/>
              <w:spacing w:line="240" w:lineRule="auto"/>
              <w:jc w:val="center"/>
              <w:rPr>
                <w:noProof/>
              </w:rPr>
            </w:pPr>
            <w:r>
              <w:rPr>
                <w:noProof/>
              </w:rPr>
              <w:t xml:space="preserve">C 3.3: Modernisation des services de l’emploi et développement du marché du travail — Investissement 4: Développement et modernisation des infrastructures de protection sociale des enfants  </w:t>
            </w:r>
          </w:p>
        </w:tc>
        <w:tc>
          <w:tcPr>
            <w:tcW w:w="1843" w:type="dxa"/>
            <w:tcBorders>
              <w:top w:val="single" w:sz="4" w:space="0" w:color="auto"/>
              <w:left w:val="nil"/>
              <w:bottom w:val="single" w:sz="8" w:space="0" w:color="auto"/>
              <w:right w:val="single" w:sz="8" w:space="0" w:color="000000" w:themeColor="text1"/>
            </w:tcBorders>
            <w:shd w:val="clear" w:color="auto" w:fill="C6EFCE"/>
            <w:vAlign w:val="center"/>
          </w:tcPr>
          <w:p w14:paraId="01D65C0E" w14:textId="58967BF6" w:rsidR="00025543" w:rsidRDefault="007E3A2F">
            <w:pPr>
              <w:pStyle w:val="P68B1DB1-Normal57"/>
              <w:spacing w:line="240" w:lineRule="auto"/>
              <w:jc w:val="center"/>
              <w:rPr>
                <w:noProof/>
              </w:rPr>
            </w:pPr>
            <w:r>
              <w:rPr>
                <w:noProof/>
              </w:rPr>
              <w:t>Cible</w:t>
            </w:r>
          </w:p>
        </w:tc>
        <w:tc>
          <w:tcPr>
            <w:tcW w:w="3402" w:type="dxa"/>
            <w:tcBorders>
              <w:top w:val="single" w:sz="4" w:space="0" w:color="auto"/>
              <w:left w:val="nil"/>
              <w:bottom w:val="single" w:sz="8" w:space="0" w:color="auto"/>
              <w:right w:val="single" w:sz="8" w:space="0" w:color="auto"/>
            </w:tcBorders>
            <w:shd w:val="clear" w:color="auto" w:fill="C6EFCE"/>
            <w:vAlign w:val="center"/>
          </w:tcPr>
          <w:p w14:paraId="64896E89" w14:textId="65B91313" w:rsidR="00025543" w:rsidRDefault="007E3A2F">
            <w:pPr>
              <w:pStyle w:val="P68B1DB1-Normal56"/>
              <w:spacing w:line="240" w:lineRule="auto"/>
              <w:jc w:val="center"/>
              <w:rPr>
                <w:noProof/>
              </w:rPr>
            </w:pPr>
            <w:r>
              <w:rPr>
                <w:noProof/>
              </w:rPr>
              <w:t>Zone de logement pour enfants à risque acquis — 1er lot</w:t>
            </w:r>
          </w:p>
        </w:tc>
      </w:tr>
      <w:tr w:rsidR="00025543" w14:paraId="78076393" w14:textId="77777777">
        <w:trPr>
          <w:trHeight w:val="569"/>
        </w:trPr>
        <w:tc>
          <w:tcPr>
            <w:tcW w:w="1276" w:type="dxa"/>
            <w:tcBorders>
              <w:top w:val="single" w:sz="4" w:space="0" w:color="auto"/>
              <w:left w:val="single" w:sz="8" w:space="0" w:color="auto"/>
              <w:bottom w:val="single" w:sz="8" w:space="0" w:color="auto"/>
              <w:right w:val="single" w:sz="8" w:space="0" w:color="000000" w:themeColor="text1"/>
            </w:tcBorders>
            <w:shd w:val="clear" w:color="auto" w:fill="C6EFCE"/>
            <w:vAlign w:val="center"/>
          </w:tcPr>
          <w:p w14:paraId="76E70253" w14:textId="587A4740" w:rsidR="00025543" w:rsidRDefault="007E3A2F">
            <w:pPr>
              <w:pStyle w:val="P68B1DB1-Normal56"/>
              <w:spacing w:line="240" w:lineRule="auto"/>
              <w:jc w:val="center"/>
              <w:rPr>
                <w:noProof/>
              </w:rPr>
            </w:pPr>
            <w:r>
              <w:rPr>
                <w:noProof/>
              </w:rPr>
              <w:t>298</w:t>
            </w:r>
          </w:p>
        </w:tc>
        <w:tc>
          <w:tcPr>
            <w:tcW w:w="3969" w:type="dxa"/>
            <w:tcBorders>
              <w:top w:val="single" w:sz="4" w:space="0" w:color="auto"/>
              <w:left w:val="nil"/>
              <w:bottom w:val="single" w:sz="8" w:space="0" w:color="auto"/>
              <w:right w:val="single" w:sz="8" w:space="0" w:color="000000" w:themeColor="text1"/>
            </w:tcBorders>
            <w:shd w:val="clear" w:color="auto" w:fill="C6EFCE"/>
            <w:vAlign w:val="center"/>
          </w:tcPr>
          <w:p w14:paraId="121FBA8F" w14:textId="642C1AEE" w:rsidR="00025543" w:rsidRDefault="007E3A2F">
            <w:pPr>
              <w:pStyle w:val="P68B1DB1-Normal57"/>
              <w:spacing w:line="240" w:lineRule="auto"/>
              <w:jc w:val="center"/>
              <w:rPr>
                <w:noProof/>
              </w:rPr>
            </w:pPr>
            <w:r>
              <w:rPr>
                <w:noProof/>
              </w:rPr>
              <w:t>C 5.3: Un écosystème de R &amp;D&amp;I- Réforme 1:  Un écosystème de R &amp;I-I géré stratégiquement et compétitif au niveau international</w:t>
            </w:r>
          </w:p>
        </w:tc>
        <w:tc>
          <w:tcPr>
            <w:tcW w:w="1843" w:type="dxa"/>
            <w:tcBorders>
              <w:top w:val="single" w:sz="4" w:space="0" w:color="auto"/>
              <w:left w:val="nil"/>
              <w:bottom w:val="single" w:sz="8" w:space="0" w:color="auto"/>
              <w:right w:val="single" w:sz="8" w:space="0" w:color="000000" w:themeColor="text1"/>
            </w:tcBorders>
            <w:shd w:val="clear" w:color="auto" w:fill="C6EFCE"/>
            <w:vAlign w:val="center"/>
          </w:tcPr>
          <w:p w14:paraId="2961178F" w14:textId="7361E720" w:rsidR="00025543" w:rsidRDefault="007E3A2F">
            <w:pPr>
              <w:pStyle w:val="P68B1DB1-Normal57"/>
              <w:spacing w:line="240" w:lineRule="auto"/>
              <w:jc w:val="center"/>
              <w:rPr>
                <w:noProof/>
              </w:rPr>
            </w:pPr>
            <w:r>
              <w:rPr>
                <w:noProof/>
              </w:rPr>
              <w:t>Étapes</w:t>
            </w:r>
          </w:p>
        </w:tc>
        <w:tc>
          <w:tcPr>
            <w:tcW w:w="3402" w:type="dxa"/>
            <w:tcBorders>
              <w:top w:val="single" w:sz="4" w:space="0" w:color="auto"/>
              <w:left w:val="nil"/>
              <w:bottom w:val="single" w:sz="8" w:space="0" w:color="auto"/>
              <w:right w:val="single" w:sz="8" w:space="0" w:color="auto"/>
            </w:tcBorders>
            <w:shd w:val="clear" w:color="auto" w:fill="C6EFCE"/>
            <w:vAlign w:val="center"/>
          </w:tcPr>
          <w:p w14:paraId="6D1CD292" w14:textId="3D1EFEB0" w:rsidR="00025543" w:rsidRDefault="007E3A2F">
            <w:pPr>
              <w:pStyle w:val="P68B1DB1-Normal56"/>
              <w:spacing w:line="240" w:lineRule="auto"/>
              <w:jc w:val="center"/>
              <w:rPr>
                <w:noProof/>
              </w:rPr>
            </w:pPr>
            <w:r>
              <w:rPr>
                <w:noProof/>
              </w:rPr>
              <w:t xml:space="preserve">Renforcement des capacités de renseignement stratégique, création d’un programme d’excellence et adoption d’une ligne directrice méthodologique pour les prestataires de services d’appui  </w:t>
            </w:r>
          </w:p>
        </w:tc>
      </w:tr>
      <w:tr w:rsidR="00025543" w14:paraId="7F32EE8D" w14:textId="77777777">
        <w:trPr>
          <w:trHeight w:val="569"/>
        </w:trPr>
        <w:tc>
          <w:tcPr>
            <w:tcW w:w="1276" w:type="dxa"/>
            <w:tcBorders>
              <w:top w:val="single" w:sz="4" w:space="0" w:color="auto"/>
              <w:left w:val="single" w:sz="8" w:space="0" w:color="auto"/>
              <w:bottom w:val="single" w:sz="8" w:space="0" w:color="auto"/>
              <w:right w:val="single" w:sz="8" w:space="0" w:color="000000" w:themeColor="text1"/>
            </w:tcBorders>
            <w:shd w:val="clear" w:color="auto" w:fill="C6EFCE"/>
            <w:vAlign w:val="center"/>
          </w:tcPr>
          <w:p w14:paraId="1DDD7822" w14:textId="020EF8D6" w:rsidR="00025543" w:rsidRDefault="007E3A2F">
            <w:pPr>
              <w:pStyle w:val="P68B1DB1-Normal56"/>
              <w:spacing w:line="240" w:lineRule="auto"/>
              <w:jc w:val="center"/>
              <w:rPr>
                <w:noProof/>
              </w:rPr>
            </w:pPr>
            <w:r>
              <w:rPr>
                <w:noProof/>
              </w:rPr>
              <w:t>306</w:t>
            </w:r>
          </w:p>
        </w:tc>
        <w:tc>
          <w:tcPr>
            <w:tcW w:w="3969" w:type="dxa"/>
            <w:tcBorders>
              <w:top w:val="single" w:sz="4" w:space="0" w:color="auto"/>
              <w:left w:val="nil"/>
              <w:bottom w:val="single" w:sz="8" w:space="0" w:color="auto"/>
              <w:right w:val="single" w:sz="8" w:space="0" w:color="000000" w:themeColor="text1"/>
            </w:tcBorders>
            <w:shd w:val="clear" w:color="auto" w:fill="C6EFCE"/>
            <w:vAlign w:val="center"/>
          </w:tcPr>
          <w:p w14:paraId="076D8AD6" w14:textId="32C533D7" w:rsidR="00025543" w:rsidRDefault="007E3A2F">
            <w:pPr>
              <w:pStyle w:val="P68B1DB1-Normal57"/>
              <w:spacing w:line="240" w:lineRule="auto"/>
              <w:jc w:val="center"/>
              <w:rPr>
                <w:noProof/>
              </w:rPr>
            </w:pPr>
            <w:r>
              <w:rPr>
                <w:noProof/>
              </w:rPr>
              <w:t>C 7.1:  Infrastructures pour les énergies renouvelables et l’électricité (REPowerEU) — Réforme 3 — Sous-mesure 1: Améliorer la transparence de la procédure de raccordement au réseau</w:t>
            </w:r>
          </w:p>
        </w:tc>
        <w:tc>
          <w:tcPr>
            <w:tcW w:w="1843" w:type="dxa"/>
            <w:tcBorders>
              <w:top w:val="single" w:sz="4" w:space="0" w:color="auto"/>
              <w:left w:val="nil"/>
              <w:bottom w:val="single" w:sz="8" w:space="0" w:color="auto"/>
              <w:right w:val="single" w:sz="8" w:space="0" w:color="000000" w:themeColor="text1"/>
            </w:tcBorders>
            <w:shd w:val="clear" w:color="auto" w:fill="C6EFCE"/>
            <w:vAlign w:val="center"/>
          </w:tcPr>
          <w:p w14:paraId="104E56FB" w14:textId="5F37D605" w:rsidR="00025543" w:rsidRDefault="007E3A2F">
            <w:pPr>
              <w:pStyle w:val="P68B1DB1-Normal57"/>
              <w:spacing w:line="240" w:lineRule="auto"/>
              <w:jc w:val="center"/>
              <w:rPr>
                <w:noProof/>
              </w:rPr>
            </w:pPr>
            <w:r>
              <w:rPr>
                <w:noProof/>
              </w:rPr>
              <w:t>Étapes</w:t>
            </w:r>
          </w:p>
        </w:tc>
        <w:tc>
          <w:tcPr>
            <w:tcW w:w="3402" w:type="dxa"/>
            <w:tcBorders>
              <w:top w:val="single" w:sz="4" w:space="0" w:color="auto"/>
              <w:left w:val="nil"/>
              <w:bottom w:val="single" w:sz="8" w:space="0" w:color="auto"/>
              <w:right w:val="single" w:sz="8" w:space="0" w:color="auto"/>
            </w:tcBorders>
            <w:shd w:val="clear" w:color="auto" w:fill="C6EFCE"/>
            <w:vAlign w:val="center"/>
          </w:tcPr>
          <w:p w14:paraId="40A6A2C2" w14:textId="00A8467D" w:rsidR="00025543" w:rsidRDefault="007E3A2F">
            <w:pPr>
              <w:pStyle w:val="P68B1DB1-Normal56"/>
              <w:spacing w:line="240" w:lineRule="auto"/>
              <w:jc w:val="center"/>
              <w:rPr>
                <w:noProof/>
              </w:rPr>
            </w:pPr>
            <w:r>
              <w:rPr>
                <w:noProof/>
              </w:rPr>
              <w:t xml:space="preserve">Publication d’informations sur les demandes de raccordement au réseau et les capacités  </w:t>
            </w:r>
          </w:p>
        </w:tc>
      </w:tr>
      <w:tr w:rsidR="00025543" w14:paraId="5E6751B3" w14:textId="77777777">
        <w:trPr>
          <w:trHeight w:val="569"/>
        </w:trPr>
        <w:tc>
          <w:tcPr>
            <w:tcW w:w="1276" w:type="dxa"/>
            <w:tcBorders>
              <w:top w:val="single" w:sz="4" w:space="0" w:color="auto"/>
              <w:left w:val="single" w:sz="8" w:space="0" w:color="auto"/>
              <w:bottom w:val="single" w:sz="8" w:space="0" w:color="auto"/>
              <w:right w:val="single" w:sz="8" w:space="0" w:color="000000" w:themeColor="text1"/>
            </w:tcBorders>
            <w:shd w:val="clear" w:color="auto" w:fill="C6EFCE"/>
            <w:vAlign w:val="center"/>
          </w:tcPr>
          <w:p w14:paraId="4BEFCE6D" w14:textId="305B2C95" w:rsidR="00025543" w:rsidRDefault="007E3A2F">
            <w:pPr>
              <w:pStyle w:val="P68B1DB1-Normal56"/>
              <w:spacing w:line="240" w:lineRule="auto"/>
              <w:jc w:val="center"/>
              <w:rPr>
                <w:noProof/>
              </w:rPr>
            </w:pPr>
            <w:r>
              <w:rPr>
                <w:noProof/>
              </w:rPr>
              <w:t>313</w:t>
            </w:r>
          </w:p>
        </w:tc>
        <w:tc>
          <w:tcPr>
            <w:tcW w:w="3969" w:type="dxa"/>
            <w:tcBorders>
              <w:top w:val="single" w:sz="4" w:space="0" w:color="auto"/>
              <w:left w:val="nil"/>
              <w:bottom w:val="single" w:sz="8" w:space="0" w:color="auto"/>
              <w:right w:val="single" w:sz="8" w:space="0" w:color="000000" w:themeColor="text1"/>
            </w:tcBorders>
            <w:shd w:val="clear" w:color="auto" w:fill="C6EFCE"/>
            <w:vAlign w:val="center"/>
          </w:tcPr>
          <w:p w14:paraId="6616FF7D" w14:textId="5593C1A2" w:rsidR="00025543" w:rsidRDefault="007E3A2F">
            <w:pPr>
              <w:pStyle w:val="P68B1DB1-Normal57"/>
              <w:spacing w:line="240" w:lineRule="auto"/>
              <w:jc w:val="center"/>
              <w:rPr>
                <w:noProof/>
              </w:rPr>
            </w:pPr>
            <w:r>
              <w:rPr>
                <w:noProof/>
              </w:rPr>
              <w:t>C 7.2 Soutenir la décentralisation et la numérisation du secteur de l’énergie (REPOWER UE) — Réforme 1: Communautés énergétiques</w:t>
            </w:r>
          </w:p>
        </w:tc>
        <w:tc>
          <w:tcPr>
            <w:tcW w:w="1843" w:type="dxa"/>
            <w:tcBorders>
              <w:top w:val="single" w:sz="4" w:space="0" w:color="auto"/>
              <w:left w:val="nil"/>
              <w:bottom w:val="single" w:sz="8" w:space="0" w:color="auto"/>
              <w:right w:val="single" w:sz="8" w:space="0" w:color="000000" w:themeColor="text1"/>
            </w:tcBorders>
            <w:shd w:val="clear" w:color="auto" w:fill="C6EFCE"/>
            <w:vAlign w:val="center"/>
          </w:tcPr>
          <w:p w14:paraId="4630E5A0" w14:textId="6034361A" w:rsidR="00025543" w:rsidRDefault="007E3A2F">
            <w:pPr>
              <w:pStyle w:val="P68B1DB1-Normal57"/>
              <w:spacing w:line="240" w:lineRule="auto"/>
              <w:jc w:val="center"/>
              <w:rPr>
                <w:noProof/>
              </w:rPr>
            </w:pPr>
            <w:r>
              <w:rPr>
                <w:noProof/>
              </w:rPr>
              <w:t>Étapes</w:t>
            </w:r>
          </w:p>
        </w:tc>
        <w:tc>
          <w:tcPr>
            <w:tcW w:w="3402" w:type="dxa"/>
            <w:tcBorders>
              <w:top w:val="single" w:sz="4" w:space="0" w:color="auto"/>
              <w:left w:val="nil"/>
              <w:bottom w:val="single" w:sz="8" w:space="0" w:color="auto"/>
              <w:right w:val="single" w:sz="8" w:space="0" w:color="auto"/>
            </w:tcBorders>
            <w:shd w:val="clear" w:color="auto" w:fill="C6EFCE"/>
            <w:vAlign w:val="center"/>
          </w:tcPr>
          <w:p w14:paraId="5F9221C4" w14:textId="5C61BC96" w:rsidR="00025543" w:rsidRDefault="007E3A2F">
            <w:pPr>
              <w:pStyle w:val="P68B1DB1-Normal56"/>
              <w:spacing w:line="240" w:lineRule="auto"/>
              <w:jc w:val="center"/>
              <w:rPr>
                <w:noProof/>
              </w:rPr>
            </w:pPr>
            <w:r>
              <w:rPr>
                <w:noProof/>
              </w:rPr>
              <w:t xml:space="preserve">Rapport sur l’état d’avancement des investissements dans les infrastructures informatiques  </w:t>
            </w:r>
          </w:p>
        </w:tc>
      </w:tr>
      <w:tr w:rsidR="00025543" w14:paraId="715DC546" w14:textId="77777777">
        <w:trPr>
          <w:trHeight w:val="569"/>
        </w:trPr>
        <w:tc>
          <w:tcPr>
            <w:tcW w:w="1276" w:type="dxa"/>
            <w:tcBorders>
              <w:top w:val="single" w:sz="4" w:space="0" w:color="auto"/>
              <w:left w:val="single" w:sz="8" w:space="0" w:color="auto"/>
              <w:bottom w:val="single" w:sz="8" w:space="0" w:color="auto"/>
              <w:right w:val="single" w:sz="8" w:space="0" w:color="000000" w:themeColor="text1"/>
            </w:tcBorders>
            <w:shd w:val="clear" w:color="auto" w:fill="C6EFCE"/>
            <w:vAlign w:val="center"/>
          </w:tcPr>
          <w:p w14:paraId="197559E5" w14:textId="24613357" w:rsidR="00025543" w:rsidRDefault="007E3A2F">
            <w:pPr>
              <w:pStyle w:val="P68B1DB1-Normal56"/>
              <w:spacing w:line="240" w:lineRule="auto"/>
              <w:jc w:val="center"/>
              <w:rPr>
                <w:noProof/>
              </w:rPr>
            </w:pPr>
            <w:r>
              <w:rPr>
                <w:noProof/>
              </w:rPr>
              <w:t>317</w:t>
            </w:r>
          </w:p>
        </w:tc>
        <w:tc>
          <w:tcPr>
            <w:tcW w:w="3969" w:type="dxa"/>
            <w:tcBorders>
              <w:top w:val="single" w:sz="4" w:space="0" w:color="auto"/>
              <w:left w:val="nil"/>
              <w:bottom w:val="single" w:sz="8" w:space="0" w:color="auto"/>
              <w:right w:val="single" w:sz="8" w:space="0" w:color="000000" w:themeColor="text1"/>
            </w:tcBorders>
            <w:shd w:val="clear" w:color="auto" w:fill="C6EFCE"/>
            <w:vAlign w:val="center"/>
          </w:tcPr>
          <w:p w14:paraId="2F8C2911" w14:textId="79C587CC" w:rsidR="00025543" w:rsidRDefault="007E3A2F">
            <w:pPr>
              <w:pStyle w:val="P68B1DB1-Normal57"/>
              <w:spacing w:line="240" w:lineRule="auto"/>
              <w:jc w:val="center"/>
              <w:rPr>
                <w:noProof/>
              </w:rPr>
            </w:pPr>
            <w:r>
              <w:rPr>
                <w:noProof/>
              </w:rPr>
              <w:t>C 7.2 Soutenir la décentralisation et la numérisation du secteur de l’énergie (REPOWER UE) — Réforme 2:  Cadre pour le stockage de l’énergie et la flexibilité non fossile</w:t>
            </w:r>
          </w:p>
        </w:tc>
        <w:tc>
          <w:tcPr>
            <w:tcW w:w="1843" w:type="dxa"/>
            <w:tcBorders>
              <w:top w:val="single" w:sz="4" w:space="0" w:color="auto"/>
              <w:left w:val="nil"/>
              <w:bottom w:val="single" w:sz="8" w:space="0" w:color="auto"/>
              <w:right w:val="single" w:sz="8" w:space="0" w:color="000000" w:themeColor="text1"/>
            </w:tcBorders>
            <w:shd w:val="clear" w:color="auto" w:fill="C6EFCE"/>
            <w:vAlign w:val="center"/>
          </w:tcPr>
          <w:p w14:paraId="56A393F2" w14:textId="6D2EAF43" w:rsidR="00025543" w:rsidRDefault="007E3A2F">
            <w:pPr>
              <w:pStyle w:val="P68B1DB1-Normal57"/>
              <w:spacing w:line="240" w:lineRule="auto"/>
              <w:jc w:val="center"/>
              <w:rPr>
                <w:noProof/>
              </w:rPr>
            </w:pPr>
            <w:r>
              <w:rPr>
                <w:noProof/>
              </w:rPr>
              <w:t>Étapes</w:t>
            </w:r>
          </w:p>
        </w:tc>
        <w:tc>
          <w:tcPr>
            <w:tcW w:w="3402" w:type="dxa"/>
            <w:tcBorders>
              <w:top w:val="single" w:sz="4" w:space="0" w:color="auto"/>
              <w:left w:val="nil"/>
              <w:bottom w:val="single" w:sz="8" w:space="0" w:color="auto"/>
              <w:right w:val="single" w:sz="8" w:space="0" w:color="auto"/>
            </w:tcBorders>
            <w:shd w:val="clear" w:color="auto" w:fill="C6EFCE"/>
            <w:vAlign w:val="center"/>
          </w:tcPr>
          <w:p w14:paraId="68C90006" w14:textId="3715AD5E" w:rsidR="00025543" w:rsidRDefault="007E3A2F">
            <w:pPr>
              <w:pStyle w:val="P68B1DB1-Normal56"/>
              <w:spacing w:line="240" w:lineRule="auto"/>
              <w:jc w:val="center"/>
              <w:rPr>
                <w:noProof/>
              </w:rPr>
            </w:pPr>
            <w:r>
              <w:rPr>
                <w:noProof/>
              </w:rPr>
              <w:t>Publication du plan d’action en matière de flexibilité</w:t>
            </w:r>
          </w:p>
        </w:tc>
      </w:tr>
      <w:tr w:rsidR="00025543" w14:paraId="0AB78C0E" w14:textId="77777777">
        <w:trPr>
          <w:trHeight w:val="569"/>
        </w:trPr>
        <w:tc>
          <w:tcPr>
            <w:tcW w:w="1276" w:type="dxa"/>
            <w:tcBorders>
              <w:top w:val="single" w:sz="4" w:space="0" w:color="auto"/>
              <w:left w:val="single" w:sz="8" w:space="0" w:color="auto"/>
              <w:bottom w:val="single" w:sz="8" w:space="0" w:color="auto"/>
              <w:right w:val="single" w:sz="8" w:space="0" w:color="000000" w:themeColor="text1"/>
            </w:tcBorders>
            <w:shd w:val="clear" w:color="auto" w:fill="C6EFCE"/>
            <w:vAlign w:val="center"/>
          </w:tcPr>
          <w:p w14:paraId="12AA036C" w14:textId="100A22C0" w:rsidR="00025543" w:rsidRDefault="007E3A2F">
            <w:pPr>
              <w:pStyle w:val="P68B1DB1-Normal56"/>
              <w:spacing w:line="240" w:lineRule="auto"/>
              <w:jc w:val="center"/>
              <w:rPr>
                <w:noProof/>
              </w:rPr>
            </w:pPr>
            <w:r>
              <w:rPr>
                <w:noProof/>
              </w:rPr>
              <w:t>320</w:t>
            </w:r>
          </w:p>
        </w:tc>
        <w:tc>
          <w:tcPr>
            <w:tcW w:w="3969" w:type="dxa"/>
            <w:tcBorders>
              <w:top w:val="single" w:sz="4" w:space="0" w:color="auto"/>
              <w:left w:val="nil"/>
              <w:bottom w:val="single" w:sz="8" w:space="0" w:color="auto"/>
              <w:right w:val="single" w:sz="8" w:space="0" w:color="000000" w:themeColor="text1"/>
            </w:tcBorders>
            <w:shd w:val="clear" w:color="auto" w:fill="C6EFCE"/>
            <w:vAlign w:val="center"/>
          </w:tcPr>
          <w:p w14:paraId="5CB975B1" w14:textId="571B4448" w:rsidR="00025543" w:rsidRDefault="007E3A2F">
            <w:pPr>
              <w:pStyle w:val="P68B1DB1-Normal57"/>
              <w:spacing w:line="240" w:lineRule="auto"/>
              <w:jc w:val="center"/>
              <w:rPr>
                <w:noProof/>
              </w:rPr>
            </w:pPr>
            <w:r>
              <w:rPr>
                <w:noProof/>
              </w:rPr>
              <w:t xml:space="preserve">C 7.3: Réforme globale de la vague de rénovations en République tchèque (REPOWER EU) — Réforme 2: Données, orientations méthodologiques et formations pour le système de conseil  </w:t>
            </w:r>
          </w:p>
        </w:tc>
        <w:tc>
          <w:tcPr>
            <w:tcW w:w="1843" w:type="dxa"/>
            <w:tcBorders>
              <w:top w:val="single" w:sz="4" w:space="0" w:color="auto"/>
              <w:left w:val="nil"/>
              <w:bottom w:val="single" w:sz="8" w:space="0" w:color="auto"/>
              <w:right w:val="single" w:sz="8" w:space="0" w:color="000000" w:themeColor="text1"/>
            </w:tcBorders>
            <w:shd w:val="clear" w:color="auto" w:fill="C6EFCE"/>
            <w:vAlign w:val="center"/>
          </w:tcPr>
          <w:p w14:paraId="4870A1FC" w14:textId="779AA6AD" w:rsidR="00025543" w:rsidRDefault="007E3A2F">
            <w:pPr>
              <w:pStyle w:val="P68B1DB1-Normal57"/>
              <w:spacing w:line="240" w:lineRule="auto"/>
              <w:jc w:val="center"/>
              <w:rPr>
                <w:noProof/>
              </w:rPr>
            </w:pPr>
            <w:r>
              <w:rPr>
                <w:noProof/>
              </w:rPr>
              <w:t>Étapes</w:t>
            </w:r>
          </w:p>
        </w:tc>
        <w:tc>
          <w:tcPr>
            <w:tcW w:w="3402" w:type="dxa"/>
            <w:tcBorders>
              <w:top w:val="single" w:sz="4" w:space="0" w:color="auto"/>
              <w:left w:val="nil"/>
              <w:bottom w:val="single" w:sz="8" w:space="0" w:color="auto"/>
              <w:right w:val="single" w:sz="8" w:space="0" w:color="auto"/>
            </w:tcBorders>
            <w:shd w:val="clear" w:color="auto" w:fill="C6EFCE"/>
            <w:vAlign w:val="center"/>
          </w:tcPr>
          <w:p w14:paraId="6341199B" w14:textId="597FD74E" w:rsidR="00025543" w:rsidRDefault="007E3A2F">
            <w:pPr>
              <w:pStyle w:val="P68B1DB1-Normal56"/>
              <w:spacing w:line="240" w:lineRule="auto"/>
              <w:jc w:val="center"/>
              <w:rPr>
                <w:noProof/>
              </w:rPr>
            </w:pPr>
            <w:r>
              <w:rPr>
                <w:noProof/>
              </w:rPr>
              <w:t>Données, orientations méthodologiques</w:t>
            </w:r>
          </w:p>
        </w:tc>
      </w:tr>
      <w:tr w:rsidR="00025543" w14:paraId="5A871188" w14:textId="77777777">
        <w:trPr>
          <w:trHeight w:val="569"/>
        </w:trPr>
        <w:tc>
          <w:tcPr>
            <w:tcW w:w="1276" w:type="dxa"/>
            <w:tcBorders>
              <w:top w:val="single" w:sz="4" w:space="0" w:color="auto"/>
              <w:left w:val="single" w:sz="8" w:space="0" w:color="auto"/>
              <w:bottom w:val="single" w:sz="8" w:space="0" w:color="auto"/>
              <w:right w:val="single" w:sz="8" w:space="0" w:color="000000" w:themeColor="text1"/>
            </w:tcBorders>
            <w:shd w:val="clear" w:color="auto" w:fill="C6EFCE"/>
            <w:vAlign w:val="center"/>
          </w:tcPr>
          <w:p w14:paraId="37110B09" w14:textId="5A18EEB8" w:rsidR="00025543" w:rsidRDefault="007E3A2F">
            <w:pPr>
              <w:pStyle w:val="P68B1DB1-Normal56"/>
              <w:spacing w:line="240" w:lineRule="auto"/>
              <w:jc w:val="center"/>
              <w:rPr>
                <w:noProof/>
              </w:rPr>
            </w:pPr>
            <w:r>
              <w:rPr>
                <w:noProof/>
              </w:rPr>
              <w:t>321</w:t>
            </w:r>
          </w:p>
        </w:tc>
        <w:tc>
          <w:tcPr>
            <w:tcW w:w="3969" w:type="dxa"/>
            <w:tcBorders>
              <w:top w:val="single" w:sz="4" w:space="0" w:color="auto"/>
              <w:left w:val="nil"/>
              <w:bottom w:val="single" w:sz="8" w:space="0" w:color="auto"/>
              <w:right w:val="single" w:sz="8" w:space="0" w:color="000000" w:themeColor="text1"/>
            </w:tcBorders>
            <w:shd w:val="clear" w:color="auto" w:fill="C6EFCE"/>
            <w:vAlign w:val="center"/>
          </w:tcPr>
          <w:p w14:paraId="1A9EEC34" w14:textId="12613E96" w:rsidR="00025543" w:rsidRDefault="007E3A2F">
            <w:pPr>
              <w:pStyle w:val="P68B1DB1-Normal57"/>
              <w:spacing w:line="240" w:lineRule="auto"/>
              <w:jc w:val="center"/>
              <w:rPr>
                <w:noProof/>
              </w:rPr>
            </w:pPr>
            <w:r>
              <w:rPr>
                <w:noProof/>
              </w:rPr>
              <w:t xml:space="preserve">C 7.3: Réforme globale de la vague de rénovations en République tchèque (REPOWER EU) — Réforme 2: Données, orientations méthodologiques et formations pour le système de conseil  </w:t>
            </w:r>
          </w:p>
        </w:tc>
        <w:tc>
          <w:tcPr>
            <w:tcW w:w="1843" w:type="dxa"/>
            <w:tcBorders>
              <w:top w:val="single" w:sz="4" w:space="0" w:color="auto"/>
              <w:left w:val="nil"/>
              <w:bottom w:val="single" w:sz="8" w:space="0" w:color="auto"/>
              <w:right w:val="single" w:sz="8" w:space="0" w:color="000000" w:themeColor="text1"/>
            </w:tcBorders>
            <w:shd w:val="clear" w:color="auto" w:fill="C6EFCE"/>
            <w:vAlign w:val="center"/>
          </w:tcPr>
          <w:p w14:paraId="16C70D48" w14:textId="72FAA4ED" w:rsidR="00025543" w:rsidRDefault="007E3A2F">
            <w:pPr>
              <w:pStyle w:val="P68B1DB1-Normal57"/>
              <w:spacing w:line="240" w:lineRule="auto"/>
              <w:jc w:val="center"/>
              <w:rPr>
                <w:noProof/>
              </w:rPr>
            </w:pPr>
            <w:r>
              <w:rPr>
                <w:noProof/>
              </w:rPr>
              <w:t>Cible</w:t>
            </w:r>
          </w:p>
        </w:tc>
        <w:tc>
          <w:tcPr>
            <w:tcW w:w="3402" w:type="dxa"/>
            <w:tcBorders>
              <w:top w:val="single" w:sz="4" w:space="0" w:color="auto"/>
              <w:left w:val="nil"/>
              <w:bottom w:val="single" w:sz="8" w:space="0" w:color="auto"/>
              <w:right w:val="single" w:sz="8" w:space="0" w:color="auto"/>
            </w:tcBorders>
            <w:shd w:val="clear" w:color="auto" w:fill="C6EFCE"/>
            <w:vAlign w:val="center"/>
          </w:tcPr>
          <w:p w14:paraId="3B729EE7" w14:textId="1A798DA0" w:rsidR="00025543" w:rsidRDefault="007E3A2F">
            <w:pPr>
              <w:pStyle w:val="P68B1DB1-Normal56"/>
              <w:spacing w:line="240" w:lineRule="auto"/>
              <w:jc w:val="center"/>
              <w:rPr>
                <w:noProof/>
              </w:rPr>
            </w:pPr>
            <w:r>
              <w:rPr>
                <w:noProof/>
              </w:rPr>
              <w:t xml:space="preserve">Nombre de formations dispensées  </w:t>
            </w:r>
          </w:p>
        </w:tc>
      </w:tr>
      <w:tr w:rsidR="00025543" w14:paraId="32183B63" w14:textId="77777777">
        <w:trPr>
          <w:trHeight w:val="569"/>
        </w:trPr>
        <w:tc>
          <w:tcPr>
            <w:tcW w:w="1276" w:type="dxa"/>
            <w:tcBorders>
              <w:top w:val="single" w:sz="4" w:space="0" w:color="auto"/>
              <w:left w:val="single" w:sz="8" w:space="0" w:color="auto"/>
              <w:bottom w:val="single" w:sz="8" w:space="0" w:color="auto"/>
              <w:right w:val="single" w:sz="8" w:space="0" w:color="000000" w:themeColor="text1"/>
            </w:tcBorders>
            <w:shd w:val="clear" w:color="auto" w:fill="C6EFCE"/>
            <w:vAlign w:val="center"/>
          </w:tcPr>
          <w:p w14:paraId="39A97656" w14:textId="734500E6" w:rsidR="00025543" w:rsidRDefault="007E3A2F">
            <w:pPr>
              <w:pStyle w:val="P68B1DB1-Normal56"/>
              <w:spacing w:line="240" w:lineRule="auto"/>
              <w:jc w:val="center"/>
              <w:rPr>
                <w:noProof/>
              </w:rPr>
            </w:pPr>
            <w:r>
              <w:rPr>
                <w:noProof/>
              </w:rPr>
              <w:t>322</w:t>
            </w:r>
          </w:p>
        </w:tc>
        <w:tc>
          <w:tcPr>
            <w:tcW w:w="3969" w:type="dxa"/>
            <w:tcBorders>
              <w:top w:val="single" w:sz="4" w:space="0" w:color="auto"/>
              <w:left w:val="nil"/>
              <w:bottom w:val="single" w:sz="8" w:space="0" w:color="auto"/>
              <w:right w:val="single" w:sz="8" w:space="0" w:color="000000" w:themeColor="text1"/>
            </w:tcBorders>
            <w:shd w:val="clear" w:color="auto" w:fill="C6EFCE"/>
            <w:vAlign w:val="center"/>
          </w:tcPr>
          <w:p w14:paraId="6C9E9C88" w14:textId="30912292" w:rsidR="00025543" w:rsidRDefault="007E3A2F">
            <w:pPr>
              <w:pStyle w:val="P68B1DB1-Normal57"/>
              <w:spacing w:line="240" w:lineRule="auto"/>
              <w:jc w:val="center"/>
              <w:rPr>
                <w:noProof/>
              </w:rPr>
            </w:pPr>
            <w:r>
              <w:rPr>
                <w:noProof/>
              </w:rPr>
              <w:t xml:space="preserve">C 7.3: Réforme globale de la vague de rénovations en République tchèque (REPOWER EU) — Investissement 1: Fourniture de services de conseil aux ménages, aux entreprises et au secteur public  </w:t>
            </w:r>
          </w:p>
        </w:tc>
        <w:tc>
          <w:tcPr>
            <w:tcW w:w="1843" w:type="dxa"/>
            <w:tcBorders>
              <w:top w:val="single" w:sz="4" w:space="0" w:color="auto"/>
              <w:left w:val="nil"/>
              <w:bottom w:val="single" w:sz="8" w:space="0" w:color="auto"/>
              <w:right w:val="single" w:sz="8" w:space="0" w:color="000000" w:themeColor="text1"/>
            </w:tcBorders>
            <w:shd w:val="clear" w:color="auto" w:fill="C6EFCE"/>
            <w:vAlign w:val="center"/>
          </w:tcPr>
          <w:p w14:paraId="72DE90C5" w14:textId="09FA68A6" w:rsidR="00025543" w:rsidRDefault="007E3A2F">
            <w:pPr>
              <w:pStyle w:val="P68B1DB1-Normal57"/>
              <w:spacing w:line="240" w:lineRule="auto"/>
              <w:jc w:val="center"/>
              <w:rPr>
                <w:noProof/>
              </w:rPr>
            </w:pPr>
            <w:r>
              <w:rPr>
                <w:noProof/>
              </w:rPr>
              <w:t>Cible</w:t>
            </w:r>
          </w:p>
        </w:tc>
        <w:tc>
          <w:tcPr>
            <w:tcW w:w="3402" w:type="dxa"/>
            <w:tcBorders>
              <w:top w:val="single" w:sz="4" w:space="0" w:color="auto"/>
              <w:left w:val="nil"/>
              <w:bottom w:val="single" w:sz="8" w:space="0" w:color="auto"/>
              <w:right w:val="single" w:sz="8" w:space="0" w:color="auto"/>
            </w:tcBorders>
            <w:shd w:val="clear" w:color="auto" w:fill="C6EFCE"/>
            <w:vAlign w:val="center"/>
          </w:tcPr>
          <w:p w14:paraId="2D95B918" w14:textId="2E5657CA" w:rsidR="00025543" w:rsidRDefault="007E3A2F">
            <w:pPr>
              <w:pStyle w:val="P68B1DB1-Normal56"/>
              <w:spacing w:line="240" w:lineRule="auto"/>
              <w:jc w:val="center"/>
              <w:rPr>
                <w:noProof/>
              </w:rPr>
            </w:pPr>
            <w:r>
              <w:rPr>
                <w:noProof/>
              </w:rPr>
              <w:t xml:space="preserve">Fourniture de services de conseil aux ménages, aux entreprises et au secteur public  </w:t>
            </w:r>
          </w:p>
        </w:tc>
      </w:tr>
      <w:tr w:rsidR="00025543" w14:paraId="28D7736A" w14:textId="77777777">
        <w:trPr>
          <w:trHeight w:val="569"/>
        </w:trPr>
        <w:tc>
          <w:tcPr>
            <w:tcW w:w="1276" w:type="dxa"/>
            <w:tcBorders>
              <w:top w:val="single" w:sz="4" w:space="0" w:color="auto"/>
              <w:left w:val="single" w:sz="8" w:space="0" w:color="auto"/>
              <w:bottom w:val="single" w:sz="8" w:space="0" w:color="auto"/>
              <w:right w:val="single" w:sz="8" w:space="0" w:color="000000" w:themeColor="text1"/>
            </w:tcBorders>
            <w:shd w:val="clear" w:color="auto" w:fill="C6EFCE"/>
            <w:vAlign w:val="center"/>
          </w:tcPr>
          <w:p w14:paraId="15D932CA" w14:textId="422AF3A2" w:rsidR="00025543" w:rsidRDefault="007E3A2F">
            <w:pPr>
              <w:pStyle w:val="P68B1DB1-Normal56"/>
              <w:spacing w:line="240" w:lineRule="auto"/>
              <w:jc w:val="center"/>
              <w:rPr>
                <w:noProof/>
              </w:rPr>
            </w:pPr>
            <w:r>
              <w:rPr>
                <w:noProof/>
              </w:rPr>
              <w:t>324</w:t>
            </w:r>
          </w:p>
        </w:tc>
        <w:tc>
          <w:tcPr>
            <w:tcW w:w="3969" w:type="dxa"/>
            <w:tcBorders>
              <w:top w:val="single" w:sz="4" w:space="0" w:color="auto"/>
              <w:left w:val="nil"/>
              <w:bottom w:val="single" w:sz="8" w:space="0" w:color="auto"/>
              <w:right w:val="single" w:sz="8" w:space="0" w:color="000000" w:themeColor="text1"/>
            </w:tcBorders>
            <w:shd w:val="clear" w:color="auto" w:fill="C6EFCE"/>
            <w:vAlign w:val="center"/>
          </w:tcPr>
          <w:p w14:paraId="60B814C6" w14:textId="3A51F7BD" w:rsidR="00025543" w:rsidRDefault="007E3A2F">
            <w:pPr>
              <w:pStyle w:val="P68B1DB1-Normal57"/>
              <w:spacing w:line="240" w:lineRule="auto"/>
              <w:jc w:val="center"/>
              <w:rPr>
                <w:noProof/>
              </w:rPr>
            </w:pPr>
            <w:r>
              <w:rPr>
                <w:noProof/>
              </w:rPr>
              <w:t xml:space="preserve">C 7.3: Réforme globale de la vague de rénovations en République tchèque (REPOWER EU) — Investissement 2: Sensibilisation  </w:t>
            </w:r>
          </w:p>
        </w:tc>
        <w:tc>
          <w:tcPr>
            <w:tcW w:w="1843" w:type="dxa"/>
            <w:tcBorders>
              <w:top w:val="single" w:sz="4" w:space="0" w:color="auto"/>
              <w:left w:val="nil"/>
              <w:bottom w:val="single" w:sz="8" w:space="0" w:color="auto"/>
              <w:right w:val="single" w:sz="8" w:space="0" w:color="000000" w:themeColor="text1"/>
            </w:tcBorders>
            <w:shd w:val="clear" w:color="auto" w:fill="C6EFCE"/>
            <w:vAlign w:val="center"/>
          </w:tcPr>
          <w:p w14:paraId="5FEC4618" w14:textId="576FEFCD" w:rsidR="00025543" w:rsidRDefault="007E3A2F">
            <w:pPr>
              <w:pStyle w:val="P68B1DB1-Normal57"/>
              <w:spacing w:line="240" w:lineRule="auto"/>
              <w:jc w:val="center"/>
              <w:rPr>
                <w:noProof/>
              </w:rPr>
            </w:pPr>
            <w:r>
              <w:rPr>
                <w:noProof/>
              </w:rPr>
              <w:t>Cible</w:t>
            </w:r>
          </w:p>
        </w:tc>
        <w:tc>
          <w:tcPr>
            <w:tcW w:w="3402" w:type="dxa"/>
            <w:tcBorders>
              <w:top w:val="single" w:sz="4" w:space="0" w:color="auto"/>
              <w:left w:val="nil"/>
              <w:bottom w:val="single" w:sz="8" w:space="0" w:color="auto"/>
              <w:right w:val="single" w:sz="8" w:space="0" w:color="auto"/>
            </w:tcBorders>
            <w:shd w:val="clear" w:color="auto" w:fill="C6EFCE"/>
            <w:vAlign w:val="center"/>
          </w:tcPr>
          <w:p w14:paraId="7D33C834" w14:textId="60314F5F" w:rsidR="00025543" w:rsidRDefault="007E3A2F">
            <w:pPr>
              <w:pStyle w:val="P68B1DB1-Normal56"/>
              <w:spacing w:line="240" w:lineRule="auto"/>
              <w:jc w:val="center"/>
              <w:rPr>
                <w:noProof/>
              </w:rPr>
            </w:pPr>
            <w:r>
              <w:rPr>
                <w:noProof/>
              </w:rPr>
              <w:t xml:space="preserve">Achèvement d’une campagne de sensibilisation à l’échelle nationale  </w:t>
            </w:r>
          </w:p>
        </w:tc>
      </w:tr>
      <w:tr w:rsidR="00025543" w14:paraId="6A6699F2" w14:textId="77777777">
        <w:trPr>
          <w:trHeight w:val="569"/>
        </w:trPr>
        <w:tc>
          <w:tcPr>
            <w:tcW w:w="1276" w:type="dxa"/>
            <w:tcBorders>
              <w:top w:val="single" w:sz="4" w:space="0" w:color="auto"/>
              <w:left w:val="single" w:sz="8" w:space="0" w:color="auto"/>
              <w:bottom w:val="single" w:sz="8" w:space="0" w:color="auto"/>
              <w:right w:val="single" w:sz="8" w:space="0" w:color="000000" w:themeColor="text1"/>
            </w:tcBorders>
            <w:shd w:val="clear" w:color="auto" w:fill="C6EFCE"/>
            <w:vAlign w:val="center"/>
          </w:tcPr>
          <w:p w14:paraId="3CB70356" w14:textId="6963A4E9" w:rsidR="00025543" w:rsidRDefault="007E3A2F">
            <w:pPr>
              <w:pStyle w:val="P68B1DB1-Normal56"/>
              <w:spacing w:line="240" w:lineRule="auto"/>
              <w:jc w:val="center"/>
              <w:rPr>
                <w:noProof/>
              </w:rPr>
            </w:pPr>
            <w:r>
              <w:rPr>
                <w:noProof/>
              </w:rPr>
              <w:t>328</w:t>
            </w:r>
          </w:p>
        </w:tc>
        <w:tc>
          <w:tcPr>
            <w:tcW w:w="3969" w:type="dxa"/>
            <w:tcBorders>
              <w:top w:val="single" w:sz="4" w:space="0" w:color="auto"/>
              <w:left w:val="nil"/>
              <w:bottom w:val="single" w:sz="8" w:space="0" w:color="auto"/>
              <w:right w:val="single" w:sz="8" w:space="0" w:color="000000" w:themeColor="text1"/>
            </w:tcBorders>
            <w:shd w:val="clear" w:color="auto" w:fill="C6EFCE"/>
            <w:vAlign w:val="center"/>
          </w:tcPr>
          <w:p w14:paraId="751147B5" w14:textId="47FF26AA" w:rsidR="00025543" w:rsidRDefault="007E3A2F">
            <w:pPr>
              <w:pStyle w:val="P68B1DB1-Normal57"/>
              <w:spacing w:line="240" w:lineRule="auto"/>
              <w:jc w:val="center"/>
              <w:rPr>
                <w:noProof/>
              </w:rPr>
            </w:pPr>
            <w:r>
              <w:rPr>
                <w:noProof/>
              </w:rPr>
              <w:t>C 7.4: Adaptation des écoles — Promouvoir les compétences vertes et la durabilité dans les universités (REPowerEU) — Investissement 2: Établissement d’un partenariat stratégique</w:t>
            </w:r>
          </w:p>
        </w:tc>
        <w:tc>
          <w:tcPr>
            <w:tcW w:w="1843" w:type="dxa"/>
            <w:tcBorders>
              <w:top w:val="single" w:sz="4" w:space="0" w:color="auto"/>
              <w:left w:val="nil"/>
              <w:bottom w:val="single" w:sz="8" w:space="0" w:color="auto"/>
              <w:right w:val="single" w:sz="8" w:space="0" w:color="000000" w:themeColor="text1"/>
            </w:tcBorders>
            <w:shd w:val="clear" w:color="auto" w:fill="C6EFCE"/>
            <w:vAlign w:val="center"/>
          </w:tcPr>
          <w:p w14:paraId="39884FB0" w14:textId="1BD16276" w:rsidR="00025543" w:rsidRDefault="007E3A2F">
            <w:pPr>
              <w:pStyle w:val="P68B1DB1-Normal57"/>
              <w:spacing w:line="240" w:lineRule="auto"/>
              <w:jc w:val="center"/>
              <w:rPr>
                <w:noProof/>
              </w:rPr>
            </w:pPr>
            <w:r>
              <w:rPr>
                <w:noProof/>
              </w:rPr>
              <w:t>Cible</w:t>
            </w:r>
          </w:p>
        </w:tc>
        <w:tc>
          <w:tcPr>
            <w:tcW w:w="3402" w:type="dxa"/>
            <w:tcBorders>
              <w:top w:val="single" w:sz="4" w:space="0" w:color="auto"/>
              <w:left w:val="nil"/>
              <w:bottom w:val="single" w:sz="8" w:space="0" w:color="auto"/>
              <w:right w:val="single" w:sz="8" w:space="0" w:color="auto"/>
            </w:tcBorders>
            <w:shd w:val="clear" w:color="auto" w:fill="C6EFCE"/>
            <w:vAlign w:val="center"/>
          </w:tcPr>
          <w:p w14:paraId="6691C0D7" w14:textId="334CA392" w:rsidR="00025543" w:rsidRDefault="007E3A2F">
            <w:pPr>
              <w:pStyle w:val="P68B1DB1-Normal56"/>
              <w:spacing w:line="240" w:lineRule="auto"/>
              <w:jc w:val="center"/>
              <w:rPr>
                <w:noProof/>
              </w:rPr>
            </w:pPr>
            <w:r>
              <w:rPr>
                <w:noProof/>
              </w:rPr>
              <w:t xml:space="preserve">Établissement de partenariats stratégiques par les universités publiques  </w:t>
            </w:r>
          </w:p>
        </w:tc>
      </w:tr>
      <w:tr w:rsidR="00025543" w14:paraId="1658FB28" w14:textId="77777777">
        <w:trPr>
          <w:trHeight w:val="569"/>
        </w:trPr>
        <w:tc>
          <w:tcPr>
            <w:tcW w:w="1276" w:type="dxa"/>
            <w:tcBorders>
              <w:top w:val="single" w:sz="4" w:space="0" w:color="auto"/>
              <w:left w:val="single" w:sz="8" w:space="0" w:color="auto"/>
              <w:bottom w:val="single" w:sz="8" w:space="0" w:color="auto"/>
              <w:right w:val="single" w:sz="8" w:space="0" w:color="000000" w:themeColor="text1"/>
            </w:tcBorders>
            <w:shd w:val="clear" w:color="auto" w:fill="C6EFCE"/>
            <w:vAlign w:val="center"/>
          </w:tcPr>
          <w:p w14:paraId="61DABEB4" w14:textId="77777777" w:rsidR="00025543" w:rsidRDefault="00025543">
            <w:pPr>
              <w:spacing w:before="0" w:after="0" w:line="240" w:lineRule="auto"/>
              <w:jc w:val="center"/>
              <w:rPr>
                <w:rFonts w:eastAsia="Times New Roman"/>
                <w:noProof/>
                <w:color w:val="004300"/>
                <w:sz w:val="20"/>
              </w:rPr>
            </w:pPr>
          </w:p>
        </w:tc>
        <w:tc>
          <w:tcPr>
            <w:tcW w:w="3969" w:type="dxa"/>
            <w:tcBorders>
              <w:top w:val="single" w:sz="4" w:space="0" w:color="auto"/>
              <w:left w:val="nil"/>
              <w:bottom w:val="single" w:sz="8" w:space="0" w:color="auto"/>
              <w:right w:val="single" w:sz="8" w:space="0" w:color="000000" w:themeColor="text1"/>
            </w:tcBorders>
            <w:shd w:val="clear" w:color="auto" w:fill="C6EFCE"/>
            <w:vAlign w:val="center"/>
          </w:tcPr>
          <w:p w14:paraId="1FD2DCAE" w14:textId="77777777" w:rsidR="00025543" w:rsidRDefault="00025543">
            <w:pPr>
              <w:spacing w:before="0" w:after="0" w:line="240" w:lineRule="auto"/>
              <w:jc w:val="center"/>
              <w:rPr>
                <w:rFonts w:eastAsia="Times New Roman"/>
                <w:noProof/>
                <w:color w:val="006100"/>
                <w:sz w:val="20"/>
              </w:rPr>
            </w:pPr>
          </w:p>
        </w:tc>
        <w:tc>
          <w:tcPr>
            <w:tcW w:w="1843" w:type="dxa"/>
            <w:tcBorders>
              <w:top w:val="single" w:sz="4" w:space="0" w:color="auto"/>
              <w:left w:val="nil"/>
              <w:bottom w:val="single" w:sz="8" w:space="0" w:color="auto"/>
              <w:right w:val="single" w:sz="8" w:space="0" w:color="000000" w:themeColor="text1"/>
            </w:tcBorders>
            <w:shd w:val="clear" w:color="auto" w:fill="C6EFCE"/>
            <w:vAlign w:val="center"/>
          </w:tcPr>
          <w:p w14:paraId="7768B827" w14:textId="77777777" w:rsidR="00025543" w:rsidRDefault="007E3A2F">
            <w:pPr>
              <w:pStyle w:val="P68B1DB1-Normal59"/>
              <w:spacing w:before="0" w:after="0" w:line="240" w:lineRule="auto"/>
              <w:jc w:val="center"/>
              <w:rPr>
                <w:noProof/>
              </w:rPr>
            </w:pPr>
            <w:r>
              <w:rPr>
                <w:noProof/>
              </w:rPr>
              <w:t>Montant de la tranche</w:t>
            </w:r>
          </w:p>
        </w:tc>
        <w:tc>
          <w:tcPr>
            <w:tcW w:w="3402" w:type="dxa"/>
            <w:tcBorders>
              <w:top w:val="single" w:sz="4" w:space="0" w:color="auto"/>
              <w:left w:val="nil"/>
              <w:bottom w:val="single" w:sz="8" w:space="0" w:color="auto"/>
              <w:right w:val="single" w:sz="8" w:space="0" w:color="auto"/>
            </w:tcBorders>
            <w:shd w:val="clear" w:color="auto" w:fill="C6EFCE"/>
            <w:vAlign w:val="center"/>
          </w:tcPr>
          <w:p w14:paraId="076DB22C" w14:textId="1F3AEB96" w:rsidR="00025543" w:rsidRDefault="007E3A2F">
            <w:pPr>
              <w:pStyle w:val="P68B1DB1-Normal60"/>
              <w:spacing w:before="0" w:after="0" w:line="240" w:lineRule="auto"/>
              <w:jc w:val="center"/>
              <w:rPr>
                <w:noProof/>
              </w:rPr>
            </w:pPr>
            <w:r>
              <w:rPr>
                <w:noProof/>
              </w:rPr>
              <w:t>444 005 144 EUR</w:t>
            </w:r>
          </w:p>
        </w:tc>
      </w:tr>
    </w:tbl>
    <w:p w14:paraId="6EA7F7B5" w14:textId="77777777" w:rsidR="00025543" w:rsidRDefault="00025543">
      <w:pPr>
        <w:spacing w:line="240" w:lineRule="auto"/>
        <w:ind w:left="850"/>
        <w:jc w:val="both"/>
        <w:rPr>
          <w:noProof/>
        </w:rPr>
      </w:pPr>
    </w:p>
    <w:p w14:paraId="3CD6D437" w14:textId="01A415BF" w:rsidR="00025543" w:rsidRDefault="007E3A2F">
      <w:pPr>
        <w:numPr>
          <w:ilvl w:val="1"/>
          <w:numId w:val="198"/>
        </w:numPr>
        <w:spacing w:line="240" w:lineRule="auto"/>
        <w:jc w:val="both"/>
        <w:rPr>
          <w:noProof/>
        </w:rPr>
      </w:pPr>
      <w:r>
        <w:rPr>
          <w:noProof/>
        </w:rPr>
        <w:t xml:space="preserve">Huitième tranche (soutien non remboursable): </w:t>
      </w:r>
    </w:p>
    <w:tbl>
      <w:tblPr>
        <w:tblW w:w="10490" w:type="dxa"/>
        <w:tblInd w:w="-601" w:type="dxa"/>
        <w:tblLook w:val="04A0" w:firstRow="1" w:lastRow="0" w:firstColumn="1" w:lastColumn="0" w:noHBand="0" w:noVBand="1"/>
      </w:tblPr>
      <w:tblGrid>
        <w:gridCol w:w="1276"/>
        <w:gridCol w:w="3969"/>
        <w:gridCol w:w="1843"/>
        <w:gridCol w:w="3402"/>
      </w:tblGrid>
      <w:tr w:rsidR="00025543" w14:paraId="2F192F2E" w14:textId="77777777">
        <w:trPr>
          <w:trHeight w:val="825"/>
          <w:tblHeader/>
        </w:trPr>
        <w:tc>
          <w:tcPr>
            <w:tcW w:w="1276" w:type="dxa"/>
            <w:tcBorders>
              <w:top w:val="single" w:sz="8" w:space="0" w:color="auto"/>
              <w:left w:val="single" w:sz="8" w:space="0" w:color="auto"/>
              <w:bottom w:val="single" w:sz="8" w:space="0" w:color="auto"/>
              <w:right w:val="single" w:sz="8" w:space="0" w:color="auto"/>
            </w:tcBorders>
            <w:shd w:val="clear" w:color="auto" w:fill="BDD7EE"/>
            <w:vAlign w:val="center"/>
            <w:hideMark/>
          </w:tcPr>
          <w:p w14:paraId="1B39FDF3" w14:textId="77777777" w:rsidR="00025543" w:rsidRDefault="007E3A2F">
            <w:pPr>
              <w:pStyle w:val="P68B1DB1-Normal55"/>
              <w:spacing w:before="0" w:after="0" w:line="240" w:lineRule="auto"/>
              <w:jc w:val="center"/>
              <w:rPr>
                <w:noProof/>
              </w:rPr>
            </w:pPr>
            <w:r>
              <w:rPr>
                <w:noProof/>
              </w:rPr>
              <w:t>Numéro séquentiel</w:t>
            </w:r>
          </w:p>
        </w:tc>
        <w:tc>
          <w:tcPr>
            <w:tcW w:w="3969" w:type="dxa"/>
            <w:tcBorders>
              <w:top w:val="single" w:sz="8" w:space="0" w:color="auto"/>
              <w:left w:val="nil"/>
              <w:bottom w:val="single" w:sz="8" w:space="0" w:color="auto"/>
              <w:right w:val="single" w:sz="8" w:space="0" w:color="auto"/>
            </w:tcBorders>
            <w:shd w:val="clear" w:color="auto" w:fill="BDD7EE"/>
            <w:vAlign w:val="center"/>
            <w:hideMark/>
          </w:tcPr>
          <w:p w14:paraId="1AD02208" w14:textId="77777777" w:rsidR="00025543" w:rsidRDefault="007E3A2F">
            <w:pPr>
              <w:pStyle w:val="P68B1DB1-Normal55"/>
              <w:spacing w:before="0" w:after="0" w:line="240" w:lineRule="auto"/>
              <w:jc w:val="center"/>
              <w:rPr>
                <w:noProof/>
              </w:rPr>
            </w:pPr>
            <w:r>
              <w:rPr>
                <w:noProof/>
              </w:rPr>
              <w:t>Mesure connexe (réforme ou investissement)</w:t>
            </w:r>
          </w:p>
        </w:tc>
        <w:tc>
          <w:tcPr>
            <w:tcW w:w="1843" w:type="dxa"/>
            <w:tcBorders>
              <w:top w:val="single" w:sz="8" w:space="0" w:color="auto"/>
              <w:left w:val="nil"/>
              <w:bottom w:val="single" w:sz="8" w:space="0" w:color="auto"/>
              <w:right w:val="single" w:sz="8" w:space="0" w:color="auto"/>
            </w:tcBorders>
            <w:shd w:val="clear" w:color="auto" w:fill="BDD7EE"/>
            <w:vAlign w:val="center"/>
            <w:hideMark/>
          </w:tcPr>
          <w:p w14:paraId="3DB63CB6" w14:textId="77777777" w:rsidR="00025543" w:rsidRDefault="007E3A2F">
            <w:pPr>
              <w:pStyle w:val="P68B1DB1-Normal55"/>
              <w:spacing w:before="0" w:after="0" w:line="240" w:lineRule="auto"/>
              <w:jc w:val="center"/>
              <w:rPr>
                <w:noProof/>
              </w:rPr>
            </w:pPr>
            <w:r>
              <w:rPr>
                <w:noProof/>
              </w:rPr>
              <w:t>Jalon/cible</w:t>
            </w:r>
          </w:p>
        </w:tc>
        <w:tc>
          <w:tcPr>
            <w:tcW w:w="3402" w:type="dxa"/>
            <w:tcBorders>
              <w:top w:val="single" w:sz="8" w:space="0" w:color="auto"/>
              <w:left w:val="nil"/>
              <w:bottom w:val="single" w:sz="8" w:space="0" w:color="auto"/>
              <w:right w:val="single" w:sz="8" w:space="0" w:color="auto"/>
            </w:tcBorders>
            <w:shd w:val="clear" w:color="auto" w:fill="BDD7EE"/>
            <w:vAlign w:val="center"/>
            <w:hideMark/>
          </w:tcPr>
          <w:p w14:paraId="1343E79D" w14:textId="77777777" w:rsidR="00025543" w:rsidRDefault="007E3A2F">
            <w:pPr>
              <w:pStyle w:val="P68B1DB1-Normal55"/>
              <w:spacing w:before="0" w:after="0" w:line="240" w:lineRule="auto"/>
              <w:jc w:val="center"/>
              <w:rPr>
                <w:noProof/>
              </w:rPr>
            </w:pPr>
            <w:r>
              <w:rPr>
                <w:noProof/>
              </w:rPr>
              <w:t>Nom</w:t>
            </w:r>
          </w:p>
        </w:tc>
      </w:tr>
      <w:tr w:rsidR="00025543" w14:paraId="09514DDE" w14:textId="77777777">
        <w:trPr>
          <w:trHeight w:val="600"/>
        </w:trPr>
        <w:tc>
          <w:tcPr>
            <w:tcW w:w="1276" w:type="dxa"/>
            <w:tcBorders>
              <w:top w:val="nil"/>
              <w:left w:val="single" w:sz="8" w:space="0" w:color="000000" w:themeColor="text1"/>
              <w:bottom w:val="nil"/>
              <w:right w:val="single" w:sz="8" w:space="0" w:color="000000" w:themeColor="text1"/>
            </w:tcBorders>
            <w:shd w:val="clear" w:color="auto" w:fill="C6EFCE"/>
            <w:vAlign w:val="center"/>
            <w:hideMark/>
          </w:tcPr>
          <w:p w14:paraId="7433B393" w14:textId="77777777" w:rsidR="00025543" w:rsidRDefault="007E3A2F">
            <w:pPr>
              <w:pStyle w:val="P68B1DB1-Normal57"/>
              <w:spacing w:before="0" w:after="0" w:line="240" w:lineRule="auto"/>
              <w:jc w:val="center"/>
              <w:rPr>
                <w:noProof/>
              </w:rPr>
            </w:pPr>
            <w:r>
              <w:rPr>
                <w:noProof/>
              </w:rPr>
              <w:t>147</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7E7D139F" w14:textId="77777777" w:rsidR="00025543" w:rsidRDefault="007E3A2F">
            <w:pPr>
              <w:pStyle w:val="P68B1DB1-Normal57"/>
              <w:spacing w:before="0" w:after="0" w:line="240" w:lineRule="auto"/>
              <w:jc w:val="center"/>
              <w:rPr>
                <w:noProof/>
              </w:rPr>
            </w:pPr>
            <w:r>
              <w:rPr>
                <w:noProof/>
              </w:rPr>
              <w:t>C 2.7: Économie circulaire, recyclage et eau industrielle — Réforme 2: Finalisation et mise en œuvre de la stratégie circulaire pour la Tchéquie à l’horizon 2040</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1F66B978" w14:textId="77777777" w:rsidR="00025543" w:rsidRDefault="007E3A2F">
            <w:pPr>
              <w:pStyle w:val="P68B1DB1-Normal57"/>
              <w:spacing w:before="0" w:after="0" w:line="240" w:lineRule="auto"/>
              <w:jc w:val="center"/>
              <w:rPr>
                <w:noProof/>
              </w:rPr>
            </w:pPr>
            <w:r>
              <w:rPr>
                <w:noProof/>
              </w:rPr>
              <w:t>Étapes</w:t>
            </w:r>
          </w:p>
        </w:tc>
        <w:tc>
          <w:tcPr>
            <w:tcW w:w="3402" w:type="dxa"/>
            <w:tcBorders>
              <w:top w:val="nil"/>
              <w:left w:val="nil"/>
              <w:bottom w:val="nil"/>
              <w:right w:val="single" w:sz="8" w:space="0" w:color="000000" w:themeColor="text1"/>
            </w:tcBorders>
            <w:shd w:val="clear" w:color="auto" w:fill="C6EFCE"/>
            <w:vAlign w:val="center"/>
            <w:hideMark/>
          </w:tcPr>
          <w:p w14:paraId="42E5EA10" w14:textId="77777777" w:rsidR="00025543" w:rsidRDefault="007E3A2F">
            <w:pPr>
              <w:pStyle w:val="P68B1DB1-Normal57"/>
              <w:spacing w:before="0" w:after="0" w:line="240" w:lineRule="auto"/>
              <w:jc w:val="center"/>
              <w:rPr>
                <w:noProof/>
              </w:rPr>
            </w:pPr>
            <w:r>
              <w:rPr>
                <w:noProof/>
              </w:rPr>
              <w:t>Achèvement d’un rapport de suivi évaluant l’état d’avancement de la mise en œuvre de la stratégie circulaire Tchéquie 2040</w:t>
            </w:r>
          </w:p>
        </w:tc>
      </w:tr>
      <w:tr w:rsidR="00025543" w14:paraId="496AFA5C" w14:textId="77777777">
        <w:trPr>
          <w:trHeight w:val="600"/>
        </w:trPr>
        <w:tc>
          <w:tcPr>
            <w:tcW w:w="1276" w:type="dxa"/>
            <w:tcBorders>
              <w:top w:val="single" w:sz="8" w:space="0" w:color="auto"/>
              <w:left w:val="single" w:sz="8" w:space="0" w:color="auto"/>
              <w:bottom w:val="single" w:sz="8" w:space="0" w:color="auto"/>
              <w:right w:val="single" w:sz="8" w:space="0" w:color="000000" w:themeColor="text1"/>
            </w:tcBorders>
            <w:shd w:val="clear" w:color="auto" w:fill="C6EFCE"/>
            <w:vAlign w:val="center"/>
            <w:hideMark/>
          </w:tcPr>
          <w:p w14:paraId="0F250043" w14:textId="77777777" w:rsidR="00025543" w:rsidRDefault="007E3A2F">
            <w:pPr>
              <w:pStyle w:val="P68B1DB1-Normal56"/>
              <w:spacing w:before="0" w:after="0" w:line="240" w:lineRule="auto"/>
              <w:jc w:val="center"/>
              <w:rPr>
                <w:noProof/>
              </w:rPr>
            </w:pPr>
            <w:r>
              <w:rPr>
                <w:noProof/>
              </w:rPr>
              <w:t>169</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1987D02D" w14:textId="77777777" w:rsidR="00025543" w:rsidRDefault="007E3A2F">
            <w:pPr>
              <w:pStyle w:val="P68B1DB1-Normal57"/>
              <w:spacing w:before="0" w:after="0" w:line="240" w:lineRule="auto"/>
              <w:jc w:val="center"/>
              <w:rPr>
                <w:noProof/>
              </w:rPr>
            </w:pPr>
            <w:r>
              <w:rPr>
                <w:noProof/>
              </w:rPr>
              <w:t>C 3.1: Innovation dans l’éducation dans le contexte de la numérisation — Réforme 1: Réforme des programmes d’études et renforcement de l’enseignement informatique</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0A4A0CEB" w14:textId="77777777" w:rsidR="00025543" w:rsidRDefault="007E3A2F">
            <w:pPr>
              <w:pStyle w:val="P68B1DB1-Normal57"/>
              <w:spacing w:before="0" w:after="0" w:line="240" w:lineRule="auto"/>
              <w:jc w:val="center"/>
              <w:rPr>
                <w:noProof/>
              </w:rPr>
            </w:pPr>
            <w:r>
              <w:rPr>
                <w:noProof/>
              </w:rPr>
              <w:t>Étapes</w:t>
            </w:r>
          </w:p>
        </w:tc>
        <w:tc>
          <w:tcPr>
            <w:tcW w:w="3402" w:type="dxa"/>
            <w:tcBorders>
              <w:top w:val="single" w:sz="8" w:space="0" w:color="auto"/>
              <w:left w:val="nil"/>
              <w:bottom w:val="single" w:sz="8" w:space="0" w:color="auto"/>
              <w:right w:val="single" w:sz="8" w:space="0" w:color="000000" w:themeColor="text1"/>
            </w:tcBorders>
            <w:shd w:val="clear" w:color="auto" w:fill="C6EFCE"/>
            <w:vAlign w:val="center"/>
            <w:hideMark/>
          </w:tcPr>
          <w:p w14:paraId="55DE3A2F" w14:textId="77777777" w:rsidR="00025543" w:rsidRDefault="007E3A2F">
            <w:pPr>
              <w:pStyle w:val="P68B1DB1-Normal56"/>
              <w:spacing w:before="0" w:after="0" w:line="240" w:lineRule="auto"/>
              <w:jc w:val="center"/>
              <w:rPr>
                <w:noProof/>
              </w:rPr>
            </w:pPr>
            <w:r>
              <w:rPr>
                <w:noProof/>
              </w:rPr>
              <w:t>Mise en œuvre par les écoles de nouveaux programmes d’études renforçant l’habileté numérique et la pensée informatique</w:t>
            </w:r>
          </w:p>
        </w:tc>
      </w:tr>
      <w:tr w:rsidR="00025543" w14:paraId="6E0CAD18" w14:textId="77777777">
        <w:trPr>
          <w:trHeight w:val="600"/>
        </w:trPr>
        <w:tc>
          <w:tcPr>
            <w:tcW w:w="1276" w:type="dxa"/>
            <w:tcBorders>
              <w:top w:val="nil"/>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D2FCC34" w14:textId="77777777" w:rsidR="00025543" w:rsidRDefault="007E3A2F">
            <w:pPr>
              <w:pStyle w:val="P68B1DB1-Normal57"/>
              <w:spacing w:before="0" w:after="0" w:line="240" w:lineRule="auto"/>
              <w:jc w:val="center"/>
              <w:rPr>
                <w:noProof/>
              </w:rPr>
            </w:pPr>
            <w:r>
              <w:rPr>
                <w:noProof/>
              </w:rPr>
              <w:t>2</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4DB9B710" w14:textId="77777777" w:rsidR="00025543" w:rsidRDefault="007E3A2F">
            <w:pPr>
              <w:pStyle w:val="P68B1DB1-Normal57"/>
              <w:spacing w:before="0" w:after="0" w:line="240" w:lineRule="auto"/>
              <w:jc w:val="center"/>
              <w:rPr>
                <w:noProof/>
              </w:rPr>
            </w:pPr>
            <w:r>
              <w:rPr>
                <w:noProof/>
              </w:rPr>
              <w:t>C 1.1: Services numériques aux citoyens et aux entreprises — Réforme 1: Conditions relatives à la gestion du pool de données de qualité et à la garantie d’un accès contrôlé aux données</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68B0C849" w14:textId="77777777" w:rsidR="00025543" w:rsidRDefault="007E3A2F">
            <w:pPr>
              <w:pStyle w:val="P68B1DB1-Normal57"/>
              <w:spacing w:before="0" w:after="0" w:line="240" w:lineRule="auto"/>
              <w:jc w:val="center"/>
              <w:rPr>
                <w:noProof/>
              </w:rPr>
            </w:pPr>
            <w:r>
              <w:rPr>
                <w:noProof/>
              </w:rPr>
              <w:t>Cible</w:t>
            </w:r>
          </w:p>
        </w:tc>
        <w:tc>
          <w:tcPr>
            <w:tcW w:w="3402" w:type="dxa"/>
            <w:tcBorders>
              <w:top w:val="nil"/>
              <w:left w:val="nil"/>
              <w:bottom w:val="single" w:sz="8" w:space="0" w:color="000000" w:themeColor="text1"/>
              <w:right w:val="single" w:sz="8" w:space="0" w:color="000000" w:themeColor="text1"/>
            </w:tcBorders>
            <w:shd w:val="clear" w:color="auto" w:fill="C6EFCE"/>
            <w:vAlign w:val="center"/>
            <w:hideMark/>
          </w:tcPr>
          <w:p w14:paraId="610092CD" w14:textId="77777777" w:rsidR="00025543" w:rsidRDefault="007E3A2F">
            <w:pPr>
              <w:pStyle w:val="P68B1DB1-Normal57"/>
              <w:spacing w:before="0" w:after="0" w:line="240" w:lineRule="auto"/>
              <w:jc w:val="center"/>
              <w:rPr>
                <w:noProof/>
              </w:rPr>
            </w:pPr>
            <w:r>
              <w:rPr>
                <w:noProof/>
              </w:rPr>
              <w:t>Introduction de nouvelles méthodes de gestion des données dans l’administration publique</w:t>
            </w:r>
          </w:p>
        </w:tc>
      </w:tr>
      <w:tr w:rsidR="00025543" w14:paraId="5E8D0068" w14:textId="77777777">
        <w:trPr>
          <w:trHeight w:val="405"/>
        </w:trPr>
        <w:tc>
          <w:tcPr>
            <w:tcW w:w="1276" w:type="dxa"/>
            <w:tcBorders>
              <w:top w:val="nil"/>
              <w:left w:val="single" w:sz="8" w:space="0" w:color="000000" w:themeColor="text1"/>
              <w:bottom w:val="nil"/>
              <w:right w:val="single" w:sz="8" w:space="0" w:color="000000" w:themeColor="text1"/>
            </w:tcBorders>
            <w:shd w:val="clear" w:color="auto" w:fill="C6EFCE"/>
            <w:vAlign w:val="center"/>
            <w:hideMark/>
          </w:tcPr>
          <w:p w14:paraId="77595DC3" w14:textId="77777777" w:rsidR="00025543" w:rsidRDefault="007E3A2F">
            <w:pPr>
              <w:pStyle w:val="P68B1DB1-Normal57"/>
              <w:spacing w:before="0" w:after="0" w:line="240" w:lineRule="auto"/>
              <w:jc w:val="center"/>
              <w:rPr>
                <w:noProof/>
              </w:rPr>
            </w:pPr>
            <w:r>
              <w:rPr>
                <w:noProof/>
              </w:rPr>
              <w:t>4</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3A6EFF58" w14:textId="77777777" w:rsidR="00025543" w:rsidRDefault="007E3A2F">
            <w:pPr>
              <w:pStyle w:val="P68B1DB1-Normal57"/>
              <w:spacing w:before="0" w:after="0" w:line="240" w:lineRule="auto"/>
              <w:jc w:val="center"/>
              <w:rPr>
                <w:noProof/>
              </w:rPr>
            </w:pPr>
            <w:r>
              <w:rPr>
                <w:noProof/>
              </w:rPr>
              <w:t>C 1.1: Services numériques aux citoyens et aux entreprises — Réforme 2: santé en ligne</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4F46B666" w14:textId="77777777" w:rsidR="00025543" w:rsidRDefault="007E3A2F">
            <w:pPr>
              <w:pStyle w:val="P68B1DB1-Normal57"/>
              <w:spacing w:before="0" w:after="0" w:line="240" w:lineRule="auto"/>
              <w:jc w:val="center"/>
              <w:rPr>
                <w:noProof/>
              </w:rPr>
            </w:pPr>
            <w:r>
              <w:rPr>
                <w:noProof/>
              </w:rPr>
              <w:t>Cible</w:t>
            </w:r>
          </w:p>
        </w:tc>
        <w:tc>
          <w:tcPr>
            <w:tcW w:w="3402" w:type="dxa"/>
            <w:tcBorders>
              <w:top w:val="nil"/>
              <w:left w:val="nil"/>
              <w:bottom w:val="nil"/>
              <w:right w:val="single" w:sz="8" w:space="0" w:color="000000" w:themeColor="text1"/>
            </w:tcBorders>
            <w:shd w:val="clear" w:color="auto" w:fill="C6EFCE"/>
            <w:vAlign w:val="center"/>
            <w:hideMark/>
          </w:tcPr>
          <w:p w14:paraId="66D04251" w14:textId="77777777" w:rsidR="00025543" w:rsidRDefault="007E3A2F">
            <w:pPr>
              <w:pStyle w:val="P68B1DB1-Normal57"/>
              <w:spacing w:before="0" w:after="0" w:line="240" w:lineRule="auto"/>
              <w:jc w:val="center"/>
              <w:rPr>
                <w:noProof/>
              </w:rPr>
            </w:pPr>
            <w:r>
              <w:rPr>
                <w:noProof/>
              </w:rPr>
              <w:t>Nombre de nouveaux services de télémédecine introduits et mis à la disposition des patients</w:t>
            </w:r>
          </w:p>
        </w:tc>
      </w:tr>
      <w:tr w:rsidR="00025543" w14:paraId="4066C88C" w14:textId="77777777">
        <w:trPr>
          <w:trHeight w:val="405"/>
        </w:trPr>
        <w:tc>
          <w:tcPr>
            <w:tcW w:w="1276" w:type="dxa"/>
            <w:tcBorders>
              <w:top w:val="single" w:sz="8" w:space="0" w:color="auto"/>
              <w:left w:val="single" w:sz="8" w:space="0" w:color="auto"/>
              <w:bottom w:val="single" w:sz="8" w:space="0" w:color="auto"/>
              <w:right w:val="single" w:sz="8" w:space="0" w:color="000000" w:themeColor="text1"/>
            </w:tcBorders>
            <w:shd w:val="clear" w:color="auto" w:fill="C6EFCE"/>
            <w:vAlign w:val="center"/>
            <w:hideMark/>
          </w:tcPr>
          <w:p w14:paraId="62556D98" w14:textId="77777777" w:rsidR="00025543" w:rsidRDefault="007E3A2F">
            <w:pPr>
              <w:pStyle w:val="P68B1DB1-Normal57"/>
              <w:spacing w:before="0" w:after="0" w:line="240" w:lineRule="auto"/>
              <w:jc w:val="center"/>
              <w:rPr>
                <w:noProof/>
              </w:rPr>
            </w:pPr>
            <w:r>
              <w:rPr>
                <w:noProof/>
              </w:rPr>
              <w:t>5</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025A5BEE" w14:textId="77777777" w:rsidR="00025543" w:rsidRDefault="007E3A2F">
            <w:pPr>
              <w:pStyle w:val="P68B1DB1-Normal57"/>
              <w:spacing w:before="0" w:after="0" w:line="240" w:lineRule="auto"/>
              <w:jc w:val="center"/>
              <w:rPr>
                <w:noProof/>
              </w:rPr>
            </w:pPr>
            <w:r>
              <w:rPr>
                <w:noProof/>
              </w:rPr>
              <w:t>C 1.1: Services numériques aux citoyens et aux entreprises — Réforme 2: santé en ligne</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5F8568AA"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8" w:space="0" w:color="auto"/>
              <w:left w:val="nil"/>
              <w:bottom w:val="single" w:sz="8" w:space="0" w:color="auto"/>
              <w:right w:val="single" w:sz="8" w:space="0" w:color="000000" w:themeColor="text1"/>
            </w:tcBorders>
            <w:shd w:val="clear" w:color="auto" w:fill="C6EFCE"/>
            <w:vAlign w:val="center"/>
            <w:hideMark/>
          </w:tcPr>
          <w:p w14:paraId="1C0D2C3C" w14:textId="77777777" w:rsidR="00025543" w:rsidRDefault="007E3A2F">
            <w:pPr>
              <w:pStyle w:val="P68B1DB1-Normal57"/>
              <w:spacing w:before="0" w:after="0" w:line="240" w:lineRule="auto"/>
              <w:jc w:val="center"/>
              <w:rPr>
                <w:noProof/>
              </w:rPr>
            </w:pPr>
            <w:r>
              <w:rPr>
                <w:noProof/>
              </w:rPr>
              <w:t xml:space="preserve"> Achèvement des projets conduisant à la mise en œuvre de nouveaux services de santé numériques.</w:t>
            </w:r>
          </w:p>
        </w:tc>
      </w:tr>
      <w:tr w:rsidR="00025543" w14:paraId="60A4E8C1" w14:textId="77777777">
        <w:trPr>
          <w:trHeight w:val="990"/>
        </w:trPr>
        <w:tc>
          <w:tcPr>
            <w:tcW w:w="1276" w:type="dxa"/>
            <w:tcBorders>
              <w:top w:val="nil"/>
              <w:left w:val="single" w:sz="8" w:space="0" w:color="000000" w:themeColor="text1"/>
              <w:bottom w:val="nil"/>
              <w:right w:val="single" w:sz="8" w:space="0" w:color="000000" w:themeColor="text1"/>
            </w:tcBorders>
            <w:shd w:val="clear" w:color="auto" w:fill="C6EFCE"/>
            <w:vAlign w:val="center"/>
            <w:hideMark/>
          </w:tcPr>
          <w:p w14:paraId="42287907" w14:textId="77777777" w:rsidR="00025543" w:rsidRDefault="007E3A2F">
            <w:pPr>
              <w:pStyle w:val="P68B1DB1-Normal57"/>
              <w:spacing w:before="0" w:after="0" w:line="240" w:lineRule="auto"/>
              <w:jc w:val="center"/>
              <w:rPr>
                <w:noProof/>
              </w:rPr>
            </w:pPr>
            <w:r>
              <w:rPr>
                <w:noProof/>
              </w:rPr>
              <w:t>6</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25B7D70A" w14:textId="77777777" w:rsidR="00025543" w:rsidRDefault="007E3A2F">
            <w:pPr>
              <w:pStyle w:val="P68B1DB1-Normal57"/>
              <w:spacing w:before="0" w:after="0" w:line="240" w:lineRule="auto"/>
              <w:jc w:val="center"/>
              <w:rPr>
                <w:noProof/>
              </w:rPr>
            </w:pPr>
            <w:r>
              <w:rPr>
                <w:noProof/>
              </w:rPr>
              <w:t>C 1.1: Services numériques aux citoyens et aux entreprises — Réforme 2: santé en ligne</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18C157C7" w14:textId="77777777" w:rsidR="00025543" w:rsidRDefault="007E3A2F">
            <w:pPr>
              <w:pStyle w:val="P68B1DB1-Normal57"/>
              <w:spacing w:before="0" w:after="0" w:line="240" w:lineRule="auto"/>
              <w:jc w:val="center"/>
              <w:rPr>
                <w:noProof/>
              </w:rPr>
            </w:pPr>
            <w:r>
              <w:rPr>
                <w:noProof/>
              </w:rPr>
              <w:t>Cible</w:t>
            </w:r>
          </w:p>
        </w:tc>
        <w:tc>
          <w:tcPr>
            <w:tcW w:w="3402" w:type="dxa"/>
            <w:tcBorders>
              <w:top w:val="nil"/>
              <w:left w:val="nil"/>
              <w:bottom w:val="single" w:sz="4" w:space="0" w:color="000000" w:themeColor="text1"/>
              <w:right w:val="single" w:sz="8" w:space="0" w:color="000000" w:themeColor="text1"/>
            </w:tcBorders>
            <w:shd w:val="clear" w:color="auto" w:fill="C6EFCE"/>
            <w:vAlign w:val="center"/>
            <w:hideMark/>
          </w:tcPr>
          <w:p w14:paraId="4C512929" w14:textId="37A6C748" w:rsidR="00025543" w:rsidRDefault="007E3A2F">
            <w:pPr>
              <w:pStyle w:val="P68B1DB1-Normal57"/>
              <w:spacing w:before="0" w:after="0" w:line="240" w:lineRule="auto"/>
              <w:jc w:val="center"/>
              <w:rPr>
                <w:noProof/>
              </w:rPr>
            </w:pPr>
            <w:r>
              <w:rPr>
                <w:noProof/>
              </w:rPr>
              <w:t>Connexion des prestataires de soins de santé au système d’interopérabilité conformément aux règles d’interopérabilité pour les services de santé en ligne</w:t>
            </w:r>
          </w:p>
        </w:tc>
      </w:tr>
      <w:tr w:rsidR="00025543" w14:paraId="65CC5CEE" w14:textId="77777777">
        <w:trPr>
          <w:trHeight w:val="795"/>
        </w:trPr>
        <w:tc>
          <w:tcPr>
            <w:tcW w:w="1276" w:type="dxa"/>
            <w:tcBorders>
              <w:top w:val="single" w:sz="8" w:space="0" w:color="auto"/>
              <w:left w:val="single" w:sz="8" w:space="0" w:color="auto"/>
              <w:bottom w:val="single" w:sz="4" w:space="0" w:color="auto"/>
              <w:right w:val="single" w:sz="8" w:space="0" w:color="000000" w:themeColor="text1"/>
            </w:tcBorders>
            <w:shd w:val="clear" w:color="auto" w:fill="C6EFCE"/>
            <w:vAlign w:val="center"/>
            <w:hideMark/>
          </w:tcPr>
          <w:p w14:paraId="31820C4E" w14:textId="77777777" w:rsidR="00025543" w:rsidRDefault="007E3A2F">
            <w:pPr>
              <w:pStyle w:val="P68B1DB1-Normal56"/>
              <w:spacing w:before="0" w:after="0" w:line="240" w:lineRule="auto"/>
              <w:jc w:val="center"/>
              <w:rPr>
                <w:noProof/>
              </w:rPr>
            </w:pPr>
            <w:r>
              <w:rPr>
                <w:noProof/>
              </w:rPr>
              <w:t>19</w:t>
            </w:r>
          </w:p>
        </w:tc>
        <w:tc>
          <w:tcPr>
            <w:tcW w:w="3969" w:type="dxa"/>
            <w:tcBorders>
              <w:top w:val="single" w:sz="4" w:space="0" w:color="000000" w:themeColor="text1"/>
              <w:left w:val="nil"/>
              <w:bottom w:val="single" w:sz="4" w:space="0" w:color="auto"/>
              <w:right w:val="single" w:sz="8" w:space="0" w:color="000000" w:themeColor="text1"/>
            </w:tcBorders>
            <w:shd w:val="clear" w:color="auto" w:fill="C6EFCE"/>
            <w:vAlign w:val="center"/>
            <w:hideMark/>
          </w:tcPr>
          <w:p w14:paraId="651EDE28" w14:textId="77777777" w:rsidR="00025543" w:rsidRDefault="007E3A2F">
            <w:pPr>
              <w:pStyle w:val="P68B1DB1-Normal57"/>
              <w:spacing w:before="0" w:after="0" w:line="240" w:lineRule="auto"/>
              <w:jc w:val="center"/>
              <w:rPr>
                <w:noProof/>
              </w:rPr>
            </w:pPr>
            <w:r>
              <w:rPr>
                <w:noProof/>
              </w:rPr>
              <w:t>C 1.2: Systèmes d’administration publique numérique — Investissements 1:</w:t>
            </w:r>
            <w:r>
              <w:rPr>
                <w:noProof/>
              </w:rPr>
              <w:br/>
              <w:t>Développement des systèmes d’information</w:t>
            </w:r>
          </w:p>
        </w:tc>
        <w:tc>
          <w:tcPr>
            <w:tcW w:w="1843" w:type="dxa"/>
            <w:tcBorders>
              <w:top w:val="single" w:sz="4" w:space="0" w:color="000000" w:themeColor="text1"/>
              <w:left w:val="nil"/>
              <w:bottom w:val="single" w:sz="4" w:space="0" w:color="auto"/>
              <w:right w:val="single" w:sz="8" w:space="0" w:color="000000" w:themeColor="text1"/>
            </w:tcBorders>
            <w:shd w:val="clear" w:color="auto" w:fill="C6EFCE"/>
            <w:vAlign w:val="center"/>
            <w:hideMark/>
          </w:tcPr>
          <w:p w14:paraId="6C3D8BDB"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8" w:space="0" w:color="000000" w:themeColor="text1"/>
              <w:left w:val="nil"/>
              <w:bottom w:val="single" w:sz="4" w:space="0" w:color="auto"/>
              <w:right w:val="single" w:sz="8" w:space="0" w:color="000000" w:themeColor="text1"/>
            </w:tcBorders>
            <w:shd w:val="clear" w:color="auto" w:fill="C6EFCE"/>
            <w:vAlign w:val="center"/>
            <w:hideMark/>
          </w:tcPr>
          <w:p w14:paraId="102B3CE8" w14:textId="12E1F5C3" w:rsidR="00025543" w:rsidRDefault="007E3A2F">
            <w:pPr>
              <w:pStyle w:val="P68B1DB1-Normal57"/>
              <w:spacing w:before="0" w:after="0" w:line="240" w:lineRule="auto"/>
              <w:jc w:val="center"/>
              <w:rPr>
                <w:noProof/>
              </w:rPr>
            </w:pPr>
            <w:r>
              <w:rPr>
                <w:noProof/>
              </w:rPr>
              <w:t>Bon fonctionnement des systèmes d’information nouveaux ou modernisés de l’administration publique (achèvement des projets faisant l’objet d’un contrat au titre de l’objectif 18)</w:t>
            </w:r>
          </w:p>
        </w:tc>
      </w:tr>
      <w:tr w:rsidR="00025543" w14:paraId="6193620F" w14:textId="77777777">
        <w:trPr>
          <w:trHeight w:val="795"/>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C160FB1" w14:textId="77777777" w:rsidR="00025543" w:rsidRDefault="007E3A2F">
            <w:pPr>
              <w:pStyle w:val="P68B1DB1-Normal56"/>
              <w:spacing w:before="0" w:after="0" w:line="240" w:lineRule="auto"/>
              <w:jc w:val="center"/>
              <w:rPr>
                <w:noProof/>
              </w:rPr>
            </w:pPr>
            <w:r>
              <w:rPr>
                <w:noProof/>
              </w:rPr>
              <w:t>24</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564F575" w14:textId="77777777" w:rsidR="00025543" w:rsidRDefault="007E3A2F">
            <w:pPr>
              <w:pStyle w:val="P68B1DB1-Normal57"/>
              <w:spacing w:before="0" w:after="0" w:line="240" w:lineRule="auto"/>
              <w:jc w:val="center"/>
              <w:rPr>
                <w:noProof/>
              </w:rPr>
            </w:pPr>
            <w:r>
              <w:rPr>
                <w:noProof/>
              </w:rPr>
              <w:t>C 1.2: Systèmes d’administration publique numérique — Investissements 3:</w:t>
            </w:r>
            <w:r>
              <w:rPr>
                <w:noProof/>
              </w:rPr>
              <w:br/>
              <w:t>Cybersécurité</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D296298"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7B839F0" w14:textId="0F09928C" w:rsidR="00025543" w:rsidRDefault="007E3A2F">
            <w:pPr>
              <w:pStyle w:val="P68B1DB1-Normal57"/>
              <w:spacing w:before="0" w:after="0" w:line="240" w:lineRule="auto"/>
              <w:jc w:val="center"/>
              <w:rPr>
                <w:noProof/>
              </w:rPr>
            </w:pPr>
            <w:r>
              <w:rPr>
                <w:noProof/>
              </w:rPr>
              <w:t xml:space="preserve">Nombre de systèmes d’information dont la cybersécurité a été renforcée conformément à la loi no 181/2014 Rec., sur la cybersécurité  </w:t>
            </w:r>
          </w:p>
        </w:tc>
      </w:tr>
      <w:tr w:rsidR="00025543" w14:paraId="17A72449" w14:textId="77777777">
        <w:trPr>
          <w:trHeight w:val="1185"/>
        </w:trPr>
        <w:tc>
          <w:tcPr>
            <w:tcW w:w="1276" w:type="dxa"/>
            <w:tcBorders>
              <w:top w:val="single" w:sz="4" w:space="0" w:color="auto"/>
              <w:left w:val="single" w:sz="8" w:space="0" w:color="auto"/>
              <w:bottom w:val="single" w:sz="4" w:space="0" w:color="auto"/>
              <w:right w:val="single" w:sz="8" w:space="0" w:color="000000" w:themeColor="text1"/>
            </w:tcBorders>
            <w:shd w:val="clear" w:color="auto" w:fill="C6EFCE"/>
            <w:vAlign w:val="center"/>
            <w:hideMark/>
          </w:tcPr>
          <w:p w14:paraId="6E25CA4A" w14:textId="77777777" w:rsidR="00025543" w:rsidRDefault="007E3A2F">
            <w:pPr>
              <w:pStyle w:val="P68B1DB1-Normal56"/>
              <w:spacing w:before="0" w:after="0" w:line="240" w:lineRule="auto"/>
              <w:jc w:val="center"/>
              <w:rPr>
                <w:noProof/>
              </w:rPr>
            </w:pPr>
            <w:r>
              <w:rPr>
                <w:noProof/>
              </w:rPr>
              <w:t>26</w:t>
            </w:r>
          </w:p>
        </w:tc>
        <w:tc>
          <w:tcPr>
            <w:tcW w:w="3969" w:type="dxa"/>
            <w:tcBorders>
              <w:top w:val="single" w:sz="4" w:space="0" w:color="auto"/>
              <w:left w:val="nil"/>
              <w:bottom w:val="single" w:sz="4" w:space="0" w:color="auto"/>
              <w:right w:val="single" w:sz="8" w:space="0" w:color="000000" w:themeColor="text1"/>
            </w:tcBorders>
            <w:shd w:val="clear" w:color="auto" w:fill="C6EFCE"/>
            <w:vAlign w:val="center"/>
            <w:hideMark/>
          </w:tcPr>
          <w:p w14:paraId="3ACE67DA" w14:textId="0EE2E33B" w:rsidR="00025543" w:rsidRDefault="007E3A2F">
            <w:pPr>
              <w:pStyle w:val="P68B1DB1-Normal57"/>
              <w:spacing w:before="0" w:after="0" w:line="240" w:lineRule="auto"/>
              <w:jc w:val="center"/>
              <w:rPr>
                <w:noProof/>
              </w:rPr>
            </w:pPr>
            <w:r>
              <w:rPr>
                <w:noProof/>
              </w:rPr>
              <w:t>C 1.2: Systèmes d’administration publique numérique — Réformes 1:</w:t>
            </w:r>
            <w:r>
              <w:rPr>
                <w:noProof/>
              </w:rPr>
              <w:br/>
              <w:t>Centres de compétence pour soutenir l’administration en ligne, la cybersécurité et la santé en ligne</w:t>
            </w:r>
          </w:p>
        </w:tc>
        <w:tc>
          <w:tcPr>
            <w:tcW w:w="1843" w:type="dxa"/>
            <w:tcBorders>
              <w:top w:val="single" w:sz="4" w:space="0" w:color="auto"/>
              <w:left w:val="nil"/>
              <w:bottom w:val="single" w:sz="4" w:space="0" w:color="auto"/>
              <w:right w:val="single" w:sz="8" w:space="0" w:color="000000" w:themeColor="text1"/>
            </w:tcBorders>
            <w:shd w:val="clear" w:color="auto" w:fill="C6EFCE"/>
            <w:vAlign w:val="center"/>
            <w:hideMark/>
          </w:tcPr>
          <w:p w14:paraId="1B72F07D"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4" w:space="0" w:color="auto"/>
              <w:left w:val="nil"/>
              <w:bottom w:val="single" w:sz="4" w:space="0" w:color="auto"/>
              <w:right w:val="single" w:sz="8" w:space="0" w:color="000000" w:themeColor="text1"/>
            </w:tcBorders>
            <w:shd w:val="clear" w:color="auto" w:fill="C6EFCE"/>
            <w:vAlign w:val="center"/>
            <w:hideMark/>
          </w:tcPr>
          <w:p w14:paraId="23809A2B" w14:textId="1759BAD6" w:rsidR="00025543" w:rsidRDefault="007E3A2F">
            <w:pPr>
              <w:pStyle w:val="P68B1DB1-Normal57"/>
              <w:spacing w:before="0" w:after="0" w:line="240" w:lineRule="auto"/>
              <w:jc w:val="center"/>
              <w:rPr>
                <w:noProof/>
              </w:rPr>
            </w:pPr>
            <w:r>
              <w:rPr>
                <w:noProof/>
              </w:rPr>
              <w:t>Consultations et assistance fournies sur des sujets liés aux mesures relevant des volets 1.1 et 1.2 dans le cadre d’au moins 5 jours-hommes, fournies à des organismes spécifiques de l’administration publique</w:t>
            </w:r>
          </w:p>
        </w:tc>
      </w:tr>
      <w:tr w:rsidR="00025543" w14:paraId="4DC12AFB" w14:textId="77777777">
        <w:trPr>
          <w:trHeight w:val="99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227D4FF" w14:textId="77777777" w:rsidR="00025543" w:rsidRDefault="007E3A2F">
            <w:pPr>
              <w:pStyle w:val="P68B1DB1-Normal56"/>
              <w:spacing w:before="0" w:after="0" w:line="240" w:lineRule="auto"/>
              <w:jc w:val="center"/>
              <w:rPr>
                <w:noProof/>
              </w:rPr>
            </w:pPr>
            <w:r>
              <w:rPr>
                <w:noProof/>
              </w:rPr>
              <w:t>28</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D22F142" w14:textId="77777777" w:rsidR="00025543" w:rsidRDefault="007E3A2F">
            <w:pPr>
              <w:pStyle w:val="P68B1DB1-Normal57"/>
              <w:spacing w:before="0" w:after="0" w:line="240" w:lineRule="auto"/>
              <w:jc w:val="center"/>
              <w:rPr>
                <w:noProof/>
              </w:rPr>
            </w:pPr>
            <w:r>
              <w:rPr>
                <w:noProof/>
              </w:rPr>
              <w:t>C 1.2: Systèmes d’administration publique numérique — Réforme 2:</w:t>
            </w:r>
            <w:r>
              <w:rPr>
                <w:noProof/>
              </w:rPr>
              <w:br/>
              <w:t>Développement de systèmes soutenant la santé en ligne</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08E5AC7" w14:textId="77777777" w:rsidR="00025543" w:rsidRDefault="007E3A2F">
            <w:pPr>
              <w:pStyle w:val="P68B1DB1-Normal57"/>
              <w:spacing w:before="0" w:after="0" w:line="240" w:lineRule="auto"/>
              <w:jc w:val="center"/>
              <w:rPr>
                <w:noProof/>
              </w:rPr>
            </w:pPr>
            <w:r>
              <w:rPr>
                <w:noProof/>
              </w:rPr>
              <w:t>Étapes</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03D610F" w14:textId="77777777" w:rsidR="00025543" w:rsidRDefault="007E3A2F">
            <w:pPr>
              <w:pStyle w:val="P68B1DB1-Normal57"/>
              <w:spacing w:before="0" w:after="0" w:line="240" w:lineRule="auto"/>
              <w:jc w:val="center"/>
              <w:rPr>
                <w:noProof/>
              </w:rPr>
            </w:pPr>
            <w:r>
              <w:rPr>
                <w:noProof/>
              </w:rPr>
              <w:t>Achèvement des projets de consolidation et de développement de l’infrastructure de santé électronique afin de créer des bases de données interconnectées et d’améliorer les services de soins de santé numériques</w:t>
            </w:r>
          </w:p>
        </w:tc>
      </w:tr>
      <w:tr w:rsidR="00025543" w14:paraId="47620643" w14:textId="77777777">
        <w:trPr>
          <w:trHeight w:val="600"/>
        </w:trPr>
        <w:tc>
          <w:tcPr>
            <w:tcW w:w="1276"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069AB14F" w14:textId="77777777" w:rsidR="00025543" w:rsidRDefault="007E3A2F">
            <w:pPr>
              <w:pStyle w:val="P68B1DB1-Normal56"/>
              <w:spacing w:before="0" w:after="0" w:line="240" w:lineRule="auto"/>
              <w:jc w:val="center"/>
              <w:rPr>
                <w:noProof/>
              </w:rPr>
            </w:pPr>
            <w:r>
              <w:rPr>
                <w:noProof/>
              </w:rPr>
              <w:t>33</w:t>
            </w:r>
          </w:p>
        </w:tc>
        <w:tc>
          <w:tcPr>
            <w:tcW w:w="3969"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7790E88E" w14:textId="35E3662B" w:rsidR="00025543" w:rsidRDefault="007E3A2F">
            <w:pPr>
              <w:pStyle w:val="P68B1DB1-Normal57"/>
              <w:spacing w:before="0" w:after="0" w:line="240" w:lineRule="auto"/>
              <w:jc w:val="center"/>
              <w:rPr>
                <w:noProof/>
              </w:rPr>
            </w:pPr>
            <w:r>
              <w:rPr>
                <w:noProof/>
              </w:rPr>
              <w:t>C 1.3: Réseaux numériques à haute capacité — Réforme 1: Amélioration de l’environnement pour le déploiement des réseaux de communications électroniques </w:t>
            </w:r>
          </w:p>
        </w:tc>
        <w:tc>
          <w:tcPr>
            <w:tcW w:w="1843"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0D368D05"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00CCAEFE" w14:textId="77777777" w:rsidR="00025543" w:rsidRDefault="007E3A2F">
            <w:pPr>
              <w:pStyle w:val="P68B1DB1-Normal56"/>
              <w:spacing w:before="0" w:after="0" w:line="240" w:lineRule="auto"/>
              <w:jc w:val="center"/>
              <w:rPr>
                <w:noProof/>
              </w:rPr>
            </w:pPr>
            <w:r>
              <w:rPr>
                <w:noProof/>
              </w:rPr>
              <w:t xml:space="preserve">Réalisation des objets de cartes techniques numériques (DTM) pour la situation spatiale de base </w:t>
            </w:r>
          </w:p>
        </w:tc>
      </w:tr>
      <w:tr w:rsidR="00025543" w14:paraId="1A4AC028" w14:textId="77777777">
        <w:trPr>
          <w:trHeight w:val="600"/>
        </w:trPr>
        <w:tc>
          <w:tcPr>
            <w:tcW w:w="1276" w:type="dxa"/>
            <w:tcBorders>
              <w:top w:val="nil"/>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69716D4" w14:textId="77777777" w:rsidR="00025543" w:rsidRDefault="007E3A2F">
            <w:pPr>
              <w:pStyle w:val="P68B1DB1-Normal56"/>
              <w:spacing w:before="0" w:after="0" w:line="240" w:lineRule="auto"/>
              <w:jc w:val="center"/>
              <w:rPr>
                <w:noProof/>
              </w:rPr>
            </w:pPr>
            <w:r>
              <w:rPr>
                <w:noProof/>
              </w:rPr>
              <w:t>34</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3D5383D4" w14:textId="6FD3560C" w:rsidR="00025543" w:rsidRDefault="007E3A2F">
            <w:pPr>
              <w:pStyle w:val="P68B1DB1-Normal57"/>
              <w:spacing w:before="0" w:after="0" w:line="240" w:lineRule="auto"/>
              <w:jc w:val="center"/>
              <w:rPr>
                <w:noProof/>
              </w:rPr>
            </w:pPr>
            <w:r>
              <w:rPr>
                <w:noProof/>
              </w:rPr>
              <w:t>C 1.3: Réseaux numériques à haute capacité — Réforme 1: Amélioration de l’environnement pour le déploiement des réseaux de communications électroniques </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47F53A6D" w14:textId="77777777" w:rsidR="00025543" w:rsidRDefault="007E3A2F">
            <w:pPr>
              <w:pStyle w:val="P68B1DB1-Normal57"/>
              <w:spacing w:before="0" w:after="0" w:line="240" w:lineRule="auto"/>
              <w:jc w:val="center"/>
              <w:rPr>
                <w:noProof/>
              </w:rPr>
            </w:pPr>
            <w:r>
              <w:rPr>
                <w:noProof/>
              </w:rPr>
              <w:t>Cible</w:t>
            </w:r>
          </w:p>
        </w:tc>
        <w:tc>
          <w:tcPr>
            <w:tcW w:w="3402" w:type="dxa"/>
            <w:tcBorders>
              <w:top w:val="nil"/>
              <w:left w:val="nil"/>
              <w:bottom w:val="single" w:sz="8" w:space="0" w:color="000000" w:themeColor="text1"/>
              <w:right w:val="single" w:sz="8" w:space="0" w:color="000000" w:themeColor="text1"/>
            </w:tcBorders>
            <w:shd w:val="clear" w:color="auto" w:fill="C6EFCE"/>
            <w:vAlign w:val="center"/>
            <w:hideMark/>
          </w:tcPr>
          <w:p w14:paraId="25CF3C58" w14:textId="77777777" w:rsidR="00025543" w:rsidRDefault="007E3A2F">
            <w:pPr>
              <w:pStyle w:val="P68B1DB1-Normal56"/>
              <w:spacing w:before="0" w:after="0" w:line="240" w:lineRule="auto"/>
              <w:jc w:val="center"/>
              <w:rPr>
                <w:noProof/>
              </w:rPr>
            </w:pPr>
            <w:r>
              <w:rPr>
                <w:noProof/>
              </w:rPr>
              <w:t>Achèvement des cartes techniques numériques (DTM) pour les réseaux de transport et d’infrastructure technique</w:t>
            </w:r>
          </w:p>
        </w:tc>
      </w:tr>
      <w:tr w:rsidR="00025543" w14:paraId="4FE861AE" w14:textId="77777777">
        <w:trPr>
          <w:trHeight w:val="600"/>
        </w:trPr>
        <w:tc>
          <w:tcPr>
            <w:tcW w:w="1276" w:type="dxa"/>
            <w:tcBorders>
              <w:top w:val="single" w:sz="4" w:space="0" w:color="000000" w:themeColor="text1"/>
              <w:left w:val="single" w:sz="8" w:space="0" w:color="000000" w:themeColor="text1"/>
              <w:bottom w:val="nil"/>
              <w:right w:val="single" w:sz="8" w:space="0" w:color="000000" w:themeColor="text1"/>
            </w:tcBorders>
            <w:shd w:val="clear" w:color="auto" w:fill="C6EFCE"/>
            <w:vAlign w:val="center"/>
            <w:hideMark/>
          </w:tcPr>
          <w:p w14:paraId="40BA7D3F" w14:textId="77777777" w:rsidR="00025543" w:rsidRDefault="007E3A2F">
            <w:pPr>
              <w:pStyle w:val="P68B1DB1-Normal56"/>
              <w:spacing w:before="0" w:after="0" w:line="240" w:lineRule="auto"/>
              <w:jc w:val="center"/>
              <w:rPr>
                <w:noProof/>
              </w:rPr>
            </w:pPr>
            <w:r>
              <w:rPr>
                <w:noProof/>
              </w:rPr>
              <w:t>35</w:t>
            </w:r>
          </w:p>
        </w:tc>
        <w:tc>
          <w:tcPr>
            <w:tcW w:w="3969"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4D63B500" w14:textId="19990B63" w:rsidR="00025543" w:rsidRDefault="007E3A2F">
            <w:pPr>
              <w:pStyle w:val="P68B1DB1-Normal57"/>
              <w:spacing w:before="0" w:after="0" w:line="240" w:lineRule="auto"/>
              <w:jc w:val="center"/>
              <w:rPr>
                <w:noProof/>
              </w:rPr>
            </w:pPr>
            <w:r>
              <w:rPr>
                <w:noProof/>
              </w:rPr>
              <w:t>C 1.3: Réseaux numériques à haute capacité — Réforme 1: Amélioration de l’environnement pour le déploiement des réseaux de communications électroniques</w:t>
            </w:r>
          </w:p>
        </w:tc>
        <w:tc>
          <w:tcPr>
            <w:tcW w:w="1843"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0523960C"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4" w:space="0" w:color="000000" w:themeColor="text1"/>
              <w:left w:val="nil"/>
              <w:bottom w:val="nil"/>
              <w:right w:val="single" w:sz="8" w:space="0" w:color="000000" w:themeColor="text1"/>
            </w:tcBorders>
            <w:shd w:val="clear" w:color="auto" w:fill="C6EFCE"/>
            <w:vAlign w:val="center"/>
            <w:hideMark/>
          </w:tcPr>
          <w:p w14:paraId="4140040E" w14:textId="77777777" w:rsidR="00025543" w:rsidRDefault="007E3A2F">
            <w:pPr>
              <w:pStyle w:val="P68B1DB1-Normal56"/>
              <w:spacing w:before="0" w:after="0" w:line="240" w:lineRule="auto"/>
              <w:jc w:val="center"/>
              <w:rPr>
                <w:noProof/>
              </w:rPr>
            </w:pPr>
            <w:r>
              <w:rPr>
                <w:noProof/>
              </w:rPr>
              <w:t>Achèvement des mesures de la qualité des communications électroniques </w:t>
            </w:r>
          </w:p>
        </w:tc>
      </w:tr>
      <w:tr w:rsidR="00025543" w14:paraId="593EBEB5" w14:textId="77777777">
        <w:trPr>
          <w:trHeight w:val="405"/>
        </w:trPr>
        <w:tc>
          <w:tcPr>
            <w:tcW w:w="1276" w:type="dxa"/>
            <w:tcBorders>
              <w:top w:val="single" w:sz="8" w:space="0" w:color="auto"/>
              <w:left w:val="single" w:sz="8" w:space="0" w:color="auto"/>
              <w:bottom w:val="single" w:sz="8" w:space="0" w:color="auto"/>
              <w:right w:val="single" w:sz="8" w:space="0" w:color="000000" w:themeColor="text1"/>
            </w:tcBorders>
            <w:shd w:val="clear" w:color="auto" w:fill="C6EFCE"/>
            <w:vAlign w:val="center"/>
            <w:hideMark/>
          </w:tcPr>
          <w:p w14:paraId="20F82CD3" w14:textId="77777777" w:rsidR="00025543" w:rsidRDefault="007E3A2F">
            <w:pPr>
              <w:pStyle w:val="P68B1DB1-Normal56"/>
              <w:spacing w:before="0" w:after="0" w:line="240" w:lineRule="auto"/>
              <w:jc w:val="center"/>
              <w:rPr>
                <w:noProof/>
              </w:rPr>
            </w:pPr>
            <w:r>
              <w:rPr>
                <w:noProof/>
              </w:rPr>
              <w:t>37</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6BDC619B" w14:textId="1F56A6B7" w:rsidR="00025543" w:rsidRDefault="007E3A2F">
            <w:pPr>
              <w:pStyle w:val="P68B1DB1-Normal57"/>
              <w:spacing w:before="0" w:after="0" w:line="240" w:lineRule="auto"/>
              <w:jc w:val="center"/>
              <w:rPr>
                <w:noProof/>
              </w:rPr>
            </w:pPr>
            <w:r>
              <w:rPr>
                <w:noProof/>
              </w:rPr>
              <w:t>C 1.3: Réseaux numériques à haute capacité — Réforme 2: Soutenir le développement de l’écosystème 5G </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0099780A" w14:textId="77777777" w:rsidR="00025543" w:rsidRDefault="007E3A2F">
            <w:pPr>
              <w:pStyle w:val="P68B1DB1-Normal57"/>
              <w:spacing w:before="0" w:after="0" w:line="240" w:lineRule="auto"/>
              <w:jc w:val="center"/>
              <w:rPr>
                <w:noProof/>
              </w:rPr>
            </w:pPr>
            <w:r>
              <w:rPr>
                <w:noProof/>
              </w:rPr>
              <w:t>Étapes</w:t>
            </w:r>
          </w:p>
        </w:tc>
        <w:tc>
          <w:tcPr>
            <w:tcW w:w="3402" w:type="dxa"/>
            <w:tcBorders>
              <w:top w:val="single" w:sz="8" w:space="0" w:color="auto"/>
              <w:left w:val="nil"/>
              <w:bottom w:val="single" w:sz="8" w:space="0" w:color="auto"/>
              <w:right w:val="single" w:sz="8" w:space="0" w:color="000000" w:themeColor="text1"/>
            </w:tcBorders>
            <w:shd w:val="clear" w:color="auto" w:fill="C6EFCE"/>
            <w:vAlign w:val="center"/>
            <w:hideMark/>
          </w:tcPr>
          <w:p w14:paraId="1A9ECD82" w14:textId="77777777" w:rsidR="00025543" w:rsidRDefault="007E3A2F">
            <w:pPr>
              <w:pStyle w:val="P68B1DB1-Normal56"/>
              <w:spacing w:before="0" w:after="0" w:line="240" w:lineRule="auto"/>
              <w:jc w:val="center"/>
              <w:rPr>
                <w:noProof/>
              </w:rPr>
            </w:pPr>
            <w:r>
              <w:rPr>
                <w:noProof/>
              </w:rPr>
              <w:t>Publication de lignes directrices sur le déploiement des réseaux 5G par le ministère de l’industrie et du commerce </w:t>
            </w:r>
          </w:p>
        </w:tc>
      </w:tr>
      <w:tr w:rsidR="00025543" w14:paraId="7E733A6C" w14:textId="77777777">
        <w:trPr>
          <w:trHeight w:val="600"/>
        </w:trPr>
        <w:tc>
          <w:tcPr>
            <w:tcW w:w="1276" w:type="dxa"/>
            <w:tcBorders>
              <w:top w:val="nil"/>
              <w:left w:val="single" w:sz="8" w:space="0" w:color="000000" w:themeColor="text1"/>
              <w:bottom w:val="single" w:sz="4" w:space="0" w:color="auto"/>
              <w:right w:val="single" w:sz="8" w:space="0" w:color="000000" w:themeColor="text1"/>
            </w:tcBorders>
            <w:shd w:val="clear" w:color="auto" w:fill="C6EFCE"/>
            <w:vAlign w:val="center"/>
            <w:hideMark/>
          </w:tcPr>
          <w:p w14:paraId="623BA210" w14:textId="77777777" w:rsidR="00025543" w:rsidRDefault="007E3A2F">
            <w:pPr>
              <w:pStyle w:val="P68B1DB1-Normal56"/>
              <w:spacing w:before="0" w:after="0" w:line="240" w:lineRule="auto"/>
              <w:jc w:val="center"/>
              <w:rPr>
                <w:noProof/>
              </w:rPr>
            </w:pPr>
            <w:r>
              <w:rPr>
                <w:noProof/>
              </w:rPr>
              <w:t>41</w:t>
            </w:r>
          </w:p>
        </w:tc>
        <w:tc>
          <w:tcPr>
            <w:tcW w:w="3969" w:type="dxa"/>
            <w:tcBorders>
              <w:top w:val="nil"/>
              <w:left w:val="nil"/>
              <w:bottom w:val="single" w:sz="4" w:space="0" w:color="auto"/>
              <w:right w:val="single" w:sz="8" w:space="0" w:color="000000" w:themeColor="text1"/>
            </w:tcBorders>
            <w:shd w:val="clear" w:color="auto" w:fill="C6EFCE"/>
            <w:vAlign w:val="center"/>
            <w:hideMark/>
          </w:tcPr>
          <w:p w14:paraId="24C533BB" w14:textId="5BEF366C" w:rsidR="00025543" w:rsidRDefault="007E3A2F">
            <w:pPr>
              <w:pStyle w:val="P68B1DB1-Normal57"/>
              <w:spacing w:before="0" w:after="0" w:line="240" w:lineRule="auto"/>
              <w:jc w:val="center"/>
              <w:rPr>
                <w:noProof/>
              </w:rPr>
            </w:pPr>
            <w:r>
              <w:rPr>
                <w:noProof/>
              </w:rPr>
              <w:t>C 1.3: Réseaux numériques à haute capacité — Investissements 2: Couverture des corridors 5G et promotion du développement de la 5G </w:t>
            </w:r>
          </w:p>
        </w:tc>
        <w:tc>
          <w:tcPr>
            <w:tcW w:w="1843" w:type="dxa"/>
            <w:tcBorders>
              <w:top w:val="nil"/>
              <w:left w:val="nil"/>
              <w:bottom w:val="single" w:sz="4" w:space="0" w:color="auto"/>
              <w:right w:val="single" w:sz="8" w:space="0" w:color="000000" w:themeColor="text1"/>
            </w:tcBorders>
            <w:shd w:val="clear" w:color="auto" w:fill="C6EFCE"/>
            <w:vAlign w:val="center"/>
            <w:hideMark/>
          </w:tcPr>
          <w:p w14:paraId="3C5E4056" w14:textId="77777777" w:rsidR="00025543" w:rsidRDefault="007E3A2F">
            <w:pPr>
              <w:pStyle w:val="P68B1DB1-Normal57"/>
              <w:spacing w:before="0" w:after="0" w:line="240" w:lineRule="auto"/>
              <w:jc w:val="center"/>
              <w:rPr>
                <w:noProof/>
              </w:rPr>
            </w:pPr>
            <w:r>
              <w:rPr>
                <w:noProof/>
              </w:rPr>
              <w:t>Cible</w:t>
            </w:r>
          </w:p>
        </w:tc>
        <w:tc>
          <w:tcPr>
            <w:tcW w:w="3402" w:type="dxa"/>
            <w:tcBorders>
              <w:top w:val="nil"/>
              <w:left w:val="nil"/>
              <w:bottom w:val="single" w:sz="4" w:space="0" w:color="auto"/>
              <w:right w:val="single" w:sz="8" w:space="0" w:color="000000" w:themeColor="text1"/>
            </w:tcBorders>
            <w:shd w:val="clear" w:color="auto" w:fill="C6EFCE"/>
            <w:vAlign w:val="center"/>
            <w:hideMark/>
          </w:tcPr>
          <w:p w14:paraId="06D6EDF3" w14:textId="3A172CB1" w:rsidR="00025543" w:rsidRDefault="007E3A2F">
            <w:pPr>
              <w:pStyle w:val="P68B1DB1-Normal56"/>
              <w:spacing w:before="0" w:after="0" w:line="240" w:lineRule="auto"/>
              <w:jc w:val="center"/>
              <w:rPr>
                <w:noProof/>
              </w:rPr>
            </w:pPr>
            <w:r>
              <w:rPr>
                <w:noProof/>
              </w:rPr>
              <w:t>Achèvement de la couverture des signaux mobiles des wagons de chemin de fer</w:t>
            </w:r>
          </w:p>
        </w:tc>
      </w:tr>
      <w:tr w:rsidR="00025543" w14:paraId="2148804D" w14:textId="77777777">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5953573" w14:textId="77777777" w:rsidR="00025543" w:rsidRDefault="007E3A2F">
            <w:pPr>
              <w:pStyle w:val="P68B1DB1-Normal56"/>
              <w:spacing w:before="0" w:after="0" w:line="240" w:lineRule="auto"/>
              <w:jc w:val="center"/>
              <w:rPr>
                <w:noProof/>
              </w:rPr>
            </w:pPr>
            <w:r>
              <w:rPr>
                <w:noProof/>
              </w:rPr>
              <w:t>42</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8304C20" w14:textId="0307BFBB" w:rsidR="00025543" w:rsidRDefault="007E3A2F">
            <w:pPr>
              <w:pStyle w:val="P68B1DB1-Normal57"/>
              <w:spacing w:before="0" w:after="0" w:line="240" w:lineRule="auto"/>
              <w:jc w:val="center"/>
              <w:rPr>
                <w:noProof/>
              </w:rPr>
            </w:pPr>
            <w:r>
              <w:rPr>
                <w:noProof/>
              </w:rPr>
              <w:t>C 1.3: Réseaux numériques à haute capacité — Investissements 2: Couverture des corridors 5G et promotion du développement de la 5G </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FE54F2E" w14:textId="77777777" w:rsidR="00025543" w:rsidRDefault="007E3A2F">
            <w:pPr>
              <w:pStyle w:val="P68B1DB1-Normal57"/>
              <w:spacing w:before="0" w:after="0" w:line="240" w:lineRule="auto"/>
              <w:jc w:val="center"/>
              <w:rPr>
                <w:noProof/>
              </w:rPr>
            </w:pPr>
            <w:r>
              <w:rPr>
                <w:noProof/>
              </w:rPr>
              <w:t>Étapes</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B1B4C3C" w14:textId="77777777" w:rsidR="00025543" w:rsidRDefault="007E3A2F">
            <w:pPr>
              <w:pStyle w:val="P68B1DB1-Normal56"/>
              <w:spacing w:before="0" w:after="0" w:line="240" w:lineRule="auto"/>
              <w:jc w:val="center"/>
              <w:rPr>
                <w:noProof/>
              </w:rPr>
            </w:pPr>
            <w:r>
              <w:rPr>
                <w:noProof/>
              </w:rPr>
              <w:t>Installation et essai du déploiement d’un système de transport intelligent (STI-C). </w:t>
            </w:r>
          </w:p>
        </w:tc>
      </w:tr>
      <w:tr w:rsidR="00025543" w14:paraId="0633B5E1" w14:textId="77777777">
        <w:trPr>
          <w:trHeight w:val="600"/>
        </w:trPr>
        <w:tc>
          <w:tcPr>
            <w:tcW w:w="1276" w:type="dxa"/>
            <w:tcBorders>
              <w:top w:val="single" w:sz="4" w:space="0" w:color="auto"/>
              <w:left w:val="single" w:sz="8" w:space="0" w:color="auto"/>
              <w:bottom w:val="single" w:sz="8" w:space="0" w:color="auto"/>
              <w:right w:val="single" w:sz="8" w:space="0" w:color="auto"/>
            </w:tcBorders>
            <w:shd w:val="clear" w:color="auto" w:fill="C6EFCE"/>
            <w:vAlign w:val="center"/>
            <w:hideMark/>
          </w:tcPr>
          <w:p w14:paraId="756ED007" w14:textId="77777777" w:rsidR="00025543" w:rsidRDefault="007E3A2F">
            <w:pPr>
              <w:pStyle w:val="P68B1DB1-Normal56"/>
              <w:spacing w:before="0" w:after="0" w:line="240" w:lineRule="auto"/>
              <w:jc w:val="center"/>
              <w:rPr>
                <w:noProof/>
              </w:rPr>
            </w:pPr>
            <w:r>
              <w:rPr>
                <w:noProof/>
              </w:rPr>
              <w:t>46</w:t>
            </w:r>
          </w:p>
        </w:tc>
        <w:tc>
          <w:tcPr>
            <w:tcW w:w="3969"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372F9661" w14:textId="5B530B06" w:rsidR="00025543" w:rsidRDefault="007E3A2F">
            <w:pPr>
              <w:pStyle w:val="P68B1DB1-Normal57"/>
              <w:spacing w:before="0" w:after="0" w:line="240" w:lineRule="auto"/>
              <w:jc w:val="center"/>
              <w:rPr>
                <w:noProof/>
              </w:rPr>
            </w:pPr>
            <w:r>
              <w:rPr>
                <w:noProof/>
              </w:rPr>
              <w:t>C 1.3: Réseaux numériques à haute capacité — Investissements 4: Activités de recherche scientifique liées au développement de réseaux et de services 5G </w:t>
            </w:r>
          </w:p>
        </w:tc>
        <w:tc>
          <w:tcPr>
            <w:tcW w:w="1843"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37A8C834"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4" w:space="0" w:color="auto"/>
              <w:left w:val="nil"/>
              <w:bottom w:val="single" w:sz="8" w:space="0" w:color="auto"/>
              <w:right w:val="single" w:sz="8" w:space="0" w:color="auto"/>
            </w:tcBorders>
            <w:shd w:val="clear" w:color="auto" w:fill="C6EFCE"/>
            <w:vAlign w:val="center"/>
            <w:hideMark/>
          </w:tcPr>
          <w:p w14:paraId="611538DF" w14:textId="77777777" w:rsidR="00025543" w:rsidRDefault="007E3A2F">
            <w:pPr>
              <w:pStyle w:val="P68B1DB1-Normal56"/>
              <w:spacing w:before="0" w:after="0" w:line="240" w:lineRule="auto"/>
              <w:jc w:val="center"/>
              <w:rPr>
                <w:noProof/>
              </w:rPr>
            </w:pPr>
            <w:r>
              <w:rPr>
                <w:noProof/>
              </w:rPr>
              <w:t>Achèvement des projets de recherche scientifique liés aux réseaux 5G</w:t>
            </w:r>
          </w:p>
        </w:tc>
      </w:tr>
      <w:tr w:rsidR="00025543" w14:paraId="6DF14D51" w14:textId="77777777">
        <w:trPr>
          <w:trHeight w:val="600"/>
        </w:trPr>
        <w:tc>
          <w:tcPr>
            <w:tcW w:w="1276" w:type="dxa"/>
            <w:tcBorders>
              <w:top w:val="nil"/>
              <w:left w:val="single" w:sz="8" w:space="0" w:color="auto"/>
              <w:bottom w:val="nil"/>
              <w:right w:val="single" w:sz="8" w:space="0" w:color="auto"/>
            </w:tcBorders>
            <w:shd w:val="clear" w:color="auto" w:fill="C6EFCE"/>
            <w:vAlign w:val="center"/>
            <w:hideMark/>
          </w:tcPr>
          <w:p w14:paraId="08D53DAD" w14:textId="77777777" w:rsidR="00025543" w:rsidRDefault="007E3A2F">
            <w:pPr>
              <w:pStyle w:val="P68B1DB1-Normal56"/>
              <w:spacing w:before="0" w:after="0" w:line="240" w:lineRule="auto"/>
              <w:jc w:val="center"/>
              <w:rPr>
                <w:noProof/>
              </w:rPr>
            </w:pPr>
            <w:r>
              <w:rPr>
                <w:noProof/>
              </w:rPr>
              <w:t>52</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77ABCD84" w14:textId="77777777" w:rsidR="00025543" w:rsidRDefault="007E3A2F">
            <w:pPr>
              <w:pStyle w:val="P68B1DB1-Normal57"/>
              <w:spacing w:before="0" w:after="0" w:line="240" w:lineRule="auto"/>
              <w:jc w:val="center"/>
              <w:rPr>
                <w:noProof/>
              </w:rPr>
            </w:pPr>
            <w:r>
              <w:rPr>
                <w:noProof/>
              </w:rPr>
              <w:t>C 1.4: Économie et société numériques, jeunes pousses innovantes et nouvelles technologies — Investissements 2: Observatoire européen des médias numériques (EDMO)</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14F83F96" w14:textId="77777777" w:rsidR="00025543" w:rsidRDefault="007E3A2F">
            <w:pPr>
              <w:pStyle w:val="P68B1DB1-Normal57"/>
              <w:spacing w:before="0" w:after="0" w:line="240" w:lineRule="auto"/>
              <w:jc w:val="center"/>
              <w:rPr>
                <w:noProof/>
              </w:rPr>
            </w:pPr>
            <w:r>
              <w:rPr>
                <w:noProof/>
              </w:rPr>
              <w:t>Cible</w:t>
            </w:r>
          </w:p>
        </w:tc>
        <w:tc>
          <w:tcPr>
            <w:tcW w:w="3402" w:type="dxa"/>
            <w:tcBorders>
              <w:top w:val="nil"/>
              <w:left w:val="nil"/>
              <w:bottom w:val="nil"/>
              <w:right w:val="single" w:sz="8" w:space="0" w:color="auto"/>
            </w:tcBorders>
            <w:shd w:val="clear" w:color="auto" w:fill="C6EFCE"/>
            <w:vAlign w:val="center"/>
            <w:hideMark/>
          </w:tcPr>
          <w:p w14:paraId="12AC1012" w14:textId="5C47C664" w:rsidR="00025543" w:rsidRDefault="007E3A2F">
            <w:pPr>
              <w:pStyle w:val="P68B1DB1-Normal56"/>
              <w:spacing w:before="0" w:after="0" w:line="240" w:lineRule="auto"/>
              <w:jc w:val="center"/>
              <w:rPr>
                <w:noProof/>
              </w:rPr>
            </w:pPr>
            <w:r>
              <w:rPr>
                <w:noProof/>
              </w:rPr>
              <w:t xml:space="preserve">Publication des résultats de la recherche par le CEDMO </w:t>
            </w:r>
          </w:p>
        </w:tc>
      </w:tr>
      <w:tr w:rsidR="00025543" w14:paraId="7B957ECF" w14:textId="77777777">
        <w:trPr>
          <w:trHeight w:val="795"/>
        </w:trPr>
        <w:tc>
          <w:tcPr>
            <w:tcW w:w="1276" w:type="dxa"/>
            <w:tcBorders>
              <w:top w:val="single" w:sz="8" w:space="0" w:color="auto"/>
              <w:left w:val="single" w:sz="8" w:space="0" w:color="auto"/>
              <w:bottom w:val="single" w:sz="4" w:space="0" w:color="000000" w:themeColor="text1"/>
              <w:right w:val="single" w:sz="8" w:space="0" w:color="auto"/>
            </w:tcBorders>
            <w:shd w:val="clear" w:color="auto" w:fill="C6EFCE"/>
            <w:vAlign w:val="center"/>
            <w:hideMark/>
          </w:tcPr>
          <w:p w14:paraId="5D3000E7" w14:textId="77777777" w:rsidR="00025543" w:rsidRDefault="007E3A2F">
            <w:pPr>
              <w:pStyle w:val="P68B1DB1-Normal56"/>
              <w:spacing w:before="0" w:after="0" w:line="240" w:lineRule="auto"/>
              <w:jc w:val="center"/>
              <w:rPr>
                <w:noProof/>
              </w:rPr>
            </w:pPr>
            <w:r>
              <w:rPr>
                <w:noProof/>
              </w:rPr>
              <w:t>58</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159F8E17" w14:textId="77777777" w:rsidR="00025543" w:rsidRDefault="007E3A2F">
            <w:pPr>
              <w:pStyle w:val="P68B1DB1-Normal57"/>
              <w:spacing w:before="0" w:after="0" w:line="240" w:lineRule="auto"/>
              <w:jc w:val="center"/>
              <w:rPr>
                <w:noProof/>
              </w:rPr>
            </w:pPr>
            <w:r>
              <w:rPr>
                <w:noProof/>
              </w:rPr>
              <w:t>C 1.4: Économie et société numériques, jeunes pousses innovantes et nouvelles technologies — Investissements 6: Projets d’application de démonstration 5G pour les villes et les zones industrielles</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251AB89C"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8" w:space="0" w:color="auto"/>
              <w:left w:val="nil"/>
              <w:bottom w:val="single" w:sz="4" w:space="0" w:color="000000" w:themeColor="text1"/>
              <w:right w:val="single" w:sz="8" w:space="0" w:color="auto"/>
            </w:tcBorders>
            <w:shd w:val="clear" w:color="auto" w:fill="C6EFCE"/>
            <w:vAlign w:val="center"/>
            <w:hideMark/>
          </w:tcPr>
          <w:p w14:paraId="0D29119D" w14:textId="04052A94" w:rsidR="00025543" w:rsidRDefault="007E3A2F">
            <w:pPr>
              <w:pStyle w:val="P68B1DB1-Normal56"/>
              <w:spacing w:before="0" w:after="0" w:line="240" w:lineRule="auto"/>
              <w:jc w:val="center"/>
              <w:rPr>
                <w:noProof/>
              </w:rPr>
            </w:pPr>
            <w:r>
              <w:rPr>
                <w:noProof/>
              </w:rPr>
              <w:t>Achèvement des cas d’utilisation pour les villes intelligentes et pour l’industrie 4.0</w:t>
            </w:r>
          </w:p>
        </w:tc>
      </w:tr>
      <w:tr w:rsidR="00025543" w14:paraId="2A88AE0E" w14:textId="77777777">
        <w:trPr>
          <w:trHeight w:val="600"/>
        </w:trPr>
        <w:tc>
          <w:tcPr>
            <w:tcW w:w="1276" w:type="dxa"/>
            <w:tcBorders>
              <w:top w:val="single" w:sz="4" w:space="0" w:color="000000" w:themeColor="text1"/>
              <w:left w:val="single" w:sz="8" w:space="0" w:color="auto"/>
              <w:bottom w:val="single" w:sz="8" w:space="0" w:color="auto"/>
              <w:right w:val="single" w:sz="8" w:space="0" w:color="auto"/>
            </w:tcBorders>
            <w:shd w:val="clear" w:color="auto" w:fill="C6EFCE"/>
            <w:vAlign w:val="center"/>
            <w:hideMark/>
          </w:tcPr>
          <w:p w14:paraId="377B6896" w14:textId="77777777" w:rsidR="00025543" w:rsidRDefault="007E3A2F">
            <w:pPr>
              <w:pStyle w:val="P68B1DB1-Normal56"/>
              <w:spacing w:before="0" w:after="0" w:line="240" w:lineRule="auto"/>
              <w:jc w:val="center"/>
              <w:rPr>
                <w:noProof/>
              </w:rPr>
            </w:pPr>
            <w:r>
              <w:rPr>
                <w:noProof/>
              </w:rPr>
              <w:t>63</w:t>
            </w:r>
          </w:p>
        </w:tc>
        <w:tc>
          <w:tcPr>
            <w:tcW w:w="3969"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14680F4C" w14:textId="77777777" w:rsidR="00025543" w:rsidRDefault="007E3A2F">
            <w:pPr>
              <w:pStyle w:val="P68B1DB1-Normal57"/>
              <w:spacing w:before="0" w:after="0" w:line="240" w:lineRule="auto"/>
              <w:jc w:val="center"/>
              <w:rPr>
                <w:noProof/>
              </w:rPr>
            </w:pPr>
            <w:r>
              <w:rPr>
                <w:noProof/>
              </w:rPr>
              <w:t>C 1.4: Économie et société numériques, jeunes pousses innovantes et nouvelles technologies — Investissements 10: Internationalisation des jeunes pousses</w:t>
            </w:r>
          </w:p>
        </w:tc>
        <w:tc>
          <w:tcPr>
            <w:tcW w:w="1843"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771F910D"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4" w:space="0" w:color="000000" w:themeColor="text1"/>
              <w:left w:val="nil"/>
              <w:bottom w:val="single" w:sz="8" w:space="0" w:color="auto"/>
              <w:right w:val="single" w:sz="8" w:space="0" w:color="auto"/>
            </w:tcBorders>
            <w:shd w:val="clear" w:color="auto" w:fill="C6EFCE"/>
            <w:vAlign w:val="center"/>
            <w:hideMark/>
          </w:tcPr>
          <w:p w14:paraId="110C93A4" w14:textId="77777777" w:rsidR="00025543" w:rsidRDefault="007E3A2F">
            <w:pPr>
              <w:pStyle w:val="P68B1DB1-Normal56"/>
              <w:spacing w:before="0" w:after="0" w:line="240" w:lineRule="auto"/>
              <w:jc w:val="center"/>
              <w:rPr>
                <w:noProof/>
              </w:rPr>
            </w:pPr>
            <w:r>
              <w:rPr>
                <w:noProof/>
              </w:rPr>
              <w:t>Soutien à l’expansion internationale des jeunes pousses par des services de conseil, des services de conseil aux entreprises et des programmes d’accélérateurs</w:t>
            </w:r>
          </w:p>
        </w:tc>
      </w:tr>
      <w:tr w:rsidR="00025543" w14:paraId="793B5FF6" w14:textId="77777777">
        <w:trPr>
          <w:trHeight w:val="600"/>
        </w:trPr>
        <w:tc>
          <w:tcPr>
            <w:tcW w:w="1276" w:type="dxa"/>
            <w:tcBorders>
              <w:top w:val="nil"/>
              <w:left w:val="single" w:sz="8" w:space="0" w:color="auto"/>
              <w:bottom w:val="single" w:sz="8" w:space="0" w:color="auto"/>
              <w:right w:val="single" w:sz="8" w:space="0" w:color="auto"/>
            </w:tcBorders>
            <w:shd w:val="clear" w:color="auto" w:fill="C6EFCE"/>
            <w:vAlign w:val="center"/>
            <w:hideMark/>
          </w:tcPr>
          <w:p w14:paraId="588A20C2" w14:textId="77777777" w:rsidR="00025543" w:rsidRDefault="007E3A2F">
            <w:pPr>
              <w:pStyle w:val="P68B1DB1-Normal56"/>
              <w:spacing w:before="0" w:after="0" w:line="240" w:lineRule="auto"/>
              <w:jc w:val="center"/>
              <w:rPr>
                <w:noProof/>
              </w:rPr>
            </w:pPr>
            <w:r>
              <w:rPr>
                <w:noProof/>
              </w:rPr>
              <w:t>66</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46178BDE" w14:textId="77777777" w:rsidR="00025543" w:rsidRDefault="007E3A2F">
            <w:pPr>
              <w:pStyle w:val="P68B1DB1-Normal57"/>
              <w:spacing w:before="0" w:after="0" w:line="240" w:lineRule="auto"/>
              <w:jc w:val="center"/>
              <w:rPr>
                <w:noProof/>
              </w:rPr>
            </w:pPr>
            <w:r>
              <w:rPr>
                <w:noProof/>
              </w:rPr>
              <w:t>C 1.4: Économie et société numériques, jeunes pousses innovantes et nouvelles technologies — Investissements 12: Mise en place d’une infrastructure de communication quantique</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105D91E0" w14:textId="77777777" w:rsidR="00025543" w:rsidRDefault="007E3A2F">
            <w:pPr>
              <w:pStyle w:val="P68B1DB1-Normal57"/>
              <w:spacing w:before="0" w:after="0" w:line="240" w:lineRule="auto"/>
              <w:jc w:val="center"/>
              <w:rPr>
                <w:noProof/>
              </w:rPr>
            </w:pPr>
            <w:r>
              <w:rPr>
                <w:noProof/>
              </w:rPr>
              <w:t>Étapes</w:t>
            </w:r>
          </w:p>
        </w:tc>
        <w:tc>
          <w:tcPr>
            <w:tcW w:w="3402" w:type="dxa"/>
            <w:tcBorders>
              <w:top w:val="nil"/>
              <w:left w:val="nil"/>
              <w:bottom w:val="single" w:sz="8" w:space="0" w:color="auto"/>
              <w:right w:val="single" w:sz="8" w:space="0" w:color="auto"/>
            </w:tcBorders>
            <w:shd w:val="clear" w:color="auto" w:fill="C6EFCE"/>
            <w:vAlign w:val="center"/>
            <w:hideMark/>
          </w:tcPr>
          <w:p w14:paraId="70B20A20" w14:textId="77777777" w:rsidR="00025543" w:rsidRDefault="007E3A2F">
            <w:pPr>
              <w:pStyle w:val="P68B1DB1-Normal56"/>
              <w:spacing w:before="0" w:after="0" w:line="240" w:lineRule="auto"/>
              <w:jc w:val="center"/>
              <w:rPr>
                <w:noProof/>
              </w:rPr>
            </w:pPr>
            <w:r>
              <w:rPr>
                <w:noProof/>
              </w:rPr>
              <w:t>Achèvement de la phase de construction et d’exploitation pilote d’un réseau quantique optique</w:t>
            </w:r>
          </w:p>
        </w:tc>
      </w:tr>
      <w:tr w:rsidR="00025543" w14:paraId="650E6169" w14:textId="77777777">
        <w:trPr>
          <w:trHeight w:val="795"/>
        </w:trPr>
        <w:tc>
          <w:tcPr>
            <w:tcW w:w="1276" w:type="dxa"/>
            <w:tcBorders>
              <w:top w:val="nil"/>
              <w:left w:val="single" w:sz="8" w:space="0" w:color="auto"/>
              <w:bottom w:val="single" w:sz="4" w:space="0" w:color="auto"/>
              <w:right w:val="single" w:sz="8" w:space="0" w:color="auto"/>
            </w:tcBorders>
            <w:shd w:val="clear" w:color="auto" w:fill="C6EFCE"/>
            <w:vAlign w:val="center"/>
            <w:hideMark/>
          </w:tcPr>
          <w:p w14:paraId="75DD67C2" w14:textId="77777777" w:rsidR="00025543" w:rsidRDefault="007E3A2F">
            <w:pPr>
              <w:pStyle w:val="P68B1DB1-Normal57"/>
              <w:spacing w:before="0" w:after="0" w:line="240" w:lineRule="auto"/>
              <w:jc w:val="center"/>
              <w:rPr>
                <w:noProof/>
              </w:rPr>
            </w:pPr>
            <w:r>
              <w:rPr>
                <w:noProof/>
              </w:rPr>
              <w:t>71</w:t>
            </w:r>
          </w:p>
        </w:tc>
        <w:tc>
          <w:tcPr>
            <w:tcW w:w="3969" w:type="dxa"/>
            <w:tcBorders>
              <w:top w:val="nil"/>
              <w:left w:val="nil"/>
              <w:bottom w:val="single" w:sz="4" w:space="0" w:color="auto"/>
              <w:right w:val="single" w:sz="8" w:space="0" w:color="000000" w:themeColor="text1"/>
            </w:tcBorders>
            <w:shd w:val="clear" w:color="auto" w:fill="C6EFCE"/>
            <w:vAlign w:val="center"/>
            <w:hideMark/>
          </w:tcPr>
          <w:p w14:paraId="49E2865F" w14:textId="77777777" w:rsidR="00025543" w:rsidRDefault="007E3A2F">
            <w:pPr>
              <w:pStyle w:val="P68B1DB1-Normal57"/>
              <w:spacing w:before="0" w:after="0" w:line="240" w:lineRule="auto"/>
              <w:jc w:val="center"/>
              <w:rPr>
                <w:noProof/>
              </w:rPr>
            </w:pPr>
            <w:r>
              <w:rPr>
                <w:noProof/>
              </w:rPr>
              <w:t>C 1.5: Transformation numérique des entreprises — Investissements 3: Transformation numérique des entreprises manufacturières et non productrices et renforcement de leur résilience</w:t>
            </w:r>
          </w:p>
        </w:tc>
        <w:tc>
          <w:tcPr>
            <w:tcW w:w="1843" w:type="dxa"/>
            <w:tcBorders>
              <w:top w:val="nil"/>
              <w:left w:val="nil"/>
              <w:bottom w:val="single" w:sz="4" w:space="0" w:color="auto"/>
              <w:right w:val="single" w:sz="8" w:space="0" w:color="000000" w:themeColor="text1"/>
            </w:tcBorders>
            <w:shd w:val="clear" w:color="auto" w:fill="C6EFCE"/>
            <w:vAlign w:val="center"/>
            <w:hideMark/>
          </w:tcPr>
          <w:p w14:paraId="1249BEF6" w14:textId="77777777" w:rsidR="00025543" w:rsidRDefault="007E3A2F">
            <w:pPr>
              <w:pStyle w:val="P68B1DB1-Normal57"/>
              <w:spacing w:before="0" w:after="0" w:line="240" w:lineRule="auto"/>
              <w:jc w:val="center"/>
              <w:rPr>
                <w:noProof/>
              </w:rPr>
            </w:pPr>
            <w:r>
              <w:rPr>
                <w:noProof/>
              </w:rPr>
              <w:t>Cible</w:t>
            </w:r>
          </w:p>
        </w:tc>
        <w:tc>
          <w:tcPr>
            <w:tcW w:w="3402" w:type="dxa"/>
            <w:tcBorders>
              <w:top w:val="nil"/>
              <w:left w:val="nil"/>
              <w:bottom w:val="single" w:sz="4" w:space="0" w:color="auto"/>
              <w:right w:val="single" w:sz="8" w:space="0" w:color="auto"/>
            </w:tcBorders>
            <w:shd w:val="clear" w:color="auto" w:fill="C6EFCE"/>
            <w:vAlign w:val="center"/>
            <w:hideMark/>
          </w:tcPr>
          <w:p w14:paraId="322F8BAE" w14:textId="77777777" w:rsidR="00025543" w:rsidRDefault="007E3A2F">
            <w:pPr>
              <w:pStyle w:val="P68B1DB1-Normal57"/>
              <w:spacing w:before="0" w:after="0" w:line="240" w:lineRule="auto"/>
              <w:jc w:val="center"/>
              <w:rPr>
                <w:noProof/>
              </w:rPr>
            </w:pPr>
            <w:r>
              <w:rPr>
                <w:noProof/>
              </w:rPr>
              <w:t xml:space="preserve">Soutien direct aux entreprises en faveur de la transformation numérique </w:t>
            </w:r>
          </w:p>
        </w:tc>
      </w:tr>
      <w:tr w:rsidR="00025543" w14:paraId="0672D638" w14:textId="77777777">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3BBD2C2" w14:textId="77777777" w:rsidR="00025543" w:rsidRDefault="007E3A2F">
            <w:pPr>
              <w:pStyle w:val="P68B1DB1-Normal57"/>
              <w:spacing w:before="0" w:after="0" w:line="240" w:lineRule="auto"/>
              <w:jc w:val="center"/>
              <w:rPr>
                <w:noProof/>
              </w:rPr>
            </w:pPr>
            <w:r>
              <w:rPr>
                <w:noProof/>
              </w:rPr>
              <w:t>74</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7913F9C" w14:textId="77777777" w:rsidR="00025543" w:rsidRDefault="007E3A2F">
            <w:pPr>
              <w:pStyle w:val="P68B1DB1-Normal57"/>
              <w:spacing w:before="0" w:after="0" w:line="240" w:lineRule="auto"/>
              <w:jc w:val="center"/>
              <w:rPr>
                <w:noProof/>
              </w:rPr>
            </w:pPr>
            <w:r>
              <w:rPr>
                <w:noProof/>
              </w:rPr>
              <w:t>C 1.6: Accélération et numérisation du processus de construction — Réforme 1: Mise en œuvre de la nouvelle loi sur la construction et de la loi sur le zonage</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A420322"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17F29CA" w14:textId="77777777" w:rsidR="00025543" w:rsidRDefault="007E3A2F">
            <w:pPr>
              <w:pStyle w:val="P68B1DB1-Normal57"/>
              <w:spacing w:before="0" w:after="0" w:line="240" w:lineRule="auto"/>
              <w:jc w:val="center"/>
              <w:rPr>
                <w:noProof/>
              </w:rPr>
            </w:pPr>
            <w:r>
              <w:rPr>
                <w:noProof/>
              </w:rPr>
              <w:t>Raccourcissement de la procédure de permis de construire d’au moins deux ans</w:t>
            </w:r>
          </w:p>
        </w:tc>
      </w:tr>
      <w:tr w:rsidR="00025543" w14:paraId="6233FE50" w14:textId="77777777">
        <w:trPr>
          <w:trHeight w:val="795"/>
        </w:trPr>
        <w:tc>
          <w:tcPr>
            <w:tcW w:w="1276" w:type="dxa"/>
            <w:tcBorders>
              <w:top w:val="single" w:sz="4" w:space="0" w:color="auto"/>
              <w:left w:val="single" w:sz="8" w:space="0" w:color="auto"/>
              <w:bottom w:val="nil"/>
              <w:right w:val="single" w:sz="8" w:space="0" w:color="auto"/>
            </w:tcBorders>
            <w:shd w:val="clear" w:color="auto" w:fill="C6EFCE"/>
            <w:vAlign w:val="center"/>
            <w:hideMark/>
          </w:tcPr>
          <w:p w14:paraId="7E90DFC8" w14:textId="77777777" w:rsidR="00025543" w:rsidRDefault="007E3A2F">
            <w:pPr>
              <w:pStyle w:val="P68B1DB1-Normal57"/>
              <w:spacing w:before="0" w:after="0" w:line="240" w:lineRule="auto"/>
              <w:jc w:val="center"/>
              <w:rPr>
                <w:noProof/>
              </w:rPr>
            </w:pPr>
            <w:r>
              <w:rPr>
                <w:noProof/>
              </w:rPr>
              <w:t>81</w:t>
            </w:r>
          </w:p>
        </w:tc>
        <w:tc>
          <w:tcPr>
            <w:tcW w:w="3969"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16E60543" w14:textId="77777777" w:rsidR="00025543" w:rsidRDefault="007E3A2F">
            <w:pPr>
              <w:pStyle w:val="P68B1DB1-Normal57"/>
              <w:spacing w:before="0" w:after="0" w:line="240" w:lineRule="auto"/>
              <w:jc w:val="center"/>
              <w:rPr>
                <w:noProof/>
              </w:rPr>
            </w:pPr>
            <w:r>
              <w:rPr>
                <w:noProof/>
              </w:rPr>
              <w:t>C 2.1: Transports durables — Réforme 1: Créer des alternatives à l’énergie et au transport routier à forte intensité spatiale</w:t>
            </w:r>
          </w:p>
        </w:tc>
        <w:tc>
          <w:tcPr>
            <w:tcW w:w="1843"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11648A79"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4" w:space="0" w:color="auto"/>
              <w:left w:val="nil"/>
              <w:bottom w:val="nil"/>
              <w:right w:val="single" w:sz="8" w:space="0" w:color="auto"/>
            </w:tcBorders>
            <w:shd w:val="clear" w:color="auto" w:fill="C6EFCE"/>
            <w:vAlign w:val="center"/>
            <w:hideMark/>
          </w:tcPr>
          <w:p w14:paraId="59210119" w14:textId="77777777" w:rsidR="00025543" w:rsidRDefault="007E3A2F">
            <w:pPr>
              <w:pStyle w:val="P68B1DB1-Normal57"/>
              <w:spacing w:before="0" w:after="0" w:line="240" w:lineRule="auto"/>
              <w:jc w:val="center"/>
              <w:rPr>
                <w:noProof/>
              </w:rPr>
            </w:pPr>
            <w:r>
              <w:rPr>
                <w:noProof/>
              </w:rPr>
              <w:t>Atteindre une part modale accrue des transports publics dans les villes tchèques de plus de 250 000 habitants et dans les villes tchèques de plus de 75 000 habitants</w:t>
            </w:r>
          </w:p>
        </w:tc>
      </w:tr>
      <w:tr w:rsidR="00025543" w14:paraId="1D7B9FE7" w14:textId="77777777">
        <w:trPr>
          <w:trHeight w:val="600"/>
        </w:trPr>
        <w:tc>
          <w:tcPr>
            <w:tcW w:w="1276" w:type="dxa"/>
            <w:tcBorders>
              <w:top w:val="single" w:sz="8" w:space="0" w:color="auto"/>
              <w:left w:val="single" w:sz="8" w:space="0" w:color="auto"/>
              <w:bottom w:val="single" w:sz="4" w:space="0" w:color="auto"/>
              <w:right w:val="single" w:sz="8" w:space="0" w:color="auto"/>
            </w:tcBorders>
            <w:shd w:val="clear" w:color="auto" w:fill="C6EFCE"/>
            <w:vAlign w:val="center"/>
            <w:hideMark/>
          </w:tcPr>
          <w:p w14:paraId="7FB021EB" w14:textId="77777777" w:rsidR="00025543" w:rsidRDefault="007E3A2F">
            <w:pPr>
              <w:pStyle w:val="P68B1DB1-Normal57"/>
              <w:spacing w:before="0" w:after="0" w:line="240" w:lineRule="auto"/>
              <w:jc w:val="center"/>
              <w:rPr>
                <w:noProof/>
              </w:rPr>
            </w:pPr>
            <w:r>
              <w:rPr>
                <w:noProof/>
              </w:rPr>
              <w:t>82</w:t>
            </w:r>
          </w:p>
        </w:tc>
        <w:tc>
          <w:tcPr>
            <w:tcW w:w="3969" w:type="dxa"/>
            <w:tcBorders>
              <w:top w:val="nil"/>
              <w:left w:val="nil"/>
              <w:bottom w:val="single" w:sz="4" w:space="0" w:color="auto"/>
              <w:right w:val="single" w:sz="8" w:space="0" w:color="000000" w:themeColor="text1"/>
            </w:tcBorders>
            <w:shd w:val="clear" w:color="auto" w:fill="C6EFCE"/>
            <w:vAlign w:val="center"/>
            <w:hideMark/>
          </w:tcPr>
          <w:p w14:paraId="231232ED" w14:textId="77777777" w:rsidR="00025543" w:rsidRDefault="007E3A2F">
            <w:pPr>
              <w:pStyle w:val="P68B1DB1-Normal57"/>
              <w:spacing w:before="0" w:after="0" w:line="240" w:lineRule="auto"/>
              <w:jc w:val="center"/>
              <w:rPr>
                <w:noProof/>
              </w:rPr>
            </w:pPr>
            <w:r>
              <w:rPr>
                <w:noProof/>
              </w:rPr>
              <w:t>C 2.1: Transports durables — Réforme 1: Créer des alternatives à l’énergie et au transport routier à forte intensité spatiale</w:t>
            </w:r>
          </w:p>
        </w:tc>
        <w:tc>
          <w:tcPr>
            <w:tcW w:w="1843" w:type="dxa"/>
            <w:tcBorders>
              <w:top w:val="nil"/>
              <w:left w:val="nil"/>
              <w:bottom w:val="single" w:sz="4" w:space="0" w:color="auto"/>
              <w:right w:val="single" w:sz="8" w:space="0" w:color="000000" w:themeColor="text1"/>
            </w:tcBorders>
            <w:shd w:val="clear" w:color="auto" w:fill="C6EFCE"/>
            <w:vAlign w:val="center"/>
            <w:hideMark/>
          </w:tcPr>
          <w:p w14:paraId="0C387FFF"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8" w:space="0" w:color="auto"/>
              <w:left w:val="nil"/>
              <w:bottom w:val="single" w:sz="4" w:space="0" w:color="auto"/>
              <w:right w:val="single" w:sz="8" w:space="0" w:color="auto"/>
            </w:tcBorders>
            <w:shd w:val="clear" w:color="auto" w:fill="C6EFCE"/>
            <w:vAlign w:val="center"/>
            <w:hideMark/>
          </w:tcPr>
          <w:p w14:paraId="6E932191" w14:textId="77777777" w:rsidR="00025543" w:rsidRDefault="007E3A2F">
            <w:pPr>
              <w:pStyle w:val="P68B1DB1-Normal57"/>
              <w:spacing w:before="0" w:after="0" w:line="240" w:lineRule="auto"/>
              <w:jc w:val="center"/>
              <w:rPr>
                <w:noProof/>
              </w:rPr>
            </w:pPr>
            <w:r>
              <w:rPr>
                <w:noProof/>
              </w:rPr>
              <w:t>Atteindre une part modale accrue du vélo dans les villes tchèques de plus de 250 000 habitants et dans les villes tchèques de plus de 75 000 habitants</w:t>
            </w:r>
          </w:p>
        </w:tc>
      </w:tr>
      <w:tr w:rsidR="00025543" w14:paraId="26A9A19E" w14:textId="77777777">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AB22DDF" w14:textId="77777777" w:rsidR="00025543" w:rsidRDefault="007E3A2F">
            <w:pPr>
              <w:pStyle w:val="P68B1DB1-Normal56"/>
              <w:spacing w:before="0" w:after="0" w:line="240" w:lineRule="auto"/>
              <w:jc w:val="center"/>
              <w:rPr>
                <w:noProof/>
              </w:rPr>
            </w:pPr>
            <w:r>
              <w:rPr>
                <w:noProof/>
              </w:rPr>
              <w:t>115</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0968C65" w14:textId="77777777" w:rsidR="00025543" w:rsidRDefault="007E3A2F">
            <w:pPr>
              <w:pStyle w:val="P68B1DB1-Normal57"/>
              <w:spacing w:before="0" w:after="0" w:line="240" w:lineRule="auto"/>
              <w:jc w:val="center"/>
              <w:rPr>
                <w:noProof/>
              </w:rPr>
            </w:pPr>
            <w:r>
              <w:rPr>
                <w:noProof/>
              </w:rPr>
              <w:t>C 2.4: Mobilité propre — Investissement 1: Construction d’infrastructures pour les transports publics dans la ville de Prague</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A94C3FF"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8300E84" w14:textId="77777777" w:rsidR="00025543" w:rsidRDefault="007E3A2F">
            <w:pPr>
              <w:pStyle w:val="P68B1DB1-Normal56"/>
              <w:spacing w:before="0" w:after="0" w:line="240" w:lineRule="auto"/>
              <w:jc w:val="center"/>
              <w:rPr>
                <w:noProof/>
              </w:rPr>
            </w:pPr>
            <w:r>
              <w:rPr>
                <w:noProof/>
              </w:rPr>
              <w:t>Nombre de points de recharge pour la ville de Prague</w:t>
            </w:r>
          </w:p>
        </w:tc>
      </w:tr>
      <w:tr w:rsidR="00025543" w14:paraId="3BDE7448" w14:textId="77777777">
        <w:trPr>
          <w:trHeight w:val="600"/>
        </w:trPr>
        <w:tc>
          <w:tcPr>
            <w:tcW w:w="1276" w:type="dxa"/>
            <w:tcBorders>
              <w:top w:val="nil"/>
              <w:left w:val="single" w:sz="8" w:space="0" w:color="auto"/>
              <w:bottom w:val="single" w:sz="8" w:space="0" w:color="auto"/>
              <w:right w:val="single" w:sz="8" w:space="0" w:color="auto"/>
            </w:tcBorders>
            <w:shd w:val="clear" w:color="auto" w:fill="C6EFCE"/>
            <w:vAlign w:val="center"/>
            <w:hideMark/>
          </w:tcPr>
          <w:p w14:paraId="4833BD5A" w14:textId="77777777" w:rsidR="00025543" w:rsidRDefault="007E3A2F">
            <w:pPr>
              <w:pStyle w:val="P68B1DB1-Normal56"/>
              <w:spacing w:before="0" w:after="0" w:line="240" w:lineRule="auto"/>
              <w:jc w:val="center"/>
              <w:rPr>
                <w:noProof/>
              </w:rPr>
            </w:pPr>
            <w:r>
              <w:rPr>
                <w:noProof/>
              </w:rPr>
              <w:t>117</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03F3F4D3" w14:textId="77777777" w:rsidR="00025543" w:rsidRDefault="007E3A2F">
            <w:pPr>
              <w:pStyle w:val="P68B1DB1-Normal57"/>
              <w:spacing w:before="0" w:after="0" w:line="240" w:lineRule="auto"/>
              <w:jc w:val="center"/>
              <w:rPr>
                <w:noProof/>
              </w:rPr>
            </w:pPr>
            <w:r>
              <w:rPr>
                <w:noProof/>
              </w:rPr>
              <w:t>C 2.4: Mobilité propre — Investissement 2: Infrastructure immobilière — points de recharge pour les entreprises privées</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4103EEEF" w14:textId="77777777" w:rsidR="00025543" w:rsidRDefault="007E3A2F">
            <w:pPr>
              <w:pStyle w:val="P68B1DB1-Normal57"/>
              <w:spacing w:before="0" w:after="0" w:line="240" w:lineRule="auto"/>
              <w:jc w:val="center"/>
              <w:rPr>
                <w:noProof/>
              </w:rPr>
            </w:pPr>
            <w:r>
              <w:rPr>
                <w:noProof/>
              </w:rPr>
              <w:t>Cible</w:t>
            </w:r>
          </w:p>
        </w:tc>
        <w:tc>
          <w:tcPr>
            <w:tcW w:w="3402" w:type="dxa"/>
            <w:tcBorders>
              <w:top w:val="nil"/>
              <w:left w:val="nil"/>
              <w:bottom w:val="single" w:sz="8" w:space="0" w:color="auto"/>
              <w:right w:val="single" w:sz="8" w:space="0" w:color="auto"/>
            </w:tcBorders>
            <w:shd w:val="clear" w:color="auto" w:fill="C6EFCE"/>
            <w:vAlign w:val="center"/>
            <w:hideMark/>
          </w:tcPr>
          <w:p w14:paraId="4EF22E13" w14:textId="77777777" w:rsidR="00025543" w:rsidRDefault="007E3A2F">
            <w:pPr>
              <w:pStyle w:val="P68B1DB1-Normal56"/>
              <w:spacing w:before="0" w:after="0" w:line="240" w:lineRule="auto"/>
              <w:jc w:val="center"/>
              <w:rPr>
                <w:noProof/>
              </w:rPr>
            </w:pPr>
            <w:r>
              <w:rPr>
                <w:noProof/>
              </w:rPr>
              <w:t>Nombre de points de recharge déployés pour des entreprises privées</w:t>
            </w:r>
          </w:p>
        </w:tc>
      </w:tr>
      <w:tr w:rsidR="00025543" w14:paraId="1BD6B493" w14:textId="77777777">
        <w:trPr>
          <w:trHeight w:val="600"/>
        </w:trPr>
        <w:tc>
          <w:tcPr>
            <w:tcW w:w="1276" w:type="dxa"/>
            <w:tcBorders>
              <w:top w:val="nil"/>
              <w:left w:val="single" w:sz="8" w:space="0" w:color="auto"/>
              <w:bottom w:val="single" w:sz="8" w:space="0" w:color="000000" w:themeColor="text1"/>
              <w:right w:val="single" w:sz="8" w:space="0" w:color="auto"/>
            </w:tcBorders>
            <w:shd w:val="clear" w:color="auto" w:fill="C6EFCE"/>
            <w:vAlign w:val="center"/>
            <w:hideMark/>
          </w:tcPr>
          <w:p w14:paraId="601FBEC7" w14:textId="77777777" w:rsidR="00025543" w:rsidRDefault="007E3A2F">
            <w:pPr>
              <w:pStyle w:val="P68B1DB1-Normal56"/>
              <w:spacing w:before="0" w:after="0" w:line="240" w:lineRule="auto"/>
              <w:jc w:val="center"/>
              <w:rPr>
                <w:noProof/>
              </w:rPr>
            </w:pPr>
            <w:r>
              <w:rPr>
                <w:noProof/>
              </w:rPr>
              <w:t>118</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3CE6C337" w14:textId="77777777" w:rsidR="00025543" w:rsidRDefault="007E3A2F">
            <w:pPr>
              <w:pStyle w:val="P68B1DB1-Normal57"/>
              <w:spacing w:before="0" w:after="0" w:line="240" w:lineRule="auto"/>
              <w:jc w:val="center"/>
              <w:rPr>
                <w:noProof/>
              </w:rPr>
            </w:pPr>
            <w:r>
              <w:rPr>
                <w:noProof/>
              </w:rPr>
              <w:t>C 2.4: Mobilité propre — Investissement 3: Infrastructures immobilières — points de recharge pour bâtiments résidentiels</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7BDBF689" w14:textId="77777777" w:rsidR="00025543" w:rsidRDefault="007E3A2F">
            <w:pPr>
              <w:pStyle w:val="P68B1DB1-Normal57"/>
              <w:spacing w:before="0" w:after="0" w:line="240" w:lineRule="auto"/>
              <w:jc w:val="center"/>
              <w:rPr>
                <w:noProof/>
              </w:rPr>
            </w:pPr>
            <w:r>
              <w:rPr>
                <w:noProof/>
              </w:rPr>
              <w:t>Cible</w:t>
            </w:r>
          </w:p>
        </w:tc>
        <w:tc>
          <w:tcPr>
            <w:tcW w:w="3402" w:type="dxa"/>
            <w:tcBorders>
              <w:top w:val="nil"/>
              <w:left w:val="nil"/>
              <w:bottom w:val="single" w:sz="8" w:space="0" w:color="000000" w:themeColor="text1"/>
              <w:right w:val="single" w:sz="8" w:space="0" w:color="auto"/>
            </w:tcBorders>
            <w:shd w:val="clear" w:color="auto" w:fill="C6EFCE"/>
            <w:vAlign w:val="center"/>
            <w:hideMark/>
          </w:tcPr>
          <w:p w14:paraId="408DD2A4" w14:textId="77777777" w:rsidR="00025543" w:rsidRDefault="007E3A2F">
            <w:pPr>
              <w:pStyle w:val="P68B1DB1-Normal56"/>
              <w:spacing w:before="0" w:after="0" w:line="240" w:lineRule="auto"/>
              <w:jc w:val="center"/>
              <w:rPr>
                <w:noProof/>
              </w:rPr>
            </w:pPr>
            <w:r>
              <w:rPr>
                <w:noProof/>
              </w:rPr>
              <w:t xml:space="preserve">Nombre de points de recharge déployés pour les bâtiments résidentiels </w:t>
            </w:r>
          </w:p>
        </w:tc>
      </w:tr>
      <w:tr w:rsidR="00025543" w14:paraId="6862689E" w14:textId="77777777">
        <w:trPr>
          <w:trHeight w:val="600"/>
        </w:trPr>
        <w:tc>
          <w:tcPr>
            <w:tcW w:w="1276" w:type="dxa"/>
            <w:tcBorders>
              <w:top w:val="single" w:sz="4" w:space="0" w:color="000000" w:themeColor="text1"/>
              <w:left w:val="single" w:sz="8" w:space="0" w:color="auto"/>
              <w:bottom w:val="single" w:sz="8" w:space="0" w:color="auto"/>
              <w:right w:val="single" w:sz="8" w:space="0" w:color="auto"/>
            </w:tcBorders>
            <w:shd w:val="clear" w:color="auto" w:fill="C6EFCE"/>
            <w:vAlign w:val="center"/>
            <w:hideMark/>
          </w:tcPr>
          <w:p w14:paraId="16DA1A76" w14:textId="77777777" w:rsidR="00025543" w:rsidRDefault="007E3A2F">
            <w:pPr>
              <w:pStyle w:val="P68B1DB1-Normal56"/>
              <w:spacing w:before="0" w:after="0" w:line="240" w:lineRule="auto"/>
              <w:jc w:val="center"/>
              <w:rPr>
                <w:noProof/>
              </w:rPr>
            </w:pPr>
            <w:r>
              <w:rPr>
                <w:noProof/>
              </w:rPr>
              <w:t>119</w:t>
            </w:r>
          </w:p>
        </w:tc>
        <w:tc>
          <w:tcPr>
            <w:tcW w:w="3969"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4835D70A" w14:textId="77777777" w:rsidR="00025543" w:rsidRDefault="007E3A2F">
            <w:pPr>
              <w:pStyle w:val="P68B1DB1-Normal57"/>
              <w:spacing w:before="0" w:after="0" w:line="240" w:lineRule="auto"/>
              <w:jc w:val="center"/>
              <w:rPr>
                <w:noProof/>
              </w:rPr>
            </w:pPr>
            <w:r>
              <w:rPr>
                <w:noProof/>
              </w:rPr>
              <w:t>C 2.4: Mobilité propre — Investissement 4: Aides à l’achat de véhicules — véhicules (électriques, H2, vélos) pour les entreprises privées</w:t>
            </w:r>
          </w:p>
        </w:tc>
        <w:tc>
          <w:tcPr>
            <w:tcW w:w="1843"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548780FC"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4" w:space="0" w:color="000000" w:themeColor="text1"/>
              <w:left w:val="nil"/>
              <w:bottom w:val="single" w:sz="8" w:space="0" w:color="auto"/>
              <w:right w:val="single" w:sz="8" w:space="0" w:color="auto"/>
            </w:tcBorders>
            <w:shd w:val="clear" w:color="auto" w:fill="C6EFCE"/>
            <w:vAlign w:val="center"/>
            <w:hideMark/>
          </w:tcPr>
          <w:p w14:paraId="6D6C2207" w14:textId="77777777" w:rsidR="00025543" w:rsidRDefault="007E3A2F">
            <w:pPr>
              <w:pStyle w:val="P68B1DB1-Normal56"/>
              <w:spacing w:before="0" w:after="0" w:line="240" w:lineRule="auto"/>
              <w:jc w:val="center"/>
              <w:rPr>
                <w:noProof/>
              </w:rPr>
            </w:pPr>
            <w:r>
              <w:rPr>
                <w:noProof/>
              </w:rPr>
              <w:t xml:space="preserve"> Nombre de véhicules (électriques, H2, vélos) pour les entreprises privées</w:t>
            </w:r>
          </w:p>
        </w:tc>
      </w:tr>
      <w:tr w:rsidR="00025543" w14:paraId="2AB7E07E" w14:textId="77777777">
        <w:trPr>
          <w:trHeight w:val="795"/>
        </w:trPr>
        <w:tc>
          <w:tcPr>
            <w:tcW w:w="1276" w:type="dxa"/>
            <w:tcBorders>
              <w:top w:val="nil"/>
              <w:left w:val="single" w:sz="8" w:space="0" w:color="auto"/>
              <w:bottom w:val="single" w:sz="8" w:space="0" w:color="auto"/>
              <w:right w:val="single" w:sz="8" w:space="0" w:color="auto"/>
            </w:tcBorders>
            <w:shd w:val="clear" w:color="auto" w:fill="C6EFCE"/>
            <w:vAlign w:val="center"/>
            <w:hideMark/>
          </w:tcPr>
          <w:p w14:paraId="22545BD4" w14:textId="77777777" w:rsidR="00025543" w:rsidRDefault="007E3A2F">
            <w:pPr>
              <w:pStyle w:val="P68B1DB1-Normal56"/>
              <w:spacing w:before="0" w:after="0" w:line="240" w:lineRule="auto"/>
              <w:jc w:val="center"/>
              <w:rPr>
                <w:noProof/>
              </w:rPr>
            </w:pPr>
            <w:r>
              <w:rPr>
                <w:noProof/>
              </w:rPr>
              <w:t>120</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1953931C" w14:textId="77777777" w:rsidR="00025543" w:rsidRDefault="007E3A2F">
            <w:pPr>
              <w:pStyle w:val="P68B1DB1-Normal57"/>
              <w:spacing w:before="0" w:after="0" w:line="240" w:lineRule="auto"/>
              <w:jc w:val="center"/>
              <w:rPr>
                <w:noProof/>
              </w:rPr>
            </w:pPr>
            <w:r>
              <w:rPr>
                <w:noProof/>
              </w:rPr>
              <w:t>C 2.4: Mobilité propre — Investissement 5: Aides à l’achat de véhicules (électriques, H2) et d’infrastructures pour les municipalités, les régions, l’administration publique et d’autres entités publiques</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363F4A67" w14:textId="77777777" w:rsidR="00025543" w:rsidRDefault="007E3A2F">
            <w:pPr>
              <w:pStyle w:val="P68B1DB1-Normal57"/>
              <w:spacing w:before="0" w:after="0" w:line="240" w:lineRule="auto"/>
              <w:jc w:val="center"/>
              <w:rPr>
                <w:noProof/>
              </w:rPr>
            </w:pPr>
            <w:r>
              <w:rPr>
                <w:noProof/>
              </w:rPr>
              <w:t>Cible</w:t>
            </w:r>
          </w:p>
        </w:tc>
        <w:tc>
          <w:tcPr>
            <w:tcW w:w="3402" w:type="dxa"/>
            <w:tcBorders>
              <w:top w:val="nil"/>
              <w:left w:val="nil"/>
              <w:bottom w:val="single" w:sz="8" w:space="0" w:color="auto"/>
              <w:right w:val="single" w:sz="8" w:space="0" w:color="auto"/>
            </w:tcBorders>
            <w:shd w:val="clear" w:color="auto" w:fill="C6EFCE"/>
            <w:vAlign w:val="center"/>
            <w:hideMark/>
          </w:tcPr>
          <w:p w14:paraId="351611DB" w14:textId="77777777" w:rsidR="00025543" w:rsidRDefault="007E3A2F">
            <w:pPr>
              <w:pStyle w:val="P68B1DB1-Normal56"/>
              <w:spacing w:before="0" w:after="0" w:line="240" w:lineRule="auto"/>
              <w:jc w:val="center"/>
              <w:rPr>
                <w:noProof/>
              </w:rPr>
            </w:pPr>
            <w:r>
              <w:rPr>
                <w:noProof/>
              </w:rPr>
              <w:t xml:space="preserve">Nombre de véhicules (électriques, H2) pour les municipalités, les régions, l’administration publique </w:t>
            </w:r>
          </w:p>
        </w:tc>
      </w:tr>
      <w:tr w:rsidR="00025543" w14:paraId="6138D738" w14:textId="77777777">
        <w:trPr>
          <w:trHeight w:val="795"/>
        </w:trPr>
        <w:tc>
          <w:tcPr>
            <w:tcW w:w="1276" w:type="dxa"/>
            <w:tcBorders>
              <w:top w:val="nil"/>
              <w:left w:val="single" w:sz="8" w:space="0" w:color="auto"/>
              <w:bottom w:val="single" w:sz="4" w:space="0" w:color="auto"/>
              <w:right w:val="single" w:sz="8" w:space="0" w:color="auto"/>
            </w:tcBorders>
            <w:shd w:val="clear" w:color="auto" w:fill="C6EFCE"/>
            <w:vAlign w:val="center"/>
            <w:hideMark/>
          </w:tcPr>
          <w:p w14:paraId="6B2C04C2" w14:textId="77777777" w:rsidR="00025543" w:rsidRDefault="007E3A2F">
            <w:pPr>
              <w:pStyle w:val="P68B1DB1-Normal56"/>
              <w:spacing w:before="0" w:after="0" w:line="240" w:lineRule="auto"/>
              <w:jc w:val="center"/>
              <w:rPr>
                <w:noProof/>
              </w:rPr>
            </w:pPr>
            <w:r>
              <w:rPr>
                <w:noProof/>
              </w:rPr>
              <w:t>121</w:t>
            </w:r>
          </w:p>
        </w:tc>
        <w:tc>
          <w:tcPr>
            <w:tcW w:w="3969" w:type="dxa"/>
            <w:tcBorders>
              <w:top w:val="nil"/>
              <w:left w:val="nil"/>
              <w:bottom w:val="single" w:sz="4" w:space="0" w:color="auto"/>
              <w:right w:val="single" w:sz="8" w:space="0" w:color="000000" w:themeColor="text1"/>
            </w:tcBorders>
            <w:shd w:val="clear" w:color="auto" w:fill="C6EFCE"/>
            <w:vAlign w:val="center"/>
            <w:hideMark/>
          </w:tcPr>
          <w:p w14:paraId="12BF6F28" w14:textId="77777777" w:rsidR="00025543" w:rsidRDefault="007E3A2F">
            <w:pPr>
              <w:pStyle w:val="P68B1DB1-Normal57"/>
              <w:spacing w:before="0" w:after="0" w:line="240" w:lineRule="auto"/>
              <w:jc w:val="center"/>
              <w:rPr>
                <w:noProof/>
              </w:rPr>
            </w:pPr>
            <w:r>
              <w:rPr>
                <w:noProof/>
              </w:rPr>
              <w:t>C 2.4: Mobilité propre — Investissement 5: Aides à l’achat de véhicules (électriques, H2) et d’infrastructures pour les municipalités, les régions, l’administration publique et d’autres entités publiques</w:t>
            </w:r>
          </w:p>
        </w:tc>
        <w:tc>
          <w:tcPr>
            <w:tcW w:w="1843" w:type="dxa"/>
            <w:tcBorders>
              <w:top w:val="nil"/>
              <w:left w:val="nil"/>
              <w:bottom w:val="single" w:sz="4" w:space="0" w:color="auto"/>
              <w:right w:val="single" w:sz="8" w:space="0" w:color="000000" w:themeColor="text1"/>
            </w:tcBorders>
            <w:shd w:val="clear" w:color="auto" w:fill="C6EFCE"/>
            <w:vAlign w:val="center"/>
            <w:hideMark/>
          </w:tcPr>
          <w:p w14:paraId="5517FB91" w14:textId="77777777" w:rsidR="00025543" w:rsidRDefault="007E3A2F">
            <w:pPr>
              <w:pStyle w:val="P68B1DB1-Normal57"/>
              <w:spacing w:before="0" w:after="0" w:line="240" w:lineRule="auto"/>
              <w:jc w:val="center"/>
              <w:rPr>
                <w:noProof/>
              </w:rPr>
            </w:pPr>
            <w:r>
              <w:rPr>
                <w:noProof/>
              </w:rPr>
              <w:t>Cible</w:t>
            </w:r>
          </w:p>
        </w:tc>
        <w:tc>
          <w:tcPr>
            <w:tcW w:w="3402" w:type="dxa"/>
            <w:tcBorders>
              <w:top w:val="nil"/>
              <w:left w:val="nil"/>
              <w:bottom w:val="single" w:sz="4" w:space="0" w:color="auto"/>
              <w:right w:val="single" w:sz="8" w:space="0" w:color="auto"/>
            </w:tcBorders>
            <w:shd w:val="clear" w:color="auto" w:fill="C6EFCE"/>
            <w:vAlign w:val="center"/>
            <w:hideMark/>
          </w:tcPr>
          <w:p w14:paraId="141ABFB2" w14:textId="77777777" w:rsidR="00025543" w:rsidRDefault="007E3A2F">
            <w:pPr>
              <w:pStyle w:val="P68B1DB1-Normal56"/>
              <w:spacing w:before="0" w:after="0" w:line="240" w:lineRule="auto"/>
              <w:jc w:val="center"/>
              <w:rPr>
                <w:noProof/>
              </w:rPr>
            </w:pPr>
            <w:r>
              <w:rPr>
                <w:noProof/>
              </w:rPr>
              <w:t>Nombre de bornes de recharge pour les municipalités, les régions, l’administration publique et d’autres entités publiques</w:t>
            </w:r>
          </w:p>
        </w:tc>
      </w:tr>
      <w:tr w:rsidR="00025543" w14:paraId="1FBD1843" w14:textId="77777777">
        <w:trPr>
          <w:trHeight w:val="795"/>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CA56B17" w14:textId="77777777" w:rsidR="00025543" w:rsidRDefault="007E3A2F">
            <w:pPr>
              <w:pStyle w:val="P68B1DB1-Normal57"/>
              <w:spacing w:before="0" w:after="0" w:line="240" w:lineRule="auto"/>
              <w:jc w:val="center"/>
              <w:rPr>
                <w:noProof/>
              </w:rPr>
            </w:pPr>
            <w:r>
              <w:rPr>
                <w:noProof/>
              </w:rPr>
              <w:t>123</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10A32D6" w14:textId="41111CC8" w:rsidR="00025543" w:rsidRDefault="007E3A2F">
            <w:pPr>
              <w:pStyle w:val="P68B1DB1-Normal57"/>
              <w:spacing w:before="0" w:after="0" w:line="240" w:lineRule="auto"/>
              <w:jc w:val="center"/>
              <w:rPr>
                <w:noProof/>
              </w:rPr>
            </w:pPr>
            <w:r>
              <w:rPr>
                <w:noProof/>
              </w:rPr>
              <w:t>C 2.5: Rénovation des bâtiments et protection de l’air — Réforme 1: Vague de rénovations dans le secteur des ménages</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F4D21A6" w14:textId="77777777" w:rsidR="00025543" w:rsidRDefault="007E3A2F">
            <w:pPr>
              <w:pStyle w:val="P68B1DB1-Normal57"/>
              <w:spacing w:before="0" w:after="0" w:line="240" w:lineRule="auto"/>
              <w:jc w:val="center"/>
              <w:rPr>
                <w:noProof/>
              </w:rPr>
            </w:pPr>
            <w:r>
              <w:rPr>
                <w:noProof/>
              </w:rPr>
              <w:t>Étapes</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D1091FB" w14:textId="77777777" w:rsidR="00025543" w:rsidRDefault="007E3A2F">
            <w:pPr>
              <w:pStyle w:val="P68B1DB1-Normal57"/>
              <w:spacing w:before="0" w:after="0" w:line="240" w:lineRule="auto"/>
              <w:jc w:val="center"/>
              <w:rPr>
                <w:noProof/>
              </w:rPr>
            </w:pPr>
            <w:r>
              <w:rPr>
                <w:noProof/>
              </w:rPr>
              <w:t>Services de consultation et de formation pour la vague de rénovations dans le secteur des ménages et calendrier de mise en œuvre des mesures prévues dans les plans relatifs à la qualité de l’air</w:t>
            </w:r>
          </w:p>
        </w:tc>
      </w:tr>
      <w:tr w:rsidR="00025543" w14:paraId="4147AE40" w14:textId="77777777">
        <w:trPr>
          <w:trHeight w:val="600"/>
        </w:trPr>
        <w:tc>
          <w:tcPr>
            <w:tcW w:w="1276" w:type="dxa"/>
            <w:tcBorders>
              <w:top w:val="single" w:sz="4" w:space="0" w:color="auto"/>
              <w:left w:val="single" w:sz="8" w:space="0" w:color="auto"/>
              <w:bottom w:val="nil"/>
              <w:right w:val="single" w:sz="8" w:space="0" w:color="auto"/>
            </w:tcBorders>
            <w:shd w:val="clear" w:color="auto" w:fill="C6EFCE"/>
            <w:vAlign w:val="center"/>
            <w:hideMark/>
          </w:tcPr>
          <w:p w14:paraId="34588028" w14:textId="77777777" w:rsidR="00025543" w:rsidRDefault="007E3A2F">
            <w:pPr>
              <w:pStyle w:val="P68B1DB1-Normal57"/>
              <w:spacing w:before="0" w:after="0" w:line="240" w:lineRule="auto"/>
              <w:jc w:val="center"/>
              <w:rPr>
                <w:noProof/>
              </w:rPr>
            </w:pPr>
            <w:r>
              <w:rPr>
                <w:noProof/>
              </w:rPr>
              <w:t>124</w:t>
            </w:r>
          </w:p>
        </w:tc>
        <w:tc>
          <w:tcPr>
            <w:tcW w:w="3969"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423952C0" w14:textId="77777777" w:rsidR="00025543" w:rsidRDefault="007E3A2F">
            <w:pPr>
              <w:pStyle w:val="P68B1DB1-Normal57"/>
              <w:spacing w:before="0" w:after="0" w:line="240" w:lineRule="auto"/>
              <w:jc w:val="center"/>
              <w:rPr>
                <w:noProof/>
              </w:rPr>
            </w:pPr>
            <w:r>
              <w:rPr>
                <w:noProof/>
              </w:rPr>
              <w:t>C 2.5: Rénovation des bâtiments et protection de l’air — Réforme 2: Soutien à la préparation des préprojets et soutien aux projets énergétiques communautaires</w:t>
            </w:r>
          </w:p>
        </w:tc>
        <w:tc>
          <w:tcPr>
            <w:tcW w:w="1843"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2C286FE2"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4" w:space="0" w:color="auto"/>
              <w:left w:val="nil"/>
              <w:bottom w:val="nil"/>
              <w:right w:val="single" w:sz="8" w:space="0" w:color="auto"/>
            </w:tcBorders>
            <w:shd w:val="clear" w:color="auto" w:fill="C6EFCE"/>
            <w:vAlign w:val="center"/>
            <w:hideMark/>
          </w:tcPr>
          <w:p w14:paraId="26590CAA" w14:textId="77777777" w:rsidR="00025543" w:rsidRDefault="007E3A2F">
            <w:pPr>
              <w:pStyle w:val="P68B1DB1-Normal57"/>
              <w:spacing w:before="0" w:after="0" w:line="240" w:lineRule="auto"/>
              <w:jc w:val="center"/>
              <w:rPr>
                <w:noProof/>
              </w:rPr>
            </w:pPr>
            <w:r>
              <w:rPr>
                <w:noProof/>
              </w:rPr>
              <w:t>Services de conseil sur les communautés énergétiques</w:t>
            </w:r>
          </w:p>
        </w:tc>
      </w:tr>
      <w:tr w:rsidR="00025543" w14:paraId="7BC19738" w14:textId="77777777">
        <w:trPr>
          <w:trHeight w:val="600"/>
        </w:trPr>
        <w:tc>
          <w:tcPr>
            <w:tcW w:w="1276" w:type="dxa"/>
            <w:tcBorders>
              <w:top w:val="single" w:sz="8" w:space="0" w:color="auto"/>
              <w:left w:val="single" w:sz="8" w:space="0" w:color="auto"/>
              <w:bottom w:val="nil"/>
              <w:right w:val="single" w:sz="8" w:space="0" w:color="auto"/>
            </w:tcBorders>
            <w:shd w:val="clear" w:color="auto" w:fill="C6EFCE"/>
            <w:vAlign w:val="center"/>
            <w:hideMark/>
          </w:tcPr>
          <w:p w14:paraId="75F49494" w14:textId="77777777" w:rsidR="00025543" w:rsidRDefault="007E3A2F">
            <w:pPr>
              <w:pStyle w:val="P68B1DB1-Normal57"/>
              <w:spacing w:before="0" w:after="0" w:line="240" w:lineRule="auto"/>
              <w:jc w:val="center"/>
              <w:rPr>
                <w:noProof/>
              </w:rPr>
            </w:pPr>
            <w:r>
              <w:rPr>
                <w:noProof/>
              </w:rPr>
              <w:t>126</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42F4EEF9" w14:textId="77777777" w:rsidR="00025543" w:rsidRDefault="007E3A2F">
            <w:pPr>
              <w:pStyle w:val="P68B1DB1-Normal57"/>
              <w:spacing w:before="0" w:after="0" w:line="240" w:lineRule="auto"/>
              <w:jc w:val="center"/>
              <w:rPr>
                <w:noProof/>
              </w:rPr>
            </w:pPr>
            <w:r>
              <w:rPr>
                <w:noProof/>
              </w:rPr>
              <w:t>C 2.5: Rénovation des bâtiments et protection de l’air — Investissement 1: Rénovation et revitalisation des bâtiments en vue d’économies d’énergie</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49808E03"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8" w:space="0" w:color="auto"/>
              <w:left w:val="nil"/>
              <w:bottom w:val="nil"/>
              <w:right w:val="single" w:sz="8" w:space="0" w:color="auto"/>
            </w:tcBorders>
            <w:shd w:val="clear" w:color="auto" w:fill="C6EFCE"/>
            <w:vAlign w:val="center"/>
            <w:hideMark/>
          </w:tcPr>
          <w:p w14:paraId="63D4F4D6" w14:textId="77777777" w:rsidR="00025543" w:rsidRDefault="007E3A2F">
            <w:pPr>
              <w:pStyle w:val="P68B1DB1-Normal61"/>
              <w:spacing w:before="0" w:after="0" w:line="240" w:lineRule="auto"/>
              <w:jc w:val="center"/>
              <w:rPr>
                <w:noProof/>
                <w:color w:val="006100"/>
              </w:rPr>
            </w:pPr>
            <w:r>
              <w:rPr>
                <w:noProof/>
                <w:color w:val="006100"/>
              </w:rPr>
              <w:t>Réduction de la consommation d’énergie</w:t>
            </w:r>
            <w:r>
              <w:rPr>
                <w:noProof/>
                <w:color w:val="000000"/>
              </w:rPr>
              <w:t xml:space="preserve"> </w:t>
            </w:r>
            <w:r>
              <w:rPr>
                <w:noProof/>
                <w:color w:val="006100"/>
              </w:rPr>
              <w:t>et des émissions de CO2</w:t>
            </w:r>
          </w:p>
        </w:tc>
      </w:tr>
      <w:tr w:rsidR="00025543" w14:paraId="5A03F667" w14:textId="77777777">
        <w:trPr>
          <w:trHeight w:val="795"/>
        </w:trPr>
        <w:tc>
          <w:tcPr>
            <w:tcW w:w="1276" w:type="dxa"/>
            <w:tcBorders>
              <w:top w:val="single" w:sz="8" w:space="0" w:color="auto"/>
              <w:left w:val="single" w:sz="8" w:space="0" w:color="auto"/>
              <w:bottom w:val="single" w:sz="8" w:space="0" w:color="000000" w:themeColor="text1"/>
              <w:right w:val="single" w:sz="8" w:space="0" w:color="auto"/>
            </w:tcBorders>
            <w:shd w:val="clear" w:color="auto" w:fill="C6EFCE"/>
            <w:vAlign w:val="center"/>
            <w:hideMark/>
          </w:tcPr>
          <w:p w14:paraId="4CD34B9C" w14:textId="77777777" w:rsidR="00025543" w:rsidRDefault="007E3A2F">
            <w:pPr>
              <w:pStyle w:val="P68B1DB1-Normal57"/>
              <w:spacing w:before="0" w:after="0" w:line="240" w:lineRule="auto"/>
              <w:jc w:val="center"/>
              <w:rPr>
                <w:noProof/>
              </w:rPr>
            </w:pPr>
            <w:r>
              <w:rPr>
                <w:noProof/>
              </w:rPr>
              <w:t>129</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61087AB5" w14:textId="77777777" w:rsidR="00025543" w:rsidRDefault="007E3A2F">
            <w:pPr>
              <w:pStyle w:val="P68B1DB1-Normal57"/>
              <w:spacing w:before="0" w:after="0" w:line="240" w:lineRule="auto"/>
              <w:jc w:val="center"/>
              <w:rPr>
                <w:noProof/>
              </w:rPr>
            </w:pPr>
            <w:r>
              <w:rPr>
                <w:noProof/>
              </w:rPr>
              <w:t>C 2.5: Rénovation des bâtiments et protection de l’air — Investissement 2: Remplacement des sources fixes de pollution dans les ménages par des sources d’énergie renouvelables</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1D586632"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8" w:space="0" w:color="auto"/>
              <w:left w:val="nil"/>
              <w:bottom w:val="single" w:sz="8" w:space="0" w:color="000000" w:themeColor="text1"/>
              <w:right w:val="single" w:sz="8" w:space="0" w:color="auto"/>
            </w:tcBorders>
            <w:shd w:val="clear" w:color="auto" w:fill="C6EFCE"/>
            <w:vAlign w:val="center"/>
            <w:hideMark/>
          </w:tcPr>
          <w:p w14:paraId="635549FA" w14:textId="77777777" w:rsidR="00025543" w:rsidRDefault="007E3A2F">
            <w:pPr>
              <w:pStyle w:val="P68B1DB1-Normal57"/>
              <w:spacing w:before="0" w:after="0" w:line="240" w:lineRule="auto"/>
              <w:jc w:val="center"/>
              <w:rPr>
                <w:noProof/>
              </w:rPr>
            </w:pPr>
            <w:r>
              <w:rPr>
                <w:noProof/>
              </w:rPr>
              <w:t>Réduction de la consommation d’énergie et des émissions de CO2</w:t>
            </w:r>
          </w:p>
        </w:tc>
      </w:tr>
      <w:tr w:rsidR="00025543" w14:paraId="3C3F1494" w14:textId="77777777">
        <w:trPr>
          <w:trHeight w:val="1185"/>
        </w:trPr>
        <w:tc>
          <w:tcPr>
            <w:tcW w:w="1276" w:type="dxa"/>
            <w:tcBorders>
              <w:top w:val="single" w:sz="4" w:space="0" w:color="000000" w:themeColor="text1"/>
              <w:left w:val="single" w:sz="8" w:space="0" w:color="auto"/>
              <w:bottom w:val="single" w:sz="8" w:space="0" w:color="auto"/>
              <w:right w:val="single" w:sz="8" w:space="0" w:color="auto"/>
            </w:tcBorders>
            <w:shd w:val="clear" w:color="auto" w:fill="C6EFCE"/>
            <w:vAlign w:val="center"/>
            <w:hideMark/>
          </w:tcPr>
          <w:p w14:paraId="6510AD8D" w14:textId="77777777" w:rsidR="00025543" w:rsidRDefault="007E3A2F">
            <w:pPr>
              <w:pStyle w:val="P68B1DB1-Normal57"/>
              <w:spacing w:before="0" w:after="0" w:line="240" w:lineRule="auto"/>
              <w:jc w:val="center"/>
              <w:rPr>
                <w:noProof/>
              </w:rPr>
            </w:pPr>
            <w:r>
              <w:rPr>
                <w:noProof/>
              </w:rPr>
              <w:t>130</w:t>
            </w:r>
          </w:p>
        </w:tc>
        <w:tc>
          <w:tcPr>
            <w:tcW w:w="3969"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4BDED5C9" w14:textId="77777777" w:rsidR="00025543" w:rsidRDefault="007E3A2F">
            <w:pPr>
              <w:pStyle w:val="P68B1DB1-Normal57"/>
              <w:spacing w:before="0" w:after="0" w:line="240" w:lineRule="auto"/>
              <w:jc w:val="center"/>
              <w:rPr>
                <w:noProof/>
              </w:rPr>
            </w:pPr>
            <w:r>
              <w:rPr>
                <w:noProof/>
              </w:rPr>
              <w:t>C 2.5: Rénovation des bâtiments et protection de l’air — Investissement 3: Soutien à la préparation et à la sensibilisation préalables au projet, à l’éducation, à la formation et à l’information dans le domaine des économies d’énergie et de la réduction des émissions de gaz à effet de serre et d’autres polluants atmosphériques</w:t>
            </w:r>
          </w:p>
        </w:tc>
        <w:tc>
          <w:tcPr>
            <w:tcW w:w="1843"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3EBC5883"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4" w:space="0" w:color="000000" w:themeColor="text1"/>
              <w:left w:val="nil"/>
              <w:bottom w:val="single" w:sz="8" w:space="0" w:color="auto"/>
              <w:right w:val="single" w:sz="8" w:space="0" w:color="auto"/>
            </w:tcBorders>
            <w:shd w:val="clear" w:color="auto" w:fill="C6EFCE"/>
            <w:vAlign w:val="center"/>
            <w:hideMark/>
          </w:tcPr>
          <w:p w14:paraId="5A9C60EC" w14:textId="77777777" w:rsidR="00025543" w:rsidRDefault="007E3A2F">
            <w:pPr>
              <w:pStyle w:val="P68B1DB1-Normal57"/>
              <w:spacing w:before="0" w:after="0" w:line="240" w:lineRule="auto"/>
              <w:jc w:val="center"/>
              <w:rPr>
                <w:noProof/>
              </w:rPr>
            </w:pPr>
            <w:r>
              <w:rPr>
                <w:noProof/>
              </w:rPr>
              <w:t>Projets de préparation préalable au projet, études, formations et projets énergétiques communautaires</w:t>
            </w:r>
          </w:p>
        </w:tc>
      </w:tr>
      <w:tr w:rsidR="00025543" w14:paraId="020447D7" w14:textId="77777777">
        <w:trPr>
          <w:trHeight w:val="600"/>
        </w:trPr>
        <w:tc>
          <w:tcPr>
            <w:tcW w:w="1276" w:type="dxa"/>
            <w:tcBorders>
              <w:top w:val="nil"/>
              <w:left w:val="single" w:sz="8" w:space="0" w:color="auto"/>
              <w:bottom w:val="nil"/>
              <w:right w:val="single" w:sz="8" w:space="0" w:color="auto"/>
            </w:tcBorders>
            <w:shd w:val="clear" w:color="auto" w:fill="C6EFCE"/>
            <w:vAlign w:val="center"/>
            <w:hideMark/>
          </w:tcPr>
          <w:p w14:paraId="5B05393F" w14:textId="77777777" w:rsidR="00025543" w:rsidRDefault="007E3A2F">
            <w:pPr>
              <w:pStyle w:val="P68B1DB1-Normal57"/>
              <w:spacing w:before="0" w:after="0" w:line="240" w:lineRule="auto"/>
              <w:jc w:val="center"/>
              <w:rPr>
                <w:noProof/>
              </w:rPr>
            </w:pPr>
            <w:r>
              <w:rPr>
                <w:noProof/>
              </w:rPr>
              <w:t>149</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72720AAA" w14:textId="77777777" w:rsidR="00025543" w:rsidRDefault="007E3A2F">
            <w:pPr>
              <w:pStyle w:val="P68B1DB1-Normal57"/>
              <w:spacing w:before="0" w:after="0" w:line="240" w:lineRule="auto"/>
              <w:jc w:val="center"/>
              <w:rPr>
                <w:noProof/>
              </w:rPr>
            </w:pPr>
            <w:r>
              <w:rPr>
                <w:noProof/>
              </w:rPr>
              <w:t>C 2.7: Économie circulaire, recyclage et eau industrielle — Investissements 1: Construction d’infrastructures de recyclage</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1C10015D" w14:textId="77777777" w:rsidR="00025543" w:rsidRDefault="007E3A2F">
            <w:pPr>
              <w:pStyle w:val="P68B1DB1-Normal57"/>
              <w:spacing w:before="0" w:after="0" w:line="240" w:lineRule="auto"/>
              <w:jc w:val="center"/>
              <w:rPr>
                <w:noProof/>
              </w:rPr>
            </w:pPr>
            <w:r>
              <w:rPr>
                <w:noProof/>
              </w:rPr>
              <w:t>Cible</w:t>
            </w:r>
          </w:p>
        </w:tc>
        <w:tc>
          <w:tcPr>
            <w:tcW w:w="3402" w:type="dxa"/>
            <w:tcBorders>
              <w:top w:val="nil"/>
              <w:left w:val="nil"/>
              <w:bottom w:val="nil"/>
              <w:right w:val="single" w:sz="8" w:space="0" w:color="auto"/>
            </w:tcBorders>
            <w:shd w:val="clear" w:color="auto" w:fill="C6EFCE"/>
            <w:vAlign w:val="center"/>
            <w:hideMark/>
          </w:tcPr>
          <w:p w14:paraId="2D110BF4" w14:textId="77777777" w:rsidR="00025543" w:rsidRDefault="007E3A2F">
            <w:pPr>
              <w:pStyle w:val="P68B1DB1-Normal57"/>
              <w:spacing w:before="0" w:after="0" w:line="240" w:lineRule="auto"/>
              <w:jc w:val="center"/>
              <w:rPr>
                <w:noProof/>
              </w:rPr>
            </w:pPr>
            <w:r>
              <w:rPr>
                <w:noProof/>
              </w:rPr>
              <w:t>Achèvement des projets d’investissement dans les infrastructures de recyclage</w:t>
            </w:r>
          </w:p>
        </w:tc>
      </w:tr>
      <w:tr w:rsidR="00025543" w14:paraId="16DDFD36" w14:textId="77777777">
        <w:trPr>
          <w:trHeight w:val="600"/>
        </w:trPr>
        <w:tc>
          <w:tcPr>
            <w:tcW w:w="1276" w:type="dxa"/>
            <w:tcBorders>
              <w:top w:val="single" w:sz="8" w:space="0" w:color="auto"/>
              <w:left w:val="single" w:sz="8" w:space="0" w:color="auto"/>
              <w:bottom w:val="nil"/>
              <w:right w:val="single" w:sz="8" w:space="0" w:color="auto"/>
            </w:tcBorders>
            <w:shd w:val="clear" w:color="auto" w:fill="C6EFCE"/>
            <w:vAlign w:val="center"/>
            <w:hideMark/>
          </w:tcPr>
          <w:p w14:paraId="7944BF6B" w14:textId="77777777" w:rsidR="00025543" w:rsidRDefault="007E3A2F">
            <w:pPr>
              <w:pStyle w:val="P68B1DB1-Normal57"/>
              <w:spacing w:before="0" w:after="0" w:line="240" w:lineRule="auto"/>
              <w:jc w:val="center"/>
              <w:rPr>
                <w:noProof/>
              </w:rPr>
            </w:pPr>
            <w:r>
              <w:rPr>
                <w:noProof/>
              </w:rPr>
              <w:t>151</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5D70748B" w14:textId="77777777" w:rsidR="00025543" w:rsidRDefault="007E3A2F">
            <w:pPr>
              <w:pStyle w:val="P68B1DB1-Normal57"/>
              <w:spacing w:before="0" w:after="0" w:line="240" w:lineRule="auto"/>
              <w:jc w:val="center"/>
              <w:rPr>
                <w:noProof/>
              </w:rPr>
            </w:pPr>
            <w:r>
              <w:rPr>
                <w:noProof/>
              </w:rPr>
              <w:t>C 2.7: Économie circulaire, recyclage et eau industrielle — Investissements 2: Solutions circulaires dans les entreprises</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3E33CF0A"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8" w:space="0" w:color="auto"/>
              <w:left w:val="nil"/>
              <w:bottom w:val="nil"/>
              <w:right w:val="single" w:sz="8" w:space="0" w:color="auto"/>
            </w:tcBorders>
            <w:shd w:val="clear" w:color="auto" w:fill="C6EFCE"/>
            <w:vAlign w:val="center"/>
            <w:hideMark/>
          </w:tcPr>
          <w:p w14:paraId="649A849A" w14:textId="77777777" w:rsidR="00025543" w:rsidRDefault="007E3A2F">
            <w:pPr>
              <w:pStyle w:val="P68B1DB1-Normal57"/>
              <w:spacing w:before="0" w:after="0" w:line="240" w:lineRule="auto"/>
              <w:jc w:val="center"/>
              <w:rPr>
                <w:noProof/>
              </w:rPr>
            </w:pPr>
            <w:r>
              <w:rPr>
                <w:noProof/>
              </w:rPr>
              <w:t>Achèvement des projets investissant dans des solutions circulaires dans les entreprises</w:t>
            </w:r>
          </w:p>
        </w:tc>
      </w:tr>
      <w:tr w:rsidR="00025543" w14:paraId="7C673FD7" w14:textId="77777777">
        <w:trPr>
          <w:trHeight w:val="405"/>
        </w:trPr>
        <w:tc>
          <w:tcPr>
            <w:tcW w:w="1276" w:type="dxa"/>
            <w:tcBorders>
              <w:top w:val="single" w:sz="8" w:space="0" w:color="auto"/>
              <w:left w:val="single" w:sz="8" w:space="0" w:color="auto"/>
              <w:bottom w:val="nil"/>
              <w:right w:val="single" w:sz="8" w:space="0" w:color="auto"/>
            </w:tcBorders>
            <w:shd w:val="clear" w:color="auto" w:fill="C6EFCE"/>
            <w:vAlign w:val="center"/>
            <w:hideMark/>
          </w:tcPr>
          <w:p w14:paraId="5D47BE5B" w14:textId="77777777" w:rsidR="00025543" w:rsidRDefault="007E3A2F">
            <w:pPr>
              <w:pStyle w:val="P68B1DB1-Normal57"/>
              <w:spacing w:before="0" w:after="0" w:line="240" w:lineRule="auto"/>
              <w:jc w:val="center"/>
              <w:rPr>
                <w:noProof/>
              </w:rPr>
            </w:pPr>
            <w:r>
              <w:rPr>
                <w:noProof/>
              </w:rPr>
              <w:t>153</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245E9CAD" w14:textId="77777777" w:rsidR="00025543" w:rsidRDefault="007E3A2F">
            <w:pPr>
              <w:pStyle w:val="P68B1DB1-Normal57"/>
              <w:spacing w:before="0" w:after="0" w:line="240" w:lineRule="auto"/>
              <w:jc w:val="center"/>
              <w:rPr>
                <w:noProof/>
              </w:rPr>
            </w:pPr>
            <w:r>
              <w:rPr>
                <w:noProof/>
              </w:rPr>
              <w:t>C 2.7: Économie circulaire, recyclage et eau industrielle — Investissements 3: Économies d’eau dans l’industrie</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5CAD56BD"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8" w:space="0" w:color="auto"/>
              <w:left w:val="nil"/>
              <w:bottom w:val="nil"/>
              <w:right w:val="single" w:sz="8" w:space="0" w:color="auto"/>
            </w:tcBorders>
            <w:shd w:val="clear" w:color="auto" w:fill="C6EFCE"/>
            <w:vAlign w:val="center"/>
            <w:hideMark/>
          </w:tcPr>
          <w:p w14:paraId="00E56BDA" w14:textId="77777777" w:rsidR="00025543" w:rsidRDefault="007E3A2F">
            <w:pPr>
              <w:pStyle w:val="P68B1DB1-Normal57"/>
              <w:spacing w:before="0" w:after="0" w:line="240" w:lineRule="auto"/>
              <w:jc w:val="center"/>
              <w:rPr>
                <w:noProof/>
              </w:rPr>
            </w:pPr>
            <w:r>
              <w:rPr>
                <w:noProof/>
              </w:rPr>
              <w:t>Achèvement des projets visant à économiser et à optimiser l’eau dans l’industrie</w:t>
            </w:r>
          </w:p>
        </w:tc>
      </w:tr>
      <w:tr w:rsidR="00025543" w14:paraId="23EC80F5" w14:textId="77777777">
        <w:trPr>
          <w:trHeight w:val="405"/>
        </w:trPr>
        <w:tc>
          <w:tcPr>
            <w:tcW w:w="1276" w:type="dxa"/>
            <w:tcBorders>
              <w:top w:val="single" w:sz="8" w:space="0" w:color="auto"/>
              <w:left w:val="single" w:sz="8" w:space="0" w:color="auto"/>
              <w:bottom w:val="nil"/>
              <w:right w:val="single" w:sz="8" w:space="0" w:color="auto"/>
            </w:tcBorders>
            <w:shd w:val="clear" w:color="auto" w:fill="C6EFCE"/>
            <w:vAlign w:val="center"/>
            <w:hideMark/>
          </w:tcPr>
          <w:p w14:paraId="20091D69" w14:textId="77777777" w:rsidR="00025543" w:rsidRDefault="007E3A2F">
            <w:pPr>
              <w:pStyle w:val="P68B1DB1-Normal56"/>
              <w:spacing w:before="0" w:after="0" w:line="240" w:lineRule="auto"/>
              <w:jc w:val="center"/>
              <w:rPr>
                <w:noProof/>
              </w:rPr>
            </w:pPr>
            <w:r>
              <w:rPr>
                <w:noProof/>
              </w:rPr>
              <w:t>155</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18B9FF5E" w14:textId="77777777" w:rsidR="00025543" w:rsidRDefault="007E3A2F">
            <w:pPr>
              <w:pStyle w:val="P68B1DB1-Normal57"/>
              <w:spacing w:before="0" w:after="0" w:line="240" w:lineRule="auto"/>
              <w:jc w:val="center"/>
              <w:rPr>
                <w:noProof/>
              </w:rPr>
            </w:pPr>
            <w:r>
              <w:rPr>
                <w:noProof/>
              </w:rPr>
              <w:t>C 2.8: Friches industrielles revitalisation — Investissement 1: Soutien à la revitalisation de zones spécifiques</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328671CC"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8" w:space="0" w:color="auto"/>
              <w:left w:val="nil"/>
              <w:bottom w:val="nil"/>
              <w:right w:val="single" w:sz="8" w:space="0" w:color="auto"/>
            </w:tcBorders>
            <w:shd w:val="clear" w:color="auto" w:fill="C6EFCE"/>
            <w:vAlign w:val="center"/>
            <w:hideMark/>
          </w:tcPr>
          <w:p w14:paraId="6AC85EDF" w14:textId="77777777" w:rsidR="00025543" w:rsidRDefault="007E3A2F">
            <w:pPr>
              <w:pStyle w:val="P68B1DB1-Normal56"/>
              <w:spacing w:before="0" w:after="0" w:line="240" w:lineRule="auto"/>
              <w:jc w:val="center"/>
              <w:rPr>
                <w:noProof/>
              </w:rPr>
            </w:pPr>
            <w:r>
              <w:rPr>
                <w:noProof/>
              </w:rPr>
              <w:t>Achèvement de projets de revitalisation à haut rendement énergétique de friches spécifiques</w:t>
            </w:r>
          </w:p>
        </w:tc>
      </w:tr>
      <w:tr w:rsidR="00025543" w14:paraId="32F7C0F7" w14:textId="77777777">
        <w:trPr>
          <w:trHeight w:val="600"/>
        </w:trPr>
        <w:tc>
          <w:tcPr>
            <w:tcW w:w="1276" w:type="dxa"/>
            <w:tcBorders>
              <w:top w:val="single" w:sz="8" w:space="0" w:color="auto"/>
              <w:left w:val="single" w:sz="8" w:space="0" w:color="auto"/>
              <w:bottom w:val="nil"/>
              <w:right w:val="single" w:sz="8" w:space="0" w:color="auto"/>
            </w:tcBorders>
            <w:shd w:val="clear" w:color="auto" w:fill="C6EFCE"/>
            <w:vAlign w:val="center"/>
            <w:hideMark/>
          </w:tcPr>
          <w:p w14:paraId="431BF8DE" w14:textId="77777777" w:rsidR="00025543" w:rsidRDefault="007E3A2F">
            <w:pPr>
              <w:pStyle w:val="P68B1DB1-Normal56"/>
              <w:spacing w:before="0" w:after="0" w:line="240" w:lineRule="auto"/>
              <w:jc w:val="center"/>
              <w:rPr>
                <w:noProof/>
              </w:rPr>
            </w:pPr>
            <w:r>
              <w:rPr>
                <w:noProof/>
              </w:rPr>
              <w:t>157</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23272987" w14:textId="77777777" w:rsidR="00025543" w:rsidRDefault="007E3A2F">
            <w:pPr>
              <w:pStyle w:val="P68B1DB1-Normal57"/>
              <w:spacing w:before="0" w:after="0" w:line="240" w:lineRule="auto"/>
              <w:jc w:val="center"/>
              <w:rPr>
                <w:noProof/>
              </w:rPr>
            </w:pPr>
            <w:r>
              <w:rPr>
                <w:noProof/>
              </w:rPr>
              <w:t>C 2.8: Friches industrielles revitalisation — Investissement 2: Soutien à la revitalisation des zones appartenant au secteur public à des fins non professionnelles</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3070E175"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8" w:space="0" w:color="auto"/>
              <w:left w:val="nil"/>
              <w:bottom w:val="nil"/>
              <w:right w:val="single" w:sz="8" w:space="0" w:color="auto"/>
            </w:tcBorders>
            <w:shd w:val="clear" w:color="auto" w:fill="C6EFCE"/>
            <w:vAlign w:val="center"/>
            <w:hideMark/>
          </w:tcPr>
          <w:p w14:paraId="75860EEE" w14:textId="77777777" w:rsidR="00025543" w:rsidRDefault="007E3A2F">
            <w:pPr>
              <w:pStyle w:val="P68B1DB1-Normal56"/>
              <w:spacing w:before="0" w:after="0" w:line="240" w:lineRule="auto"/>
              <w:jc w:val="center"/>
              <w:rPr>
                <w:noProof/>
              </w:rPr>
            </w:pPr>
            <w:r>
              <w:rPr>
                <w:noProof/>
              </w:rPr>
              <w:t>Achèvement des projets de revitalisation des friches industrielles détenues par des municipalités et des régions à des fins non professionnelles</w:t>
            </w:r>
          </w:p>
        </w:tc>
      </w:tr>
      <w:tr w:rsidR="00025543" w14:paraId="43FC0D62" w14:textId="77777777">
        <w:trPr>
          <w:trHeight w:val="600"/>
        </w:trPr>
        <w:tc>
          <w:tcPr>
            <w:tcW w:w="1276" w:type="dxa"/>
            <w:tcBorders>
              <w:top w:val="single" w:sz="8" w:space="0" w:color="auto"/>
              <w:left w:val="single" w:sz="8" w:space="0" w:color="auto"/>
              <w:bottom w:val="single" w:sz="4" w:space="0" w:color="auto"/>
              <w:right w:val="single" w:sz="8" w:space="0" w:color="auto"/>
            </w:tcBorders>
            <w:shd w:val="clear" w:color="auto" w:fill="C6EFCE"/>
            <w:vAlign w:val="center"/>
            <w:hideMark/>
          </w:tcPr>
          <w:p w14:paraId="65B28AFC" w14:textId="77777777" w:rsidR="00025543" w:rsidRDefault="007E3A2F">
            <w:pPr>
              <w:pStyle w:val="P68B1DB1-Normal56"/>
              <w:spacing w:before="0" w:after="0" w:line="240" w:lineRule="auto"/>
              <w:jc w:val="center"/>
              <w:rPr>
                <w:noProof/>
              </w:rPr>
            </w:pPr>
            <w:r>
              <w:rPr>
                <w:noProof/>
              </w:rPr>
              <w:t>159</w:t>
            </w:r>
          </w:p>
        </w:tc>
        <w:tc>
          <w:tcPr>
            <w:tcW w:w="3969" w:type="dxa"/>
            <w:tcBorders>
              <w:top w:val="nil"/>
              <w:left w:val="nil"/>
              <w:bottom w:val="single" w:sz="4" w:space="0" w:color="auto"/>
              <w:right w:val="single" w:sz="8" w:space="0" w:color="000000" w:themeColor="text1"/>
            </w:tcBorders>
            <w:shd w:val="clear" w:color="auto" w:fill="C6EFCE"/>
            <w:vAlign w:val="center"/>
            <w:hideMark/>
          </w:tcPr>
          <w:p w14:paraId="0D8ADBCA" w14:textId="77777777" w:rsidR="00025543" w:rsidRDefault="007E3A2F">
            <w:pPr>
              <w:pStyle w:val="P68B1DB1-Normal57"/>
              <w:spacing w:before="0" w:after="0" w:line="240" w:lineRule="auto"/>
              <w:jc w:val="center"/>
              <w:rPr>
                <w:noProof/>
              </w:rPr>
            </w:pPr>
            <w:r>
              <w:rPr>
                <w:noProof/>
              </w:rPr>
              <w:t>C 2.8: Friches industrielles revitalisation — Investissement 3: Soutien à la revitalisation des zones détenues par le secteur public à des fins professionnelles</w:t>
            </w:r>
          </w:p>
        </w:tc>
        <w:tc>
          <w:tcPr>
            <w:tcW w:w="1843" w:type="dxa"/>
            <w:tcBorders>
              <w:top w:val="nil"/>
              <w:left w:val="nil"/>
              <w:bottom w:val="single" w:sz="4" w:space="0" w:color="auto"/>
              <w:right w:val="single" w:sz="8" w:space="0" w:color="000000" w:themeColor="text1"/>
            </w:tcBorders>
            <w:shd w:val="clear" w:color="auto" w:fill="C6EFCE"/>
            <w:vAlign w:val="center"/>
            <w:hideMark/>
          </w:tcPr>
          <w:p w14:paraId="231E79A0"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8" w:space="0" w:color="auto"/>
              <w:left w:val="nil"/>
              <w:bottom w:val="single" w:sz="4" w:space="0" w:color="auto"/>
              <w:right w:val="single" w:sz="8" w:space="0" w:color="auto"/>
            </w:tcBorders>
            <w:shd w:val="clear" w:color="auto" w:fill="C6EFCE"/>
            <w:vAlign w:val="center"/>
            <w:hideMark/>
          </w:tcPr>
          <w:p w14:paraId="632CAD2A" w14:textId="77777777" w:rsidR="00025543" w:rsidRDefault="007E3A2F">
            <w:pPr>
              <w:pStyle w:val="P68B1DB1-Normal56"/>
              <w:spacing w:before="0" w:after="0" w:line="240" w:lineRule="auto"/>
              <w:jc w:val="center"/>
              <w:rPr>
                <w:noProof/>
              </w:rPr>
            </w:pPr>
            <w:r>
              <w:rPr>
                <w:noProof/>
              </w:rPr>
              <w:t>Achèvement des projets de revitalisation des friches industrielles détenues par des municipalités et des régions à des fins commerciales</w:t>
            </w:r>
          </w:p>
        </w:tc>
      </w:tr>
      <w:tr w:rsidR="00025543" w14:paraId="1BBBDF11" w14:textId="77777777">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79A3C5F" w14:textId="77777777" w:rsidR="00025543" w:rsidRDefault="007E3A2F">
            <w:pPr>
              <w:pStyle w:val="P68B1DB1-Normal56"/>
              <w:spacing w:before="0" w:after="0" w:line="240" w:lineRule="auto"/>
              <w:jc w:val="center"/>
              <w:rPr>
                <w:noProof/>
              </w:rPr>
            </w:pPr>
            <w:r>
              <w:rPr>
                <w:noProof/>
              </w:rPr>
              <w:t>162</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30AE533" w14:textId="77777777" w:rsidR="00025543" w:rsidRDefault="007E3A2F">
            <w:pPr>
              <w:pStyle w:val="P68B1DB1-Normal57"/>
              <w:spacing w:before="0" w:after="0" w:line="240" w:lineRule="auto"/>
              <w:jc w:val="center"/>
              <w:rPr>
                <w:noProof/>
              </w:rPr>
            </w:pPr>
            <w:r>
              <w:rPr>
                <w:noProof/>
              </w:rPr>
              <w:t>C 2.9: Promotion de la biodiversité et lutte contre la sécheresse — Investissement 1: Protection contre les sécheresses et les inondations de la ville de Brno</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407A374"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4166F61" w14:textId="77777777" w:rsidR="00025543" w:rsidRDefault="007E3A2F">
            <w:pPr>
              <w:pStyle w:val="P68B1DB1-Normal56"/>
              <w:spacing w:before="0" w:after="0" w:line="240" w:lineRule="auto"/>
              <w:jc w:val="center"/>
              <w:rPr>
                <w:noProof/>
              </w:rPr>
            </w:pPr>
            <w:r>
              <w:rPr>
                <w:noProof/>
              </w:rPr>
              <w:t>Achèvement des mesures de protection contre les inondations fondées sur la nature pour protéger la ville de Brno</w:t>
            </w:r>
          </w:p>
        </w:tc>
      </w:tr>
      <w:tr w:rsidR="00025543" w14:paraId="7934DA14" w14:textId="77777777">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1694859" w14:textId="77777777" w:rsidR="00025543" w:rsidRDefault="007E3A2F">
            <w:pPr>
              <w:pStyle w:val="P68B1DB1-Normal56"/>
              <w:spacing w:before="0" w:after="0" w:line="240" w:lineRule="auto"/>
              <w:jc w:val="center"/>
              <w:rPr>
                <w:noProof/>
              </w:rPr>
            </w:pPr>
            <w:r>
              <w:rPr>
                <w:noProof/>
              </w:rPr>
              <w:t>163</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F094884" w14:textId="77777777" w:rsidR="00025543" w:rsidRDefault="007E3A2F">
            <w:pPr>
              <w:pStyle w:val="P68B1DB1-Normal57"/>
              <w:spacing w:before="0" w:after="0" w:line="240" w:lineRule="auto"/>
              <w:jc w:val="center"/>
              <w:rPr>
                <w:noProof/>
              </w:rPr>
            </w:pPr>
            <w:r>
              <w:rPr>
                <w:noProof/>
              </w:rPr>
              <w:t>C 2.9: Promotion de la biodiversité et lutte contre la sécheresse — Investissement 2: Gestion des eaux de pluie dans les agglomérations urbaines</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22F9CAF"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79AD046" w14:textId="77777777" w:rsidR="00025543" w:rsidRDefault="007E3A2F">
            <w:pPr>
              <w:pStyle w:val="P68B1DB1-Normal56"/>
              <w:spacing w:before="0" w:after="0" w:line="240" w:lineRule="auto"/>
              <w:jc w:val="center"/>
              <w:rPr>
                <w:noProof/>
              </w:rPr>
            </w:pPr>
            <w:r>
              <w:rPr>
                <w:noProof/>
              </w:rPr>
              <w:t xml:space="preserve">Augmentation du volume des eaux de pluie retenues par les mesures de gestion des eaux de pluie dans les zones urbaines </w:t>
            </w:r>
          </w:p>
        </w:tc>
      </w:tr>
      <w:tr w:rsidR="00025543" w14:paraId="51A3C6A5" w14:textId="77777777">
        <w:trPr>
          <w:trHeight w:val="795"/>
        </w:trPr>
        <w:tc>
          <w:tcPr>
            <w:tcW w:w="1276" w:type="dxa"/>
            <w:tcBorders>
              <w:top w:val="single" w:sz="4" w:space="0" w:color="auto"/>
              <w:left w:val="single" w:sz="8" w:space="0" w:color="auto"/>
              <w:bottom w:val="nil"/>
              <w:right w:val="single" w:sz="8" w:space="0" w:color="000000" w:themeColor="text1"/>
            </w:tcBorders>
            <w:shd w:val="clear" w:color="auto" w:fill="C6EFCE"/>
            <w:vAlign w:val="center"/>
            <w:hideMark/>
          </w:tcPr>
          <w:p w14:paraId="7B9F2A7F" w14:textId="77777777" w:rsidR="00025543" w:rsidRDefault="007E3A2F">
            <w:pPr>
              <w:pStyle w:val="P68B1DB1-Normal56"/>
              <w:spacing w:before="0" w:after="0" w:line="240" w:lineRule="auto"/>
              <w:jc w:val="center"/>
              <w:rPr>
                <w:noProof/>
              </w:rPr>
            </w:pPr>
            <w:r>
              <w:rPr>
                <w:noProof/>
              </w:rPr>
              <w:t>164</w:t>
            </w:r>
          </w:p>
        </w:tc>
        <w:tc>
          <w:tcPr>
            <w:tcW w:w="3969"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242E4672" w14:textId="77777777" w:rsidR="00025543" w:rsidRDefault="007E3A2F">
            <w:pPr>
              <w:pStyle w:val="P68B1DB1-Normal57"/>
              <w:spacing w:before="0" w:after="0" w:line="240" w:lineRule="auto"/>
              <w:jc w:val="center"/>
              <w:rPr>
                <w:noProof/>
              </w:rPr>
            </w:pPr>
            <w:r>
              <w:rPr>
                <w:noProof/>
              </w:rPr>
              <w:t xml:space="preserve">C 2.9: Promotion de la biodiversité et lutte contre la sécheresse — Investissement 3: Zones protégées, y compris les sites Natura 2000 et les espèces végétales et animales protégées </w:t>
            </w:r>
          </w:p>
        </w:tc>
        <w:tc>
          <w:tcPr>
            <w:tcW w:w="1843"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1E514414"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4" w:space="0" w:color="auto"/>
              <w:left w:val="nil"/>
              <w:bottom w:val="nil"/>
              <w:right w:val="single" w:sz="8" w:space="0" w:color="000000" w:themeColor="text1"/>
            </w:tcBorders>
            <w:shd w:val="clear" w:color="auto" w:fill="C6EFCE"/>
            <w:vAlign w:val="center"/>
            <w:hideMark/>
          </w:tcPr>
          <w:p w14:paraId="2EAD83BD" w14:textId="77777777" w:rsidR="00025543" w:rsidRDefault="007E3A2F">
            <w:pPr>
              <w:pStyle w:val="P68B1DB1-Normal56"/>
              <w:spacing w:before="0" w:after="0" w:line="240" w:lineRule="auto"/>
              <w:jc w:val="center"/>
              <w:rPr>
                <w:noProof/>
              </w:rPr>
            </w:pPr>
            <w:r>
              <w:rPr>
                <w:noProof/>
              </w:rPr>
              <w:t xml:space="preserve">Achèvement des projets visant à la conservation de zones protégées, y compris des sites Natura 2000, et d’espèces végétales et animales protégées. </w:t>
            </w:r>
          </w:p>
        </w:tc>
      </w:tr>
      <w:tr w:rsidR="00025543" w14:paraId="7750EC92" w14:textId="77777777">
        <w:trPr>
          <w:trHeight w:val="600"/>
        </w:trPr>
        <w:tc>
          <w:tcPr>
            <w:tcW w:w="1276" w:type="dxa"/>
            <w:tcBorders>
              <w:top w:val="single" w:sz="8" w:space="0" w:color="auto"/>
              <w:left w:val="single" w:sz="8" w:space="0" w:color="auto"/>
              <w:bottom w:val="single" w:sz="8" w:space="0" w:color="auto"/>
              <w:right w:val="single" w:sz="8" w:space="0" w:color="000000" w:themeColor="text1"/>
            </w:tcBorders>
            <w:shd w:val="clear" w:color="auto" w:fill="C6EFCE"/>
            <w:vAlign w:val="center"/>
            <w:hideMark/>
          </w:tcPr>
          <w:p w14:paraId="130891BE" w14:textId="77777777" w:rsidR="00025543" w:rsidRDefault="007E3A2F">
            <w:pPr>
              <w:pStyle w:val="P68B1DB1-Normal56"/>
              <w:spacing w:before="0" w:after="0" w:line="240" w:lineRule="auto"/>
              <w:jc w:val="center"/>
              <w:rPr>
                <w:noProof/>
              </w:rPr>
            </w:pPr>
            <w:r>
              <w:rPr>
                <w:noProof/>
              </w:rPr>
              <w:t>165</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4ACBEBC8" w14:textId="77777777" w:rsidR="00025543" w:rsidRDefault="007E3A2F">
            <w:pPr>
              <w:pStyle w:val="P68B1DB1-Normal57"/>
              <w:spacing w:before="0" w:after="0" w:line="240" w:lineRule="auto"/>
              <w:jc w:val="center"/>
              <w:rPr>
                <w:noProof/>
              </w:rPr>
            </w:pPr>
            <w:r>
              <w:rPr>
                <w:noProof/>
              </w:rPr>
              <w:t xml:space="preserve">C 2.9: Promotion de la biodiversité et lutte contre la sécheresse — Investissement 4: Adaptation des écosystèmes aquatiques, non forestiers et forestiers au changement climatique </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0C21359F" w14:textId="77777777" w:rsidR="00025543" w:rsidRDefault="007E3A2F">
            <w:pPr>
              <w:pStyle w:val="P68B1DB1-Normal57"/>
              <w:spacing w:before="0" w:after="0" w:line="240" w:lineRule="auto"/>
              <w:jc w:val="center"/>
              <w:rPr>
                <w:noProof/>
              </w:rPr>
            </w:pPr>
            <w:r>
              <w:rPr>
                <w:noProof/>
              </w:rPr>
              <w:t>Étapes</w:t>
            </w:r>
          </w:p>
        </w:tc>
        <w:tc>
          <w:tcPr>
            <w:tcW w:w="3402" w:type="dxa"/>
            <w:tcBorders>
              <w:top w:val="single" w:sz="8" w:space="0" w:color="auto"/>
              <w:left w:val="nil"/>
              <w:bottom w:val="single" w:sz="8" w:space="0" w:color="auto"/>
              <w:right w:val="single" w:sz="8" w:space="0" w:color="000000" w:themeColor="text1"/>
            </w:tcBorders>
            <w:shd w:val="clear" w:color="auto" w:fill="C6EFCE"/>
            <w:vAlign w:val="center"/>
            <w:hideMark/>
          </w:tcPr>
          <w:p w14:paraId="7112BFB1" w14:textId="77777777" w:rsidR="00025543" w:rsidRDefault="007E3A2F">
            <w:pPr>
              <w:pStyle w:val="P68B1DB1-Normal56"/>
              <w:spacing w:before="0" w:after="0" w:line="240" w:lineRule="auto"/>
              <w:jc w:val="center"/>
              <w:rPr>
                <w:noProof/>
              </w:rPr>
            </w:pPr>
            <w:r>
              <w:rPr>
                <w:noProof/>
              </w:rPr>
              <w:t xml:space="preserve">Achèvement des projets visant à adapter les écosystèmes aquatiques, non forestiers et forestiers au changement climatique </w:t>
            </w:r>
          </w:p>
        </w:tc>
      </w:tr>
      <w:tr w:rsidR="00025543" w14:paraId="3F604EB0" w14:textId="77777777">
        <w:trPr>
          <w:trHeight w:val="600"/>
        </w:trPr>
        <w:tc>
          <w:tcPr>
            <w:tcW w:w="1276" w:type="dxa"/>
            <w:tcBorders>
              <w:top w:val="nil"/>
              <w:left w:val="single" w:sz="8" w:space="0" w:color="auto"/>
              <w:bottom w:val="single" w:sz="8" w:space="0" w:color="auto"/>
              <w:right w:val="single" w:sz="8" w:space="0" w:color="auto"/>
            </w:tcBorders>
            <w:shd w:val="clear" w:color="auto" w:fill="C6EFCE"/>
            <w:vAlign w:val="center"/>
            <w:hideMark/>
          </w:tcPr>
          <w:p w14:paraId="7690A63B" w14:textId="77777777" w:rsidR="00025543" w:rsidRDefault="007E3A2F">
            <w:pPr>
              <w:pStyle w:val="P68B1DB1-Normal56"/>
              <w:spacing w:before="0" w:after="0" w:line="240" w:lineRule="auto"/>
              <w:jc w:val="center"/>
              <w:rPr>
                <w:noProof/>
              </w:rPr>
            </w:pPr>
            <w:r>
              <w:rPr>
                <w:noProof/>
              </w:rPr>
              <w:t>166</w:t>
            </w:r>
          </w:p>
        </w:tc>
        <w:tc>
          <w:tcPr>
            <w:tcW w:w="3969" w:type="dxa"/>
            <w:tcBorders>
              <w:top w:val="nil"/>
              <w:left w:val="nil"/>
              <w:bottom w:val="single" w:sz="8" w:space="0" w:color="auto"/>
              <w:right w:val="single" w:sz="8" w:space="0" w:color="000000" w:themeColor="text1"/>
            </w:tcBorders>
            <w:shd w:val="clear" w:color="auto" w:fill="C6EFCE"/>
            <w:vAlign w:val="center"/>
            <w:hideMark/>
          </w:tcPr>
          <w:p w14:paraId="264615C1" w14:textId="77777777" w:rsidR="00025543" w:rsidRDefault="007E3A2F">
            <w:pPr>
              <w:pStyle w:val="P68B1DB1-Normal57"/>
              <w:spacing w:before="0" w:after="0" w:line="240" w:lineRule="auto"/>
              <w:jc w:val="center"/>
              <w:rPr>
                <w:noProof/>
              </w:rPr>
            </w:pPr>
            <w:r>
              <w:rPr>
                <w:noProof/>
              </w:rPr>
              <w:t>C 2.9: Promotion de la biodiversité et lutte contre la sécheresse — Investissement 4: Adaptation des écosystèmes aquatiques, non forestiers et forestiers au changement climatique</w:t>
            </w:r>
          </w:p>
        </w:tc>
        <w:tc>
          <w:tcPr>
            <w:tcW w:w="1843" w:type="dxa"/>
            <w:tcBorders>
              <w:top w:val="nil"/>
              <w:left w:val="nil"/>
              <w:bottom w:val="single" w:sz="8" w:space="0" w:color="auto"/>
              <w:right w:val="single" w:sz="8" w:space="0" w:color="auto"/>
            </w:tcBorders>
            <w:shd w:val="clear" w:color="auto" w:fill="C6EFCE"/>
            <w:vAlign w:val="center"/>
            <w:hideMark/>
          </w:tcPr>
          <w:p w14:paraId="69BD4B60" w14:textId="77777777" w:rsidR="00025543" w:rsidRDefault="007E3A2F">
            <w:pPr>
              <w:pStyle w:val="P68B1DB1-Normal56"/>
              <w:spacing w:before="0" w:after="0" w:line="240" w:lineRule="auto"/>
              <w:jc w:val="center"/>
              <w:rPr>
                <w:noProof/>
              </w:rPr>
            </w:pPr>
            <w:r>
              <w:rPr>
                <w:noProof/>
              </w:rPr>
              <w:t>Cible</w:t>
            </w:r>
          </w:p>
        </w:tc>
        <w:tc>
          <w:tcPr>
            <w:tcW w:w="3402" w:type="dxa"/>
            <w:tcBorders>
              <w:top w:val="nil"/>
              <w:left w:val="nil"/>
              <w:bottom w:val="single" w:sz="8" w:space="0" w:color="auto"/>
              <w:right w:val="single" w:sz="8" w:space="0" w:color="auto"/>
            </w:tcBorders>
            <w:shd w:val="clear" w:color="auto" w:fill="C6EFCE"/>
            <w:vAlign w:val="center"/>
            <w:hideMark/>
          </w:tcPr>
          <w:p w14:paraId="1E019FE8" w14:textId="77777777" w:rsidR="00025543" w:rsidRDefault="007E3A2F">
            <w:pPr>
              <w:pStyle w:val="P68B1DB1-Normal56"/>
              <w:spacing w:before="0" w:after="0" w:line="240" w:lineRule="auto"/>
              <w:jc w:val="center"/>
              <w:rPr>
                <w:noProof/>
              </w:rPr>
            </w:pPr>
            <w:r>
              <w:rPr>
                <w:noProof/>
              </w:rPr>
              <w:t>Évaluation du potentiel de rétention d’eau et proposition de mesures concrètes</w:t>
            </w:r>
          </w:p>
        </w:tc>
      </w:tr>
      <w:tr w:rsidR="00025543" w14:paraId="0EFCC19D" w14:textId="77777777">
        <w:trPr>
          <w:trHeight w:val="600"/>
        </w:trPr>
        <w:tc>
          <w:tcPr>
            <w:tcW w:w="1276" w:type="dxa"/>
            <w:tcBorders>
              <w:top w:val="nil"/>
              <w:left w:val="single" w:sz="8" w:space="0" w:color="auto"/>
              <w:bottom w:val="single" w:sz="8" w:space="0" w:color="auto"/>
              <w:right w:val="single" w:sz="8" w:space="0" w:color="000000" w:themeColor="text1"/>
            </w:tcBorders>
            <w:shd w:val="clear" w:color="auto" w:fill="C6EFCE"/>
            <w:vAlign w:val="center"/>
            <w:hideMark/>
          </w:tcPr>
          <w:p w14:paraId="6CB793BF" w14:textId="77777777" w:rsidR="00025543" w:rsidRDefault="007E3A2F">
            <w:pPr>
              <w:pStyle w:val="P68B1DB1-Normal56"/>
              <w:spacing w:before="0" w:after="0" w:line="240" w:lineRule="auto"/>
              <w:jc w:val="center"/>
              <w:rPr>
                <w:noProof/>
              </w:rPr>
            </w:pPr>
            <w:r>
              <w:rPr>
                <w:noProof/>
              </w:rPr>
              <w:t>167</w:t>
            </w:r>
          </w:p>
        </w:tc>
        <w:tc>
          <w:tcPr>
            <w:tcW w:w="3969" w:type="dxa"/>
            <w:tcBorders>
              <w:top w:val="nil"/>
              <w:left w:val="nil"/>
              <w:bottom w:val="single" w:sz="8" w:space="0" w:color="auto"/>
              <w:right w:val="single" w:sz="8" w:space="0" w:color="000000" w:themeColor="text1"/>
            </w:tcBorders>
            <w:shd w:val="clear" w:color="auto" w:fill="C6EFCE"/>
            <w:vAlign w:val="center"/>
            <w:hideMark/>
          </w:tcPr>
          <w:p w14:paraId="59ABF01C" w14:textId="77777777" w:rsidR="00025543" w:rsidRDefault="007E3A2F">
            <w:pPr>
              <w:pStyle w:val="P68B1DB1-Normal57"/>
              <w:spacing w:before="0" w:after="0" w:line="240" w:lineRule="auto"/>
              <w:jc w:val="center"/>
              <w:rPr>
                <w:noProof/>
              </w:rPr>
            </w:pPr>
            <w:r>
              <w:rPr>
                <w:noProof/>
              </w:rPr>
              <w:t>C 2.9: Promotion de la biodiversité et lutte contre la sécheresse — Investissement 4: Adaptation des écosystèmes aquatiques, non forestiers et forestiers au changement climatique</w:t>
            </w:r>
          </w:p>
        </w:tc>
        <w:tc>
          <w:tcPr>
            <w:tcW w:w="1843" w:type="dxa"/>
            <w:tcBorders>
              <w:top w:val="nil"/>
              <w:left w:val="nil"/>
              <w:bottom w:val="single" w:sz="8" w:space="0" w:color="auto"/>
              <w:right w:val="single" w:sz="8" w:space="0" w:color="000000" w:themeColor="text1"/>
            </w:tcBorders>
            <w:shd w:val="clear" w:color="auto" w:fill="C6EFCE"/>
            <w:vAlign w:val="center"/>
            <w:hideMark/>
          </w:tcPr>
          <w:p w14:paraId="34274767" w14:textId="77777777" w:rsidR="00025543" w:rsidRDefault="007E3A2F">
            <w:pPr>
              <w:pStyle w:val="P68B1DB1-Normal56"/>
              <w:spacing w:before="0" w:after="0" w:line="240" w:lineRule="auto"/>
              <w:jc w:val="center"/>
              <w:rPr>
                <w:noProof/>
              </w:rPr>
            </w:pPr>
            <w:r>
              <w:rPr>
                <w:noProof/>
              </w:rPr>
              <w:t>Cible</w:t>
            </w:r>
          </w:p>
        </w:tc>
        <w:tc>
          <w:tcPr>
            <w:tcW w:w="3402" w:type="dxa"/>
            <w:tcBorders>
              <w:top w:val="nil"/>
              <w:left w:val="nil"/>
              <w:bottom w:val="single" w:sz="8" w:space="0" w:color="auto"/>
              <w:right w:val="single" w:sz="8" w:space="0" w:color="000000" w:themeColor="text1"/>
            </w:tcBorders>
            <w:shd w:val="clear" w:color="auto" w:fill="C6EFCE"/>
            <w:vAlign w:val="center"/>
            <w:hideMark/>
          </w:tcPr>
          <w:p w14:paraId="61EAFD1A" w14:textId="77777777" w:rsidR="00025543" w:rsidRDefault="007E3A2F">
            <w:pPr>
              <w:pStyle w:val="P68B1DB1-Normal56"/>
              <w:spacing w:before="0" w:after="0" w:line="240" w:lineRule="auto"/>
              <w:jc w:val="center"/>
              <w:rPr>
                <w:noProof/>
              </w:rPr>
            </w:pPr>
            <w:r>
              <w:rPr>
                <w:noProof/>
              </w:rPr>
              <w:t>Mise en œuvre des mesures de rétention d’eau proposées</w:t>
            </w:r>
          </w:p>
        </w:tc>
      </w:tr>
      <w:tr w:rsidR="00025543" w14:paraId="4A7BB30A" w14:textId="77777777">
        <w:trPr>
          <w:trHeight w:val="600"/>
        </w:trPr>
        <w:tc>
          <w:tcPr>
            <w:tcW w:w="1276" w:type="dxa"/>
            <w:tcBorders>
              <w:top w:val="nil"/>
              <w:left w:val="single" w:sz="8" w:space="0" w:color="auto"/>
              <w:bottom w:val="nil"/>
              <w:right w:val="single" w:sz="8" w:space="0" w:color="auto"/>
            </w:tcBorders>
            <w:shd w:val="clear" w:color="auto" w:fill="C6EFCE"/>
            <w:vAlign w:val="center"/>
            <w:hideMark/>
          </w:tcPr>
          <w:p w14:paraId="119C5E7B" w14:textId="77777777" w:rsidR="00025543" w:rsidRDefault="007E3A2F">
            <w:pPr>
              <w:pStyle w:val="P68B1DB1-Normal56"/>
              <w:spacing w:before="0" w:after="0" w:line="240" w:lineRule="auto"/>
              <w:jc w:val="center"/>
              <w:rPr>
                <w:noProof/>
              </w:rPr>
            </w:pPr>
            <w:r>
              <w:rPr>
                <w:noProof/>
              </w:rPr>
              <w:t>173</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36E1623C" w14:textId="77777777" w:rsidR="00025543" w:rsidRDefault="007E3A2F">
            <w:pPr>
              <w:pStyle w:val="P68B1DB1-Normal57"/>
              <w:spacing w:before="0" w:after="0" w:line="240" w:lineRule="auto"/>
              <w:jc w:val="center"/>
              <w:rPr>
                <w:noProof/>
              </w:rPr>
            </w:pPr>
            <w:r>
              <w:rPr>
                <w:noProof/>
              </w:rPr>
              <w:t>C 3.1: Innovation dans l’éducation dans le contexte de la numérisation — Investissement 2: Équipement numérique pour les écoles</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7F82718F" w14:textId="2EFEDCD4" w:rsidR="00025543" w:rsidRDefault="007E3A2F">
            <w:pPr>
              <w:pStyle w:val="P68B1DB1-Normal35"/>
              <w:spacing w:before="0" w:after="0" w:line="240" w:lineRule="auto"/>
              <w:jc w:val="center"/>
              <w:rPr>
                <w:rFonts w:eastAsia="Times New Roman"/>
                <w:noProof/>
                <w:sz w:val="20"/>
              </w:rPr>
            </w:pPr>
            <w:r>
              <w:rPr>
                <w:noProof/>
              </w:rPr>
              <w:t>Cible</w:t>
            </w:r>
          </w:p>
        </w:tc>
        <w:tc>
          <w:tcPr>
            <w:tcW w:w="3402" w:type="dxa"/>
            <w:tcBorders>
              <w:top w:val="nil"/>
              <w:left w:val="nil"/>
              <w:bottom w:val="nil"/>
              <w:right w:val="single" w:sz="8" w:space="0" w:color="auto"/>
            </w:tcBorders>
            <w:shd w:val="clear" w:color="auto" w:fill="C6EFCE"/>
            <w:vAlign w:val="center"/>
            <w:hideMark/>
          </w:tcPr>
          <w:p w14:paraId="4A4B6C04" w14:textId="77777777" w:rsidR="00025543" w:rsidRDefault="007E3A2F">
            <w:pPr>
              <w:pStyle w:val="P68B1DB1-Normal56"/>
              <w:spacing w:before="0" w:after="0" w:line="240" w:lineRule="auto"/>
              <w:jc w:val="center"/>
              <w:rPr>
                <w:noProof/>
              </w:rPr>
            </w:pPr>
            <w:r>
              <w:rPr>
                <w:noProof/>
              </w:rPr>
              <w:t>Nombre d’appareils informatiques achetés pour le fonds scolaire d’appareils numériques mobiles destinés aux élèves défavorisés</w:t>
            </w:r>
          </w:p>
        </w:tc>
      </w:tr>
      <w:tr w:rsidR="00025543" w14:paraId="7A912280" w14:textId="77777777">
        <w:trPr>
          <w:trHeight w:val="405"/>
        </w:trPr>
        <w:tc>
          <w:tcPr>
            <w:tcW w:w="1276" w:type="dxa"/>
            <w:tcBorders>
              <w:top w:val="single" w:sz="8" w:space="0" w:color="auto"/>
              <w:left w:val="single" w:sz="8" w:space="0" w:color="auto"/>
              <w:bottom w:val="single" w:sz="8" w:space="0" w:color="auto"/>
              <w:right w:val="single" w:sz="8" w:space="0" w:color="auto"/>
            </w:tcBorders>
            <w:shd w:val="clear" w:color="auto" w:fill="C6EFCE"/>
            <w:vAlign w:val="center"/>
            <w:hideMark/>
          </w:tcPr>
          <w:p w14:paraId="06905B75" w14:textId="77777777" w:rsidR="00025543" w:rsidRDefault="007E3A2F">
            <w:pPr>
              <w:pStyle w:val="P68B1DB1-Normal57"/>
              <w:spacing w:before="0" w:after="0" w:line="240" w:lineRule="auto"/>
              <w:jc w:val="center"/>
              <w:rPr>
                <w:noProof/>
              </w:rPr>
            </w:pPr>
            <w:r>
              <w:rPr>
                <w:noProof/>
              </w:rPr>
              <w:t>181</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6B113C4B" w14:textId="77777777" w:rsidR="00025543" w:rsidRDefault="007E3A2F">
            <w:pPr>
              <w:pStyle w:val="P68B1DB1-Normal57"/>
              <w:spacing w:before="0" w:after="0" w:line="240" w:lineRule="auto"/>
              <w:jc w:val="center"/>
              <w:rPr>
                <w:noProof/>
              </w:rPr>
            </w:pPr>
            <w:r>
              <w:rPr>
                <w:noProof/>
              </w:rPr>
              <w:t>C 3.2: Adaptation des programmes scolaires — Réforme 2: Soutien aux écoles défavorisées</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0F42EA35"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8" w:space="0" w:color="auto"/>
              <w:left w:val="nil"/>
              <w:bottom w:val="single" w:sz="8" w:space="0" w:color="auto"/>
              <w:right w:val="single" w:sz="8" w:space="0" w:color="auto"/>
            </w:tcBorders>
            <w:shd w:val="clear" w:color="auto" w:fill="C6EFCE"/>
            <w:vAlign w:val="center"/>
            <w:hideMark/>
          </w:tcPr>
          <w:p w14:paraId="151FA888" w14:textId="77777777" w:rsidR="00025543" w:rsidRDefault="007E3A2F">
            <w:pPr>
              <w:pStyle w:val="P68B1DB1-Normal57"/>
              <w:spacing w:before="0" w:after="0" w:line="240" w:lineRule="auto"/>
              <w:jc w:val="center"/>
              <w:rPr>
                <w:noProof/>
              </w:rPr>
            </w:pPr>
            <w:r>
              <w:rPr>
                <w:noProof/>
              </w:rPr>
              <w:t xml:space="preserve">Nombre d’écoles défavorisées bénéficiant d’un soutien </w:t>
            </w:r>
          </w:p>
        </w:tc>
      </w:tr>
      <w:tr w:rsidR="00025543" w14:paraId="23C7947E" w14:textId="77777777">
        <w:trPr>
          <w:trHeight w:val="405"/>
        </w:trPr>
        <w:tc>
          <w:tcPr>
            <w:tcW w:w="1276" w:type="dxa"/>
            <w:tcBorders>
              <w:top w:val="nil"/>
              <w:left w:val="single" w:sz="8" w:space="0" w:color="auto"/>
              <w:bottom w:val="single" w:sz="8" w:space="0" w:color="000000" w:themeColor="text1"/>
              <w:right w:val="single" w:sz="8" w:space="0" w:color="auto"/>
            </w:tcBorders>
            <w:shd w:val="clear" w:color="auto" w:fill="C6EFCE"/>
            <w:vAlign w:val="center"/>
            <w:hideMark/>
          </w:tcPr>
          <w:p w14:paraId="2CE57213" w14:textId="77777777" w:rsidR="00025543" w:rsidRDefault="007E3A2F">
            <w:pPr>
              <w:pStyle w:val="P68B1DB1-Normal57"/>
              <w:spacing w:before="0" w:after="0" w:line="240" w:lineRule="auto"/>
              <w:jc w:val="center"/>
              <w:rPr>
                <w:noProof/>
              </w:rPr>
            </w:pPr>
            <w:r>
              <w:rPr>
                <w:noProof/>
              </w:rPr>
              <w:t>182</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79561A31" w14:textId="77777777" w:rsidR="00025543" w:rsidRDefault="007E3A2F">
            <w:pPr>
              <w:pStyle w:val="P68B1DB1-Normal57"/>
              <w:spacing w:before="0" w:after="0" w:line="240" w:lineRule="auto"/>
              <w:jc w:val="center"/>
              <w:rPr>
                <w:noProof/>
              </w:rPr>
            </w:pPr>
            <w:r>
              <w:rPr>
                <w:noProof/>
              </w:rPr>
              <w:t>C 3.2: Adaptation des programmes scolaires — Réforme 2: Soutien aux écoles défavorisées</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7737BB17" w14:textId="77777777" w:rsidR="00025543" w:rsidRDefault="007E3A2F">
            <w:pPr>
              <w:pStyle w:val="P68B1DB1-Normal57"/>
              <w:spacing w:before="0" w:after="0" w:line="240" w:lineRule="auto"/>
              <w:jc w:val="center"/>
              <w:rPr>
                <w:noProof/>
              </w:rPr>
            </w:pPr>
            <w:r>
              <w:rPr>
                <w:noProof/>
              </w:rPr>
              <w:t>Étapes</w:t>
            </w:r>
          </w:p>
        </w:tc>
        <w:tc>
          <w:tcPr>
            <w:tcW w:w="3402" w:type="dxa"/>
            <w:tcBorders>
              <w:top w:val="nil"/>
              <w:left w:val="nil"/>
              <w:bottom w:val="single" w:sz="8" w:space="0" w:color="000000" w:themeColor="text1"/>
              <w:right w:val="single" w:sz="8" w:space="0" w:color="auto"/>
            </w:tcBorders>
            <w:shd w:val="clear" w:color="auto" w:fill="C6EFCE"/>
            <w:vAlign w:val="center"/>
            <w:hideMark/>
          </w:tcPr>
          <w:p w14:paraId="301153C6" w14:textId="77777777" w:rsidR="00025543" w:rsidRDefault="007E3A2F">
            <w:pPr>
              <w:pStyle w:val="P68B1DB1-Normal57"/>
              <w:spacing w:before="0" w:after="0" w:line="240" w:lineRule="auto"/>
              <w:jc w:val="center"/>
              <w:rPr>
                <w:noProof/>
              </w:rPr>
            </w:pPr>
            <w:r>
              <w:rPr>
                <w:noProof/>
              </w:rPr>
              <w:t>Proposition d’un nouveau système de financement des écoles en fonction des désavantages socio-économiques</w:t>
            </w:r>
          </w:p>
        </w:tc>
      </w:tr>
      <w:tr w:rsidR="00025543" w14:paraId="7190E5C5" w14:textId="77777777">
        <w:trPr>
          <w:trHeight w:val="600"/>
        </w:trPr>
        <w:tc>
          <w:tcPr>
            <w:tcW w:w="1276" w:type="dxa"/>
            <w:tcBorders>
              <w:top w:val="single" w:sz="4" w:space="0" w:color="000000" w:themeColor="text1"/>
              <w:left w:val="single" w:sz="8" w:space="0" w:color="auto"/>
              <w:bottom w:val="nil"/>
              <w:right w:val="single" w:sz="8" w:space="0" w:color="auto"/>
            </w:tcBorders>
            <w:shd w:val="clear" w:color="auto" w:fill="C6EFCE"/>
            <w:vAlign w:val="center"/>
            <w:hideMark/>
          </w:tcPr>
          <w:p w14:paraId="3A987D24" w14:textId="77777777" w:rsidR="00025543" w:rsidRDefault="007E3A2F">
            <w:pPr>
              <w:pStyle w:val="P68B1DB1-Normal57"/>
              <w:spacing w:before="0" w:after="0" w:line="240" w:lineRule="auto"/>
              <w:jc w:val="center"/>
              <w:rPr>
                <w:noProof/>
              </w:rPr>
            </w:pPr>
            <w:r>
              <w:rPr>
                <w:noProof/>
              </w:rPr>
              <w:t>185</w:t>
            </w:r>
          </w:p>
        </w:tc>
        <w:tc>
          <w:tcPr>
            <w:tcW w:w="3969"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07059FFB" w14:textId="77777777" w:rsidR="00025543" w:rsidRDefault="007E3A2F">
            <w:pPr>
              <w:pStyle w:val="P68B1DB1-Normal57"/>
              <w:spacing w:before="0" w:after="0" w:line="240" w:lineRule="auto"/>
              <w:jc w:val="center"/>
              <w:rPr>
                <w:noProof/>
              </w:rPr>
            </w:pPr>
            <w:r>
              <w:rPr>
                <w:noProof/>
              </w:rPr>
              <w:t>C 3.3: Modernisation des services de l’emploi et développement du marché du travail — Réforme 1: Développement des politiques du marché du travail</w:t>
            </w:r>
          </w:p>
        </w:tc>
        <w:tc>
          <w:tcPr>
            <w:tcW w:w="1843"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7DD701BF" w14:textId="77777777" w:rsidR="00025543" w:rsidRDefault="007E3A2F">
            <w:pPr>
              <w:pStyle w:val="P68B1DB1-Normal57"/>
              <w:spacing w:before="0" w:after="0" w:line="240" w:lineRule="auto"/>
              <w:jc w:val="center"/>
              <w:rPr>
                <w:noProof/>
              </w:rPr>
            </w:pPr>
            <w:r>
              <w:rPr>
                <w:noProof/>
              </w:rPr>
              <w:t>Étapes</w:t>
            </w:r>
          </w:p>
        </w:tc>
        <w:tc>
          <w:tcPr>
            <w:tcW w:w="3402" w:type="dxa"/>
            <w:tcBorders>
              <w:top w:val="single" w:sz="4" w:space="0" w:color="000000" w:themeColor="text1"/>
              <w:left w:val="nil"/>
              <w:bottom w:val="nil"/>
              <w:right w:val="single" w:sz="8" w:space="0" w:color="auto"/>
            </w:tcBorders>
            <w:shd w:val="clear" w:color="auto" w:fill="C6EFCE"/>
            <w:vAlign w:val="center"/>
            <w:hideMark/>
          </w:tcPr>
          <w:p w14:paraId="3C6B0AFA" w14:textId="77777777" w:rsidR="00025543" w:rsidRDefault="007E3A2F">
            <w:pPr>
              <w:pStyle w:val="P68B1DB1-Normal57"/>
              <w:spacing w:before="0" w:after="0" w:line="240" w:lineRule="auto"/>
              <w:jc w:val="center"/>
              <w:rPr>
                <w:noProof/>
              </w:rPr>
            </w:pPr>
            <w:r>
              <w:rPr>
                <w:noProof/>
              </w:rPr>
              <w:t>Entrée en vigueur de la loi modifiée sur l’emploi visant à accroître l’efficacité des services de l’emploi et à mieux cibler les groupes les plus vulnérables</w:t>
            </w:r>
          </w:p>
        </w:tc>
      </w:tr>
      <w:tr w:rsidR="00025543" w14:paraId="2C8263F6" w14:textId="77777777">
        <w:trPr>
          <w:trHeight w:val="600"/>
        </w:trPr>
        <w:tc>
          <w:tcPr>
            <w:tcW w:w="1276" w:type="dxa"/>
            <w:tcBorders>
              <w:top w:val="single" w:sz="8" w:space="0" w:color="auto"/>
              <w:left w:val="single" w:sz="8" w:space="0" w:color="auto"/>
              <w:bottom w:val="single" w:sz="4" w:space="0" w:color="auto"/>
              <w:right w:val="single" w:sz="8" w:space="0" w:color="auto"/>
            </w:tcBorders>
            <w:shd w:val="clear" w:color="auto" w:fill="C6EFCE"/>
            <w:vAlign w:val="center"/>
            <w:hideMark/>
          </w:tcPr>
          <w:p w14:paraId="5ECBA54F" w14:textId="77777777" w:rsidR="00025543" w:rsidRDefault="007E3A2F">
            <w:pPr>
              <w:pStyle w:val="P68B1DB1-Normal57"/>
              <w:spacing w:before="0" w:after="0" w:line="240" w:lineRule="auto"/>
              <w:jc w:val="center"/>
              <w:rPr>
                <w:noProof/>
              </w:rPr>
            </w:pPr>
            <w:r>
              <w:rPr>
                <w:noProof/>
              </w:rPr>
              <w:t>187</w:t>
            </w:r>
          </w:p>
        </w:tc>
        <w:tc>
          <w:tcPr>
            <w:tcW w:w="3969" w:type="dxa"/>
            <w:tcBorders>
              <w:top w:val="nil"/>
              <w:left w:val="nil"/>
              <w:bottom w:val="single" w:sz="4" w:space="0" w:color="auto"/>
              <w:right w:val="single" w:sz="8" w:space="0" w:color="000000" w:themeColor="text1"/>
            </w:tcBorders>
            <w:shd w:val="clear" w:color="auto" w:fill="C6EFCE"/>
            <w:vAlign w:val="center"/>
            <w:hideMark/>
          </w:tcPr>
          <w:p w14:paraId="4591B385" w14:textId="77777777" w:rsidR="00025543" w:rsidRDefault="007E3A2F">
            <w:pPr>
              <w:pStyle w:val="P68B1DB1-Normal57"/>
              <w:spacing w:before="0" w:after="0" w:line="240" w:lineRule="auto"/>
              <w:jc w:val="center"/>
              <w:rPr>
                <w:noProof/>
              </w:rPr>
            </w:pPr>
            <w:r>
              <w:rPr>
                <w:noProof/>
              </w:rPr>
              <w:t>C 3.3: Modernisation des services de l’emploi et développement du marché du travail — Investissement 1: Développement des politiques du marché du travail</w:t>
            </w:r>
          </w:p>
        </w:tc>
        <w:tc>
          <w:tcPr>
            <w:tcW w:w="1843" w:type="dxa"/>
            <w:tcBorders>
              <w:top w:val="nil"/>
              <w:left w:val="nil"/>
              <w:bottom w:val="single" w:sz="4" w:space="0" w:color="auto"/>
              <w:right w:val="single" w:sz="8" w:space="0" w:color="000000" w:themeColor="text1"/>
            </w:tcBorders>
            <w:shd w:val="clear" w:color="auto" w:fill="C6EFCE"/>
            <w:vAlign w:val="center"/>
            <w:hideMark/>
          </w:tcPr>
          <w:p w14:paraId="01A0DDC5"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8" w:space="0" w:color="auto"/>
              <w:left w:val="nil"/>
              <w:bottom w:val="single" w:sz="4" w:space="0" w:color="auto"/>
              <w:right w:val="single" w:sz="8" w:space="0" w:color="auto"/>
            </w:tcBorders>
            <w:shd w:val="clear" w:color="auto" w:fill="C6EFCE"/>
            <w:vAlign w:val="center"/>
            <w:hideMark/>
          </w:tcPr>
          <w:p w14:paraId="136889FD" w14:textId="77777777" w:rsidR="00025543" w:rsidRDefault="007E3A2F">
            <w:pPr>
              <w:pStyle w:val="P68B1DB1-Normal57"/>
              <w:spacing w:before="0" w:after="0" w:line="240" w:lineRule="auto"/>
              <w:jc w:val="center"/>
              <w:rPr>
                <w:noProof/>
              </w:rPr>
            </w:pPr>
            <w:r>
              <w:rPr>
                <w:noProof/>
              </w:rPr>
              <w:t>Nombre de personnes ayant bénéficié de la reconversion et du perfectionnement professionnels en matière de compétences numériques et de compétences nécessaires à l’industrie 4.0</w:t>
            </w:r>
          </w:p>
        </w:tc>
      </w:tr>
      <w:tr w:rsidR="00025543" w14:paraId="3E74AEA4" w14:textId="77777777">
        <w:trPr>
          <w:trHeight w:val="600"/>
        </w:trPr>
        <w:tc>
          <w:tcPr>
            <w:tcW w:w="1276" w:type="dxa"/>
            <w:tcBorders>
              <w:top w:val="single" w:sz="4" w:space="0" w:color="auto"/>
              <w:left w:val="single" w:sz="8" w:space="0" w:color="auto"/>
              <w:bottom w:val="nil"/>
              <w:right w:val="single" w:sz="8" w:space="0" w:color="auto"/>
            </w:tcBorders>
            <w:shd w:val="clear" w:color="auto" w:fill="C6EFCE"/>
            <w:vAlign w:val="center"/>
            <w:hideMark/>
          </w:tcPr>
          <w:p w14:paraId="2141AA6D" w14:textId="77777777" w:rsidR="00025543" w:rsidRDefault="007E3A2F">
            <w:pPr>
              <w:pStyle w:val="P68B1DB1-Normal57"/>
              <w:spacing w:before="0" w:after="0" w:line="240" w:lineRule="auto"/>
              <w:jc w:val="center"/>
              <w:rPr>
                <w:noProof/>
              </w:rPr>
            </w:pPr>
            <w:r>
              <w:rPr>
                <w:noProof/>
              </w:rPr>
              <w:t>188</w:t>
            </w:r>
          </w:p>
        </w:tc>
        <w:tc>
          <w:tcPr>
            <w:tcW w:w="3969"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6F33CF74" w14:textId="77777777" w:rsidR="00025543" w:rsidRDefault="007E3A2F">
            <w:pPr>
              <w:pStyle w:val="P68B1DB1-Normal57"/>
              <w:spacing w:before="0" w:after="0" w:line="240" w:lineRule="auto"/>
              <w:jc w:val="center"/>
              <w:rPr>
                <w:noProof/>
              </w:rPr>
            </w:pPr>
            <w:r>
              <w:rPr>
                <w:noProof/>
              </w:rPr>
              <w:t>C 3.3: Modernisation des services de l’emploi et développement du marché du travail — Réforme 1: Développement des politiques du marché du travail</w:t>
            </w:r>
          </w:p>
        </w:tc>
        <w:tc>
          <w:tcPr>
            <w:tcW w:w="1843"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31AA9203"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4" w:space="0" w:color="auto"/>
              <w:left w:val="nil"/>
              <w:bottom w:val="nil"/>
              <w:right w:val="single" w:sz="8" w:space="0" w:color="auto"/>
            </w:tcBorders>
            <w:shd w:val="clear" w:color="auto" w:fill="C6EFCE"/>
            <w:vAlign w:val="center"/>
            <w:hideMark/>
          </w:tcPr>
          <w:p w14:paraId="77B03881" w14:textId="77777777" w:rsidR="00025543" w:rsidRDefault="007E3A2F">
            <w:pPr>
              <w:pStyle w:val="P68B1DB1-Normal57"/>
              <w:spacing w:before="0" w:after="0" w:line="240" w:lineRule="auto"/>
              <w:jc w:val="center"/>
              <w:rPr>
                <w:noProof/>
              </w:rPr>
            </w:pPr>
            <w:r>
              <w:rPr>
                <w:noProof/>
              </w:rPr>
              <w:t>Nombre de centres de formation régionaux créés pour promouvoir l’industrie 4.0</w:t>
            </w:r>
          </w:p>
        </w:tc>
      </w:tr>
      <w:tr w:rsidR="00025543" w14:paraId="789217F4" w14:textId="77777777">
        <w:trPr>
          <w:trHeight w:val="1185"/>
        </w:trPr>
        <w:tc>
          <w:tcPr>
            <w:tcW w:w="1276" w:type="dxa"/>
            <w:tcBorders>
              <w:top w:val="single" w:sz="8" w:space="0" w:color="auto"/>
              <w:left w:val="single" w:sz="8" w:space="0" w:color="auto"/>
              <w:bottom w:val="nil"/>
              <w:right w:val="single" w:sz="8" w:space="0" w:color="auto"/>
            </w:tcBorders>
            <w:shd w:val="clear" w:color="auto" w:fill="C6EFCE"/>
            <w:vAlign w:val="center"/>
            <w:hideMark/>
          </w:tcPr>
          <w:p w14:paraId="451A77FD" w14:textId="46041E3C" w:rsidR="00025543" w:rsidRDefault="007E3A2F">
            <w:pPr>
              <w:pStyle w:val="P68B1DB1-Normal57"/>
              <w:spacing w:line="240" w:lineRule="auto"/>
              <w:jc w:val="center"/>
              <w:rPr>
                <w:noProof/>
              </w:rPr>
            </w:pPr>
            <w:r>
              <w:rPr>
                <w:noProof/>
              </w:rPr>
              <w:t>194</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6CEAEA99" w14:textId="7D1BA35B" w:rsidR="00025543" w:rsidRDefault="007E3A2F">
            <w:pPr>
              <w:pStyle w:val="P68B1DB1-Normal57"/>
              <w:spacing w:line="240" w:lineRule="auto"/>
              <w:jc w:val="center"/>
              <w:rPr>
                <w:noProof/>
              </w:rPr>
            </w:pPr>
            <w:r>
              <w:rPr>
                <w:noProof/>
              </w:rPr>
              <w:t xml:space="preserve">C 3.3: Modernisation des services de l’emploi et développement du marché du travail — Investissement 3: Développement et modernisation des infrastructures d’aide sociale  </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04551A38" w14:textId="694D2894" w:rsidR="00025543" w:rsidRDefault="007E3A2F">
            <w:pPr>
              <w:pStyle w:val="P68B1DB1-Normal57"/>
              <w:spacing w:line="240" w:lineRule="auto"/>
              <w:jc w:val="center"/>
              <w:rPr>
                <w:noProof/>
              </w:rPr>
            </w:pPr>
            <w:r>
              <w:rPr>
                <w:noProof/>
              </w:rPr>
              <w:t>Cible</w:t>
            </w:r>
          </w:p>
        </w:tc>
        <w:tc>
          <w:tcPr>
            <w:tcW w:w="3402" w:type="dxa"/>
            <w:tcBorders>
              <w:top w:val="single" w:sz="8" w:space="0" w:color="auto"/>
              <w:left w:val="nil"/>
              <w:bottom w:val="nil"/>
              <w:right w:val="single" w:sz="8" w:space="0" w:color="auto"/>
            </w:tcBorders>
            <w:shd w:val="clear" w:color="auto" w:fill="C6EFCE"/>
            <w:vAlign w:val="center"/>
            <w:hideMark/>
          </w:tcPr>
          <w:p w14:paraId="1D5C5008" w14:textId="4EC560E1" w:rsidR="00025543" w:rsidRDefault="007E3A2F">
            <w:pPr>
              <w:pStyle w:val="P68B1DB1-Normal57"/>
              <w:spacing w:line="240" w:lineRule="auto"/>
              <w:jc w:val="center"/>
              <w:rPr>
                <w:noProof/>
              </w:rPr>
            </w:pPr>
            <w:r>
              <w:rPr>
                <w:noProof/>
              </w:rPr>
              <w:t xml:space="preserve">T1: Nombre d’installations de proximité résidentielles, ambulatoires, de sensibilisation, de prévention et de conseil construites ou reconstruites  </w:t>
            </w:r>
          </w:p>
        </w:tc>
      </w:tr>
      <w:tr w:rsidR="00025543" w14:paraId="09D18FE8" w14:textId="77777777">
        <w:trPr>
          <w:trHeight w:val="1185"/>
        </w:trPr>
        <w:tc>
          <w:tcPr>
            <w:tcW w:w="1276" w:type="dxa"/>
            <w:tcBorders>
              <w:top w:val="single" w:sz="8" w:space="0" w:color="auto"/>
              <w:left w:val="single" w:sz="8" w:space="0" w:color="auto"/>
              <w:bottom w:val="nil"/>
              <w:right w:val="single" w:sz="8" w:space="0" w:color="auto"/>
            </w:tcBorders>
            <w:shd w:val="clear" w:color="auto" w:fill="C6EFCE"/>
            <w:vAlign w:val="center"/>
            <w:hideMark/>
          </w:tcPr>
          <w:p w14:paraId="1375E03D" w14:textId="77777777" w:rsidR="00025543" w:rsidRDefault="007E3A2F">
            <w:pPr>
              <w:pStyle w:val="P68B1DB1-Normal57"/>
              <w:spacing w:before="0" w:after="0" w:line="240" w:lineRule="auto"/>
              <w:jc w:val="center"/>
              <w:rPr>
                <w:noProof/>
              </w:rPr>
            </w:pPr>
            <w:r>
              <w:rPr>
                <w:noProof/>
              </w:rPr>
              <w:t>201</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2C2845B9" w14:textId="77777777" w:rsidR="00025543" w:rsidRDefault="007E3A2F">
            <w:pPr>
              <w:pStyle w:val="P68B1DB1-Normal57"/>
              <w:spacing w:before="0" w:after="0" w:line="240" w:lineRule="auto"/>
              <w:jc w:val="center"/>
              <w:rPr>
                <w:noProof/>
              </w:rPr>
            </w:pPr>
            <w:r>
              <w:rPr>
                <w:noProof/>
              </w:rPr>
              <w:t xml:space="preserve">C 4.2: Nouveaux instruments de fonds propres pour la promotion de l’esprit d’entreprise et le développement de la Banque tchèque de garantie et de développement (ČMZRB) en tant que banque nationale de développement — Investissement 1: Mise au point d’une nouvelle ligne d’instruments de quasi-fonds propres soutenant l’esprit d’entreprise </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2007A193"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8" w:space="0" w:color="auto"/>
              <w:left w:val="nil"/>
              <w:bottom w:val="nil"/>
              <w:right w:val="single" w:sz="8" w:space="0" w:color="auto"/>
            </w:tcBorders>
            <w:shd w:val="clear" w:color="auto" w:fill="C6EFCE"/>
            <w:vAlign w:val="center"/>
            <w:hideMark/>
          </w:tcPr>
          <w:p w14:paraId="5FCE564C" w14:textId="77777777" w:rsidR="00025543" w:rsidRDefault="007E3A2F">
            <w:pPr>
              <w:pStyle w:val="P68B1DB1-Normal57"/>
              <w:spacing w:before="0" w:after="0" w:line="240" w:lineRule="auto"/>
              <w:jc w:val="center"/>
              <w:rPr>
                <w:noProof/>
              </w:rPr>
            </w:pPr>
            <w:r>
              <w:rPr>
                <w:noProof/>
              </w:rPr>
              <w:t>Investissements d’un montant total de 32 400 000 EUR dans des instruments de quasi-fonds propres en faveur de projets durables de PME</w:t>
            </w:r>
          </w:p>
        </w:tc>
      </w:tr>
      <w:tr w:rsidR="00025543" w14:paraId="1B2B0BEE" w14:textId="77777777">
        <w:trPr>
          <w:trHeight w:val="990"/>
        </w:trPr>
        <w:tc>
          <w:tcPr>
            <w:tcW w:w="1276" w:type="dxa"/>
            <w:tcBorders>
              <w:top w:val="single" w:sz="8" w:space="0" w:color="auto"/>
              <w:left w:val="single" w:sz="8" w:space="0" w:color="auto"/>
              <w:bottom w:val="nil"/>
              <w:right w:val="single" w:sz="8" w:space="0" w:color="auto"/>
            </w:tcBorders>
            <w:shd w:val="clear" w:color="auto" w:fill="C6EFCE"/>
            <w:vAlign w:val="center"/>
            <w:hideMark/>
          </w:tcPr>
          <w:p w14:paraId="478A7925" w14:textId="77777777" w:rsidR="00025543" w:rsidRDefault="007E3A2F">
            <w:pPr>
              <w:pStyle w:val="P68B1DB1-Normal57"/>
              <w:spacing w:before="0" w:after="0" w:line="240" w:lineRule="auto"/>
              <w:jc w:val="center"/>
              <w:rPr>
                <w:noProof/>
              </w:rPr>
            </w:pPr>
            <w:r>
              <w:rPr>
                <w:noProof/>
              </w:rPr>
              <w:t>215</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26564D52" w14:textId="77777777" w:rsidR="00025543" w:rsidRDefault="007E3A2F">
            <w:pPr>
              <w:pStyle w:val="P68B1DB1-Normal57"/>
              <w:spacing w:before="0" w:after="0" w:line="240" w:lineRule="auto"/>
              <w:jc w:val="center"/>
              <w:rPr>
                <w:noProof/>
              </w:rPr>
            </w:pPr>
            <w:r>
              <w:rPr>
                <w:noProof/>
              </w:rPr>
              <w:t>C 4.4: Améliorer l’efficacité de l’administration publique — Réforme 1: Accroître l’efficacité, l’orientation pro-client et l’utilisation des principes de prise de décision fondée sur des données probantes dans l’administration publique</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57E10433" w14:textId="10E89269" w:rsidR="00025543" w:rsidRDefault="007E3A2F">
            <w:pPr>
              <w:pStyle w:val="P68B1DB1-Normal57"/>
              <w:spacing w:before="0" w:after="0" w:line="240" w:lineRule="auto"/>
              <w:jc w:val="center"/>
              <w:rPr>
                <w:noProof/>
              </w:rPr>
            </w:pPr>
            <w:r>
              <w:rPr>
                <w:noProof/>
              </w:rPr>
              <w:t>Cible</w:t>
            </w:r>
          </w:p>
        </w:tc>
        <w:tc>
          <w:tcPr>
            <w:tcW w:w="3402" w:type="dxa"/>
            <w:tcBorders>
              <w:top w:val="single" w:sz="8" w:space="0" w:color="auto"/>
              <w:left w:val="nil"/>
              <w:bottom w:val="nil"/>
              <w:right w:val="single" w:sz="8" w:space="0" w:color="auto"/>
            </w:tcBorders>
            <w:shd w:val="clear" w:color="auto" w:fill="C6EFCE"/>
            <w:vAlign w:val="center"/>
            <w:hideMark/>
          </w:tcPr>
          <w:p w14:paraId="6E6B0851" w14:textId="1F6C19BD" w:rsidR="00025543" w:rsidRDefault="007E3A2F">
            <w:pPr>
              <w:pStyle w:val="P68B1DB1-Normal57"/>
              <w:spacing w:before="0" w:after="0" w:line="240" w:lineRule="auto"/>
              <w:jc w:val="center"/>
              <w:rPr>
                <w:noProof/>
              </w:rPr>
            </w:pPr>
            <w:r>
              <w:rPr>
                <w:noProof/>
              </w:rPr>
              <w:t xml:space="preserve">Achèvement de cinq actions visant à promouvoir une prise de décision fondée sur des données probantes et à améliorer la coordination des politiques et la planification stratégique au centre du gouvernement  </w:t>
            </w:r>
          </w:p>
        </w:tc>
      </w:tr>
      <w:tr w:rsidR="00025543" w14:paraId="116AB7ED" w14:textId="77777777">
        <w:trPr>
          <w:trHeight w:val="990"/>
        </w:trPr>
        <w:tc>
          <w:tcPr>
            <w:tcW w:w="1276" w:type="dxa"/>
            <w:tcBorders>
              <w:top w:val="single" w:sz="8" w:space="0" w:color="auto"/>
              <w:left w:val="single" w:sz="8" w:space="0" w:color="auto"/>
              <w:bottom w:val="single" w:sz="8" w:space="0" w:color="000000" w:themeColor="text1"/>
              <w:right w:val="single" w:sz="8" w:space="0" w:color="auto"/>
            </w:tcBorders>
            <w:shd w:val="clear" w:color="auto" w:fill="C6EFCE"/>
            <w:vAlign w:val="center"/>
            <w:hideMark/>
          </w:tcPr>
          <w:p w14:paraId="5D7570B7" w14:textId="77777777" w:rsidR="00025543" w:rsidRDefault="007E3A2F">
            <w:pPr>
              <w:pStyle w:val="P68B1DB1-Normal57"/>
              <w:spacing w:before="0" w:after="0" w:line="240" w:lineRule="auto"/>
              <w:jc w:val="center"/>
              <w:rPr>
                <w:noProof/>
              </w:rPr>
            </w:pPr>
            <w:r>
              <w:rPr>
                <w:noProof/>
              </w:rPr>
              <w:t>216</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7D7212B7" w14:textId="77777777" w:rsidR="00025543" w:rsidRDefault="007E3A2F">
            <w:pPr>
              <w:pStyle w:val="P68B1DB1-Normal57"/>
              <w:spacing w:before="0" w:after="0" w:line="240" w:lineRule="auto"/>
              <w:jc w:val="center"/>
              <w:rPr>
                <w:noProof/>
              </w:rPr>
            </w:pPr>
            <w:r>
              <w:rPr>
                <w:noProof/>
              </w:rPr>
              <w:t>C 4.4: Améliorer l’efficacité de l’administration publique — Réforme 1: Accroître l’efficacité, l’orientation pro-client et l’utilisation des principes de prise de décision fondée sur des données probantes dans l’administration publique</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1C44E873"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8" w:space="0" w:color="auto"/>
              <w:left w:val="nil"/>
              <w:bottom w:val="single" w:sz="8" w:space="0" w:color="000000" w:themeColor="text1"/>
              <w:right w:val="single" w:sz="8" w:space="0" w:color="auto"/>
            </w:tcBorders>
            <w:shd w:val="clear" w:color="auto" w:fill="C6EFCE"/>
            <w:vAlign w:val="center"/>
            <w:hideMark/>
          </w:tcPr>
          <w:p w14:paraId="1A9641E5" w14:textId="77777777" w:rsidR="00025543" w:rsidRDefault="007E3A2F">
            <w:pPr>
              <w:pStyle w:val="P68B1DB1-Normal57"/>
              <w:spacing w:before="0" w:after="0" w:line="240" w:lineRule="auto"/>
              <w:jc w:val="center"/>
              <w:rPr>
                <w:noProof/>
              </w:rPr>
            </w:pPr>
            <w:r>
              <w:rPr>
                <w:noProof/>
              </w:rPr>
              <w:t xml:space="preserve">Achèvement d’une formation accréditée par le ministère de l’intérieur sur les approches axées sur le client pour le personnel des administrations centrales, régionales ou locales </w:t>
            </w:r>
          </w:p>
        </w:tc>
      </w:tr>
      <w:tr w:rsidR="00025543" w14:paraId="17AAD387" w14:textId="77777777">
        <w:trPr>
          <w:trHeight w:val="405"/>
        </w:trPr>
        <w:tc>
          <w:tcPr>
            <w:tcW w:w="1276" w:type="dxa"/>
            <w:tcBorders>
              <w:top w:val="single" w:sz="4" w:space="0" w:color="000000" w:themeColor="text1"/>
              <w:left w:val="single" w:sz="8" w:space="0" w:color="auto"/>
              <w:bottom w:val="single" w:sz="8" w:space="0" w:color="000000" w:themeColor="text1"/>
              <w:right w:val="single" w:sz="8" w:space="0" w:color="000000" w:themeColor="text1"/>
            </w:tcBorders>
            <w:shd w:val="clear" w:color="auto" w:fill="C6EFCE"/>
            <w:vAlign w:val="center"/>
            <w:hideMark/>
          </w:tcPr>
          <w:p w14:paraId="461EA862" w14:textId="77777777" w:rsidR="00025543" w:rsidRDefault="007E3A2F">
            <w:pPr>
              <w:pStyle w:val="P68B1DB1-Normal56"/>
              <w:spacing w:before="0" w:after="0" w:line="240" w:lineRule="auto"/>
              <w:jc w:val="center"/>
              <w:rPr>
                <w:noProof/>
              </w:rPr>
            </w:pPr>
            <w:r>
              <w:rPr>
                <w:noProof/>
              </w:rPr>
              <w:t>217</w:t>
            </w:r>
          </w:p>
        </w:tc>
        <w:tc>
          <w:tcPr>
            <w:tcW w:w="3969" w:type="dxa"/>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C6EFCE"/>
            <w:vAlign w:val="center"/>
            <w:hideMark/>
          </w:tcPr>
          <w:p w14:paraId="212E94AA" w14:textId="77777777" w:rsidR="00025543" w:rsidRDefault="007E3A2F">
            <w:pPr>
              <w:pStyle w:val="P68B1DB1-Normal57"/>
              <w:spacing w:before="0" w:after="0" w:line="240" w:lineRule="auto"/>
              <w:jc w:val="center"/>
              <w:rPr>
                <w:noProof/>
              </w:rPr>
            </w:pPr>
            <w:r>
              <w:rPr>
                <w:noProof/>
              </w:rPr>
              <w:t xml:space="preserve">C 4.5: Développement du secteur culturel et créatif — Réforme 1: Statut de l’artiste </w:t>
            </w:r>
          </w:p>
        </w:tc>
        <w:tc>
          <w:tcPr>
            <w:tcW w:w="1843"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C6EFCE"/>
            <w:vAlign w:val="center"/>
            <w:hideMark/>
          </w:tcPr>
          <w:p w14:paraId="130A082A" w14:textId="77777777" w:rsidR="00025543" w:rsidRDefault="007E3A2F">
            <w:pPr>
              <w:pStyle w:val="P68B1DB1-Normal57"/>
              <w:spacing w:before="0" w:after="0" w:line="240" w:lineRule="auto"/>
              <w:jc w:val="center"/>
              <w:rPr>
                <w:noProof/>
              </w:rPr>
            </w:pPr>
            <w:r>
              <w:rPr>
                <w:noProof/>
              </w:rPr>
              <w:t>Étapes</w:t>
            </w:r>
          </w:p>
        </w:tc>
        <w:tc>
          <w:tcPr>
            <w:tcW w:w="3402"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02E7F4E6" w14:textId="77777777" w:rsidR="00025543" w:rsidRDefault="007E3A2F">
            <w:pPr>
              <w:pStyle w:val="P68B1DB1-Normal56"/>
              <w:spacing w:before="0" w:after="0" w:line="240" w:lineRule="auto"/>
              <w:jc w:val="center"/>
              <w:rPr>
                <w:noProof/>
              </w:rPr>
            </w:pPr>
            <w:r>
              <w:rPr>
                <w:noProof/>
              </w:rPr>
              <w:t>Entrée en vigueur de la loi sur le statut de l’artiste</w:t>
            </w:r>
          </w:p>
        </w:tc>
      </w:tr>
      <w:tr w:rsidR="00025543" w14:paraId="62763BEA" w14:textId="77777777">
        <w:trPr>
          <w:trHeight w:val="600"/>
        </w:trPr>
        <w:tc>
          <w:tcPr>
            <w:tcW w:w="1276" w:type="dxa"/>
            <w:tcBorders>
              <w:top w:val="nil"/>
              <w:left w:val="single" w:sz="8" w:space="0" w:color="auto"/>
              <w:bottom w:val="single" w:sz="4" w:space="0" w:color="auto"/>
              <w:right w:val="single" w:sz="8" w:space="0" w:color="000000" w:themeColor="text1"/>
            </w:tcBorders>
            <w:shd w:val="clear" w:color="auto" w:fill="C6EFCE"/>
            <w:vAlign w:val="center"/>
            <w:hideMark/>
          </w:tcPr>
          <w:p w14:paraId="0F81AFD3" w14:textId="77777777" w:rsidR="00025543" w:rsidRDefault="007E3A2F">
            <w:pPr>
              <w:pStyle w:val="P68B1DB1-Normal56"/>
              <w:spacing w:before="0" w:after="0" w:line="240" w:lineRule="auto"/>
              <w:jc w:val="center"/>
              <w:rPr>
                <w:noProof/>
              </w:rPr>
            </w:pPr>
            <w:r>
              <w:rPr>
                <w:noProof/>
              </w:rPr>
              <w:t>219</w:t>
            </w:r>
          </w:p>
        </w:tc>
        <w:tc>
          <w:tcPr>
            <w:tcW w:w="3969" w:type="dxa"/>
            <w:tcBorders>
              <w:top w:val="single" w:sz="8" w:space="0" w:color="000000" w:themeColor="text1"/>
              <w:left w:val="nil"/>
              <w:bottom w:val="single" w:sz="4" w:space="0" w:color="auto"/>
              <w:right w:val="single" w:sz="8" w:space="0" w:color="000000" w:themeColor="text1"/>
            </w:tcBorders>
            <w:shd w:val="clear" w:color="auto" w:fill="C6EFCE"/>
            <w:vAlign w:val="center"/>
            <w:hideMark/>
          </w:tcPr>
          <w:p w14:paraId="7D42EA98" w14:textId="77777777" w:rsidR="00025543" w:rsidRDefault="007E3A2F">
            <w:pPr>
              <w:pStyle w:val="P68B1DB1-Normal57"/>
              <w:spacing w:before="0" w:after="0" w:line="240" w:lineRule="auto"/>
              <w:jc w:val="center"/>
              <w:rPr>
                <w:noProof/>
              </w:rPr>
            </w:pPr>
            <w:r>
              <w:rPr>
                <w:noProof/>
              </w:rPr>
              <w:t>C 4.5: Développement du secteur culturel et créatif — Investissement 1: Développement des secteurs régionaux de la culture et de la création</w:t>
            </w:r>
          </w:p>
        </w:tc>
        <w:tc>
          <w:tcPr>
            <w:tcW w:w="1843" w:type="dxa"/>
            <w:tcBorders>
              <w:top w:val="nil"/>
              <w:left w:val="nil"/>
              <w:bottom w:val="single" w:sz="4" w:space="0" w:color="auto"/>
              <w:right w:val="single" w:sz="8" w:space="0" w:color="000000" w:themeColor="text1"/>
            </w:tcBorders>
            <w:shd w:val="clear" w:color="auto" w:fill="C6EFCE"/>
            <w:vAlign w:val="center"/>
            <w:hideMark/>
          </w:tcPr>
          <w:p w14:paraId="0B2ECB39" w14:textId="77777777" w:rsidR="00025543" w:rsidRDefault="007E3A2F">
            <w:pPr>
              <w:pStyle w:val="P68B1DB1-Normal57"/>
              <w:spacing w:before="0" w:after="0" w:line="240" w:lineRule="auto"/>
              <w:jc w:val="center"/>
              <w:rPr>
                <w:noProof/>
              </w:rPr>
            </w:pPr>
            <w:r>
              <w:rPr>
                <w:noProof/>
              </w:rPr>
              <w:t>Cible</w:t>
            </w:r>
          </w:p>
        </w:tc>
        <w:tc>
          <w:tcPr>
            <w:tcW w:w="3402" w:type="dxa"/>
            <w:tcBorders>
              <w:top w:val="nil"/>
              <w:left w:val="nil"/>
              <w:bottom w:val="single" w:sz="4" w:space="0" w:color="auto"/>
              <w:right w:val="single" w:sz="8" w:space="0" w:color="000000" w:themeColor="text1"/>
            </w:tcBorders>
            <w:shd w:val="clear" w:color="auto" w:fill="C6EFCE"/>
            <w:vAlign w:val="center"/>
            <w:hideMark/>
          </w:tcPr>
          <w:p w14:paraId="1D3702E1" w14:textId="77777777" w:rsidR="00025543" w:rsidRDefault="007E3A2F">
            <w:pPr>
              <w:pStyle w:val="P68B1DB1-Normal56"/>
              <w:spacing w:before="0" w:after="0" w:line="240" w:lineRule="auto"/>
              <w:jc w:val="center"/>
              <w:rPr>
                <w:noProof/>
              </w:rPr>
            </w:pPr>
            <w:r>
              <w:rPr>
                <w:noProof/>
              </w:rPr>
              <w:t>Ouverture de nouveaux centres culturels et créatifs régionaux au public</w:t>
            </w:r>
          </w:p>
        </w:tc>
      </w:tr>
      <w:tr w:rsidR="00025543" w14:paraId="3B7BFD93" w14:textId="77777777">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CE57977" w14:textId="77777777" w:rsidR="00025543" w:rsidRDefault="007E3A2F">
            <w:pPr>
              <w:pStyle w:val="P68B1DB1-Normal56"/>
              <w:spacing w:before="0" w:after="0" w:line="240" w:lineRule="auto"/>
              <w:jc w:val="center"/>
              <w:rPr>
                <w:noProof/>
              </w:rPr>
            </w:pPr>
            <w:r>
              <w:rPr>
                <w:noProof/>
              </w:rPr>
              <w:t>221</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A71B4EE" w14:textId="77777777" w:rsidR="00025543" w:rsidRDefault="007E3A2F">
            <w:pPr>
              <w:pStyle w:val="P68B1DB1-Normal57"/>
              <w:spacing w:before="0" w:after="0" w:line="240" w:lineRule="auto"/>
              <w:jc w:val="center"/>
              <w:rPr>
                <w:noProof/>
              </w:rPr>
            </w:pPr>
            <w:r>
              <w:rPr>
                <w:noProof/>
              </w:rPr>
              <w:t>C 4.5: Développement du secteur culturel et créatif — Investissement 2: Numérisation des secteurs de la culture et de la création</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736DB1D"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E80BA68" w14:textId="77777777" w:rsidR="00025543" w:rsidRDefault="007E3A2F">
            <w:pPr>
              <w:pStyle w:val="P68B1DB1-Normal56"/>
              <w:spacing w:before="0" w:after="0" w:line="240" w:lineRule="auto"/>
              <w:jc w:val="center"/>
              <w:rPr>
                <w:noProof/>
              </w:rPr>
            </w:pPr>
            <w:r>
              <w:rPr>
                <w:noProof/>
              </w:rPr>
              <w:t>Nombre de projets de numérisation du contenu culturel achevés</w:t>
            </w:r>
          </w:p>
        </w:tc>
      </w:tr>
      <w:tr w:rsidR="00025543" w14:paraId="33DA1C55" w14:textId="77777777">
        <w:trPr>
          <w:trHeight w:val="405"/>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EBBC96B" w14:textId="77777777" w:rsidR="00025543" w:rsidRDefault="007E3A2F">
            <w:pPr>
              <w:pStyle w:val="P68B1DB1-Normal56"/>
              <w:spacing w:before="0" w:after="0" w:line="240" w:lineRule="auto"/>
              <w:jc w:val="center"/>
              <w:rPr>
                <w:noProof/>
              </w:rPr>
            </w:pPr>
            <w:r>
              <w:rPr>
                <w:noProof/>
              </w:rPr>
              <w:t>222</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252ADF9F" w14:textId="77777777" w:rsidR="00025543" w:rsidRDefault="007E3A2F">
            <w:pPr>
              <w:pStyle w:val="P68B1DB1-Normal57"/>
              <w:spacing w:before="0" w:after="0" w:line="240" w:lineRule="auto"/>
              <w:jc w:val="center"/>
              <w:rPr>
                <w:noProof/>
              </w:rPr>
            </w:pPr>
            <w:r>
              <w:rPr>
                <w:noProof/>
              </w:rPr>
              <w:t>C 4.5: Développement du secteur culturel et créatif — Investissement 3: Chèques créatifs</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8D190C1"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AAB2C95" w14:textId="77777777" w:rsidR="00025543" w:rsidRDefault="007E3A2F">
            <w:pPr>
              <w:pStyle w:val="P68B1DB1-Normal56"/>
              <w:spacing w:before="0" w:after="0" w:line="240" w:lineRule="auto"/>
              <w:jc w:val="center"/>
              <w:rPr>
                <w:noProof/>
              </w:rPr>
            </w:pPr>
            <w:r>
              <w:rPr>
                <w:noProof/>
              </w:rPr>
              <w:t xml:space="preserve">Nombre de chèques créatifs attribués aux PME </w:t>
            </w:r>
          </w:p>
        </w:tc>
      </w:tr>
      <w:tr w:rsidR="00025543" w14:paraId="1B035EA1" w14:textId="77777777">
        <w:trPr>
          <w:trHeight w:val="795"/>
        </w:trPr>
        <w:tc>
          <w:tcPr>
            <w:tcW w:w="1276" w:type="dxa"/>
            <w:tcBorders>
              <w:top w:val="single" w:sz="4" w:space="0" w:color="auto"/>
              <w:left w:val="single" w:sz="8" w:space="0" w:color="auto"/>
              <w:bottom w:val="single" w:sz="8" w:space="0" w:color="auto"/>
              <w:right w:val="single" w:sz="8" w:space="0" w:color="auto"/>
            </w:tcBorders>
            <w:shd w:val="clear" w:color="auto" w:fill="C6EFCE"/>
            <w:vAlign w:val="center"/>
            <w:hideMark/>
          </w:tcPr>
          <w:p w14:paraId="517DB84D" w14:textId="77777777" w:rsidR="00025543" w:rsidRDefault="007E3A2F">
            <w:pPr>
              <w:pStyle w:val="P68B1DB1-Normal57"/>
              <w:spacing w:before="0" w:after="0" w:line="240" w:lineRule="auto"/>
              <w:jc w:val="center"/>
              <w:rPr>
                <w:noProof/>
              </w:rPr>
            </w:pPr>
            <w:r>
              <w:rPr>
                <w:noProof/>
              </w:rPr>
              <w:t>225</w:t>
            </w:r>
          </w:p>
        </w:tc>
        <w:tc>
          <w:tcPr>
            <w:tcW w:w="3969"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5F14507E" w14:textId="77777777" w:rsidR="00025543" w:rsidRDefault="007E3A2F">
            <w:pPr>
              <w:pStyle w:val="P68B1DB1-Normal57"/>
              <w:spacing w:before="0" w:after="0" w:line="240" w:lineRule="auto"/>
              <w:jc w:val="center"/>
              <w:rPr>
                <w:noProof/>
              </w:rPr>
            </w:pPr>
            <w:r>
              <w:rPr>
                <w:noProof/>
              </w:rPr>
              <w:t>C 5.1: Excellence en matière de recherche et développement dans le secteur de la santé — Investissements 1: Soutien public à la recherche et au développement dans les domaines prioritaires des sciences médicales et des sciences sociales connexes</w:t>
            </w:r>
          </w:p>
        </w:tc>
        <w:tc>
          <w:tcPr>
            <w:tcW w:w="1843"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2960C88B"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4" w:space="0" w:color="auto"/>
              <w:left w:val="nil"/>
              <w:bottom w:val="single" w:sz="8" w:space="0" w:color="auto"/>
              <w:right w:val="single" w:sz="8" w:space="0" w:color="auto"/>
            </w:tcBorders>
            <w:shd w:val="clear" w:color="auto" w:fill="C6EFCE"/>
            <w:vAlign w:val="center"/>
            <w:hideMark/>
          </w:tcPr>
          <w:p w14:paraId="00FA3D03" w14:textId="77777777" w:rsidR="00025543" w:rsidRDefault="007E3A2F">
            <w:pPr>
              <w:pStyle w:val="P68B1DB1-Normal57"/>
              <w:spacing w:before="0" w:after="0" w:line="240" w:lineRule="auto"/>
              <w:jc w:val="center"/>
              <w:rPr>
                <w:noProof/>
              </w:rPr>
            </w:pPr>
            <w:r>
              <w:rPr>
                <w:noProof/>
              </w:rPr>
              <w:t xml:space="preserve">Validation d’au moins quatre consortiums nationaux de recherche et développement et leur intégration dans le système tchèque de recherche et développement en tant qu’autorités nationales de recherche </w:t>
            </w:r>
          </w:p>
        </w:tc>
      </w:tr>
      <w:tr w:rsidR="00025543" w14:paraId="7D18EE81" w14:textId="77777777">
        <w:trPr>
          <w:trHeight w:val="795"/>
        </w:trPr>
        <w:tc>
          <w:tcPr>
            <w:tcW w:w="1276" w:type="dxa"/>
            <w:tcBorders>
              <w:top w:val="nil"/>
              <w:left w:val="single" w:sz="8" w:space="0" w:color="auto"/>
              <w:bottom w:val="nil"/>
              <w:right w:val="single" w:sz="8" w:space="0" w:color="auto"/>
            </w:tcBorders>
            <w:shd w:val="clear" w:color="auto" w:fill="C6EFCE"/>
            <w:vAlign w:val="center"/>
            <w:hideMark/>
          </w:tcPr>
          <w:p w14:paraId="6B52055A" w14:textId="77777777" w:rsidR="00025543" w:rsidRDefault="007E3A2F">
            <w:pPr>
              <w:pStyle w:val="P68B1DB1-Normal57"/>
              <w:spacing w:before="0" w:after="0" w:line="240" w:lineRule="auto"/>
              <w:jc w:val="center"/>
              <w:rPr>
                <w:noProof/>
              </w:rPr>
            </w:pPr>
            <w:r>
              <w:rPr>
                <w:noProof/>
              </w:rPr>
              <w:t>233</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44A4423F" w14:textId="77777777" w:rsidR="00025543" w:rsidRDefault="007E3A2F">
            <w:pPr>
              <w:pStyle w:val="P68B1DB1-Normal57"/>
              <w:spacing w:before="0" w:after="0" w:line="240" w:lineRule="auto"/>
              <w:jc w:val="center"/>
              <w:rPr>
                <w:noProof/>
              </w:rPr>
            </w:pPr>
            <w:r>
              <w:rPr>
                <w:noProof/>
              </w:rPr>
              <w:t>C 6.1: Accroître la résilience du système de santé — Investissement 1: Création du centre intensif de simulation de médicaments et optimisation du système éducatif</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6C8E465F" w14:textId="77777777" w:rsidR="00025543" w:rsidRDefault="007E3A2F">
            <w:pPr>
              <w:pStyle w:val="P68B1DB1-Normal57"/>
              <w:spacing w:before="0" w:after="0" w:line="240" w:lineRule="auto"/>
              <w:jc w:val="center"/>
              <w:rPr>
                <w:noProof/>
              </w:rPr>
            </w:pPr>
            <w:r>
              <w:rPr>
                <w:noProof/>
              </w:rPr>
              <w:t>Étapes</w:t>
            </w:r>
          </w:p>
        </w:tc>
        <w:tc>
          <w:tcPr>
            <w:tcW w:w="3402" w:type="dxa"/>
            <w:tcBorders>
              <w:top w:val="nil"/>
              <w:left w:val="nil"/>
              <w:bottom w:val="nil"/>
              <w:right w:val="single" w:sz="8" w:space="0" w:color="auto"/>
            </w:tcBorders>
            <w:shd w:val="clear" w:color="auto" w:fill="C6EFCE"/>
            <w:vAlign w:val="center"/>
            <w:hideMark/>
          </w:tcPr>
          <w:p w14:paraId="292EA266" w14:textId="77777777" w:rsidR="00025543" w:rsidRDefault="007E3A2F">
            <w:pPr>
              <w:pStyle w:val="P68B1DB1-Normal57"/>
              <w:spacing w:before="0" w:after="0" w:line="240" w:lineRule="auto"/>
              <w:jc w:val="center"/>
              <w:rPr>
                <w:noProof/>
              </w:rPr>
            </w:pPr>
            <w:r>
              <w:rPr>
                <w:noProof/>
              </w:rPr>
              <w:t xml:space="preserve">Centre de simulation de médecine intensive mis en service </w:t>
            </w:r>
          </w:p>
        </w:tc>
      </w:tr>
      <w:tr w:rsidR="00025543" w14:paraId="49C8731F" w14:textId="77777777">
        <w:trPr>
          <w:trHeight w:val="600"/>
        </w:trPr>
        <w:tc>
          <w:tcPr>
            <w:tcW w:w="1276" w:type="dxa"/>
            <w:tcBorders>
              <w:top w:val="single" w:sz="8" w:space="0" w:color="auto"/>
              <w:left w:val="single" w:sz="8" w:space="0" w:color="auto"/>
              <w:bottom w:val="single" w:sz="8" w:space="0" w:color="000000" w:themeColor="text1"/>
              <w:right w:val="single" w:sz="8" w:space="0" w:color="auto"/>
            </w:tcBorders>
            <w:shd w:val="clear" w:color="auto" w:fill="C6EFCE"/>
            <w:vAlign w:val="center"/>
            <w:hideMark/>
          </w:tcPr>
          <w:p w14:paraId="4082C7B2" w14:textId="77777777" w:rsidR="00025543" w:rsidRDefault="007E3A2F">
            <w:pPr>
              <w:pStyle w:val="P68B1DB1-Normal57"/>
              <w:spacing w:before="0" w:after="0" w:line="240" w:lineRule="auto"/>
              <w:jc w:val="center"/>
              <w:rPr>
                <w:noProof/>
              </w:rPr>
            </w:pPr>
            <w:r>
              <w:rPr>
                <w:noProof/>
              </w:rPr>
              <w:t>235</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7433C2D0" w14:textId="77777777" w:rsidR="00025543" w:rsidRDefault="007E3A2F">
            <w:pPr>
              <w:pStyle w:val="P68B1DB1-Normal57"/>
              <w:spacing w:before="0" w:after="0" w:line="240" w:lineRule="auto"/>
              <w:jc w:val="center"/>
              <w:rPr>
                <w:noProof/>
              </w:rPr>
            </w:pPr>
            <w:r>
              <w:rPr>
                <w:noProof/>
              </w:rPr>
              <w:t>C 6.1: Accroître la résilience du système de santé — Investissement 3: Construction d’un centre de médecine cardiovasculaire et de transplantation</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00C5ACE3" w14:textId="77777777" w:rsidR="00025543" w:rsidRDefault="007E3A2F">
            <w:pPr>
              <w:pStyle w:val="P68B1DB1-Normal57"/>
              <w:spacing w:before="0" w:after="0" w:line="240" w:lineRule="auto"/>
              <w:jc w:val="center"/>
              <w:rPr>
                <w:noProof/>
              </w:rPr>
            </w:pPr>
            <w:r>
              <w:rPr>
                <w:noProof/>
              </w:rPr>
              <w:t>Étapes</w:t>
            </w:r>
          </w:p>
        </w:tc>
        <w:tc>
          <w:tcPr>
            <w:tcW w:w="3402" w:type="dxa"/>
            <w:tcBorders>
              <w:top w:val="single" w:sz="8" w:space="0" w:color="auto"/>
              <w:left w:val="nil"/>
              <w:bottom w:val="single" w:sz="8" w:space="0" w:color="000000" w:themeColor="text1"/>
              <w:right w:val="single" w:sz="8" w:space="0" w:color="auto"/>
            </w:tcBorders>
            <w:shd w:val="clear" w:color="auto" w:fill="C6EFCE"/>
            <w:vAlign w:val="center"/>
            <w:hideMark/>
          </w:tcPr>
          <w:p w14:paraId="3A8635BD" w14:textId="77777777" w:rsidR="00025543" w:rsidRDefault="007E3A2F">
            <w:pPr>
              <w:pStyle w:val="P68B1DB1-Normal57"/>
              <w:spacing w:before="0" w:after="0" w:line="240" w:lineRule="auto"/>
              <w:jc w:val="center"/>
              <w:rPr>
                <w:noProof/>
              </w:rPr>
            </w:pPr>
            <w:r>
              <w:rPr>
                <w:noProof/>
              </w:rPr>
              <w:t>Centre de médecine cardio-vasculaire et de transplantation pleinement opérationnel</w:t>
            </w:r>
          </w:p>
        </w:tc>
      </w:tr>
      <w:tr w:rsidR="00025543" w14:paraId="7569A604" w14:textId="77777777">
        <w:trPr>
          <w:trHeight w:val="1185"/>
        </w:trPr>
        <w:tc>
          <w:tcPr>
            <w:tcW w:w="1276" w:type="dxa"/>
            <w:tcBorders>
              <w:top w:val="single" w:sz="4" w:space="0" w:color="000000" w:themeColor="text1"/>
              <w:left w:val="single" w:sz="8" w:space="0" w:color="auto"/>
              <w:bottom w:val="nil"/>
              <w:right w:val="single" w:sz="8" w:space="0" w:color="auto"/>
            </w:tcBorders>
            <w:shd w:val="clear" w:color="auto" w:fill="C6EFCE"/>
            <w:vAlign w:val="center"/>
            <w:hideMark/>
          </w:tcPr>
          <w:p w14:paraId="29F53AF0" w14:textId="77777777" w:rsidR="00025543" w:rsidRDefault="007E3A2F">
            <w:pPr>
              <w:pStyle w:val="P68B1DB1-Normal56"/>
              <w:spacing w:before="0" w:after="0" w:line="240" w:lineRule="auto"/>
              <w:jc w:val="center"/>
              <w:rPr>
                <w:noProof/>
              </w:rPr>
            </w:pPr>
            <w:r>
              <w:rPr>
                <w:noProof/>
              </w:rPr>
              <w:t>243</w:t>
            </w:r>
          </w:p>
        </w:tc>
        <w:tc>
          <w:tcPr>
            <w:tcW w:w="3969" w:type="dxa"/>
            <w:tcBorders>
              <w:top w:val="single" w:sz="4" w:space="0" w:color="000000" w:themeColor="text1"/>
              <w:left w:val="nil"/>
              <w:bottom w:val="nil"/>
              <w:right w:val="single" w:sz="8" w:space="0" w:color="000000" w:themeColor="text1"/>
            </w:tcBorders>
            <w:shd w:val="clear" w:color="auto" w:fill="C6EFCE"/>
            <w:vAlign w:val="center"/>
            <w:hideMark/>
          </w:tcPr>
          <w:p w14:paraId="3FE2D863" w14:textId="359680AF" w:rsidR="00025543" w:rsidRDefault="007E3A2F">
            <w:pPr>
              <w:pStyle w:val="P68B1DB1-Normal57"/>
              <w:spacing w:before="0" w:after="0" w:line="240" w:lineRule="auto"/>
              <w:jc w:val="center"/>
              <w:rPr>
                <w:noProof/>
              </w:rPr>
            </w:pPr>
            <w:r>
              <w:rPr>
                <w:noProof/>
              </w:rPr>
              <w:t xml:space="preserve">C 6.2: Plan national de renforcement de la prévention et des soins oncologiques — Investissement 3: Création et développement du Centre </w:t>
            </w:r>
            <w:r>
              <w:rPr>
                <w:noProof/>
                <w:u w:val="single"/>
              </w:rPr>
              <w:t>pour la prévention du cancer et l’</w:t>
            </w:r>
            <w:r>
              <w:rPr>
                <w:noProof/>
              </w:rPr>
              <w:t xml:space="preserve"> infrastructure pour les soins innovants et supportifs à l’Institut de lutte contre le cancer du mémorial Masaryk</w:t>
            </w:r>
          </w:p>
        </w:tc>
        <w:tc>
          <w:tcPr>
            <w:tcW w:w="1843" w:type="dxa"/>
            <w:tcBorders>
              <w:top w:val="single" w:sz="4" w:space="0" w:color="000000" w:themeColor="text1"/>
              <w:left w:val="nil"/>
              <w:bottom w:val="nil"/>
              <w:right w:val="single" w:sz="8" w:space="0" w:color="000000" w:themeColor="text1"/>
            </w:tcBorders>
            <w:shd w:val="clear" w:color="auto" w:fill="C6EFCE"/>
            <w:vAlign w:val="center"/>
            <w:hideMark/>
          </w:tcPr>
          <w:p w14:paraId="7C942793" w14:textId="77777777" w:rsidR="00025543" w:rsidRDefault="007E3A2F">
            <w:pPr>
              <w:pStyle w:val="P68B1DB1-Normal57"/>
              <w:spacing w:before="0" w:after="0" w:line="240" w:lineRule="auto"/>
              <w:jc w:val="center"/>
              <w:rPr>
                <w:noProof/>
              </w:rPr>
            </w:pPr>
            <w:r>
              <w:rPr>
                <w:noProof/>
              </w:rPr>
              <w:t>Étapes</w:t>
            </w:r>
          </w:p>
        </w:tc>
        <w:tc>
          <w:tcPr>
            <w:tcW w:w="3402" w:type="dxa"/>
            <w:tcBorders>
              <w:top w:val="single" w:sz="4" w:space="0" w:color="000000" w:themeColor="text1"/>
              <w:left w:val="nil"/>
              <w:bottom w:val="nil"/>
              <w:right w:val="single" w:sz="8" w:space="0" w:color="auto"/>
            </w:tcBorders>
            <w:shd w:val="clear" w:color="auto" w:fill="C6EFCE"/>
            <w:vAlign w:val="center"/>
            <w:hideMark/>
          </w:tcPr>
          <w:p w14:paraId="5ABF3BE5" w14:textId="69D39AE7" w:rsidR="00025543" w:rsidRDefault="007E3A2F">
            <w:pPr>
              <w:pStyle w:val="P68B1DB1-Normal56"/>
              <w:spacing w:before="0" w:after="0" w:line="240" w:lineRule="auto"/>
              <w:jc w:val="center"/>
              <w:rPr>
                <w:noProof/>
              </w:rPr>
            </w:pPr>
            <w:r>
              <w:rPr>
                <w:noProof/>
              </w:rPr>
              <w:t>Centre de prévention du cancer au Masaryk Memorial Cancer Institute</w:t>
            </w:r>
          </w:p>
        </w:tc>
      </w:tr>
      <w:tr w:rsidR="00025543" w14:paraId="0B79299D" w14:textId="77777777">
        <w:trPr>
          <w:trHeight w:val="1185"/>
        </w:trPr>
        <w:tc>
          <w:tcPr>
            <w:tcW w:w="1276" w:type="dxa"/>
            <w:tcBorders>
              <w:top w:val="single" w:sz="8" w:space="0" w:color="auto"/>
              <w:left w:val="single" w:sz="8" w:space="0" w:color="auto"/>
              <w:bottom w:val="single" w:sz="8" w:space="0" w:color="auto"/>
              <w:right w:val="single" w:sz="8" w:space="0" w:color="000000" w:themeColor="text1"/>
            </w:tcBorders>
            <w:shd w:val="clear" w:color="auto" w:fill="C6EFCE"/>
            <w:vAlign w:val="center"/>
            <w:hideMark/>
          </w:tcPr>
          <w:p w14:paraId="7112E1E2" w14:textId="77777777" w:rsidR="00025543" w:rsidRDefault="007E3A2F">
            <w:pPr>
              <w:pStyle w:val="P68B1DB1-Normal56"/>
              <w:spacing w:before="0" w:after="0" w:line="240" w:lineRule="auto"/>
              <w:jc w:val="center"/>
              <w:rPr>
                <w:noProof/>
              </w:rPr>
            </w:pPr>
            <w:r>
              <w:rPr>
                <w:noProof/>
              </w:rPr>
              <w:t>244</w:t>
            </w:r>
          </w:p>
        </w:tc>
        <w:tc>
          <w:tcPr>
            <w:tcW w:w="3969" w:type="dxa"/>
            <w:tcBorders>
              <w:top w:val="single" w:sz="8" w:space="0" w:color="auto"/>
              <w:left w:val="nil"/>
              <w:bottom w:val="single" w:sz="8" w:space="0" w:color="auto"/>
              <w:right w:val="single" w:sz="8" w:space="0" w:color="000000" w:themeColor="text1"/>
            </w:tcBorders>
            <w:shd w:val="clear" w:color="auto" w:fill="C6EFCE"/>
            <w:vAlign w:val="center"/>
            <w:hideMark/>
          </w:tcPr>
          <w:p w14:paraId="7C7093CF" w14:textId="75EA8E3E" w:rsidR="00025543" w:rsidRDefault="007E3A2F">
            <w:pPr>
              <w:pStyle w:val="P68B1DB1-Normal57"/>
              <w:spacing w:before="0" w:after="0" w:line="240" w:lineRule="auto"/>
              <w:jc w:val="center"/>
              <w:rPr>
                <w:noProof/>
              </w:rPr>
            </w:pPr>
            <w:r>
              <w:rPr>
                <w:noProof/>
              </w:rPr>
              <w:t>C 6.2: Plan national de renforcement de la prévention et des soins oncologiques — Investissement 3: Création et développement du Centre pour la prévention du cancer et l’infrastructure pour les soins innovants et supportifs à l’Institut de lutte contre le cancer du mémorial Masaryk</w:t>
            </w:r>
          </w:p>
        </w:tc>
        <w:tc>
          <w:tcPr>
            <w:tcW w:w="1843" w:type="dxa"/>
            <w:tcBorders>
              <w:top w:val="single" w:sz="8" w:space="0" w:color="auto"/>
              <w:left w:val="nil"/>
              <w:bottom w:val="single" w:sz="8" w:space="0" w:color="auto"/>
              <w:right w:val="single" w:sz="8" w:space="0" w:color="000000" w:themeColor="text1"/>
            </w:tcBorders>
            <w:shd w:val="clear" w:color="auto" w:fill="C6EFCE"/>
            <w:vAlign w:val="center"/>
            <w:hideMark/>
          </w:tcPr>
          <w:p w14:paraId="05E35E05" w14:textId="77777777" w:rsidR="00025543" w:rsidRDefault="007E3A2F">
            <w:pPr>
              <w:pStyle w:val="P68B1DB1-Normal57"/>
              <w:spacing w:before="0" w:after="0" w:line="240" w:lineRule="auto"/>
              <w:jc w:val="center"/>
              <w:rPr>
                <w:noProof/>
              </w:rPr>
            </w:pPr>
            <w:r>
              <w:rPr>
                <w:noProof/>
              </w:rPr>
              <w:t>Étapes</w:t>
            </w:r>
          </w:p>
        </w:tc>
        <w:tc>
          <w:tcPr>
            <w:tcW w:w="3402" w:type="dxa"/>
            <w:tcBorders>
              <w:top w:val="single" w:sz="8" w:space="0" w:color="auto"/>
              <w:left w:val="nil"/>
              <w:bottom w:val="single" w:sz="8" w:space="0" w:color="auto"/>
              <w:right w:val="single" w:sz="8" w:space="0" w:color="000000" w:themeColor="text1"/>
            </w:tcBorders>
            <w:shd w:val="clear" w:color="auto" w:fill="C6EFCE"/>
            <w:vAlign w:val="center"/>
            <w:hideMark/>
          </w:tcPr>
          <w:p w14:paraId="7E9A95FE" w14:textId="437EE316" w:rsidR="00025543" w:rsidRDefault="007E3A2F">
            <w:pPr>
              <w:pStyle w:val="P68B1DB1-Normal56"/>
              <w:spacing w:before="0" w:after="0" w:line="240" w:lineRule="auto"/>
              <w:jc w:val="center"/>
              <w:rPr>
                <w:noProof/>
              </w:rPr>
            </w:pPr>
            <w:r>
              <w:rPr>
                <w:noProof/>
              </w:rPr>
              <w:t>Extension des infrastructures de soins innovants et supportives à l’Institut de cancer mémorial Masaryk</w:t>
            </w:r>
          </w:p>
        </w:tc>
      </w:tr>
      <w:tr w:rsidR="00025543" w14:paraId="00984CE0" w14:textId="77777777">
        <w:trPr>
          <w:trHeight w:val="630"/>
        </w:trPr>
        <w:tc>
          <w:tcPr>
            <w:tcW w:w="1276" w:type="dxa"/>
            <w:tcBorders>
              <w:top w:val="single" w:sz="8" w:space="0" w:color="auto"/>
              <w:left w:val="single" w:sz="8" w:space="0" w:color="auto"/>
              <w:bottom w:val="single" w:sz="8" w:space="0" w:color="auto"/>
              <w:right w:val="single" w:sz="8" w:space="0" w:color="000000" w:themeColor="text1"/>
            </w:tcBorders>
            <w:shd w:val="clear" w:color="auto" w:fill="C6EFCE"/>
            <w:vAlign w:val="center"/>
            <w:hideMark/>
          </w:tcPr>
          <w:p w14:paraId="78E6A1AB" w14:textId="254B6FD2" w:rsidR="00025543" w:rsidRDefault="007E3A2F">
            <w:pPr>
              <w:pStyle w:val="P68B1DB1-Normal56"/>
              <w:spacing w:line="240" w:lineRule="auto"/>
              <w:rPr>
                <w:noProof/>
              </w:rPr>
            </w:pPr>
            <w:r>
              <w:rPr>
                <w:noProof/>
              </w:rPr>
              <w:t xml:space="preserve">       263</w:t>
            </w:r>
          </w:p>
        </w:tc>
        <w:tc>
          <w:tcPr>
            <w:tcW w:w="3969" w:type="dxa"/>
            <w:tcBorders>
              <w:top w:val="single" w:sz="8" w:space="0" w:color="auto"/>
              <w:left w:val="nil"/>
              <w:bottom w:val="single" w:sz="8" w:space="0" w:color="auto"/>
              <w:right w:val="single" w:sz="8" w:space="0" w:color="000000" w:themeColor="text1"/>
            </w:tcBorders>
            <w:shd w:val="clear" w:color="auto" w:fill="C6EFCE"/>
            <w:vAlign w:val="center"/>
            <w:hideMark/>
          </w:tcPr>
          <w:p w14:paraId="453200E0" w14:textId="5B55A7EA" w:rsidR="00025543" w:rsidRDefault="007E3A2F">
            <w:pPr>
              <w:pStyle w:val="P68B1DB1-Normal57"/>
              <w:spacing w:line="240" w:lineRule="auto"/>
              <w:jc w:val="center"/>
              <w:rPr>
                <w:noProof/>
              </w:rPr>
            </w:pPr>
            <w:r>
              <w:rPr>
                <w:noProof/>
              </w:rPr>
              <w:t xml:space="preserve">C 2.10 Logements abordables — Réforme 1: Entrée en vigueur de la loi sur le logement abordable  </w:t>
            </w:r>
          </w:p>
        </w:tc>
        <w:tc>
          <w:tcPr>
            <w:tcW w:w="1843" w:type="dxa"/>
            <w:tcBorders>
              <w:top w:val="single" w:sz="8" w:space="0" w:color="auto"/>
              <w:left w:val="nil"/>
              <w:bottom w:val="single" w:sz="8" w:space="0" w:color="auto"/>
              <w:right w:val="single" w:sz="8" w:space="0" w:color="000000" w:themeColor="text1"/>
            </w:tcBorders>
            <w:shd w:val="clear" w:color="auto" w:fill="C6EFCE"/>
            <w:vAlign w:val="center"/>
            <w:hideMark/>
          </w:tcPr>
          <w:p w14:paraId="3FFE6492" w14:textId="59598095" w:rsidR="00025543" w:rsidRDefault="007E3A2F">
            <w:pPr>
              <w:pStyle w:val="P68B1DB1-Normal57"/>
              <w:spacing w:line="240" w:lineRule="auto"/>
              <w:jc w:val="center"/>
              <w:rPr>
                <w:noProof/>
              </w:rPr>
            </w:pPr>
            <w:r>
              <w:rPr>
                <w:noProof/>
              </w:rPr>
              <w:t>Étapes</w:t>
            </w:r>
          </w:p>
        </w:tc>
        <w:tc>
          <w:tcPr>
            <w:tcW w:w="3402" w:type="dxa"/>
            <w:tcBorders>
              <w:top w:val="single" w:sz="8" w:space="0" w:color="auto"/>
              <w:left w:val="nil"/>
              <w:bottom w:val="single" w:sz="8" w:space="0" w:color="auto"/>
              <w:right w:val="single" w:sz="8" w:space="0" w:color="000000" w:themeColor="text1"/>
            </w:tcBorders>
            <w:shd w:val="clear" w:color="auto" w:fill="C6EFCE"/>
            <w:vAlign w:val="center"/>
            <w:hideMark/>
          </w:tcPr>
          <w:p w14:paraId="3B719E8D" w14:textId="4236FD51" w:rsidR="00025543" w:rsidRDefault="007E3A2F">
            <w:pPr>
              <w:pStyle w:val="P68B1DB1-Normal56"/>
              <w:spacing w:line="240" w:lineRule="auto"/>
              <w:jc w:val="center"/>
              <w:rPr>
                <w:noProof/>
              </w:rPr>
            </w:pPr>
            <w:r>
              <w:rPr>
                <w:noProof/>
              </w:rPr>
              <w:t xml:space="preserve">Loi sur le logement abordable en vigueur  </w:t>
            </w:r>
          </w:p>
        </w:tc>
      </w:tr>
      <w:tr w:rsidR="00025543" w14:paraId="67EE6482" w14:textId="77777777">
        <w:trPr>
          <w:trHeight w:val="630"/>
        </w:trPr>
        <w:tc>
          <w:tcPr>
            <w:tcW w:w="1276" w:type="dxa"/>
            <w:tcBorders>
              <w:top w:val="single" w:sz="8" w:space="0" w:color="auto"/>
              <w:left w:val="single" w:sz="8" w:space="0" w:color="auto"/>
              <w:bottom w:val="single" w:sz="8" w:space="0" w:color="auto"/>
              <w:right w:val="single" w:sz="8" w:space="0" w:color="000000" w:themeColor="text1"/>
            </w:tcBorders>
            <w:shd w:val="clear" w:color="auto" w:fill="C6EFCE"/>
            <w:vAlign w:val="center"/>
            <w:hideMark/>
          </w:tcPr>
          <w:p w14:paraId="4AEDA978" w14:textId="1D934B40" w:rsidR="00025543" w:rsidRDefault="007E3A2F">
            <w:pPr>
              <w:pStyle w:val="P68B1DB1-Normal56"/>
              <w:spacing w:line="240" w:lineRule="auto"/>
              <w:rPr>
                <w:noProof/>
              </w:rPr>
            </w:pPr>
            <w:r>
              <w:rPr>
                <w:noProof/>
              </w:rPr>
              <w:t xml:space="preserve">       278</w:t>
            </w:r>
          </w:p>
        </w:tc>
        <w:tc>
          <w:tcPr>
            <w:tcW w:w="3969" w:type="dxa"/>
            <w:tcBorders>
              <w:top w:val="single" w:sz="8" w:space="0" w:color="auto"/>
              <w:left w:val="nil"/>
              <w:bottom w:val="single" w:sz="8" w:space="0" w:color="auto"/>
              <w:right w:val="single" w:sz="8" w:space="0" w:color="000000" w:themeColor="text1"/>
            </w:tcBorders>
            <w:shd w:val="clear" w:color="auto" w:fill="C6EFCE"/>
            <w:vAlign w:val="center"/>
            <w:hideMark/>
          </w:tcPr>
          <w:p w14:paraId="3B0E8AEE" w14:textId="3E45A594" w:rsidR="00025543" w:rsidRDefault="007E3A2F">
            <w:pPr>
              <w:pStyle w:val="P68B1DB1-Normal57"/>
              <w:spacing w:line="240" w:lineRule="auto"/>
              <w:jc w:val="center"/>
              <w:rPr>
                <w:noProof/>
              </w:rPr>
            </w:pPr>
            <w:r>
              <w:rPr>
                <w:noProof/>
              </w:rPr>
              <w:t xml:space="preserve">C 3.3: Modernisation des services de l’emploi et développement du marché du travail — Investissement 4: Développement et modernisation des infrastructures de protection sociale des enfants  </w:t>
            </w:r>
          </w:p>
        </w:tc>
        <w:tc>
          <w:tcPr>
            <w:tcW w:w="1843" w:type="dxa"/>
            <w:tcBorders>
              <w:top w:val="single" w:sz="8" w:space="0" w:color="auto"/>
              <w:left w:val="nil"/>
              <w:bottom w:val="single" w:sz="8" w:space="0" w:color="auto"/>
              <w:right w:val="single" w:sz="8" w:space="0" w:color="000000" w:themeColor="text1"/>
            </w:tcBorders>
            <w:shd w:val="clear" w:color="auto" w:fill="C6EFCE"/>
            <w:vAlign w:val="center"/>
            <w:hideMark/>
          </w:tcPr>
          <w:p w14:paraId="3A7D1A33" w14:textId="14375E82" w:rsidR="00025543" w:rsidRDefault="007E3A2F">
            <w:pPr>
              <w:pStyle w:val="P68B1DB1-Normal57"/>
              <w:spacing w:line="240" w:lineRule="auto"/>
              <w:jc w:val="center"/>
              <w:rPr>
                <w:noProof/>
              </w:rPr>
            </w:pPr>
            <w:r>
              <w:rPr>
                <w:noProof/>
              </w:rPr>
              <w:t>Cible</w:t>
            </w:r>
          </w:p>
        </w:tc>
        <w:tc>
          <w:tcPr>
            <w:tcW w:w="3402" w:type="dxa"/>
            <w:tcBorders>
              <w:top w:val="single" w:sz="8" w:space="0" w:color="auto"/>
              <w:left w:val="nil"/>
              <w:bottom w:val="single" w:sz="8" w:space="0" w:color="auto"/>
              <w:right w:val="single" w:sz="8" w:space="0" w:color="000000" w:themeColor="text1"/>
            </w:tcBorders>
            <w:shd w:val="clear" w:color="auto" w:fill="C6EFCE"/>
            <w:vAlign w:val="center"/>
            <w:hideMark/>
          </w:tcPr>
          <w:p w14:paraId="46EA50C2" w14:textId="644CCB44" w:rsidR="00025543" w:rsidRDefault="007E3A2F">
            <w:pPr>
              <w:pStyle w:val="P68B1DB1-Normal56"/>
              <w:spacing w:line="240" w:lineRule="auto"/>
              <w:jc w:val="center"/>
              <w:rPr>
                <w:noProof/>
              </w:rPr>
            </w:pPr>
            <w:r>
              <w:rPr>
                <w:noProof/>
              </w:rPr>
              <w:t xml:space="preserve">Surface de logement pour enfants à risque acquise — 2e lot  </w:t>
            </w:r>
          </w:p>
        </w:tc>
      </w:tr>
      <w:tr w:rsidR="00025543" w14:paraId="6B5484E8" w14:textId="77777777">
        <w:trPr>
          <w:trHeight w:val="630"/>
        </w:trPr>
        <w:tc>
          <w:tcPr>
            <w:tcW w:w="1276" w:type="dxa"/>
            <w:tcBorders>
              <w:top w:val="single" w:sz="8" w:space="0" w:color="auto"/>
              <w:left w:val="single" w:sz="8" w:space="0" w:color="auto"/>
              <w:bottom w:val="single" w:sz="8" w:space="0" w:color="auto"/>
              <w:right w:val="single" w:sz="8" w:space="0" w:color="000000" w:themeColor="text1"/>
            </w:tcBorders>
            <w:shd w:val="clear" w:color="auto" w:fill="C6EFCE"/>
            <w:vAlign w:val="center"/>
            <w:hideMark/>
          </w:tcPr>
          <w:p w14:paraId="0AD736A6" w14:textId="04A3A827" w:rsidR="00025543" w:rsidRDefault="007E3A2F">
            <w:pPr>
              <w:pStyle w:val="P68B1DB1-Normal56"/>
              <w:spacing w:line="240" w:lineRule="auto"/>
              <w:rPr>
                <w:noProof/>
              </w:rPr>
            </w:pPr>
            <w:r>
              <w:rPr>
                <w:noProof/>
              </w:rPr>
              <w:t xml:space="preserve">       319</w:t>
            </w:r>
          </w:p>
        </w:tc>
        <w:tc>
          <w:tcPr>
            <w:tcW w:w="3969" w:type="dxa"/>
            <w:tcBorders>
              <w:top w:val="single" w:sz="8" w:space="0" w:color="auto"/>
              <w:left w:val="nil"/>
              <w:bottom w:val="single" w:sz="8" w:space="0" w:color="auto"/>
              <w:right w:val="single" w:sz="8" w:space="0" w:color="000000" w:themeColor="text1"/>
            </w:tcBorders>
            <w:shd w:val="clear" w:color="auto" w:fill="C6EFCE"/>
            <w:vAlign w:val="center"/>
            <w:hideMark/>
          </w:tcPr>
          <w:p w14:paraId="119CBFF0" w14:textId="4BA75F5A" w:rsidR="00025543" w:rsidRDefault="007E3A2F">
            <w:pPr>
              <w:pStyle w:val="P68B1DB1-Normal57"/>
              <w:spacing w:line="240" w:lineRule="auto"/>
              <w:jc w:val="center"/>
              <w:rPr>
                <w:noProof/>
              </w:rPr>
            </w:pPr>
            <w:r>
              <w:rPr>
                <w:noProof/>
              </w:rPr>
              <w:t xml:space="preserve">C 7.3: Réforme globale de la vague de rénovations en République tchèque (REPOWER EU) — Réforme 1: Guichets uniques pour les communautés énergétiques et les rénovations visant à améliorer l’efficacité énergétique  </w:t>
            </w:r>
          </w:p>
        </w:tc>
        <w:tc>
          <w:tcPr>
            <w:tcW w:w="1843" w:type="dxa"/>
            <w:tcBorders>
              <w:top w:val="single" w:sz="8" w:space="0" w:color="auto"/>
              <w:left w:val="nil"/>
              <w:bottom w:val="single" w:sz="8" w:space="0" w:color="auto"/>
              <w:right w:val="single" w:sz="8" w:space="0" w:color="000000" w:themeColor="text1"/>
            </w:tcBorders>
            <w:shd w:val="clear" w:color="auto" w:fill="C6EFCE"/>
            <w:vAlign w:val="center"/>
            <w:hideMark/>
          </w:tcPr>
          <w:p w14:paraId="78C7400D" w14:textId="4932B434" w:rsidR="00025543" w:rsidRDefault="007E3A2F">
            <w:pPr>
              <w:pStyle w:val="P68B1DB1-Normal57"/>
              <w:spacing w:line="240" w:lineRule="auto"/>
              <w:jc w:val="center"/>
              <w:rPr>
                <w:noProof/>
              </w:rPr>
            </w:pPr>
            <w:r>
              <w:rPr>
                <w:noProof/>
              </w:rPr>
              <w:t>Étapes</w:t>
            </w:r>
          </w:p>
        </w:tc>
        <w:tc>
          <w:tcPr>
            <w:tcW w:w="3402" w:type="dxa"/>
            <w:tcBorders>
              <w:top w:val="single" w:sz="8" w:space="0" w:color="auto"/>
              <w:left w:val="nil"/>
              <w:bottom w:val="single" w:sz="8" w:space="0" w:color="auto"/>
              <w:right w:val="single" w:sz="8" w:space="0" w:color="000000" w:themeColor="text1"/>
            </w:tcBorders>
            <w:shd w:val="clear" w:color="auto" w:fill="C6EFCE"/>
            <w:vAlign w:val="center"/>
            <w:hideMark/>
          </w:tcPr>
          <w:p w14:paraId="5275AD8B" w14:textId="45281797" w:rsidR="00025543" w:rsidRDefault="007E3A2F">
            <w:pPr>
              <w:pStyle w:val="P68B1DB1-Normal56"/>
              <w:spacing w:line="240" w:lineRule="auto"/>
              <w:jc w:val="center"/>
              <w:rPr>
                <w:noProof/>
              </w:rPr>
            </w:pPr>
            <w:r>
              <w:rPr>
                <w:noProof/>
              </w:rPr>
              <w:t xml:space="preserve">Évaluation du fonctionnement pilote de trois guichets uniques pour l’énergie  </w:t>
            </w:r>
          </w:p>
        </w:tc>
      </w:tr>
      <w:tr w:rsidR="00025543" w14:paraId="51495A3D" w14:textId="77777777">
        <w:trPr>
          <w:trHeight w:val="630"/>
        </w:trPr>
        <w:tc>
          <w:tcPr>
            <w:tcW w:w="1276" w:type="dxa"/>
            <w:tcBorders>
              <w:top w:val="single" w:sz="8" w:space="0" w:color="auto"/>
              <w:left w:val="single" w:sz="8" w:space="0" w:color="auto"/>
              <w:bottom w:val="single" w:sz="8" w:space="0" w:color="auto"/>
              <w:right w:val="single" w:sz="8" w:space="0" w:color="000000" w:themeColor="text1"/>
            </w:tcBorders>
            <w:shd w:val="clear" w:color="auto" w:fill="C6EFCE"/>
            <w:vAlign w:val="center"/>
            <w:hideMark/>
          </w:tcPr>
          <w:p w14:paraId="0BC0D6A2" w14:textId="528F65D7" w:rsidR="00025543" w:rsidRDefault="007E3A2F">
            <w:pPr>
              <w:pStyle w:val="P68B1DB1-Normal56"/>
              <w:spacing w:line="240" w:lineRule="auto"/>
              <w:rPr>
                <w:noProof/>
              </w:rPr>
            </w:pPr>
            <w:r>
              <w:rPr>
                <w:noProof/>
              </w:rPr>
              <w:t xml:space="preserve">       326</w:t>
            </w:r>
          </w:p>
        </w:tc>
        <w:tc>
          <w:tcPr>
            <w:tcW w:w="3969" w:type="dxa"/>
            <w:tcBorders>
              <w:top w:val="single" w:sz="8" w:space="0" w:color="auto"/>
              <w:left w:val="nil"/>
              <w:bottom w:val="single" w:sz="8" w:space="0" w:color="auto"/>
              <w:right w:val="single" w:sz="8" w:space="0" w:color="000000" w:themeColor="text1"/>
            </w:tcBorders>
            <w:shd w:val="clear" w:color="auto" w:fill="C6EFCE"/>
            <w:vAlign w:val="center"/>
            <w:hideMark/>
          </w:tcPr>
          <w:p w14:paraId="7355A031" w14:textId="3A6EA2E5" w:rsidR="00025543" w:rsidRDefault="007E3A2F">
            <w:pPr>
              <w:pStyle w:val="P68B1DB1-Normal57"/>
              <w:spacing w:line="240" w:lineRule="auto"/>
              <w:jc w:val="center"/>
              <w:rPr>
                <w:noProof/>
              </w:rPr>
            </w:pPr>
            <w:r>
              <w:rPr>
                <w:noProof/>
              </w:rPr>
              <w:t xml:space="preserve">C 7.4: Adaptation des écoles — Promouvoir les compétences vertes et la durabilité dans les universités (REPowerEU) — Réforme 1: Transformation des universités pour s’adapter à l’évolution des besoins du marché du travail  </w:t>
            </w:r>
          </w:p>
        </w:tc>
        <w:tc>
          <w:tcPr>
            <w:tcW w:w="1843" w:type="dxa"/>
            <w:tcBorders>
              <w:top w:val="single" w:sz="8" w:space="0" w:color="auto"/>
              <w:left w:val="nil"/>
              <w:bottom w:val="single" w:sz="8" w:space="0" w:color="auto"/>
              <w:right w:val="single" w:sz="8" w:space="0" w:color="000000" w:themeColor="text1"/>
            </w:tcBorders>
            <w:shd w:val="clear" w:color="auto" w:fill="C6EFCE"/>
            <w:vAlign w:val="center"/>
            <w:hideMark/>
          </w:tcPr>
          <w:p w14:paraId="7DB8D0EE" w14:textId="26017A01" w:rsidR="00025543" w:rsidRDefault="007E3A2F">
            <w:pPr>
              <w:pStyle w:val="P68B1DB1-Normal57"/>
              <w:spacing w:line="240" w:lineRule="auto"/>
              <w:jc w:val="center"/>
              <w:rPr>
                <w:noProof/>
              </w:rPr>
            </w:pPr>
            <w:r>
              <w:rPr>
                <w:noProof/>
              </w:rPr>
              <w:t>Cible</w:t>
            </w:r>
          </w:p>
        </w:tc>
        <w:tc>
          <w:tcPr>
            <w:tcW w:w="3402" w:type="dxa"/>
            <w:tcBorders>
              <w:top w:val="single" w:sz="8" w:space="0" w:color="auto"/>
              <w:left w:val="nil"/>
              <w:bottom w:val="single" w:sz="8" w:space="0" w:color="auto"/>
              <w:right w:val="single" w:sz="8" w:space="0" w:color="000000" w:themeColor="text1"/>
            </w:tcBorders>
            <w:shd w:val="clear" w:color="auto" w:fill="C6EFCE"/>
            <w:vAlign w:val="center"/>
            <w:hideMark/>
          </w:tcPr>
          <w:p w14:paraId="0277451A" w14:textId="26D79A81" w:rsidR="00025543" w:rsidRDefault="007E3A2F">
            <w:pPr>
              <w:pStyle w:val="P68B1DB1-Normal56"/>
              <w:spacing w:line="240" w:lineRule="auto"/>
              <w:jc w:val="center"/>
              <w:rPr>
                <w:noProof/>
              </w:rPr>
            </w:pPr>
            <w:r>
              <w:rPr>
                <w:noProof/>
              </w:rPr>
              <w:t xml:space="preserve">Lancement de nouveaux programmes d’études, de nouveaux cours dans les programmes d’études existants et de cours d’apprentissage tout au long de la vie  </w:t>
            </w:r>
          </w:p>
        </w:tc>
      </w:tr>
      <w:tr w:rsidR="00025543" w14:paraId="60605809" w14:textId="77777777">
        <w:trPr>
          <w:trHeight w:val="630"/>
        </w:trPr>
        <w:tc>
          <w:tcPr>
            <w:tcW w:w="1276" w:type="dxa"/>
            <w:tcBorders>
              <w:top w:val="single" w:sz="8" w:space="0" w:color="auto"/>
              <w:left w:val="single" w:sz="8" w:space="0" w:color="auto"/>
              <w:bottom w:val="single" w:sz="8" w:space="0" w:color="auto"/>
              <w:right w:val="single" w:sz="8" w:space="0" w:color="000000" w:themeColor="text1"/>
            </w:tcBorders>
            <w:shd w:val="clear" w:color="auto" w:fill="C6EFCE"/>
            <w:vAlign w:val="center"/>
            <w:hideMark/>
          </w:tcPr>
          <w:p w14:paraId="303DA72E" w14:textId="552F13D6" w:rsidR="00025543" w:rsidRDefault="007E3A2F">
            <w:pPr>
              <w:pStyle w:val="P68B1DB1-Normal56"/>
              <w:spacing w:line="240" w:lineRule="auto"/>
              <w:rPr>
                <w:noProof/>
              </w:rPr>
            </w:pPr>
            <w:r>
              <w:rPr>
                <w:noProof/>
              </w:rPr>
              <w:t xml:space="preserve">       334</w:t>
            </w:r>
          </w:p>
        </w:tc>
        <w:tc>
          <w:tcPr>
            <w:tcW w:w="3969" w:type="dxa"/>
            <w:tcBorders>
              <w:top w:val="single" w:sz="8" w:space="0" w:color="auto"/>
              <w:left w:val="nil"/>
              <w:bottom w:val="single" w:sz="8" w:space="0" w:color="auto"/>
              <w:right w:val="single" w:sz="8" w:space="0" w:color="000000" w:themeColor="text1"/>
            </w:tcBorders>
            <w:shd w:val="clear" w:color="auto" w:fill="C6EFCE"/>
            <w:vAlign w:val="center"/>
            <w:hideMark/>
          </w:tcPr>
          <w:p w14:paraId="0C016408" w14:textId="1738B84C" w:rsidR="00025543" w:rsidRDefault="007E3A2F">
            <w:pPr>
              <w:pStyle w:val="P68B1DB1-Normal57"/>
              <w:spacing w:line="240" w:lineRule="auto"/>
              <w:jc w:val="center"/>
              <w:rPr>
                <w:noProof/>
              </w:rPr>
            </w:pPr>
            <w:r>
              <w:rPr>
                <w:noProof/>
              </w:rPr>
              <w:t xml:space="preserve">C 7.5 Décarbonisation du transport routier (REPowerEU) — Réforme 3: Amélioration du cadre réglementaire pour l’hydrogène renouvelable  </w:t>
            </w:r>
          </w:p>
        </w:tc>
        <w:tc>
          <w:tcPr>
            <w:tcW w:w="1843" w:type="dxa"/>
            <w:tcBorders>
              <w:top w:val="single" w:sz="8" w:space="0" w:color="auto"/>
              <w:left w:val="nil"/>
              <w:bottom w:val="single" w:sz="8" w:space="0" w:color="auto"/>
              <w:right w:val="single" w:sz="8" w:space="0" w:color="000000" w:themeColor="text1"/>
            </w:tcBorders>
            <w:shd w:val="clear" w:color="auto" w:fill="C6EFCE"/>
            <w:vAlign w:val="center"/>
            <w:hideMark/>
          </w:tcPr>
          <w:p w14:paraId="5A0A042E" w14:textId="78BF9945" w:rsidR="00025543" w:rsidRDefault="007E3A2F">
            <w:pPr>
              <w:pStyle w:val="P68B1DB1-Normal57"/>
              <w:spacing w:line="240" w:lineRule="auto"/>
              <w:jc w:val="center"/>
              <w:rPr>
                <w:noProof/>
              </w:rPr>
            </w:pPr>
            <w:r>
              <w:rPr>
                <w:noProof/>
              </w:rPr>
              <w:t>Étapes</w:t>
            </w:r>
          </w:p>
        </w:tc>
        <w:tc>
          <w:tcPr>
            <w:tcW w:w="3402" w:type="dxa"/>
            <w:tcBorders>
              <w:top w:val="single" w:sz="8" w:space="0" w:color="auto"/>
              <w:left w:val="nil"/>
              <w:bottom w:val="single" w:sz="8" w:space="0" w:color="auto"/>
              <w:right w:val="single" w:sz="8" w:space="0" w:color="000000" w:themeColor="text1"/>
            </w:tcBorders>
            <w:shd w:val="clear" w:color="auto" w:fill="C6EFCE"/>
            <w:vAlign w:val="center"/>
            <w:hideMark/>
          </w:tcPr>
          <w:p w14:paraId="702F51B8" w14:textId="3FA0E5EC" w:rsidR="00025543" w:rsidRDefault="007E3A2F">
            <w:pPr>
              <w:pStyle w:val="P68B1DB1-Normal56"/>
              <w:spacing w:line="240" w:lineRule="auto"/>
              <w:jc w:val="center"/>
              <w:rPr>
                <w:noProof/>
              </w:rPr>
            </w:pPr>
            <w:r>
              <w:rPr>
                <w:noProof/>
              </w:rPr>
              <w:t>Révision de la stratégie tchèque pour l’hydrogène — mesures visant à promouvoir l’adoption de l’hydrogène</w:t>
            </w:r>
          </w:p>
        </w:tc>
      </w:tr>
      <w:tr w:rsidR="00025543" w14:paraId="494915EE" w14:textId="77777777">
        <w:trPr>
          <w:trHeight w:val="630"/>
        </w:trPr>
        <w:tc>
          <w:tcPr>
            <w:tcW w:w="1276" w:type="dxa"/>
            <w:tcBorders>
              <w:top w:val="single" w:sz="8" w:space="0" w:color="auto"/>
              <w:left w:val="single" w:sz="8" w:space="0" w:color="auto"/>
              <w:bottom w:val="single" w:sz="8" w:space="0" w:color="auto"/>
              <w:right w:val="single" w:sz="8" w:space="0" w:color="000000" w:themeColor="text1"/>
            </w:tcBorders>
            <w:shd w:val="clear" w:color="auto" w:fill="C6EFCE"/>
            <w:vAlign w:val="center"/>
            <w:hideMark/>
          </w:tcPr>
          <w:p w14:paraId="5F130E84" w14:textId="1D3C99B6" w:rsidR="00025543" w:rsidRDefault="007E3A2F">
            <w:pPr>
              <w:pStyle w:val="P68B1DB1-Normal56"/>
              <w:spacing w:line="240" w:lineRule="auto"/>
              <w:rPr>
                <w:noProof/>
              </w:rPr>
            </w:pPr>
            <w:r>
              <w:rPr>
                <w:noProof/>
              </w:rPr>
              <w:t xml:space="preserve">        336</w:t>
            </w:r>
          </w:p>
        </w:tc>
        <w:tc>
          <w:tcPr>
            <w:tcW w:w="3969" w:type="dxa"/>
            <w:tcBorders>
              <w:top w:val="single" w:sz="8" w:space="0" w:color="auto"/>
              <w:left w:val="nil"/>
              <w:bottom w:val="single" w:sz="8" w:space="0" w:color="auto"/>
              <w:right w:val="single" w:sz="8" w:space="0" w:color="000000" w:themeColor="text1"/>
            </w:tcBorders>
            <w:shd w:val="clear" w:color="auto" w:fill="C6EFCE"/>
            <w:vAlign w:val="center"/>
            <w:hideMark/>
          </w:tcPr>
          <w:p w14:paraId="27746BFB" w14:textId="20D6EE2D" w:rsidR="00025543" w:rsidRDefault="007E3A2F">
            <w:pPr>
              <w:pStyle w:val="P68B1DB1-Normal57"/>
              <w:spacing w:line="240" w:lineRule="auto"/>
              <w:jc w:val="center"/>
              <w:rPr>
                <w:noProof/>
              </w:rPr>
            </w:pPr>
            <w:r>
              <w:rPr>
                <w:noProof/>
              </w:rPr>
              <w:t xml:space="preserve">C 7.5 Décarbonisation du transport routier (REPowerEU) — Réforme 4: Conditions favorisantes pour les infrastructures pour carburants alternatifs à émissions nulles  </w:t>
            </w:r>
          </w:p>
        </w:tc>
        <w:tc>
          <w:tcPr>
            <w:tcW w:w="1843" w:type="dxa"/>
            <w:tcBorders>
              <w:top w:val="single" w:sz="8" w:space="0" w:color="auto"/>
              <w:left w:val="nil"/>
              <w:bottom w:val="single" w:sz="8" w:space="0" w:color="auto"/>
              <w:right w:val="single" w:sz="8" w:space="0" w:color="000000" w:themeColor="text1"/>
            </w:tcBorders>
            <w:shd w:val="clear" w:color="auto" w:fill="C6EFCE"/>
            <w:vAlign w:val="center"/>
            <w:hideMark/>
          </w:tcPr>
          <w:p w14:paraId="5EE00E81" w14:textId="18A19736" w:rsidR="00025543" w:rsidRDefault="007E3A2F">
            <w:pPr>
              <w:pStyle w:val="P68B1DB1-Normal57"/>
              <w:spacing w:line="240" w:lineRule="auto"/>
              <w:jc w:val="center"/>
              <w:rPr>
                <w:noProof/>
              </w:rPr>
            </w:pPr>
            <w:r>
              <w:rPr>
                <w:noProof/>
              </w:rPr>
              <w:t>Étapes</w:t>
            </w:r>
          </w:p>
        </w:tc>
        <w:tc>
          <w:tcPr>
            <w:tcW w:w="3402" w:type="dxa"/>
            <w:tcBorders>
              <w:top w:val="single" w:sz="8" w:space="0" w:color="auto"/>
              <w:left w:val="nil"/>
              <w:bottom w:val="single" w:sz="8" w:space="0" w:color="auto"/>
              <w:right w:val="single" w:sz="8" w:space="0" w:color="000000" w:themeColor="text1"/>
            </w:tcBorders>
            <w:shd w:val="clear" w:color="auto" w:fill="C6EFCE"/>
            <w:vAlign w:val="center"/>
            <w:hideMark/>
          </w:tcPr>
          <w:p w14:paraId="1FB348EE" w14:textId="6FEABE03" w:rsidR="00025543" w:rsidRDefault="007E3A2F">
            <w:pPr>
              <w:pStyle w:val="P68B1DB1-Normal56"/>
              <w:spacing w:line="240" w:lineRule="auto"/>
              <w:jc w:val="center"/>
              <w:rPr>
                <w:noProof/>
              </w:rPr>
            </w:pPr>
            <w:r>
              <w:rPr>
                <w:noProof/>
              </w:rPr>
              <w:t>Simplification de la procédure d’autorisation pour la construction de stations de recharge électrique et de stations de ravitaillement en hydrogène — mesures supplémentaires</w:t>
            </w:r>
          </w:p>
        </w:tc>
      </w:tr>
      <w:tr w:rsidR="00025543" w14:paraId="0BF5DB7F" w14:textId="77777777">
        <w:trPr>
          <w:trHeight w:val="630"/>
        </w:trPr>
        <w:tc>
          <w:tcPr>
            <w:tcW w:w="1276" w:type="dxa"/>
            <w:tcBorders>
              <w:top w:val="single" w:sz="8" w:space="0" w:color="auto"/>
              <w:left w:val="single" w:sz="8" w:space="0" w:color="auto"/>
              <w:bottom w:val="single" w:sz="8" w:space="0" w:color="auto"/>
              <w:right w:val="single" w:sz="8" w:space="0" w:color="000000" w:themeColor="text1"/>
            </w:tcBorders>
            <w:shd w:val="clear" w:color="auto" w:fill="C6EFCE"/>
            <w:vAlign w:val="center"/>
            <w:hideMark/>
          </w:tcPr>
          <w:p w14:paraId="0D2A77E0" w14:textId="73FF3E03" w:rsidR="00025543" w:rsidRDefault="007E3A2F">
            <w:pPr>
              <w:pStyle w:val="P68B1DB1-Normal56"/>
              <w:spacing w:line="240" w:lineRule="auto"/>
              <w:rPr>
                <w:noProof/>
              </w:rPr>
            </w:pPr>
            <w:r>
              <w:rPr>
                <w:noProof/>
              </w:rPr>
              <w:t xml:space="preserve">        338</w:t>
            </w:r>
          </w:p>
        </w:tc>
        <w:tc>
          <w:tcPr>
            <w:tcW w:w="3969" w:type="dxa"/>
            <w:tcBorders>
              <w:top w:val="single" w:sz="8" w:space="0" w:color="auto"/>
              <w:left w:val="nil"/>
              <w:bottom w:val="single" w:sz="8" w:space="0" w:color="auto"/>
              <w:right w:val="single" w:sz="8" w:space="0" w:color="000000" w:themeColor="text1"/>
            </w:tcBorders>
            <w:shd w:val="clear" w:color="auto" w:fill="C6EFCE"/>
            <w:vAlign w:val="center"/>
            <w:hideMark/>
          </w:tcPr>
          <w:p w14:paraId="6F257562" w14:textId="1911F5B3" w:rsidR="00025543" w:rsidRDefault="007E3A2F">
            <w:pPr>
              <w:pStyle w:val="P68B1DB1-Normal57"/>
              <w:spacing w:line="240" w:lineRule="auto"/>
              <w:jc w:val="center"/>
              <w:rPr>
                <w:noProof/>
              </w:rPr>
            </w:pPr>
            <w:r>
              <w:rPr>
                <w:noProof/>
              </w:rPr>
              <w:t xml:space="preserve">C 7.5 Décarbonisation du transport routier (REPowerEU) — Investissement 1: Mesure à plus grande échelle: Aides à l’achat de véhicules — véhicules (électriques, H2, vélos) pour les entreprises privées  </w:t>
            </w:r>
          </w:p>
        </w:tc>
        <w:tc>
          <w:tcPr>
            <w:tcW w:w="1843" w:type="dxa"/>
            <w:tcBorders>
              <w:top w:val="single" w:sz="8" w:space="0" w:color="auto"/>
              <w:left w:val="nil"/>
              <w:bottom w:val="single" w:sz="8" w:space="0" w:color="auto"/>
              <w:right w:val="single" w:sz="8" w:space="0" w:color="000000" w:themeColor="text1"/>
            </w:tcBorders>
            <w:shd w:val="clear" w:color="auto" w:fill="C6EFCE"/>
            <w:vAlign w:val="center"/>
            <w:hideMark/>
          </w:tcPr>
          <w:p w14:paraId="640232C4" w14:textId="4E60160F" w:rsidR="00025543" w:rsidRDefault="007E3A2F">
            <w:pPr>
              <w:pStyle w:val="P68B1DB1-Normal57"/>
              <w:spacing w:line="240" w:lineRule="auto"/>
              <w:jc w:val="center"/>
              <w:rPr>
                <w:noProof/>
              </w:rPr>
            </w:pPr>
            <w:r>
              <w:rPr>
                <w:noProof/>
              </w:rPr>
              <w:t>Cible</w:t>
            </w:r>
          </w:p>
        </w:tc>
        <w:tc>
          <w:tcPr>
            <w:tcW w:w="3402" w:type="dxa"/>
            <w:tcBorders>
              <w:top w:val="single" w:sz="8" w:space="0" w:color="auto"/>
              <w:left w:val="nil"/>
              <w:bottom w:val="single" w:sz="8" w:space="0" w:color="auto"/>
              <w:right w:val="single" w:sz="8" w:space="0" w:color="000000" w:themeColor="text1"/>
            </w:tcBorders>
            <w:shd w:val="clear" w:color="auto" w:fill="C6EFCE"/>
            <w:vAlign w:val="center"/>
            <w:hideMark/>
          </w:tcPr>
          <w:p w14:paraId="0FFE7631" w14:textId="635B4EC2" w:rsidR="00025543" w:rsidRDefault="007E3A2F">
            <w:pPr>
              <w:pStyle w:val="P68B1DB1-Normal56"/>
              <w:spacing w:line="240" w:lineRule="auto"/>
              <w:jc w:val="center"/>
              <w:rPr>
                <w:noProof/>
              </w:rPr>
            </w:pPr>
            <w:r>
              <w:rPr>
                <w:noProof/>
              </w:rPr>
              <w:t xml:space="preserve">Augmentation de l’objectif 119 du volet 2.4   </w:t>
            </w:r>
          </w:p>
        </w:tc>
      </w:tr>
      <w:tr w:rsidR="00025543" w14:paraId="26764C2D" w14:textId="77777777">
        <w:trPr>
          <w:trHeight w:val="630"/>
        </w:trPr>
        <w:tc>
          <w:tcPr>
            <w:tcW w:w="1276" w:type="dxa"/>
            <w:tcBorders>
              <w:top w:val="single" w:sz="8" w:space="0" w:color="auto"/>
              <w:left w:val="single" w:sz="8" w:space="0" w:color="auto"/>
              <w:bottom w:val="single" w:sz="8" w:space="0" w:color="auto"/>
              <w:right w:val="single" w:sz="8" w:space="0" w:color="000000" w:themeColor="text1"/>
            </w:tcBorders>
            <w:shd w:val="clear" w:color="auto" w:fill="C6EFCE"/>
            <w:vAlign w:val="center"/>
            <w:hideMark/>
          </w:tcPr>
          <w:p w14:paraId="4815A724" w14:textId="2903DD3E" w:rsidR="00025543" w:rsidRDefault="007E3A2F">
            <w:pPr>
              <w:pStyle w:val="P68B1DB1-Normal56"/>
              <w:spacing w:line="240" w:lineRule="auto"/>
              <w:rPr>
                <w:noProof/>
              </w:rPr>
            </w:pPr>
            <w:r>
              <w:rPr>
                <w:noProof/>
              </w:rPr>
              <w:t xml:space="preserve">        346</w:t>
            </w:r>
          </w:p>
        </w:tc>
        <w:tc>
          <w:tcPr>
            <w:tcW w:w="3969" w:type="dxa"/>
            <w:tcBorders>
              <w:top w:val="single" w:sz="8" w:space="0" w:color="auto"/>
              <w:left w:val="nil"/>
              <w:bottom w:val="single" w:sz="8" w:space="0" w:color="auto"/>
              <w:right w:val="single" w:sz="8" w:space="0" w:color="000000" w:themeColor="text1"/>
            </w:tcBorders>
            <w:shd w:val="clear" w:color="auto" w:fill="C6EFCE"/>
            <w:vAlign w:val="center"/>
            <w:hideMark/>
          </w:tcPr>
          <w:p w14:paraId="391905E4" w14:textId="6D455485" w:rsidR="00025543" w:rsidRDefault="007E3A2F">
            <w:pPr>
              <w:pStyle w:val="P68B1DB1-Normal57"/>
              <w:spacing w:line="240" w:lineRule="auto"/>
              <w:jc w:val="center"/>
              <w:rPr>
                <w:noProof/>
              </w:rPr>
            </w:pPr>
            <w:r>
              <w:rPr>
                <w:noProof/>
              </w:rPr>
              <w:t>C 7.7 Simplifier les procédures d’autorisation environnementale et définir les domaines de développement des sources d’énergie renouvelables (REPOWER UE) — Réforme 2: Zones d’accélération des énergies renouvelables</w:t>
            </w:r>
          </w:p>
        </w:tc>
        <w:tc>
          <w:tcPr>
            <w:tcW w:w="1843" w:type="dxa"/>
            <w:tcBorders>
              <w:top w:val="single" w:sz="8" w:space="0" w:color="auto"/>
              <w:left w:val="nil"/>
              <w:bottom w:val="single" w:sz="8" w:space="0" w:color="auto"/>
              <w:right w:val="single" w:sz="8" w:space="0" w:color="000000" w:themeColor="text1"/>
            </w:tcBorders>
            <w:shd w:val="clear" w:color="auto" w:fill="C6EFCE"/>
            <w:vAlign w:val="center"/>
            <w:hideMark/>
          </w:tcPr>
          <w:p w14:paraId="5AC073C7" w14:textId="0CCCE4A3" w:rsidR="00025543" w:rsidRDefault="007E3A2F">
            <w:pPr>
              <w:pStyle w:val="P68B1DB1-Normal57"/>
              <w:spacing w:line="240" w:lineRule="auto"/>
              <w:jc w:val="center"/>
              <w:rPr>
                <w:noProof/>
              </w:rPr>
            </w:pPr>
            <w:r>
              <w:rPr>
                <w:noProof/>
              </w:rPr>
              <w:t>Cible</w:t>
            </w:r>
          </w:p>
        </w:tc>
        <w:tc>
          <w:tcPr>
            <w:tcW w:w="3402" w:type="dxa"/>
            <w:tcBorders>
              <w:top w:val="single" w:sz="8" w:space="0" w:color="auto"/>
              <w:left w:val="nil"/>
              <w:bottom w:val="single" w:sz="8" w:space="0" w:color="auto"/>
              <w:right w:val="single" w:sz="8" w:space="0" w:color="000000" w:themeColor="text1"/>
            </w:tcBorders>
            <w:shd w:val="clear" w:color="auto" w:fill="C6EFCE"/>
            <w:vAlign w:val="center"/>
            <w:hideMark/>
          </w:tcPr>
          <w:p w14:paraId="46A467D6" w14:textId="123FC507" w:rsidR="00025543" w:rsidRDefault="007E3A2F">
            <w:pPr>
              <w:pStyle w:val="P68B1DB1-Normal56"/>
              <w:spacing w:line="240" w:lineRule="auto"/>
              <w:jc w:val="center"/>
              <w:rPr>
                <w:noProof/>
              </w:rPr>
            </w:pPr>
            <w:r>
              <w:rPr>
                <w:noProof/>
              </w:rPr>
              <w:t xml:space="preserve">Désignation de zones d’accélération des énergies renouvelables pour le développement de l’énergie éolienne et solaire  </w:t>
            </w:r>
          </w:p>
        </w:tc>
      </w:tr>
      <w:tr w:rsidR="00025543" w14:paraId="73209882" w14:textId="77777777">
        <w:trPr>
          <w:trHeight w:val="630"/>
        </w:trPr>
        <w:tc>
          <w:tcPr>
            <w:tcW w:w="1276" w:type="dxa"/>
            <w:tcBorders>
              <w:top w:val="single" w:sz="8" w:space="0" w:color="auto"/>
              <w:left w:val="single" w:sz="8" w:space="0" w:color="auto"/>
              <w:bottom w:val="single" w:sz="8" w:space="0" w:color="auto"/>
              <w:right w:val="single" w:sz="8" w:space="0" w:color="000000" w:themeColor="text1"/>
            </w:tcBorders>
            <w:shd w:val="clear" w:color="auto" w:fill="C6EFCE"/>
            <w:vAlign w:val="center"/>
            <w:hideMark/>
          </w:tcPr>
          <w:p w14:paraId="423E14B9" w14:textId="77777777" w:rsidR="00025543" w:rsidRDefault="007E3A2F">
            <w:pPr>
              <w:pStyle w:val="P68B1DB1-Normal56"/>
              <w:spacing w:before="0" w:after="0" w:line="240" w:lineRule="auto"/>
              <w:rPr>
                <w:noProof/>
              </w:rPr>
            </w:pPr>
            <w:r>
              <w:rPr>
                <w:noProof/>
              </w:rPr>
              <w:t xml:space="preserve"> </w:t>
            </w:r>
          </w:p>
        </w:tc>
        <w:tc>
          <w:tcPr>
            <w:tcW w:w="3969" w:type="dxa"/>
            <w:tcBorders>
              <w:top w:val="single" w:sz="8" w:space="0" w:color="auto"/>
              <w:left w:val="nil"/>
              <w:bottom w:val="single" w:sz="8" w:space="0" w:color="auto"/>
              <w:right w:val="single" w:sz="8" w:space="0" w:color="000000" w:themeColor="text1"/>
            </w:tcBorders>
            <w:shd w:val="clear" w:color="auto" w:fill="C6EFCE"/>
            <w:vAlign w:val="center"/>
            <w:hideMark/>
          </w:tcPr>
          <w:p w14:paraId="62ADC8E2" w14:textId="77777777" w:rsidR="00025543" w:rsidRDefault="007E3A2F">
            <w:pPr>
              <w:pStyle w:val="P68B1DB1-Normal57"/>
              <w:spacing w:before="0" w:after="0" w:line="240" w:lineRule="auto"/>
              <w:jc w:val="center"/>
              <w:rPr>
                <w:noProof/>
              </w:rPr>
            </w:pPr>
            <w:r>
              <w:rPr>
                <w:noProof/>
              </w:rPr>
              <w:t xml:space="preserve"> </w:t>
            </w:r>
          </w:p>
        </w:tc>
        <w:tc>
          <w:tcPr>
            <w:tcW w:w="1843" w:type="dxa"/>
            <w:tcBorders>
              <w:top w:val="single" w:sz="8" w:space="0" w:color="auto"/>
              <w:left w:val="nil"/>
              <w:bottom w:val="single" w:sz="8" w:space="0" w:color="auto"/>
              <w:right w:val="single" w:sz="8" w:space="0" w:color="000000" w:themeColor="text1"/>
            </w:tcBorders>
            <w:shd w:val="clear" w:color="auto" w:fill="C6EFCE"/>
            <w:vAlign w:val="center"/>
            <w:hideMark/>
          </w:tcPr>
          <w:p w14:paraId="40007179" w14:textId="77777777" w:rsidR="00025543" w:rsidRDefault="007E3A2F">
            <w:pPr>
              <w:pStyle w:val="P68B1DB1-Normal59"/>
              <w:spacing w:before="0" w:after="0" w:line="240" w:lineRule="auto"/>
              <w:jc w:val="center"/>
              <w:rPr>
                <w:noProof/>
              </w:rPr>
            </w:pPr>
            <w:r>
              <w:rPr>
                <w:noProof/>
              </w:rPr>
              <w:t>Montant de la tranche</w:t>
            </w:r>
          </w:p>
        </w:tc>
        <w:tc>
          <w:tcPr>
            <w:tcW w:w="3402" w:type="dxa"/>
            <w:tcBorders>
              <w:top w:val="single" w:sz="8" w:space="0" w:color="auto"/>
              <w:left w:val="nil"/>
              <w:bottom w:val="single" w:sz="8" w:space="0" w:color="auto"/>
              <w:right w:val="single" w:sz="8" w:space="0" w:color="000000" w:themeColor="text1"/>
            </w:tcBorders>
            <w:shd w:val="clear" w:color="auto" w:fill="C6EFCE"/>
            <w:vAlign w:val="center"/>
            <w:hideMark/>
          </w:tcPr>
          <w:p w14:paraId="6C0E13F5" w14:textId="0332EE46" w:rsidR="00025543" w:rsidRDefault="007E3A2F">
            <w:pPr>
              <w:pStyle w:val="P68B1DB1-Normal60"/>
              <w:spacing w:before="0" w:after="0" w:line="240" w:lineRule="auto"/>
              <w:jc w:val="center"/>
              <w:rPr>
                <w:noProof/>
              </w:rPr>
            </w:pPr>
            <w:r>
              <w:rPr>
                <w:noProof/>
              </w:rPr>
              <w:t>1 539 264 751 EUR</w:t>
            </w:r>
          </w:p>
        </w:tc>
      </w:tr>
    </w:tbl>
    <w:p w14:paraId="4487B2D4" w14:textId="77777777" w:rsidR="00025543" w:rsidRDefault="00025543">
      <w:pPr>
        <w:spacing w:line="240" w:lineRule="auto"/>
        <w:jc w:val="both"/>
        <w:rPr>
          <w:noProof/>
        </w:rPr>
      </w:pPr>
    </w:p>
    <w:p w14:paraId="24E455BF" w14:textId="77777777" w:rsidR="00025543" w:rsidRDefault="007E3A2F">
      <w:pPr>
        <w:numPr>
          <w:ilvl w:val="1"/>
          <w:numId w:val="198"/>
        </w:numPr>
        <w:spacing w:line="240" w:lineRule="auto"/>
        <w:jc w:val="both"/>
        <w:rPr>
          <w:noProof/>
        </w:rPr>
      </w:pPr>
      <w:r>
        <w:rPr>
          <w:noProof/>
        </w:rPr>
        <w:t xml:space="preserve">Neuvième tranche (aide non remboursable): </w:t>
      </w:r>
    </w:p>
    <w:tbl>
      <w:tblPr>
        <w:tblW w:w="10490" w:type="dxa"/>
        <w:tblInd w:w="-601" w:type="dxa"/>
        <w:tblLook w:val="04A0" w:firstRow="1" w:lastRow="0" w:firstColumn="1" w:lastColumn="0" w:noHBand="0" w:noVBand="1"/>
      </w:tblPr>
      <w:tblGrid>
        <w:gridCol w:w="1276"/>
        <w:gridCol w:w="3969"/>
        <w:gridCol w:w="1843"/>
        <w:gridCol w:w="3402"/>
      </w:tblGrid>
      <w:tr w:rsidR="00025543" w14:paraId="510B1012" w14:textId="77777777">
        <w:trPr>
          <w:trHeight w:val="825"/>
          <w:tblHeader/>
        </w:trPr>
        <w:tc>
          <w:tcPr>
            <w:tcW w:w="1276" w:type="dxa"/>
            <w:tcBorders>
              <w:top w:val="single" w:sz="8" w:space="0" w:color="auto"/>
              <w:left w:val="single" w:sz="8" w:space="0" w:color="auto"/>
              <w:bottom w:val="single" w:sz="8" w:space="0" w:color="auto"/>
              <w:right w:val="single" w:sz="8" w:space="0" w:color="auto"/>
            </w:tcBorders>
            <w:shd w:val="clear" w:color="auto" w:fill="BDD7EE"/>
            <w:vAlign w:val="center"/>
            <w:hideMark/>
          </w:tcPr>
          <w:p w14:paraId="108F9505" w14:textId="50D2D089" w:rsidR="00025543" w:rsidRDefault="007E3A2F">
            <w:pPr>
              <w:spacing w:before="0" w:after="0" w:line="240" w:lineRule="auto"/>
              <w:jc w:val="center"/>
              <w:rPr>
                <w:rFonts w:eastAsia="Times New Roman"/>
                <w:b/>
                <w:noProof/>
                <w:color w:val="000000"/>
                <w:sz w:val="22"/>
              </w:rPr>
            </w:pPr>
            <w:r>
              <w:rPr>
                <w:i/>
                <w:noProof/>
                <w:color w:val="4F81BD"/>
              </w:rPr>
              <w:t xml:space="preserve"> </w:t>
            </w:r>
            <w:r>
              <w:rPr>
                <w:rFonts w:eastAsia="Times New Roman"/>
                <w:b/>
                <w:noProof/>
                <w:color w:val="000000"/>
                <w:sz w:val="22"/>
              </w:rPr>
              <w:t>Numéro séquentiel</w:t>
            </w:r>
          </w:p>
        </w:tc>
        <w:tc>
          <w:tcPr>
            <w:tcW w:w="3969" w:type="dxa"/>
            <w:tcBorders>
              <w:top w:val="single" w:sz="8" w:space="0" w:color="auto"/>
              <w:left w:val="nil"/>
              <w:bottom w:val="single" w:sz="8" w:space="0" w:color="auto"/>
              <w:right w:val="single" w:sz="8" w:space="0" w:color="auto"/>
            </w:tcBorders>
            <w:shd w:val="clear" w:color="auto" w:fill="BDD7EE"/>
            <w:vAlign w:val="center"/>
            <w:hideMark/>
          </w:tcPr>
          <w:p w14:paraId="6F54A2C0" w14:textId="77777777" w:rsidR="00025543" w:rsidRDefault="007E3A2F">
            <w:pPr>
              <w:pStyle w:val="P68B1DB1-Normal55"/>
              <w:spacing w:before="0" w:after="0" w:line="240" w:lineRule="auto"/>
              <w:jc w:val="center"/>
              <w:rPr>
                <w:noProof/>
              </w:rPr>
            </w:pPr>
            <w:r>
              <w:rPr>
                <w:noProof/>
              </w:rPr>
              <w:t>Mesure connexe (réforme ou investissement)</w:t>
            </w:r>
          </w:p>
        </w:tc>
        <w:tc>
          <w:tcPr>
            <w:tcW w:w="1843" w:type="dxa"/>
            <w:tcBorders>
              <w:top w:val="single" w:sz="8" w:space="0" w:color="auto"/>
              <w:left w:val="nil"/>
              <w:bottom w:val="single" w:sz="8" w:space="0" w:color="auto"/>
              <w:right w:val="single" w:sz="8" w:space="0" w:color="auto"/>
            </w:tcBorders>
            <w:shd w:val="clear" w:color="auto" w:fill="BDD7EE"/>
            <w:vAlign w:val="center"/>
            <w:hideMark/>
          </w:tcPr>
          <w:p w14:paraId="1CF499F6" w14:textId="77777777" w:rsidR="00025543" w:rsidRDefault="007E3A2F">
            <w:pPr>
              <w:pStyle w:val="P68B1DB1-Normal55"/>
              <w:spacing w:before="0" w:after="0" w:line="240" w:lineRule="auto"/>
              <w:jc w:val="center"/>
              <w:rPr>
                <w:noProof/>
              </w:rPr>
            </w:pPr>
            <w:r>
              <w:rPr>
                <w:noProof/>
              </w:rPr>
              <w:t>Jalon/cible</w:t>
            </w:r>
          </w:p>
        </w:tc>
        <w:tc>
          <w:tcPr>
            <w:tcW w:w="3402" w:type="dxa"/>
            <w:tcBorders>
              <w:top w:val="single" w:sz="8" w:space="0" w:color="auto"/>
              <w:left w:val="nil"/>
              <w:bottom w:val="single" w:sz="8" w:space="0" w:color="auto"/>
              <w:right w:val="single" w:sz="8" w:space="0" w:color="auto"/>
            </w:tcBorders>
            <w:shd w:val="clear" w:color="auto" w:fill="BDD7EE"/>
            <w:vAlign w:val="center"/>
            <w:hideMark/>
          </w:tcPr>
          <w:p w14:paraId="6EC32FBB" w14:textId="77777777" w:rsidR="00025543" w:rsidRDefault="007E3A2F">
            <w:pPr>
              <w:pStyle w:val="P68B1DB1-Normal55"/>
              <w:spacing w:before="0" w:after="0" w:line="240" w:lineRule="auto"/>
              <w:jc w:val="center"/>
              <w:rPr>
                <w:noProof/>
              </w:rPr>
            </w:pPr>
            <w:r>
              <w:rPr>
                <w:noProof/>
              </w:rPr>
              <w:t>Nom</w:t>
            </w:r>
          </w:p>
        </w:tc>
      </w:tr>
      <w:tr w:rsidR="00025543" w14:paraId="58D0DD56" w14:textId="77777777">
        <w:trPr>
          <w:trHeight w:val="795"/>
        </w:trPr>
        <w:tc>
          <w:tcPr>
            <w:tcW w:w="1276" w:type="dxa"/>
            <w:tcBorders>
              <w:top w:val="nil"/>
              <w:left w:val="single" w:sz="8" w:space="0" w:color="auto"/>
              <w:bottom w:val="nil"/>
              <w:right w:val="single" w:sz="8" w:space="0" w:color="000000" w:themeColor="text1"/>
            </w:tcBorders>
            <w:shd w:val="clear" w:color="auto" w:fill="C6EFCE"/>
            <w:vAlign w:val="center"/>
            <w:hideMark/>
          </w:tcPr>
          <w:p w14:paraId="30745530" w14:textId="77777777" w:rsidR="00025543" w:rsidRDefault="007E3A2F">
            <w:pPr>
              <w:pStyle w:val="P68B1DB1-Normal57"/>
              <w:spacing w:before="0" w:after="0" w:line="240" w:lineRule="auto"/>
              <w:jc w:val="center"/>
              <w:rPr>
                <w:noProof/>
              </w:rPr>
            </w:pPr>
            <w:r>
              <w:rPr>
                <w:noProof/>
              </w:rPr>
              <w:t>10</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79F4D352" w14:textId="77777777" w:rsidR="00025543" w:rsidRDefault="007E3A2F">
            <w:pPr>
              <w:pStyle w:val="P68B1DB1-Normal57"/>
              <w:spacing w:before="0" w:after="0" w:line="240" w:lineRule="auto"/>
              <w:jc w:val="center"/>
              <w:rPr>
                <w:noProof/>
              </w:rPr>
            </w:pPr>
            <w:r>
              <w:rPr>
                <w:noProof/>
              </w:rPr>
              <w:t>C 1.1: Services numériques aux citoyens et aux entreprises — Investissement 1: Services numériques pour les utilisateurs finaux</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405BFC88" w14:textId="77777777" w:rsidR="00025543" w:rsidRDefault="007E3A2F">
            <w:pPr>
              <w:pStyle w:val="P68B1DB1-Normal57"/>
              <w:spacing w:before="0" w:after="0" w:line="240" w:lineRule="auto"/>
              <w:jc w:val="center"/>
              <w:rPr>
                <w:noProof/>
              </w:rPr>
            </w:pPr>
            <w:r>
              <w:rPr>
                <w:noProof/>
              </w:rPr>
              <w:t>Cible</w:t>
            </w:r>
          </w:p>
        </w:tc>
        <w:tc>
          <w:tcPr>
            <w:tcW w:w="3402" w:type="dxa"/>
            <w:tcBorders>
              <w:top w:val="nil"/>
              <w:left w:val="nil"/>
              <w:bottom w:val="nil"/>
              <w:right w:val="single" w:sz="8" w:space="0" w:color="000000" w:themeColor="text1"/>
            </w:tcBorders>
            <w:shd w:val="clear" w:color="auto" w:fill="C6EFCE"/>
            <w:vAlign w:val="center"/>
            <w:hideMark/>
          </w:tcPr>
          <w:p w14:paraId="23F3BE1B" w14:textId="77777777" w:rsidR="00025543" w:rsidRDefault="007E3A2F">
            <w:pPr>
              <w:pStyle w:val="P68B1DB1-Normal57"/>
              <w:spacing w:before="0" w:after="0" w:line="240" w:lineRule="auto"/>
              <w:jc w:val="center"/>
              <w:rPr>
                <w:noProof/>
              </w:rPr>
            </w:pPr>
            <w:r>
              <w:rPr>
                <w:noProof/>
              </w:rPr>
              <w:t>Achèvement des projets énumérés entraînant une augmentation du nombre de formulaires remplis envoyés par des personnes physiques et morales aux autorités publiques de manière numérique (par l’intermédiaire de portails ou de boîtes aux lettres électroniques)</w:t>
            </w:r>
          </w:p>
        </w:tc>
      </w:tr>
      <w:tr w:rsidR="00025543" w14:paraId="33787BA4" w14:textId="77777777">
        <w:trPr>
          <w:trHeight w:val="405"/>
        </w:trPr>
        <w:tc>
          <w:tcPr>
            <w:tcW w:w="1276" w:type="dxa"/>
            <w:tcBorders>
              <w:top w:val="single" w:sz="8" w:space="0" w:color="000000" w:themeColor="text1"/>
              <w:left w:val="single" w:sz="8" w:space="0" w:color="auto"/>
              <w:bottom w:val="single" w:sz="8" w:space="0" w:color="auto"/>
              <w:right w:val="single" w:sz="8" w:space="0" w:color="000000" w:themeColor="text1"/>
            </w:tcBorders>
            <w:shd w:val="clear" w:color="auto" w:fill="C6EFCE"/>
            <w:vAlign w:val="center"/>
            <w:hideMark/>
          </w:tcPr>
          <w:p w14:paraId="47FE0EC2" w14:textId="7F8CFB11" w:rsidR="00025543" w:rsidRDefault="007E3A2F">
            <w:pPr>
              <w:pStyle w:val="P68B1DB1-Normal56"/>
              <w:spacing w:line="240" w:lineRule="auto"/>
              <w:jc w:val="center"/>
              <w:rPr>
                <w:noProof/>
              </w:rPr>
            </w:pPr>
            <w:r>
              <w:rPr>
                <w:noProof/>
              </w:rPr>
              <w:t>17</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44D4AE52" w14:textId="1830182C" w:rsidR="00025543" w:rsidRDefault="007E3A2F">
            <w:pPr>
              <w:pStyle w:val="P68B1DB1-Normal57"/>
              <w:spacing w:line="240" w:lineRule="auto"/>
              <w:jc w:val="center"/>
              <w:rPr>
                <w:noProof/>
              </w:rPr>
            </w:pPr>
            <w:r>
              <w:rPr>
                <w:noProof/>
              </w:rPr>
              <w:t xml:space="preserve">C 1.2: Systèmes d’administration publique numérique — Investissements 1: Développement des systèmes d’information  </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45F117EC" w14:textId="2DD604B0" w:rsidR="00025543" w:rsidRDefault="007E3A2F">
            <w:pPr>
              <w:pStyle w:val="P68B1DB1-Normal57"/>
              <w:spacing w:line="240" w:lineRule="auto"/>
              <w:jc w:val="center"/>
              <w:rPr>
                <w:noProof/>
              </w:rPr>
            </w:pPr>
            <w:r>
              <w:rPr>
                <w:noProof/>
              </w:rPr>
              <w:t>Étapes</w:t>
            </w:r>
          </w:p>
        </w:tc>
        <w:tc>
          <w:tcPr>
            <w:tcW w:w="3402" w:type="dxa"/>
            <w:tcBorders>
              <w:top w:val="single" w:sz="8" w:space="0" w:color="000000" w:themeColor="text1"/>
              <w:left w:val="nil"/>
              <w:bottom w:val="single" w:sz="8" w:space="0" w:color="auto"/>
              <w:right w:val="single" w:sz="8" w:space="0" w:color="000000" w:themeColor="text1"/>
            </w:tcBorders>
            <w:shd w:val="clear" w:color="auto" w:fill="C6EFCE"/>
            <w:vAlign w:val="center"/>
            <w:hideMark/>
          </w:tcPr>
          <w:p w14:paraId="2DDF4AF5" w14:textId="6E845936" w:rsidR="00025543" w:rsidRDefault="007E3A2F">
            <w:pPr>
              <w:pStyle w:val="P68B1DB1-Normal56"/>
              <w:spacing w:line="240" w:lineRule="auto"/>
              <w:jc w:val="center"/>
              <w:rPr>
                <w:noProof/>
              </w:rPr>
            </w:pPr>
            <w:r>
              <w:rPr>
                <w:noProof/>
              </w:rPr>
              <w:t xml:space="preserve">Bon fonctionnement du système intégré des étrangers réduisant la charge administrative des étrangers et des fonctionnaires  </w:t>
            </w:r>
          </w:p>
        </w:tc>
      </w:tr>
      <w:tr w:rsidR="00025543" w14:paraId="505C1A8E" w14:textId="77777777">
        <w:trPr>
          <w:trHeight w:val="405"/>
        </w:trPr>
        <w:tc>
          <w:tcPr>
            <w:tcW w:w="1276" w:type="dxa"/>
            <w:tcBorders>
              <w:top w:val="single" w:sz="8" w:space="0" w:color="000000" w:themeColor="text1"/>
              <w:left w:val="single" w:sz="8" w:space="0" w:color="auto"/>
              <w:bottom w:val="single" w:sz="8" w:space="0" w:color="auto"/>
              <w:right w:val="single" w:sz="8" w:space="0" w:color="000000" w:themeColor="text1"/>
            </w:tcBorders>
            <w:shd w:val="clear" w:color="auto" w:fill="C6EFCE"/>
            <w:vAlign w:val="center"/>
            <w:hideMark/>
          </w:tcPr>
          <w:p w14:paraId="5FC809AD" w14:textId="77777777" w:rsidR="00025543" w:rsidRDefault="007E3A2F">
            <w:pPr>
              <w:pStyle w:val="P68B1DB1-Normal56"/>
              <w:spacing w:before="0" w:after="0" w:line="240" w:lineRule="auto"/>
              <w:jc w:val="center"/>
              <w:rPr>
                <w:noProof/>
              </w:rPr>
            </w:pPr>
            <w:r>
              <w:rPr>
                <w:noProof/>
              </w:rPr>
              <w:t>39</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18281F19" w14:textId="425FEA2B" w:rsidR="00025543" w:rsidRDefault="007E3A2F">
            <w:pPr>
              <w:pStyle w:val="P68B1DB1-Normal57"/>
              <w:spacing w:before="0" w:after="0" w:line="240" w:lineRule="auto"/>
              <w:jc w:val="center"/>
              <w:rPr>
                <w:noProof/>
              </w:rPr>
            </w:pPr>
            <w:r>
              <w:rPr>
                <w:noProof/>
              </w:rPr>
              <w:t>C 1.3: Réseaux numériques à haute capacité — Investissements 1: Mise en place de connexions à haute capacité </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563DAF1D"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8" w:space="0" w:color="000000" w:themeColor="text1"/>
              <w:left w:val="nil"/>
              <w:bottom w:val="single" w:sz="8" w:space="0" w:color="auto"/>
              <w:right w:val="single" w:sz="8" w:space="0" w:color="000000" w:themeColor="text1"/>
            </w:tcBorders>
            <w:shd w:val="clear" w:color="auto" w:fill="C6EFCE"/>
            <w:vAlign w:val="center"/>
            <w:hideMark/>
          </w:tcPr>
          <w:p w14:paraId="1773CBBF" w14:textId="74A74105" w:rsidR="00025543" w:rsidRDefault="007E3A2F">
            <w:pPr>
              <w:pStyle w:val="P68B1DB1-Normal56"/>
              <w:spacing w:before="0" w:after="0" w:line="240" w:lineRule="auto"/>
              <w:jc w:val="center"/>
              <w:rPr>
                <w:noProof/>
              </w:rPr>
            </w:pPr>
            <w:r>
              <w:rPr>
                <w:noProof/>
              </w:rPr>
              <w:t xml:space="preserve">Achèvement des points d’adresses reliés au réseau à très haute capacité (VHCN) </w:t>
            </w:r>
          </w:p>
        </w:tc>
      </w:tr>
      <w:tr w:rsidR="00025543" w14:paraId="1074155B" w14:textId="77777777">
        <w:trPr>
          <w:trHeight w:val="795"/>
        </w:trPr>
        <w:tc>
          <w:tcPr>
            <w:tcW w:w="1276" w:type="dxa"/>
            <w:tcBorders>
              <w:top w:val="nil"/>
              <w:left w:val="single" w:sz="8" w:space="0" w:color="auto"/>
              <w:bottom w:val="single" w:sz="8" w:space="0" w:color="auto"/>
              <w:right w:val="single" w:sz="8" w:space="0" w:color="auto"/>
            </w:tcBorders>
            <w:shd w:val="clear" w:color="auto" w:fill="C6EFCE"/>
            <w:vAlign w:val="center"/>
            <w:hideMark/>
          </w:tcPr>
          <w:p w14:paraId="511F7578" w14:textId="02BFF241" w:rsidR="00025543" w:rsidRDefault="007E3A2F">
            <w:pPr>
              <w:pStyle w:val="P68B1DB1-Normal56"/>
              <w:spacing w:line="240" w:lineRule="auto"/>
              <w:jc w:val="center"/>
              <w:rPr>
                <w:noProof/>
              </w:rPr>
            </w:pPr>
            <w:r>
              <w:rPr>
                <w:noProof/>
              </w:rPr>
              <w:t>40</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11EB6C75" w14:textId="287D6641" w:rsidR="00025543" w:rsidRDefault="007E3A2F">
            <w:pPr>
              <w:pStyle w:val="P68B1DB1-Normal57"/>
              <w:spacing w:line="240" w:lineRule="auto"/>
              <w:jc w:val="center"/>
              <w:rPr>
                <w:noProof/>
              </w:rPr>
            </w:pPr>
            <w:r>
              <w:rPr>
                <w:noProof/>
              </w:rPr>
              <w:t>C 1.3: Réseaux numériques à haute capacité — Investissements 2: Couverture des corridors 5G et promotion du développement de la 5G </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636506DA" w14:textId="39D1D704" w:rsidR="00025543" w:rsidRDefault="007E3A2F">
            <w:pPr>
              <w:pStyle w:val="P68B1DB1-Normal57"/>
              <w:spacing w:line="240" w:lineRule="auto"/>
              <w:jc w:val="center"/>
              <w:rPr>
                <w:noProof/>
              </w:rPr>
            </w:pPr>
            <w:r>
              <w:rPr>
                <w:noProof/>
              </w:rPr>
              <w:t>Cible</w:t>
            </w:r>
          </w:p>
        </w:tc>
        <w:tc>
          <w:tcPr>
            <w:tcW w:w="3402" w:type="dxa"/>
            <w:tcBorders>
              <w:top w:val="nil"/>
              <w:left w:val="nil"/>
              <w:bottom w:val="single" w:sz="8" w:space="0" w:color="auto"/>
              <w:right w:val="single" w:sz="8" w:space="0" w:color="auto"/>
            </w:tcBorders>
            <w:shd w:val="clear" w:color="auto" w:fill="C6EFCE"/>
            <w:vAlign w:val="center"/>
            <w:hideMark/>
          </w:tcPr>
          <w:p w14:paraId="4685C95D" w14:textId="2C348E9B" w:rsidR="00025543" w:rsidRDefault="007E3A2F">
            <w:pPr>
              <w:pStyle w:val="P68B1DB1-Normal56"/>
              <w:spacing w:line="240" w:lineRule="auto"/>
              <w:jc w:val="center"/>
              <w:rPr>
                <w:noProof/>
              </w:rPr>
            </w:pPr>
            <w:r>
              <w:rPr>
                <w:noProof/>
              </w:rPr>
              <w:t xml:space="preserve">Achèvement de la couverture 5G renforcée des corridors ferroviaires sélectionnés  </w:t>
            </w:r>
          </w:p>
        </w:tc>
      </w:tr>
      <w:tr w:rsidR="00025543" w14:paraId="5D8985A3" w14:textId="77777777">
        <w:trPr>
          <w:trHeight w:val="795"/>
        </w:trPr>
        <w:tc>
          <w:tcPr>
            <w:tcW w:w="1276" w:type="dxa"/>
            <w:tcBorders>
              <w:top w:val="nil"/>
              <w:left w:val="single" w:sz="8" w:space="0" w:color="auto"/>
              <w:bottom w:val="single" w:sz="8" w:space="0" w:color="000000" w:themeColor="text1"/>
              <w:right w:val="single" w:sz="8" w:space="0" w:color="auto"/>
            </w:tcBorders>
            <w:shd w:val="clear" w:color="auto" w:fill="C6EFCE"/>
            <w:vAlign w:val="center"/>
            <w:hideMark/>
          </w:tcPr>
          <w:p w14:paraId="78738DF4" w14:textId="77777777" w:rsidR="00025543" w:rsidRDefault="007E3A2F">
            <w:pPr>
              <w:pStyle w:val="P68B1DB1-Normal56"/>
              <w:spacing w:before="0" w:after="0" w:line="240" w:lineRule="auto"/>
              <w:jc w:val="center"/>
              <w:rPr>
                <w:noProof/>
              </w:rPr>
            </w:pPr>
            <w:r>
              <w:rPr>
                <w:noProof/>
              </w:rPr>
              <w:t>44</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0419B7B7" w14:textId="4F764F02" w:rsidR="00025543" w:rsidRDefault="007E3A2F">
            <w:pPr>
              <w:pStyle w:val="P68B1DB1-Normal57"/>
              <w:spacing w:before="0" w:after="0" w:line="240" w:lineRule="auto"/>
              <w:jc w:val="center"/>
              <w:rPr>
                <w:noProof/>
              </w:rPr>
            </w:pPr>
            <w:r>
              <w:rPr>
                <w:noProof/>
              </w:rPr>
              <w:t>C 1.3: Réseaux numériques à haute capacité — Investissements 3: Soutenir le développement d’infrastructures mobiles 5G dans les zones blanches à forte intensité d’investissements ruraux </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69A99483" w14:textId="77777777" w:rsidR="00025543" w:rsidRDefault="007E3A2F">
            <w:pPr>
              <w:pStyle w:val="P68B1DB1-Normal57"/>
              <w:spacing w:before="0" w:after="0" w:line="240" w:lineRule="auto"/>
              <w:jc w:val="center"/>
              <w:rPr>
                <w:noProof/>
              </w:rPr>
            </w:pPr>
            <w:r>
              <w:rPr>
                <w:noProof/>
              </w:rPr>
              <w:t>Cible</w:t>
            </w:r>
          </w:p>
        </w:tc>
        <w:tc>
          <w:tcPr>
            <w:tcW w:w="3402" w:type="dxa"/>
            <w:tcBorders>
              <w:top w:val="nil"/>
              <w:left w:val="nil"/>
              <w:bottom w:val="single" w:sz="8" w:space="0" w:color="000000" w:themeColor="text1"/>
              <w:right w:val="single" w:sz="8" w:space="0" w:color="auto"/>
            </w:tcBorders>
            <w:shd w:val="clear" w:color="auto" w:fill="C6EFCE"/>
            <w:vAlign w:val="center"/>
            <w:hideMark/>
          </w:tcPr>
          <w:p w14:paraId="29B345CD" w14:textId="77777777" w:rsidR="00025543" w:rsidRDefault="007E3A2F">
            <w:pPr>
              <w:pStyle w:val="P68B1DB1-Normal56"/>
              <w:spacing w:before="0" w:after="0" w:line="240" w:lineRule="auto"/>
              <w:jc w:val="center"/>
              <w:rPr>
                <w:noProof/>
              </w:rPr>
            </w:pPr>
            <w:r>
              <w:rPr>
                <w:noProof/>
              </w:rPr>
              <w:t xml:space="preserve">Achèvement des stations de base pour signaux 5G </w:t>
            </w:r>
          </w:p>
        </w:tc>
      </w:tr>
      <w:tr w:rsidR="00025543" w14:paraId="7FE78B18" w14:textId="77777777">
        <w:trPr>
          <w:trHeight w:val="600"/>
        </w:trPr>
        <w:tc>
          <w:tcPr>
            <w:tcW w:w="1276" w:type="dxa"/>
            <w:tcBorders>
              <w:top w:val="single" w:sz="4" w:space="0" w:color="000000" w:themeColor="text1"/>
              <w:left w:val="single" w:sz="8" w:space="0" w:color="auto"/>
              <w:bottom w:val="single" w:sz="4" w:space="0" w:color="000000" w:themeColor="text1"/>
              <w:right w:val="single" w:sz="8" w:space="0" w:color="auto"/>
            </w:tcBorders>
            <w:shd w:val="clear" w:color="auto" w:fill="C6EFCE"/>
            <w:vAlign w:val="center"/>
            <w:hideMark/>
          </w:tcPr>
          <w:p w14:paraId="303D5676" w14:textId="6FCBA2FC" w:rsidR="00025543" w:rsidRDefault="007E3A2F">
            <w:pPr>
              <w:pStyle w:val="P68B1DB1-Normal56"/>
              <w:spacing w:line="240" w:lineRule="auto"/>
              <w:jc w:val="center"/>
              <w:rPr>
                <w:noProof/>
              </w:rPr>
            </w:pPr>
            <w:r>
              <w:rPr>
                <w:noProof/>
              </w:rPr>
              <w:t>61</w:t>
            </w:r>
          </w:p>
        </w:tc>
        <w:tc>
          <w:tcPr>
            <w:tcW w:w="3969"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37646298" w14:textId="56233C0F" w:rsidR="00025543" w:rsidRDefault="007E3A2F">
            <w:pPr>
              <w:pStyle w:val="P68B1DB1-Normal57"/>
              <w:spacing w:line="240" w:lineRule="auto"/>
              <w:jc w:val="center"/>
              <w:rPr>
                <w:noProof/>
              </w:rPr>
            </w:pPr>
            <w:r>
              <w:rPr>
                <w:noProof/>
              </w:rPr>
              <w:t xml:space="preserve">C 1.4: Économie et société numériques, Innovative Start-Ups and New Technology Investment 9: Fonds pour le développement d’investissements pré-/d’amorçage, de technologies numériques stratégiques et d’essaimage universitaire  </w:t>
            </w:r>
          </w:p>
        </w:tc>
        <w:tc>
          <w:tcPr>
            <w:tcW w:w="1843"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hideMark/>
          </w:tcPr>
          <w:p w14:paraId="73738B5C" w14:textId="7B10A9F7" w:rsidR="00025543" w:rsidRDefault="007E3A2F">
            <w:pPr>
              <w:pStyle w:val="P68B1DB1-Normal57"/>
              <w:spacing w:line="240" w:lineRule="auto"/>
              <w:jc w:val="center"/>
              <w:rPr>
                <w:noProof/>
              </w:rPr>
            </w:pPr>
            <w:r>
              <w:rPr>
                <w:noProof/>
              </w:rPr>
              <w:t>Étapes</w:t>
            </w:r>
          </w:p>
        </w:tc>
        <w:tc>
          <w:tcPr>
            <w:tcW w:w="3402" w:type="dxa"/>
            <w:tcBorders>
              <w:top w:val="single" w:sz="4" w:space="0" w:color="000000" w:themeColor="text1"/>
              <w:left w:val="nil"/>
              <w:bottom w:val="single" w:sz="4" w:space="0" w:color="000000" w:themeColor="text1"/>
              <w:right w:val="single" w:sz="8" w:space="0" w:color="auto"/>
            </w:tcBorders>
            <w:shd w:val="clear" w:color="auto" w:fill="C6EFCE"/>
            <w:vAlign w:val="center"/>
            <w:hideMark/>
          </w:tcPr>
          <w:p w14:paraId="67498D09" w14:textId="3D912903" w:rsidR="00025543" w:rsidRDefault="007E3A2F">
            <w:pPr>
              <w:pStyle w:val="P68B1DB1-Normal56"/>
              <w:spacing w:line="240" w:lineRule="auto"/>
              <w:jc w:val="center"/>
              <w:rPr>
                <w:noProof/>
              </w:rPr>
            </w:pPr>
            <w:r>
              <w:rPr>
                <w:noProof/>
              </w:rPr>
              <w:t>Lancement du Fonds de fonds et investissement des trois fonds désignés (préamorçage, technologies stratégiques et fonds d’essaimage)</w:t>
            </w:r>
          </w:p>
        </w:tc>
      </w:tr>
      <w:tr w:rsidR="00025543" w14:paraId="4A2DD102" w14:textId="77777777">
        <w:trPr>
          <w:trHeight w:val="600"/>
        </w:trPr>
        <w:tc>
          <w:tcPr>
            <w:tcW w:w="1276" w:type="dxa"/>
            <w:tcBorders>
              <w:top w:val="single" w:sz="4" w:space="0" w:color="000000" w:themeColor="text1"/>
              <w:left w:val="single" w:sz="8" w:space="0" w:color="auto"/>
              <w:bottom w:val="nil"/>
              <w:right w:val="single" w:sz="8" w:space="0" w:color="auto"/>
            </w:tcBorders>
            <w:shd w:val="clear" w:color="auto" w:fill="C6EFCE"/>
            <w:vAlign w:val="center"/>
            <w:hideMark/>
          </w:tcPr>
          <w:p w14:paraId="7FD8B8F2" w14:textId="77777777" w:rsidR="00025543" w:rsidRDefault="007E3A2F">
            <w:pPr>
              <w:pStyle w:val="P68B1DB1-Normal56"/>
              <w:spacing w:before="0" w:after="0" w:line="240" w:lineRule="auto"/>
              <w:jc w:val="center"/>
              <w:rPr>
                <w:noProof/>
              </w:rPr>
            </w:pPr>
            <w:r>
              <w:rPr>
                <w:noProof/>
              </w:rPr>
              <w:t>104</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383C09FC" w14:textId="2E31CB50" w:rsidR="00025543" w:rsidRDefault="007E3A2F">
            <w:pPr>
              <w:pStyle w:val="P68B1DB1-Normal57"/>
              <w:spacing w:before="0" w:after="0" w:line="240" w:lineRule="auto"/>
              <w:jc w:val="center"/>
              <w:rPr>
                <w:noProof/>
              </w:rPr>
            </w:pPr>
            <w:r>
              <w:rPr>
                <w:noProof/>
              </w:rPr>
              <w:t>C 2.2: Réduction de la consommation d’énergie dans le secteur public — Investissements 1: Amélioration de la performance énergétique des bâtiments publics</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7257DBF0"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4" w:space="0" w:color="000000" w:themeColor="text1"/>
              <w:left w:val="nil"/>
              <w:bottom w:val="nil"/>
              <w:right w:val="single" w:sz="8" w:space="0" w:color="auto"/>
            </w:tcBorders>
            <w:shd w:val="clear" w:color="auto" w:fill="C6EFCE"/>
            <w:vAlign w:val="center"/>
            <w:hideMark/>
          </w:tcPr>
          <w:p w14:paraId="2F9D8CC3" w14:textId="77777777" w:rsidR="00025543" w:rsidRDefault="007E3A2F">
            <w:pPr>
              <w:pStyle w:val="P68B1DB1-Normal56"/>
              <w:spacing w:before="0" w:after="0" w:line="240" w:lineRule="auto"/>
              <w:jc w:val="center"/>
              <w:rPr>
                <w:noProof/>
              </w:rPr>
            </w:pPr>
            <w:r>
              <w:rPr>
                <w:noProof/>
              </w:rPr>
              <w:t xml:space="preserve">Réduction de la consommation d’énergie </w:t>
            </w:r>
          </w:p>
        </w:tc>
      </w:tr>
      <w:tr w:rsidR="00025543" w14:paraId="2F3E3537" w14:textId="77777777">
        <w:trPr>
          <w:trHeight w:val="600"/>
        </w:trPr>
        <w:tc>
          <w:tcPr>
            <w:tcW w:w="1276" w:type="dxa"/>
            <w:tcBorders>
              <w:top w:val="single" w:sz="8" w:space="0" w:color="auto"/>
              <w:left w:val="single" w:sz="8" w:space="0" w:color="auto"/>
              <w:bottom w:val="nil"/>
              <w:right w:val="single" w:sz="8" w:space="0" w:color="auto"/>
            </w:tcBorders>
            <w:shd w:val="clear" w:color="auto" w:fill="C6EFCE"/>
            <w:vAlign w:val="center"/>
            <w:hideMark/>
          </w:tcPr>
          <w:p w14:paraId="5AB80E18" w14:textId="77777777" w:rsidR="00025543" w:rsidRDefault="007E3A2F">
            <w:pPr>
              <w:pStyle w:val="P68B1DB1-Normal57"/>
              <w:spacing w:before="0" w:after="0" w:line="240" w:lineRule="auto"/>
              <w:jc w:val="center"/>
              <w:rPr>
                <w:noProof/>
              </w:rPr>
            </w:pPr>
            <w:r>
              <w:rPr>
                <w:noProof/>
              </w:rPr>
              <w:t>107</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62019CC9" w14:textId="77CE18B3" w:rsidR="00025543" w:rsidRDefault="007E3A2F">
            <w:pPr>
              <w:pStyle w:val="P68B1DB1-Normal57"/>
              <w:spacing w:before="0" w:after="0" w:line="240" w:lineRule="auto"/>
              <w:jc w:val="center"/>
              <w:rPr>
                <w:noProof/>
              </w:rPr>
            </w:pPr>
            <w:r>
              <w:rPr>
                <w:noProof/>
              </w:rPr>
              <w:t>C 2.2: Réduction de la consommation d’énergie dans le secteur public — Investissements 2: Amélioration de la performance énergétique des systèmes d’éclairage public</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72E8C4B3"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8" w:space="0" w:color="auto"/>
              <w:left w:val="nil"/>
              <w:bottom w:val="nil"/>
              <w:right w:val="single" w:sz="8" w:space="0" w:color="auto"/>
            </w:tcBorders>
            <w:shd w:val="clear" w:color="auto" w:fill="C6EFCE"/>
            <w:vAlign w:val="center"/>
            <w:hideMark/>
          </w:tcPr>
          <w:p w14:paraId="66CF06A1" w14:textId="77777777" w:rsidR="00025543" w:rsidRDefault="007E3A2F">
            <w:pPr>
              <w:pStyle w:val="P68B1DB1-Normal57"/>
              <w:spacing w:before="0" w:after="0" w:line="240" w:lineRule="auto"/>
              <w:jc w:val="center"/>
              <w:rPr>
                <w:noProof/>
              </w:rPr>
            </w:pPr>
            <w:r>
              <w:rPr>
                <w:noProof/>
              </w:rPr>
              <w:t xml:space="preserve">Réduction de la consommation d’énergie </w:t>
            </w:r>
          </w:p>
        </w:tc>
      </w:tr>
      <w:tr w:rsidR="00025543" w14:paraId="230B2ADE" w14:textId="77777777">
        <w:trPr>
          <w:trHeight w:val="600"/>
        </w:trPr>
        <w:tc>
          <w:tcPr>
            <w:tcW w:w="1276" w:type="dxa"/>
            <w:tcBorders>
              <w:top w:val="single" w:sz="8" w:space="0" w:color="auto"/>
              <w:left w:val="single" w:sz="8" w:space="0" w:color="auto"/>
              <w:bottom w:val="single" w:sz="4" w:space="0" w:color="auto"/>
              <w:right w:val="single" w:sz="8" w:space="0" w:color="auto"/>
            </w:tcBorders>
            <w:shd w:val="clear" w:color="auto" w:fill="C6EFCE"/>
            <w:vAlign w:val="center"/>
            <w:hideMark/>
          </w:tcPr>
          <w:p w14:paraId="008C59F3" w14:textId="77777777" w:rsidR="00025543" w:rsidRDefault="007E3A2F">
            <w:pPr>
              <w:pStyle w:val="P68B1DB1-Normal57"/>
              <w:spacing w:before="0" w:after="0" w:line="240" w:lineRule="auto"/>
              <w:jc w:val="center"/>
              <w:rPr>
                <w:noProof/>
              </w:rPr>
            </w:pPr>
            <w:r>
              <w:rPr>
                <w:noProof/>
              </w:rPr>
              <w:t>109</w:t>
            </w:r>
          </w:p>
        </w:tc>
        <w:tc>
          <w:tcPr>
            <w:tcW w:w="3969" w:type="dxa"/>
            <w:tcBorders>
              <w:top w:val="nil"/>
              <w:left w:val="nil"/>
              <w:bottom w:val="single" w:sz="4" w:space="0" w:color="auto"/>
              <w:right w:val="single" w:sz="8" w:space="0" w:color="000000" w:themeColor="text1"/>
            </w:tcBorders>
            <w:shd w:val="clear" w:color="auto" w:fill="C6EFCE"/>
            <w:vAlign w:val="center"/>
            <w:hideMark/>
          </w:tcPr>
          <w:p w14:paraId="23636006" w14:textId="5730A718" w:rsidR="00025543" w:rsidRDefault="007E3A2F">
            <w:pPr>
              <w:pStyle w:val="P68B1DB1-Normal57"/>
              <w:spacing w:before="0" w:after="0" w:line="240" w:lineRule="auto"/>
              <w:jc w:val="center"/>
              <w:rPr>
                <w:noProof/>
              </w:rPr>
            </w:pPr>
            <w:r>
              <w:rPr>
                <w:noProof/>
              </w:rPr>
              <w:t>C 2.2: Réduction de la consommation d’énergie dans le secteur public — Investissements 3: Amélioration de la performance énergétique des bâtiments publics</w:t>
            </w:r>
          </w:p>
        </w:tc>
        <w:tc>
          <w:tcPr>
            <w:tcW w:w="1843" w:type="dxa"/>
            <w:tcBorders>
              <w:top w:val="nil"/>
              <w:left w:val="nil"/>
              <w:bottom w:val="single" w:sz="4" w:space="0" w:color="auto"/>
              <w:right w:val="single" w:sz="8" w:space="0" w:color="000000" w:themeColor="text1"/>
            </w:tcBorders>
            <w:shd w:val="clear" w:color="auto" w:fill="C6EFCE"/>
            <w:vAlign w:val="center"/>
            <w:hideMark/>
          </w:tcPr>
          <w:p w14:paraId="3667881E"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8" w:space="0" w:color="auto"/>
              <w:left w:val="nil"/>
              <w:bottom w:val="single" w:sz="4" w:space="0" w:color="auto"/>
              <w:right w:val="single" w:sz="8" w:space="0" w:color="auto"/>
            </w:tcBorders>
            <w:shd w:val="clear" w:color="auto" w:fill="C6EFCE"/>
            <w:vAlign w:val="center"/>
            <w:hideMark/>
          </w:tcPr>
          <w:p w14:paraId="3CDDC63F" w14:textId="77777777" w:rsidR="00025543" w:rsidRDefault="007E3A2F">
            <w:pPr>
              <w:pStyle w:val="P68B1DB1-Normal57"/>
              <w:spacing w:before="0" w:after="0" w:line="240" w:lineRule="auto"/>
              <w:jc w:val="center"/>
              <w:rPr>
                <w:noProof/>
              </w:rPr>
            </w:pPr>
            <w:r>
              <w:rPr>
                <w:noProof/>
              </w:rPr>
              <w:t>Réduction de la consommation d’énergie</w:t>
            </w:r>
          </w:p>
        </w:tc>
      </w:tr>
      <w:tr w:rsidR="00025543" w14:paraId="02EDB783" w14:textId="77777777">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7E78412A" w14:textId="77777777" w:rsidR="00025543" w:rsidRDefault="007E3A2F">
            <w:pPr>
              <w:pStyle w:val="P68B1DB1-Normal57"/>
              <w:spacing w:before="0" w:after="0" w:line="240" w:lineRule="auto"/>
              <w:jc w:val="center"/>
              <w:rPr>
                <w:noProof/>
              </w:rPr>
            </w:pPr>
            <w:r>
              <w:rPr>
                <w:noProof/>
              </w:rPr>
              <w:t>112</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668E323" w14:textId="18A88229" w:rsidR="00025543" w:rsidRDefault="007E3A2F">
            <w:pPr>
              <w:pStyle w:val="P68B1DB1-Normal57"/>
              <w:spacing w:before="0" w:after="0" w:line="240" w:lineRule="auto"/>
              <w:jc w:val="center"/>
              <w:rPr>
                <w:noProof/>
              </w:rPr>
            </w:pPr>
            <w:r>
              <w:rPr>
                <w:noProof/>
              </w:rPr>
              <w:t>C 2.3: Transition vers des sources d’énergie plus propres — Investissement 1: Développement de nouvelles sources d’énergie photovoltaïque</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0DEB1B8"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5A54D149" w14:textId="77777777" w:rsidR="00025543" w:rsidRDefault="007E3A2F">
            <w:pPr>
              <w:pStyle w:val="P68B1DB1-Normal57"/>
              <w:spacing w:before="0" w:after="0" w:line="240" w:lineRule="auto"/>
              <w:jc w:val="center"/>
              <w:rPr>
                <w:noProof/>
              </w:rPr>
            </w:pPr>
            <w:r>
              <w:rPr>
                <w:noProof/>
              </w:rPr>
              <w:t>Augmentation de la capacité installée des sources FVE</w:t>
            </w:r>
          </w:p>
        </w:tc>
      </w:tr>
      <w:tr w:rsidR="00025543" w14:paraId="71DBC76C" w14:textId="77777777">
        <w:trPr>
          <w:trHeight w:val="600"/>
        </w:trPr>
        <w:tc>
          <w:tcPr>
            <w:tcW w:w="1276" w:type="dxa"/>
            <w:tcBorders>
              <w:top w:val="single" w:sz="4" w:space="0" w:color="auto"/>
              <w:left w:val="single" w:sz="8" w:space="0" w:color="auto"/>
              <w:bottom w:val="nil"/>
              <w:right w:val="single" w:sz="8" w:space="0" w:color="auto"/>
            </w:tcBorders>
            <w:shd w:val="clear" w:color="auto" w:fill="C6EFCE"/>
            <w:vAlign w:val="center"/>
            <w:hideMark/>
          </w:tcPr>
          <w:p w14:paraId="74A5D5D5" w14:textId="77777777" w:rsidR="00025543" w:rsidRDefault="007E3A2F">
            <w:pPr>
              <w:pStyle w:val="P68B1DB1-Normal57"/>
              <w:spacing w:before="0" w:after="0" w:line="240" w:lineRule="auto"/>
              <w:jc w:val="center"/>
              <w:rPr>
                <w:noProof/>
              </w:rPr>
            </w:pPr>
            <w:r>
              <w:rPr>
                <w:noProof/>
              </w:rPr>
              <w:t>114</w:t>
            </w:r>
          </w:p>
        </w:tc>
        <w:tc>
          <w:tcPr>
            <w:tcW w:w="3969" w:type="dxa"/>
            <w:tcBorders>
              <w:top w:val="single" w:sz="4" w:space="0" w:color="auto"/>
              <w:left w:val="nil"/>
              <w:bottom w:val="nil"/>
              <w:right w:val="single" w:sz="8" w:space="0" w:color="000000" w:themeColor="text1"/>
            </w:tcBorders>
            <w:shd w:val="clear" w:color="auto" w:fill="C6EFCE"/>
            <w:vAlign w:val="center"/>
            <w:hideMark/>
          </w:tcPr>
          <w:p w14:paraId="190943E5" w14:textId="20E3AFA7" w:rsidR="00025543" w:rsidRDefault="007E3A2F">
            <w:pPr>
              <w:pStyle w:val="P68B1DB1-Normal57"/>
              <w:spacing w:before="0" w:after="0" w:line="240" w:lineRule="auto"/>
              <w:jc w:val="center"/>
              <w:rPr>
                <w:noProof/>
              </w:rPr>
            </w:pPr>
            <w:r>
              <w:rPr>
                <w:noProof/>
              </w:rPr>
              <w:t>C 2.3: Transition vers des sources d’énergie plus propres — Investissement 2: Modernisation de la distribution de chaleur dans les systèmes de chauffage urbain</w:t>
            </w:r>
          </w:p>
        </w:tc>
        <w:tc>
          <w:tcPr>
            <w:tcW w:w="1843" w:type="dxa"/>
            <w:tcBorders>
              <w:top w:val="single" w:sz="4" w:space="0" w:color="auto"/>
              <w:left w:val="nil"/>
              <w:bottom w:val="nil"/>
              <w:right w:val="single" w:sz="8" w:space="0" w:color="000000" w:themeColor="text1"/>
            </w:tcBorders>
            <w:shd w:val="clear" w:color="auto" w:fill="C6EFCE"/>
            <w:vAlign w:val="center"/>
            <w:hideMark/>
          </w:tcPr>
          <w:p w14:paraId="137E67CF"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4" w:space="0" w:color="auto"/>
              <w:left w:val="nil"/>
              <w:bottom w:val="nil"/>
              <w:right w:val="single" w:sz="8" w:space="0" w:color="auto"/>
            </w:tcBorders>
            <w:shd w:val="clear" w:color="auto" w:fill="C6EFCE"/>
            <w:vAlign w:val="center"/>
            <w:hideMark/>
          </w:tcPr>
          <w:p w14:paraId="73612BD7" w14:textId="77777777" w:rsidR="00025543" w:rsidRDefault="007E3A2F">
            <w:pPr>
              <w:pStyle w:val="P68B1DB1-Normal57"/>
              <w:spacing w:before="0" w:after="0" w:line="240" w:lineRule="auto"/>
              <w:jc w:val="center"/>
              <w:rPr>
                <w:noProof/>
              </w:rPr>
            </w:pPr>
            <w:r>
              <w:rPr>
                <w:noProof/>
              </w:rPr>
              <w:t>Économies d’énergie primaire résultant de la modernisation de la distribution de chaleur</w:t>
            </w:r>
          </w:p>
        </w:tc>
      </w:tr>
      <w:tr w:rsidR="00025543" w14:paraId="25161FEC" w14:textId="77777777">
        <w:trPr>
          <w:trHeight w:val="795"/>
        </w:trPr>
        <w:tc>
          <w:tcPr>
            <w:tcW w:w="1276" w:type="dxa"/>
            <w:tcBorders>
              <w:top w:val="single" w:sz="8" w:space="0" w:color="auto"/>
              <w:left w:val="single" w:sz="8" w:space="0" w:color="auto"/>
              <w:bottom w:val="single" w:sz="8" w:space="0" w:color="auto"/>
              <w:right w:val="single" w:sz="8" w:space="0" w:color="auto"/>
            </w:tcBorders>
            <w:shd w:val="clear" w:color="auto" w:fill="C6EFCE"/>
            <w:vAlign w:val="center"/>
            <w:hideMark/>
          </w:tcPr>
          <w:p w14:paraId="2292FE92" w14:textId="5329F1E6" w:rsidR="00025543" w:rsidRDefault="007E3A2F">
            <w:pPr>
              <w:pStyle w:val="P68B1DB1-Normal57"/>
              <w:spacing w:line="240" w:lineRule="auto"/>
              <w:jc w:val="center"/>
              <w:rPr>
                <w:noProof/>
              </w:rPr>
            </w:pPr>
            <w:r>
              <w:rPr>
                <w:noProof/>
              </w:rPr>
              <w:t>116</w:t>
            </w:r>
          </w:p>
        </w:tc>
        <w:tc>
          <w:tcPr>
            <w:tcW w:w="3969" w:type="dxa"/>
            <w:tcBorders>
              <w:top w:val="single" w:sz="8" w:space="0" w:color="auto"/>
              <w:left w:val="nil"/>
              <w:bottom w:val="single" w:sz="8" w:space="0" w:color="auto"/>
              <w:right w:val="single" w:sz="8" w:space="0" w:color="000000" w:themeColor="text1"/>
            </w:tcBorders>
            <w:shd w:val="clear" w:color="auto" w:fill="C6EFCE"/>
            <w:vAlign w:val="center"/>
            <w:hideMark/>
          </w:tcPr>
          <w:p w14:paraId="6EE0A964" w14:textId="5AC81FBD" w:rsidR="00025543" w:rsidRDefault="007E3A2F">
            <w:pPr>
              <w:pStyle w:val="P68B1DB1-Normal57"/>
              <w:spacing w:line="240" w:lineRule="auto"/>
              <w:jc w:val="center"/>
              <w:rPr>
                <w:noProof/>
              </w:rPr>
            </w:pPr>
            <w:r>
              <w:rPr>
                <w:noProof/>
              </w:rPr>
              <w:t>C 2.4: Mobilité propre — Investissement 1: Construction d’infrastructures pour les transports publics dans la ville de Prague</w:t>
            </w:r>
          </w:p>
        </w:tc>
        <w:tc>
          <w:tcPr>
            <w:tcW w:w="1843" w:type="dxa"/>
            <w:tcBorders>
              <w:top w:val="single" w:sz="8" w:space="0" w:color="auto"/>
              <w:left w:val="nil"/>
              <w:bottom w:val="single" w:sz="8" w:space="0" w:color="auto"/>
              <w:right w:val="single" w:sz="8" w:space="0" w:color="000000" w:themeColor="text1"/>
            </w:tcBorders>
            <w:shd w:val="clear" w:color="auto" w:fill="C6EFCE"/>
            <w:vAlign w:val="center"/>
            <w:hideMark/>
          </w:tcPr>
          <w:p w14:paraId="4D2B9EA8" w14:textId="2B2C5060" w:rsidR="00025543" w:rsidRDefault="007E3A2F">
            <w:pPr>
              <w:pStyle w:val="P68B1DB1-Normal57"/>
              <w:spacing w:line="240" w:lineRule="auto"/>
              <w:jc w:val="center"/>
              <w:rPr>
                <w:noProof/>
              </w:rPr>
            </w:pPr>
            <w:r>
              <w:rPr>
                <w:noProof/>
              </w:rPr>
              <w:t>Cible</w:t>
            </w:r>
          </w:p>
        </w:tc>
        <w:tc>
          <w:tcPr>
            <w:tcW w:w="3402" w:type="dxa"/>
            <w:tcBorders>
              <w:top w:val="single" w:sz="8" w:space="0" w:color="auto"/>
              <w:left w:val="nil"/>
              <w:bottom w:val="single" w:sz="8" w:space="0" w:color="auto"/>
              <w:right w:val="single" w:sz="8" w:space="0" w:color="auto"/>
            </w:tcBorders>
            <w:shd w:val="clear" w:color="auto" w:fill="C6EFCE"/>
            <w:vAlign w:val="center"/>
            <w:hideMark/>
          </w:tcPr>
          <w:p w14:paraId="2F0D0092" w14:textId="75A560A3" w:rsidR="00025543" w:rsidRDefault="007E3A2F">
            <w:pPr>
              <w:pStyle w:val="P68B1DB1-Normal57"/>
              <w:spacing w:line="240" w:lineRule="auto"/>
              <w:jc w:val="center"/>
              <w:rPr>
                <w:noProof/>
              </w:rPr>
            </w:pPr>
            <w:r>
              <w:rPr>
                <w:noProof/>
              </w:rPr>
              <w:t xml:space="preserve">Nombre de kilomètres de route de tarification dynamique pour la ville de Prague   </w:t>
            </w:r>
          </w:p>
        </w:tc>
      </w:tr>
      <w:tr w:rsidR="00025543" w14:paraId="33F00C8C" w14:textId="77777777">
        <w:trPr>
          <w:trHeight w:val="795"/>
        </w:trPr>
        <w:tc>
          <w:tcPr>
            <w:tcW w:w="1276" w:type="dxa"/>
            <w:tcBorders>
              <w:top w:val="single" w:sz="8" w:space="0" w:color="auto"/>
              <w:left w:val="single" w:sz="8" w:space="0" w:color="auto"/>
              <w:bottom w:val="single" w:sz="8" w:space="0" w:color="auto"/>
              <w:right w:val="single" w:sz="8" w:space="0" w:color="auto"/>
            </w:tcBorders>
            <w:shd w:val="clear" w:color="auto" w:fill="C6EFCE"/>
            <w:vAlign w:val="center"/>
            <w:hideMark/>
          </w:tcPr>
          <w:p w14:paraId="177E5EDE" w14:textId="77777777" w:rsidR="00025543" w:rsidRDefault="007E3A2F">
            <w:pPr>
              <w:pStyle w:val="P68B1DB1-Normal57"/>
              <w:spacing w:before="0" w:after="0" w:line="240" w:lineRule="auto"/>
              <w:jc w:val="center"/>
              <w:rPr>
                <w:noProof/>
              </w:rPr>
            </w:pPr>
            <w:r>
              <w:rPr>
                <w:noProof/>
              </w:rPr>
              <w:t>122</w:t>
            </w:r>
          </w:p>
        </w:tc>
        <w:tc>
          <w:tcPr>
            <w:tcW w:w="3969" w:type="dxa"/>
            <w:tcBorders>
              <w:top w:val="single" w:sz="8" w:space="0" w:color="auto"/>
              <w:left w:val="nil"/>
              <w:bottom w:val="single" w:sz="8" w:space="0" w:color="auto"/>
              <w:right w:val="single" w:sz="8" w:space="0" w:color="000000" w:themeColor="text1"/>
            </w:tcBorders>
            <w:shd w:val="clear" w:color="auto" w:fill="C6EFCE"/>
            <w:vAlign w:val="center"/>
            <w:hideMark/>
          </w:tcPr>
          <w:p w14:paraId="660A1C06" w14:textId="2DA72B9E" w:rsidR="00025543" w:rsidRDefault="007E3A2F">
            <w:pPr>
              <w:pStyle w:val="P68B1DB1-Normal57"/>
              <w:spacing w:before="0" w:after="0" w:line="240" w:lineRule="auto"/>
              <w:jc w:val="center"/>
              <w:rPr>
                <w:noProof/>
              </w:rPr>
            </w:pPr>
            <w:r>
              <w:rPr>
                <w:noProof/>
              </w:rPr>
              <w:t xml:space="preserve">C 2.4: Mobilité propre — Investissement 6: Aide à l’achat de véhicules (trolleybus à batterie et tramways surplancher) pour les transports publics dans la ville de Prague </w:t>
            </w:r>
          </w:p>
        </w:tc>
        <w:tc>
          <w:tcPr>
            <w:tcW w:w="1843" w:type="dxa"/>
            <w:tcBorders>
              <w:top w:val="single" w:sz="8" w:space="0" w:color="auto"/>
              <w:left w:val="nil"/>
              <w:bottom w:val="single" w:sz="8" w:space="0" w:color="auto"/>
              <w:right w:val="single" w:sz="8" w:space="0" w:color="000000" w:themeColor="text1"/>
            </w:tcBorders>
            <w:shd w:val="clear" w:color="auto" w:fill="C6EFCE"/>
            <w:vAlign w:val="center"/>
            <w:hideMark/>
          </w:tcPr>
          <w:p w14:paraId="2CE206EB"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8" w:space="0" w:color="auto"/>
              <w:left w:val="nil"/>
              <w:bottom w:val="single" w:sz="8" w:space="0" w:color="auto"/>
              <w:right w:val="single" w:sz="8" w:space="0" w:color="auto"/>
            </w:tcBorders>
            <w:shd w:val="clear" w:color="auto" w:fill="C6EFCE"/>
            <w:vAlign w:val="center"/>
            <w:hideMark/>
          </w:tcPr>
          <w:p w14:paraId="76303F0F" w14:textId="77777777" w:rsidR="00025543" w:rsidRDefault="007E3A2F">
            <w:pPr>
              <w:pStyle w:val="P68B1DB1-Normal57"/>
              <w:spacing w:before="0" w:after="0" w:line="240" w:lineRule="auto"/>
              <w:jc w:val="center"/>
              <w:rPr>
                <w:noProof/>
              </w:rPr>
            </w:pPr>
            <w:r>
              <w:rPr>
                <w:noProof/>
              </w:rPr>
              <w:t xml:space="preserve">Nombre de véhicules (trolleybus à batterie et tramways surplancher) pour les transports publics dans la ville de Prague </w:t>
            </w:r>
          </w:p>
        </w:tc>
      </w:tr>
      <w:tr w:rsidR="00025543" w14:paraId="52CC7414" w14:textId="77777777">
        <w:trPr>
          <w:trHeight w:val="600"/>
        </w:trPr>
        <w:tc>
          <w:tcPr>
            <w:tcW w:w="1276" w:type="dxa"/>
            <w:tcBorders>
              <w:top w:val="nil"/>
              <w:left w:val="single" w:sz="8" w:space="0" w:color="auto"/>
              <w:bottom w:val="single" w:sz="4" w:space="0" w:color="auto"/>
              <w:right w:val="single" w:sz="8" w:space="0" w:color="auto"/>
            </w:tcBorders>
            <w:shd w:val="clear" w:color="auto" w:fill="C6EFCE"/>
            <w:vAlign w:val="center"/>
            <w:hideMark/>
          </w:tcPr>
          <w:p w14:paraId="1B1E387E" w14:textId="77777777" w:rsidR="00025543" w:rsidRDefault="007E3A2F">
            <w:pPr>
              <w:pStyle w:val="P68B1DB1-Normal57"/>
              <w:spacing w:before="0" w:after="0" w:line="240" w:lineRule="auto"/>
              <w:jc w:val="center"/>
              <w:rPr>
                <w:noProof/>
              </w:rPr>
            </w:pPr>
            <w:r>
              <w:rPr>
                <w:noProof/>
              </w:rPr>
              <w:t>171</w:t>
            </w:r>
          </w:p>
        </w:tc>
        <w:tc>
          <w:tcPr>
            <w:tcW w:w="3969" w:type="dxa"/>
            <w:tcBorders>
              <w:top w:val="nil"/>
              <w:left w:val="nil"/>
              <w:bottom w:val="single" w:sz="4" w:space="0" w:color="auto"/>
              <w:right w:val="single" w:sz="8" w:space="0" w:color="000000" w:themeColor="text1"/>
            </w:tcBorders>
            <w:shd w:val="clear" w:color="auto" w:fill="C6EFCE"/>
            <w:vAlign w:val="center"/>
            <w:hideMark/>
          </w:tcPr>
          <w:p w14:paraId="716A073F" w14:textId="77777777" w:rsidR="00025543" w:rsidRDefault="007E3A2F">
            <w:pPr>
              <w:pStyle w:val="P68B1DB1-Normal57"/>
              <w:spacing w:before="0" w:after="0" w:line="240" w:lineRule="auto"/>
              <w:jc w:val="center"/>
              <w:rPr>
                <w:noProof/>
              </w:rPr>
            </w:pPr>
            <w:r>
              <w:rPr>
                <w:noProof/>
              </w:rPr>
              <w:t>C 3.1: Innovation dans l’éducation dans le contexte de la numérisation — Investissement 1: Mise en œuvre du programme d’études révisé et compétences numériques des enseignants</w:t>
            </w:r>
          </w:p>
        </w:tc>
        <w:tc>
          <w:tcPr>
            <w:tcW w:w="1843" w:type="dxa"/>
            <w:tcBorders>
              <w:top w:val="nil"/>
              <w:left w:val="nil"/>
              <w:bottom w:val="single" w:sz="4" w:space="0" w:color="auto"/>
              <w:right w:val="single" w:sz="8" w:space="0" w:color="000000" w:themeColor="text1"/>
            </w:tcBorders>
            <w:shd w:val="clear" w:color="auto" w:fill="C6EFCE"/>
            <w:vAlign w:val="center"/>
            <w:hideMark/>
          </w:tcPr>
          <w:p w14:paraId="0BA4F50D" w14:textId="77777777" w:rsidR="00025543" w:rsidRDefault="007E3A2F">
            <w:pPr>
              <w:pStyle w:val="P68B1DB1-Normal57"/>
              <w:spacing w:before="0" w:after="0" w:line="240" w:lineRule="auto"/>
              <w:jc w:val="center"/>
              <w:rPr>
                <w:noProof/>
              </w:rPr>
            </w:pPr>
            <w:r>
              <w:rPr>
                <w:noProof/>
              </w:rPr>
              <w:t>Cible</w:t>
            </w:r>
          </w:p>
        </w:tc>
        <w:tc>
          <w:tcPr>
            <w:tcW w:w="3402" w:type="dxa"/>
            <w:tcBorders>
              <w:top w:val="nil"/>
              <w:left w:val="nil"/>
              <w:bottom w:val="single" w:sz="4" w:space="0" w:color="auto"/>
              <w:right w:val="single" w:sz="8" w:space="0" w:color="auto"/>
            </w:tcBorders>
            <w:shd w:val="clear" w:color="auto" w:fill="C6EFCE"/>
            <w:vAlign w:val="center"/>
            <w:hideMark/>
          </w:tcPr>
          <w:p w14:paraId="52599C42" w14:textId="08C1D2AD" w:rsidR="00025543" w:rsidRDefault="007E3A2F">
            <w:pPr>
              <w:pStyle w:val="P68B1DB1-Normal56"/>
              <w:spacing w:before="0" w:after="0" w:line="240" w:lineRule="auto"/>
              <w:jc w:val="center"/>
              <w:rPr>
                <w:noProof/>
                <w:color w:val="006100"/>
              </w:rPr>
            </w:pPr>
            <w:r>
              <w:rPr>
                <w:noProof/>
              </w:rPr>
              <w:t xml:space="preserve">Nombre d’écoles ayant bénéficié d’un soutien pour la mise en œuvre de nouveaux programmes informatiques (compétences numériques des enseignants et orientation) </w:t>
            </w:r>
          </w:p>
        </w:tc>
      </w:tr>
      <w:tr w:rsidR="00025543" w14:paraId="5E1735AC" w14:textId="77777777">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088E16E2" w14:textId="77777777" w:rsidR="00025543" w:rsidRDefault="007E3A2F">
            <w:pPr>
              <w:pStyle w:val="P68B1DB1-Normal57"/>
              <w:spacing w:before="0" w:after="0" w:line="240" w:lineRule="auto"/>
              <w:jc w:val="center"/>
              <w:rPr>
                <w:noProof/>
              </w:rPr>
            </w:pPr>
            <w:r>
              <w:rPr>
                <w:noProof/>
              </w:rPr>
              <w:t>175</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E1099FE" w14:textId="77777777" w:rsidR="00025543" w:rsidRDefault="007E3A2F">
            <w:pPr>
              <w:pStyle w:val="P68B1DB1-Normal57"/>
              <w:spacing w:before="0" w:after="0" w:line="240" w:lineRule="auto"/>
              <w:jc w:val="center"/>
              <w:rPr>
                <w:noProof/>
              </w:rPr>
            </w:pPr>
            <w:r>
              <w:rPr>
                <w:noProof/>
              </w:rPr>
              <w:t>C 3.1: Innovation dans l’éducation dans le contexte de la numérisation — Investissement 2: Équipement numérique pour les écoles</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6DF08075"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E7D0AE1" w14:textId="77777777" w:rsidR="00025543" w:rsidRDefault="007E3A2F">
            <w:pPr>
              <w:pStyle w:val="P68B1DB1-Normal57"/>
              <w:spacing w:before="0" w:after="0" w:line="240" w:lineRule="auto"/>
              <w:jc w:val="center"/>
              <w:rPr>
                <w:noProof/>
              </w:rPr>
            </w:pPr>
            <w:r>
              <w:rPr>
                <w:noProof/>
              </w:rPr>
              <w:t xml:space="preserve">Nombre d’écoles bénéficiant d’un soutien en matière de conseil et de tutorat sur le matériel informatique et les systèmes informatiques internes </w:t>
            </w:r>
          </w:p>
        </w:tc>
      </w:tr>
      <w:tr w:rsidR="00025543" w14:paraId="107EB667" w14:textId="77777777">
        <w:trPr>
          <w:trHeight w:val="600"/>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3B7302D1" w14:textId="77777777" w:rsidR="00025543" w:rsidRDefault="007E3A2F">
            <w:pPr>
              <w:pStyle w:val="P68B1DB1-Normal57"/>
              <w:spacing w:before="0" w:after="0" w:line="240" w:lineRule="auto"/>
              <w:jc w:val="center"/>
              <w:rPr>
                <w:noProof/>
              </w:rPr>
            </w:pPr>
            <w:r>
              <w:rPr>
                <w:noProof/>
              </w:rPr>
              <w:t>177</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463FE504" w14:textId="77777777" w:rsidR="00025543" w:rsidRDefault="007E3A2F">
            <w:pPr>
              <w:pStyle w:val="P68B1DB1-Normal57"/>
              <w:spacing w:before="0" w:after="0" w:line="240" w:lineRule="auto"/>
              <w:jc w:val="center"/>
              <w:rPr>
                <w:noProof/>
              </w:rPr>
            </w:pPr>
            <w:r>
              <w:rPr>
                <w:noProof/>
              </w:rPr>
              <w:t>C 3.2: Adaptation des programmes scolaires — Réforme 1: Transformation des universités pour s’adapter aux nouvelles formes d’apprentissage et à l’évolution des besoins du marché du travail</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C41A32C"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hideMark/>
          </w:tcPr>
          <w:p w14:paraId="1D1D84DC" w14:textId="77777777" w:rsidR="00025543" w:rsidRDefault="007E3A2F">
            <w:pPr>
              <w:pStyle w:val="P68B1DB1-Normal57"/>
              <w:spacing w:before="0" w:after="0" w:line="240" w:lineRule="auto"/>
              <w:jc w:val="center"/>
              <w:rPr>
                <w:noProof/>
              </w:rPr>
            </w:pPr>
            <w:r>
              <w:rPr>
                <w:noProof/>
              </w:rPr>
              <w:t>Nombre de nouveaux programmes d’études accrédités</w:t>
            </w:r>
          </w:p>
        </w:tc>
      </w:tr>
      <w:tr w:rsidR="00025543" w14:paraId="2F9D8A95" w14:textId="77777777">
        <w:trPr>
          <w:trHeight w:val="600"/>
        </w:trPr>
        <w:tc>
          <w:tcPr>
            <w:tcW w:w="1276" w:type="dxa"/>
            <w:tcBorders>
              <w:top w:val="single" w:sz="4" w:space="0" w:color="auto"/>
              <w:left w:val="single" w:sz="8" w:space="0" w:color="auto"/>
              <w:bottom w:val="single" w:sz="8" w:space="0" w:color="auto"/>
              <w:right w:val="single" w:sz="8" w:space="0" w:color="auto"/>
            </w:tcBorders>
            <w:shd w:val="clear" w:color="auto" w:fill="C6EFCE"/>
            <w:vAlign w:val="center"/>
            <w:hideMark/>
          </w:tcPr>
          <w:p w14:paraId="68285605" w14:textId="77777777" w:rsidR="00025543" w:rsidRDefault="007E3A2F">
            <w:pPr>
              <w:pStyle w:val="P68B1DB1-Normal57"/>
              <w:spacing w:before="0" w:after="0" w:line="240" w:lineRule="auto"/>
              <w:jc w:val="center"/>
              <w:rPr>
                <w:noProof/>
              </w:rPr>
            </w:pPr>
            <w:r>
              <w:rPr>
                <w:noProof/>
              </w:rPr>
              <w:t>178</w:t>
            </w:r>
          </w:p>
        </w:tc>
        <w:tc>
          <w:tcPr>
            <w:tcW w:w="3969"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6E78FE64" w14:textId="77777777" w:rsidR="00025543" w:rsidRDefault="007E3A2F">
            <w:pPr>
              <w:pStyle w:val="P68B1DB1-Normal57"/>
              <w:spacing w:before="0" w:after="0" w:line="240" w:lineRule="auto"/>
              <w:jc w:val="center"/>
              <w:rPr>
                <w:noProof/>
              </w:rPr>
            </w:pPr>
            <w:r>
              <w:rPr>
                <w:noProof/>
              </w:rPr>
              <w:t>C 3.2: Adaptation des programmes scolaires — Réforme 1: Transformation des universités pour s’adapter aux nouvelles formes d’apprentissage et à l’évolution des besoins du marché du travail</w:t>
            </w:r>
          </w:p>
        </w:tc>
        <w:tc>
          <w:tcPr>
            <w:tcW w:w="1843" w:type="dxa"/>
            <w:tcBorders>
              <w:top w:val="single" w:sz="4" w:space="0" w:color="auto"/>
              <w:left w:val="nil"/>
              <w:bottom w:val="single" w:sz="8" w:space="0" w:color="000000" w:themeColor="text1"/>
              <w:right w:val="single" w:sz="8" w:space="0" w:color="000000" w:themeColor="text1"/>
            </w:tcBorders>
            <w:shd w:val="clear" w:color="auto" w:fill="C6EFCE"/>
            <w:vAlign w:val="center"/>
            <w:hideMark/>
          </w:tcPr>
          <w:p w14:paraId="32C436D8"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4" w:space="0" w:color="auto"/>
              <w:left w:val="nil"/>
              <w:bottom w:val="single" w:sz="8" w:space="0" w:color="auto"/>
              <w:right w:val="single" w:sz="8" w:space="0" w:color="auto"/>
            </w:tcBorders>
            <w:shd w:val="clear" w:color="auto" w:fill="C6EFCE"/>
            <w:vAlign w:val="center"/>
            <w:hideMark/>
          </w:tcPr>
          <w:p w14:paraId="2C78C154" w14:textId="77777777" w:rsidR="00025543" w:rsidRDefault="007E3A2F">
            <w:pPr>
              <w:pStyle w:val="P68B1DB1-Normal57"/>
              <w:spacing w:before="0" w:after="0" w:line="240" w:lineRule="auto"/>
              <w:jc w:val="center"/>
              <w:rPr>
                <w:noProof/>
              </w:rPr>
            </w:pPr>
            <w:r>
              <w:rPr>
                <w:noProof/>
              </w:rPr>
              <w:t>Nombre de nouveaux cours de reconversion et de perfectionnement professionnels</w:t>
            </w:r>
          </w:p>
        </w:tc>
      </w:tr>
      <w:tr w:rsidR="00025543" w14:paraId="305232FA" w14:textId="77777777">
        <w:trPr>
          <w:trHeight w:val="795"/>
        </w:trPr>
        <w:tc>
          <w:tcPr>
            <w:tcW w:w="1276" w:type="dxa"/>
            <w:tcBorders>
              <w:top w:val="single" w:sz="8" w:space="0" w:color="auto"/>
              <w:left w:val="single" w:sz="8" w:space="0" w:color="auto"/>
              <w:bottom w:val="single" w:sz="8" w:space="0" w:color="auto"/>
              <w:right w:val="single" w:sz="8" w:space="0" w:color="auto"/>
            </w:tcBorders>
            <w:shd w:val="clear" w:color="auto" w:fill="C6EFCE"/>
            <w:vAlign w:val="center"/>
            <w:hideMark/>
          </w:tcPr>
          <w:p w14:paraId="7F57006A" w14:textId="631C4733" w:rsidR="00025543" w:rsidRDefault="007E3A2F">
            <w:pPr>
              <w:pStyle w:val="P68B1DB1-Normal57"/>
              <w:spacing w:before="0" w:after="0" w:line="240" w:lineRule="auto"/>
              <w:jc w:val="center"/>
              <w:rPr>
                <w:noProof/>
              </w:rPr>
            </w:pPr>
            <w:r>
              <w:rPr>
                <w:noProof/>
              </w:rPr>
              <w:t>227</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47B7DCB7" w14:textId="0BD968A4" w:rsidR="00025543" w:rsidRDefault="007E3A2F">
            <w:pPr>
              <w:pStyle w:val="P68B1DB1-Normal57"/>
              <w:spacing w:before="0" w:after="0" w:line="240" w:lineRule="auto"/>
              <w:jc w:val="center"/>
              <w:rPr>
                <w:noProof/>
              </w:rPr>
            </w:pPr>
            <w:r>
              <w:rPr>
                <w:noProof/>
              </w:rPr>
              <w:t>C 5.2: Soutien à la recherche et au développement dans les entreprises et introduction des innovations dans les pratiques commerciales — Investissements 1: Soutenir l’adoption de l’innovation dans la pratique des entreprises</w:t>
            </w:r>
          </w:p>
        </w:tc>
        <w:tc>
          <w:tcPr>
            <w:tcW w:w="1843" w:type="dxa"/>
            <w:tcBorders>
              <w:top w:val="single" w:sz="8" w:space="0" w:color="auto"/>
              <w:left w:val="nil"/>
              <w:bottom w:val="single" w:sz="8" w:space="0" w:color="auto"/>
              <w:right w:val="single" w:sz="8" w:space="0" w:color="000000" w:themeColor="text1"/>
            </w:tcBorders>
            <w:shd w:val="clear" w:color="auto" w:fill="C6EFCE"/>
            <w:vAlign w:val="center"/>
            <w:hideMark/>
          </w:tcPr>
          <w:p w14:paraId="739B3C35"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8" w:space="0" w:color="auto"/>
              <w:left w:val="nil"/>
              <w:bottom w:val="single" w:sz="8" w:space="0" w:color="auto"/>
              <w:right w:val="single" w:sz="8" w:space="0" w:color="auto"/>
            </w:tcBorders>
            <w:shd w:val="clear" w:color="auto" w:fill="C6EFCE"/>
            <w:vAlign w:val="center"/>
            <w:hideMark/>
          </w:tcPr>
          <w:p w14:paraId="2561B464" w14:textId="77777777" w:rsidR="00025543" w:rsidRDefault="007E3A2F">
            <w:pPr>
              <w:pStyle w:val="P68B1DB1-Normal57"/>
              <w:spacing w:before="0" w:after="0" w:line="240" w:lineRule="auto"/>
              <w:jc w:val="center"/>
              <w:rPr>
                <w:noProof/>
              </w:rPr>
            </w:pPr>
            <w:r>
              <w:rPr>
                <w:noProof/>
              </w:rPr>
              <w:t>Introduction d’innovations de produit, de procédé ou d’organisation</w:t>
            </w:r>
          </w:p>
        </w:tc>
      </w:tr>
      <w:tr w:rsidR="00025543" w14:paraId="4A144BCB" w14:textId="77777777">
        <w:trPr>
          <w:trHeight w:val="990"/>
        </w:trPr>
        <w:tc>
          <w:tcPr>
            <w:tcW w:w="1276" w:type="dxa"/>
            <w:tcBorders>
              <w:top w:val="nil"/>
              <w:left w:val="single" w:sz="8" w:space="0" w:color="auto"/>
              <w:bottom w:val="single" w:sz="8" w:space="0" w:color="auto"/>
              <w:right w:val="single" w:sz="8" w:space="0" w:color="auto"/>
            </w:tcBorders>
            <w:shd w:val="clear" w:color="auto" w:fill="C6EFCE"/>
            <w:vAlign w:val="center"/>
            <w:hideMark/>
          </w:tcPr>
          <w:p w14:paraId="5C7A61B5" w14:textId="77777777" w:rsidR="00025543" w:rsidRDefault="007E3A2F">
            <w:pPr>
              <w:pStyle w:val="P68B1DB1-Normal57"/>
              <w:spacing w:before="0" w:after="0" w:line="240" w:lineRule="auto"/>
              <w:jc w:val="center"/>
              <w:rPr>
                <w:noProof/>
              </w:rPr>
            </w:pPr>
            <w:r>
              <w:rPr>
                <w:noProof/>
              </w:rPr>
              <w:t>22</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5E034221" w14:textId="77777777" w:rsidR="00025543" w:rsidRDefault="007E3A2F">
            <w:pPr>
              <w:spacing w:before="0" w:after="0" w:line="240" w:lineRule="auto"/>
              <w:jc w:val="center"/>
              <w:rPr>
                <w:rFonts w:eastAsia="Times New Roman"/>
                <w:noProof/>
                <w:color w:val="006100"/>
                <w:sz w:val="20"/>
              </w:rPr>
            </w:pPr>
            <w:r>
              <w:rPr>
                <w:rFonts w:eastAsia="Times New Roman"/>
                <w:noProof/>
                <w:color w:val="006100"/>
                <w:sz w:val="20"/>
              </w:rPr>
              <w:t>C 1.2: Systèmes d’administration publique numérique — Investissements 2:</w:t>
            </w:r>
            <w:r>
              <w:rPr>
                <w:noProof/>
              </w:rPr>
              <w:br/>
            </w:r>
            <w:r>
              <w:rPr>
                <w:rFonts w:eastAsia="Times New Roman"/>
                <w:noProof/>
                <w:color w:val="006100"/>
                <w:sz w:val="20"/>
              </w:rPr>
              <w:t>Mise en place de registres et d’installations essentiels pour l’administration en ligne</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3E0CE2FA" w14:textId="77777777" w:rsidR="00025543" w:rsidRDefault="007E3A2F">
            <w:pPr>
              <w:pStyle w:val="P68B1DB1-Normal57"/>
              <w:spacing w:before="0" w:after="0" w:line="240" w:lineRule="auto"/>
              <w:jc w:val="center"/>
              <w:rPr>
                <w:noProof/>
              </w:rPr>
            </w:pPr>
            <w:r>
              <w:rPr>
                <w:noProof/>
              </w:rPr>
              <w:t>Étapes</w:t>
            </w:r>
          </w:p>
        </w:tc>
        <w:tc>
          <w:tcPr>
            <w:tcW w:w="3402" w:type="dxa"/>
            <w:tcBorders>
              <w:top w:val="nil"/>
              <w:left w:val="nil"/>
              <w:bottom w:val="single" w:sz="8" w:space="0" w:color="auto"/>
              <w:right w:val="single" w:sz="8" w:space="0" w:color="auto"/>
            </w:tcBorders>
            <w:shd w:val="clear" w:color="auto" w:fill="C6EFCE"/>
            <w:vAlign w:val="center"/>
            <w:hideMark/>
          </w:tcPr>
          <w:p w14:paraId="0F6C5562" w14:textId="77777777" w:rsidR="00025543" w:rsidRDefault="007E3A2F">
            <w:pPr>
              <w:pStyle w:val="P68B1DB1-Normal57"/>
              <w:spacing w:before="0" w:after="0" w:line="240" w:lineRule="auto"/>
              <w:jc w:val="center"/>
              <w:rPr>
                <w:noProof/>
              </w:rPr>
            </w:pPr>
            <w:r>
              <w:rPr>
                <w:noProof/>
              </w:rPr>
              <w:t>Fourniture de services d’informatique en nuage aux pouvoirs publics</w:t>
            </w:r>
          </w:p>
        </w:tc>
      </w:tr>
      <w:tr w:rsidR="00025543" w14:paraId="4EDAADF6" w14:textId="77777777">
        <w:trPr>
          <w:trHeight w:val="600"/>
        </w:trPr>
        <w:tc>
          <w:tcPr>
            <w:tcW w:w="1276" w:type="dxa"/>
            <w:tcBorders>
              <w:top w:val="nil"/>
              <w:left w:val="single" w:sz="8" w:space="0" w:color="auto"/>
              <w:bottom w:val="single" w:sz="4" w:space="0" w:color="auto"/>
              <w:right w:val="single" w:sz="8" w:space="0" w:color="auto"/>
            </w:tcBorders>
            <w:shd w:val="clear" w:color="auto" w:fill="C6EFCE"/>
            <w:vAlign w:val="center"/>
            <w:hideMark/>
          </w:tcPr>
          <w:p w14:paraId="07AC979F" w14:textId="77777777" w:rsidR="00025543" w:rsidRDefault="007E3A2F">
            <w:pPr>
              <w:pStyle w:val="P68B1DB1-Normal57"/>
              <w:spacing w:before="0" w:after="0" w:line="240" w:lineRule="auto"/>
              <w:jc w:val="center"/>
              <w:rPr>
                <w:noProof/>
              </w:rPr>
            </w:pPr>
            <w:r>
              <w:rPr>
                <w:noProof/>
              </w:rPr>
              <w:t>180</w:t>
            </w:r>
          </w:p>
        </w:tc>
        <w:tc>
          <w:tcPr>
            <w:tcW w:w="3969" w:type="dxa"/>
            <w:tcBorders>
              <w:top w:val="nil"/>
              <w:left w:val="nil"/>
              <w:bottom w:val="single" w:sz="4" w:space="0" w:color="auto"/>
              <w:right w:val="single" w:sz="8" w:space="0" w:color="000000" w:themeColor="text1"/>
            </w:tcBorders>
            <w:shd w:val="clear" w:color="auto" w:fill="C6EFCE"/>
            <w:vAlign w:val="center"/>
            <w:hideMark/>
          </w:tcPr>
          <w:p w14:paraId="03415F52" w14:textId="77777777" w:rsidR="00025543" w:rsidRDefault="007E3A2F">
            <w:pPr>
              <w:pStyle w:val="P68B1DB1-Normal57"/>
              <w:spacing w:before="0" w:after="0" w:line="240" w:lineRule="auto"/>
              <w:jc w:val="center"/>
              <w:rPr>
                <w:noProof/>
              </w:rPr>
            </w:pPr>
            <w:r>
              <w:rPr>
                <w:noProof/>
              </w:rPr>
              <w:t>C 3.2: Adaptation des programmes scolaires — Investissement 1: Développement de sites universitaires clés sélectionnés</w:t>
            </w:r>
          </w:p>
        </w:tc>
        <w:tc>
          <w:tcPr>
            <w:tcW w:w="1843" w:type="dxa"/>
            <w:tcBorders>
              <w:top w:val="nil"/>
              <w:left w:val="nil"/>
              <w:bottom w:val="single" w:sz="4" w:space="0" w:color="auto"/>
              <w:right w:val="single" w:sz="8" w:space="0" w:color="000000" w:themeColor="text1"/>
            </w:tcBorders>
            <w:shd w:val="clear" w:color="auto" w:fill="C6EFCE"/>
            <w:vAlign w:val="center"/>
            <w:hideMark/>
          </w:tcPr>
          <w:p w14:paraId="7DF274DF" w14:textId="77777777" w:rsidR="00025543" w:rsidRDefault="007E3A2F">
            <w:pPr>
              <w:pStyle w:val="P68B1DB1-Normal57"/>
              <w:spacing w:before="0" w:after="0" w:line="240" w:lineRule="auto"/>
              <w:jc w:val="center"/>
              <w:rPr>
                <w:noProof/>
              </w:rPr>
            </w:pPr>
            <w:r>
              <w:rPr>
                <w:noProof/>
              </w:rPr>
              <w:t>Cible</w:t>
            </w:r>
          </w:p>
        </w:tc>
        <w:tc>
          <w:tcPr>
            <w:tcW w:w="3402" w:type="dxa"/>
            <w:tcBorders>
              <w:top w:val="nil"/>
              <w:left w:val="nil"/>
              <w:bottom w:val="single" w:sz="4" w:space="0" w:color="auto"/>
              <w:right w:val="single" w:sz="8" w:space="0" w:color="auto"/>
            </w:tcBorders>
            <w:shd w:val="clear" w:color="auto" w:fill="C6EFCE"/>
            <w:vAlign w:val="center"/>
            <w:hideMark/>
          </w:tcPr>
          <w:p w14:paraId="597A9609" w14:textId="77777777" w:rsidR="00025543" w:rsidRDefault="007E3A2F">
            <w:pPr>
              <w:pStyle w:val="P68B1DB1-Normal57"/>
              <w:spacing w:before="0" w:after="0" w:line="240" w:lineRule="auto"/>
              <w:jc w:val="center"/>
              <w:rPr>
                <w:noProof/>
              </w:rPr>
            </w:pPr>
            <w:r>
              <w:rPr>
                <w:noProof/>
              </w:rPr>
              <w:t xml:space="preserve">Nombre de mètres carrés de la nouvelle zone universitaire </w:t>
            </w:r>
          </w:p>
        </w:tc>
      </w:tr>
      <w:tr w:rsidR="00025543" w14:paraId="025AB127" w14:textId="77777777">
        <w:trPr>
          <w:trHeight w:val="795"/>
        </w:trPr>
        <w:tc>
          <w:tcPr>
            <w:tcW w:w="1276" w:type="dxa"/>
            <w:tcBorders>
              <w:top w:val="single" w:sz="4" w:space="0" w:color="auto"/>
              <w:left w:val="single" w:sz="8" w:space="0" w:color="auto"/>
              <w:bottom w:val="nil"/>
              <w:right w:val="single" w:sz="8" w:space="0" w:color="auto"/>
            </w:tcBorders>
            <w:shd w:val="clear" w:color="auto" w:fill="C6EFCE"/>
            <w:vAlign w:val="center"/>
            <w:hideMark/>
          </w:tcPr>
          <w:p w14:paraId="40A9AFE4" w14:textId="3D74F0B9" w:rsidR="00025543" w:rsidRDefault="007E3A2F">
            <w:pPr>
              <w:pStyle w:val="P68B1DB1-Normal57"/>
              <w:spacing w:line="240" w:lineRule="auto"/>
              <w:jc w:val="center"/>
              <w:rPr>
                <w:noProof/>
              </w:rPr>
            </w:pPr>
            <w:r>
              <w:rPr>
                <w:noProof/>
              </w:rPr>
              <w:t>189</w:t>
            </w:r>
          </w:p>
        </w:tc>
        <w:tc>
          <w:tcPr>
            <w:tcW w:w="3969" w:type="dxa"/>
            <w:tcBorders>
              <w:top w:val="single" w:sz="4" w:space="0" w:color="auto"/>
              <w:left w:val="nil"/>
              <w:bottom w:val="nil"/>
              <w:right w:val="single" w:sz="8" w:space="0" w:color="000000" w:themeColor="text1"/>
            </w:tcBorders>
            <w:shd w:val="clear" w:color="auto" w:fill="C6EFCE"/>
            <w:vAlign w:val="center"/>
            <w:hideMark/>
          </w:tcPr>
          <w:p w14:paraId="60DDED8B" w14:textId="0DB7185C" w:rsidR="00025543" w:rsidRDefault="007E3A2F">
            <w:pPr>
              <w:pStyle w:val="P68B1DB1-Normal57"/>
              <w:spacing w:line="240" w:lineRule="auto"/>
              <w:jc w:val="center"/>
              <w:rPr>
                <w:noProof/>
              </w:rPr>
            </w:pPr>
            <w:r>
              <w:rPr>
                <w:noProof/>
              </w:rPr>
              <w:t xml:space="preserve">C 3.3: Modernisation des services de l’emploi et développement du marché du travail — Investissement 2: Accroître la capacité des structures préscolaires  </w:t>
            </w:r>
          </w:p>
        </w:tc>
        <w:tc>
          <w:tcPr>
            <w:tcW w:w="1843" w:type="dxa"/>
            <w:tcBorders>
              <w:top w:val="single" w:sz="4" w:space="0" w:color="auto"/>
              <w:left w:val="nil"/>
              <w:bottom w:val="nil"/>
              <w:right w:val="single" w:sz="8" w:space="0" w:color="000000" w:themeColor="text1"/>
            </w:tcBorders>
            <w:shd w:val="clear" w:color="auto" w:fill="C6EFCE"/>
            <w:vAlign w:val="center"/>
            <w:hideMark/>
          </w:tcPr>
          <w:p w14:paraId="36A91F95" w14:textId="4B5A2CA3" w:rsidR="00025543" w:rsidRDefault="007E3A2F">
            <w:pPr>
              <w:pStyle w:val="P68B1DB1-Normal57"/>
              <w:spacing w:line="240" w:lineRule="auto"/>
              <w:jc w:val="center"/>
              <w:rPr>
                <w:noProof/>
              </w:rPr>
            </w:pPr>
            <w:r>
              <w:rPr>
                <w:noProof/>
              </w:rPr>
              <w:t>Cible</w:t>
            </w:r>
          </w:p>
        </w:tc>
        <w:tc>
          <w:tcPr>
            <w:tcW w:w="3402" w:type="dxa"/>
            <w:tcBorders>
              <w:top w:val="single" w:sz="4" w:space="0" w:color="auto"/>
              <w:left w:val="nil"/>
              <w:bottom w:val="nil"/>
              <w:right w:val="single" w:sz="8" w:space="0" w:color="auto"/>
            </w:tcBorders>
            <w:shd w:val="clear" w:color="auto" w:fill="C6EFCE"/>
            <w:vAlign w:val="center"/>
            <w:hideMark/>
          </w:tcPr>
          <w:p w14:paraId="426F050C" w14:textId="0BE4969A" w:rsidR="00025543" w:rsidRDefault="007E3A2F">
            <w:pPr>
              <w:pStyle w:val="P68B1DB1-Normal57"/>
              <w:spacing w:line="240" w:lineRule="auto"/>
              <w:jc w:val="center"/>
              <w:rPr>
                <w:noProof/>
              </w:rPr>
            </w:pPr>
            <w:r>
              <w:rPr>
                <w:noProof/>
              </w:rPr>
              <w:t>Nombre d’installations préscolaires existantes rénovées</w:t>
            </w:r>
          </w:p>
        </w:tc>
      </w:tr>
      <w:tr w:rsidR="00025543" w14:paraId="6D33750E" w14:textId="77777777">
        <w:trPr>
          <w:trHeight w:val="795"/>
        </w:trPr>
        <w:tc>
          <w:tcPr>
            <w:tcW w:w="1276" w:type="dxa"/>
            <w:tcBorders>
              <w:top w:val="single" w:sz="4" w:space="0" w:color="auto"/>
              <w:left w:val="single" w:sz="8" w:space="0" w:color="auto"/>
              <w:bottom w:val="nil"/>
              <w:right w:val="single" w:sz="8" w:space="0" w:color="auto"/>
            </w:tcBorders>
            <w:shd w:val="clear" w:color="auto" w:fill="C6EFCE"/>
            <w:vAlign w:val="center"/>
            <w:hideMark/>
          </w:tcPr>
          <w:p w14:paraId="08599963" w14:textId="57ADF679" w:rsidR="00025543" w:rsidRDefault="007E3A2F">
            <w:pPr>
              <w:pStyle w:val="P68B1DB1-Normal57"/>
              <w:spacing w:line="240" w:lineRule="auto"/>
              <w:jc w:val="center"/>
              <w:rPr>
                <w:noProof/>
              </w:rPr>
            </w:pPr>
            <w:r>
              <w:rPr>
                <w:noProof/>
              </w:rPr>
              <w:t>190</w:t>
            </w:r>
          </w:p>
        </w:tc>
        <w:tc>
          <w:tcPr>
            <w:tcW w:w="3969" w:type="dxa"/>
            <w:tcBorders>
              <w:top w:val="single" w:sz="4" w:space="0" w:color="auto"/>
              <w:left w:val="nil"/>
              <w:bottom w:val="nil"/>
              <w:right w:val="single" w:sz="8" w:space="0" w:color="000000" w:themeColor="text1"/>
            </w:tcBorders>
            <w:shd w:val="clear" w:color="auto" w:fill="C6EFCE"/>
            <w:vAlign w:val="center"/>
            <w:hideMark/>
          </w:tcPr>
          <w:p w14:paraId="3195DB06" w14:textId="4CE70029" w:rsidR="00025543" w:rsidRDefault="007E3A2F">
            <w:pPr>
              <w:pStyle w:val="P68B1DB1-Normal57"/>
              <w:spacing w:line="240" w:lineRule="auto"/>
              <w:jc w:val="center"/>
              <w:rPr>
                <w:noProof/>
              </w:rPr>
            </w:pPr>
            <w:r>
              <w:rPr>
                <w:noProof/>
              </w:rPr>
              <w:t xml:space="preserve">C 3.3: Modernisation des services de l’emploi et développement du marché du travail — Investissement 2: Accroître la capacité des structures préscolaires  </w:t>
            </w:r>
          </w:p>
        </w:tc>
        <w:tc>
          <w:tcPr>
            <w:tcW w:w="1843" w:type="dxa"/>
            <w:tcBorders>
              <w:top w:val="single" w:sz="4" w:space="0" w:color="auto"/>
              <w:left w:val="nil"/>
              <w:bottom w:val="nil"/>
              <w:right w:val="single" w:sz="8" w:space="0" w:color="000000" w:themeColor="text1"/>
            </w:tcBorders>
            <w:shd w:val="clear" w:color="auto" w:fill="C6EFCE"/>
            <w:vAlign w:val="center"/>
            <w:hideMark/>
          </w:tcPr>
          <w:p w14:paraId="4C07933E" w14:textId="3B1ABC17" w:rsidR="00025543" w:rsidRDefault="007E3A2F">
            <w:pPr>
              <w:pStyle w:val="P68B1DB1-Normal57"/>
              <w:spacing w:line="240" w:lineRule="auto"/>
              <w:jc w:val="center"/>
              <w:rPr>
                <w:noProof/>
              </w:rPr>
            </w:pPr>
            <w:r>
              <w:rPr>
                <w:noProof/>
              </w:rPr>
              <w:t>Cible</w:t>
            </w:r>
          </w:p>
        </w:tc>
        <w:tc>
          <w:tcPr>
            <w:tcW w:w="3402" w:type="dxa"/>
            <w:tcBorders>
              <w:top w:val="single" w:sz="4" w:space="0" w:color="auto"/>
              <w:left w:val="nil"/>
              <w:bottom w:val="nil"/>
              <w:right w:val="single" w:sz="8" w:space="0" w:color="auto"/>
            </w:tcBorders>
            <w:shd w:val="clear" w:color="auto" w:fill="C6EFCE"/>
            <w:vAlign w:val="center"/>
            <w:hideMark/>
          </w:tcPr>
          <w:p w14:paraId="431754EB" w14:textId="224DE760" w:rsidR="00025543" w:rsidRDefault="007E3A2F">
            <w:pPr>
              <w:pStyle w:val="P68B1DB1-Normal57"/>
              <w:spacing w:line="240" w:lineRule="auto"/>
              <w:jc w:val="center"/>
              <w:rPr>
                <w:noProof/>
              </w:rPr>
            </w:pPr>
            <w:r>
              <w:rPr>
                <w:noProof/>
              </w:rPr>
              <w:t>Nombre de nouvelles structures préscolaires</w:t>
            </w:r>
          </w:p>
        </w:tc>
      </w:tr>
      <w:tr w:rsidR="00025543" w14:paraId="1D443AB8" w14:textId="77777777">
        <w:trPr>
          <w:trHeight w:val="795"/>
        </w:trPr>
        <w:tc>
          <w:tcPr>
            <w:tcW w:w="1276" w:type="dxa"/>
            <w:tcBorders>
              <w:top w:val="single" w:sz="4" w:space="0" w:color="auto"/>
              <w:left w:val="single" w:sz="8" w:space="0" w:color="auto"/>
              <w:bottom w:val="nil"/>
              <w:right w:val="single" w:sz="8" w:space="0" w:color="auto"/>
            </w:tcBorders>
            <w:shd w:val="clear" w:color="auto" w:fill="C6EFCE"/>
            <w:vAlign w:val="center"/>
            <w:hideMark/>
          </w:tcPr>
          <w:p w14:paraId="427E2E7D" w14:textId="4BEF2DF1" w:rsidR="00025543" w:rsidRDefault="007E3A2F">
            <w:pPr>
              <w:pStyle w:val="P68B1DB1-Normal57"/>
              <w:spacing w:line="240" w:lineRule="auto"/>
              <w:jc w:val="center"/>
              <w:rPr>
                <w:noProof/>
              </w:rPr>
            </w:pPr>
            <w:r>
              <w:rPr>
                <w:noProof/>
              </w:rPr>
              <w:t>191</w:t>
            </w:r>
          </w:p>
        </w:tc>
        <w:tc>
          <w:tcPr>
            <w:tcW w:w="3969" w:type="dxa"/>
            <w:tcBorders>
              <w:top w:val="single" w:sz="4" w:space="0" w:color="auto"/>
              <w:left w:val="nil"/>
              <w:bottom w:val="nil"/>
              <w:right w:val="single" w:sz="8" w:space="0" w:color="000000" w:themeColor="text1"/>
            </w:tcBorders>
            <w:shd w:val="clear" w:color="auto" w:fill="C6EFCE"/>
            <w:vAlign w:val="center"/>
            <w:hideMark/>
          </w:tcPr>
          <w:p w14:paraId="10F6FCAF" w14:textId="7F256DD6" w:rsidR="00025543" w:rsidRDefault="007E3A2F">
            <w:pPr>
              <w:pStyle w:val="P68B1DB1-Normal57"/>
              <w:spacing w:line="240" w:lineRule="auto"/>
              <w:jc w:val="center"/>
              <w:rPr>
                <w:noProof/>
              </w:rPr>
            </w:pPr>
            <w:r>
              <w:rPr>
                <w:noProof/>
              </w:rPr>
              <w:t>C3.3: Modernisation des services de l’emploi et développement du marché du travail — Investissement 2: Accroître la capacité des structures préscolaires</w:t>
            </w:r>
          </w:p>
        </w:tc>
        <w:tc>
          <w:tcPr>
            <w:tcW w:w="1843" w:type="dxa"/>
            <w:tcBorders>
              <w:top w:val="single" w:sz="4" w:space="0" w:color="auto"/>
              <w:left w:val="nil"/>
              <w:bottom w:val="nil"/>
              <w:right w:val="single" w:sz="8" w:space="0" w:color="000000" w:themeColor="text1"/>
            </w:tcBorders>
            <w:shd w:val="clear" w:color="auto" w:fill="C6EFCE"/>
            <w:vAlign w:val="center"/>
            <w:hideMark/>
          </w:tcPr>
          <w:p w14:paraId="45AF4729" w14:textId="0D5A29FE" w:rsidR="00025543" w:rsidRDefault="007E3A2F">
            <w:pPr>
              <w:pStyle w:val="P68B1DB1-Normal57"/>
              <w:spacing w:line="240" w:lineRule="auto"/>
              <w:jc w:val="center"/>
              <w:rPr>
                <w:noProof/>
              </w:rPr>
            </w:pPr>
            <w:r>
              <w:rPr>
                <w:noProof/>
              </w:rPr>
              <w:t>Cible</w:t>
            </w:r>
          </w:p>
        </w:tc>
        <w:tc>
          <w:tcPr>
            <w:tcW w:w="3402" w:type="dxa"/>
            <w:tcBorders>
              <w:top w:val="single" w:sz="4" w:space="0" w:color="auto"/>
              <w:left w:val="nil"/>
              <w:bottom w:val="nil"/>
              <w:right w:val="single" w:sz="8" w:space="0" w:color="auto"/>
            </w:tcBorders>
            <w:shd w:val="clear" w:color="auto" w:fill="C6EFCE"/>
            <w:vAlign w:val="center"/>
            <w:hideMark/>
          </w:tcPr>
          <w:p w14:paraId="0C57B0D1" w14:textId="0C8CE705" w:rsidR="00025543" w:rsidRDefault="007E3A2F">
            <w:pPr>
              <w:pStyle w:val="P68B1DB1-Normal57"/>
              <w:spacing w:line="240" w:lineRule="auto"/>
              <w:jc w:val="center"/>
              <w:rPr>
                <w:noProof/>
              </w:rPr>
            </w:pPr>
            <w:r>
              <w:rPr>
                <w:noProof/>
              </w:rPr>
              <w:t>Nombre de nouvelles places dans les établissements préscolaires</w:t>
            </w:r>
          </w:p>
        </w:tc>
      </w:tr>
      <w:tr w:rsidR="00025543" w14:paraId="101C2D68" w14:textId="77777777">
        <w:trPr>
          <w:trHeight w:val="795"/>
        </w:trPr>
        <w:tc>
          <w:tcPr>
            <w:tcW w:w="1276" w:type="dxa"/>
            <w:tcBorders>
              <w:top w:val="single" w:sz="4" w:space="0" w:color="auto"/>
              <w:left w:val="single" w:sz="8" w:space="0" w:color="auto"/>
              <w:bottom w:val="nil"/>
              <w:right w:val="single" w:sz="8" w:space="0" w:color="auto"/>
            </w:tcBorders>
            <w:shd w:val="clear" w:color="auto" w:fill="C6EFCE"/>
            <w:vAlign w:val="center"/>
            <w:hideMark/>
          </w:tcPr>
          <w:p w14:paraId="11ED083E" w14:textId="2AD46668" w:rsidR="00025543" w:rsidRDefault="007E3A2F">
            <w:pPr>
              <w:pStyle w:val="P68B1DB1-Normal57"/>
              <w:spacing w:line="240" w:lineRule="auto"/>
              <w:jc w:val="center"/>
              <w:rPr>
                <w:noProof/>
              </w:rPr>
            </w:pPr>
            <w:r>
              <w:rPr>
                <w:noProof/>
              </w:rPr>
              <w:t>195</w:t>
            </w:r>
          </w:p>
        </w:tc>
        <w:tc>
          <w:tcPr>
            <w:tcW w:w="3969" w:type="dxa"/>
            <w:tcBorders>
              <w:top w:val="single" w:sz="4" w:space="0" w:color="auto"/>
              <w:left w:val="nil"/>
              <w:bottom w:val="nil"/>
              <w:right w:val="single" w:sz="8" w:space="0" w:color="000000" w:themeColor="text1"/>
            </w:tcBorders>
            <w:shd w:val="clear" w:color="auto" w:fill="C6EFCE"/>
            <w:vAlign w:val="center"/>
            <w:hideMark/>
          </w:tcPr>
          <w:p w14:paraId="70399EC8" w14:textId="201E5D0F" w:rsidR="00025543" w:rsidRDefault="007E3A2F">
            <w:pPr>
              <w:pStyle w:val="P68B1DB1-Normal57"/>
              <w:spacing w:line="240" w:lineRule="auto"/>
              <w:jc w:val="center"/>
              <w:rPr>
                <w:noProof/>
              </w:rPr>
            </w:pPr>
            <w:r>
              <w:rPr>
                <w:noProof/>
              </w:rPr>
              <w:t xml:space="preserve">C 3.3: Modernisation des services de l’emploi et développement du marché du travail — Investissement 3: Développement et modernisation des infrastructures d’aide sociale  </w:t>
            </w:r>
          </w:p>
        </w:tc>
        <w:tc>
          <w:tcPr>
            <w:tcW w:w="1843" w:type="dxa"/>
            <w:tcBorders>
              <w:top w:val="single" w:sz="4" w:space="0" w:color="auto"/>
              <w:left w:val="nil"/>
              <w:bottom w:val="nil"/>
              <w:right w:val="single" w:sz="8" w:space="0" w:color="000000" w:themeColor="text1"/>
            </w:tcBorders>
            <w:shd w:val="clear" w:color="auto" w:fill="C6EFCE"/>
            <w:vAlign w:val="center"/>
            <w:hideMark/>
          </w:tcPr>
          <w:p w14:paraId="2CAD2C71" w14:textId="670BC86A" w:rsidR="00025543" w:rsidRDefault="007E3A2F">
            <w:pPr>
              <w:pStyle w:val="P68B1DB1-Normal57"/>
              <w:spacing w:line="240" w:lineRule="auto"/>
              <w:jc w:val="center"/>
              <w:rPr>
                <w:noProof/>
              </w:rPr>
            </w:pPr>
            <w:r>
              <w:rPr>
                <w:noProof/>
              </w:rPr>
              <w:t>Cible</w:t>
            </w:r>
          </w:p>
        </w:tc>
        <w:tc>
          <w:tcPr>
            <w:tcW w:w="3402" w:type="dxa"/>
            <w:tcBorders>
              <w:top w:val="single" w:sz="4" w:space="0" w:color="auto"/>
              <w:left w:val="nil"/>
              <w:bottom w:val="nil"/>
              <w:right w:val="single" w:sz="8" w:space="0" w:color="auto"/>
            </w:tcBorders>
            <w:shd w:val="clear" w:color="auto" w:fill="C6EFCE"/>
            <w:vAlign w:val="center"/>
            <w:hideMark/>
          </w:tcPr>
          <w:p w14:paraId="32AC3C36" w14:textId="7DEB0E25" w:rsidR="00025543" w:rsidRDefault="007E3A2F">
            <w:pPr>
              <w:pStyle w:val="P68B1DB1-Normal57"/>
              <w:spacing w:line="240" w:lineRule="auto"/>
              <w:jc w:val="center"/>
              <w:rPr>
                <w:noProof/>
              </w:rPr>
            </w:pPr>
            <w:r>
              <w:rPr>
                <w:noProof/>
              </w:rPr>
              <w:t xml:space="preserve">T2: Nombre d’installations de proximité résidentielles, ambulatoires, de sensibilisation, de prévention et de conseil construites ou reconstruites  </w:t>
            </w:r>
          </w:p>
        </w:tc>
      </w:tr>
      <w:tr w:rsidR="00025543" w14:paraId="527FE3D0" w14:textId="77777777">
        <w:trPr>
          <w:trHeight w:val="795"/>
        </w:trPr>
        <w:tc>
          <w:tcPr>
            <w:tcW w:w="1276" w:type="dxa"/>
            <w:tcBorders>
              <w:top w:val="single" w:sz="4" w:space="0" w:color="auto"/>
              <w:left w:val="single" w:sz="8" w:space="0" w:color="auto"/>
              <w:bottom w:val="single" w:sz="4" w:space="0" w:color="000000" w:themeColor="text1"/>
              <w:right w:val="single" w:sz="8" w:space="0" w:color="auto"/>
            </w:tcBorders>
            <w:shd w:val="clear" w:color="auto" w:fill="C6EFCE"/>
            <w:vAlign w:val="center"/>
            <w:hideMark/>
          </w:tcPr>
          <w:p w14:paraId="0067015C" w14:textId="662B1144" w:rsidR="00025543" w:rsidRDefault="007E3A2F">
            <w:pPr>
              <w:pStyle w:val="P68B1DB1-Normal57"/>
              <w:spacing w:line="240" w:lineRule="auto"/>
              <w:jc w:val="center"/>
              <w:rPr>
                <w:noProof/>
              </w:rPr>
            </w:pPr>
            <w:r>
              <w:rPr>
                <w:noProof/>
              </w:rPr>
              <w:t>230</w:t>
            </w:r>
          </w:p>
        </w:tc>
        <w:tc>
          <w:tcPr>
            <w:tcW w:w="3969" w:type="dxa"/>
            <w:tcBorders>
              <w:top w:val="single" w:sz="4" w:space="0" w:color="auto"/>
              <w:left w:val="nil"/>
              <w:bottom w:val="single" w:sz="4" w:space="0" w:color="000000" w:themeColor="text1"/>
              <w:right w:val="single" w:sz="8" w:space="0" w:color="000000" w:themeColor="text1"/>
            </w:tcBorders>
            <w:shd w:val="clear" w:color="auto" w:fill="C6EFCE"/>
            <w:vAlign w:val="center"/>
            <w:hideMark/>
          </w:tcPr>
          <w:p w14:paraId="7FFE7443" w14:textId="1F4FE108" w:rsidR="00025543" w:rsidRDefault="007E3A2F">
            <w:pPr>
              <w:pStyle w:val="P68B1DB1-Normal57"/>
              <w:spacing w:line="240" w:lineRule="auto"/>
              <w:jc w:val="center"/>
              <w:rPr>
                <w:noProof/>
              </w:rPr>
            </w:pPr>
            <w:r>
              <w:rPr>
                <w:noProof/>
              </w:rPr>
              <w:t xml:space="preserve">C 5.2: Soutien à la recherche et au développement dans les entreprises et introduction des innovations dans les pratiques commerciales — Investissements 4: Aides à la recherche et au développement en synergie avec le programme-cadre pour la recherche et l’innovation  </w:t>
            </w:r>
          </w:p>
        </w:tc>
        <w:tc>
          <w:tcPr>
            <w:tcW w:w="1843" w:type="dxa"/>
            <w:tcBorders>
              <w:top w:val="single" w:sz="4" w:space="0" w:color="auto"/>
              <w:left w:val="nil"/>
              <w:bottom w:val="single" w:sz="4" w:space="0" w:color="000000" w:themeColor="text1"/>
              <w:right w:val="single" w:sz="8" w:space="0" w:color="000000" w:themeColor="text1"/>
            </w:tcBorders>
            <w:shd w:val="clear" w:color="auto" w:fill="C6EFCE"/>
            <w:vAlign w:val="center"/>
            <w:hideMark/>
          </w:tcPr>
          <w:p w14:paraId="4460025F" w14:textId="1C4F9E71" w:rsidR="00025543" w:rsidRDefault="007E3A2F">
            <w:pPr>
              <w:pStyle w:val="P68B1DB1-Normal57"/>
              <w:spacing w:line="240" w:lineRule="auto"/>
              <w:jc w:val="center"/>
              <w:rPr>
                <w:noProof/>
              </w:rPr>
            </w:pPr>
            <w:r>
              <w:rPr>
                <w:noProof/>
              </w:rPr>
              <w:t>Cible</w:t>
            </w:r>
          </w:p>
        </w:tc>
        <w:tc>
          <w:tcPr>
            <w:tcW w:w="3402" w:type="dxa"/>
            <w:tcBorders>
              <w:top w:val="single" w:sz="4" w:space="0" w:color="auto"/>
              <w:left w:val="nil"/>
              <w:bottom w:val="single" w:sz="4" w:space="0" w:color="000000" w:themeColor="text1"/>
              <w:right w:val="single" w:sz="8" w:space="0" w:color="auto"/>
            </w:tcBorders>
            <w:shd w:val="clear" w:color="auto" w:fill="C6EFCE"/>
            <w:vAlign w:val="center"/>
            <w:hideMark/>
          </w:tcPr>
          <w:p w14:paraId="5A368E37" w14:textId="4344B82A" w:rsidR="00025543" w:rsidRDefault="007E3A2F">
            <w:pPr>
              <w:pStyle w:val="P68B1DB1-Normal57"/>
              <w:spacing w:line="240" w:lineRule="auto"/>
              <w:jc w:val="center"/>
              <w:rPr>
                <w:noProof/>
              </w:rPr>
            </w:pPr>
            <w:r>
              <w:rPr>
                <w:noProof/>
              </w:rPr>
              <w:t>Recherche et développement en synergie avec le programme-cadre pour la recherche et l’innovation</w:t>
            </w:r>
          </w:p>
        </w:tc>
      </w:tr>
      <w:tr w:rsidR="00025543" w14:paraId="142381EF" w14:textId="77777777">
        <w:trPr>
          <w:trHeight w:val="795"/>
        </w:trPr>
        <w:tc>
          <w:tcPr>
            <w:tcW w:w="1276" w:type="dxa"/>
            <w:tcBorders>
              <w:top w:val="single" w:sz="4" w:space="0" w:color="000000" w:themeColor="text1"/>
              <w:left w:val="single" w:sz="8" w:space="0" w:color="auto"/>
              <w:bottom w:val="nil"/>
              <w:right w:val="single" w:sz="8" w:space="0" w:color="auto"/>
            </w:tcBorders>
            <w:shd w:val="clear" w:color="auto" w:fill="C6EFCE"/>
            <w:vAlign w:val="center"/>
            <w:hideMark/>
          </w:tcPr>
          <w:p w14:paraId="36509647" w14:textId="77777777" w:rsidR="00025543" w:rsidRDefault="007E3A2F">
            <w:pPr>
              <w:pStyle w:val="P68B1DB1-Normal57"/>
              <w:spacing w:before="0" w:after="0" w:line="240" w:lineRule="auto"/>
              <w:jc w:val="center"/>
              <w:rPr>
                <w:noProof/>
              </w:rPr>
            </w:pPr>
            <w:r>
              <w:rPr>
                <w:noProof/>
              </w:rPr>
              <w:t>238</w:t>
            </w:r>
          </w:p>
        </w:tc>
        <w:tc>
          <w:tcPr>
            <w:tcW w:w="3969" w:type="dxa"/>
            <w:tcBorders>
              <w:top w:val="single" w:sz="4" w:space="0" w:color="000000" w:themeColor="text1"/>
              <w:left w:val="nil"/>
              <w:bottom w:val="nil"/>
              <w:right w:val="single" w:sz="8" w:space="0" w:color="000000" w:themeColor="text1"/>
            </w:tcBorders>
            <w:shd w:val="clear" w:color="auto" w:fill="C6EFCE"/>
            <w:vAlign w:val="center"/>
            <w:hideMark/>
          </w:tcPr>
          <w:p w14:paraId="4CA1E873" w14:textId="77777777" w:rsidR="00025543" w:rsidRDefault="007E3A2F">
            <w:pPr>
              <w:pStyle w:val="P68B1DB1-Normal57"/>
              <w:spacing w:before="0" w:after="0" w:line="240" w:lineRule="auto"/>
              <w:jc w:val="center"/>
              <w:rPr>
                <w:noProof/>
              </w:rPr>
            </w:pPr>
            <w:r>
              <w:rPr>
                <w:noProof/>
              </w:rPr>
              <w:t>C 6.2: Plan national de renforcement de la prévention et des soins oncologiques — Réforme 2: Soutenir et améliorer la qualité des programmes de dépistage préventif</w:t>
            </w:r>
          </w:p>
        </w:tc>
        <w:tc>
          <w:tcPr>
            <w:tcW w:w="1843" w:type="dxa"/>
            <w:tcBorders>
              <w:top w:val="single" w:sz="4" w:space="0" w:color="000000" w:themeColor="text1"/>
              <w:left w:val="nil"/>
              <w:bottom w:val="nil"/>
              <w:right w:val="single" w:sz="8" w:space="0" w:color="000000" w:themeColor="text1"/>
            </w:tcBorders>
            <w:shd w:val="clear" w:color="auto" w:fill="C6EFCE"/>
            <w:vAlign w:val="center"/>
            <w:hideMark/>
          </w:tcPr>
          <w:p w14:paraId="7A5F68A1"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4" w:space="0" w:color="000000" w:themeColor="text1"/>
              <w:left w:val="nil"/>
              <w:bottom w:val="nil"/>
              <w:right w:val="single" w:sz="8" w:space="0" w:color="auto"/>
            </w:tcBorders>
            <w:shd w:val="clear" w:color="auto" w:fill="C6EFCE"/>
            <w:vAlign w:val="center"/>
            <w:hideMark/>
          </w:tcPr>
          <w:p w14:paraId="393DD50F" w14:textId="77777777" w:rsidR="00025543" w:rsidRDefault="007E3A2F">
            <w:pPr>
              <w:pStyle w:val="P68B1DB1-Normal57"/>
              <w:spacing w:before="0" w:after="0" w:line="240" w:lineRule="auto"/>
              <w:jc w:val="center"/>
              <w:rPr>
                <w:noProof/>
              </w:rPr>
            </w:pPr>
            <w:r>
              <w:rPr>
                <w:noProof/>
              </w:rPr>
              <w:t>Augmentation de la couverture de la population cible par le programme de dépistage du cancer colorectal</w:t>
            </w:r>
          </w:p>
        </w:tc>
      </w:tr>
      <w:tr w:rsidR="00025543" w14:paraId="5112EBB6" w14:textId="77777777">
        <w:trPr>
          <w:trHeight w:val="795"/>
        </w:trPr>
        <w:tc>
          <w:tcPr>
            <w:tcW w:w="1276" w:type="dxa"/>
            <w:tcBorders>
              <w:top w:val="single" w:sz="8" w:space="0" w:color="auto"/>
              <w:left w:val="single" w:sz="8" w:space="0" w:color="auto"/>
              <w:bottom w:val="single" w:sz="8" w:space="0" w:color="auto"/>
              <w:right w:val="single" w:sz="8" w:space="0" w:color="auto"/>
            </w:tcBorders>
            <w:shd w:val="clear" w:color="auto" w:fill="C6EFCE"/>
            <w:vAlign w:val="center"/>
            <w:hideMark/>
          </w:tcPr>
          <w:p w14:paraId="313C6D5D" w14:textId="77777777" w:rsidR="00025543" w:rsidRDefault="007E3A2F">
            <w:pPr>
              <w:pStyle w:val="P68B1DB1-Normal57"/>
              <w:spacing w:before="0" w:after="0" w:line="240" w:lineRule="auto"/>
              <w:jc w:val="center"/>
              <w:rPr>
                <w:noProof/>
              </w:rPr>
            </w:pPr>
            <w:r>
              <w:rPr>
                <w:noProof/>
              </w:rPr>
              <w:t>239</w:t>
            </w:r>
          </w:p>
        </w:tc>
        <w:tc>
          <w:tcPr>
            <w:tcW w:w="3969" w:type="dxa"/>
            <w:tcBorders>
              <w:top w:val="single" w:sz="8" w:space="0" w:color="auto"/>
              <w:left w:val="nil"/>
              <w:bottom w:val="single" w:sz="8" w:space="0" w:color="auto"/>
              <w:right w:val="single" w:sz="8" w:space="0" w:color="000000" w:themeColor="text1"/>
            </w:tcBorders>
            <w:shd w:val="clear" w:color="auto" w:fill="C6EFCE"/>
            <w:vAlign w:val="center"/>
            <w:hideMark/>
          </w:tcPr>
          <w:p w14:paraId="763C63D2" w14:textId="77777777" w:rsidR="00025543" w:rsidRDefault="007E3A2F">
            <w:pPr>
              <w:pStyle w:val="P68B1DB1-Normal57"/>
              <w:spacing w:before="0" w:after="0" w:line="240" w:lineRule="auto"/>
              <w:jc w:val="center"/>
              <w:rPr>
                <w:noProof/>
              </w:rPr>
            </w:pPr>
            <w:r>
              <w:rPr>
                <w:noProof/>
              </w:rPr>
              <w:t>C 6.2: Plan national de renforcement de la prévention et des soins oncologiques — Réforme 2: Soutenir et améliorer la qualité des programmes de dépistage préventif</w:t>
            </w:r>
          </w:p>
        </w:tc>
        <w:tc>
          <w:tcPr>
            <w:tcW w:w="1843" w:type="dxa"/>
            <w:tcBorders>
              <w:top w:val="single" w:sz="8" w:space="0" w:color="auto"/>
              <w:left w:val="nil"/>
              <w:bottom w:val="single" w:sz="8" w:space="0" w:color="auto"/>
              <w:right w:val="single" w:sz="8" w:space="0" w:color="000000" w:themeColor="text1"/>
            </w:tcBorders>
            <w:shd w:val="clear" w:color="auto" w:fill="C6EFCE"/>
            <w:vAlign w:val="center"/>
            <w:hideMark/>
          </w:tcPr>
          <w:p w14:paraId="05CE63BB"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8" w:space="0" w:color="auto"/>
              <w:left w:val="nil"/>
              <w:bottom w:val="single" w:sz="8" w:space="0" w:color="auto"/>
              <w:right w:val="single" w:sz="8" w:space="0" w:color="auto"/>
            </w:tcBorders>
            <w:shd w:val="clear" w:color="auto" w:fill="C6EFCE"/>
            <w:vAlign w:val="center"/>
            <w:hideMark/>
          </w:tcPr>
          <w:p w14:paraId="59D4BAE6" w14:textId="77777777" w:rsidR="00025543" w:rsidRDefault="007E3A2F">
            <w:pPr>
              <w:pStyle w:val="P68B1DB1-Normal57"/>
              <w:spacing w:before="0" w:after="0" w:line="240" w:lineRule="auto"/>
              <w:jc w:val="center"/>
              <w:rPr>
                <w:noProof/>
              </w:rPr>
            </w:pPr>
            <w:r>
              <w:rPr>
                <w:noProof/>
              </w:rPr>
              <w:t>Nombre de participants au nouveau programme de détection précoce du cancer du poumon</w:t>
            </w:r>
          </w:p>
        </w:tc>
      </w:tr>
      <w:tr w:rsidR="00025543" w14:paraId="62D3A81F" w14:textId="77777777">
        <w:trPr>
          <w:trHeight w:val="600"/>
        </w:trPr>
        <w:tc>
          <w:tcPr>
            <w:tcW w:w="1276" w:type="dxa"/>
            <w:tcBorders>
              <w:top w:val="nil"/>
              <w:left w:val="single" w:sz="8" w:space="0" w:color="auto"/>
              <w:bottom w:val="nil"/>
              <w:right w:val="single" w:sz="8" w:space="0" w:color="auto"/>
            </w:tcBorders>
            <w:shd w:val="clear" w:color="auto" w:fill="C6EFCE"/>
            <w:vAlign w:val="center"/>
            <w:hideMark/>
          </w:tcPr>
          <w:p w14:paraId="5DE97D02" w14:textId="77777777" w:rsidR="00025543" w:rsidRDefault="007E3A2F">
            <w:pPr>
              <w:pStyle w:val="P68B1DB1-Normal57"/>
              <w:spacing w:before="0" w:after="0" w:line="240" w:lineRule="auto"/>
              <w:jc w:val="center"/>
              <w:rPr>
                <w:noProof/>
              </w:rPr>
            </w:pPr>
            <w:r>
              <w:rPr>
                <w:noProof/>
              </w:rPr>
              <w:t>241</w:t>
            </w:r>
          </w:p>
        </w:tc>
        <w:tc>
          <w:tcPr>
            <w:tcW w:w="3969" w:type="dxa"/>
            <w:tcBorders>
              <w:top w:val="nil"/>
              <w:left w:val="nil"/>
              <w:bottom w:val="single" w:sz="8" w:space="0" w:color="000000" w:themeColor="text1"/>
              <w:right w:val="single" w:sz="8" w:space="0" w:color="000000" w:themeColor="text1"/>
            </w:tcBorders>
            <w:shd w:val="clear" w:color="auto" w:fill="C6EFCE"/>
            <w:vAlign w:val="center"/>
            <w:hideMark/>
          </w:tcPr>
          <w:p w14:paraId="616D9209" w14:textId="77777777" w:rsidR="00025543" w:rsidRDefault="007E3A2F">
            <w:pPr>
              <w:pStyle w:val="P68B1DB1-Normal57"/>
              <w:spacing w:before="0" w:after="0" w:line="240" w:lineRule="auto"/>
              <w:jc w:val="center"/>
              <w:rPr>
                <w:noProof/>
              </w:rPr>
            </w:pPr>
            <w:r>
              <w:rPr>
                <w:noProof/>
              </w:rPr>
              <w:t>C 6.2: Plan national de renforcement de la prévention et des soins oncologiques — Investissement 1: Construction et mise en place de l’Institut oncologique tchèque</w:t>
            </w:r>
          </w:p>
        </w:tc>
        <w:tc>
          <w:tcPr>
            <w:tcW w:w="1843" w:type="dxa"/>
            <w:tcBorders>
              <w:top w:val="nil"/>
              <w:left w:val="nil"/>
              <w:bottom w:val="single" w:sz="8" w:space="0" w:color="000000" w:themeColor="text1"/>
              <w:right w:val="single" w:sz="8" w:space="0" w:color="000000" w:themeColor="text1"/>
            </w:tcBorders>
            <w:shd w:val="clear" w:color="auto" w:fill="C6EFCE"/>
            <w:vAlign w:val="center"/>
            <w:hideMark/>
          </w:tcPr>
          <w:p w14:paraId="43885B14" w14:textId="77777777" w:rsidR="00025543" w:rsidRDefault="007E3A2F">
            <w:pPr>
              <w:pStyle w:val="P68B1DB1-Normal57"/>
              <w:spacing w:before="0" w:after="0" w:line="240" w:lineRule="auto"/>
              <w:jc w:val="center"/>
              <w:rPr>
                <w:noProof/>
              </w:rPr>
            </w:pPr>
            <w:r>
              <w:rPr>
                <w:noProof/>
              </w:rPr>
              <w:t>Étapes</w:t>
            </w:r>
          </w:p>
        </w:tc>
        <w:tc>
          <w:tcPr>
            <w:tcW w:w="3402" w:type="dxa"/>
            <w:tcBorders>
              <w:top w:val="nil"/>
              <w:left w:val="nil"/>
              <w:bottom w:val="nil"/>
              <w:right w:val="single" w:sz="8" w:space="0" w:color="auto"/>
            </w:tcBorders>
            <w:shd w:val="clear" w:color="auto" w:fill="C6EFCE"/>
            <w:vAlign w:val="center"/>
            <w:hideMark/>
          </w:tcPr>
          <w:p w14:paraId="611AF91D" w14:textId="77777777" w:rsidR="00025543" w:rsidRDefault="007E3A2F">
            <w:pPr>
              <w:pStyle w:val="P68B1DB1-Normal57"/>
              <w:spacing w:before="0" w:after="0" w:line="240" w:lineRule="auto"/>
              <w:jc w:val="center"/>
              <w:rPr>
                <w:noProof/>
              </w:rPr>
            </w:pPr>
            <w:r>
              <w:rPr>
                <w:noProof/>
              </w:rPr>
              <w:t xml:space="preserve">L’Institut tchèque d’oncologie mis en service </w:t>
            </w:r>
          </w:p>
        </w:tc>
      </w:tr>
      <w:tr w:rsidR="00025543" w14:paraId="2FBD6FD6" w14:textId="77777777">
        <w:trPr>
          <w:trHeight w:val="795"/>
        </w:trPr>
        <w:tc>
          <w:tcPr>
            <w:tcW w:w="1276" w:type="dxa"/>
            <w:tcBorders>
              <w:top w:val="single" w:sz="8" w:space="0" w:color="auto"/>
              <w:left w:val="single" w:sz="8" w:space="0" w:color="auto"/>
              <w:bottom w:val="single" w:sz="4" w:space="0" w:color="auto"/>
              <w:right w:val="single" w:sz="8" w:space="0" w:color="auto"/>
            </w:tcBorders>
            <w:shd w:val="clear" w:color="auto" w:fill="C6EFCE"/>
            <w:vAlign w:val="center"/>
            <w:hideMark/>
          </w:tcPr>
          <w:p w14:paraId="6CE59E40" w14:textId="77777777" w:rsidR="00025543" w:rsidRDefault="007E3A2F">
            <w:pPr>
              <w:pStyle w:val="P68B1DB1-Normal57"/>
              <w:spacing w:before="0" w:after="0" w:line="240" w:lineRule="auto"/>
              <w:jc w:val="center"/>
              <w:rPr>
                <w:noProof/>
              </w:rPr>
            </w:pPr>
            <w:r>
              <w:rPr>
                <w:noProof/>
              </w:rPr>
              <w:t>242</w:t>
            </w:r>
          </w:p>
        </w:tc>
        <w:tc>
          <w:tcPr>
            <w:tcW w:w="3969" w:type="dxa"/>
            <w:tcBorders>
              <w:top w:val="nil"/>
              <w:left w:val="nil"/>
              <w:bottom w:val="single" w:sz="4" w:space="0" w:color="auto"/>
              <w:right w:val="single" w:sz="8" w:space="0" w:color="000000" w:themeColor="text1"/>
            </w:tcBorders>
            <w:shd w:val="clear" w:color="auto" w:fill="C6EFCE"/>
            <w:vAlign w:val="center"/>
            <w:hideMark/>
          </w:tcPr>
          <w:p w14:paraId="3FF4FA28" w14:textId="77777777" w:rsidR="00025543" w:rsidRDefault="007E3A2F">
            <w:pPr>
              <w:pStyle w:val="P68B1DB1-Normal57"/>
              <w:spacing w:before="0" w:after="0" w:line="240" w:lineRule="auto"/>
              <w:jc w:val="center"/>
              <w:rPr>
                <w:noProof/>
              </w:rPr>
            </w:pPr>
            <w:r>
              <w:rPr>
                <w:noProof/>
              </w:rPr>
              <w:t>C 6.2: Plan national de renforcement de la prévention et des soins oncologiques — Investissement 2: Développement de soins oncologiques et hématoncologiques hautement spécialisés</w:t>
            </w:r>
          </w:p>
        </w:tc>
        <w:tc>
          <w:tcPr>
            <w:tcW w:w="1843" w:type="dxa"/>
            <w:tcBorders>
              <w:top w:val="nil"/>
              <w:left w:val="nil"/>
              <w:bottom w:val="single" w:sz="4" w:space="0" w:color="auto"/>
              <w:right w:val="single" w:sz="8" w:space="0" w:color="000000" w:themeColor="text1"/>
            </w:tcBorders>
            <w:shd w:val="clear" w:color="auto" w:fill="C6EFCE"/>
            <w:vAlign w:val="center"/>
            <w:hideMark/>
          </w:tcPr>
          <w:p w14:paraId="342DA294" w14:textId="77777777" w:rsidR="00025543" w:rsidRDefault="007E3A2F">
            <w:pPr>
              <w:pStyle w:val="P68B1DB1-Normal57"/>
              <w:spacing w:before="0" w:after="0" w:line="240" w:lineRule="auto"/>
              <w:jc w:val="center"/>
              <w:rPr>
                <w:noProof/>
              </w:rPr>
            </w:pPr>
            <w:r>
              <w:rPr>
                <w:noProof/>
              </w:rPr>
              <w:t>Cible</w:t>
            </w:r>
          </w:p>
        </w:tc>
        <w:tc>
          <w:tcPr>
            <w:tcW w:w="3402" w:type="dxa"/>
            <w:tcBorders>
              <w:top w:val="single" w:sz="8" w:space="0" w:color="auto"/>
              <w:left w:val="nil"/>
              <w:bottom w:val="single" w:sz="4" w:space="0" w:color="auto"/>
              <w:right w:val="single" w:sz="8" w:space="0" w:color="auto"/>
            </w:tcBorders>
            <w:shd w:val="clear" w:color="auto" w:fill="C6EFCE"/>
            <w:vAlign w:val="center"/>
            <w:hideMark/>
          </w:tcPr>
          <w:p w14:paraId="55C2DDA2" w14:textId="77777777" w:rsidR="00025543" w:rsidRDefault="007E3A2F">
            <w:pPr>
              <w:pStyle w:val="P68B1DB1-Normal57"/>
              <w:spacing w:before="0" w:after="0" w:line="240" w:lineRule="auto"/>
              <w:jc w:val="center"/>
              <w:rPr>
                <w:noProof/>
              </w:rPr>
            </w:pPr>
            <w:r>
              <w:rPr>
                <w:noProof/>
              </w:rPr>
              <w:t xml:space="preserve">Nombre d’établissements bénéficiant d’une aide fournissant des soins oncologiques et hématoncologiques </w:t>
            </w:r>
          </w:p>
        </w:tc>
      </w:tr>
      <w:tr w:rsidR="00025543" w14:paraId="1C863A1B"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1FFC4EE5" w14:textId="226E4BC6" w:rsidR="00025543" w:rsidRDefault="007E3A2F">
            <w:pPr>
              <w:pStyle w:val="P68B1DB1-Normal57"/>
              <w:spacing w:line="240" w:lineRule="auto"/>
              <w:jc w:val="center"/>
              <w:rPr>
                <w:noProof/>
              </w:rPr>
            </w:pPr>
            <w:r>
              <w:rPr>
                <w:noProof/>
              </w:rPr>
              <w:t>257</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00FEEFD5" w14:textId="17E51994" w:rsidR="00025543" w:rsidRDefault="007E3A2F">
            <w:pPr>
              <w:pStyle w:val="P68B1DB1-Normal57"/>
              <w:spacing w:line="240" w:lineRule="auto"/>
              <w:jc w:val="center"/>
              <w:rPr>
                <w:noProof/>
              </w:rPr>
            </w:pPr>
            <w:r>
              <w:rPr>
                <w:noProof/>
              </w:rPr>
              <w:t xml:space="preserve">C 1.7: Transformation numérique de l’administration publique — Investissements 1: Unification des domaines et création d’une plateforme d’apprentissage  </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4883C805" w14:textId="23F2D9D0" w:rsidR="00025543" w:rsidRDefault="007E3A2F">
            <w:pPr>
              <w:pStyle w:val="P68B1DB1-Normal57"/>
              <w:spacing w:line="240" w:lineRule="auto"/>
              <w:jc w:val="center"/>
              <w:rPr>
                <w:noProof/>
              </w:rPr>
            </w:pPr>
            <w:r>
              <w:rPr>
                <w:noProof/>
              </w:rPr>
              <w:t>Étapes</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758666E9" w14:textId="3BBB89FC" w:rsidR="00025543" w:rsidRDefault="007E3A2F">
            <w:pPr>
              <w:pStyle w:val="P68B1DB1-Normal57"/>
              <w:spacing w:line="240" w:lineRule="auto"/>
              <w:jc w:val="center"/>
              <w:rPr>
                <w:noProof/>
              </w:rPr>
            </w:pPr>
            <w:r>
              <w:rPr>
                <w:noProof/>
              </w:rPr>
              <w:t xml:space="preserve">Mise à jour du système de conception  </w:t>
            </w:r>
          </w:p>
        </w:tc>
      </w:tr>
      <w:tr w:rsidR="00025543" w14:paraId="550446DC"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7B4CCACD" w14:textId="07A5EABC" w:rsidR="00025543" w:rsidRDefault="007E3A2F">
            <w:pPr>
              <w:pStyle w:val="P68B1DB1-Normal57"/>
              <w:spacing w:line="240" w:lineRule="auto"/>
              <w:jc w:val="center"/>
              <w:rPr>
                <w:noProof/>
              </w:rPr>
            </w:pPr>
            <w:r>
              <w:rPr>
                <w:noProof/>
              </w:rPr>
              <w:t>258</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75A38D12" w14:textId="3B849650" w:rsidR="00025543" w:rsidRDefault="007E3A2F">
            <w:pPr>
              <w:pStyle w:val="P68B1DB1-Normal57"/>
              <w:spacing w:line="240" w:lineRule="auto"/>
              <w:jc w:val="center"/>
              <w:rPr>
                <w:noProof/>
              </w:rPr>
            </w:pPr>
            <w:r>
              <w:rPr>
                <w:noProof/>
              </w:rPr>
              <w:t xml:space="preserve">C 1.7: Transformation numérique de l’administration publique — Investissements 2: Amélioration du système de gestion des services numérisés  </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4D578CC3" w14:textId="077AB6BD" w:rsidR="00025543" w:rsidRDefault="007E3A2F">
            <w:pPr>
              <w:pStyle w:val="P68B1DB1-Normal57"/>
              <w:spacing w:line="240" w:lineRule="auto"/>
              <w:jc w:val="center"/>
              <w:rPr>
                <w:noProof/>
              </w:rPr>
            </w:pPr>
            <w:r>
              <w:rPr>
                <w:noProof/>
              </w:rPr>
              <w:t>Étapes</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733F00DD" w14:textId="6F1133AC" w:rsidR="00025543" w:rsidRDefault="007E3A2F">
            <w:pPr>
              <w:pStyle w:val="P68B1DB1-Normal57"/>
              <w:spacing w:line="240" w:lineRule="auto"/>
              <w:jc w:val="center"/>
              <w:rPr>
                <w:noProof/>
              </w:rPr>
            </w:pPr>
            <w:r>
              <w:rPr>
                <w:noProof/>
              </w:rPr>
              <w:t>Mise à jour de la gouvernance des TIC dans l’administration publique</w:t>
            </w:r>
          </w:p>
        </w:tc>
      </w:tr>
      <w:tr w:rsidR="00025543" w14:paraId="0906CBB3"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0341CC9B" w14:textId="7BB7828E" w:rsidR="00025543" w:rsidRDefault="007E3A2F">
            <w:pPr>
              <w:pStyle w:val="P68B1DB1-Normal57"/>
              <w:spacing w:line="240" w:lineRule="auto"/>
              <w:jc w:val="center"/>
              <w:rPr>
                <w:noProof/>
              </w:rPr>
            </w:pPr>
            <w:r>
              <w:rPr>
                <w:noProof/>
              </w:rPr>
              <w:t>259</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5131931D" w14:textId="1B4E124D" w:rsidR="00025543" w:rsidRDefault="007E3A2F">
            <w:pPr>
              <w:pStyle w:val="P68B1DB1-Normal57"/>
              <w:spacing w:line="240" w:lineRule="auto"/>
              <w:jc w:val="center"/>
              <w:rPr>
                <w:noProof/>
              </w:rPr>
            </w:pPr>
            <w:r>
              <w:rPr>
                <w:noProof/>
              </w:rPr>
              <w:t xml:space="preserve">C 1.7: Transformation numérique de l’administration publique — Investissements 3: Création d’un centre de contact pour l’administration publique  </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1C95EC34" w14:textId="75130906" w:rsidR="00025543" w:rsidRDefault="007E3A2F">
            <w:pPr>
              <w:pStyle w:val="P68B1DB1-Normal57"/>
              <w:spacing w:line="240" w:lineRule="auto"/>
              <w:jc w:val="center"/>
              <w:rPr>
                <w:noProof/>
              </w:rPr>
            </w:pPr>
            <w:r>
              <w:rPr>
                <w:noProof/>
              </w:rPr>
              <w:t>Étapes</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6E679B5E" w14:textId="3E858115" w:rsidR="00025543" w:rsidRDefault="007E3A2F">
            <w:pPr>
              <w:pStyle w:val="P68B1DB1-Normal57"/>
              <w:spacing w:line="240" w:lineRule="auto"/>
              <w:jc w:val="center"/>
              <w:rPr>
                <w:noProof/>
              </w:rPr>
            </w:pPr>
            <w:r>
              <w:rPr>
                <w:noProof/>
              </w:rPr>
              <w:t xml:space="preserve">Centre de contact de l’administration publique opérationnel  </w:t>
            </w:r>
          </w:p>
        </w:tc>
      </w:tr>
      <w:tr w:rsidR="00025543" w14:paraId="7680204C"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7EEF84CE" w14:textId="4A0E1163" w:rsidR="00025543" w:rsidRDefault="007E3A2F">
            <w:pPr>
              <w:pStyle w:val="P68B1DB1-Normal57"/>
              <w:spacing w:line="240" w:lineRule="auto"/>
              <w:jc w:val="center"/>
              <w:rPr>
                <w:noProof/>
              </w:rPr>
            </w:pPr>
            <w:r>
              <w:rPr>
                <w:noProof/>
              </w:rPr>
              <w:t>260</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26BD7698" w14:textId="6C543F01" w:rsidR="00025543" w:rsidRDefault="007E3A2F">
            <w:pPr>
              <w:pStyle w:val="P68B1DB1-Normal57"/>
              <w:spacing w:line="240" w:lineRule="auto"/>
              <w:jc w:val="center"/>
              <w:rPr>
                <w:noProof/>
              </w:rPr>
            </w:pPr>
            <w:r>
              <w:rPr>
                <w:noProof/>
              </w:rPr>
              <w:t>C 1.7: Transformation numérique de l’administration publique — Investissements 4: Création d’une infrastructure de données centrale</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11F9A545" w14:textId="152D089E" w:rsidR="00025543" w:rsidRDefault="007E3A2F">
            <w:pPr>
              <w:pStyle w:val="P68B1DB1-Normal57"/>
              <w:spacing w:line="240" w:lineRule="auto"/>
              <w:jc w:val="center"/>
              <w:rPr>
                <w:noProof/>
              </w:rPr>
            </w:pPr>
            <w:r>
              <w:rPr>
                <w:noProof/>
              </w:rPr>
              <w:t>Étapes</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0C0F59AE" w14:textId="14DF053C" w:rsidR="00025543" w:rsidRDefault="007E3A2F">
            <w:pPr>
              <w:pStyle w:val="P68B1DB1-Normal57"/>
              <w:spacing w:line="240" w:lineRule="auto"/>
              <w:jc w:val="center"/>
              <w:rPr>
                <w:noProof/>
              </w:rPr>
            </w:pPr>
            <w:r>
              <w:rPr>
                <w:noProof/>
              </w:rPr>
              <w:t xml:space="preserve">Entrepôt de données central opérationnel </w:t>
            </w:r>
          </w:p>
        </w:tc>
      </w:tr>
      <w:tr w:rsidR="00025543" w14:paraId="08FAA5C0"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778517BD" w14:textId="37214577" w:rsidR="00025543" w:rsidRDefault="007E3A2F">
            <w:pPr>
              <w:pStyle w:val="P68B1DB1-Normal57"/>
              <w:spacing w:line="240" w:lineRule="auto"/>
              <w:jc w:val="center"/>
              <w:rPr>
                <w:noProof/>
              </w:rPr>
            </w:pPr>
            <w:r>
              <w:rPr>
                <w:noProof/>
              </w:rPr>
              <w:t>262</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67FB873D" w14:textId="63E00AD1" w:rsidR="00025543" w:rsidRDefault="007E3A2F">
            <w:pPr>
              <w:pStyle w:val="P68B1DB1-Normal57"/>
              <w:spacing w:line="240" w:lineRule="auto"/>
              <w:jc w:val="center"/>
              <w:rPr>
                <w:noProof/>
              </w:rPr>
            </w:pPr>
            <w:r>
              <w:rPr>
                <w:noProof/>
              </w:rPr>
              <w:t xml:space="preserve">C 2.9: Promotion de la biodiversité et lutte contre la sécheresse — Réforme 2: Mise en place d’une politique paysagère et planification  </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044F131A" w14:textId="56A75B10" w:rsidR="00025543" w:rsidRDefault="007E3A2F">
            <w:pPr>
              <w:pStyle w:val="P68B1DB1-Normal57"/>
              <w:spacing w:line="240" w:lineRule="auto"/>
              <w:jc w:val="center"/>
              <w:rPr>
                <w:noProof/>
              </w:rPr>
            </w:pPr>
            <w:r>
              <w:rPr>
                <w:noProof/>
              </w:rPr>
              <w:t>Étapes</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08D61952" w14:textId="4CD671AF" w:rsidR="00025543" w:rsidRDefault="007E3A2F">
            <w:pPr>
              <w:pStyle w:val="P68B1DB1-Normal57"/>
              <w:spacing w:line="240" w:lineRule="auto"/>
              <w:jc w:val="center"/>
              <w:rPr>
                <w:noProof/>
              </w:rPr>
            </w:pPr>
            <w:r>
              <w:rPr>
                <w:noProof/>
              </w:rPr>
              <w:t xml:space="preserve">Adoption d’une politique et d’une planification intégrées du paysage  </w:t>
            </w:r>
          </w:p>
        </w:tc>
      </w:tr>
      <w:tr w:rsidR="00025543" w14:paraId="48019D68"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720B60AB" w14:textId="2B8E1A24" w:rsidR="00025543" w:rsidRDefault="007E3A2F">
            <w:pPr>
              <w:pStyle w:val="P68B1DB1-Normal57"/>
              <w:spacing w:line="240" w:lineRule="auto"/>
              <w:jc w:val="center"/>
              <w:rPr>
                <w:noProof/>
              </w:rPr>
            </w:pPr>
            <w:r>
              <w:rPr>
                <w:noProof/>
              </w:rPr>
              <w:t>279</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2CAE948F" w14:textId="4915E43A" w:rsidR="00025543" w:rsidRDefault="007E3A2F">
            <w:pPr>
              <w:pStyle w:val="P68B1DB1-Normal57"/>
              <w:spacing w:line="240" w:lineRule="auto"/>
              <w:jc w:val="center"/>
              <w:rPr>
                <w:noProof/>
              </w:rPr>
            </w:pPr>
            <w:r>
              <w:rPr>
                <w:noProof/>
              </w:rPr>
              <w:t xml:space="preserve">C 3.3: Modernisation des services de l’emploi et développement du marché du travail — Investissement 4: Développement et modernisation des infrastructures de protection sociale des enfants  </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487F909F" w14:textId="13734AD1" w:rsidR="00025543" w:rsidRDefault="007E3A2F">
            <w:pPr>
              <w:pStyle w:val="P68B1DB1-Normal57"/>
              <w:spacing w:line="240" w:lineRule="auto"/>
              <w:jc w:val="center"/>
              <w:rPr>
                <w:noProof/>
              </w:rPr>
            </w:pPr>
            <w:r>
              <w:rPr>
                <w:noProof/>
              </w:rPr>
              <w:t>Cible</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39F80ED7" w14:textId="7056B011" w:rsidR="00025543" w:rsidRDefault="007E3A2F">
            <w:pPr>
              <w:pStyle w:val="P68B1DB1-Normal57"/>
              <w:spacing w:line="240" w:lineRule="auto"/>
              <w:jc w:val="center"/>
              <w:rPr>
                <w:noProof/>
              </w:rPr>
            </w:pPr>
            <w:r>
              <w:rPr>
                <w:noProof/>
              </w:rPr>
              <w:t>Capacité d’accueil des enfants à risque</w:t>
            </w:r>
          </w:p>
        </w:tc>
      </w:tr>
      <w:tr w:rsidR="00025543" w14:paraId="72202A45"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4E8DA7E4" w14:textId="2C46A199" w:rsidR="00025543" w:rsidRDefault="007E3A2F">
            <w:pPr>
              <w:pStyle w:val="P68B1DB1-Normal57"/>
              <w:spacing w:line="240" w:lineRule="auto"/>
              <w:jc w:val="center"/>
              <w:rPr>
                <w:noProof/>
              </w:rPr>
            </w:pPr>
            <w:r>
              <w:rPr>
                <w:noProof/>
              </w:rPr>
              <w:t>283</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645F6E33" w14:textId="40E45771" w:rsidR="00025543" w:rsidRDefault="007E3A2F">
            <w:pPr>
              <w:spacing w:line="240" w:lineRule="auto"/>
              <w:jc w:val="center"/>
              <w:rPr>
                <w:rFonts w:eastAsia="Times New Roman"/>
                <w:noProof/>
                <w:color w:val="006100"/>
                <w:sz w:val="20"/>
              </w:rPr>
            </w:pPr>
            <w:r>
              <w:rPr>
                <w:rFonts w:eastAsia="Times New Roman"/>
                <w:noProof/>
                <w:color w:val="006100"/>
                <w:sz w:val="20"/>
              </w:rPr>
              <w:t xml:space="preserve">C 4.1: Soutien systémique à l’investissement public — Réforme 3:  </w:t>
            </w:r>
            <w:r>
              <w:rPr>
                <w:noProof/>
              </w:rPr>
              <w:br/>
            </w:r>
            <w:r>
              <w:rPr>
                <w:rFonts w:eastAsia="Times New Roman"/>
                <w:noProof/>
                <w:color w:val="006100"/>
                <w:sz w:val="20"/>
              </w:rPr>
              <w:t xml:space="preserve">Soutien financier à la préparation de projets conformes aux objectifs de l’UE </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2E3B0A3F" w14:textId="60CD16E2" w:rsidR="00025543" w:rsidRDefault="007E3A2F">
            <w:pPr>
              <w:pStyle w:val="P68B1DB1-Normal57"/>
              <w:spacing w:line="240" w:lineRule="auto"/>
              <w:jc w:val="center"/>
              <w:rPr>
                <w:noProof/>
              </w:rPr>
            </w:pPr>
            <w:r>
              <w:rPr>
                <w:noProof/>
              </w:rPr>
              <w:t>Cible</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76068E92" w14:textId="4D89411C" w:rsidR="00025543" w:rsidRDefault="007E3A2F">
            <w:pPr>
              <w:pStyle w:val="P68B1DB1-Normal57"/>
              <w:spacing w:line="240" w:lineRule="auto"/>
              <w:jc w:val="center"/>
              <w:rPr>
                <w:noProof/>
              </w:rPr>
            </w:pPr>
            <w:r>
              <w:rPr>
                <w:noProof/>
              </w:rPr>
              <w:t xml:space="preserve">Nombre de projets préparés en vue de leur mise en œuvre  </w:t>
            </w:r>
          </w:p>
        </w:tc>
      </w:tr>
      <w:tr w:rsidR="00025543" w14:paraId="014C6FF5"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5330C9B3" w14:textId="091D7F7C" w:rsidR="00025543" w:rsidRDefault="007E3A2F">
            <w:pPr>
              <w:pStyle w:val="P68B1DB1-Normal57"/>
              <w:spacing w:line="240" w:lineRule="auto"/>
              <w:jc w:val="center"/>
              <w:rPr>
                <w:noProof/>
              </w:rPr>
            </w:pPr>
            <w:r>
              <w:rPr>
                <w:noProof/>
              </w:rPr>
              <w:t>289</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23A9ADA2" w14:textId="134BF391" w:rsidR="00025543" w:rsidRDefault="007E3A2F">
            <w:pPr>
              <w:pStyle w:val="P68B1DB1-Normal57"/>
              <w:spacing w:line="240" w:lineRule="auto"/>
              <w:jc w:val="center"/>
              <w:rPr>
                <w:noProof/>
              </w:rPr>
            </w:pPr>
            <w:r>
              <w:rPr>
                <w:noProof/>
              </w:rPr>
              <w:t>C 4.4: Améliorer l’efficacité de l’administration publique — Réforme 1: Accroître l’efficacité, l’orientation pro-client et l’utilisation des principes de prise de décision fondée sur des données probantes dans l’administration publique</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2E21E34E" w14:textId="0F4A8230" w:rsidR="00025543" w:rsidRDefault="007E3A2F">
            <w:pPr>
              <w:pStyle w:val="P68B1DB1-Normal57"/>
              <w:spacing w:line="240" w:lineRule="auto"/>
              <w:jc w:val="center"/>
              <w:rPr>
                <w:noProof/>
              </w:rPr>
            </w:pPr>
            <w:r>
              <w:rPr>
                <w:noProof/>
              </w:rPr>
              <w:t>Étapes</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37C91B37" w14:textId="2A15D996" w:rsidR="00025543" w:rsidRDefault="007E3A2F">
            <w:pPr>
              <w:pStyle w:val="P68B1DB1-Normal57"/>
              <w:spacing w:line="240" w:lineRule="auto"/>
              <w:jc w:val="center"/>
              <w:rPr>
                <w:noProof/>
              </w:rPr>
            </w:pPr>
            <w:r>
              <w:rPr>
                <w:noProof/>
              </w:rPr>
              <w:t xml:space="preserve">Un système informatique et un plan d’action pour une meilleure gestion des ressources humaines dans l’administration publique  </w:t>
            </w:r>
          </w:p>
        </w:tc>
      </w:tr>
      <w:tr w:rsidR="00025543" w14:paraId="17A908DB"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4F9165FD" w14:textId="64E4FE6F" w:rsidR="00025543" w:rsidRDefault="007E3A2F">
            <w:pPr>
              <w:pStyle w:val="P68B1DB1-Normal57"/>
              <w:spacing w:line="240" w:lineRule="auto"/>
              <w:jc w:val="center"/>
              <w:rPr>
                <w:noProof/>
              </w:rPr>
            </w:pPr>
            <w:r>
              <w:rPr>
                <w:noProof/>
              </w:rPr>
              <w:t>290</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2A4DC60A" w14:textId="2BE525FB" w:rsidR="00025543" w:rsidRDefault="007E3A2F">
            <w:pPr>
              <w:pStyle w:val="P68B1DB1-Normal57"/>
              <w:spacing w:line="240" w:lineRule="auto"/>
              <w:jc w:val="center"/>
              <w:rPr>
                <w:noProof/>
              </w:rPr>
            </w:pPr>
            <w:r>
              <w:rPr>
                <w:noProof/>
              </w:rPr>
              <w:t>C 5.2: Soutien à la recherche et au développement dans les entreprises et introduction des innovations dans les pratiques commerciales — Investissements 2: Soutien à la coopération en matière de recherche et de développement (conformément à la stratégie de spécialisation intelligente)</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0AABA012" w14:textId="30DFDF05" w:rsidR="00025543" w:rsidRDefault="007E3A2F">
            <w:pPr>
              <w:pStyle w:val="P68B1DB1-Normal57"/>
              <w:spacing w:line="240" w:lineRule="auto"/>
              <w:jc w:val="center"/>
              <w:rPr>
                <w:noProof/>
              </w:rPr>
            </w:pPr>
            <w:r>
              <w:rPr>
                <w:noProof/>
              </w:rPr>
              <w:t>Cible</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2BE2FD60" w14:textId="24535A5D" w:rsidR="00025543" w:rsidRDefault="007E3A2F">
            <w:pPr>
              <w:pStyle w:val="P68B1DB1-Normal57"/>
              <w:spacing w:line="240" w:lineRule="auto"/>
              <w:jc w:val="center"/>
              <w:rPr>
                <w:noProof/>
              </w:rPr>
            </w:pPr>
            <w:r>
              <w:rPr>
                <w:noProof/>
              </w:rPr>
              <w:t xml:space="preserve">Coopération des PME avec un organisme public de recherche dans le cadre des centres nationaux de compétences  </w:t>
            </w:r>
          </w:p>
        </w:tc>
      </w:tr>
      <w:tr w:rsidR="00025543" w14:paraId="4B8A9215"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15525774" w14:textId="46F30389" w:rsidR="00025543" w:rsidRDefault="007E3A2F">
            <w:pPr>
              <w:pStyle w:val="P68B1DB1-Normal57"/>
              <w:spacing w:line="240" w:lineRule="auto"/>
              <w:jc w:val="center"/>
              <w:rPr>
                <w:noProof/>
              </w:rPr>
            </w:pPr>
            <w:r>
              <w:rPr>
                <w:noProof/>
              </w:rPr>
              <w:t>291</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2F9FE0B8" w14:textId="635146A0" w:rsidR="00025543" w:rsidRDefault="007E3A2F">
            <w:pPr>
              <w:pStyle w:val="P68B1DB1-Normal57"/>
              <w:spacing w:line="240" w:lineRule="auto"/>
              <w:jc w:val="center"/>
              <w:rPr>
                <w:noProof/>
              </w:rPr>
            </w:pPr>
            <w:r>
              <w:rPr>
                <w:noProof/>
              </w:rPr>
              <w:t xml:space="preserve">C 5.2: Soutien à la recherche et au développement dans les entreprises et introduction des innovations dans les pratiques commerciales — Investissements 3: Aides à la recherche et au développement dans le domaine de l’environnement  </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4C49B1F5" w14:textId="6923F0D9" w:rsidR="00025543" w:rsidRDefault="007E3A2F">
            <w:pPr>
              <w:pStyle w:val="P68B1DB1-Normal57"/>
              <w:spacing w:line="240" w:lineRule="auto"/>
              <w:jc w:val="center"/>
              <w:rPr>
                <w:noProof/>
              </w:rPr>
            </w:pPr>
            <w:r>
              <w:rPr>
                <w:noProof/>
              </w:rPr>
              <w:t>Cible</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631AE824" w14:textId="2D96B1BD" w:rsidR="00025543" w:rsidRDefault="007E3A2F">
            <w:pPr>
              <w:pStyle w:val="P68B1DB1-Normal57"/>
              <w:spacing w:line="240" w:lineRule="auto"/>
              <w:jc w:val="center"/>
              <w:rPr>
                <w:noProof/>
              </w:rPr>
            </w:pPr>
            <w:r>
              <w:rPr>
                <w:noProof/>
              </w:rPr>
              <w:t xml:space="preserve">Recherche et développement dans le domaine de l’environnement  </w:t>
            </w:r>
          </w:p>
        </w:tc>
      </w:tr>
      <w:tr w:rsidR="00025543" w14:paraId="127A42F8"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44B09D08" w14:textId="41B78762" w:rsidR="00025543" w:rsidRDefault="007E3A2F">
            <w:pPr>
              <w:pStyle w:val="P68B1DB1-Normal57"/>
              <w:spacing w:line="240" w:lineRule="auto"/>
              <w:jc w:val="center"/>
              <w:rPr>
                <w:noProof/>
              </w:rPr>
            </w:pPr>
            <w:r>
              <w:rPr>
                <w:noProof/>
              </w:rPr>
              <w:t>293</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5440CEE5" w14:textId="4C6F2B5E" w:rsidR="00025543" w:rsidRDefault="007E3A2F">
            <w:pPr>
              <w:pStyle w:val="P68B1DB1-Normal57"/>
              <w:spacing w:line="240" w:lineRule="auto"/>
              <w:jc w:val="center"/>
              <w:rPr>
                <w:noProof/>
              </w:rPr>
            </w:pPr>
            <w:r>
              <w:rPr>
                <w:noProof/>
              </w:rPr>
              <w:t xml:space="preserve">C 5.2: Soutien à la recherche et au développement dans les entreprises et introduction des innovations dans les pratiques commerciales — Investissements 5: Aides à la recherche et au développement dans les entreprises conformément à la stratégie nationale RIS3  </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70B55E55" w14:textId="6F949EE9" w:rsidR="00025543" w:rsidRDefault="007E3A2F">
            <w:pPr>
              <w:pStyle w:val="P68B1DB1-Normal57"/>
              <w:spacing w:line="240" w:lineRule="auto"/>
              <w:jc w:val="center"/>
              <w:rPr>
                <w:noProof/>
              </w:rPr>
            </w:pPr>
            <w:r>
              <w:rPr>
                <w:noProof/>
              </w:rPr>
              <w:t>Cible</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4599AC1E" w14:textId="50232EC2" w:rsidR="00025543" w:rsidRDefault="007E3A2F">
            <w:pPr>
              <w:pStyle w:val="P68B1DB1-Normal57"/>
              <w:spacing w:line="240" w:lineRule="auto"/>
              <w:jc w:val="center"/>
              <w:rPr>
                <w:noProof/>
              </w:rPr>
            </w:pPr>
            <w:r>
              <w:rPr>
                <w:noProof/>
              </w:rPr>
              <w:t xml:space="preserve">Recherche et développement conformément à la stratégie RIS3  </w:t>
            </w:r>
          </w:p>
        </w:tc>
      </w:tr>
      <w:tr w:rsidR="00025543" w14:paraId="080CE632"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1D10250A" w14:textId="6F11C9D1" w:rsidR="00025543" w:rsidRDefault="007E3A2F">
            <w:pPr>
              <w:pStyle w:val="P68B1DB1-Normal57"/>
              <w:spacing w:line="240" w:lineRule="auto"/>
              <w:jc w:val="center"/>
              <w:rPr>
                <w:noProof/>
              </w:rPr>
            </w:pPr>
            <w:r>
              <w:rPr>
                <w:noProof/>
              </w:rPr>
              <w:t>295</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59931B85" w14:textId="74A24E95" w:rsidR="00025543" w:rsidRDefault="007E3A2F">
            <w:pPr>
              <w:pStyle w:val="P68B1DB1-Normal57"/>
              <w:spacing w:line="240" w:lineRule="auto"/>
              <w:jc w:val="center"/>
              <w:rPr>
                <w:noProof/>
              </w:rPr>
            </w:pPr>
            <w:r>
              <w:rPr>
                <w:noProof/>
              </w:rPr>
              <w:t>C 5.2: Soutien à la recherche et au développement dans les entreprises et introduction des innovations dans les pratiques commerciales — Investissements 6: Aides à la recherche et au développement dans le domaine des transports</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63348146" w14:textId="22ABA2F8" w:rsidR="00025543" w:rsidRDefault="007E3A2F">
            <w:pPr>
              <w:pStyle w:val="P68B1DB1-Normal57"/>
              <w:spacing w:line="240" w:lineRule="auto"/>
              <w:jc w:val="center"/>
              <w:rPr>
                <w:noProof/>
              </w:rPr>
            </w:pPr>
            <w:r>
              <w:rPr>
                <w:noProof/>
              </w:rPr>
              <w:t>Cible</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52A3C882" w14:textId="205193F8" w:rsidR="00025543" w:rsidRDefault="007E3A2F">
            <w:pPr>
              <w:pStyle w:val="P68B1DB1-Normal57"/>
              <w:spacing w:line="240" w:lineRule="auto"/>
              <w:jc w:val="center"/>
              <w:rPr>
                <w:noProof/>
              </w:rPr>
            </w:pPr>
            <w:r>
              <w:rPr>
                <w:noProof/>
              </w:rPr>
              <w:t xml:space="preserve">Recherche et développement dans le secteur des transports  </w:t>
            </w:r>
          </w:p>
        </w:tc>
      </w:tr>
      <w:tr w:rsidR="00025543" w14:paraId="520FF8B5"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6AD972EE" w14:textId="34E8D59C" w:rsidR="00025543" w:rsidRDefault="007E3A2F">
            <w:pPr>
              <w:pStyle w:val="P68B1DB1-Normal57"/>
              <w:spacing w:line="240" w:lineRule="auto"/>
              <w:jc w:val="center"/>
              <w:rPr>
                <w:noProof/>
              </w:rPr>
            </w:pPr>
            <w:r>
              <w:rPr>
                <w:noProof/>
              </w:rPr>
              <w:t>297</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406A3E3F" w14:textId="34743DC7" w:rsidR="00025543" w:rsidRDefault="007E3A2F">
            <w:pPr>
              <w:pStyle w:val="P68B1DB1-Normal57"/>
              <w:spacing w:line="240" w:lineRule="auto"/>
              <w:jc w:val="center"/>
              <w:rPr>
                <w:noProof/>
              </w:rPr>
            </w:pPr>
            <w:r>
              <w:rPr>
                <w:noProof/>
              </w:rPr>
              <w:t xml:space="preserve">C 5.2: Soutien à la recherche et au développement dans les entreprises et introduction des innovations dans les pratiques commerciales — Investissements 7: Aides à la recherche et au développement dans le domaine de l’environnement  </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27C4962E" w14:textId="2643D76D" w:rsidR="00025543" w:rsidRDefault="007E3A2F">
            <w:pPr>
              <w:pStyle w:val="P68B1DB1-Normal57"/>
              <w:spacing w:line="240" w:lineRule="auto"/>
              <w:jc w:val="center"/>
              <w:rPr>
                <w:noProof/>
              </w:rPr>
            </w:pPr>
            <w:r>
              <w:rPr>
                <w:noProof/>
              </w:rPr>
              <w:t>Cible</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1FAEAC67" w14:textId="59AEBCB0" w:rsidR="00025543" w:rsidRDefault="007E3A2F">
            <w:pPr>
              <w:pStyle w:val="P68B1DB1-Normal57"/>
              <w:spacing w:line="240" w:lineRule="auto"/>
              <w:jc w:val="center"/>
              <w:rPr>
                <w:noProof/>
              </w:rPr>
            </w:pPr>
            <w:r>
              <w:rPr>
                <w:noProof/>
              </w:rPr>
              <w:t xml:space="preserve">Recherche et développement dans le domaine de l’environnement  </w:t>
            </w:r>
          </w:p>
        </w:tc>
      </w:tr>
      <w:tr w:rsidR="00025543" w14:paraId="4459652C"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0D8127BF" w14:textId="4D0413E4" w:rsidR="00025543" w:rsidRDefault="007E3A2F">
            <w:pPr>
              <w:pStyle w:val="P68B1DB1-Normal57"/>
              <w:spacing w:line="240" w:lineRule="auto"/>
              <w:jc w:val="center"/>
              <w:rPr>
                <w:noProof/>
              </w:rPr>
            </w:pPr>
            <w:r>
              <w:rPr>
                <w:noProof/>
              </w:rPr>
              <w:t>299</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3CD493C3" w14:textId="4334771A" w:rsidR="00025543" w:rsidRDefault="007E3A2F">
            <w:pPr>
              <w:pStyle w:val="P68B1DB1-Normal57"/>
              <w:spacing w:line="240" w:lineRule="auto"/>
              <w:jc w:val="center"/>
              <w:rPr>
                <w:noProof/>
              </w:rPr>
            </w:pPr>
            <w:r>
              <w:rPr>
                <w:noProof/>
              </w:rPr>
              <w:t>C 7.1:  Infrastructures pour les énergies renouvelables et l’électricité (REPowerEU) — Investissement 1: Modernisation et numérisation des systèmes de distribution régionaux</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64E21DB4" w14:textId="48FBD429" w:rsidR="00025543" w:rsidRDefault="007E3A2F">
            <w:pPr>
              <w:pStyle w:val="P68B1DB1-Normal57"/>
              <w:spacing w:line="240" w:lineRule="auto"/>
              <w:jc w:val="center"/>
              <w:rPr>
                <w:noProof/>
              </w:rPr>
            </w:pPr>
            <w:r>
              <w:rPr>
                <w:noProof/>
              </w:rPr>
              <w:t>Cible</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7EEBE365" w14:textId="768F00E3" w:rsidR="00025543" w:rsidRDefault="007E3A2F">
            <w:pPr>
              <w:pStyle w:val="P68B1DB1-Normal11"/>
              <w:spacing w:line="240" w:lineRule="auto"/>
              <w:jc w:val="center"/>
              <w:rPr>
                <w:noProof/>
                <w:color w:val="004300"/>
              </w:rPr>
            </w:pPr>
            <w:r>
              <w:rPr>
                <w:noProof/>
              </w:rPr>
              <w:t>Achèvement des investissements dans la modernisation des réseaux de distribution en République tchèque</w:t>
            </w:r>
          </w:p>
        </w:tc>
      </w:tr>
      <w:tr w:rsidR="00025543" w14:paraId="2D77CAA1"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23FF80B1" w14:textId="03FB977E" w:rsidR="00025543" w:rsidRDefault="007E3A2F">
            <w:pPr>
              <w:pStyle w:val="P68B1DB1-Normal57"/>
              <w:spacing w:line="240" w:lineRule="auto"/>
              <w:jc w:val="center"/>
              <w:rPr>
                <w:noProof/>
              </w:rPr>
            </w:pPr>
            <w:r>
              <w:rPr>
                <w:noProof/>
              </w:rPr>
              <w:t>300</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41A87F3B" w14:textId="204DC5A3" w:rsidR="00025543" w:rsidRDefault="007E3A2F">
            <w:pPr>
              <w:pStyle w:val="P68B1DB1-Normal57"/>
              <w:spacing w:line="240" w:lineRule="auto"/>
              <w:jc w:val="center"/>
              <w:rPr>
                <w:noProof/>
              </w:rPr>
            </w:pPr>
            <w:r>
              <w:rPr>
                <w:noProof/>
              </w:rPr>
              <w:t xml:space="preserve">C 7.1:  Infrastructures pour les énergies renouvelables et l’électricité (REPowerEU) — Investissement 2: Mesure à plus grande échelle: Développement de nouvelles sources d’énergie photovoltaïque  </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2BD92DBE" w14:textId="3FBB9F74" w:rsidR="00025543" w:rsidRDefault="007E3A2F">
            <w:pPr>
              <w:pStyle w:val="P68B1DB1-Normal57"/>
              <w:spacing w:line="240" w:lineRule="auto"/>
              <w:jc w:val="center"/>
              <w:rPr>
                <w:noProof/>
              </w:rPr>
            </w:pPr>
            <w:r>
              <w:rPr>
                <w:noProof/>
              </w:rPr>
              <w:t>Cible</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127C26A8" w14:textId="42B3AD61" w:rsidR="00025543" w:rsidRDefault="007E3A2F">
            <w:pPr>
              <w:pStyle w:val="P68B1DB1-Normal57"/>
              <w:spacing w:line="240" w:lineRule="auto"/>
              <w:jc w:val="center"/>
              <w:rPr>
                <w:noProof/>
              </w:rPr>
            </w:pPr>
            <w:r>
              <w:rPr>
                <w:noProof/>
              </w:rPr>
              <w:t xml:space="preserve">Achèvement d’une capacité installée supplémentaire de 224,7 MW pour les sources FVE  </w:t>
            </w:r>
          </w:p>
        </w:tc>
      </w:tr>
      <w:tr w:rsidR="00025543" w14:paraId="3DB95A8D"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7C8EF7B5" w14:textId="0AD2F35D" w:rsidR="00025543" w:rsidRDefault="007E3A2F">
            <w:pPr>
              <w:pStyle w:val="P68B1DB1-Normal57"/>
              <w:spacing w:line="240" w:lineRule="auto"/>
              <w:jc w:val="center"/>
              <w:rPr>
                <w:noProof/>
              </w:rPr>
            </w:pPr>
            <w:r>
              <w:rPr>
                <w:noProof/>
              </w:rPr>
              <w:t>307</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5283B313" w14:textId="47C8F4AD" w:rsidR="00025543" w:rsidRDefault="007E3A2F">
            <w:pPr>
              <w:pStyle w:val="P68B1DB1-Normal57"/>
              <w:spacing w:line="240" w:lineRule="auto"/>
              <w:jc w:val="center"/>
              <w:rPr>
                <w:noProof/>
              </w:rPr>
            </w:pPr>
            <w:r>
              <w:rPr>
                <w:noProof/>
              </w:rPr>
              <w:t>C 7.1:  Infrastructures pour les énergies renouvelables et l’électricité (REPowerEU) — Réforme 3 — Sous-mesure 1 — Améliorer la transparence de la procédure de raccordement au réseau</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2964E472" w14:textId="3770158D" w:rsidR="00025543" w:rsidRDefault="007E3A2F">
            <w:pPr>
              <w:pStyle w:val="P68B1DB1-Normal57"/>
              <w:spacing w:line="240" w:lineRule="auto"/>
              <w:jc w:val="center"/>
              <w:rPr>
                <w:noProof/>
              </w:rPr>
            </w:pPr>
            <w:r>
              <w:rPr>
                <w:noProof/>
              </w:rPr>
              <w:t>Cible</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55173602" w14:textId="725B2C9D" w:rsidR="00025543" w:rsidRDefault="007E3A2F">
            <w:pPr>
              <w:pStyle w:val="P68B1DB1-Normal57"/>
              <w:spacing w:line="240" w:lineRule="auto"/>
              <w:jc w:val="center"/>
              <w:rPr>
                <w:noProof/>
              </w:rPr>
            </w:pPr>
            <w:r>
              <w:rPr>
                <w:noProof/>
              </w:rPr>
              <w:t>Autorisation de raccordement au réseau pour la capacité des centrales électriques renouvelables</w:t>
            </w:r>
          </w:p>
        </w:tc>
      </w:tr>
      <w:tr w:rsidR="00025543" w14:paraId="509BE23B"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51CC8FD7" w14:textId="12B5282E" w:rsidR="00025543" w:rsidRDefault="007E3A2F">
            <w:pPr>
              <w:pStyle w:val="P68B1DB1-Normal57"/>
              <w:spacing w:line="240" w:lineRule="auto"/>
              <w:jc w:val="center"/>
              <w:rPr>
                <w:noProof/>
              </w:rPr>
            </w:pPr>
            <w:r>
              <w:rPr>
                <w:noProof/>
              </w:rPr>
              <w:t>308</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0BF24BE7" w14:textId="02C63EC1" w:rsidR="00025543" w:rsidRDefault="007E3A2F">
            <w:pPr>
              <w:pStyle w:val="P68B1DB1-Normal57"/>
              <w:spacing w:line="240" w:lineRule="auto"/>
              <w:jc w:val="center"/>
              <w:rPr>
                <w:noProof/>
              </w:rPr>
            </w:pPr>
            <w:r>
              <w:rPr>
                <w:noProof/>
              </w:rPr>
              <w:t xml:space="preserve">C 7.1:  Infrastructures pour les énergies renouvelables et l’électricité (REPowerEU) — Réforme 3 — Sous-mesure 2: Incitations réglementaires pour les gestionnaires de réseaux d’électricité afin d’accroître la flexibilité du réseau  </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2DC0A71A" w14:textId="365BA32D" w:rsidR="00025543" w:rsidRDefault="007E3A2F">
            <w:pPr>
              <w:pStyle w:val="P68B1DB1-Normal57"/>
              <w:spacing w:line="240" w:lineRule="auto"/>
              <w:jc w:val="center"/>
              <w:rPr>
                <w:noProof/>
              </w:rPr>
            </w:pPr>
            <w:r>
              <w:rPr>
                <w:noProof/>
              </w:rPr>
              <w:t>Étapes</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08F8BDF6" w14:textId="6F2EA278" w:rsidR="00025543" w:rsidRDefault="007E3A2F">
            <w:pPr>
              <w:pStyle w:val="P68B1DB1-Normal57"/>
              <w:spacing w:line="240" w:lineRule="auto"/>
              <w:jc w:val="center"/>
              <w:rPr>
                <w:noProof/>
              </w:rPr>
            </w:pPr>
            <w:r>
              <w:rPr>
                <w:noProof/>
              </w:rPr>
              <w:t>Publication des nouvelles méthodes de tarification des GRT et des GRD sur le site web de l’autorité de régulation de l’énergie</w:t>
            </w:r>
          </w:p>
        </w:tc>
      </w:tr>
      <w:tr w:rsidR="00025543" w14:paraId="1E3280BD"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5307D493" w14:textId="4813B682" w:rsidR="00025543" w:rsidRDefault="007E3A2F">
            <w:pPr>
              <w:pStyle w:val="P68B1DB1-Normal57"/>
              <w:spacing w:line="240" w:lineRule="auto"/>
              <w:jc w:val="center"/>
              <w:rPr>
                <w:noProof/>
              </w:rPr>
            </w:pPr>
            <w:r>
              <w:rPr>
                <w:noProof/>
              </w:rPr>
              <w:t>311</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1335B606" w14:textId="7D1CA9D5" w:rsidR="00025543" w:rsidRDefault="007E3A2F">
            <w:pPr>
              <w:pStyle w:val="P68B1DB1-Normal57"/>
              <w:spacing w:line="240" w:lineRule="auto"/>
              <w:jc w:val="center"/>
              <w:rPr>
                <w:noProof/>
              </w:rPr>
            </w:pPr>
            <w:r>
              <w:rPr>
                <w:noProof/>
              </w:rPr>
              <w:t xml:space="preserve">C 7.2 Soutenir la décentralisation et la numérisation du secteur de l’énergie (REPOWER UE) — Investissement 1:  Centre de données sur l’électricité  </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54E6F64A" w14:textId="2F2ADE5D" w:rsidR="00025543" w:rsidRDefault="007E3A2F">
            <w:pPr>
              <w:pStyle w:val="P68B1DB1-Normal57"/>
              <w:spacing w:line="240" w:lineRule="auto"/>
              <w:jc w:val="center"/>
              <w:rPr>
                <w:noProof/>
              </w:rPr>
            </w:pPr>
            <w:r>
              <w:rPr>
                <w:noProof/>
              </w:rPr>
              <w:t>Étapes</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1976048F" w14:textId="7D3B282F" w:rsidR="00025543" w:rsidRDefault="007E3A2F">
            <w:pPr>
              <w:pStyle w:val="P68B1DB1-Normal57"/>
              <w:spacing w:line="240" w:lineRule="auto"/>
              <w:jc w:val="center"/>
              <w:rPr>
                <w:noProof/>
              </w:rPr>
            </w:pPr>
            <w:r>
              <w:rPr>
                <w:noProof/>
              </w:rPr>
              <w:t xml:space="preserve">Mise en service du centre de données sur l’énergie  </w:t>
            </w:r>
          </w:p>
        </w:tc>
      </w:tr>
      <w:tr w:rsidR="00025543" w14:paraId="0D7B7FA7"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663F8363" w14:textId="0607BA96" w:rsidR="00025543" w:rsidRDefault="007E3A2F">
            <w:pPr>
              <w:pStyle w:val="P68B1DB1-Normal57"/>
              <w:spacing w:line="240" w:lineRule="auto"/>
              <w:jc w:val="center"/>
              <w:rPr>
                <w:noProof/>
              </w:rPr>
            </w:pPr>
            <w:r>
              <w:rPr>
                <w:noProof/>
              </w:rPr>
              <w:t>314</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3AA60338" w14:textId="318FCE89" w:rsidR="00025543" w:rsidRDefault="007E3A2F">
            <w:pPr>
              <w:pStyle w:val="P68B1DB1-Normal57"/>
              <w:spacing w:line="240" w:lineRule="auto"/>
              <w:jc w:val="center"/>
              <w:rPr>
                <w:noProof/>
              </w:rPr>
            </w:pPr>
            <w:r>
              <w:rPr>
                <w:noProof/>
              </w:rPr>
              <w:t xml:space="preserve">C 7.2 Soutenir la décentralisation et la numérisation du secteur de l’énergie (REPOWER UE) — Réforme 1: Communautés énergétiques  </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32A2DBFB" w14:textId="0DB4AE24" w:rsidR="00025543" w:rsidRDefault="007E3A2F">
            <w:pPr>
              <w:pStyle w:val="P68B1DB1-Normal57"/>
              <w:spacing w:line="240" w:lineRule="auto"/>
              <w:jc w:val="center"/>
              <w:rPr>
                <w:noProof/>
              </w:rPr>
            </w:pPr>
            <w:r>
              <w:rPr>
                <w:noProof/>
              </w:rPr>
              <w:t>Étapes</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62FBFF27" w14:textId="41CA7858" w:rsidR="00025543" w:rsidRDefault="007E3A2F">
            <w:pPr>
              <w:pStyle w:val="P68B1DB1-Normal57"/>
              <w:spacing w:line="240" w:lineRule="auto"/>
              <w:jc w:val="center"/>
              <w:rPr>
                <w:noProof/>
              </w:rPr>
            </w:pPr>
            <w:r>
              <w:rPr>
                <w:noProof/>
              </w:rPr>
              <w:t>Lignes directrices sur les communautés énergétiques</w:t>
            </w:r>
          </w:p>
        </w:tc>
      </w:tr>
      <w:tr w:rsidR="00025543" w14:paraId="661EF62D"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546AAAAB" w14:textId="42E2F5C2" w:rsidR="00025543" w:rsidRDefault="007E3A2F">
            <w:pPr>
              <w:pStyle w:val="P68B1DB1-Normal57"/>
              <w:spacing w:line="240" w:lineRule="auto"/>
              <w:jc w:val="center"/>
              <w:rPr>
                <w:noProof/>
              </w:rPr>
            </w:pPr>
            <w:r>
              <w:rPr>
                <w:noProof/>
              </w:rPr>
              <w:t>323</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6A7514C1" w14:textId="0DEE3C55" w:rsidR="00025543" w:rsidRDefault="007E3A2F">
            <w:pPr>
              <w:pStyle w:val="P68B1DB1-Normal57"/>
              <w:spacing w:line="240" w:lineRule="auto"/>
              <w:jc w:val="center"/>
              <w:rPr>
                <w:noProof/>
              </w:rPr>
            </w:pPr>
            <w:r>
              <w:rPr>
                <w:noProof/>
              </w:rPr>
              <w:t xml:space="preserve">C 7.3: Réforme globale de la vague de rénovations en République tchèque (REPOWER EU) — Investissement 1: Fourniture de services de conseil aux ménages, aux entreprises et au secteur public  </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16503C79" w14:textId="1C911C20" w:rsidR="00025543" w:rsidRDefault="007E3A2F">
            <w:pPr>
              <w:pStyle w:val="P68B1DB1-Normal57"/>
              <w:spacing w:line="240" w:lineRule="auto"/>
              <w:jc w:val="center"/>
              <w:rPr>
                <w:noProof/>
              </w:rPr>
            </w:pPr>
            <w:r>
              <w:rPr>
                <w:noProof/>
              </w:rPr>
              <w:t>Cible</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577A5240" w14:textId="52794198" w:rsidR="00025543" w:rsidRDefault="007E3A2F">
            <w:pPr>
              <w:pStyle w:val="P68B1DB1-Normal57"/>
              <w:spacing w:line="240" w:lineRule="auto"/>
              <w:jc w:val="center"/>
              <w:rPr>
                <w:noProof/>
              </w:rPr>
            </w:pPr>
            <w:r>
              <w:rPr>
                <w:noProof/>
              </w:rPr>
              <w:t xml:space="preserve">Fourniture de services de conseil aux ménages, aux entreprises et au secteur public  </w:t>
            </w:r>
          </w:p>
        </w:tc>
      </w:tr>
      <w:tr w:rsidR="00025543" w14:paraId="61B409EC"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395E36B5" w14:textId="2C32D0D6" w:rsidR="00025543" w:rsidRDefault="007E3A2F">
            <w:pPr>
              <w:pStyle w:val="P68B1DB1-Normal57"/>
              <w:spacing w:line="240" w:lineRule="auto"/>
              <w:jc w:val="center"/>
              <w:rPr>
                <w:noProof/>
              </w:rPr>
            </w:pPr>
            <w:r>
              <w:rPr>
                <w:noProof/>
              </w:rPr>
              <w:t>330</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65E55252" w14:textId="1B2F75DD" w:rsidR="00025543" w:rsidRDefault="007E3A2F">
            <w:pPr>
              <w:pStyle w:val="P68B1DB1-Normal57"/>
              <w:spacing w:line="240" w:lineRule="auto"/>
              <w:jc w:val="center"/>
              <w:rPr>
                <w:noProof/>
              </w:rPr>
            </w:pPr>
            <w:r>
              <w:rPr>
                <w:noProof/>
              </w:rPr>
              <w:t xml:space="preserve">C 7.5 Décarbonisation du transport routier (REPowerEU) — Réforme 1: Plan d’action national pour une mobilité propre et objectifs de déploiement pour une mobilité à émissions nulles  </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2A923BB1" w14:textId="729FF7E4" w:rsidR="00025543" w:rsidRDefault="007E3A2F">
            <w:pPr>
              <w:pStyle w:val="P68B1DB1-Normal57"/>
              <w:spacing w:line="240" w:lineRule="auto"/>
              <w:jc w:val="center"/>
              <w:rPr>
                <w:noProof/>
              </w:rPr>
            </w:pPr>
            <w:r>
              <w:rPr>
                <w:noProof/>
              </w:rPr>
              <w:t>Cible</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6C2DF3BA" w14:textId="7A584AB0" w:rsidR="00025543" w:rsidRDefault="007E3A2F">
            <w:pPr>
              <w:pStyle w:val="P68B1DB1-Normal57"/>
              <w:spacing w:line="240" w:lineRule="auto"/>
              <w:jc w:val="center"/>
              <w:rPr>
                <w:noProof/>
              </w:rPr>
            </w:pPr>
            <w:r>
              <w:rPr>
                <w:noProof/>
              </w:rPr>
              <w:t xml:space="preserve">Augmentation du nombre de véhicules à émission nulle immatriculés  </w:t>
            </w:r>
          </w:p>
        </w:tc>
      </w:tr>
      <w:tr w:rsidR="00025543" w14:paraId="74E66076"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2C51F1CD" w14:textId="371088BC" w:rsidR="00025543" w:rsidRDefault="007E3A2F">
            <w:pPr>
              <w:pStyle w:val="P68B1DB1-Normal57"/>
              <w:spacing w:line="240" w:lineRule="auto"/>
              <w:jc w:val="center"/>
              <w:rPr>
                <w:noProof/>
              </w:rPr>
            </w:pPr>
            <w:r>
              <w:rPr>
                <w:noProof/>
              </w:rPr>
              <w:t>331</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51B3AA53" w14:textId="20D0ABB6" w:rsidR="00025543" w:rsidRDefault="007E3A2F">
            <w:pPr>
              <w:pStyle w:val="P68B1DB1-Normal57"/>
              <w:spacing w:line="240" w:lineRule="auto"/>
              <w:jc w:val="center"/>
              <w:rPr>
                <w:noProof/>
              </w:rPr>
            </w:pPr>
            <w:r>
              <w:rPr>
                <w:noProof/>
              </w:rPr>
              <w:t xml:space="preserve">C 7.5 Décarbonisation du transport routier (REPowerEU) — Réforme 1: Plan d’action national pour une mobilité propre et objectifs de déploiement pour une mobilité à émissions nulles   </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4FA5C61F" w14:textId="1C2D7BD0" w:rsidR="00025543" w:rsidRDefault="007E3A2F">
            <w:pPr>
              <w:pStyle w:val="P68B1DB1-Normal57"/>
              <w:spacing w:line="240" w:lineRule="auto"/>
              <w:jc w:val="center"/>
              <w:rPr>
                <w:noProof/>
              </w:rPr>
            </w:pPr>
            <w:r>
              <w:rPr>
                <w:noProof/>
              </w:rPr>
              <w:t>Étapes</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3BC7BBFA" w14:textId="3C24944F" w:rsidR="00025543" w:rsidRDefault="007E3A2F">
            <w:pPr>
              <w:pStyle w:val="P68B1DB1-Normal57"/>
              <w:spacing w:line="240" w:lineRule="auto"/>
              <w:jc w:val="center"/>
              <w:rPr>
                <w:noProof/>
              </w:rPr>
            </w:pPr>
            <w:r>
              <w:rPr>
                <w:noProof/>
              </w:rPr>
              <w:t>Soutien au déploiement accéléré des infrastructures pour carburants alternatifs</w:t>
            </w:r>
          </w:p>
        </w:tc>
      </w:tr>
      <w:tr w:rsidR="00025543" w14:paraId="071FD521"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5B3C17B4" w14:textId="32245026" w:rsidR="00025543" w:rsidRDefault="007E3A2F">
            <w:pPr>
              <w:pStyle w:val="P68B1DB1-Normal57"/>
              <w:spacing w:line="240" w:lineRule="auto"/>
              <w:jc w:val="center"/>
              <w:rPr>
                <w:noProof/>
              </w:rPr>
            </w:pPr>
            <w:r>
              <w:rPr>
                <w:noProof/>
              </w:rPr>
              <w:t>339</w:t>
            </w: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3A7AE139" w14:textId="3B61E118" w:rsidR="00025543" w:rsidRDefault="007E3A2F">
            <w:pPr>
              <w:pStyle w:val="P68B1DB1-Normal57"/>
              <w:spacing w:line="240" w:lineRule="auto"/>
              <w:jc w:val="center"/>
              <w:rPr>
                <w:noProof/>
              </w:rPr>
            </w:pPr>
            <w:r>
              <w:rPr>
                <w:noProof/>
              </w:rPr>
              <w:t>C 7.6 Électrification du transport ferroviaire (REPowerEU) — Investissement 1: Électrification de la région de Brno</w:t>
            </w: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244BC88E" w14:textId="400E77D3" w:rsidR="00025543" w:rsidRDefault="007E3A2F">
            <w:pPr>
              <w:pStyle w:val="P68B1DB1-Normal57"/>
              <w:spacing w:line="240" w:lineRule="auto"/>
              <w:jc w:val="center"/>
              <w:rPr>
                <w:noProof/>
              </w:rPr>
            </w:pPr>
            <w:r>
              <w:rPr>
                <w:noProof/>
              </w:rPr>
              <w:t>Cible</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63366C4E" w14:textId="50BA3081" w:rsidR="00025543" w:rsidRDefault="007E3A2F">
            <w:pPr>
              <w:pStyle w:val="P68B1DB1-Normal57"/>
              <w:spacing w:line="240" w:lineRule="auto"/>
              <w:jc w:val="center"/>
              <w:rPr>
                <w:noProof/>
              </w:rPr>
            </w:pPr>
            <w:r>
              <w:rPr>
                <w:noProof/>
              </w:rPr>
              <w:t>Achèvement du projet d’électrification ferroviaire «Électrification de Brno- Zastávka u Brna, phase 2»</w:t>
            </w:r>
          </w:p>
        </w:tc>
      </w:tr>
      <w:tr w:rsidR="00025543" w14:paraId="21643833" w14:textId="77777777">
        <w:trPr>
          <w:trHeight w:val="648"/>
        </w:trPr>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1178325F" w14:textId="1D74028D" w:rsidR="00025543" w:rsidRDefault="00025543">
            <w:pPr>
              <w:spacing w:before="0" w:after="0" w:line="240" w:lineRule="auto"/>
              <w:jc w:val="center"/>
              <w:rPr>
                <w:rFonts w:eastAsia="Times New Roman"/>
                <w:noProof/>
                <w:color w:val="006100"/>
                <w:sz w:val="20"/>
              </w:rPr>
            </w:pPr>
          </w:p>
        </w:tc>
        <w:tc>
          <w:tcPr>
            <w:tcW w:w="3969" w:type="dxa"/>
            <w:tcBorders>
              <w:top w:val="single" w:sz="4" w:space="0" w:color="auto"/>
              <w:left w:val="single" w:sz="4" w:space="0" w:color="auto"/>
              <w:bottom w:val="single" w:sz="4" w:space="0" w:color="auto"/>
              <w:right w:val="single" w:sz="4" w:space="0" w:color="auto"/>
            </w:tcBorders>
            <w:shd w:val="clear" w:color="auto" w:fill="C6EFCE"/>
            <w:vAlign w:val="center"/>
          </w:tcPr>
          <w:p w14:paraId="4B3120E1" w14:textId="77777777" w:rsidR="00025543" w:rsidRDefault="00025543">
            <w:pPr>
              <w:spacing w:before="0" w:after="0" w:line="240" w:lineRule="auto"/>
              <w:jc w:val="center"/>
              <w:rPr>
                <w:rFonts w:eastAsia="Times New Roman"/>
                <w:noProof/>
                <w:color w:val="006100"/>
                <w:sz w:val="20"/>
              </w:rPr>
            </w:pPr>
          </w:p>
        </w:tc>
        <w:tc>
          <w:tcPr>
            <w:tcW w:w="1843" w:type="dxa"/>
            <w:tcBorders>
              <w:top w:val="single" w:sz="4" w:space="0" w:color="auto"/>
              <w:left w:val="single" w:sz="4" w:space="0" w:color="auto"/>
              <w:bottom w:val="single" w:sz="4" w:space="0" w:color="auto"/>
              <w:right w:val="single" w:sz="4" w:space="0" w:color="auto"/>
            </w:tcBorders>
            <w:shd w:val="clear" w:color="auto" w:fill="C6EFCE"/>
            <w:vAlign w:val="center"/>
          </w:tcPr>
          <w:p w14:paraId="36C744AF" w14:textId="77777777" w:rsidR="00025543" w:rsidRDefault="007E3A2F">
            <w:pPr>
              <w:pStyle w:val="P68B1DB1-Normal59"/>
              <w:spacing w:before="0" w:after="0" w:line="240" w:lineRule="auto"/>
              <w:jc w:val="center"/>
              <w:rPr>
                <w:noProof/>
              </w:rPr>
            </w:pPr>
            <w:r>
              <w:rPr>
                <w:noProof/>
              </w:rPr>
              <w:t>Montant de la tranche</w:t>
            </w:r>
          </w:p>
        </w:tc>
        <w:tc>
          <w:tcPr>
            <w:tcW w:w="3402" w:type="dxa"/>
            <w:tcBorders>
              <w:top w:val="single" w:sz="4" w:space="0" w:color="auto"/>
              <w:left w:val="single" w:sz="4" w:space="0" w:color="auto"/>
              <w:bottom w:val="single" w:sz="4" w:space="0" w:color="auto"/>
              <w:right w:val="single" w:sz="4" w:space="0" w:color="auto"/>
            </w:tcBorders>
            <w:shd w:val="clear" w:color="auto" w:fill="C6EFCE"/>
            <w:vAlign w:val="center"/>
          </w:tcPr>
          <w:p w14:paraId="15A2CB76" w14:textId="46A8CDFF" w:rsidR="00025543" w:rsidRDefault="007E3A2F">
            <w:pPr>
              <w:pStyle w:val="P68B1DB1-Normal59"/>
              <w:spacing w:before="0" w:after="0" w:line="240" w:lineRule="auto"/>
              <w:jc w:val="center"/>
              <w:rPr>
                <w:noProof/>
              </w:rPr>
            </w:pPr>
            <w:r>
              <w:rPr>
                <w:noProof/>
              </w:rPr>
              <w:t>983 488 992 EUR</w:t>
            </w:r>
          </w:p>
        </w:tc>
      </w:tr>
    </w:tbl>
    <w:p w14:paraId="33860EE0" w14:textId="3D33871D" w:rsidR="00025543" w:rsidRDefault="00025543">
      <w:pPr>
        <w:spacing w:before="0" w:after="0" w:line="240" w:lineRule="auto"/>
        <w:jc w:val="center"/>
        <w:rPr>
          <w:rFonts w:eastAsia="Times New Roman"/>
          <w:noProof/>
          <w:sz w:val="20"/>
        </w:rPr>
      </w:pPr>
    </w:p>
    <w:p w14:paraId="5C96164B" w14:textId="3D5DD641" w:rsidR="00025543" w:rsidRDefault="007E3A2F">
      <w:pPr>
        <w:rPr>
          <w:noProof/>
        </w:rPr>
      </w:pPr>
      <w:r>
        <w:rPr>
          <w:noProof/>
        </w:rPr>
        <w:br w:type="page"/>
      </w:r>
    </w:p>
    <w:p w14:paraId="3D098C4E" w14:textId="0FD7AA27" w:rsidR="00025543" w:rsidRDefault="007E3A2F">
      <w:pPr>
        <w:pStyle w:val="P68B1DB1-Normal26"/>
        <w:spacing w:before="0" w:after="0" w:line="240" w:lineRule="auto"/>
        <w:rPr>
          <w:noProof/>
        </w:rPr>
      </w:pPr>
      <w:r>
        <w:rPr>
          <w:noProof/>
          <w:sz w:val="28"/>
        </w:rPr>
        <w:t>2. Prêts</w:t>
      </w:r>
      <w:r>
        <w:rPr>
          <w:noProof/>
        </w:rPr>
        <w:t xml:space="preserve"> </w:t>
      </w:r>
    </w:p>
    <w:p w14:paraId="6DD196E1" w14:textId="47197F76" w:rsidR="00025543" w:rsidRDefault="00025543">
      <w:pPr>
        <w:spacing w:before="0" w:after="0" w:line="240" w:lineRule="auto"/>
        <w:rPr>
          <w:rFonts w:eastAsia="Times New Roman"/>
          <w:noProof/>
          <w:sz w:val="20"/>
        </w:rPr>
      </w:pPr>
    </w:p>
    <w:p w14:paraId="272935E6" w14:textId="7E7B493E" w:rsidR="00025543" w:rsidRDefault="007E3A2F">
      <w:pPr>
        <w:pStyle w:val="FooterText"/>
        <w:rPr>
          <w:noProof/>
        </w:rPr>
      </w:pPr>
      <w:r>
        <w:rPr>
          <w:noProof/>
        </w:rPr>
        <w:t>Les tranches visées à l’article 2 bis, paragraphe 2, sont organisées de la manière suivante:</w:t>
      </w:r>
    </w:p>
    <w:p w14:paraId="3F7C2906" w14:textId="0FD7AA27" w:rsidR="00025543" w:rsidRDefault="00025543">
      <w:pPr>
        <w:spacing w:before="0" w:after="0" w:line="240" w:lineRule="auto"/>
        <w:rPr>
          <w:rFonts w:eastAsia="Times New Roman"/>
          <w:noProof/>
          <w:sz w:val="20"/>
        </w:rPr>
      </w:pPr>
    </w:p>
    <w:p w14:paraId="58655F31" w14:textId="0FD7AA27" w:rsidR="00025543" w:rsidRDefault="007E3A2F">
      <w:pPr>
        <w:pStyle w:val="FooterText"/>
        <w:rPr>
          <w:noProof/>
        </w:rPr>
      </w:pPr>
      <w:r>
        <w:rPr>
          <w:noProof/>
        </w:rPr>
        <w:t>2.1. Première demande de paiement (soutien sous forme de prêt):</w:t>
      </w:r>
    </w:p>
    <w:p w14:paraId="50BFEACE" w14:textId="0FD7AA27" w:rsidR="00025543" w:rsidRDefault="00025543">
      <w:pPr>
        <w:spacing w:before="0" w:after="0" w:line="240" w:lineRule="auto"/>
        <w:rPr>
          <w:rFonts w:eastAsia="Times New Roman"/>
          <w:noProof/>
          <w:color w:val="006100"/>
          <w:sz w:val="20"/>
        </w:rPr>
      </w:pPr>
    </w:p>
    <w:tbl>
      <w:tblPr>
        <w:tblW w:w="0" w:type="auto"/>
        <w:tblInd w:w="-601" w:type="dxa"/>
        <w:tblLook w:val="04A0" w:firstRow="1" w:lastRow="0" w:firstColumn="1" w:lastColumn="0" w:noHBand="0" w:noVBand="1"/>
      </w:tblPr>
      <w:tblGrid>
        <w:gridCol w:w="1269"/>
        <w:gridCol w:w="3839"/>
        <w:gridCol w:w="1808"/>
        <w:gridCol w:w="3304"/>
      </w:tblGrid>
      <w:tr w:rsidR="00025543" w14:paraId="24A69D23" w14:textId="77777777">
        <w:trPr>
          <w:trHeight w:val="825"/>
        </w:trPr>
        <w:tc>
          <w:tcPr>
            <w:tcW w:w="1276" w:type="dxa"/>
            <w:tcBorders>
              <w:top w:val="single" w:sz="8" w:space="0" w:color="auto"/>
              <w:left w:val="single" w:sz="8" w:space="0" w:color="auto"/>
              <w:bottom w:val="single" w:sz="8" w:space="0" w:color="auto"/>
              <w:right w:val="single" w:sz="8" w:space="0" w:color="auto"/>
            </w:tcBorders>
            <w:shd w:val="clear" w:color="auto" w:fill="BDD7EE"/>
            <w:vAlign w:val="center"/>
          </w:tcPr>
          <w:p w14:paraId="09CB67FE" w14:textId="77777777" w:rsidR="00025543" w:rsidRDefault="007E3A2F">
            <w:pPr>
              <w:pStyle w:val="P68B1DB1-Normal55"/>
              <w:spacing w:before="0" w:after="0" w:line="240" w:lineRule="auto"/>
              <w:jc w:val="center"/>
              <w:rPr>
                <w:noProof/>
                <w:color w:val="006100"/>
                <w:sz w:val="20"/>
              </w:rPr>
            </w:pPr>
            <w:r>
              <w:rPr>
                <w:noProof/>
              </w:rPr>
              <w:t>Numéro séquentiel</w:t>
            </w:r>
          </w:p>
        </w:tc>
        <w:tc>
          <w:tcPr>
            <w:tcW w:w="3969" w:type="dxa"/>
            <w:tcBorders>
              <w:top w:val="single" w:sz="8" w:space="0" w:color="auto"/>
              <w:left w:val="nil"/>
              <w:bottom w:val="single" w:sz="8" w:space="0" w:color="auto"/>
              <w:right w:val="single" w:sz="8" w:space="0" w:color="auto"/>
            </w:tcBorders>
            <w:shd w:val="clear" w:color="auto" w:fill="BDD7EE"/>
            <w:vAlign w:val="center"/>
          </w:tcPr>
          <w:p w14:paraId="5C4F0FFD" w14:textId="77777777" w:rsidR="00025543" w:rsidRDefault="007E3A2F">
            <w:pPr>
              <w:pStyle w:val="P68B1DB1-Normal55"/>
              <w:spacing w:before="0" w:after="0" w:line="240" w:lineRule="auto"/>
              <w:jc w:val="center"/>
              <w:rPr>
                <w:noProof/>
                <w:color w:val="006100"/>
                <w:sz w:val="20"/>
              </w:rPr>
            </w:pPr>
            <w:r>
              <w:rPr>
                <w:noProof/>
              </w:rPr>
              <w:t>Mesure connexe (réforme ou investissement)</w:t>
            </w:r>
          </w:p>
        </w:tc>
        <w:tc>
          <w:tcPr>
            <w:tcW w:w="1843" w:type="dxa"/>
            <w:tcBorders>
              <w:top w:val="single" w:sz="8" w:space="0" w:color="auto"/>
              <w:left w:val="nil"/>
              <w:bottom w:val="single" w:sz="8" w:space="0" w:color="auto"/>
              <w:right w:val="single" w:sz="8" w:space="0" w:color="auto"/>
            </w:tcBorders>
            <w:shd w:val="clear" w:color="auto" w:fill="BDD7EE"/>
            <w:vAlign w:val="center"/>
          </w:tcPr>
          <w:p w14:paraId="30F79D1C" w14:textId="77777777" w:rsidR="00025543" w:rsidRDefault="007E3A2F">
            <w:pPr>
              <w:pStyle w:val="P68B1DB1-Normal55"/>
              <w:spacing w:before="0" w:after="0" w:line="240" w:lineRule="auto"/>
              <w:jc w:val="center"/>
              <w:rPr>
                <w:noProof/>
                <w:color w:val="006100"/>
                <w:sz w:val="20"/>
              </w:rPr>
            </w:pPr>
            <w:r>
              <w:rPr>
                <w:noProof/>
              </w:rPr>
              <w:t>Jalon/cible</w:t>
            </w:r>
          </w:p>
        </w:tc>
        <w:tc>
          <w:tcPr>
            <w:tcW w:w="3402" w:type="dxa"/>
            <w:tcBorders>
              <w:top w:val="single" w:sz="8" w:space="0" w:color="auto"/>
              <w:left w:val="nil"/>
              <w:bottom w:val="single" w:sz="8" w:space="0" w:color="auto"/>
              <w:right w:val="single" w:sz="8" w:space="0" w:color="auto"/>
            </w:tcBorders>
            <w:shd w:val="clear" w:color="auto" w:fill="BDD7EE"/>
            <w:vAlign w:val="center"/>
          </w:tcPr>
          <w:p w14:paraId="1C491FFA" w14:textId="77777777" w:rsidR="00025543" w:rsidRDefault="007E3A2F">
            <w:pPr>
              <w:pStyle w:val="P68B1DB1-Normal55"/>
              <w:spacing w:before="0" w:after="0" w:line="240" w:lineRule="auto"/>
              <w:jc w:val="center"/>
              <w:rPr>
                <w:noProof/>
                <w:color w:val="006100"/>
                <w:sz w:val="20"/>
              </w:rPr>
            </w:pPr>
            <w:r>
              <w:rPr>
                <w:noProof/>
              </w:rPr>
              <w:t>Nom</w:t>
            </w:r>
          </w:p>
        </w:tc>
      </w:tr>
      <w:tr w:rsidR="00025543" w14:paraId="729F6395" w14:textId="77777777">
        <w:trPr>
          <w:trHeight w:val="1185"/>
        </w:trPr>
        <w:tc>
          <w:tcPr>
            <w:tcW w:w="1276" w:type="dxa"/>
            <w:tcBorders>
              <w:top w:val="nil"/>
              <w:left w:val="single" w:sz="8" w:space="0" w:color="auto"/>
              <w:bottom w:val="single" w:sz="4" w:space="0" w:color="000000" w:themeColor="text1"/>
              <w:right w:val="single" w:sz="8" w:space="0" w:color="000000" w:themeColor="text1"/>
            </w:tcBorders>
            <w:shd w:val="clear" w:color="auto" w:fill="C6EFCE"/>
            <w:vAlign w:val="center"/>
          </w:tcPr>
          <w:p w14:paraId="57D6C67E" w14:textId="282D980D" w:rsidR="00025543" w:rsidRDefault="007E3A2F">
            <w:pPr>
              <w:pStyle w:val="P68B1DB1-Normal57"/>
              <w:spacing w:before="0" w:after="0" w:line="240" w:lineRule="auto"/>
              <w:jc w:val="center"/>
              <w:rPr>
                <w:noProof/>
              </w:rPr>
            </w:pPr>
            <w:r>
              <w:rPr>
                <w:noProof/>
              </w:rPr>
              <w:t>247</w:t>
            </w:r>
          </w:p>
        </w:tc>
        <w:tc>
          <w:tcPr>
            <w:tcW w:w="3969" w:type="dxa"/>
            <w:tcBorders>
              <w:top w:val="nil"/>
              <w:left w:val="nil"/>
              <w:bottom w:val="single" w:sz="8" w:space="0" w:color="000000" w:themeColor="text1"/>
              <w:right w:val="single" w:sz="8" w:space="0" w:color="000000" w:themeColor="text1"/>
            </w:tcBorders>
            <w:shd w:val="clear" w:color="auto" w:fill="C6EFCE"/>
            <w:vAlign w:val="center"/>
          </w:tcPr>
          <w:p w14:paraId="19209C90" w14:textId="21EFAB74" w:rsidR="00025543" w:rsidRDefault="007E3A2F">
            <w:pPr>
              <w:pStyle w:val="P68B1DB1-Normal57"/>
              <w:spacing w:before="0" w:after="0" w:line="240" w:lineRule="auto"/>
              <w:jc w:val="center"/>
              <w:rPr>
                <w:noProof/>
              </w:rPr>
            </w:pPr>
            <w:r>
              <w:rPr>
                <w:noProof/>
              </w:rPr>
              <w:t>C1.2: Systèmes d’administration publique numérique —</w:t>
            </w:r>
          </w:p>
          <w:p w14:paraId="43E65639" w14:textId="37458FF6" w:rsidR="00025543" w:rsidRDefault="007E3A2F">
            <w:pPr>
              <w:pStyle w:val="P68B1DB1-Normal57"/>
              <w:spacing w:before="0" w:after="0" w:line="240" w:lineRule="auto"/>
              <w:jc w:val="center"/>
              <w:rPr>
                <w:noProof/>
              </w:rPr>
            </w:pPr>
            <w:r>
              <w:rPr>
                <w:noProof/>
              </w:rPr>
              <w:t xml:space="preserve">Investissement — Compléter les investissements en matière de cybersécurité </w:t>
            </w:r>
          </w:p>
        </w:tc>
        <w:tc>
          <w:tcPr>
            <w:tcW w:w="1843" w:type="dxa"/>
            <w:tcBorders>
              <w:top w:val="nil"/>
              <w:left w:val="nil"/>
              <w:bottom w:val="single" w:sz="8" w:space="0" w:color="000000" w:themeColor="text1"/>
              <w:right w:val="single" w:sz="8" w:space="0" w:color="000000" w:themeColor="text1"/>
            </w:tcBorders>
            <w:shd w:val="clear" w:color="auto" w:fill="C6EFCE"/>
            <w:vAlign w:val="center"/>
          </w:tcPr>
          <w:p w14:paraId="5C24DB6C" w14:textId="0FA7AEDB" w:rsidR="00025543" w:rsidRDefault="007E3A2F">
            <w:pPr>
              <w:pStyle w:val="P68B1DB1-Normal57"/>
              <w:spacing w:before="0" w:after="0" w:line="240" w:lineRule="auto"/>
              <w:jc w:val="center"/>
              <w:rPr>
                <w:noProof/>
              </w:rPr>
            </w:pPr>
            <w:r>
              <w:rPr>
                <w:noProof/>
              </w:rPr>
              <w:t xml:space="preserve">Étapes </w:t>
            </w:r>
          </w:p>
        </w:tc>
        <w:tc>
          <w:tcPr>
            <w:tcW w:w="3402" w:type="dxa"/>
            <w:tcBorders>
              <w:top w:val="nil"/>
              <w:left w:val="nil"/>
              <w:bottom w:val="single" w:sz="4" w:space="0" w:color="000000" w:themeColor="text1"/>
              <w:right w:val="single" w:sz="8" w:space="0" w:color="000000" w:themeColor="text1"/>
            </w:tcBorders>
            <w:shd w:val="clear" w:color="auto" w:fill="C6EFCE"/>
            <w:vAlign w:val="center"/>
          </w:tcPr>
          <w:p w14:paraId="68D7E8B8" w14:textId="38123074" w:rsidR="00025543" w:rsidRDefault="007E3A2F">
            <w:pPr>
              <w:pStyle w:val="P68B1DB1-Normal57"/>
              <w:spacing w:before="0" w:after="0" w:line="240" w:lineRule="auto"/>
              <w:jc w:val="center"/>
              <w:rPr>
                <w:noProof/>
              </w:rPr>
            </w:pPr>
            <w:r>
              <w:rPr>
                <w:noProof/>
              </w:rPr>
              <w:t>Publication de l’appel relatif au renforcement des systèmes d’information conformément à la loi no 181/2014 Rec. sur la cybersécurité</w:t>
            </w:r>
          </w:p>
        </w:tc>
      </w:tr>
      <w:tr w:rsidR="00025543" w14:paraId="1D142843" w14:textId="77777777">
        <w:trPr>
          <w:trHeight w:val="795"/>
        </w:trPr>
        <w:tc>
          <w:tcPr>
            <w:tcW w:w="1273" w:type="dxa"/>
            <w:tcBorders>
              <w:top w:val="single" w:sz="4" w:space="0" w:color="000000" w:themeColor="text1"/>
              <w:left w:val="single" w:sz="8" w:space="0" w:color="auto"/>
              <w:bottom w:val="single" w:sz="4" w:space="0" w:color="000000" w:themeColor="text1"/>
              <w:right w:val="single" w:sz="8" w:space="0" w:color="000000" w:themeColor="text1"/>
            </w:tcBorders>
            <w:shd w:val="clear" w:color="auto" w:fill="C6EFCE"/>
            <w:vAlign w:val="center"/>
          </w:tcPr>
          <w:p w14:paraId="19C57BD7" w14:textId="0A1B9C82" w:rsidR="00025543" w:rsidRDefault="007E3A2F">
            <w:pPr>
              <w:pStyle w:val="P68B1DB1-Normal57"/>
              <w:spacing w:line="240" w:lineRule="auto"/>
              <w:jc w:val="center"/>
              <w:rPr>
                <w:noProof/>
              </w:rPr>
            </w:pPr>
            <w:r>
              <w:rPr>
                <w:noProof/>
              </w:rPr>
              <w:t>254</w:t>
            </w:r>
          </w:p>
        </w:tc>
        <w:tc>
          <w:tcPr>
            <w:tcW w:w="1273" w:type="dxa"/>
            <w:tcBorders>
              <w:top w:val="nil"/>
              <w:left w:val="single" w:sz="8" w:space="0" w:color="auto"/>
              <w:bottom w:val="single" w:sz="4" w:space="0" w:color="000000" w:themeColor="text1"/>
              <w:right w:val="single" w:sz="8" w:space="0" w:color="000000" w:themeColor="text1"/>
            </w:tcBorders>
            <w:shd w:val="clear" w:color="auto" w:fill="C6EFCE"/>
            <w:vAlign w:val="center"/>
          </w:tcPr>
          <w:p w14:paraId="463E78E8" w14:textId="740D3571" w:rsidR="00025543" w:rsidRDefault="007E3A2F">
            <w:pPr>
              <w:pStyle w:val="P68B1DB1-Normal57"/>
              <w:spacing w:before="0" w:after="0" w:line="240" w:lineRule="auto"/>
              <w:jc w:val="center"/>
              <w:rPr>
                <w:noProof/>
              </w:rPr>
            </w:pPr>
            <w:r>
              <w:rPr>
                <w:noProof/>
              </w:rPr>
              <w:t>C1.5: Transformation numérique des entreprises — Investissements 4: PIIEC Microélectronique et technologies de la communication</w:t>
            </w:r>
          </w:p>
        </w:tc>
        <w:tc>
          <w:tcPr>
            <w:tcW w:w="1273" w:type="dxa"/>
            <w:tcBorders>
              <w:top w:val="nil"/>
              <w:left w:val="single" w:sz="8" w:space="0" w:color="auto"/>
              <w:bottom w:val="single" w:sz="4" w:space="0" w:color="000000" w:themeColor="text1"/>
              <w:right w:val="single" w:sz="8" w:space="0" w:color="000000" w:themeColor="text1"/>
            </w:tcBorders>
            <w:shd w:val="clear" w:color="auto" w:fill="C6EFCE"/>
            <w:vAlign w:val="center"/>
          </w:tcPr>
          <w:p w14:paraId="1A0B09E0" w14:textId="4D6A1447" w:rsidR="00025543" w:rsidRDefault="007E3A2F">
            <w:pPr>
              <w:pStyle w:val="P68B1DB1-Normal57"/>
              <w:spacing w:before="0" w:after="0" w:line="240" w:lineRule="auto"/>
              <w:jc w:val="center"/>
              <w:rPr>
                <w:noProof/>
              </w:rPr>
            </w:pPr>
            <w:r>
              <w:rPr>
                <w:noProof/>
              </w:rPr>
              <w:t>Étapes</w:t>
            </w:r>
          </w:p>
        </w:tc>
        <w:tc>
          <w:tcPr>
            <w:tcW w:w="1273" w:type="dxa"/>
            <w:tcBorders>
              <w:top w:val="single" w:sz="4" w:space="0" w:color="000000" w:themeColor="text1"/>
              <w:left w:val="single" w:sz="8" w:space="0" w:color="auto"/>
              <w:bottom w:val="single" w:sz="4" w:space="0" w:color="000000" w:themeColor="text1"/>
              <w:right w:val="single" w:sz="8" w:space="0" w:color="000000" w:themeColor="text1"/>
            </w:tcBorders>
            <w:shd w:val="clear" w:color="auto" w:fill="C6EFCE"/>
            <w:vAlign w:val="center"/>
          </w:tcPr>
          <w:p w14:paraId="37AEB2CF" w14:textId="01F5F44B" w:rsidR="00025543" w:rsidRDefault="007E3A2F">
            <w:pPr>
              <w:pStyle w:val="P68B1DB1-Normal57"/>
              <w:spacing w:before="0" w:after="0" w:line="240" w:lineRule="auto"/>
              <w:jc w:val="center"/>
              <w:rPr>
                <w:noProof/>
              </w:rPr>
            </w:pPr>
            <w:r>
              <w:rPr>
                <w:noProof/>
              </w:rPr>
              <w:t>Signature des conventions de subvention</w:t>
            </w:r>
          </w:p>
        </w:tc>
      </w:tr>
      <w:tr w:rsidR="00025543" w14:paraId="0D77BC67" w14:textId="77777777">
        <w:trPr>
          <w:trHeight w:val="795"/>
        </w:trPr>
        <w:tc>
          <w:tcPr>
            <w:tcW w:w="1273" w:type="dxa"/>
            <w:tcBorders>
              <w:top w:val="single" w:sz="4" w:space="0" w:color="000000" w:themeColor="text1"/>
              <w:left w:val="single" w:sz="8" w:space="0" w:color="auto"/>
              <w:bottom w:val="single" w:sz="4" w:space="0" w:color="000000" w:themeColor="text1"/>
              <w:right w:val="single" w:sz="8" w:space="0" w:color="000000" w:themeColor="text1"/>
            </w:tcBorders>
            <w:shd w:val="clear" w:color="auto" w:fill="C6EFCE"/>
            <w:vAlign w:val="center"/>
          </w:tcPr>
          <w:p w14:paraId="50A92495" w14:textId="4CF06B22" w:rsidR="00025543" w:rsidRDefault="00025543">
            <w:pPr>
              <w:spacing w:before="0" w:after="0" w:line="240" w:lineRule="auto"/>
              <w:jc w:val="center"/>
              <w:rPr>
                <w:rFonts w:eastAsia="Times New Roman"/>
                <w:noProof/>
                <w:color w:val="006100"/>
                <w:sz w:val="20"/>
              </w:rPr>
            </w:pPr>
          </w:p>
        </w:tc>
        <w:tc>
          <w:tcPr>
            <w:tcW w:w="3843"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tcPr>
          <w:p w14:paraId="5BD2FB93" w14:textId="134A592E" w:rsidR="00025543" w:rsidRDefault="00025543">
            <w:pPr>
              <w:spacing w:before="0" w:after="0" w:line="240" w:lineRule="auto"/>
              <w:jc w:val="center"/>
              <w:rPr>
                <w:rFonts w:eastAsia="Times New Roman"/>
                <w:noProof/>
                <w:color w:val="006100"/>
                <w:sz w:val="20"/>
              </w:rPr>
            </w:pPr>
          </w:p>
        </w:tc>
        <w:tc>
          <w:tcPr>
            <w:tcW w:w="1809"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tcPr>
          <w:p w14:paraId="2F0EA95D" w14:textId="585EC65F" w:rsidR="00025543" w:rsidRDefault="007E3A2F">
            <w:pPr>
              <w:pStyle w:val="P68B1DB1-Normal59"/>
              <w:spacing w:before="0" w:after="0" w:line="240" w:lineRule="auto"/>
              <w:jc w:val="center"/>
              <w:rPr>
                <w:noProof/>
              </w:rPr>
            </w:pPr>
            <w:r>
              <w:rPr>
                <w:noProof/>
              </w:rPr>
              <w:t>Montant de la tranche</w:t>
            </w:r>
          </w:p>
        </w:tc>
        <w:tc>
          <w:tcPr>
            <w:tcW w:w="3295" w:type="dxa"/>
            <w:tcBorders>
              <w:top w:val="single" w:sz="4" w:space="0" w:color="000000" w:themeColor="text1"/>
              <w:left w:val="nil"/>
              <w:bottom w:val="single" w:sz="4" w:space="0" w:color="000000" w:themeColor="text1"/>
              <w:right w:val="single" w:sz="8" w:space="0" w:color="000000" w:themeColor="text1"/>
            </w:tcBorders>
            <w:shd w:val="clear" w:color="auto" w:fill="C6EFCE"/>
            <w:vAlign w:val="center"/>
          </w:tcPr>
          <w:p w14:paraId="09B0DEC9" w14:textId="672F808B" w:rsidR="00025543" w:rsidRDefault="007E3A2F">
            <w:pPr>
              <w:pStyle w:val="P68B1DB1-Normal59"/>
              <w:spacing w:before="0" w:after="0" w:line="240" w:lineRule="auto"/>
              <w:jc w:val="center"/>
              <w:rPr>
                <w:noProof/>
              </w:rPr>
            </w:pPr>
            <w:r>
              <w:rPr>
                <w:noProof/>
              </w:rPr>
              <w:t>190 898 548 EUR</w:t>
            </w:r>
          </w:p>
        </w:tc>
      </w:tr>
    </w:tbl>
    <w:p w14:paraId="053474B5" w14:textId="4296E6AB" w:rsidR="00025543" w:rsidRDefault="00025543">
      <w:pPr>
        <w:spacing w:before="0" w:after="0" w:line="240" w:lineRule="auto"/>
        <w:rPr>
          <w:rFonts w:eastAsia="Times New Roman"/>
          <w:noProof/>
          <w:color w:val="006100"/>
          <w:sz w:val="20"/>
        </w:rPr>
      </w:pPr>
    </w:p>
    <w:p w14:paraId="6A3D8174" w14:textId="323D0636" w:rsidR="00025543" w:rsidRDefault="007E3A2F">
      <w:pPr>
        <w:pStyle w:val="FooterText"/>
        <w:rPr>
          <w:noProof/>
        </w:rPr>
      </w:pPr>
      <w:r>
        <w:rPr>
          <w:noProof/>
        </w:rPr>
        <w:t>2.2. Deuxième demande de paiement (soutien sous forme de prêt):</w:t>
      </w:r>
    </w:p>
    <w:p w14:paraId="68B3BF77" w14:textId="21A82384" w:rsidR="00025543" w:rsidRDefault="00025543">
      <w:pPr>
        <w:spacing w:before="0" w:after="0" w:line="240" w:lineRule="auto"/>
        <w:jc w:val="center"/>
        <w:rPr>
          <w:rFonts w:eastAsia="Times New Roman"/>
          <w:noProof/>
          <w:color w:val="006100"/>
          <w:sz w:val="20"/>
        </w:rPr>
      </w:pPr>
    </w:p>
    <w:tbl>
      <w:tblPr>
        <w:tblW w:w="0" w:type="auto"/>
        <w:tblInd w:w="-601" w:type="dxa"/>
        <w:tblLook w:val="04A0" w:firstRow="1" w:lastRow="0" w:firstColumn="1" w:lastColumn="0" w:noHBand="0" w:noVBand="1"/>
      </w:tblPr>
      <w:tblGrid>
        <w:gridCol w:w="1273"/>
        <w:gridCol w:w="3843"/>
        <w:gridCol w:w="1809"/>
        <w:gridCol w:w="3295"/>
      </w:tblGrid>
      <w:tr w:rsidR="00025543" w14:paraId="6CC68918" w14:textId="77777777">
        <w:trPr>
          <w:trHeight w:val="825"/>
        </w:trPr>
        <w:tc>
          <w:tcPr>
            <w:tcW w:w="1273" w:type="dxa"/>
            <w:tcBorders>
              <w:top w:val="single" w:sz="8" w:space="0" w:color="auto"/>
              <w:left w:val="single" w:sz="8" w:space="0" w:color="auto"/>
              <w:bottom w:val="single" w:sz="8" w:space="0" w:color="auto"/>
              <w:right w:val="single" w:sz="8" w:space="0" w:color="auto"/>
            </w:tcBorders>
            <w:shd w:val="clear" w:color="auto" w:fill="BDD7EE"/>
            <w:vAlign w:val="center"/>
          </w:tcPr>
          <w:p w14:paraId="7594C68F" w14:textId="77777777" w:rsidR="00025543" w:rsidRDefault="007E3A2F">
            <w:pPr>
              <w:pStyle w:val="P68B1DB1-Normal57"/>
              <w:spacing w:before="0" w:after="0" w:line="240" w:lineRule="auto"/>
              <w:jc w:val="center"/>
              <w:rPr>
                <w:noProof/>
              </w:rPr>
            </w:pPr>
            <w:r>
              <w:rPr>
                <w:noProof/>
              </w:rPr>
              <w:t>Numéro séquentiel</w:t>
            </w:r>
          </w:p>
        </w:tc>
        <w:tc>
          <w:tcPr>
            <w:tcW w:w="3843" w:type="dxa"/>
            <w:tcBorders>
              <w:top w:val="single" w:sz="8" w:space="0" w:color="auto"/>
              <w:left w:val="nil"/>
              <w:bottom w:val="single" w:sz="8" w:space="0" w:color="auto"/>
              <w:right w:val="single" w:sz="8" w:space="0" w:color="auto"/>
            </w:tcBorders>
            <w:shd w:val="clear" w:color="auto" w:fill="BDD7EE"/>
            <w:vAlign w:val="center"/>
          </w:tcPr>
          <w:p w14:paraId="6ADB0D69" w14:textId="77777777" w:rsidR="00025543" w:rsidRDefault="007E3A2F">
            <w:pPr>
              <w:pStyle w:val="P68B1DB1-Normal57"/>
              <w:spacing w:before="0" w:after="0" w:line="240" w:lineRule="auto"/>
              <w:jc w:val="center"/>
              <w:rPr>
                <w:noProof/>
              </w:rPr>
            </w:pPr>
            <w:r>
              <w:rPr>
                <w:noProof/>
              </w:rPr>
              <w:t>Mesure connexe (réforme ou investissement)</w:t>
            </w:r>
          </w:p>
        </w:tc>
        <w:tc>
          <w:tcPr>
            <w:tcW w:w="1809" w:type="dxa"/>
            <w:tcBorders>
              <w:top w:val="single" w:sz="8" w:space="0" w:color="auto"/>
              <w:left w:val="nil"/>
              <w:bottom w:val="single" w:sz="8" w:space="0" w:color="auto"/>
              <w:right w:val="single" w:sz="8" w:space="0" w:color="auto"/>
            </w:tcBorders>
            <w:shd w:val="clear" w:color="auto" w:fill="BDD7EE"/>
            <w:vAlign w:val="center"/>
          </w:tcPr>
          <w:p w14:paraId="404DEECC" w14:textId="77777777" w:rsidR="00025543" w:rsidRDefault="007E3A2F">
            <w:pPr>
              <w:pStyle w:val="P68B1DB1-Normal57"/>
              <w:spacing w:before="0" w:after="0" w:line="240" w:lineRule="auto"/>
              <w:jc w:val="center"/>
              <w:rPr>
                <w:noProof/>
              </w:rPr>
            </w:pPr>
            <w:r>
              <w:rPr>
                <w:noProof/>
              </w:rPr>
              <w:t>Jalon/cible</w:t>
            </w:r>
          </w:p>
        </w:tc>
        <w:tc>
          <w:tcPr>
            <w:tcW w:w="3295" w:type="dxa"/>
            <w:tcBorders>
              <w:top w:val="single" w:sz="8" w:space="0" w:color="auto"/>
              <w:left w:val="nil"/>
              <w:bottom w:val="single" w:sz="8" w:space="0" w:color="auto"/>
              <w:right w:val="single" w:sz="8" w:space="0" w:color="auto"/>
            </w:tcBorders>
            <w:shd w:val="clear" w:color="auto" w:fill="BDD7EE"/>
            <w:vAlign w:val="center"/>
          </w:tcPr>
          <w:p w14:paraId="4B6EF33C" w14:textId="77777777" w:rsidR="00025543" w:rsidRDefault="007E3A2F">
            <w:pPr>
              <w:pStyle w:val="P68B1DB1-Normal57"/>
              <w:spacing w:before="0" w:after="0" w:line="240" w:lineRule="auto"/>
              <w:jc w:val="center"/>
              <w:rPr>
                <w:noProof/>
              </w:rPr>
            </w:pPr>
            <w:r>
              <w:rPr>
                <w:noProof/>
              </w:rPr>
              <w:t>Nom</w:t>
            </w:r>
          </w:p>
        </w:tc>
      </w:tr>
      <w:tr w:rsidR="00025543" w14:paraId="2867E511" w14:textId="77777777">
        <w:trPr>
          <w:trHeight w:val="795"/>
        </w:trPr>
        <w:tc>
          <w:tcPr>
            <w:tcW w:w="1273" w:type="dxa"/>
            <w:tcBorders>
              <w:top w:val="nil"/>
              <w:left w:val="single" w:sz="8" w:space="0" w:color="auto"/>
              <w:bottom w:val="single" w:sz="4" w:space="0" w:color="000000" w:themeColor="text1"/>
              <w:right w:val="single" w:sz="8" w:space="0" w:color="000000" w:themeColor="text1"/>
            </w:tcBorders>
            <w:shd w:val="clear" w:color="auto" w:fill="C6EFCE"/>
            <w:vAlign w:val="center"/>
          </w:tcPr>
          <w:p w14:paraId="376BEFB0" w14:textId="1DC94611" w:rsidR="00025543" w:rsidRDefault="007E3A2F">
            <w:pPr>
              <w:pStyle w:val="P68B1DB1-Normal57"/>
              <w:spacing w:line="240" w:lineRule="auto"/>
              <w:jc w:val="center"/>
              <w:rPr>
                <w:noProof/>
              </w:rPr>
            </w:pPr>
            <w:r>
              <w:rPr>
                <w:noProof/>
              </w:rPr>
              <w:t>251</w:t>
            </w:r>
          </w:p>
        </w:tc>
        <w:tc>
          <w:tcPr>
            <w:tcW w:w="3843" w:type="dxa"/>
            <w:tcBorders>
              <w:top w:val="nil"/>
              <w:left w:val="nil"/>
              <w:bottom w:val="single" w:sz="8" w:space="0" w:color="000000" w:themeColor="text1"/>
              <w:right w:val="single" w:sz="8" w:space="0" w:color="000000" w:themeColor="text1"/>
            </w:tcBorders>
            <w:shd w:val="clear" w:color="auto" w:fill="C6EFCE"/>
            <w:vAlign w:val="center"/>
          </w:tcPr>
          <w:p w14:paraId="20E852CE" w14:textId="02A612E0" w:rsidR="00025543" w:rsidRDefault="007E3A2F">
            <w:pPr>
              <w:pStyle w:val="P68B1DB1-Normal57"/>
              <w:spacing w:before="0" w:after="0" w:line="240" w:lineRule="auto"/>
              <w:jc w:val="center"/>
              <w:rPr>
                <w:noProof/>
              </w:rPr>
            </w:pPr>
            <w:r>
              <w:rPr>
                <w:noProof/>
              </w:rPr>
              <w:t>C 1.4: Économie et société numériques, Innovative Start-Ups and New Technology Investment 13: Fonds pour le développement de technologies stratégiques</w:t>
            </w:r>
          </w:p>
        </w:tc>
        <w:tc>
          <w:tcPr>
            <w:tcW w:w="1809" w:type="dxa"/>
            <w:tcBorders>
              <w:top w:val="nil"/>
              <w:left w:val="nil"/>
              <w:bottom w:val="single" w:sz="8" w:space="0" w:color="000000" w:themeColor="text1"/>
              <w:right w:val="single" w:sz="8" w:space="0" w:color="000000" w:themeColor="text1"/>
            </w:tcBorders>
            <w:shd w:val="clear" w:color="auto" w:fill="C6EFCE"/>
            <w:vAlign w:val="center"/>
          </w:tcPr>
          <w:p w14:paraId="46929A31" w14:textId="6E13B94A" w:rsidR="00025543" w:rsidRDefault="007E3A2F">
            <w:pPr>
              <w:pStyle w:val="P68B1DB1-Normal57"/>
              <w:spacing w:before="0" w:after="0" w:line="240" w:lineRule="auto"/>
              <w:jc w:val="center"/>
              <w:rPr>
                <w:noProof/>
              </w:rPr>
            </w:pPr>
            <w:r>
              <w:rPr>
                <w:noProof/>
              </w:rPr>
              <w:t>Étapes</w:t>
            </w:r>
          </w:p>
        </w:tc>
        <w:tc>
          <w:tcPr>
            <w:tcW w:w="3295" w:type="dxa"/>
            <w:tcBorders>
              <w:top w:val="nil"/>
              <w:left w:val="nil"/>
              <w:bottom w:val="single" w:sz="4" w:space="0" w:color="000000" w:themeColor="text1"/>
              <w:right w:val="single" w:sz="8" w:space="0" w:color="000000" w:themeColor="text1"/>
            </w:tcBorders>
            <w:shd w:val="clear" w:color="auto" w:fill="C6EFCE"/>
            <w:vAlign w:val="center"/>
          </w:tcPr>
          <w:p w14:paraId="55903F28" w14:textId="05B83802" w:rsidR="00025543" w:rsidRDefault="007E3A2F">
            <w:pPr>
              <w:pStyle w:val="P68B1DB1-Normal57"/>
              <w:spacing w:before="0" w:after="0" w:line="240" w:lineRule="auto"/>
              <w:jc w:val="center"/>
              <w:rPr>
                <w:noProof/>
              </w:rPr>
            </w:pPr>
            <w:r>
              <w:rPr>
                <w:noProof/>
              </w:rPr>
              <w:t xml:space="preserve">Accord de mise en œuvre </w:t>
            </w:r>
          </w:p>
        </w:tc>
      </w:tr>
      <w:tr w:rsidR="00025543" w14:paraId="2F43D265" w14:textId="77777777">
        <w:trPr>
          <w:trHeight w:val="795"/>
        </w:trPr>
        <w:tc>
          <w:tcPr>
            <w:tcW w:w="1273" w:type="dxa"/>
            <w:tcBorders>
              <w:top w:val="single" w:sz="4" w:space="0" w:color="000000" w:themeColor="text1"/>
              <w:left w:val="single" w:sz="8" w:space="0" w:color="auto"/>
              <w:bottom w:val="single" w:sz="4" w:space="0" w:color="000000" w:themeColor="text1"/>
              <w:right w:val="single" w:sz="8" w:space="0" w:color="000000" w:themeColor="text1"/>
            </w:tcBorders>
            <w:shd w:val="clear" w:color="auto" w:fill="C6EFCE"/>
            <w:vAlign w:val="center"/>
          </w:tcPr>
          <w:p w14:paraId="3C6BC4FC" w14:textId="664C65BA" w:rsidR="00025543" w:rsidRDefault="007E3A2F">
            <w:pPr>
              <w:pStyle w:val="P68B1DB1-Normal57"/>
              <w:spacing w:before="0" w:after="0" w:line="240" w:lineRule="auto"/>
              <w:jc w:val="center"/>
              <w:rPr>
                <w:noProof/>
              </w:rPr>
            </w:pPr>
            <w:r>
              <w:rPr>
                <w:noProof/>
              </w:rPr>
              <w:t>264</w:t>
            </w:r>
          </w:p>
        </w:tc>
        <w:tc>
          <w:tcPr>
            <w:tcW w:w="3843" w:type="dxa"/>
            <w:tcBorders>
              <w:top w:val="nil"/>
              <w:left w:val="nil"/>
              <w:bottom w:val="single" w:sz="8" w:space="0" w:color="000000" w:themeColor="text1"/>
              <w:right w:val="single" w:sz="8" w:space="0" w:color="000000" w:themeColor="text1"/>
            </w:tcBorders>
            <w:shd w:val="clear" w:color="auto" w:fill="C6EFCE"/>
            <w:vAlign w:val="center"/>
          </w:tcPr>
          <w:p w14:paraId="5BAF0F8D" w14:textId="4BA47D25" w:rsidR="00025543" w:rsidRDefault="007E3A2F">
            <w:pPr>
              <w:pStyle w:val="P68B1DB1-Normal57"/>
              <w:spacing w:before="0" w:after="0" w:line="240" w:lineRule="auto"/>
              <w:jc w:val="center"/>
              <w:rPr>
                <w:noProof/>
              </w:rPr>
            </w:pPr>
            <w:r>
              <w:rPr>
                <w:noProof/>
              </w:rPr>
              <w:t xml:space="preserve">C2.10 Boîte abordable — Investissements 1: </w:t>
            </w:r>
          </w:p>
          <w:p w14:paraId="28923219" w14:textId="4EA3E7E0" w:rsidR="00025543" w:rsidRDefault="007E3A2F">
            <w:pPr>
              <w:pStyle w:val="P68B1DB1-Normal57"/>
              <w:spacing w:before="0" w:after="0" w:line="240" w:lineRule="auto"/>
              <w:jc w:val="center"/>
              <w:rPr>
                <w:noProof/>
              </w:rPr>
            </w:pPr>
            <w:r>
              <w:rPr>
                <w:noProof/>
              </w:rPr>
              <w:t xml:space="preserve">Facilité de prêt à des conditions préférentielles </w:t>
            </w:r>
          </w:p>
        </w:tc>
        <w:tc>
          <w:tcPr>
            <w:tcW w:w="1809" w:type="dxa"/>
            <w:tcBorders>
              <w:top w:val="nil"/>
              <w:left w:val="nil"/>
              <w:bottom w:val="single" w:sz="8" w:space="0" w:color="000000" w:themeColor="text1"/>
              <w:right w:val="single" w:sz="8" w:space="0" w:color="000000" w:themeColor="text1"/>
            </w:tcBorders>
            <w:shd w:val="clear" w:color="auto" w:fill="C6EFCE"/>
            <w:vAlign w:val="center"/>
          </w:tcPr>
          <w:p w14:paraId="62A60C10" w14:textId="0C0AEB43" w:rsidR="00025543" w:rsidRDefault="007E3A2F">
            <w:pPr>
              <w:pStyle w:val="P68B1DB1-Normal57"/>
              <w:spacing w:before="0" w:after="0" w:line="240" w:lineRule="auto"/>
              <w:jc w:val="center"/>
              <w:rPr>
                <w:noProof/>
              </w:rPr>
            </w:pPr>
            <w:r>
              <w:rPr>
                <w:noProof/>
              </w:rPr>
              <w:t xml:space="preserve">Étapes </w:t>
            </w:r>
          </w:p>
        </w:tc>
        <w:tc>
          <w:tcPr>
            <w:tcW w:w="3295" w:type="dxa"/>
            <w:tcBorders>
              <w:top w:val="single" w:sz="4" w:space="0" w:color="000000" w:themeColor="text1"/>
              <w:left w:val="nil"/>
              <w:bottom w:val="single" w:sz="4" w:space="0" w:color="000000" w:themeColor="text1"/>
              <w:right w:val="single" w:sz="8" w:space="0" w:color="000000" w:themeColor="text1"/>
            </w:tcBorders>
            <w:shd w:val="clear" w:color="auto" w:fill="C6EFCE"/>
            <w:vAlign w:val="center"/>
          </w:tcPr>
          <w:p w14:paraId="3930B6DF" w14:textId="484C8FCA" w:rsidR="00025543" w:rsidRDefault="007E3A2F">
            <w:pPr>
              <w:pStyle w:val="P68B1DB1-Normal57"/>
              <w:spacing w:before="0" w:after="0" w:line="240" w:lineRule="auto"/>
              <w:jc w:val="center"/>
              <w:rPr>
                <w:noProof/>
              </w:rPr>
            </w:pPr>
            <w:r>
              <w:rPr>
                <w:noProof/>
              </w:rPr>
              <w:t>Accord de mise en œuvre</w:t>
            </w:r>
          </w:p>
        </w:tc>
      </w:tr>
      <w:tr w:rsidR="00025543" w14:paraId="6437101F" w14:textId="77777777">
        <w:trPr>
          <w:trHeight w:val="795"/>
        </w:trPr>
        <w:tc>
          <w:tcPr>
            <w:tcW w:w="1273" w:type="dxa"/>
            <w:tcBorders>
              <w:top w:val="single" w:sz="4" w:space="0" w:color="000000" w:themeColor="text1"/>
              <w:left w:val="single" w:sz="8" w:space="0" w:color="auto"/>
              <w:bottom w:val="single" w:sz="4" w:space="0" w:color="000000" w:themeColor="text1"/>
              <w:right w:val="single" w:sz="8" w:space="0" w:color="000000" w:themeColor="text1"/>
            </w:tcBorders>
            <w:shd w:val="clear" w:color="auto" w:fill="C6EFCE"/>
            <w:vAlign w:val="center"/>
          </w:tcPr>
          <w:p w14:paraId="1B9E348D" w14:textId="7BB80CBC" w:rsidR="00025543" w:rsidRDefault="007E3A2F">
            <w:pPr>
              <w:pStyle w:val="P68B1DB1-Normal57"/>
              <w:spacing w:line="240" w:lineRule="auto"/>
              <w:jc w:val="center"/>
              <w:rPr>
                <w:noProof/>
              </w:rPr>
            </w:pPr>
            <w:r>
              <w:rPr>
                <w:noProof/>
              </w:rPr>
              <w:t>267</w:t>
            </w:r>
          </w:p>
        </w:tc>
        <w:tc>
          <w:tcPr>
            <w:tcW w:w="3843" w:type="dxa"/>
            <w:tcBorders>
              <w:top w:val="nil"/>
              <w:left w:val="nil"/>
              <w:bottom w:val="single" w:sz="8" w:space="0" w:color="000000" w:themeColor="text1"/>
              <w:right w:val="single" w:sz="8" w:space="0" w:color="000000" w:themeColor="text1"/>
            </w:tcBorders>
            <w:shd w:val="clear" w:color="auto" w:fill="C6EFCE"/>
            <w:vAlign w:val="center"/>
          </w:tcPr>
          <w:p w14:paraId="37AB497D" w14:textId="31D2F5E9" w:rsidR="00025543" w:rsidRDefault="007E3A2F">
            <w:pPr>
              <w:pStyle w:val="P68B1DB1-Normal57"/>
              <w:spacing w:before="0" w:after="0" w:line="240" w:lineRule="auto"/>
              <w:jc w:val="center"/>
              <w:rPr>
                <w:noProof/>
              </w:rPr>
            </w:pPr>
            <w:r>
              <w:rPr>
                <w:noProof/>
              </w:rPr>
              <w:t xml:space="preserve">C2.10 Boîte abordable — Investissements 2:  </w:t>
            </w:r>
          </w:p>
          <w:p w14:paraId="3EC46671" w14:textId="529E32E6" w:rsidR="00025543" w:rsidRDefault="007E3A2F">
            <w:pPr>
              <w:pStyle w:val="P68B1DB1-Normal57"/>
              <w:spacing w:before="0" w:after="0" w:line="240" w:lineRule="auto"/>
              <w:jc w:val="center"/>
              <w:rPr>
                <w:noProof/>
              </w:rPr>
            </w:pPr>
            <w:r>
              <w:rPr>
                <w:noProof/>
              </w:rPr>
              <w:t xml:space="preserve">Facilité de prêt subordonné </w:t>
            </w:r>
          </w:p>
        </w:tc>
        <w:tc>
          <w:tcPr>
            <w:tcW w:w="1809" w:type="dxa"/>
            <w:tcBorders>
              <w:top w:val="nil"/>
              <w:left w:val="nil"/>
              <w:bottom w:val="single" w:sz="8" w:space="0" w:color="000000" w:themeColor="text1"/>
              <w:right w:val="single" w:sz="8" w:space="0" w:color="000000" w:themeColor="text1"/>
            </w:tcBorders>
            <w:shd w:val="clear" w:color="auto" w:fill="C6EFCE"/>
            <w:vAlign w:val="center"/>
          </w:tcPr>
          <w:p w14:paraId="4273C921" w14:textId="417E2F37" w:rsidR="00025543" w:rsidRDefault="007E3A2F">
            <w:pPr>
              <w:pStyle w:val="P68B1DB1-Normal57"/>
              <w:spacing w:before="0" w:after="0" w:line="240" w:lineRule="auto"/>
              <w:jc w:val="center"/>
              <w:rPr>
                <w:noProof/>
              </w:rPr>
            </w:pPr>
            <w:r>
              <w:rPr>
                <w:noProof/>
              </w:rPr>
              <w:t xml:space="preserve">Étapes </w:t>
            </w:r>
          </w:p>
        </w:tc>
        <w:tc>
          <w:tcPr>
            <w:tcW w:w="3295" w:type="dxa"/>
            <w:tcBorders>
              <w:top w:val="single" w:sz="4" w:space="0" w:color="000000" w:themeColor="text1"/>
              <w:left w:val="nil"/>
              <w:bottom w:val="single" w:sz="4" w:space="0" w:color="000000" w:themeColor="text1"/>
              <w:right w:val="single" w:sz="8" w:space="0" w:color="000000" w:themeColor="text1"/>
            </w:tcBorders>
            <w:shd w:val="clear" w:color="auto" w:fill="C6EFCE"/>
            <w:vAlign w:val="center"/>
          </w:tcPr>
          <w:p w14:paraId="63AB04D2" w14:textId="426C0DD6" w:rsidR="00025543" w:rsidRDefault="007E3A2F">
            <w:pPr>
              <w:pStyle w:val="P68B1DB1-Normal57"/>
              <w:spacing w:before="0" w:after="0" w:line="240" w:lineRule="auto"/>
              <w:jc w:val="center"/>
              <w:rPr>
                <w:noProof/>
              </w:rPr>
            </w:pPr>
            <w:r>
              <w:rPr>
                <w:noProof/>
              </w:rPr>
              <w:t>Accord de mise en œuvre</w:t>
            </w:r>
          </w:p>
        </w:tc>
      </w:tr>
      <w:tr w:rsidR="00025543" w14:paraId="3C26A83E" w14:textId="77777777">
        <w:trPr>
          <w:trHeight w:val="795"/>
        </w:trPr>
        <w:tc>
          <w:tcPr>
            <w:tcW w:w="1273" w:type="dxa"/>
            <w:tcBorders>
              <w:top w:val="single" w:sz="4" w:space="0" w:color="000000" w:themeColor="text1"/>
              <w:left w:val="single" w:sz="8" w:space="0" w:color="auto"/>
              <w:bottom w:val="single" w:sz="4" w:space="0" w:color="000000" w:themeColor="text1"/>
              <w:right w:val="single" w:sz="8" w:space="0" w:color="000000" w:themeColor="text1"/>
            </w:tcBorders>
            <w:shd w:val="clear" w:color="auto" w:fill="C6EFCE"/>
            <w:vAlign w:val="center"/>
          </w:tcPr>
          <w:p w14:paraId="52F0B821" w14:textId="1AA2DFE3" w:rsidR="00025543" w:rsidRDefault="007E3A2F">
            <w:pPr>
              <w:pStyle w:val="P68B1DB1-Normal57"/>
              <w:spacing w:line="240" w:lineRule="auto"/>
              <w:jc w:val="center"/>
              <w:rPr>
                <w:noProof/>
              </w:rPr>
            </w:pPr>
            <w:r>
              <w:rPr>
                <w:noProof/>
              </w:rPr>
              <w:t>270</w:t>
            </w:r>
          </w:p>
        </w:tc>
        <w:tc>
          <w:tcPr>
            <w:tcW w:w="3843" w:type="dxa"/>
            <w:tcBorders>
              <w:top w:val="nil"/>
              <w:left w:val="nil"/>
              <w:bottom w:val="single" w:sz="8" w:space="0" w:color="000000" w:themeColor="text1"/>
              <w:right w:val="single" w:sz="8" w:space="0" w:color="000000" w:themeColor="text1"/>
            </w:tcBorders>
            <w:shd w:val="clear" w:color="auto" w:fill="C6EFCE"/>
            <w:vAlign w:val="center"/>
          </w:tcPr>
          <w:p w14:paraId="57801562" w14:textId="3AD0FF4C" w:rsidR="00025543" w:rsidRDefault="007E3A2F">
            <w:pPr>
              <w:pStyle w:val="P68B1DB1-Normal57"/>
              <w:spacing w:before="0" w:after="0" w:line="240" w:lineRule="auto"/>
              <w:jc w:val="center"/>
              <w:rPr>
                <w:noProof/>
              </w:rPr>
            </w:pPr>
            <w:r>
              <w:rPr>
                <w:noProof/>
              </w:rPr>
              <w:t xml:space="preserve">C2.10 Boîte abordable — Investissements 3:  </w:t>
            </w:r>
          </w:p>
          <w:p w14:paraId="4F0A29F8" w14:textId="1A862866" w:rsidR="00025543" w:rsidRDefault="007E3A2F">
            <w:pPr>
              <w:pStyle w:val="P68B1DB1-Normal57"/>
              <w:spacing w:before="0" w:after="0" w:line="240" w:lineRule="auto"/>
              <w:jc w:val="center"/>
              <w:rPr>
                <w:noProof/>
              </w:rPr>
            </w:pPr>
            <w:r>
              <w:rPr>
                <w:noProof/>
              </w:rPr>
              <w:t xml:space="preserve">Facilité de co-investissement </w:t>
            </w:r>
          </w:p>
        </w:tc>
        <w:tc>
          <w:tcPr>
            <w:tcW w:w="1809" w:type="dxa"/>
            <w:tcBorders>
              <w:top w:val="nil"/>
              <w:left w:val="nil"/>
              <w:bottom w:val="single" w:sz="8" w:space="0" w:color="000000" w:themeColor="text1"/>
              <w:right w:val="single" w:sz="8" w:space="0" w:color="000000" w:themeColor="text1"/>
            </w:tcBorders>
            <w:shd w:val="clear" w:color="auto" w:fill="C6EFCE"/>
            <w:vAlign w:val="center"/>
          </w:tcPr>
          <w:p w14:paraId="3DF76457" w14:textId="4E6D8B89" w:rsidR="00025543" w:rsidRDefault="007E3A2F">
            <w:pPr>
              <w:pStyle w:val="P68B1DB1-Normal57"/>
              <w:spacing w:before="0" w:after="0" w:line="240" w:lineRule="auto"/>
              <w:jc w:val="center"/>
              <w:rPr>
                <w:noProof/>
              </w:rPr>
            </w:pPr>
            <w:r>
              <w:rPr>
                <w:noProof/>
              </w:rPr>
              <w:t xml:space="preserve">Étapes </w:t>
            </w:r>
          </w:p>
        </w:tc>
        <w:tc>
          <w:tcPr>
            <w:tcW w:w="3295" w:type="dxa"/>
            <w:tcBorders>
              <w:top w:val="single" w:sz="4" w:space="0" w:color="000000" w:themeColor="text1"/>
              <w:left w:val="nil"/>
              <w:bottom w:val="single" w:sz="4" w:space="0" w:color="000000" w:themeColor="text1"/>
              <w:right w:val="single" w:sz="8" w:space="0" w:color="000000" w:themeColor="text1"/>
            </w:tcBorders>
            <w:shd w:val="clear" w:color="auto" w:fill="C6EFCE"/>
            <w:vAlign w:val="center"/>
          </w:tcPr>
          <w:p w14:paraId="0305B9B4" w14:textId="3D9C09CC" w:rsidR="00025543" w:rsidRDefault="007E3A2F">
            <w:pPr>
              <w:pStyle w:val="P68B1DB1-Normal57"/>
              <w:spacing w:before="0" w:after="0" w:line="240" w:lineRule="auto"/>
              <w:jc w:val="center"/>
              <w:rPr>
                <w:noProof/>
              </w:rPr>
            </w:pPr>
            <w:r>
              <w:rPr>
                <w:noProof/>
              </w:rPr>
              <w:t>Accord de mise en œuvre</w:t>
            </w:r>
          </w:p>
        </w:tc>
      </w:tr>
      <w:tr w:rsidR="00025543" w14:paraId="064A0B25" w14:textId="77777777">
        <w:trPr>
          <w:trHeight w:val="795"/>
        </w:trPr>
        <w:tc>
          <w:tcPr>
            <w:tcW w:w="1273" w:type="dxa"/>
            <w:tcBorders>
              <w:top w:val="single" w:sz="4" w:space="0" w:color="000000" w:themeColor="text1"/>
              <w:left w:val="single" w:sz="8" w:space="0" w:color="auto"/>
              <w:bottom w:val="single" w:sz="4" w:space="0" w:color="000000" w:themeColor="text1"/>
              <w:right w:val="single" w:sz="8" w:space="0" w:color="000000" w:themeColor="text1"/>
            </w:tcBorders>
            <w:shd w:val="clear" w:color="auto" w:fill="C6EFCE"/>
            <w:vAlign w:val="center"/>
          </w:tcPr>
          <w:p w14:paraId="5F3B8BE7" w14:textId="4CF06B22" w:rsidR="00025543" w:rsidRDefault="00025543">
            <w:pPr>
              <w:spacing w:line="240" w:lineRule="auto"/>
              <w:jc w:val="center"/>
              <w:rPr>
                <w:rFonts w:eastAsia="Times New Roman"/>
                <w:noProof/>
                <w:color w:val="006100"/>
                <w:sz w:val="20"/>
              </w:rPr>
            </w:pPr>
          </w:p>
        </w:tc>
        <w:tc>
          <w:tcPr>
            <w:tcW w:w="3843" w:type="dxa"/>
            <w:tcBorders>
              <w:top w:val="nil"/>
              <w:left w:val="nil"/>
              <w:bottom w:val="single" w:sz="8" w:space="0" w:color="000000" w:themeColor="text1"/>
              <w:right w:val="single" w:sz="8" w:space="0" w:color="000000" w:themeColor="text1"/>
            </w:tcBorders>
            <w:shd w:val="clear" w:color="auto" w:fill="C6EFCE"/>
            <w:vAlign w:val="center"/>
          </w:tcPr>
          <w:p w14:paraId="3950608B" w14:textId="134A592E" w:rsidR="00025543" w:rsidRDefault="00025543">
            <w:pPr>
              <w:spacing w:line="240" w:lineRule="auto"/>
              <w:jc w:val="center"/>
              <w:rPr>
                <w:rFonts w:eastAsia="Times New Roman"/>
                <w:noProof/>
                <w:color w:val="006100"/>
                <w:sz w:val="20"/>
              </w:rPr>
            </w:pPr>
          </w:p>
        </w:tc>
        <w:tc>
          <w:tcPr>
            <w:tcW w:w="1809" w:type="dxa"/>
            <w:tcBorders>
              <w:top w:val="nil"/>
              <w:left w:val="nil"/>
              <w:bottom w:val="single" w:sz="8" w:space="0" w:color="000000" w:themeColor="text1"/>
              <w:right w:val="single" w:sz="8" w:space="0" w:color="000000" w:themeColor="text1"/>
            </w:tcBorders>
            <w:shd w:val="clear" w:color="auto" w:fill="C6EFCE"/>
            <w:vAlign w:val="center"/>
          </w:tcPr>
          <w:p w14:paraId="3860D8C9" w14:textId="585EC65F" w:rsidR="00025543" w:rsidRDefault="007E3A2F">
            <w:pPr>
              <w:pStyle w:val="P68B1DB1-Normal59"/>
              <w:spacing w:line="240" w:lineRule="auto"/>
              <w:jc w:val="center"/>
              <w:rPr>
                <w:noProof/>
              </w:rPr>
            </w:pPr>
            <w:r>
              <w:rPr>
                <w:noProof/>
              </w:rPr>
              <w:t>Montant de la tranche</w:t>
            </w:r>
          </w:p>
        </w:tc>
        <w:tc>
          <w:tcPr>
            <w:tcW w:w="3295" w:type="dxa"/>
            <w:tcBorders>
              <w:top w:val="single" w:sz="4" w:space="0" w:color="000000" w:themeColor="text1"/>
              <w:left w:val="nil"/>
              <w:bottom w:val="single" w:sz="4" w:space="0" w:color="000000" w:themeColor="text1"/>
              <w:right w:val="single" w:sz="8" w:space="0" w:color="000000" w:themeColor="text1"/>
            </w:tcBorders>
            <w:shd w:val="clear" w:color="auto" w:fill="C6EFCE"/>
            <w:vAlign w:val="center"/>
          </w:tcPr>
          <w:p w14:paraId="1D8EFBA9" w14:textId="010ECF07" w:rsidR="00025543" w:rsidRDefault="007E3A2F">
            <w:pPr>
              <w:pStyle w:val="P68B1DB1-Normal59"/>
              <w:spacing w:line="240" w:lineRule="auto"/>
              <w:jc w:val="center"/>
              <w:rPr>
                <w:noProof/>
              </w:rPr>
            </w:pPr>
            <w:r>
              <w:rPr>
                <w:noProof/>
              </w:rPr>
              <w:t>381 797 096 EUR</w:t>
            </w:r>
          </w:p>
        </w:tc>
      </w:tr>
    </w:tbl>
    <w:p w14:paraId="0BA81D0D" w14:textId="2DE9E57D" w:rsidR="00025543" w:rsidRDefault="00025543">
      <w:pPr>
        <w:spacing w:line="240" w:lineRule="auto"/>
        <w:jc w:val="both"/>
        <w:rPr>
          <w:rFonts w:eastAsia="Times New Roman"/>
          <w:noProof/>
        </w:rPr>
      </w:pPr>
    </w:p>
    <w:p w14:paraId="181B6FDE" w14:textId="45519F88" w:rsidR="00025543" w:rsidRDefault="007E3A2F">
      <w:pPr>
        <w:spacing w:line="240" w:lineRule="auto"/>
        <w:rPr>
          <w:noProof/>
        </w:rPr>
      </w:pPr>
      <w:r>
        <w:rPr>
          <w:noProof/>
        </w:rPr>
        <w:br w:type="page"/>
      </w:r>
    </w:p>
    <w:p w14:paraId="12C6FC85" w14:textId="20754B0B" w:rsidR="00025543" w:rsidRDefault="007E3A2F">
      <w:pPr>
        <w:pStyle w:val="FooterText"/>
        <w:rPr>
          <w:noProof/>
        </w:rPr>
      </w:pPr>
      <w:r>
        <w:rPr>
          <w:noProof/>
        </w:rPr>
        <w:t>2.3. Troisième demande de paiement (soutien sous forme de prêt):</w:t>
      </w:r>
    </w:p>
    <w:p w14:paraId="7891A001" w14:textId="21A82384" w:rsidR="00025543" w:rsidRDefault="00025543">
      <w:pPr>
        <w:spacing w:before="0" w:after="0" w:line="240" w:lineRule="auto"/>
        <w:jc w:val="center"/>
        <w:rPr>
          <w:rFonts w:eastAsia="Times New Roman"/>
          <w:noProof/>
          <w:color w:val="006100"/>
          <w:sz w:val="20"/>
        </w:rPr>
      </w:pPr>
    </w:p>
    <w:tbl>
      <w:tblPr>
        <w:tblW w:w="0" w:type="auto"/>
        <w:tblInd w:w="-601" w:type="dxa"/>
        <w:tblLook w:val="04A0" w:firstRow="1" w:lastRow="0" w:firstColumn="1" w:lastColumn="0" w:noHBand="0" w:noVBand="1"/>
      </w:tblPr>
      <w:tblGrid>
        <w:gridCol w:w="1273"/>
        <w:gridCol w:w="3843"/>
        <w:gridCol w:w="1809"/>
        <w:gridCol w:w="3295"/>
      </w:tblGrid>
      <w:tr w:rsidR="00025543" w14:paraId="0D97BCB4" w14:textId="77777777">
        <w:trPr>
          <w:trHeight w:val="825"/>
        </w:trPr>
        <w:tc>
          <w:tcPr>
            <w:tcW w:w="1273" w:type="dxa"/>
            <w:tcBorders>
              <w:top w:val="single" w:sz="8" w:space="0" w:color="auto"/>
              <w:left w:val="single" w:sz="8" w:space="0" w:color="auto"/>
              <w:bottom w:val="single" w:sz="8" w:space="0" w:color="auto"/>
              <w:right w:val="single" w:sz="8" w:space="0" w:color="auto"/>
            </w:tcBorders>
            <w:shd w:val="clear" w:color="auto" w:fill="BDD7EE"/>
            <w:vAlign w:val="center"/>
          </w:tcPr>
          <w:p w14:paraId="5861C1C1" w14:textId="77777777" w:rsidR="00025543" w:rsidRDefault="007E3A2F">
            <w:pPr>
              <w:pStyle w:val="P68B1DB1-Normal57"/>
              <w:spacing w:before="0" w:after="0" w:line="240" w:lineRule="auto"/>
              <w:jc w:val="center"/>
              <w:rPr>
                <w:noProof/>
              </w:rPr>
            </w:pPr>
            <w:r>
              <w:rPr>
                <w:noProof/>
              </w:rPr>
              <w:t>Numéro séquentiel</w:t>
            </w:r>
          </w:p>
        </w:tc>
        <w:tc>
          <w:tcPr>
            <w:tcW w:w="3843" w:type="dxa"/>
            <w:tcBorders>
              <w:top w:val="single" w:sz="8" w:space="0" w:color="auto"/>
              <w:left w:val="nil"/>
              <w:bottom w:val="single" w:sz="8" w:space="0" w:color="auto"/>
              <w:right w:val="single" w:sz="8" w:space="0" w:color="auto"/>
            </w:tcBorders>
            <w:shd w:val="clear" w:color="auto" w:fill="BDD7EE"/>
            <w:vAlign w:val="center"/>
          </w:tcPr>
          <w:p w14:paraId="74E94A68" w14:textId="77777777" w:rsidR="00025543" w:rsidRDefault="007E3A2F">
            <w:pPr>
              <w:pStyle w:val="P68B1DB1-Normal57"/>
              <w:spacing w:before="0" w:after="0" w:line="240" w:lineRule="auto"/>
              <w:jc w:val="center"/>
              <w:rPr>
                <w:noProof/>
              </w:rPr>
            </w:pPr>
            <w:r>
              <w:rPr>
                <w:noProof/>
              </w:rPr>
              <w:t>Mesure connexe (réforme ou investissement)</w:t>
            </w:r>
          </w:p>
        </w:tc>
        <w:tc>
          <w:tcPr>
            <w:tcW w:w="1809" w:type="dxa"/>
            <w:tcBorders>
              <w:top w:val="single" w:sz="8" w:space="0" w:color="auto"/>
              <w:left w:val="nil"/>
              <w:bottom w:val="single" w:sz="8" w:space="0" w:color="auto"/>
              <w:right w:val="single" w:sz="8" w:space="0" w:color="auto"/>
            </w:tcBorders>
            <w:shd w:val="clear" w:color="auto" w:fill="BDD7EE"/>
            <w:vAlign w:val="center"/>
          </w:tcPr>
          <w:p w14:paraId="0C3B7A1D" w14:textId="77777777" w:rsidR="00025543" w:rsidRDefault="007E3A2F">
            <w:pPr>
              <w:pStyle w:val="P68B1DB1-Normal57"/>
              <w:spacing w:before="0" w:after="0" w:line="240" w:lineRule="auto"/>
              <w:jc w:val="center"/>
              <w:rPr>
                <w:noProof/>
              </w:rPr>
            </w:pPr>
            <w:r>
              <w:rPr>
                <w:noProof/>
              </w:rPr>
              <w:t>Jalon/cible</w:t>
            </w:r>
          </w:p>
        </w:tc>
        <w:tc>
          <w:tcPr>
            <w:tcW w:w="3295" w:type="dxa"/>
            <w:tcBorders>
              <w:top w:val="single" w:sz="8" w:space="0" w:color="auto"/>
              <w:left w:val="nil"/>
              <w:bottom w:val="single" w:sz="8" w:space="0" w:color="auto"/>
              <w:right w:val="single" w:sz="8" w:space="0" w:color="auto"/>
            </w:tcBorders>
            <w:shd w:val="clear" w:color="auto" w:fill="BDD7EE"/>
            <w:vAlign w:val="center"/>
          </w:tcPr>
          <w:p w14:paraId="59BE3930" w14:textId="77777777" w:rsidR="00025543" w:rsidRDefault="007E3A2F">
            <w:pPr>
              <w:pStyle w:val="P68B1DB1-Normal57"/>
              <w:spacing w:before="0" w:after="0" w:line="240" w:lineRule="auto"/>
              <w:jc w:val="center"/>
              <w:rPr>
                <w:noProof/>
              </w:rPr>
            </w:pPr>
            <w:r>
              <w:rPr>
                <w:noProof/>
              </w:rPr>
              <w:t>Nom</w:t>
            </w:r>
          </w:p>
        </w:tc>
      </w:tr>
      <w:tr w:rsidR="00025543" w14:paraId="25DCFEBE" w14:textId="77777777">
        <w:trPr>
          <w:trHeight w:val="1185"/>
        </w:trPr>
        <w:tc>
          <w:tcPr>
            <w:tcW w:w="1273" w:type="dxa"/>
            <w:tcBorders>
              <w:top w:val="nil"/>
              <w:left w:val="single" w:sz="8" w:space="0" w:color="auto"/>
              <w:bottom w:val="single" w:sz="4" w:space="0" w:color="000000" w:themeColor="text1"/>
              <w:right w:val="single" w:sz="8" w:space="0" w:color="000000" w:themeColor="text1"/>
            </w:tcBorders>
            <w:shd w:val="clear" w:color="auto" w:fill="C6EFCE"/>
            <w:vAlign w:val="center"/>
          </w:tcPr>
          <w:p w14:paraId="5FFD7596" w14:textId="569AFC0B" w:rsidR="00025543" w:rsidRDefault="007E3A2F">
            <w:pPr>
              <w:pStyle w:val="P68B1DB1-Normal57"/>
              <w:spacing w:before="0" w:after="0" w:line="240" w:lineRule="auto"/>
              <w:jc w:val="center"/>
              <w:rPr>
                <w:noProof/>
              </w:rPr>
            </w:pPr>
            <w:r>
              <w:rPr>
                <w:noProof/>
              </w:rPr>
              <w:t>248</w:t>
            </w:r>
          </w:p>
        </w:tc>
        <w:tc>
          <w:tcPr>
            <w:tcW w:w="3843" w:type="dxa"/>
            <w:tcBorders>
              <w:top w:val="nil"/>
              <w:left w:val="nil"/>
              <w:bottom w:val="single" w:sz="8" w:space="0" w:color="000000" w:themeColor="text1"/>
              <w:right w:val="single" w:sz="8" w:space="0" w:color="000000" w:themeColor="text1"/>
            </w:tcBorders>
            <w:shd w:val="clear" w:color="auto" w:fill="C6EFCE"/>
            <w:vAlign w:val="center"/>
          </w:tcPr>
          <w:p w14:paraId="112713F8" w14:textId="5675B012" w:rsidR="00025543" w:rsidRDefault="007E3A2F">
            <w:pPr>
              <w:pStyle w:val="P68B1DB1-Normal57"/>
              <w:spacing w:before="0" w:after="0" w:line="240" w:lineRule="auto"/>
              <w:jc w:val="center"/>
              <w:rPr>
                <w:noProof/>
              </w:rPr>
            </w:pPr>
            <w:r>
              <w:rPr>
                <w:noProof/>
              </w:rPr>
              <w:t>C 1.2: Systèmes d’administration publique numérique —</w:t>
            </w:r>
          </w:p>
          <w:p w14:paraId="506CFB2D" w14:textId="5675B012" w:rsidR="00025543" w:rsidRDefault="007E3A2F">
            <w:pPr>
              <w:pStyle w:val="P68B1DB1-Normal57"/>
              <w:spacing w:before="0" w:after="0" w:line="240" w:lineRule="auto"/>
              <w:jc w:val="center"/>
              <w:rPr>
                <w:noProof/>
              </w:rPr>
            </w:pPr>
            <w:r>
              <w:rPr>
                <w:noProof/>
              </w:rPr>
              <w:t xml:space="preserve">Investissement: Complément aux investissements en matière de cybersécurité </w:t>
            </w:r>
          </w:p>
        </w:tc>
        <w:tc>
          <w:tcPr>
            <w:tcW w:w="1809" w:type="dxa"/>
            <w:tcBorders>
              <w:top w:val="nil"/>
              <w:left w:val="nil"/>
              <w:bottom w:val="single" w:sz="8" w:space="0" w:color="000000" w:themeColor="text1"/>
              <w:right w:val="single" w:sz="8" w:space="0" w:color="000000" w:themeColor="text1"/>
            </w:tcBorders>
            <w:shd w:val="clear" w:color="auto" w:fill="C6EFCE"/>
            <w:vAlign w:val="center"/>
          </w:tcPr>
          <w:p w14:paraId="60B6D253" w14:textId="5675B012" w:rsidR="00025543" w:rsidRDefault="007E3A2F">
            <w:pPr>
              <w:pStyle w:val="P68B1DB1-Normal57"/>
              <w:spacing w:before="0" w:after="0" w:line="240" w:lineRule="auto"/>
              <w:jc w:val="center"/>
              <w:rPr>
                <w:noProof/>
              </w:rPr>
            </w:pPr>
            <w:r>
              <w:rPr>
                <w:noProof/>
              </w:rPr>
              <w:t xml:space="preserve">Cible </w:t>
            </w:r>
          </w:p>
        </w:tc>
        <w:tc>
          <w:tcPr>
            <w:tcW w:w="3295" w:type="dxa"/>
            <w:tcBorders>
              <w:top w:val="nil"/>
              <w:left w:val="nil"/>
              <w:bottom w:val="single" w:sz="4" w:space="0" w:color="000000" w:themeColor="text1"/>
              <w:right w:val="single" w:sz="8" w:space="0" w:color="000000" w:themeColor="text1"/>
            </w:tcBorders>
            <w:shd w:val="clear" w:color="auto" w:fill="C6EFCE"/>
            <w:vAlign w:val="center"/>
          </w:tcPr>
          <w:p w14:paraId="4F88B704" w14:textId="5675B012" w:rsidR="00025543" w:rsidRDefault="007E3A2F">
            <w:pPr>
              <w:pStyle w:val="P68B1DB1-Normal57"/>
              <w:spacing w:before="0" w:after="0" w:line="240" w:lineRule="auto"/>
              <w:jc w:val="center"/>
              <w:rPr>
                <w:noProof/>
              </w:rPr>
            </w:pPr>
            <w:r>
              <w:rPr>
                <w:noProof/>
              </w:rPr>
              <w:t xml:space="preserve">Systèmes d’information dont la cybersécurité a été renforcée conformément à la loi no 181/2014 Rec., sur la cybersécurité  </w:t>
            </w:r>
          </w:p>
        </w:tc>
      </w:tr>
      <w:tr w:rsidR="00025543" w14:paraId="6E6EBF4C" w14:textId="77777777">
        <w:trPr>
          <w:trHeight w:val="795"/>
        </w:trPr>
        <w:tc>
          <w:tcPr>
            <w:tcW w:w="1273" w:type="dxa"/>
            <w:tcBorders>
              <w:top w:val="single" w:sz="4" w:space="0" w:color="000000" w:themeColor="text1"/>
              <w:left w:val="single" w:sz="8" w:space="0" w:color="auto"/>
              <w:bottom w:val="single" w:sz="4" w:space="0" w:color="000000" w:themeColor="text1"/>
              <w:right w:val="single" w:sz="8" w:space="0" w:color="000000" w:themeColor="text1"/>
            </w:tcBorders>
            <w:shd w:val="clear" w:color="auto" w:fill="C6EFCE"/>
            <w:vAlign w:val="center"/>
          </w:tcPr>
          <w:p w14:paraId="5BE3143D" w14:textId="4CF06B22" w:rsidR="00025543" w:rsidRDefault="00025543">
            <w:pPr>
              <w:spacing w:line="240" w:lineRule="auto"/>
              <w:jc w:val="center"/>
              <w:rPr>
                <w:rFonts w:eastAsia="Times New Roman"/>
                <w:noProof/>
                <w:color w:val="006100"/>
                <w:sz w:val="20"/>
              </w:rPr>
            </w:pPr>
          </w:p>
        </w:tc>
        <w:tc>
          <w:tcPr>
            <w:tcW w:w="3843" w:type="dxa"/>
            <w:tcBorders>
              <w:top w:val="nil"/>
              <w:left w:val="nil"/>
              <w:bottom w:val="single" w:sz="8" w:space="0" w:color="000000" w:themeColor="text1"/>
              <w:right w:val="single" w:sz="8" w:space="0" w:color="000000" w:themeColor="text1"/>
            </w:tcBorders>
            <w:shd w:val="clear" w:color="auto" w:fill="C6EFCE"/>
            <w:vAlign w:val="center"/>
          </w:tcPr>
          <w:p w14:paraId="2E7F0BB6" w14:textId="134A592E" w:rsidR="00025543" w:rsidRDefault="00025543">
            <w:pPr>
              <w:spacing w:line="240" w:lineRule="auto"/>
              <w:jc w:val="center"/>
              <w:rPr>
                <w:rFonts w:eastAsia="Times New Roman"/>
                <w:noProof/>
                <w:color w:val="006100"/>
                <w:sz w:val="20"/>
              </w:rPr>
            </w:pPr>
          </w:p>
        </w:tc>
        <w:tc>
          <w:tcPr>
            <w:tcW w:w="1809" w:type="dxa"/>
            <w:tcBorders>
              <w:top w:val="nil"/>
              <w:left w:val="nil"/>
              <w:bottom w:val="single" w:sz="8" w:space="0" w:color="000000" w:themeColor="text1"/>
              <w:right w:val="single" w:sz="8" w:space="0" w:color="000000" w:themeColor="text1"/>
            </w:tcBorders>
            <w:shd w:val="clear" w:color="auto" w:fill="C6EFCE"/>
            <w:vAlign w:val="center"/>
          </w:tcPr>
          <w:p w14:paraId="64E2EE9E" w14:textId="585EC65F" w:rsidR="00025543" w:rsidRDefault="007E3A2F">
            <w:pPr>
              <w:pStyle w:val="P68B1DB1-Normal59"/>
              <w:spacing w:line="240" w:lineRule="auto"/>
              <w:jc w:val="center"/>
              <w:rPr>
                <w:noProof/>
              </w:rPr>
            </w:pPr>
            <w:r>
              <w:rPr>
                <w:noProof/>
              </w:rPr>
              <w:t>Montant de la tranche</w:t>
            </w:r>
          </w:p>
        </w:tc>
        <w:tc>
          <w:tcPr>
            <w:tcW w:w="3295" w:type="dxa"/>
            <w:tcBorders>
              <w:top w:val="single" w:sz="4" w:space="0" w:color="000000" w:themeColor="text1"/>
              <w:left w:val="nil"/>
              <w:bottom w:val="single" w:sz="4" w:space="0" w:color="000000" w:themeColor="text1"/>
              <w:right w:val="single" w:sz="8" w:space="0" w:color="000000" w:themeColor="text1"/>
            </w:tcBorders>
            <w:shd w:val="clear" w:color="auto" w:fill="C6EFCE"/>
            <w:vAlign w:val="center"/>
          </w:tcPr>
          <w:p w14:paraId="11B98F80" w14:textId="696A415A" w:rsidR="00025543" w:rsidRDefault="007E3A2F">
            <w:pPr>
              <w:pStyle w:val="P68B1DB1-Normal59"/>
              <w:spacing w:line="240" w:lineRule="auto"/>
              <w:jc w:val="center"/>
              <w:rPr>
                <w:noProof/>
              </w:rPr>
            </w:pPr>
            <w:r>
              <w:rPr>
                <w:noProof/>
              </w:rPr>
              <w:t>20 453 416 EUR</w:t>
            </w:r>
          </w:p>
        </w:tc>
      </w:tr>
    </w:tbl>
    <w:p w14:paraId="6A3F6858" w14:textId="77777777" w:rsidR="00025543" w:rsidRDefault="00025543">
      <w:pPr>
        <w:spacing w:line="240" w:lineRule="auto"/>
        <w:jc w:val="both"/>
        <w:rPr>
          <w:rFonts w:eastAsia="Times New Roman"/>
          <w:noProof/>
        </w:rPr>
      </w:pPr>
    </w:p>
    <w:p w14:paraId="74A7C534" w14:textId="099A5C7B" w:rsidR="00025543" w:rsidRDefault="007E3A2F">
      <w:pPr>
        <w:rPr>
          <w:noProof/>
        </w:rPr>
      </w:pPr>
      <w:r>
        <w:rPr>
          <w:noProof/>
        </w:rPr>
        <w:br w:type="page"/>
      </w:r>
    </w:p>
    <w:p w14:paraId="3F96AE82" w14:textId="29F77F3F" w:rsidR="00025543" w:rsidRDefault="007E3A2F">
      <w:pPr>
        <w:pStyle w:val="FooterText"/>
        <w:rPr>
          <w:noProof/>
        </w:rPr>
      </w:pPr>
      <w:r>
        <w:rPr>
          <w:noProof/>
        </w:rPr>
        <w:t>2.4. Quatrième demande de paiement (soutien sous forme de prêt):</w:t>
      </w:r>
    </w:p>
    <w:p w14:paraId="6940AB17" w14:textId="21A82384" w:rsidR="00025543" w:rsidRDefault="00025543">
      <w:pPr>
        <w:spacing w:before="0" w:after="0" w:line="240" w:lineRule="auto"/>
        <w:jc w:val="center"/>
        <w:rPr>
          <w:rFonts w:eastAsia="Times New Roman"/>
          <w:noProof/>
          <w:color w:val="006100"/>
          <w:sz w:val="20"/>
        </w:rPr>
      </w:pPr>
    </w:p>
    <w:tbl>
      <w:tblPr>
        <w:tblW w:w="0" w:type="auto"/>
        <w:tblInd w:w="-601" w:type="dxa"/>
        <w:tblLook w:val="04A0" w:firstRow="1" w:lastRow="0" w:firstColumn="1" w:lastColumn="0" w:noHBand="0" w:noVBand="1"/>
      </w:tblPr>
      <w:tblGrid>
        <w:gridCol w:w="1273"/>
        <w:gridCol w:w="3843"/>
        <w:gridCol w:w="1809"/>
        <w:gridCol w:w="3295"/>
      </w:tblGrid>
      <w:tr w:rsidR="00025543" w14:paraId="45A313DB" w14:textId="77777777">
        <w:trPr>
          <w:trHeight w:val="825"/>
        </w:trPr>
        <w:tc>
          <w:tcPr>
            <w:tcW w:w="1273" w:type="dxa"/>
            <w:tcBorders>
              <w:top w:val="single" w:sz="8" w:space="0" w:color="auto"/>
              <w:left w:val="single" w:sz="8" w:space="0" w:color="auto"/>
              <w:bottom w:val="single" w:sz="8" w:space="0" w:color="auto"/>
              <w:right w:val="single" w:sz="8" w:space="0" w:color="auto"/>
            </w:tcBorders>
            <w:shd w:val="clear" w:color="auto" w:fill="BDD7EE"/>
            <w:vAlign w:val="center"/>
          </w:tcPr>
          <w:p w14:paraId="11EA1F4F" w14:textId="77777777" w:rsidR="00025543" w:rsidRDefault="007E3A2F">
            <w:pPr>
              <w:pStyle w:val="P68B1DB1-Normal57"/>
              <w:spacing w:before="0" w:after="0" w:line="240" w:lineRule="auto"/>
              <w:jc w:val="center"/>
              <w:rPr>
                <w:noProof/>
              </w:rPr>
            </w:pPr>
            <w:r>
              <w:rPr>
                <w:noProof/>
              </w:rPr>
              <w:t>Numéro séquentiel</w:t>
            </w:r>
          </w:p>
        </w:tc>
        <w:tc>
          <w:tcPr>
            <w:tcW w:w="3843" w:type="dxa"/>
            <w:tcBorders>
              <w:top w:val="single" w:sz="8" w:space="0" w:color="auto"/>
              <w:left w:val="nil"/>
              <w:bottom w:val="single" w:sz="8" w:space="0" w:color="auto"/>
              <w:right w:val="single" w:sz="8" w:space="0" w:color="auto"/>
            </w:tcBorders>
            <w:shd w:val="clear" w:color="auto" w:fill="BDD7EE"/>
            <w:vAlign w:val="center"/>
          </w:tcPr>
          <w:p w14:paraId="3EE468A8" w14:textId="77777777" w:rsidR="00025543" w:rsidRDefault="007E3A2F">
            <w:pPr>
              <w:pStyle w:val="P68B1DB1-Normal57"/>
              <w:spacing w:before="0" w:after="0" w:line="240" w:lineRule="auto"/>
              <w:jc w:val="center"/>
              <w:rPr>
                <w:noProof/>
              </w:rPr>
            </w:pPr>
            <w:r>
              <w:rPr>
                <w:noProof/>
              </w:rPr>
              <w:t>Mesure connexe (réforme ou investissement)</w:t>
            </w:r>
          </w:p>
        </w:tc>
        <w:tc>
          <w:tcPr>
            <w:tcW w:w="1809" w:type="dxa"/>
            <w:tcBorders>
              <w:top w:val="single" w:sz="8" w:space="0" w:color="auto"/>
              <w:left w:val="nil"/>
              <w:bottom w:val="single" w:sz="8" w:space="0" w:color="auto"/>
              <w:right w:val="single" w:sz="8" w:space="0" w:color="auto"/>
            </w:tcBorders>
            <w:shd w:val="clear" w:color="auto" w:fill="BDD7EE"/>
            <w:vAlign w:val="center"/>
          </w:tcPr>
          <w:p w14:paraId="39F8B63A" w14:textId="77777777" w:rsidR="00025543" w:rsidRDefault="007E3A2F">
            <w:pPr>
              <w:pStyle w:val="P68B1DB1-Normal57"/>
              <w:spacing w:before="0" w:after="0" w:line="240" w:lineRule="auto"/>
              <w:jc w:val="center"/>
              <w:rPr>
                <w:noProof/>
              </w:rPr>
            </w:pPr>
            <w:r>
              <w:rPr>
                <w:noProof/>
              </w:rPr>
              <w:t>Jalon/cible</w:t>
            </w:r>
          </w:p>
        </w:tc>
        <w:tc>
          <w:tcPr>
            <w:tcW w:w="3295" w:type="dxa"/>
            <w:tcBorders>
              <w:top w:val="single" w:sz="8" w:space="0" w:color="auto"/>
              <w:left w:val="nil"/>
              <w:bottom w:val="single" w:sz="8" w:space="0" w:color="auto"/>
              <w:right w:val="single" w:sz="8" w:space="0" w:color="auto"/>
            </w:tcBorders>
            <w:shd w:val="clear" w:color="auto" w:fill="BDD7EE"/>
            <w:vAlign w:val="center"/>
          </w:tcPr>
          <w:p w14:paraId="62D40737" w14:textId="77777777" w:rsidR="00025543" w:rsidRDefault="007E3A2F">
            <w:pPr>
              <w:pStyle w:val="P68B1DB1-Normal57"/>
              <w:spacing w:before="0" w:after="0" w:line="240" w:lineRule="auto"/>
              <w:jc w:val="center"/>
              <w:rPr>
                <w:noProof/>
              </w:rPr>
            </w:pPr>
            <w:r>
              <w:rPr>
                <w:noProof/>
              </w:rPr>
              <w:t>Nom</w:t>
            </w:r>
          </w:p>
        </w:tc>
      </w:tr>
      <w:tr w:rsidR="00025543" w14:paraId="33F1F0C3" w14:textId="77777777">
        <w:trPr>
          <w:trHeight w:val="795"/>
        </w:trPr>
        <w:tc>
          <w:tcPr>
            <w:tcW w:w="1273" w:type="dxa"/>
            <w:tcBorders>
              <w:top w:val="nil"/>
              <w:left w:val="single" w:sz="8" w:space="0" w:color="auto"/>
              <w:bottom w:val="single" w:sz="4" w:space="0" w:color="000000" w:themeColor="text1"/>
              <w:right w:val="single" w:sz="8" w:space="0" w:color="000000" w:themeColor="text1"/>
            </w:tcBorders>
            <w:shd w:val="clear" w:color="auto" w:fill="C6EFCE"/>
            <w:vAlign w:val="center"/>
          </w:tcPr>
          <w:p w14:paraId="5C40898C" w14:textId="1F21002E" w:rsidR="00025543" w:rsidRDefault="007E3A2F">
            <w:pPr>
              <w:pStyle w:val="P68B1DB1-Normal57"/>
              <w:spacing w:before="0" w:after="0" w:line="240" w:lineRule="auto"/>
              <w:jc w:val="center"/>
              <w:rPr>
                <w:noProof/>
              </w:rPr>
            </w:pPr>
            <w:r>
              <w:rPr>
                <w:noProof/>
              </w:rPr>
              <w:t>246</w:t>
            </w:r>
          </w:p>
        </w:tc>
        <w:tc>
          <w:tcPr>
            <w:tcW w:w="3843" w:type="dxa"/>
            <w:tcBorders>
              <w:top w:val="nil"/>
              <w:left w:val="single" w:sz="8" w:space="0" w:color="auto"/>
              <w:bottom w:val="single" w:sz="4" w:space="0" w:color="000000" w:themeColor="text1"/>
              <w:right w:val="single" w:sz="8" w:space="0" w:color="000000" w:themeColor="text1"/>
            </w:tcBorders>
            <w:shd w:val="clear" w:color="auto" w:fill="C6EFCE"/>
            <w:vAlign w:val="center"/>
          </w:tcPr>
          <w:p w14:paraId="09743AB8" w14:textId="7A972B4E" w:rsidR="00025543" w:rsidRDefault="007E3A2F">
            <w:pPr>
              <w:pStyle w:val="P68B1DB1-Normal57"/>
              <w:spacing w:before="0" w:after="0" w:line="240" w:lineRule="auto"/>
              <w:jc w:val="center"/>
              <w:rPr>
                <w:noProof/>
              </w:rPr>
            </w:pPr>
            <w:r>
              <w:rPr>
                <w:noProof/>
              </w:rPr>
              <w:t xml:space="preserve">C1.1: Services numériques aux citoyens et aux entreprises — Investissement 4: Services numériques pour les utilisateurs finaux dans le domaine social  </w:t>
            </w:r>
          </w:p>
        </w:tc>
        <w:tc>
          <w:tcPr>
            <w:tcW w:w="1809" w:type="dxa"/>
            <w:tcBorders>
              <w:top w:val="nil"/>
              <w:left w:val="single" w:sz="8" w:space="0" w:color="auto"/>
              <w:bottom w:val="single" w:sz="4" w:space="0" w:color="000000" w:themeColor="text1"/>
              <w:right w:val="single" w:sz="8" w:space="0" w:color="000000" w:themeColor="text1"/>
            </w:tcBorders>
            <w:shd w:val="clear" w:color="auto" w:fill="C6EFCE"/>
            <w:vAlign w:val="center"/>
          </w:tcPr>
          <w:p w14:paraId="4DCB28D1" w14:textId="01E35562" w:rsidR="00025543" w:rsidRDefault="007E3A2F">
            <w:pPr>
              <w:pStyle w:val="P68B1DB1-Normal57"/>
              <w:spacing w:before="0" w:after="0" w:line="240" w:lineRule="auto"/>
              <w:jc w:val="center"/>
              <w:rPr>
                <w:noProof/>
              </w:rPr>
            </w:pPr>
            <w:r>
              <w:rPr>
                <w:noProof/>
              </w:rPr>
              <w:t xml:space="preserve">Étapes </w:t>
            </w:r>
          </w:p>
        </w:tc>
        <w:tc>
          <w:tcPr>
            <w:tcW w:w="3295" w:type="dxa"/>
            <w:tcBorders>
              <w:top w:val="nil"/>
              <w:left w:val="single" w:sz="8" w:space="0" w:color="auto"/>
              <w:bottom w:val="single" w:sz="4" w:space="0" w:color="000000" w:themeColor="text1"/>
              <w:right w:val="single" w:sz="8" w:space="0" w:color="000000" w:themeColor="text1"/>
            </w:tcBorders>
            <w:shd w:val="clear" w:color="auto" w:fill="C6EFCE"/>
            <w:vAlign w:val="center"/>
          </w:tcPr>
          <w:p w14:paraId="50718913" w14:textId="658A414C" w:rsidR="00025543" w:rsidRDefault="007E3A2F">
            <w:pPr>
              <w:pStyle w:val="P68B1DB1-Normal57"/>
              <w:spacing w:before="0" w:after="0" w:line="240" w:lineRule="auto"/>
              <w:jc w:val="center"/>
              <w:rPr>
                <w:noProof/>
              </w:rPr>
            </w:pPr>
            <w:r>
              <w:rPr>
                <w:noProof/>
              </w:rPr>
              <w:t>Portail en libre-service modernisé pour l’Office du travail — Client zone II </w:t>
            </w:r>
          </w:p>
        </w:tc>
      </w:tr>
      <w:tr w:rsidR="00025543" w14:paraId="3C0114D5" w14:textId="77777777">
        <w:trPr>
          <w:trHeight w:val="795"/>
        </w:trPr>
        <w:tc>
          <w:tcPr>
            <w:tcW w:w="1273" w:type="dxa"/>
            <w:tcBorders>
              <w:top w:val="single" w:sz="4" w:space="0" w:color="000000" w:themeColor="text1"/>
              <w:left w:val="single" w:sz="8" w:space="0" w:color="auto"/>
              <w:bottom w:val="single" w:sz="4" w:space="0" w:color="000000" w:themeColor="text1"/>
              <w:right w:val="single" w:sz="8" w:space="0" w:color="000000" w:themeColor="text1"/>
            </w:tcBorders>
            <w:shd w:val="clear" w:color="auto" w:fill="C6EFCE"/>
            <w:vAlign w:val="center"/>
          </w:tcPr>
          <w:p w14:paraId="24B5CE3F" w14:textId="752F303F" w:rsidR="00025543" w:rsidRDefault="007E3A2F">
            <w:pPr>
              <w:pStyle w:val="P68B1DB1-Normal57"/>
              <w:spacing w:before="0" w:after="0" w:line="240" w:lineRule="auto"/>
              <w:jc w:val="center"/>
              <w:rPr>
                <w:noProof/>
              </w:rPr>
            </w:pPr>
            <w:r>
              <w:rPr>
                <w:noProof/>
              </w:rPr>
              <w:t>249</w:t>
            </w:r>
          </w:p>
        </w:tc>
        <w:tc>
          <w:tcPr>
            <w:tcW w:w="3843"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tcPr>
          <w:p w14:paraId="55BA5D3B" w14:textId="0ADADF3F" w:rsidR="00025543" w:rsidRDefault="007E3A2F">
            <w:pPr>
              <w:pStyle w:val="P68B1DB1-Normal57"/>
              <w:spacing w:before="0" w:after="0" w:line="240" w:lineRule="auto"/>
              <w:jc w:val="center"/>
              <w:rPr>
                <w:noProof/>
              </w:rPr>
            </w:pPr>
            <w:r>
              <w:rPr>
                <w:noProof/>
              </w:rPr>
              <w:t xml:space="preserve">C 1.2: Systèmes d’administration publique numérique — Investissements: Développement de systèmes d’information dans le domaine social </w:t>
            </w:r>
          </w:p>
        </w:tc>
        <w:tc>
          <w:tcPr>
            <w:tcW w:w="1809" w:type="dxa"/>
            <w:tcBorders>
              <w:top w:val="single" w:sz="4" w:space="0" w:color="000000" w:themeColor="text1"/>
              <w:left w:val="nil"/>
              <w:bottom w:val="single" w:sz="8" w:space="0" w:color="000000" w:themeColor="text1"/>
              <w:right w:val="single" w:sz="8" w:space="0" w:color="000000" w:themeColor="text1"/>
            </w:tcBorders>
            <w:shd w:val="clear" w:color="auto" w:fill="C6EFCE"/>
            <w:vAlign w:val="center"/>
          </w:tcPr>
          <w:p w14:paraId="12179F0C" w14:textId="7F5DCE08" w:rsidR="00025543" w:rsidRDefault="007E3A2F">
            <w:pPr>
              <w:pStyle w:val="P68B1DB1-Normal57"/>
              <w:spacing w:before="0" w:after="0" w:line="240" w:lineRule="auto"/>
              <w:jc w:val="center"/>
              <w:rPr>
                <w:noProof/>
              </w:rPr>
            </w:pPr>
            <w:r>
              <w:rPr>
                <w:noProof/>
              </w:rPr>
              <w:t xml:space="preserve">Cible </w:t>
            </w:r>
          </w:p>
        </w:tc>
        <w:tc>
          <w:tcPr>
            <w:tcW w:w="3295" w:type="dxa"/>
            <w:tcBorders>
              <w:top w:val="single" w:sz="4" w:space="0" w:color="000000" w:themeColor="text1"/>
              <w:left w:val="nil"/>
              <w:bottom w:val="single" w:sz="4" w:space="0" w:color="000000" w:themeColor="text1"/>
              <w:right w:val="single" w:sz="8" w:space="0" w:color="000000" w:themeColor="text1"/>
            </w:tcBorders>
            <w:shd w:val="clear" w:color="auto" w:fill="C6EFCE"/>
            <w:vAlign w:val="center"/>
          </w:tcPr>
          <w:p w14:paraId="1E9DEF70" w14:textId="07CCDFE6" w:rsidR="00025543" w:rsidRDefault="007E3A2F">
            <w:pPr>
              <w:pStyle w:val="P68B1DB1-Normal57"/>
              <w:spacing w:before="0" w:after="0" w:line="240" w:lineRule="auto"/>
              <w:jc w:val="center"/>
              <w:rPr>
                <w:noProof/>
              </w:rPr>
            </w:pPr>
            <w:r>
              <w:rPr>
                <w:noProof/>
              </w:rPr>
              <w:t>Modernisation des systèmes d’information de l’administration publique dans le domaine de la politique sociale</w:t>
            </w:r>
          </w:p>
        </w:tc>
      </w:tr>
      <w:tr w:rsidR="00025543" w14:paraId="097560A9" w14:textId="77777777">
        <w:trPr>
          <w:trHeight w:val="795"/>
        </w:trPr>
        <w:tc>
          <w:tcPr>
            <w:tcW w:w="1273" w:type="dxa"/>
            <w:tcBorders>
              <w:top w:val="single" w:sz="4" w:space="0" w:color="000000" w:themeColor="text1"/>
              <w:left w:val="single" w:sz="8" w:space="0" w:color="auto"/>
              <w:bottom w:val="single" w:sz="4" w:space="0" w:color="000000" w:themeColor="text1"/>
              <w:right w:val="single" w:sz="8" w:space="0" w:color="000000" w:themeColor="text1"/>
            </w:tcBorders>
            <w:shd w:val="clear" w:color="auto" w:fill="C6EFCE"/>
            <w:vAlign w:val="center"/>
          </w:tcPr>
          <w:p w14:paraId="15D2D1C4" w14:textId="04BB33E6" w:rsidR="00025543" w:rsidRDefault="007E3A2F">
            <w:pPr>
              <w:pStyle w:val="P68B1DB1-Normal57"/>
              <w:spacing w:before="0" w:after="0" w:line="240" w:lineRule="auto"/>
              <w:jc w:val="center"/>
              <w:rPr>
                <w:noProof/>
              </w:rPr>
            </w:pPr>
            <w:r>
              <w:rPr>
                <w:noProof/>
              </w:rPr>
              <w:t>252</w:t>
            </w:r>
          </w:p>
        </w:tc>
        <w:tc>
          <w:tcPr>
            <w:tcW w:w="3843" w:type="dxa"/>
            <w:tcBorders>
              <w:top w:val="nil"/>
              <w:left w:val="nil"/>
              <w:bottom w:val="single" w:sz="8" w:space="0" w:color="000000" w:themeColor="text1"/>
              <w:right w:val="single" w:sz="8" w:space="0" w:color="000000" w:themeColor="text1"/>
            </w:tcBorders>
            <w:shd w:val="clear" w:color="auto" w:fill="C6EFCE"/>
            <w:vAlign w:val="center"/>
          </w:tcPr>
          <w:p w14:paraId="7CC4C0A5" w14:textId="51B38459" w:rsidR="00025543" w:rsidRDefault="007E3A2F">
            <w:pPr>
              <w:pStyle w:val="P68B1DB1-Normal57"/>
              <w:spacing w:before="0" w:after="0" w:line="240" w:lineRule="auto"/>
              <w:jc w:val="center"/>
              <w:rPr>
                <w:noProof/>
              </w:rPr>
            </w:pPr>
            <w:r>
              <w:rPr>
                <w:noProof/>
              </w:rPr>
              <w:t>C 1.4: Économie et société numériques, start-up innovantes et nouvelles technologies —</w:t>
            </w:r>
          </w:p>
          <w:p w14:paraId="0328F5D5" w14:textId="7B6337A7" w:rsidR="00025543" w:rsidRDefault="007E3A2F">
            <w:pPr>
              <w:pStyle w:val="P68B1DB1-Normal57"/>
              <w:spacing w:before="0" w:after="0" w:line="240" w:lineRule="auto"/>
              <w:jc w:val="center"/>
              <w:rPr>
                <w:noProof/>
              </w:rPr>
            </w:pPr>
            <w:r>
              <w:rPr>
                <w:noProof/>
              </w:rPr>
              <w:t xml:space="preserve">Investissement 13: Fonds pour le développement de technologies stratégiques </w:t>
            </w:r>
          </w:p>
        </w:tc>
        <w:tc>
          <w:tcPr>
            <w:tcW w:w="1809" w:type="dxa"/>
            <w:tcBorders>
              <w:top w:val="nil"/>
              <w:left w:val="nil"/>
              <w:bottom w:val="single" w:sz="8" w:space="0" w:color="000000" w:themeColor="text1"/>
              <w:right w:val="single" w:sz="8" w:space="0" w:color="000000" w:themeColor="text1"/>
            </w:tcBorders>
            <w:shd w:val="clear" w:color="auto" w:fill="C6EFCE"/>
            <w:vAlign w:val="center"/>
          </w:tcPr>
          <w:p w14:paraId="72F82C42" w14:textId="7AA669C7" w:rsidR="00025543" w:rsidRDefault="007E3A2F">
            <w:pPr>
              <w:pStyle w:val="P68B1DB1-Normal57"/>
              <w:spacing w:before="0" w:after="0" w:line="240" w:lineRule="auto"/>
              <w:jc w:val="center"/>
              <w:rPr>
                <w:noProof/>
              </w:rPr>
            </w:pPr>
            <w:r>
              <w:rPr>
                <w:noProof/>
              </w:rPr>
              <w:t xml:space="preserve"> Cible </w:t>
            </w:r>
          </w:p>
        </w:tc>
        <w:tc>
          <w:tcPr>
            <w:tcW w:w="3295" w:type="dxa"/>
            <w:tcBorders>
              <w:top w:val="single" w:sz="4" w:space="0" w:color="000000" w:themeColor="text1"/>
              <w:left w:val="nil"/>
              <w:bottom w:val="single" w:sz="4" w:space="0" w:color="000000" w:themeColor="text1"/>
              <w:right w:val="single" w:sz="8" w:space="0" w:color="000000" w:themeColor="text1"/>
            </w:tcBorders>
            <w:shd w:val="clear" w:color="auto" w:fill="C6EFCE"/>
            <w:vAlign w:val="center"/>
          </w:tcPr>
          <w:p w14:paraId="4DCE3519" w14:textId="043191D6" w:rsidR="00025543" w:rsidRDefault="007E3A2F">
            <w:pPr>
              <w:pStyle w:val="P68B1DB1-Normal57"/>
              <w:spacing w:before="0" w:after="0" w:line="240" w:lineRule="auto"/>
              <w:jc w:val="center"/>
              <w:rPr>
                <w:noProof/>
              </w:rPr>
            </w:pPr>
            <w:r>
              <w:rPr>
                <w:noProof/>
              </w:rPr>
              <w:t>Accords juridiques signés avec des fonds</w:t>
            </w:r>
          </w:p>
        </w:tc>
      </w:tr>
      <w:tr w:rsidR="00025543" w14:paraId="242DDFD4" w14:textId="77777777">
        <w:trPr>
          <w:trHeight w:val="795"/>
        </w:trPr>
        <w:tc>
          <w:tcPr>
            <w:tcW w:w="1273" w:type="dxa"/>
            <w:tcBorders>
              <w:top w:val="single" w:sz="4" w:space="0" w:color="000000" w:themeColor="text1"/>
              <w:left w:val="single" w:sz="8" w:space="0" w:color="auto"/>
              <w:bottom w:val="single" w:sz="4" w:space="0" w:color="000000" w:themeColor="text1"/>
              <w:right w:val="single" w:sz="8" w:space="0" w:color="000000" w:themeColor="text1"/>
            </w:tcBorders>
            <w:shd w:val="clear" w:color="auto" w:fill="C6EFCE"/>
            <w:vAlign w:val="center"/>
          </w:tcPr>
          <w:p w14:paraId="024ECDD6" w14:textId="61994F7D" w:rsidR="00025543" w:rsidRDefault="007E3A2F">
            <w:pPr>
              <w:pStyle w:val="P68B1DB1-Normal57"/>
              <w:spacing w:line="240" w:lineRule="auto"/>
              <w:jc w:val="center"/>
              <w:rPr>
                <w:noProof/>
              </w:rPr>
            </w:pPr>
            <w:r>
              <w:rPr>
                <w:noProof/>
              </w:rPr>
              <w:t>253</w:t>
            </w:r>
          </w:p>
        </w:tc>
        <w:tc>
          <w:tcPr>
            <w:tcW w:w="3843" w:type="dxa"/>
            <w:tcBorders>
              <w:top w:val="nil"/>
              <w:left w:val="nil"/>
              <w:bottom w:val="single" w:sz="8" w:space="0" w:color="000000" w:themeColor="text1"/>
              <w:right w:val="single" w:sz="8" w:space="0" w:color="000000" w:themeColor="text1"/>
            </w:tcBorders>
            <w:shd w:val="clear" w:color="auto" w:fill="C6EFCE"/>
            <w:vAlign w:val="center"/>
          </w:tcPr>
          <w:p w14:paraId="7DCE2B75" w14:textId="352249A7" w:rsidR="00025543" w:rsidRDefault="007E3A2F">
            <w:pPr>
              <w:pStyle w:val="P68B1DB1-Normal57"/>
              <w:spacing w:line="240" w:lineRule="auto"/>
              <w:jc w:val="center"/>
              <w:rPr>
                <w:noProof/>
              </w:rPr>
            </w:pPr>
            <w:r>
              <w:rPr>
                <w:noProof/>
              </w:rPr>
              <w:t xml:space="preserve">C 1.4: Économie et société numériques, jeunes pousses innovantes et nouvelles technologies — Investissements 13: Fonds pour le développement de technologies stratégiques  </w:t>
            </w:r>
          </w:p>
        </w:tc>
        <w:tc>
          <w:tcPr>
            <w:tcW w:w="1809" w:type="dxa"/>
            <w:tcBorders>
              <w:top w:val="nil"/>
              <w:left w:val="nil"/>
              <w:bottom w:val="single" w:sz="8" w:space="0" w:color="000000" w:themeColor="text1"/>
              <w:right w:val="single" w:sz="8" w:space="0" w:color="000000" w:themeColor="text1"/>
            </w:tcBorders>
            <w:shd w:val="clear" w:color="auto" w:fill="C6EFCE"/>
            <w:vAlign w:val="center"/>
          </w:tcPr>
          <w:p w14:paraId="703A7BA2" w14:textId="47909288" w:rsidR="00025543" w:rsidRDefault="007E3A2F">
            <w:pPr>
              <w:pStyle w:val="P68B1DB1-Normal57"/>
              <w:spacing w:line="240" w:lineRule="auto"/>
              <w:jc w:val="center"/>
              <w:rPr>
                <w:noProof/>
              </w:rPr>
            </w:pPr>
            <w:r>
              <w:rPr>
                <w:noProof/>
              </w:rPr>
              <w:t>Étapes</w:t>
            </w:r>
          </w:p>
        </w:tc>
        <w:tc>
          <w:tcPr>
            <w:tcW w:w="3295" w:type="dxa"/>
            <w:tcBorders>
              <w:top w:val="single" w:sz="4" w:space="0" w:color="000000" w:themeColor="text1"/>
              <w:left w:val="nil"/>
              <w:bottom w:val="single" w:sz="4" w:space="0" w:color="000000" w:themeColor="text1"/>
              <w:right w:val="single" w:sz="8" w:space="0" w:color="000000" w:themeColor="text1"/>
            </w:tcBorders>
            <w:shd w:val="clear" w:color="auto" w:fill="C6EFCE"/>
            <w:vAlign w:val="center"/>
          </w:tcPr>
          <w:p w14:paraId="2F3EC2E7" w14:textId="301D7306" w:rsidR="00025543" w:rsidRDefault="007E3A2F">
            <w:pPr>
              <w:pStyle w:val="P68B1DB1-Normal57"/>
              <w:spacing w:line="240" w:lineRule="auto"/>
              <w:jc w:val="center"/>
              <w:rPr>
                <w:noProof/>
              </w:rPr>
            </w:pPr>
            <w:r>
              <w:rPr>
                <w:noProof/>
              </w:rPr>
              <w:t>Le ministère a achevé l’investissement</w:t>
            </w:r>
          </w:p>
        </w:tc>
      </w:tr>
      <w:tr w:rsidR="00025543" w14:paraId="434FF0C9" w14:textId="77777777">
        <w:trPr>
          <w:trHeight w:val="795"/>
        </w:trPr>
        <w:tc>
          <w:tcPr>
            <w:tcW w:w="1273" w:type="dxa"/>
            <w:tcBorders>
              <w:top w:val="single" w:sz="4" w:space="0" w:color="000000" w:themeColor="text1"/>
              <w:left w:val="single" w:sz="8" w:space="0" w:color="auto"/>
              <w:bottom w:val="single" w:sz="4" w:space="0" w:color="000000" w:themeColor="text1"/>
              <w:right w:val="single" w:sz="8" w:space="0" w:color="000000" w:themeColor="text1"/>
            </w:tcBorders>
            <w:shd w:val="clear" w:color="auto" w:fill="C6EFCE"/>
            <w:vAlign w:val="center"/>
          </w:tcPr>
          <w:p w14:paraId="2EE92005" w14:textId="675DED1C" w:rsidR="00025543" w:rsidRDefault="007E3A2F">
            <w:pPr>
              <w:pStyle w:val="P68B1DB1-Normal57"/>
              <w:spacing w:line="240" w:lineRule="auto"/>
              <w:jc w:val="center"/>
              <w:rPr>
                <w:noProof/>
              </w:rPr>
            </w:pPr>
            <w:r>
              <w:rPr>
                <w:noProof/>
              </w:rPr>
              <w:t>255</w:t>
            </w:r>
          </w:p>
        </w:tc>
        <w:tc>
          <w:tcPr>
            <w:tcW w:w="3843" w:type="dxa"/>
            <w:tcBorders>
              <w:top w:val="nil"/>
              <w:left w:val="nil"/>
              <w:bottom w:val="single" w:sz="8" w:space="0" w:color="000000" w:themeColor="text1"/>
              <w:right w:val="single" w:sz="8" w:space="0" w:color="000000" w:themeColor="text1"/>
            </w:tcBorders>
            <w:shd w:val="clear" w:color="auto" w:fill="C6EFCE"/>
            <w:vAlign w:val="center"/>
          </w:tcPr>
          <w:p w14:paraId="2073A66B" w14:textId="6B237541" w:rsidR="00025543" w:rsidRDefault="007E3A2F">
            <w:pPr>
              <w:pStyle w:val="P68B1DB1-Normal57"/>
              <w:spacing w:before="0" w:after="0" w:line="240" w:lineRule="auto"/>
              <w:jc w:val="center"/>
              <w:rPr>
                <w:noProof/>
              </w:rPr>
            </w:pPr>
            <w:r>
              <w:rPr>
                <w:noProof/>
              </w:rPr>
              <w:t>C 1.5: Transformation numérique des entreprises — Investissements 4: PIIEC Microélectronique et technologies de la communication</w:t>
            </w:r>
          </w:p>
        </w:tc>
        <w:tc>
          <w:tcPr>
            <w:tcW w:w="1809" w:type="dxa"/>
            <w:tcBorders>
              <w:top w:val="nil"/>
              <w:left w:val="nil"/>
              <w:bottom w:val="single" w:sz="8" w:space="0" w:color="000000" w:themeColor="text1"/>
              <w:right w:val="single" w:sz="8" w:space="0" w:color="000000" w:themeColor="text1"/>
            </w:tcBorders>
            <w:shd w:val="clear" w:color="auto" w:fill="C6EFCE"/>
            <w:vAlign w:val="center"/>
          </w:tcPr>
          <w:p w14:paraId="7F863A5D" w14:textId="77777777" w:rsidR="00025543" w:rsidRDefault="007E3A2F">
            <w:pPr>
              <w:pStyle w:val="P68B1DB1-Normal57"/>
              <w:spacing w:before="0" w:after="0" w:line="240" w:lineRule="auto"/>
              <w:jc w:val="center"/>
              <w:rPr>
                <w:noProof/>
              </w:rPr>
            </w:pPr>
            <w:r>
              <w:rPr>
                <w:noProof/>
              </w:rPr>
              <w:t>Cible</w:t>
            </w:r>
          </w:p>
        </w:tc>
        <w:tc>
          <w:tcPr>
            <w:tcW w:w="3295" w:type="dxa"/>
            <w:tcBorders>
              <w:top w:val="single" w:sz="4" w:space="0" w:color="000000" w:themeColor="text1"/>
              <w:left w:val="nil"/>
              <w:bottom w:val="single" w:sz="4" w:space="0" w:color="000000" w:themeColor="text1"/>
              <w:right w:val="single" w:sz="8" w:space="0" w:color="000000" w:themeColor="text1"/>
            </w:tcBorders>
            <w:shd w:val="clear" w:color="auto" w:fill="C6EFCE"/>
            <w:vAlign w:val="center"/>
          </w:tcPr>
          <w:p w14:paraId="20CCC2B1" w14:textId="77777777" w:rsidR="00025543" w:rsidRDefault="007E3A2F">
            <w:pPr>
              <w:pStyle w:val="P68B1DB1-Normal57"/>
              <w:spacing w:before="0" w:after="0" w:line="240" w:lineRule="auto"/>
              <w:jc w:val="center"/>
              <w:rPr>
                <w:noProof/>
              </w:rPr>
            </w:pPr>
            <w:r>
              <w:rPr>
                <w:noProof/>
              </w:rPr>
              <w:t>Développement de solutions pilotes</w:t>
            </w:r>
          </w:p>
        </w:tc>
      </w:tr>
      <w:tr w:rsidR="00025543" w14:paraId="3A81E81F" w14:textId="77777777">
        <w:trPr>
          <w:trHeight w:val="795"/>
        </w:trPr>
        <w:tc>
          <w:tcPr>
            <w:tcW w:w="1273" w:type="dxa"/>
            <w:tcBorders>
              <w:top w:val="single" w:sz="4" w:space="0" w:color="000000" w:themeColor="text1"/>
              <w:left w:val="single" w:sz="8" w:space="0" w:color="auto"/>
              <w:bottom w:val="single" w:sz="4" w:space="0" w:color="000000" w:themeColor="text1"/>
              <w:right w:val="single" w:sz="8" w:space="0" w:color="000000" w:themeColor="text1"/>
            </w:tcBorders>
            <w:shd w:val="clear" w:color="auto" w:fill="C6EFCE"/>
            <w:vAlign w:val="center"/>
          </w:tcPr>
          <w:p w14:paraId="0233FBAC" w14:textId="2AFA74DE" w:rsidR="00025543" w:rsidRDefault="007E3A2F">
            <w:pPr>
              <w:pStyle w:val="P68B1DB1-Normal57"/>
              <w:spacing w:line="240" w:lineRule="auto"/>
              <w:jc w:val="center"/>
              <w:rPr>
                <w:noProof/>
              </w:rPr>
            </w:pPr>
            <w:r>
              <w:rPr>
                <w:noProof/>
              </w:rPr>
              <w:t>265</w:t>
            </w:r>
          </w:p>
        </w:tc>
        <w:tc>
          <w:tcPr>
            <w:tcW w:w="3843" w:type="dxa"/>
            <w:tcBorders>
              <w:top w:val="nil"/>
              <w:left w:val="nil"/>
              <w:bottom w:val="single" w:sz="8" w:space="0" w:color="000000" w:themeColor="text1"/>
              <w:right w:val="single" w:sz="8" w:space="0" w:color="000000" w:themeColor="text1"/>
            </w:tcBorders>
            <w:shd w:val="clear" w:color="auto" w:fill="C6EFCE"/>
            <w:vAlign w:val="center"/>
          </w:tcPr>
          <w:p w14:paraId="1F5C6101" w14:textId="04EDF9D3" w:rsidR="00025543" w:rsidRDefault="007E3A2F">
            <w:pPr>
              <w:pStyle w:val="P68B1DB1-Normal57"/>
              <w:spacing w:line="240" w:lineRule="auto"/>
              <w:jc w:val="center"/>
              <w:rPr>
                <w:noProof/>
              </w:rPr>
            </w:pPr>
            <w:r>
              <w:rPr>
                <w:noProof/>
              </w:rPr>
              <w:t>C 2.10 Logements abordables — Investissement 1: Facilité de prêt à des conditions préférentielles</w:t>
            </w:r>
          </w:p>
        </w:tc>
        <w:tc>
          <w:tcPr>
            <w:tcW w:w="1809" w:type="dxa"/>
            <w:tcBorders>
              <w:top w:val="nil"/>
              <w:left w:val="nil"/>
              <w:bottom w:val="single" w:sz="8" w:space="0" w:color="000000" w:themeColor="text1"/>
              <w:right w:val="single" w:sz="8" w:space="0" w:color="000000" w:themeColor="text1"/>
            </w:tcBorders>
            <w:shd w:val="clear" w:color="auto" w:fill="C6EFCE"/>
            <w:vAlign w:val="center"/>
          </w:tcPr>
          <w:p w14:paraId="6F379951" w14:textId="708639CB" w:rsidR="00025543" w:rsidRDefault="007E3A2F">
            <w:pPr>
              <w:pStyle w:val="P68B1DB1-Normal57"/>
              <w:spacing w:line="240" w:lineRule="auto"/>
              <w:jc w:val="center"/>
              <w:rPr>
                <w:noProof/>
              </w:rPr>
            </w:pPr>
            <w:r>
              <w:rPr>
                <w:noProof/>
              </w:rPr>
              <w:t>Cible</w:t>
            </w:r>
          </w:p>
        </w:tc>
        <w:tc>
          <w:tcPr>
            <w:tcW w:w="3295" w:type="dxa"/>
            <w:tcBorders>
              <w:top w:val="single" w:sz="4" w:space="0" w:color="000000" w:themeColor="text1"/>
              <w:left w:val="nil"/>
              <w:bottom w:val="single" w:sz="4" w:space="0" w:color="000000" w:themeColor="text1"/>
              <w:right w:val="single" w:sz="8" w:space="0" w:color="000000" w:themeColor="text1"/>
            </w:tcBorders>
            <w:shd w:val="clear" w:color="auto" w:fill="C6EFCE"/>
            <w:vAlign w:val="center"/>
          </w:tcPr>
          <w:p w14:paraId="4EF06CE3" w14:textId="2D4A0135" w:rsidR="00025543" w:rsidRDefault="007E3A2F">
            <w:pPr>
              <w:pStyle w:val="P68B1DB1-Normal57"/>
              <w:spacing w:line="240" w:lineRule="auto"/>
              <w:jc w:val="center"/>
              <w:rPr>
                <w:noProof/>
              </w:rPr>
            </w:pPr>
            <w:r>
              <w:rPr>
                <w:noProof/>
              </w:rPr>
              <w:t>Accords juridiques signés avec les bénéficiaires finaux</w:t>
            </w:r>
          </w:p>
        </w:tc>
      </w:tr>
      <w:tr w:rsidR="00025543" w14:paraId="511C22DC" w14:textId="77777777">
        <w:trPr>
          <w:trHeight w:val="795"/>
        </w:trPr>
        <w:tc>
          <w:tcPr>
            <w:tcW w:w="1273" w:type="dxa"/>
            <w:tcBorders>
              <w:top w:val="single" w:sz="4" w:space="0" w:color="000000" w:themeColor="text1"/>
              <w:left w:val="single" w:sz="8" w:space="0" w:color="auto"/>
              <w:bottom w:val="single" w:sz="4" w:space="0" w:color="000000" w:themeColor="text1"/>
              <w:right w:val="single" w:sz="8" w:space="0" w:color="000000" w:themeColor="text1"/>
            </w:tcBorders>
            <w:shd w:val="clear" w:color="auto" w:fill="C6EFCE"/>
            <w:vAlign w:val="center"/>
          </w:tcPr>
          <w:p w14:paraId="1CC6C5F3" w14:textId="77D711DB" w:rsidR="00025543" w:rsidRDefault="007E3A2F">
            <w:pPr>
              <w:pStyle w:val="P68B1DB1-Normal57"/>
              <w:spacing w:line="240" w:lineRule="auto"/>
              <w:jc w:val="center"/>
              <w:rPr>
                <w:noProof/>
              </w:rPr>
            </w:pPr>
            <w:r>
              <w:rPr>
                <w:noProof/>
              </w:rPr>
              <w:t>266</w:t>
            </w:r>
          </w:p>
        </w:tc>
        <w:tc>
          <w:tcPr>
            <w:tcW w:w="3843" w:type="dxa"/>
            <w:tcBorders>
              <w:top w:val="nil"/>
              <w:left w:val="nil"/>
              <w:bottom w:val="single" w:sz="8" w:space="0" w:color="000000" w:themeColor="text1"/>
              <w:right w:val="single" w:sz="8" w:space="0" w:color="000000" w:themeColor="text1"/>
            </w:tcBorders>
            <w:shd w:val="clear" w:color="auto" w:fill="C6EFCE"/>
            <w:vAlign w:val="center"/>
          </w:tcPr>
          <w:p w14:paraId="7FE6D609" w14:textId="7CB34F3B" w:rsidR="00025543" w:rsidRDefault="007E3A2F">
            <w:pPr>
              <w:pStyle w:val="P68B1DB1-Normal57"/>
              <w:spacing w:line="240" w:lineRule="auto"/>
              <w:jc w:val="center"/>
              <w:rPr>
                <w:noProof/>
              </w:rPr>
            </w:pPr>
            <w:r>
              <w:rPr>
                <w:noProof/>
              </w:rPr>
              <w:t>C 2.10 Logements abordables — Investissement 1: Facilité de prêt à des conditions préférentielles</w:t>
            </w:r>
          </w:p>
        </w:tc>
        <w:tc>
          <w:tcPr>
            <w:tcW w:w="1809" w:type="dxa"/>
            <w:tcBorders>
              <w:top w:val="nil"/>
              <w:left w:val="nil"/>
              <w:bottom w:val="single" w:sz="8" w:space="0" w:color="000000" w:themeColor="text1"/>
              <w:right w:val="single" w:sz="8" w:space="0" w:color="000000" w:themeColor="text1"/>
            </w:tcBorders>
            <w:shd w:val="clear" w:color="auto" w:fill="C6EFCE"/>
            <w:vAlign w:val="center"/>
          </w:tcPr>
          <w:p w14:paraId="7F7F32C3" w14:textId="3DEAF43F" w:rsidR="00025543" w:rsidRDefault="007E3A2F">
            <w:pPr>
              <w:pStyle w:val="P68B1DB1-Normal57"/>
              <w:spacing w:line="240" w:lineRule="auto"/>
              <w:jc w:val="center"/>
              <w:rPr>
                <w:noProof/>
              </w:rPr>
            </w:pPr>
            <w:r>
              <w:rPr>
                <w:noProof/>
              </w:rPr>
              <w:t>Étapes</w:t>
            </w:r>
          </w:p>
        </w:tc>
        <w:tc>
          <w:tcPr>
            <w:tcW w:w="3295" w:type="dxa"/>
            <w:tcBorders>
              <w:top w:val="single" w:sz="4" w:space="0" w:color="000000" w:themeColor="text1"/>
              <w:left w:val="nil"/>
              <w:bottom w:val="single" w:sz="4" w:space="0" w:color="000000" w:themeColor="text1"/>
              <w:right w:val="single" w:sz="8" w:space="0" w:color="000000" w:themeColor="text1"/>
            </w:tcBorders>
            <w:shd w:val="clear" w:color="auto" w:fill="C6EFCE"/>
            <w:vAlign w:val="center"/>
          </w:tcPr>
          <w:p w14:paraId="40A3E652" w14:textId="28219F87" w:rsidR="00025543" w:rsidRDefault="007E3A2F">
            <w:pPr>
              <w:pStyle w:val="P68B1DB1-Normal57"/>
              <w:spacing w:line="240" w:lineRule="auto"/>
              <w:jc w:val="center"/>
              <w:rPr>
                <w:noProof/>
              </w:rPr>
            </w:pPr>
            <w:r>
              <w:rPr>
                <w:noProof/>
              </w:rPr>
              <w:t>Le ministère a achevé l’investissement</w:t>
            </w:r>
          </w:p>
        </w:tc>
      </w:tr>
      <w:tr w:rsidR="00025543" w14:paraId="6789EF1D" w14:textId="77777777">
        <w:trPr>
          <w:trHeight w:val="795"/>
        </w:trPr>
        <w:tc>
          <w:tcPr>
            <w:tcW w:w="1273" w:type="dxa"/>
            <w:tcBorders>
              <w:top w:val="single" w:sz="4" w:space="0" w:color="000000" w:themeColor="text1"/>
              <w:left w:val="single" w:sz="8" w:space="0" w:color="auto"/>
              <w:bottom w:val="single" w:sz="4" w:space="0" w:color="000000" w:themeColor="text1"/>
              <w:right w:val="single" w:sz="8" w:space="0" w:color="000000" w:themeColor="text1"/>
            </w:tcBorders>
            <w:shd w:val="clear" w:color="auto" w:fill="C6EFCE"/>
            <w:vAlign w:val="center"/>
          </w:tcPr>
          <w:p w14:paraId="47BF021C" w14:textId="4DB41A90" w:rsidR="00025543" w:rsidRDefault="007E3A2F">
            <w:pPr>
              <w:pStyle w:val="P68B1DB1-Normal57"/>
              <w:spacing w:line="240" w:lineRule="auto"/>
              <w:jc w:val="center"/>
              <w:rPr>
                <w:noProof/>
              </w:rPr>
            </w:pPr>
            <w:r>
              <w:rPr>
                <w:noProof/>
              </w:rPr>
              <w:t>268</w:t>
            </w:r>
          </w:p>
        </w:tc>
        <w:tc>
          <w:tcPr>
            <w:tcW w:w="3843" w:type="dxa"/>
            <w:tcBorders>
              <w:top w:val="nil"/>
              <w:left w:val="nil"/>
              <w:bottom w:val="single" w:sz="8" w:space="0" w:color="000000" w:themeColor="text1"/>
              <w:right w:val="single" w:sz="8" w:space="0" w:color="000000" w:themeColor="text1"/>
            </w:tcBorders>
            <w:shd w:val="clear" w:color="auto" w:fill="C6EFCE"/>
            <w:vAlign w:val="center"/>
          </w:tcPr>
          <w:p w14:paraId="403E7BC9" w14:textId="1D2EC0ED" w:rsidR="00025543" w:rsidRDefault="007E3A2F">
            <w:pPr>
              <w:pStyle w:val="P68B1DB1-Normal57"/>
              <w:spacing w:line="240" w:lineRule="auto"/>
              <w:jc w:val="center"/>
              <w:rPr>
                <w:noProof/>
              </w:rPr>
            </w:pPr>
            <w:r>
              <w:rPr>
                <w:noProof/>
              </w:rPr>
              <w:t>C 2.10 Logements abordables — Investissement 2:  Facilité de prêt subordonné</w:t>
            </w:r>
          </w:p>
        </w:tc>
        <w:tc>
          <w:tcPr>
            <w:tcW w:w="1809" w:type="dxa"/>
            <w:tcBorders>
              <w:top w:val="nil"/>
              <w:left w:val="nil"/>
              <w:bottom w:val="single" w:sz="8" w:space="0" w:color="000000" w:themeColor="text1"/>
              <w:right w:val="single" w:sz="8" w:space="0" w:color="000000" w:themeColor="text1"/>
            </w:tcBorders>
            <w:shd w:val="clear" w:color="auto" w:fill="C6EFCE"/>
            <w:vAlign w:val="center"/>
          </w:tcPr>
          <w:p w14:paraId="201BC710" w14:textId="7F38FF10" w:rsidR="00025543" w:rsidRDefault="007E3A2F">
            <w:pPr>
              <w:pStyle w:val="P68B1DB1-Normal57"/>
              <w:spacing w:line="240" w:lineRule="auto"/>
              <w:jc w:val="center"/>
              <w:rPr>
                <w:noProof/>
              </w:rPr>
            </w:pPr>
            <w:r>
              <w:rPr>
                <w:noProof/>
              </w:rPr>
              <w:t>Cible</w:t>
            </w:r>
          </w:p>
        </w:tc>
        <w:tc>
          <w:tcPr>
            <w:tcW w:w="3295" w:type="dxa"/>
            <w:tcBorders>
              <w:top w:val="single" w:sz="4" w:space="0" w:color="000000" w:themeColor="text1"/>
              <w:left w:val="nil"/>
              <w:bottom w:val="single" w:sz="4" w:space="0" w:color="000000" w:themeColor="text1"/>
              <w:right w:val="single" w:sz="8" w:space="0" w:color="000000" w:themeColor="text1"/>
            </w:tcBorders>
            <w:shd w:val="clear" w:color="auto" w:fill="C6EFCE"/>
            <w:vAlign w:val="center"/>
          </w:tcPr>
          <w:p w14:paraId="67D58A36" w14:textId="29A5AFF1" w:rsidR="00025543" w:rsidRDefault="007E3A2F">
            <w:pPr>
              <w:pStyle w:val="P68B1DB1-Normal57"/>
              <w:spacing w:line="240" w:lineRule="auto"/>
              <w:jc w:val="center"/>
              <w:rPr>
                <w:noProof/>
              </w:rPr>
            </w:pPr>
            <w:r>
              <w:rPr>
                <w:noProof/>
              </w:rPr>
              <w:t xml:space="preserve">Accords juridiques signés avec les bénéficiaires finaux  </w:t>
            </w:r>
          </w:p>
        </w:tc>
      </w:tr>
      <w:tr w:rsidR="00025543" w14:paraId="71AFFF4C" w14:textId="77777777">
        <w:trPr>
          <w:trHeight w:val="795"/>
        </w:trPr>
        <w:tc>
          <w:tcPr>
            <w:tcW w:w="1273" w:type="dxa"/>
            <w:tcBorders>
              <w:top w:val="single" w:sz="4" w:space="0" w:color="000000" w:themeColor="text1"/>
              <w:left w:val="single" w:sz="8" w:space="0" w:color="auto"/>
              <w:bottom w:val="single" w:sz="4" w:space="0" w:color="000000" w:themeColor="text1"/>
              <w:right w:val="single" w:sz="8" w:space="0" w:color="000000" w:themeColor="text1"/>
            </w:tcBorders>
            <w:shd w:val="clear" w:color="auto" w:fill="C6EFCE"/>
            <w:vAlign w:val="center"/>
          </w:tcPr>
          <w:p w14:paraId="1C7558DD" w14:textId="7764F939" w:rsidR="00025543" w:rsidRDefault="007E3A2F">
            <w:pPr>
              <w:pStyle w:val="P68B1DB1-Normal57"/>
              <w:spacing w:line="240" w:lineRule="auto"/>
              <w:jc w:val="center"/>
              <w:rPr>
                <w:noProof/>
              </w:rPr>
            </w:pPr>
            <w:r>
              <w:rPr>
                <w:noProof/>
              </w:rPr>
              <w:t>269</w:t>
            </w:r>
          </w:p>
        </w:tc>
        <w:tc>
          <w:tcPr>
            <w:tcW w:w="3843" w:type="dxa"/>
            <w:tcBorders>
              <w:top w:val="nil"/>
              <w:left w:val="nil"/>
              <w:bottom w:val="single" w:sz="8" w:space="0" w:color="000000" w:themeColor="text1"/>
              <w:right w:val="single" w:sz="8" w:space="0" w:color="000000" w:themeColor="text1"/>
            </w:tcBorders>
            <w:shd w:val="clear" w:color="auto" w:fill="C6EFCE"/>
            <w:vAlign w:val="center"/>
          </w:tcPr>
          <w:p w14:paraId="4CAA4F37" w14:textId="5A9B9E96" w:rsidR="00025543" w:rsidRDefault="007E3A2F">
            <w:pPr>
              <w:pStyle w:val="P68B1DB1-Normal57"/>
              <w:spacing w:line="240" w:lineRule="auto"/>
              <w:jc w:val="center"/>
              <w:rPr>
                <w:noProof/>
              </w:rPr>
            </w:pPr>
            <w:r>
              <w:rPr>
                <w:noProof/>
              </w:rPr>
              <w:t>C 2.10 Logements abordables — Investissement 2:  Facilité de prêt subordonné</w:t>
            </w:r>
          </w:p>
        </w:tc>
        <w:tc>
          <w:tcPr>
            <w:tcW w:w="1809" w:type="dxa"/>
            <w:tcBorders>
              <w:top w:val="nil"/>
              <w:left w:val="nil"/>
              <w:bottom w:val="single" w:sz="8" w:space="0" w:color="000000" w:themeColor="text1"/>
              <w:right w:val="single" w:sz="8" w:space="0" w:color="000000" w:themeColor="text1"/>
            </w:tcBorders>
            <w:shd w:val="clear" w:color="auto" w:fill="C6EFCE"/>
            <w:vAlign w:val="center"/>
          </w:tcPr>
          <w:p w14:paraId="04587DD0" w14:textId="4D38567E" w:rsidR="00025543" w:rsidRDefault="007E3A2F">
            <w:pPr>
              <w:pStyle w:val="P68B1DB1-Normal57"/>
              <w:spacing w:line="240" w:lineRule="auto"/>
              <w:jc w:val="center"/>
              <w:rPr>
                <w:noProof/>
              </w:rPr>
            </w:pPr>
            <w:r>
              <w:rPr>
                <w:noProof/>
              </w:rPr>
              <w:t>Étapes</w:t>
            </w:r>
          </w:p>
        </w:tc>
        <w:tc>
          <w:tcPr>
            <w:tcW w:w="3295" w:type="dxa"/>
            <w:tcBorders>
              <w:top w:val="single" w:sz="4" w:space="0" w:color="000000" w:themeColor="text1"/>
              <w:left w:val="nil"/>
              <w:bottom w:val="single" w:sz="4" w:space="0" w:color="000000" w:themeColor="text1"/>
              <w:right w:val="single" w:sz="8" w:space="0" w:color="000000" w:themeColor="text1"/>
            </w:tcBorders>
            <w:shd w:val="clear" w:color="auto" w:fill="C6EFCE"/>
            <w:vAlign w:val="center"/>
          </w:tcPr>
          <w:p w14:paraId="303A0E60" w14:textId="16EDE87D" w:rsidR="00025543" w:rsidRDefault="007E3A2F">
            <w:pPr>
              <w:pStyle w:val="P68B1DB1-Normal57"/>
              <w:spacing w:line="240" w:lineRule="auto"/>
              <w:jc w:val="center"/>
              <w:rPr>
                <w:noProof/>
              </w:rPr>
            </w:pPr>
            <w:r>
              <w:rPr>
                <w:noProof/>
              </w:rPr>
              <w:t>Le ministère a achevé l’investissement</w:t>
            </w:r>
          </w:p>
        </w:tc>
      </w:tr>
      <w:tr w:rsidR="00025543" w14:paraId="6490F9F6" w14:textId="77777777">
        <w:trPr>
          <w:trHeight w:val="795"/>
        </w:trPr>
        <w:tc>
          <w:tcPr>
            <w:tcW w:w="1273" w:type="dxa"/>
            <w:tcBorders>
              <w:top w:val="single" w:sz="4" w:space="0" w:color="000000" w:themeColor="text1"/>
              <w:left w:val="single" w:sz="8" w:space="0" w:color="auto"/>
              <w:bottom w:val="single" w:sz="4" w:space="0" w:color="000000" w:themeColor="text1"/>
              <w:right w:val="single" w:sz="8" w:space="0" w:color="000000" w:themeColor="text1"/>
            </w:tcBorders>
            <w:shd w:val="clear" w:color="auto" w:fill="C6EFCE"/>
            <w:vAlign w:val="center"/>
          </w:tcPr>
          <w:p w14:paraId="2B369A8E" w14:textId="52A0FC7E" w:rsidR="00025543" w:rsidRDefault="007E3A2F">
            <w:pPr>
              <w:pStyle w:val="P68B1DB1-Normal57"/>
              <w:spacing w:line="240" w:lineRule="auto"/>
              <w:jc w:val="center"/>
              <w:rPr>
                <w:noProof/>
              </w:rPr>
            </w:pPr>
            <w:r>
              <w:rPr>
                <w:noProof/>
              </w:rPr>
              <w:t>271</w:t>
            </w:r>
          </w:p>
        </w:tc>
        <w:tc>
          <w:tcPr>
            <w:tcW w:w="3843" w:type="dxa"/>
            <w:tcBorders>
              <w:top w:val="nil"/>
              <w:left w:val="nil"/>
              <w:bottom w:val="single" w:sz="8" w:space="0" w:color="000000" w:themeColor="text1"/>
              <w:right w:val="single" w:sz="8" w:space="0" w:color="000000" w:themeColor="text1"/>
            </w:tcBorders>
            <w:shd w:val="clear" w:color="auto" w:fill="C6EFCE"/>
            <w:vAlign w:val="center"/>
          </w:tcPr>
          <w:p w14:paraId="5D68FAF1" w14:textId="34330468" w:rsidR="00025543" w:rsidRDefault="007E3A2F">
            <w:pPr>
              <w:pStyle w:val="P68B1DB1-Normal57"/>
              <w:spacing w:line="240" w:lineRule="auto"/>
              <w:jc w:val="center"/>
              <w:rPr>
                <w:noProof/>
              </w:rPr>
            </w:pPr>
            <w:r>
              <w:rPr>
                <w:noProof/>
              </w:rPr>
              <w:t>C 2.10 Logements abordables — Investissement 3:  Facilité de co-investissement</w:t>
            </w:r>
          </w:p>
        </w:tc>
        <w:tc>
          <w:tcPr>
            <w:tcW w:w="1809" w:type="dxa"/>
            <w:tcBorders>
              <w:top w:val="nil"/>
              <w:left w:val="nil"/>
              <w:bottom w:val="single" w:sz="8" w:space="0" w:color="000000" w:themeColor="text1"/>
              <w:right w:val="single" w:sz="8" w:space="0" w:color="000000" w:themeColor="text1"/>
            </w:tcBorders>
            <w:shd w:val="clear" w:color="auto" w:fill="C6EFCE"/>
            <w:vAlign w:val="center"/>
          </w:tcPr>
          <w:p w14:paraId="7D85914E" w14:textId="7FCD88CB" w:rsidR="00025543" w:rsidRDefault="007E3A2F">
            <w:pPr>
              <w:pStyle w:val="P68B1DB1-Normal57"/>
              <w:spacing w:line="240" w:lineRule="auto"/>
              <w:jc w:val="center"/>
              <w:rPr>
                <w:noProof/>
              </w:rPr>
            </w:pPr>
            <w:r>
              <w:rPr>
                <w:noProof/>
              </w:rPr>
              <w:t>Cible</w:t>
            </w:r>
          </w:p>
        </w:tc>
        <w:tc>
          <w:tcPr>
            <w:tcW w:w="3295" w:type="dxa"/>
            <w:tcBorders>
              <w:top w:val="single" w:sz="4" w:space="0" w:color="000000" w:themeColor="text1"/>
              <w:left w:val="nil"/>
              <w:bottom w:val="single" w:sz="4" w:space="0" w:color="000000" w:themeColor="text1"/>
              <w:right w:val="single" w:sz="8" w:space="0" w:color="000000" w:themeColor="text1"/>
            </w:tcBorders>
            <w:shd w:val="clear" w:color="auto" w:fill="C6EFCE"/>
            <w:vAlign w:val="center"/>
          </w:tcPr>
          <w:p w14:paraId="7B51F648" w14:textId="14612306" w:rsidR="00025543" w:rsidRDefault="007E3A2F">
            <w:pPr>
              <w:pStyle w:val="P68B1DB1-Normal57"/>
              <w:spacing w:line="240" w:lineRule="auto"/>
              <w:jc w:val="center"/>
              <w:rPr>
                <w:noProof/>
              </w:rPr>
            </w:pPr>
            <w:r>
              <w:rPr>
                <w:noProof/>
              </w:rPr>
              <w:t xml:space="preserve">Accords juridiques signés avec les bénéficiaires finaux  </w:t>
            </w:r>
          </w:p>
        </w:tc>
      </w:tr>
      <w:tr w:rsidR="00025543" w14:paraId="18F6A34A" w14:textId="77777777">
        <w:trPr>
          <w:trHeight w:val="795"/>
        </w:trPr>
        <w:tc>
          <w:tcPr>
            <w:tcW w:w="1273" w:type="dxa"/>
            <w:tcBorders>
              <w:top w:val="single" w:sz="4" w:space="0" w:color="000000" w:themeColor="text1"/>
              <w:left w:val="single" w:sz="8" w:space="0" w:color="auto"/>
              <w:bottom w:val="single" w:sz="4" w:space="0" w:color="000000" w:themeColor="text1"/>
              <w:right w:val="single" w:sz="8" w:space="0" w:color="000000" w:themeColor="text1"/>
            </w:tcBorders>
            <w:shd w:val="clear" w:color="auto" w:fill="C6EFCE"/>
            <w:vAlign w:val="center"/>
          </w:tcPr>
          <w:p w14:paraId="420D419C" w14:textId="33BBC81A" w:rsidR="00025543" w:rsidRDefault="007E3A2F">
            <w:pPr>
              <w:pStyle w:val="P68B1DB1-Normal57"/>
              <w:spacing w:line="240" w:lineRule="auto"/>
              <w:jc w:val="center"/>
              <w:rPr>
                <w:noProof/>
              </w:rPr>
            </w:pPr>
            <w:r>
              <w:rPr>
                <w:noProof/>
              </w:rPr>
              <w:t>272</w:t>
            </w:r>
          </w:p>
        </w:tc>
        <w:tc>
          <w:tcPr>
            <w:tcW w:w="3843" w:type="dxa"/>
            <w:tcBorders>
              <w:top w:val="nil"/>
              <w:left w:val="nil"/>
              <w:bottom w:val="single" w:sz="8" w:space="0" w:color="000000" w:themeColor="text1"/>
              <w:right w:val="single" w:sz="8" w:space="0" w:color="000000" w:themeColor="text1"/>
            </w:tcBorders>
            <w:shd w:val="clear" w:color="auto" w:fill="C6EFCE"/>
            <w:vAlign w:val="center"/>
          </w:tcPr>
          <w:p w14:paraId="5BE383DD" w14:textId="21091A1B" w:rsidR="00025543" w:rsidRDefault="007E3A2F">
            <w:pPr>
              <w:pStyle w:val="P68B1DB1-Normal57"/>
              <w:spacing w:before="0" w:after="0" w:line="240" w:lineRule="auto"/>
              <w:jc w:val="center"/>
              <w:rPr>
                <w:noProof/>
              </w:rPr>
            </w:pPr>
            <w:r>
              <w:rPr>
                <w:noProof/>
              </w:rPr>
              <w:t xml:space="preserve">C 2.10 Logements abordables — Investissement 3:  </w:t>
            </w:r>
          </w:p>
          <w:p w14:paraId="06723EEB" w14:textId="3B908FF4" w:rsidR="00025543" w:rsidRDefault="007E3A2F">
            <w:pPr>
              <w:pStyle w:val="P68B1DB1-Normal57"/>
              <w:spacing w:before="0" w:after="0" w:line="240" w:lineRule="auto"/>
              <w:jc w:val="center"/>
              <w:rPr>
                <w:noProof/>
              </w:rPr>
            </w:pPr>
            <w:r>
              <w:rPr>
                <w:noProof/>
              </w:rPr>
              <w:t>Facilité de co-investissement</w:t>
            </w:r>
          </w:p>
        </w:tc>
        <w:tc>
          <w:tcPr>
            <w:tcW w:w="1809" w:type="dxa"/>
            <w:tcBorders>
              <w:top w:val="nil"/>
              <w:left w:val="nil"/>
              <w:bottom w:val="single" w:sz="8" w:space="0" w:color="000000" w:themeColor="text1"/>
              <w:right w:val="single" w:sz="8" w:space="0" w:color="000000" w:themeColor="text1"/>
            </w:tcBorders>
            <w:shd w:val="clear" w:color="auto" w:fill="C6EFCE"/>
            <w:vAlign w:val="center"/>
          </w:tcPr>
          <w:p w14:paraId="256E3728" w14:textId="0AC37596" w:rsidR="00025543" w:rsidRDefault="007E3A2F">
            <w:pPr>
              <w:pStyle w:val="P68B1DB1-Normal57"/>
              <w:spacing w:before="0" w:after="0" w:line="240" w:lineRule="auto"/>
              <w:jc w:val="center"/>
              <w:rPr>
                <w:noProof/>
              </w:rPr>
            </w:pPr>
            <w:r>
              <w:rPr>
                <w:noProof/>
              </w:rPr>
              <w:t>Étapes</w:t>
            </w:r>
          </w:p>
        </w:tc>
        <w:tc>
          <w:tcPr>
            <w:tcW w:w="3295" w:type="dxa"/>
            <w:tcBorders>
              <w:top w:val="single" w:sz="4" w:space="0" w:color="000000" w:themeColor="text1"/>
              <w:left w:val="nil"/>
              <w:bottom w:val="single" w:sz="4" w:space="0" w:color="000000" w:themeColor="text1"/>
              <w:right w:val="single" w:sz="8" w:space="0" w:color="000000" w:themeColor="text1"/>
            </w:tcBorders>
            <w:shd w:val="clear" w:color="auto" w:fill="C6EFCE"/>
            <w:vAlign w:val="center"/>
          </w:tcPr>
          <w:p w14:paraId="6DF17E02" w14:textId="58650711" w:rsidR="00025543" w:rsidRDefault="007E3A2F">
            <w:pPr>
              <w:pStyle w:val="P68B1DB1-Normal57"/>
              <w:spacing w:before="0" w:after="0" w:line="240" w:lineRule="auto"/>
              <w:jc w:val="center"/>
              <w:rPr>
                <w:noProof/>
              </w:rPr>
            </w:pPr>
            <w:r>
              <w:rPr>
                <w:noProof/>
              </w:rPr>
              <w:t xml:space="preserve">Le ministère a achevé l’investissement  </w:t>
            </w:r>
          </w:p>
        </w:tc>
      </w:tr>
      <w:tr w:rsidR="00025543" w14:paraId="6256E530" w14:textId="77777777">
        <w:trPr>
          <w:trHeight w:val="795"/>
        </w:trPr>
        <w:tc>
          <w:tcPr>
            <w:tcW w:w="1273" w:type="dxa"/>
            <w:tcBorders>
              <w:top w:val="single" w:sz="4" w:space="0" w:color="000000" w:themeColor="text1"/>
              <w:left w:val="single" w:sz="8" w:space="0" w:color="auto"/>
              <w:bottom w:val="single" w:sz="4" w:space="0" w:color="000000" w:themeColor="text1"/>
              <w:right w:val="single" w:sz="8" w:space="0" w:color="000000" w:themeColor="text1"/>
            </w:tcBorders>
            <w:shd w:val="clear" w:color="auto" w:fill="C6EFCE"/>
            <w:vAlign w:val="center"/>
          </w:tcPr>
          <w:p w14:paraId="387265AB" w14:textId="4CF06B22" w:rsidR="00025543" w:rsidRDefault="00025543">
            <w:pPr>
              <w:spacing w:line="240" w:lineRule="auto"/>
              <w:jc w:val="center"/>
              <w:rPr>
                <w:rFonts w:eastAsia="Times New Roman"/>
                <w:noProof/>
                <w:color w:val="006100"/>
                <w:sz w:val="20"/>
              </w:rPr>
            </w:pPr>
          </w:p>
        </w:tc>
        <w:tc>
          <w:tcPr>
            <w:tcW w:w="3843" w:type="dxa"/>
            <w:tcBorders>
              <w:top w:val="nil"/>
              <w:left w:val="nil"/>
              <w:bottom w:val="single" w:sz="8" w:space="0" w:color="000000" w:themeColor="text1"/>
              <w:right w:val="single" w:sz="8" w:space="0" w:color="000000" w:themeColor="text1"/>
            </w:tcBorders>
            <w:shd w:val="clear" w:color="auto" w:fill="C6EFCE"/>
            <w:vAlign w:val="center"/>
          </w:tcPr>
          <w:p w14:paraId="22DDC548" w14:textId="134A592E" w:rsidR="00025543" w:rsidRDefault="00025543">
            <w:pPr>
              <w:spacing w:line="240" w:lineRule="auto"/>
              <w:jc w:val="center"/>
              <w:rPr>
                <w:rFonts w:eastAsia="Times New Roman"/>
                <w:noProof/>
                <w:color w:val="006100"/>
                <w:sz w:val="20"/>
              </w:rPr>
            </w:pPr>
          </w:p>
        </w:tc>
        <w:tc>
          <w:tcPr>
            <w:tcW w:w="1809" w:type="dxa"/>
            <w:tcBorders>
              <w:top w:val="nil"/>
              <w:left w:val="nil"/>
              <w:bottom w:val="single" w:sz="8" w:space="0" w:color="000000" w:themeColor="text1"/>
              <w:right w:val="single" w:sz="8" w:space="0" w:color="000000" w:themeColor="text1"/>
            </w:tcBorders>
            <w:shd w:val="clear" w:color="auto" w:fill="C6EFCE"/>
            <w:vAlign w:val="center"/>
          </w:tcPr>
          <w:p w14:paraId="552FEF72" w14:textId="585EC65F" w:rsidR="00025543" w:rsidRDefault="007E3A2F">
            <w:pPr>
              <w:pStyle w:val="P68B1DB1-Normal59"/>
              <w:spacing w:line="240" w:lineRule="auto"/>
              <w:jc w:val="center"/>
              <w:rPr>
                <w:noProof/>
              </w:rPr>
            </w:pPr>
            <w:r>
              <w:rPr>
                <w:noProof/>
              </w:rPr>
              <w:t>Montant de la tranche</w:t>
            </w:r>
          </w:p>
        </w:tc>
        <w:tc>
          <w:tcPr>
            <w:tcW w:w="3295" w:type="dxa"/>
            <w:tcBorders>
              <w:top w:val="single" w:sz="4" w:space="0" w:color="000000" w:themeColor="text1"/>
              <w:left w:val="nil"/>
              <w:bottom w:val="single" w:sz="4" w:space="0" w:color="000000" w:themeColor="text1"/>
              <w:right w:val="single" w:sz="8" w:space="0" w:color="000000" w:themeColor="text1"/>
            </w:tcBorders>
            <w:shd w:val="clear" w:color="auto" w:fill="C6EFCE"/>
            <w:vAlign w:val="center"/>
          </w:tcPr>
          <w:p w14:paraId="3E706469" w14:textId="5A7AB583" w:rsidR="00025543" w:rsidRDefault="007E3A2F">
            <w:pPr>
              <w:pStyle w:val="P68B1DB1-Normal59"/>
              <w:spacing w:line="240" w:lineRule="auto"/>
              <w:jc w:val="center"/>
              <w:rPr>
                <w:noProof/>
              </w:rPr>
            </w:pPr>
            <w:r>
              <w:rPr>
                <w:noProof/>
              </w:rPr>
              <w:t>224 987 575 EUR</w:t>
            </w:r>
          </w:p>
        </w:tc>
      </w:tr>
    </w:tbl>
    <w:p w14:paraId="61DDC2EA" w14:textId="636F8BA1" w:rsidR="00025543" w:rsidRDefault="00025543">
      <w:pPr>
        <w:spacing w:line="240" w:lineRule="auto"/>
        <w:jc w:val="both"/>
        <w:rPr>
          <w:rFonts w:eastAsia="Times New Roman"/>
          <w:noProof/>
        </w:rPr>
        <w:sectPr w:rsidR="00025543" w:rsidSect="003F264F">
          <w:headerReference w:type="even" r:id="rId522"/>
          <w:headerReference w:type="default" r:id="rId523"/>
          <w:footerReference w:type="even" r:id="rId524"/>
          <w:footerReference w:type="default" r:id="rId525"/>
          <w:headerReference w:type="first" r:id="rId526"/>
          <w:footerReference w:type="first" r:id="rId527"/>
          <w:pgSz w:w="11907" w:h="16839"/>
          <w:pgMar w:top="1134" w:right="1134" w:bottom="1134" w:left="1134" w:header="567" w:footer="567" w:gutter="0"/>
          <w:cols w:space="720"/>
          <w:docGrid w:linePitch="360"/>
        </w:sectPr>
      </w:pPr>
    </w:p>
    <w:p w14:paraId="749CDB9E" w14:textId="77777777" w:rsidR="00025543" w:rsidRDefault="007E3A2F">
      <w:pPr>
        <w:pStyle w:val="P68B1DB1-Normal2"/>
        <w:keepNext/>
        <w:tabs>
          <w:tab w:val="left" w:pos="850"/>
        </w:tabs>
        <w:spacing w:line="240" w:lineRule="auto"/>
        <w:jc w:val="both"/>
        <w:outlineLvl w:val="0"/>
        <w:rPr>
          <w:noProof/>
        </w:rPr>
      </w:pPr>
      <w:r>
        <w:rPr>
          <w:noProof/>
        </w:rPr>
        <w:t xml:space="preserve">SECTION 3: DISPOSITIONS COMPLÉMENTAIRES </w:t>
      </w:r>
    </w:p>
    <w:p w14:paraId="40A2302A" w14:textId="77777777" w:rsidR="00025543" w:rsidRDefault="007E3A2F">
      <w:pPr>
        <w:pStyle w:val="P68B1DB1-Normal7"/>
        <w:numPr>
          <w:ilvl w:val="0"/>
          <w:numId w:val="203"/>
        </w:numPr>
        <w:spacing w:line="240" w:lineRule="auto"/>
        <w:jc w:val="both"/>
        <w:rPr>
          <w:noProof/>
        </w:rPr>
      </w:pPr>
      <w:r>
        <w:rPr>
          <w:noProof/>
        </w:rPr>
        <w:t>Modalités de suivi et de mise en œuvre du plan pour la reprise et la résilience</w:t>
      </w:r>
    </w:p>
    <w:p w14:paraId="291E8729" w14:textId="77777777" w:rsidR="00025543" w:rsidRDefault="007E3A2F">
      <w:pPr>
        <w:pStyle w:val="P68B1DB1-Normal3"/>
        <w:spacing w:line="240" w:lineRule="auto"/>
        <w:jc w:val="both"/>
        <w:rPr>
          <w:noProof/>
        </w:rPr>
      </w:pPr>
      <w:r>
        <w:rPr>
          <w:noProof/>
        </w:rPr>
        <w:t xml:space="preserve">Le suivi et la mise en œuvre du plan pour la reprise et la résilience de la Tchéquie se déroulent conformément aux modalités suivantes: </w:t>
      </w:r>
    </w:p>
    <w:p w14:paraId="133409D0" w14:textId="77777777" w:rsidR="00025543" w:rsidRDefault="007E3A2F">
      <w:pPr>
        <w:spacing w:line="240" w:lineRule="auto"/>
        <w:jc w:val="both"/>
        <w:rPr>
          <w:rFonts w:eastAsia="Times New Roman"/>
          <w:noProof/>
        </w:rPr>
      </w:pPr>
      <w:r>
        <w:rPr>
          <w:rFonts w:eastAsia="Times New Roman"/>
          <w:noProof/>
        </w:rPr>
        <w:t xml:space="preserve">Afin d’établir des missions, des compétences et des pouvoirs bien définis, le gouvernement tchèque a adopté, le 17 mai 2021, la résolution gouvernementale no 467. Cette résolution a approuvé le plan pour la reprise et la résilience, le statut, le règlement intérieur et le code d’éthique du conseil de </w:t>
      </w:r>
      <w:r>
        <w:rPr>
          <w:noProof/>
        </w:rPr>
        <w:t>gestion du plan national pour la reprise et la résilience</w:t>
      </w:r>
      <w:r>
        <w:rPr>
          <w:rFonts w:eastAsia="Times New Roman"/>
          <w:noProof/>
        </w:rPr>
        <w:t>, ainsi que les tâches et les compétences des organismes participant à la mise en œuvre du plan pour la</w:t>
      </w:r>
      <w:r>
        <w:rPr>
          <w:rFonts w:eastAsia="Times New Roman"/>
          <w:noProof/>
          <w:sz w:val="28"/>
        </w:rPr>
        <w:t xml:space="preserve"> </w:t>
      </w:r>
      <w:r>
        <w:rPr>
          <w:rFonts w:eastAsia="Times New Roman"/>
          <w:noProof/>
        </w:rPr>
        <w:t>reprise et la résilience et a nommé le ministère de l’industrie et du commerce en tant qu’organisme de coordination et le ministère des finances en tant qu’organe d’audit du plan pour la reprise et la résilience.</w:t>
      </w:r>
    </w:p>
    <w:p w14:paraId="4E6922D7" w14:textId="0EBBED40" w:rsidR="00025543" w:rsidRDefault="007E3A2F">
      <w:pPr>
        <w:pStyle w:val="P68B1DB1-Normal3"/>
        <w:spacing w:line="240" w:lineRule="auto"/>
        <w:jc w:val="both"/>
        <w:rPr>
          <w:noProof/>
        </w:rPr>
      </w:pPr>
      <w:r>
        <w:rPr>
          <w:noProof/>
        </w:rPr>
        <w:t>Le conseil de gestion du plan national pour la reprise et la résilience est l’organe de décision et d’approbation le plus élevé qui est responsable de la coordination et du suivi global de ce plan. Les demandes de paiement doivent être approuvées par ce conseil. Le ministère de l’industrie et du commerce, en tant qu’organe central de coordination du plan pour la reprise et la résilience et sa mise en œuvre, est responsable de la coordination, du suivi et de l’établissement de rapports concernant le plan pour la reprise et la résilience et est le principal point de contact de la Commission. Cet organisme est également chargé d’établir les demandes de paiement et les déclarations de gestion. Il coordonne la communication des valeurs intermédiaires et des valeurs cibles, des indicateurs pertinents, mais aussi des informations financières qualitatives et d’autres données, par exemple sur les bénéficiaires finaux. L’encodage des données a lieu dans des systèmes d’information décentralisés dans l’ensemble des systèmes au niveau des propriétaires de composants, qui sont tenus de communiquer les données requises au ministère de l’industrie et du commerce. À la suite d’un audit récent d’autres programmes de l’UE, le ministère de l’industrie et du commerce s’est vu remettre un avis d’audit assorti de réserves en raison de l’absence de mesures efficaces axées sur la prévention, la détection et la correction des cas de conflits d’intérêts. Des jalons spécifiques sont inclus dans le plan afin de s’assurer que ces faiblesses ont été corrigées avant la première demande de paiement.</w:t>
      </w:r>
    </w:p>
    <w:p w14:paraId="326A6760" w14:textId="77777777" w:rsidR="00025543" w:rsidRDefault="007E3A2F">
      <w:pPr>
        <w:pStyle w:val="P68B1DB1-Normal7"/>
        <w:numPr>
          <w:ilvl w:val="0"/>
          <w:numId w:val="198"/>
        </w:numPr>
        <w:spacing w:line="240" w:lineRule="auto"/>
        <w:jc w:val="both"/>
        <w:rPr>
          <w:noProof/>
        </w:rPr>
      </w:pPr>
      <w:r>
        <w:rPr>
          <w:noProof/>
        </w:rPr>
        <w:t>Modalités permettant à la Commission d’accéder pleinement aux données sous-jacentes</w:t>
      </w:r>
    </w:p>
    <w:p w14:paraId="370C9C7A" w14:textId="77777777" w:rsidR="00025543" w:rsidRDefault="007E3A2F">
      <w:pPr>
        <w:spacing w:line="240" w:lineRule="auto"/>
        <w:jc w:val="both"/>
        <w:rPr>
          <w:noProof/>
        </w:rPr>
      </w:pPr>
      <w:r>
        <w:rPr>
          <w:noProof/>
        </w:rPr>
        <w:t>Afin de donner à la Commission un accès complet aux données pertinentes sous-jacentes, la Tchéquie met en place les dispositions suivantes:</w:t>
      </w:r>
    </w:p>
    <w:p w14:paraId="79DBBC8C" w14:textId="77777777" w:rsidR="00025543" w:rsidRDefault="007E3A2F">
      <w:pPr>
        <w:spacing w:line="240" w:lineRule="auto"/>
        <w:jc w:val="both"/>
        <w:rPr>
          <w:noProof/>
        </w:rPr>
      </w:pPr>
      <w:r>
        <w:rPr>
          <w:noProof/>
        </w:rPr>
        <w:t>Le ministère de l’industrie et du commerce, en tant qu’organisme central de coordination du plan pour la reprise et la résilience de la Tchéquie et de sa mise en œuvre, est responsable de la coordination et du suivi globaux du plan. En particulier, elle agit en tant qu’organe de coordination chargé de suivre les progrès accomplis en ce qui concerne les valeurs intermédiaires et les valeurs cibles, le cas échéant, de procéder à des vérifications de gestion et de fournir des rapports et des demandes de paiement. Il coordonne la communication des valeurs intermédiaires et des valeurs cibles, des indicateurs pertinents, mais aussi des informations financières qualitatives et d’autres données, par exemple sur les bénéficiaires finaux. L’encodage des données a lieu dans des systèmes décentralisés de différents propriétaires de composants, qui sont tenus de communiquer les données requises à l’organisme de coordination.</w:t>
      </w:r>
    </w:p>
    <w:p w14:paraId="41488AB2" w14:textId="75F2DF20" w:rsidR="00025543" w:rsidRDefault="007E3A2F">
      <w:pPr>
        <w:spacing w:line="240" w:lineRule="auto"/>
        <w:jc w:val="both"/>
        <w:rPr>
          <w:noProof/>
        </w:rPr>
      </w:pPr>
      <w:r>
        <w:rPr>
          <w:noProof/>
        </w:rPr>
        <w:t>Conformément à l’article 24, paragraphe 2, du règlement (UE) 2021/241, lorsque les jalons et cibles pertinents convenus à la section 2.1 de la présente annexe auront été atteints, la Tchéquie présente à la Commission une demande dûment justifiée de paiement de la contribution financière. La Tchéquie veille à ce que, sur demande, la Commission ait pleinement accès aux données pertinentes sous-jacentes étayant la justification appropriée de la demande de paiement, tant aux fins de l’évaluation de la demande de paiement conformément à l’article 24, paragraphe 3, du règlement (UE) 2021/241 qu’à des fins d’audit et de contrôle.</w:t>
      </w:r>
    </w:p>
    <w:sectPr w:rsidR="00025543">
      <w:headerReference w:type="even" r:id="rId528"/>
      <w:headerReference w:type="default" r:id="rId529"/>
      <w:footerReference w:type="even" r:id="rId530"/>
      <w:footerReference w:type="default" r:id="rId531"/>
      <w:headerReference w:type="first" r:id="rId532"/>
      <w:footerReference w:type="first" r:id="rId533"/>
      <w:footnotePr>
        <w:numRestart w:val="eachPage"/>
      </w:footnotePr>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9426F" w14:textId="77777777" w:rsidR="00025543" w:rsidRDefault="007E3A2F">
      <w:pPr>
        <w:spacing w:before="0" w:after="0" w:line="240" w:lineRule="auto"/>
      </w:pPr>
      <w:r>
        <w:separator/>
      </w:r>
    </w:p>
  </w:endnote>
  <w:endnote w:type="continuationSeparator" w:id="0">
    <w:p w14:paraId="0AA67D85" w14:textId="77777777" w:rsidR="00025543" w:rsidRDefault="007E3A2F">
      <w:pPr>
        <w:spacing w:before="0" w:after="0" w:line="240" w:lineRule="auto"/>
      </w:pPr>
      <w:r>
        <w:continuationSeparator/>
      </w:r>
    </w:p>
  </w:endnote>
  <w:endnote w:type="continuationNotice" w:id="1">
    <w:p w14:paraId="58BBD61B" w14:textId="77777777" w:rsidR="00025543" w:rsidRDefault="0002554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quot;Courier New&quot;">
    <w:altName w:val="Cambria"/>
    <w:panose1 w:val="00000000000000000000"/>
    <w:charset w:val="00"/>
    <w:family w:val="roman"/>
    <w:notTrueType/>
    <w:pitch w:val="default"/>
  </w:font>
  <w:font w:name="&quot;Times New Roman&quot;,seri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Roboto Condensed">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panose1 w:val="02020609040205080304"/>
    <w:charset w:val="80"/>
    <w:family w:val="modern"/>
    <w:pitch w:val="fixed"/>
    <w:sig w:usb0="E00002FF" w:usb1="6AC7FDFB" w:usb2="08000012" w:usb3="00000000" w:csb0="0002009F" w:csb1="00000000"/>
  </w:font>
  <w:font w:name="EC Square Sans Pro">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6D415" w14:textId="75688541" w:rsidR="001F3B3F" w:rsidRPr="00B91265" w:rsidRDefault="001F3B3F" w:rsidP="00B9126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4A6A1" w14:textId="77777777" w:rsidR="00025543" w:rsidRDefault="00025543">
    <w:pPr>
      <w:pStyle w:val="Footer"/>
    </w:pP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61378" w14:textId="77777777" w:rsidR="00025543" w:rsidRDefault="00025543">
    <w:pPr>
      <w:pStyle w:val="Footer"/>
    </w:pP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011561"/>
      <w:docPartObj>
        <w:docPartGallery w:val="Page Numbers (Bottom of Page)"/>
        <w:docPartUnique/>
      </w:docPartObj>
    </w:sdtPr>
    <w:sdtEndPr>
      <w:rPr>
        <w:noProof/>
      </w:rPr>
    </w:sdtEndPr>
    <w:sdtContent>
      <w:p w14:paraId="5678564A" w14:textId="2E38441B" w:rsidR="00025543" w:rsidRDefault="007E3A2F">
        <w:pPr>
          <w:pStyle w:val="Footer"/>
          <w:jc w:val="center"/>
        </w:pPr>
        <w:r>
          <w:fldChar w:fldCharType="begin"/>
        </w:r>
        <w:r>
          <w:instrText xml:space="preserve"> PAGE   \* MERGEFORMAT </w:instrText>
        </w:r>
        <w:r>
          <w:fldChar w:fldCharType="separate"/>
        </w:r>
        <w:r>
          <w:t>90</w:t>
        </w:r>
        <w:r>
          <w:fldChar w:fldCharType="end"/>
        </w:r>
      </w:p>
    </w:sdtContent>
  </w:sdt>
  <w:p w14:paraId="45C7003E" w14:textId="77777777" w:rsidR="00025543" w:rsidRDefault="00025543">
    <w:pPr>
      <w:pStyle w:val="FooterCouncil"/>
    </w:pP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81D4A" w14:textId="77777777" w:rsidR="00025543" w:rsidRDefault="00025543">
    <w:pPr>
      <w:pStyle w:val="Footer"/>
    </w:pP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03A87" w14:textId="77777777" w:rsidR="00025543" w:rsidRDefault="00025543">
    <w:pPr>
      <w:pStyle w:val="Footer"/>
    </w:pP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699042"/>
      <w:docPartObj>
        <w:docPartGallery w:val="Page Numbers (Bottom of Page)"/>
        <w:docPartUnique/>
      </w:docPartObj>
    </w:sdtPr>
    <w:sdtEndPr>
      <w:rPr>
        <w:noProof/>
      </w:rPr>
    </w:sdtEndPr>
    <w:sdtContent>
      <w:p w14:paraId="4D727465" w14:textId="77B4CBD4" w:rsidR="00025543" w:rsidRDefault="007E3A2F">
        <w:pPr>
          <w:pStyle w:val="Footer"/>
          <w:jc w:val="center"/>
        </w:pPr>
        <w:r>
          <w:fldChar w:fldCharType="begin"/>
        </w:r>
        <w:r>
          <w:instrText xml:space="preserve"> PAGE   \* MERGEFORMAT </w:instrText>
        </w:r>
        <w:r>
          <w:fldChar w:fldCharType="separate"/>
        </w:r>
        <w:r>
          <w:t>100</w:t>
        </w:r>
        <w:r>
          <w:fldChar w:fldCharType="end"/>
        </w:r>
      </w:p>
    </w:sdtContent>
  </w:sdt>
  <w:p w14:paraId="40BC6018" w14:textId="77777777" w:rsidR="00025543" w:rsidRDefault="00025543">
    <w:pPr>
      <w:pStyle w:val="FooterCouncil"/>
    </w:pP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0987B" w14:textId="77777777" w:rsidR="00025543" w:rsidRDefault="00025543">
    <w:pPr>
      <w:pStyle w:val="Footer"/>
    </w:pP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5A18C" w14:textId="77777777" w:rsidR="00025543" w:rsidRDefault="00025543">
    <w:pPr>
      <w:pStyle w:val="Footer"/>
    </w:pP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797176"/>
      <w:docPartObj>
        <w:docPartGallery w:val="Page Numbers (Bottom of Page)"/>
        <w:docPartUnique/>
      </w:docPartObj>
    </w:sdtPr>
    <w:sdtEndPr>
      <w:rPr>
        <w:noProof/>
      </w:rPr>
    </w:sdtEndPr>
    <w:sdtContent>
      <w:p w14:paraId="5F9583E9" w14:textId="2F7836F4" w:rsidR="00025543" w:rsidRDefault="007E3A2F">
        <w:pPr>
          <w:pStyle w:val="Footer"/>
          <w:jc w:val="center"/>
        </w:pPr>
        <w:r>
          <w:fldChar w:fldCharType="begin"/>
        </w:r>
        <w:r>
          <w:instrText xml:space="preserve"> PAGE   \* MERGEFORMAT </w:instrText>
        </w:r>
        <w:r>
          <w:fldChar w:fldCharType="separate"/>
        </w:r>
        <w:r>
          <w:t>103</w:t>
        </w:r>
        <w:r>
          <w:fldChar w:fldCharType="end"/>
        </w:r>
      </w:p>
    </w:sdtContent>
  </w:sdt>
  <w:p w14:paraId="32761A36" w14:textId="77777777" w:rsidR="00025543" w:rsidRDefault="00025543">
    <w:pPr>
      <w:pStyle w:val="FooterCouncil"/>
    </w:pPr>
  </w:p>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47B1B" w14:textId="77777777" w:rsidR="00025543" w:rsidRDefault="00025543">
    <w:pPr>
      <w:pStyle w:val="Footer"/>
    </w:pPr>
  </w:p>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73A56" w14:textId="77777777" w:rsidR="00025543" w:rsidRDefault="0002554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290093"/>
      <w:docPartObj>
        <w:docPartGallery w:val="Page Numbers (Bottom of Page)"/>
        <w:docPartUnique/>
      </w:docPartObj>
    </w:sdtPr>
    <w:sdtEndPr>
      <w:rPr>
        <w:noProof/>
      </w:rPr>
    </w:sdtEndPr>
    <w:sdtContent>
      <w:p w14:paraId="55D2C283" w14:textId="055EDC8B" w:rsidR="00025543" w:rsidRDefault="007E3A2F">
        <w:pPr>
          <w:pStyle w:val="Footer"/>
          <w:jc w:val="center"/>
        </w:pPr>
        <w:r>
          <w:fldChar w:fldCharType="begin"/>
        </w:r>
        <w:r>
          <w:instrText xml:space="preserve"> PAGE   \* MERGEFORMAT </w:instrText>
        </w:r>
        <w:r>
          <w:fldChar w:fldCharType="separate"/>
        </w:r>
        <w:r w:rsidR="00B91265">
          <w:rPr>
            <w:noProof/>
          </w:rPr>
          <w:t>10</w:t>
        </w:r>
        <w:r>
          <w:fldChar w:fldCharType="end"/>
        </w:r>
      </w:p>
    </w:sdtContent>
  </w:sdt>
  <w:p w14:paraId="05252DD9" w14:textId="77777777" w:rsidR="00025543" w:rsidRDefault="00025543">
    <w:pPr>
      <w:pStyle w:val="FooterCouncil"/>
    </w:pPr>
  </w:p>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364237"/>
      <w:docPartObj>
        <w:docPartGallery w:val="Page Numbers (Bottom of Page)"/>
        <w:docPartUnique/>
      </w:docPartObj>
    </w:sdtPr>
    <w:sdtEndPr>
      <w:rPr>
        <w:noProof/>
      </w:rPr>
    </w:sdtEndPr>
    <w:sdtContent>
      <w:p w14:paraId="5687FB15" w14:textId="125192E1" w:rsidR="00025543" w:rsidRDefault="007E3A2F">
        <w:pPr>
          <w:pStyle w:val="Footer"/>
          <w:jc w:val="center"/>
        </w:pPr>
        <w:r>
          <w:fldChar w:fldCharType="begin"/>
        </w:r>
        <w:r>
          <w:instrText xml:space="preserve"> PAGE   \* MERGEFORMAT </w:instrText>
        </w:r>
        <w:r>
          <w:fldChar w:fldCharType="separate"/>
        </w:r>
        <w:r>
          <w:t>107</w:t>
        </w:r>
        <w:r>
          <w:fldChar w:fldCharType="end"/>
        </w:r>
      </w:p>
    </w:sdtContent>
  </w:sdt>
  <w:p w14:paraId="1B291034" w14:textId="77777777" w:rsidR="00025543" w:rsidRDefault="00025543">
    <w:pPr>
      <w:pStyle w:val="FooterCouncil"/>
    </w:pPr>
  </w:p>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7A4D4" w14:textId="77777777" w:rsidR="00025543" w:rsidRDefault="00025543">
    <w:pPr>
      <w:pStyle w:val="Footer"/>
    </w:pPr>
  </w:p>
</w:ftr>
</file>

<file path=word/footer1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68C9A" w14:textId="77777777" w:rsidR="00025543" w:rsidRDefault="00025543">
    <w:pPr>
      <w:pStyle w:val="Footer"/>
    </w:pPr>
  </w:p>
</w:ftr>
</file>

<file path=word/footer1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337238"/>
      <w:docPartObj>
        <w:docPartGallery w:val="Page Numbers (Bottom of Page)"/>
        <w:docPartUnique/>
      </w:docPartObj>
    </w:sdtPr>
    <w:sdtEndPr>
      <w:rPr>
        <w:noProof/>
      </w:rPr>
    </w:sdtEndPr>
    <w:sdtContent>
      <w:p w14:paraId="7CE02AA1" w14:textId="487E18D7" w:rsidR="00025543" w:rsidRDefault="007E3A2F">
        <w:pPr>
          <w:pStyle w:val="Footer"/>
          <w:jc w:val="center"/>
        </w:pPr>
        <w:r>
          <w:fldChar w:fldCharType="begin"/>
        </w:r>
        <w:r>
          <w:instrText xml:space="preserve"> PAGE   \* MERGEFORMAT </w:instrText>
        </w:r>
        <w:r>
          <w:fldChar w:fldCharType="separate"/>
        </w:r>
        <w:r>
          <w:t>109</w:t>
        </w:r>
        <w:r>
          <w:fldChar w:fldCharType="end"/>
        </w:r>
      </w:p>
    </w:sdtContent>
  </w:sdt>
  <w:p w14:paraId="7F1387F2" w14:textId="77777777" w:rsidR="00025543" w:rsidRDefault="00025543">
    <w:pPr>
      <w:pStyle w:val="FooterCouncil"/>
    </w:pPr>
  </w:p>
</w:ftr>
</file>

<file path=word/footer1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353E9" w14:textId="77777777" w:rsidR="00025543" w:rsidRDefault="00025543">
    <w:pPr>
      <w:pStyle w:val="Footer"/>
    </w:pPr>
  </w:p>
</w:ftr>
</file>

<file path=word/footer1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F1321" w14:textId="77777777" w:rsidR="00025543" w:rsidRDefault="00025543">
    <w:pPr>
      <w:pStyle w:val="Footer"/>
    </w:pPr>
  </w:p>
</w:ftr>
</file>

<file path=word/footer1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417430"/>
      <w:docPartObj>
        <w:docPartGallery w:val="Page Numbers (Bottom of Page)"/>
        <w:docPartUnique/>
      </w:docPartObj>
    </w:sdtPr>
    <w:sdtEndPr>
      <w:rPr>
        <w:noProof/>
      </w:rPr>
    </w:sdtEndPr>
    <w:sdtContent>
      <w:p w14:paraId="1AF4A37E" w14:textId="03F5FCE6" w:rsidR="00025543" w:rsidRDefault="007E3A2F">
        <w:pPr>
          <w:pStyle w:val="Footer"/>
          <w:jc w:val="center"/>
        </w:pPr>
        <w:r>
          <w:fldChar w:fldCharType="begin"/>
        </w:r>
        <w:r>
          <w:instrText xml:space="preserve"> PAGE   \* MERGEFORMAT </w:instrText>
        </w:r>
        <w:r>
          <w:fldChar w:fldCharType="separate"/>
        </w:r>
        <w:r>
          <w:t>113</w:t>
        </w:r>
        <w:r>
          <w:fldChar w:fldCharType="end"/>
        </w:r>
      </w:p>
    </w:sdtContent>
  </w:sdt>
  <w:p w14:paraId="76299F8E" w14:textId="77777777" w:rsidR="00025543" w:rsidRDefault="00025543">
    <w:pPr>
      <w:pStyle w:val="FooterCouncil"/>
    </w:pPr>
  </w:p>
</w:ftr>
</file>

<file path=word/footer1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559C1" w14:textId="77777777" w:rsidR="00025543" w:rsidRDefault="00025543">
    <w:pPr>
      <w:pStyle w:val="Footer"/>
    </w:pPr>
  </w:p>
</w:ftr>
</file>

<file path=word/footer1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BA35F" w14:textId="77777777" w:rsidR="00025543" w:rsidRDefault="00025543">
    <w:pPr>
      <w:pStyle w:val="Footer"/>
    </w:pPr>
  </w:p>
</w:ftr>
</file>

<file path=word/footer1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860697"/>
      <w:docPartObj>
        <w:docPartGallery w:val="Page Numbers (Bottom of Page)"/>
        <w:docPartUnique/>
      </w:docPartObj>
    </w:sdtPr>
    <w:sdtEndPr>
      <w:rPr>
        <w:noProof/>
      </w:rPr>
    </w:sdtEndPr>
    <w:sdtContent>
      <w:p w14:paraId="465F80E5" w14:textId="42A0E8A6" w:rsidR="00025543" w:rsidRDefault="007E3A2F">
        <w:pPr>
          <w:pStyle w:val="Footer"/>
          <w:jc w:val="center"/>
        </w:pPr>
        <w:r>
          <w:fldChar w:fldCharType="begin"/>
        </w:r>
        <w:r>
          <w:instrText xml:space="preserve"> PAGE   \* MERGEFORMAT </w:instrText>
        </w:r>
        <w:r>
          <w:fldChar w:fldCharType="separate"/>
        </w:r>
        <w:r>
          <w:t>115</w:t>
        </w:r>
        <w:r>
          <w:fldChar w:fldCharType="end"/>
        </w:r>
      </w:p>
    </w:sdtContent>
  </w:sdt>
  <w:p w14:paraId="6756E612" w14:textId="77777777" w:rsidR="00025543" w:rsidRDefault="00025543">
    <w:pPr>
      <w:pStyle w:val="FooterCouncil"/>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61DD7" w14:textId="77777777" w:rsidR="00025543" w:rsidRDefault="00025543">
    <w:pPr>
      <w:pStyle w:val="Footer"/>
    </w:pPr>
  </w:p>
</w:ftr>
</file>

<file path=word/footer1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550BB" w14:textId="77777777" w:rsidR="00025543" w:rsidRDefault="00025543">
    <w:pPr>
      <w:pStyle w:val="Footer"/>
    </w:pPr>
  </w:p>
</w:ftr>
</file>

<file path=word/footer1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115CE" w14:textId="77777777" w:rsidR="00025543" w:rsidRDefault="00025543">
    <w:pPr>
      <w:pStyle w:val="Footer"/>
    </w:pPr>
  </w:p>
</w:ftr>
</file>

<file path=word/footer1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7652181"/>
      <w:docPartObj>
        <w:docPartGallery w:val="Page Numbers (Bottom of Page)"/>
        <w:docPartUnique/>
      </w:docPartObj>
    </w:sdtPr>
    <w:sdtEndPr>
      <w:rPr>
        <w:noProof/>
      </w:rPr>
    </w:sdtEndPr>
    <w:sdtContent>
      <w:p w14:paraId="245ED569" w14:textId="6441050A" w:rsidR="00025543" w:rsidRDefault="007E3A2F">
        <w:pPr>
          <w:pStyle w:val="Footer"/>
          <w:jc w:val="center"/>
        </w:pPr>
        <w:r>
          <w:fldChar w:fldCharType="begin"/>
        </w:r>
        <w:r>
          <w:instrText xml:space="preserve"> PAGE   \* MERGEFORMAT </w:instrText>
        </w:r>
        <w:r>
          <w:fldChar w:fldCharType="separate"/>
        </w:r>
        <w:r>
          <w:t>119</w:t>
        </w:r>
        <w:r>
          <w:fldChar w:fldCharType="end"/>
        </w:r>
      </w:p>
    </w:sdtContent>
  </w:sdt>
  <w:p w14:paraId="2A365287" w14:textId="77777777" w:rsidR="00025543" w:rsidRDefault="00025543">
    <w:pPr>
      <w:pStyle w:val="FooterCouncil"/>
    </w:pPr>
  </w:p>
</w:ftr>
</file>

<file path=word/footer1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0CC44" w14:textId="77777777" w:rsidR="00025543" w:rsidRDefault="00025543">
    <w:pPr>
      <w:pStyle w:val="Footer"/>
    </w:pPr>
  </w:p>
</w:ftr>
</file>

<file path=word/footer1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255A7" w14:textId="77777777" w:rsidR="00025543" w:rsidRDefault="00025543">
    <w:pPr>
      <w:pStyle w:val="Footer"/>
    </w:pPr>
  </w:p>
</w:ftr>
</file>

<file path=word/footer1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596880"/>
      <w:docPartObj>
        <w:docPartGallery w:val="Page Numbers (Bottom of Page)"/>
        <w:docPartUnique/>
      </w:docPartObj>
    </w:sdtPr>
    <w:sdtEndPr>
      <w:rPr>
        <w:noProof/>
      </w:rPr>
    </w:sdtEndPr>
    <w:sdtContent>
      <w:p w14:paraId="4290D085" w14:textId="59F55A78" w:rsidR="00025543" w:rsidRDefault="007E3A2F">
        <w:pPr>
          <w:pStyle w:val="Footer"/>
          <w:jc w:val="center"/>
        </w:pPr>
        <w:r>
          <w:fldChar w:fldCharType="begin"/>
        </w:r>
        <w:r>
          <w:instrText xml:space="preserve"> PAGE   \* MERGEFORMAT </w:instrText>
        </w:r>
        <w:r>
          <w:fldChar w:fldCharType="separate"/>
        </w:r>
        <w:r>
          <w:t>120</w:t>
        </w:r>
        <w:r>
          <w:fldChar w:fldCharType="end"/>
        </w:r>
      </w:p>
    </w:sdtContent>
  </w:sdt>
  <w:p w14:paraId="56F54BF8" w14:textId="77777777" w:rsidR="00025543" w:rsidRDefault="00025543">
    <w:pPr>
      <w:pStyle w:val="FooterCouncil"/>
    </w:pPr>
  </w:p>
</w:ftr>
</file>

<file path=word/footer1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6F2C2" w14:textId="77777777" w:rsidR="00025543" w:rsidRDefault="00025543">
    <w:pPr>
      <w:pStyle w:val="Footer"/>
    </w:pPr>
  </w:p>
</w:ftr>
</file>

<file path=word/footer1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A0CBF" w14:textId="77777777" w:rsidR="00025543" w:rsidRDefault="00025543">
    <w:pPr>
      <w:pStyle w:val="Footer"/>
    </w:pPr>
  </w:p>
</w:ftr>
</file>

<file path=word/footer1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253108"/>
      <w:docPartObj>
        <w:docPartGallery w:val="Page Numbers (Bottom of Page)"/>
        <w:docPartUnique/>
      </w:docPartObj>
    </w:sdtPr>
    <w:sdtEndPr>
      <w:rPr>
        <w:noProof/>
      </w:rPr>
    </w:sdtEndPr>
    <w:sdtContent>
      <w:p w14:paraId="45DD285C" w14:textId="6F6B8F2F" w:rsidR="00025543" w:rsidRDefault="007E3A2F">
        <w:pPr>
          <w:pStyle w:val="Footer"/>
          <w:jc w:val="center"/>
        </w:pPr>
        <w:r>
          <w:fldChar w:fldCharType="begin"/>
        </w:r>
        <w:r>
          <w:instrText xml:space="preserve"> PAGE   \* MERGEFORMAT </w:instrText>
        </w:r>
        <w:r>
          <w:fldChar w:fldCharType="separate"/>
        </w:r>
        <w:r>
          <w:t>121</w:t>
        </w:r>
        <w:r>
          <w:fldChar w:fldCharType="end"/>
        </w:r>
      </w:p>
    </w:sdtContent>
  </w:sdt>
  <w:p w14:paraId="1DC55427" w14:textId="77777777" w:rsidR="00025543" w:rsidRDefault="00025543">
    <w:pPr>
      <w:pStyle w:val="FooterCouncil"/>
    </w:pPr>
  </w:p>
</w:ftr>
</file>

<file path=word/footer1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A5DEA" w14:textId="77777777" w:rsidR="00025543" w:rsidRDefault="0002554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7B73A" w14:textId="77777777" w:rsidR="00025543" w:rsidRDefault="00025543">
    <w:pPr>
      <w:pStyle w:val="Footer"/>
    </w:pPr>
  </w:p>
</w:ftr>
</file>

<file path=word/footer1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46189" w14:textId="77777777" w:rsidR="00025543" w:rsidRDefault="00025543">
    <w:pPr>
      <w:pStyle w:val="Footer"/>
    </w:pPr>
  </w:p>
</w:ftr>
</file>

<file path=word/footer1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450842"/>
      <w:docPartObj>
        <w:docPartGallery w:val="Page Numbers (Bottom of Page)"/>
        <w:docPartUnique/>
      </w:docPartObj>
    </w:sdtPr>
    <w:sdtEndPr>
      <w:rPr>
        <w:noProof/>
      </w:rPr>
    </w:sdtEndPr>
    <w:sdtContent>
      <w:p w14:paraId="7A7D56AC" w14:textId="757A2362" w:rsidR="00025543" w:rsidRDefault="007E3A2F">
        <w:pPr>
          <w:pStyle w:val="Footer"/>
          <w:jc w:val="center"/>
        </w:pPr>
        <w:r>
          <w:fldChar w:fldCharType="begin"/>
        </w:r>
        <w:r>
          <w:instrText xml:space="preserve"> PAGE   \* MERGEFORMAT </w:instrText>
        </w:r>
        <w:r>
          <w:fldChar w:fldCharType="separate"/>
        </w:r>
        <w:r>
          <w:t>126</w:t>
        </w:r>
        <w:r>
          <w:fldChar w:fldCharType="end"/>
        </w:r>
      </w:p>
    </w:sdtContent>
  </w:sdt>
  <w:p w14:paraId="79122862" w14:textId="77777777" w:rsidR="00025543" w:rsidRDefault="00025543">
    <w:pPr>
      <w:pStyle w:val="FooterCouncil"/>
    </w:pPr>
  </w:p>
</w:ftr>
</file>

<file path=word/footer1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9892A" w14:textId="77777777" w:rsidR="00025543" w:rsidRDefault="00025543">
    <w:pPr>
      <w:pStyle w:val="Footer"/>
    </w:pPr>
  </w:p>
</w:ftr>
</file>

<file path=word/footer1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132E0" w14:textId="77777777" w:rsidR="00025543" w:rsidRDefault="00025543">
    <w:pPr>
      <w:pStyle w:val="Footer"/>
    </w:pPr>
  </w:p>
</w:ftr>
</file>

<file path=word/footer1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538614"/>
      <w:docPartObj>
        <w:docPartGallery w:val="Page Numbers (Bottom of Page)"/>
        <w:docPartUnique/>
      </w:docPartObj>
    </w:sdtPr>
    <w:sdtEndPr>
      <w:rPr>
        <w:noProof/>
      </w:rPr>
    </w:sdtEndPr>
    <w:sdtContent>
      <w:p w14:paraId="4FAFF7D2" w14:textId="32BBEBCB" w:rsidR="00025543" w:rsidRDefault="007E3A2F">
        <w:pPr>
          <w:pStyle w:val="Footer"/>
          <w:jc w:val="center"/>
        </w:pPr>
        <w:r>
          <w:fldChar w:fldCharType="begin"/>
        </w:r>
        <w:r>
          <w:instrText xml:space="preserve"> PAGE   \* MERGEFORMAT </w:instrText>
        </w:r>
        <w:r>
          <w:fldChar w:fldCharType="separate"/>
        </w:r>
        <w:r>
          <w:t>127</w:t>
        </w:r>
        <w:r>
          <w:fldChar w:fldCharType="end"/>
        </w:r>
      </w:p>
    </w:sdtContent>
  </w:sdt>
  <w:p w14:paraId="1CC11638" w14:textId="77777777" w:rsidR="00025543" w:rsidRDefault="00025543">
    <w:pPr>
      <w:pStyle w:val="FooterCouncil"/>
    </w:pPr>
  </w:p>
</w:ftr>
</file>

<file path=word/footer1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D34FD" w14:textId="77777777" w:rsidR="00025543" w:rsidRDefault="00025543">
    <w:pPr>
      <w:pStyle w:val="Footer"/>
    </w:pPr>
  </w:p>
</w:ftr>
</file>

<file path=word/footer1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4889F" w14:textId="77777777" w:rsidR="00025543" w:rsidRDefault="00025543">
    <w:pPr>
      <w:pStyle w:val="Footer"/>
    </w:pPr>
  </w:p>
</w:ftr>
</file>

<file path=word/footer1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006444"/>
      <w:docPartObj>
        <w:docPartGallery w:val="Page Numbers (Bottom of Page)"/>
        <w:docPartUnique/>
      </w:docPartObj>
    </w:sdtPr>
    <w:sdtEndPr>
      <w:rPr>
        <w:noProof/>
      </w:rPr>
    </w:sdtEndPr>
    <w:sdtContent>
      <w:p w14:paraId="666B6E3C" w14:textId="04DB8310" w:rsidR="00025543" w:rsidRDefault="007E3A2F">
        <w:pPr>
          <w:pStyle w:val="Footer"/>
          <w:jc w:val="center"/>
        </w:pPr>
        <w:r>
          <w:fldChar w:fldCharType="begin"/>
        </w:r>
        <w:r>
          <w:instrText xml:space="preserve"> PAGE   \* MERGEFORMAT </w:instrText>
        </w:r>
        <w:r>
          <w:fldChar w:fldCharType="separate"/>
        </w:r>
        <w:r>
          <w:t>129</w:t>
        </w:r>
        <w:r>
          <w:fldChar w:fldCharType="end"/>
        </w:r>
      </w:p>
    </w:sdtContent>
  </w:sdt>
  <w:p w14:paraId="5C5D0F93" w14:textId="77777777" w:rsidR="00025543" w:rsidRDefault="00025543">
    <w:pPr>
      <w:pStyle w:val="FooterCouncil"/>
    </w:pPr>
  </w:p>
</w:ftr>
</file>

<file path=word/footer1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77ACD" w14:textId="77777777" w:rsidR="00025543" w:rsidRDefault="00025543">
    <w:pPr>
      <w:pStyle w:val="Footer"/>
    </w:pPr>
  </w:p>
</w:ftr>
</file>

<file path=word/footer1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3D27C" w14:textId="77777777" w:rsidR="00025543" w:rsidRDefault="0002554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27993"/>
      <w:docPartObj>
        <w:docPartGallery w:val="Page Numbers (Bottom of Page)"/>
        <w:docPartUnique/>
      </w:docPartObj>
    </w:sdtPr>
    <w:sdtEndPr>
      <w:rPr>
        <w:noProof/>
      </w:rPr>
    </w:sdtEndPr>
    <w:sdtContent>
      <w:p w14:paraId="4CC51BF4" w14:textId="39A4AD87" w:rsidR="00025543" w:rsidRDefault="007E3A2F">
        <w:pPr>
          <w:pStyle w:val="Footer"/>
          <w:jc w:val="center"/>
        </w:pPr>
        <w:r>
          <w:fldChar w:fldCharType="begin"/>
        </w:r>
        <w:r>
          <w:instrText xml:space="preserve"> PAGE   \* MERGEFORMAT </w:instrText>
        </w:r>
        <w:r>
          <w:fldChar w:fldCharType="separate"/>
        </w:r>
        <w:r w:rsidR="00B91265">
          <w:rPr>
            <w:noProof/>
          </w:rPr>
          <w:t>11</w:t>
        </w:r>
        <w:r>
          <w:fldChar w:fldCharType="end"/>
        </w:r>
      </w:p>
    </w:sdtContent>
  </w:sdt>
  <w:p w14:paraId="218BCBA7" w14:textId="77777777" w:rsidR="00025543" w:rsidRDefault="00025543">
    <w:pPr>
      <w:pStyle w:val="FooterCouncil"/>
    </w:pPr>
  </w:p>
</w:ftr>
</file>

<file path=word/footer1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327022"/>
      <w:docPartObj>
        <w:docPartGallery w:val="Page Numbers (Bottom of Page)"/>
        <w:docPartUnique/>
      </w:docPartObj>
    </w:sdtPr>
    <w:sdtEndPr>
      <w:rPr>
        <w:noProof/>
      </w:rPr>
    </w:sdtEndPr>
    <w:sdtContent>
      <w:p w14:paraId="7CCEE4F1" w14:textId="04BFCBF2" w:rsidR="00025543" w:rsidRDefault="007E3A2F">
        <w:pPr>
          <w:pStyle w:val="Footer"/>
          <w:jc w:val="center"/>
        </w:pPr>
        <w:r>
          <w:fldChar w:fldCharType="begin"/>
        </w:r>
        <w:r>
          <w:instrText xml:space="preserve"> PAGE   \* MERGEFORMAT </w:instrText>
        </w:r>
        <w:r>
          <w:fldChar w:fldCharType="separate"/>
        </w:r>
        <w:r>
          <w:t>131</w:t>
        </w:r>
        <w:r>
          <w:fldChar w:fldCharType="end"/>
        </w:r>
      </w:p>
    </w:sdtContent>
  </w:sdt>
  <w:p w14:paraId="1CBC56AA" w14:textId="77777777" w:rsidR="00025543" w:rsidRDefault="00025543">
    <w:pPr>
      <w:pStyle w:val="FooterCouncil"/>
    </w:pPr>
  </w:p>
</w:ftr>
</file>

<file path=word/footer1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B82A5" w14:textId="77777777" w:rsidR="00025543" w:rsidRDefault="00025543">
    <w:pPr>
      <w:pStyle w:val="Footer"/>
    </w:pPr>
  </w:p>
</w:ftr>
</file>

<file path=word/footer1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DDAE3" w14:textId="77777777" w:rsidR="00025543" w:rsidRDefault="00025543">
    <w:pPr>
      <w:pStyle w:val="Footer"/>
    </w:pPr>
  </w:p>
</w:ftr>
</file>

<file path=word/footer1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880572"/>
      <w:docPartObj>
        <w:docPartGallery w:val="Page Numbers (Bottom of Page)"/>
        <w:docPartUnique/>
      </w:docPartObj>
    </w:sdtPr>
    <w:sdtEndPr>
      <w:rPr>
        <w:noProof/>
      </w:rPr>
    </w:sdtEndPr>
    <w:sdtContent>
      <w:p w14:paraId="783EE4FB" w14:textId="64CD8608" w:rsidR="00025543" w:rsidRDefault="007E3A2F">
        <w:pPr>
          <w:pStyle w:val="Footer"/>
          <w:jc w:val="center"/>
        </w:pPr>
        <w:r>
          <w:fldChar w:fldCharType="begin"/>
        </w:r>
        <w:r>
          <w:instrText xml:space="preserve"> PAGE   \* MERGEFORMAT </w:instrText>
        </w:r>
        <w:r>
          <w:fldChar w:fldCharType="separate"/>
        </w:r>
        <w:r>
          <w:t>134</w:t>
        </w:r>
        <w:r>
          <w:fldChar w:fldCharType="end"/>
        </w:r>
      </w:p>
    </w:sdtContent>
  </w:sdt>
  <w:p w14:paraId="61A09314" w14:textId="77777777" w:rsidR="00025543" w:rsidRDefault="00025543">
    <w:pPr>
      <w:pStyle w:val="FooterCouncil"/>
    </w:pPr>
  </w:p>
</w:ftr>
</file>

<file path=word/footer1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02962" w14:textId="77777777" w:rsidR="00025543" w:rsidRDefault="00025543">
    <w:pPr>
      <w:pStyle w:val="Footer"/>
    </w:pPr>
  </w:p>
</w:ftr>
</file>

<file path=word/footer1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A26B9" w14:textId="77777777" w:rsidR="00025543" w:rsidRDefault="00025543">
    <w:pPr>
      <w:pStyle w:val="Footer"/>
    </w:pPr>
  </w:p>
</w:ftr>
</file>

<file path=word/footer1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721801"/>
      <w:docPartObj>
        <w:docPartGallery w:val="Page Numbers (Bottom of Page)"/>
        <w:docPartUnique/>
      </w:docPartObj>
    </w:sdtPr>
    <w:sdtEndPr>
      <w:rPr>
        <w:noProof/>
      </w:rPr>
    </w:sdtEndPr>
    <w:sdtContent>
      <w:p w14:paraId="061C2729" w14:textId="26C529D0" w:rsidR="00025543" w:rsidRDefault="007E3A2F">
        <w:pPr>
          <w:pStyle w:val="Footer"/>
          <w:jc w:val="center"/>
        </w:pPr>
        <w:r>
          <w:fldChar w:fldCharType="begin"/>
        </w:r>
        <w:r>
          <w:instrText xml:space="preserve"> PAGE   \* MERGEFORMAT </w:instrText>
        </w:r>
        <w:r>
          <w:fldChar w:fldCharType="separate"/>
        </w:r>
        <w:r>
          <w:t>137</w:t>
        </w:r>
        <w:r>
          <w:fldChar w:fldCharType="end"/>
        </w:r>
      </w:p>
    </w:sdtContent>
  </w:sdt>
  <w:p w14:paraId="4D5202AA" w14:textId="77777777" w:rsidR="00025543" w:rsidRDefault="00025543">
    <w:pPr>
      <w:pStyle w:val="FooterCouncil"/>
    </w:pPr>
  </w:p>
</w:ftr>
</file>

<file path=word/footer1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22E2A" w14:textId="77777777" w:rsidR="00025543" w:rsidRDefault="00025543">
    <w:pPr>
      <w:pStyle w:val="Footer"/>
    </w:pPr>
  </w:p>
</w:ftr>
</file>

<file path=word/footer1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63131" w14:textId="77777777" w:rsidR="00025543" w:rsidRDefault="00025543">
    <w:pPr>
      <w:pStyle w:val="Footer"/>
    </w:pPr>
  </w:p>
</w:ftr>
</file>

<file path=word/footer1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847196"/>
      <w:docPartObj>
        <w:docPartGallery w:val="Page Numbers (Bottom of Page)"/>
        <w:docPartUnique/>
      </w:docPartObj>
    </w:sdtPr>
    <w:sdtEndPr>
      <w:rPr>
        <w:noProof/>
      </w:rPr>
    </w:sdtEndPr>
    <w:sdtContent>
      <w:p w14:paraId="263A9787" w14:textId="02DE39D1" w:rsidR="00025543" w:rsidRDefault="007E3A2F">
        <w:pPr>
          <w:pStyle w:val="Footer"/>
          <w:jc w:val="center"/>
        </w:pPr>
        <w:r>
          <w:fldChar w:fldCharType="begin"/>
        </w:r>
        <w:r>
          <w:instrText xml:space="preserve"> PAGE   \* MERGEFORMAT </w:instrText>
        </w:r>
        <w:r>
          <w:fldChar w:fldCharType="separate"/>
        </w:r>
        <w:r>
          <w:t>141</w:t>
        </w:r>
        <w:r>
          <w:fldChar w:fldCharType="end"/>
        </w:r>
      </w:p>
    </w:sdtContent>
  </w:sdt>
  <w:p w14:paraId="3F5A94C9" w14:textId="77777777" w:rsidR="00025543" w:rsidRDefault="00025543">
    <w:pPr>
      <w:pStyle w:val="FooterCouncil"/>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E0FFB" w14:textId="77777777" w:rsidR="00025543" w:rsidRDefault="00025543">
    <w:pPr>
      <w:pStyle w:val="Footer"/>
    </w:pPr>
  </w:p>
</w:ftr>
</file>

<file path=word/footer1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503E8" w14:textId="77777777" w:rsidR="00025543" w:rsidRDefault="00025543">
    <w:pPr>
      <w:pStyle w:val="Footer"/>
    </w:pPr>
  </w:p>
</w:ftr>
</file>

<file path=word/footer1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12E34" w14:textId="77777777" w:rsidR="00025543" w:rsidRDefault="00025543">
    <w:pPr>
      <w:pStyle w:val="Footer"/>
    </w:pPr>
  </w:p>
</w:ftr>
</file>

<file path=word/footer1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348754"/>
      <w:docPartObj>
        <w:docPartGallery w:val="Page Numbers (Bottom of Page)"/>
        <w:docPartUnique/>
      </w:docPartObj>
    </w:sdtPr>
    <w:sdtEndPr>
      <w:rPr>
        <w:noProof/>
      </w:rPr>
    </w:sdtEndPr>
    <w:sdtContent>
      <w:p w14:paraId="65BF422C" w14:textId="054C732A" w:rsidR="00025543" w:rsidRDefault="007E3A2F">
        <w:pPr>
          <w:pStyle w:val="Footer"/>
          <w:jc w:val="center"/>
        </w:pPr>
        <w:r>
          <w:fldChar w:fldCharType="begin"/>
        </w:r>
        <w:r>
          <w:instrText xml:space="preserve"> PAGE   \* MERGEFORMAT </w:instrText>
        </w:r>
        <w:r>
          <w:fldChar w:fldCharType="separate"/>
        </w:r>
        <w:r>
          <w:t>150</w:t>
        </w:r>
        <w:r>
          <w:fldChar w:fldCharType="end"/>
        </w:r>
      </w:p>
    </w:sdtContent>
  </w:sdt>
  <w:p w14:paraId="56BCF089" w14:textId="77777777" w:rsidR="00025543" w:rsidRDefault="00025543">
    <w:pPr>
      <w:pStyle w:val="FooterCouncil"/>
    </w:pPr>
  </w:p>
</w:ftr>
</file>

<file path=word/footer1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8FEDE" w14:textId="77777777" w:rsidR="00025543" w:rsidRDefault="00025543">
    <w:pPr>
      <w:pStyle w:val="Footer"/>
    </w:pPr>
  </w:p>
</w:ftr>
</file>

<file path=word/footer1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D29FA" w14:textId="77777777" w:rsidR="00025543" w:rsidRDefault="00025543">
    <w:pPr>
      <w:pStyle w:val="Footer"/>
    </w:pPr>
  </w:p>
</w:ftr>
</file>

<file path=word/footer1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719762"/>
      <w:docPartObj>
        <w:docPartGallery w:val="Page Numbers (Bottom of Page)"/>
        <w:docPartUnique/>
      </w:docPartObj>
    </w:sdtPr>
    <w:sdtEndPr>
      <w:rPr>
        <w:noProof/>
      </w:rPr>
    </w:sdtEndPr>
    <w:sdtContent>
      <w:p w14:paraId="60EC54B1" w14:textId="15F85136" w:rsidR="00025543" w:rsidRDefault="007E3A2F">
        <w:pPr>
          <w:pStyle w:val="Footer"/>
          <w:jc w:val="center"/>
        </w:pPr>
        <w:r>
          <w:fldChar w:fldCharType="begin"/>
        </w:r>
        <w:r>
          <w:instrText xml:space="preserve"> PAGE   \* MERGEFORMAT </w:instrText>
        </w:r>
        <w:r>
          <w:fldChar w:fldCharType="separate"/>
        </w:r>
        <w:r>
          <w:t>152</w:t>
        </w:r>
        <w:r>
          <w:fldChar w:fldCharType="end"/>
        </w:r>
      </w:p>
    </w:sdtContent>
  </w:sdt>
  <w:p w14:paraId="5DD94853" w14:textId="77777777" w:rsidR="00025543" w:rsidRDefault="00025543">
    <w:pPr>
      <w:pStyle w:val="FooterCouncil"/>
    </w:pPr>
  </w:p>
</w:ftr>
</file>

<file path=word/footer1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78C19" w14:textId="77777777" w:rsidR="00025543" w:rsidRDefault="00025543">
    <w:pPr>
      <w:pStyle w:val="Footer"/>
    </w:pPr>
  </w:p>
</w:ftr>
</file>

<file path=word/footer1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2F3AC" w14:textId="77777777" w:rsidR="00025543" w:rsidRDefault="00025543">
    <w:pPr>
      <w:pStyle w:val="Footer"/>
    </w:pPr>
  </w:p>
</w:ftr>
</file>

<file path=word/footer1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810811"/>
      <w:docPartObj>
        <w:docPartGallery w:val="Page Numbers (Bottom of Page)"/>
        <w:docPartUnique/>
      </w:docPartObj>
    </w:sdtPr>
    <w:sdtEndPr>
      <w:rPr>
        <w:noProof/>
      </w:rPr>
    </w:sdtEndPr>
    <w:sdtContent>
      <w:p w14:paraId="2F58D3A2" w14:textId="3C6939A9" w:rsidR="00025543" w:rsidRDefault="007E3A2F">
        <w:pPr>
          <w:pStyle w:val="Footer"/>
          <w:jc w:val="center"/>
        </w:pPr>
        <w:r>
          <w:fldChar w:fldCharType="begin"/>
        </w:r>
        <w:r>
          <w:instrText xml:space="preserve"> PAGE   \* MERGEFORMAT </w:instrText>
        </w:r>
        <w:r>
          <w:fldChar w:fldCharType="separate"/>
        </w:r>
        <w:r>
          <w:t>155</w:t>
        </w:r>
        <w:r>
          <w:fldChar w:fldCharType="end"/>
        </w:r>
      </w:p>
    </w:sdtContent>
  </w:sdt>
  <w:p w14:paraId="58192B86" w14:textId="77777777" w:rsidR="00025543" w:rsidRDefault="00025543">
    <w:pPr>
      <w:pStyle w:val="FooterCouncil"/>
    </w:pPr>
  </w:p>
</w:ftr>
</file>

<file path=word/footer1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7C0A3" w14:textId="77777777" w:rsidR="00025543" w:rsidRDefault="00025543">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571AE" w14:textId="77777777" w:rsidR="00025543" w:rsidRDefault="00025543">
    <w:pPr>
      <w:pStyle w:val="Footer"/>
    </w:pPr>
  </w:p>
</w:ftr>
</file>

<file path=word/footer1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F21E1" w14:textId="77777777" w:rsidR="00025543" w:rsidRDefault="00025543">
    <w:pPr>
      <w:pStyle w:val="Footer"/>
    </w:pPr>
  </w:p>
</w:ftr>
</file>

<file path=word/footer1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249235"/>
      <w:docPartObj>
        <w:docPartGallery w:val="Page Numbers (Bottom of Page)"/>
        <w:docPartUnique/>
      </w:docPartObj>
    </w:sdtPr>
    <w:sdtEndPr>
      <w:rPr>
        <w:noProof/>
      </w:rPr>
    </w:sdtEndPr>
    <w:sdtContent>
      <w:p w14:paraId="199AD85C" w14:textId="76726C6E" w:rsidR="00025543" w:rsidRDefault="007E3A2F">
        <w:pPr>
          <w:pStyle w:val="Footer"/>
          <w:jc w:val="center"/>
        </w:pPr>
        <w:r>
          <w:fldChar w:fldCharType="begin"/>
        </w:r>
        <w:r>
          <w:instrText xml:space="preserve"> PAGE   \* MERGEFORMAT </w:instrText>
        </w:r>
        <w:r>
          <w:fldChar w:fldCharType="separate"/>
        </w:r>
        <w:r>
          <w:t>158</w:t>
        </w:r>
        <w:r>
          <w:fldChar w:fldCharType="end"/>
        </w:r>
      </w:p>
    </w:sdtContent>
  </w:sdt>
  <w:p w14:paraId="43DA99A1" w14:textId="77777777" w:rsidR="00025543" w:rsidRDefault="00025543">
    <w:pPr>
      <w:pStyle w:val="Footer"/>
    </w:pPr>
  </w:p>
</w:ftr>
</file>

<file path=word/footer1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1407C" w14:textId="77777777" w:rsidR="00025543" w:rsidRDefault="00025543">
    <w:pPr>
      <w:pStyle w:val="Footer"/>
    </w:pPr>
  </w:p>
</w:ftr>
</file>

<file path=word/footer1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28F03" w14:textId="77777777" w:rsidR="00025543" w:rsidRDefault="00025543">
    <w:pPr>
      <w:pStyle w:val="Footer"/>
    </w:pPr>
  </w:p>
</w:ftr>
</file>

<file path=word/footer1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485363"/>
      <w:docPartObj>
        <w:docPartGallery w:val="Page Numbers (Bottom of Page)"/>
        <w:docPartUnique/>
      </w:docPartObj>
    </w:sdtPr>
    <w:sdtEndPr>
      <w:rPr>
        <w:noProof/>
      </w:rPr>
    </w:sdtEndPr>
    <w:sdtContent>
      <w:p w14:paraId="3976D64C" w14:textId="688ACA91" w:rsidR="00025543" w:rsidRDefault="007E3A2F">
        <w:pPr>
          <w:pStyle w:val="Footer"/>
          <w:jc w:val="center"/>
        </w:pPr>
        <w:r>
          <w:fldChar w:fldCharType="begin"/>
        </w:r>
        <w:r>
          <w:instrText xml:space="preserve"> PAGE   \* MERGEFORMAT </w:instrText>
        </w:r>
        <w:r>
          <w:fldChar w:fldCharType="separate"/>
        </w:r>
        <w:r>
          <w:t>161</w:t>
        </w:r>
        <w:r>
          <w:fldChar w:fldCharType="end"/>
        </w:r>
      </w:p>
    </w:sdtContent>
  </w:sdt>
  <w:p w14:paraId="10C3F6C1" w14:textId="77777777" w:rsidR="00025543" w:rsidRDefault="00025543">
    <w:pPr>
      <w:pStyle w:val="FooterCouncil"/>
    </w:pPr>
  </w:p>
</w:ftr>
</file>

<file path=word/footer1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CB1A4" w14:textId="77777777" w:rsidR="00025543" w:rsidRDefault="00025543">
    <w:pPr>
      <w:pStyle w:val="Footer"/>
    </w:pPr>
  </w:p>
</w:ftr>
</file>

<file path=word/footer1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4E267" w14:textId="77777777" w:rsidR="00025543" w:rsidRDefault="00025543">
    <w:pPr>
      <w:pStyle w:val="Footer"/>
    </w:pPr>
  </w:p>
</w:ftr>
</file>

<file path=word/footer1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550970"/>
      <w:docPartObj>
        <w:docPartGallery w:val="Page Numbers (Bottom of Page)"/>
        <w:docPartUnique/>
      </w:docPartObj>
    </w:sdtPr>
    <w:sdtEndPr>
      <w:rPr>
        <w:noProof/>
      </w:rPr>
    </w:sdtEndPr>
    <w:sdtContent>
      <w:p w14:paraId="24B902EF" w14:textId="403ADCB5" w:rsidR="00025543" w:rsidRDefault="007E3A2F">
        <w:pPr>
          <w:pStyle w:val="Footer"/>
          <w:jc w:val="center"/>
        </w:pPr>
        <w:r>
          <w:fldChar w:fldCharType="begin"/>
        </w:r>
        <w:r>
          <w:instrText xml:space="preserve"> PAGE   \* MERGEFORMAT </w:instrText>
        </w:r>
        <w:r>
          <w:fldChar w:fldCharType="separate"/>
        </w:r>
        <w:r>
          <w:t>163</w:t>
        </w:r>
        <w:r>
          <w:fldChar w:fldCharType="end"/>
        </w:r>
      </w:p>
    </w:sdtContent>
  </w:sdt>
  <w:p w14:paraId="0C3848E5" w14:textId="77777777" w:rsidR="00025543" w:rsidRDefault="00025543">
    <w:pPr>
      <w:pStyle w:val="FooterCouncil"/>
    </w:pPr>
  </w:p>
</w:ftr>
</file>

<file path=word/footer1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32CD7" w14:textId="77777777" w:rsidR="00025543" w:rsidRDefault="00025543">
    <w:pPr>
      <w:pStyle w:val="Footer"/>
    </w:pPr>
  </w:p>
</w:ftr>
</file>

<file path=word/footer1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ECB45" w14:textId="77777777" w:rsidR="00025543" w:rsidRDefault="00025543">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576224"/>
      <w:docPartObj>
        <w:docPartGallery w:val="Page Numbers (Bottom of Page)"/>
        <w:docPartUnique/>
      </w:docPartObj>
    </w:sdtPr>
    <w:sdtEndPr>
      <w:rPr>
        <w:noProof/>
      </w:rPr>
    </w:sdtEndPr>
    <w:sdtContent>
      <w:p w14:paraId="07967CE3" w14:textId="668B3071" w:rsidR="00025543" w:rsidRDefault="007E3A2F">
        <w:pPr>
          <w:pStyle w:val="Footer"/>
          <w:jc w:val="center"/>
        </w:pPr>
        <w:r>
          <w:fldChar w:fldCharType="begin"/>
        </w:r>
        <w:r>
          <w:instrText xml:space="preserve"> PAGE   \* MERGEFORMAT </w:instrText>
        </w:r>
        <w:r>
          <w:fldChar w:fldCharType="separate"/>
        </w:r>
        <w:r w:rsidR="00E87C64">
          <w:rPr>
            <w:noProof/>
          </w:rPr>
          <w:t>14</w:t>
        </w:r>
        <w:r>
          <w:fldChar w:fldCharType="end"/>
        </w:r>
      </w:p>
    </w:sdtContent>
  </w:sdt>
  <w:p w14:paraId="74EEAD28" w14:textId="77777777" w:rsidR="00025543" w:rsidRDefault="00025543">
    <w:pPr>
      <w:pStyle w:val="FooterCouncil"/>
    </w:pPr>
  </w:p>
</w:ftr>
</file>

<file path=word/footer1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257742"/>
      <w:docPartObj>
        <w:docPartGallery w:val="Page Numbers (Bottom of Page)"/>
        <w:docPartUnique/>
      </w:docPartObj>
    </w:sdtPr>
    <w:sdtEndPr>
      <w:rPr>
        <w:noProof/>
      </w:rPr>
    </w:sdtEndPr>
    <w:sdtContent>
      <w:p w14:paraId="1F7DF478" w14:textId="603C674A" w:rsidR="00025543" w:rsidRDefault="007E3A2F">
        <w:pPr>
          <w:pStyle w:val="Footer"/>
          <w:jc w:val="center"/>
        </w:pPr>
        <w:r>
          <w:fldChar w:fldCharType="begin"/>
        </w:r>
        <w:r>
          <w:instrText xml:space="preserve"> PAGE   \* MERGEFORMAT </w:instrText>
        </w:r>
        <w:r>
          <w:fldChar w:fldCharType="separate"/>
        </w:r>
        <w:r>
          <w:t>169</w:t>
        </w:r>
        <w:r>
          <w:fldChar w:fldCharType="end"/>
        </w:r>
      </w:p>
    </w:sdtContent>
  </w:sdt>
  <w:p w14:paraId="6FC37E67" w14:textId="77777777" w:rsidR="00025543" w:rsidRDefault="00025543">
    <w:pPr>
      <w:pStyle w:val="FooterCouncil"/>
    </w:pPr>
  </w:p>
</w:ftr>
</file>

<file path=word/footer1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24905" w14:textId="77777777" w:rsidR="00025543" w:rsidRDefault="00025543">
    <w:pPr>
      <w:pStyle w:val="Footer"/>
    </w:pPr>
  </w:p>
</w:ftr>
</file>

<file path=word/footer1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3218C" w14:textId="77777777" w:rsidR="00025543" w:rsidRDefault="00025543">
    <w:pPr>
      <w:pStyle w:val="Footer"/>
    </w:pPr>
  </w:p>
</w:ftr>
</file>

<file path=word/footer1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6103"/>
      <w:docPartObj>
        <w:docPartGallery w:val="Page Numbers (Bottom of Page)"/>
        <w:docPartUnique/>
      </w:docPartObj>
    </w:sdtPr>
    <w:sdtEndPr>
      <w:rPr>
        <w:noProof/>
      </w:rPr>
    </w:sdtEndPr>
    <w:sdtContent>
      <w:p w14:paraId="23855DAB" w14:textId="6627A783" w:rsidR="00025543" w:rsidRDefault="007E3A2F">
        <w:pPr>
          <w:pStyle w:val="Footer"/>
          <w:jc w:val="center"/>
        </w:pPr>
        <w:r>
          <w:fldChar w:fldCharType="begin"/>
        </w:r>
        <w:r>
          <w:instrText xml:space="preserve"> PAGE   \* MERGEFORMAT </w:instrText>
        </w:r>
        <w:r>
          <w:fldChar w:fldCharType="separate"/>
        </w:r>
        <w:r>
          <w:t>171</w:t>
        </w:r>
        <w:r>
          <w:fldChar w:fldCharType="end"/>
        </w:r>
      </w:p>
    </w:sdtContent>
  </w:sdt>
  <w:p w14:paraId="2C513498" w14:textId="77777777" w:rsidR="00025543" w:rsidRDefault="00025543">
    <w:pPr>
      <w:pStyle w:val="FooterCouncil"/>
    </w:pPr>
  </w:p>
</w:ftr>
</file>

<file path=word/footer1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BEB96" w14:textId="77777777" w:rsidR="00025543" w:rsidRDefault="00025543">
    <w:pPr>
      <w:pStyle w:val="Footer"/>
    </w:pPr>
  </w:p>
</w:ftr>
</file>

<file path=word/footer1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54C1E" w14:textId="77777777" w:rsidR="00025543" w:rsidRDefault="00025543">
    <w:pPr>
      <w:pStyle w:val="Footer"/>
    </w:pPr>
  </w:p>
</w:ftr>
</file>

<file path=word/footer1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339640"/>
      <w:docPartObj>
        <w:docPartGallery w:val="Page Numbers (Bottom of Page)"/>
        <w:docPartUnique/>
      </w:docPartObj>
    </w:sdtPr>
    <w:sdtEndPr>
      <w:rPr>
        <w:noProof/>
      </w:rPr>
    </w:sdtEndPr>
    <w:sdtContent>
      <w:p w14:paraId="6B77A501" w14:textId="152F7113" w:rsidR="00025543" w:rsidRDefault="007E3A2F">
        <w:pPr>
          <w:pStyle w:val="Footer"/>
          <w:jc w:val="center"/>
        </w:pPr>
        <w:r>
          <w:fldChar w:fldCharType="begin"/>
        </w:r>
        <w:r>
          <w:instrText xml:space="preserve"> PAGE   \* MERGEFORMAT </w:instrText>
        </w:r>
        <w:r>
          <w:fldChar w:fldCharType="separate"/>
        </w:r>
        <w:r>
          <w:t>174</w:t>
        </w:r>
        <w:r>
          <w:fldChar w:fldCharType="end"/>
        </w:r>
      </w:p>
    </w:sdtContent>
  </w:sdt>
  <w:p w14:paraId="776E6189" w14:textId="77777777" w:rsidR="00025543" w:rsidRDefault="00025543">
    <w:pPr>
      <w:pStyle w:val="FooterCouncil"/>
    </w:pPr>
  </w:p>
</w:ftr>
</file>

<file path=word/footer1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67106" w14:textId="77777777" w:rsidR="00025543" w:rsidRDefault="00025543">
    <w:pPr>
      <w:pStyle w:val="Footer"/>
    </w:pPr>
  </w:p>
</w:ftr>
</file>

<file path=word/footer1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4F2BE" w14:textId="77777777" w:rsidR="00025543" w:rsidRDefault="00025543">
    <w:pPr>
      <w:pStyle w:val="Footer"/>
    </w:pPr>
  </w:p>
</w:ftr>
</file>

<file path=word/footer1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395615"/>
      <w:docPartObj>
        <w:docPartGallery w:val="Page Numbers (Bottom of Page)"/>
        <w:docPartUnique/>
      </w:docPartObj>
    </w:sdtPr>
    <w:sdtEndPr>
      <w:rPr>
        <w:noProof/>
      </w:rPr>
    </w:sdtEndPr>
    <w:sdtContent>
      <w:p w14:paraId="23262636" w14:textId="19E8CEE9" w:rsidR="00025543" w:rsidRDefault="007E3A2F">
        <w:pPr>
          <w:pStyle w:val="Footer"/>
          <w:jc w:val="center"/>
        </w:pPr>
        <w:r>
          <w:fldChar w:fldCharType="begin"/>
        </w:r>
        <w:r>
          <w:instrText xml:space="preserve"> PAGE   \* MERGEFORMAT </w:instrText>
        </w:r>
        <w:r>
          <w:fldChar w:fldCharType="separate"/>
        </w:r>
        <w:r>
          <w:t>176</w:t>
        </w:r>
        <w:r>
          <w:fldChar w:fldCharType="end"/>
        </w:r>
      </w:p>
    </w:sdtContent>
  </w:sdt>
  <w:p w14:paraId="361BEAD4" w14:textId="77777777" w:rsidR="00025543" w:rsidRDefault="00025543">
    <w:pPr>
      <w:pStyle w:val="FooterCouncil"/>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0D403" w14:textId="77777777" w:rsidR="00025543" w:rsidRDefault="00025543">
    <w:pPr>
      <w:pStyle w:val="Footer"/>
    </w:pPr>
  </w:p>
</w:ftr>
</file>

<file path=word/footer1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74B6B" w14:textId="77777777" w:rsidR="00025543" w:rsidRDefault="00025543">
    <w:pPr>
      <w:pStyle w:val="Footer"/>
    </w:pPr>
  </w:p>
</w:ftr>
</file>

<file path=word/footer1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9F0D7" w14:textId="77777777" w:rsidR="00025543" w:rsidRDefault="00025543">
    <w:pPr>
      <w:pStyle w:val="Footer"/>
    </w:pPr>
  </w:p>
</w:ftr>
</file>

<file path=word/footer1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381755"/>
      <w:docPartObj>
        <w:docPartGallery w:val="Page Numbers (Bottom of Page)"/>
        <w:docPartUnique/>
      </w:docPartObj>
    </w:sdtPr>
    <w:sdtEndPr>
      <w:rPr>
        <w:noProof/>
      </w:rPr>
    </w:sdtEndPr>
    <w:sdtContent>
      <w:p w14:paraId="5E6FDC03" w14:textId="1E45460B" w:rsidR="00025543" w:rsidRDefault="007E3A2F">
        <w:pPr>
          <w:pStyle w:val="Footer"/>
          <w:jc w:val="center"/>
        </w:pPr>
        <w:r>
          <w:fldChar w:fldCharType="begin"/>
        </w:r>
        <w:r>
          <w:instrText xml:space="preserve"> PAGE   \* MERGEFORMAT </w:instrText>
        </w:r>
        <w:r>
          <w:fldChar w:fldCharType="separate"/>
        </w:r>
        <w:r>
          <w:t>178</w:t>
        </w:r>
        <w:r>
          <w:fldChar w:fldCharType="end"/>
        </w:r>
      </w:p>
    </w:sdtContent>
  </w:sdt>
  <w:p w14:paraId="2531390B" w14:textId="77777777" w:rsidR="00025543" w:rsidRDefault="00025543">
    <w:pPr>
      <w:pStyle w:val="FooterCouncil"/>
    </w:pPr>
  </w:p>
</w:ftr>
</file>

<file path=word/footer1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3E870" w14:textId="77777777" w:rsidR="00025543" w:rsidRDefault="00025543">
    <w:pPr>
      <w:pStyle w:val="Footer"/>
    </w:pPr>
  </w:p>
</w:ftr>
</file>

<file path=word/footer1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126A9" w14:textId="77777777" w:rsidR="00025543" w:rsidRDefault="00025543">
    <w:pPr>
      <w:pStyle w:val="Footer"/>
    </w:pPr>
  </w:p>
</w:ftr>
</file>

<file path=word/footer1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382557"/>
      <w:docPartObj>
        <w:docPartGallery w:val="Page Numbers (Bottom of Page)"/>
        <w:docPartUnique/>
      </w:docPartObj>
    </w:sdtPr>
    <w:sdtEndPr>
      <w:rPr>
        <w:noProof/>
      </w:rPr>
    </w:sdtEndPr>
    <w:sdtContent>
      <w:p w14:paraId="704F319E" w14:textId="05E793EB" w:rsidR="00025543" w:rsidRDefault="007E3A2F">
        <w:pPr>
          <w:pStyle w:val="Footer"/>
          <w:jc w:val="center"/>
        </w:pPr>
        <w:r>
          <w:fldChar w:fldCharType="begin"/>
        </w:r>
        <w:r>
          <w:instrText xml:space="preserve"> PAGE   \* MERGEFORMAT </w:instrText>
        </w:r>
        <w:r>
          <w:fldChar w:fldCharType="separate"/>
        </w:r>
        <w:r>
          <w:t>179</w:t>
        </w:r>
        <w:r>
          <w:fldChar w:fldCharType="end"/>
        </w:r>
      </w:p>
    </w:sdtContent>
  </w:sdt>
  <w:p w14:paraId="7D0E2178" w14:textId="77777777" w:rsidR="00025543" w:rsidRDefault="00025543">
    <w:pPr>
      <w:pStyle w:val="FooterCouncil"/>
    </w:pPr>
  </w:p>
</w:ftr>
</file>

<file path=word/footer1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23155" w14:textId="77777777" w:rsidR="00025543" w:rsidRDefault="00025543">
    <w:pPr>
      <w:pStyle w:val="Footer"/>
    </w:pPr>
  </w:p>
</w:ftr>
</file>

<file path=word/footer1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E4902" w14:textId="77777777" w:rsidR="00025543" w:rsidRDefault="00025543">
    <w:pPr>
      <w:pStyle w:val="Footer"/>
    </w:pPr>
  </w:p>
</w:ftr>
</file>

<file path=word/footer1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929516"/>
      <w:docPartObj>
        <w:docPartGallery w:val="Page Numbers (Bottom of Page)"/>
        <w:docPartUnique/>
      </w:docPartObj>
    </w:sdtPr>
    <w:sdtEndPr>
      <w:rPr>
        <w:noProof/>
      </w:rPr>
    </w:sdtEndPr>
    <w:sdtContent>
      <w:p w14:paraId="509C787F" w14:textId="2B7DD390" w:rsidR="00025543" w:rsidRDefault="007E3A2F">
        <w:pPr>
          <w:pStyle w:val="Footer"/>
          <w:jc w:val="center"/>
        </w:pPr>
        <w:r>
          <w:fldChar w:fldCharType="begin"/>
        </w:r>
        <w:r>
          <w:instrText xml:space="preserve"> PAGE   \* MERGEFORMAT </w:instrText>
        </w:r>
        <w:r>
          <w:fldChar w:fldCharType="separate"/>
        </w:r>
        <w:r>
          <w:t>181</w:t>
        </w:r>
        <w:r>
          <w:fldChar w:fldCharType="end"/>
        </w:r>
      </w:p>
    </w:sdtContent>
  </w:sdt>
  <w:p w14:paraId="6A9E2E4C" w14:textId="77777777" w:rsidR="00025543" w:rsidRDefault="00025543">
    <w:pPr>
      <w:pStyle w:val="FooterCouncil"/>
    </w:pPr>
  </w:p>
</w:ftr>
</file>

<file path=word/footer1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53BDF" w14:textId="77777777" w:rsidR="00025543" w:rsidRDefault="00025543">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D4443" w14:textId="77777777" w:rsidR="00025543" w:rsidRDefault="00025543">
    <w:pPr>
      <w:pStyle w:val="Footer"/>
    </w:pPr>
  </w:p>
</w:ftr>
</file>

<file path=word/footer1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BADDA" w14:textId="77777777" w:rsidR="00025543" w:rsidRDefault="00025543">
    <w:pPr>
      <w:pStyle w:val="Footer"/>
    </w:pPr>
  </w:p>
</w:ftr>
</file>

<file path=word/footer1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490653"/>
      <w:docPartObj>
        <w:docPartGallery w:val="Page Numbers (Bottom of Page)"/>
        <w:docPartUnique/>
      </w:docPartObj>
    </w:sdtPr>
    <w:sdtEndPr>
      <w:rPr>
        <w:noProof/>
      </w:rPr>
    </w:sdtEndPr>
    <w:sdtContent>
      <w:p w14:paraId="6515B165" w14:textId="229C1BD6" w:rsidR="00025543" w:rsidRDefault="007E3A2F">
        <w:pPr>
          <w:pStyle w:val="Footer"/>
          <w:jc w:val="center"/>
        </w:pPr>
        <w:r>
          <w:fldChar w:fldCharType="begin"/>
        </w:r>
        <w:r>
          <w:instrText xml:space="preserve"> PAGE   \* MERGEFORMAT </w:instrText>
        </w:r>
        <w:r>
          <w:fldChar w:fldCharType="separate"/>
        </w:r>
        <w:r>
          <w:t>184</w:t>
        </w:r>
        <w:r>
          <w:fldChar w:fldCharType="end"/>
        </w:r>
      </w:p>
    </w:sdtContent>
  </w:sdt>
  <w:p w14:paraId="6950F3DC" w14:textId="77777777" w:rsidR="00025543" w:rsidRDefault="00025543">
    <w:pPr>
      <w:pStyle w:val="FooterCouncil"/>
    </w:pPr>
  </w:p>
</w:ftr>
</file>

<file path=word/footer1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7D460" w14:textId="77777777" w:rsidR="00025543" w:rsidRDefault="00025543">
    <w:pPr>
      <w:pStyle w:val="Footer"/>
    </w:pPr>
  </w:p>
</w:ftr>
</file>

<file path=word/footer1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34635" w14:textId="77777777" w:rsidR="00025543" w:rsidRDefault="00025543">
    <w:pPr>
      <w:pStyle w:val="Footer"/>
    </w:pPr>
  </w:p>
</w:ftr>
</file>

<file path=word/footer1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958213"/>
      <w:docPartObj>
        <w:docPartGallery w:val="Page Numbers (Bottom of Page)"/>
        <w:docPartUnique/>
      </w:docPartObj>
    </w:sdtPr>
    <w:sdtEndPr>
      <w:rPr>
        <w:noProof/>
      </w:rPr>
    </w:sdtEndPr>
    <w:sdtContent>
      <w:p w14:paraId="1C0B7EC7" w14:textId="51ED863F" w:rsidR="00025543" w:rsidRDefault="007E3A2F">
        <w:pPr>
          <w:pStyle w:val="Footer"/>
          <w:jc w:val="center"/>
        </w:pPr>
        <w:r>
          <w:fldChar w:fldCharType="begin"/>
        </w:r>
        <w:r>
          <w:instrText xml:space="preserve"> PAGE   \* MERGEFORMAT </w:instrText>
        </w:r>
        <w:r>
          <w:fldChar w:fldCharType="separate"/>
        </w:r>
        <w:r>
          <w:t>189</w:t>
        </w:r>
        <w:r>
          <w:fldChar w:fldCharType="end"/>
        </w:r>
      </w:p>
    </w:sdtContent>
  </w:sdt>
  <w:p w14:paraId="21A5D4CD" w14:textId="77777777" w:rsidR="00025543" w:rsidRDefault="00025543">
    <w:pPr>
      <w:pStyle w:val="FooterCouncil"/>
    </w:pPr>
  </w:p>
</w:ftr>
</file>

<file path=word/footer1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F3823" w14:textId="77777777" w:rsidR="00025543" w:rsidRDefault="00025543">
    <w:pPr>
      <w:pStyle w:val="Footer"/>
    </w:pPr>
  </w:p>
</w:ftr>
</file>

<file path=word/footer1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A5348" w14:textId="77777777" w:rsidR="00025543" w:rsidRDefault="00025543">
    <w:pPr>
      <w:pStyle w:val="Footer"/>
    </w:pPr>
  </w:p>
</w:ftr>
</file>

<file path=word/footer1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89337"/>
      <w:docPartObj>
        <w:docPartGallery w:val="Page Numbers (Bottom of Page)"/>
        <w:docPartUnique/>
      </w:docPartObj>
    </w:sdtPr>
    <w:sdtEndPr>
      <w:rPr>
        <w:noProof/>
      </w:rPr>
    </w:sdtEndPr>
    <w:sdtContent>
      <w:p w14:paraId="524FCB16" w14:textId="6C908881" w:rsidR="00025543" w:rsidRDefault="007E3A2F">
        <w:pPr>
          <w:pStyle w:val="Footer"/>
          <w:jc w:val="center"/>
        </w:pPr>
        <w:r>
          <w:fldChar w:fldCharType="begin"/>
        </w:r>
        <w:r>
          <w:instrText xml:space="preserve"> PAGE   \* MERGEFORMAT </w:instrText>
        </w:r>
        <w:r>
          <w:fldChar w:fldCharType="separate"/>
        </w:r>
        <w:r>
          <w:t>190</w:t>
        </w:r>
        <w:r>
          <w:fldChar w:fldCharType="end"/>
        </w:r>
      </w:p>
    </w:sdtContent>
  </w:sdt>
  <w:p w14:paraId="0439C22E" w14:textId="77777777" w:rsidR="00025543" w:rsidRDefault="00025543">
    <w:pPr>
      <w:pStyle w:val="FooterCouncil"/>
    </w:pPr>
  </w:p>
</w:ftr>
</file>

<file path=word/footer1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676FD" w14:textId="77777777" w:rsidR="00025543" w:rsidRDefault="00025543">
    <w:pPr>
      <w:pStyle w:val="Footer"/>
    </w:pPr>
  </w:p>
</w:ftr>
</file>

<file path=word/footer1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8ADCD" w14:textId="77777777" w:rsidR="00025543" w:rsidRDefault="000255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96B0B" w14:textId="4CD7F92B" w:rsidR="001F3B3F" w:rsidRPr="00B91265" w:rsidRDefault="00B91265" w:rsidP="00B91265">
    <w:pPr>
      <w:pStyle w:val="FooterCoverPage"/>
      <w:rPr>
        <w:rFonts w:ascii="Arial" w:hAnsi="Arial" w:cs="Arial"/>
        <w:b/>
        <w:sz w:val="48"/>
      </w:rPr>
    </w:pPr>
    <w:r w:rsidRPr="00B91265">
      <w:rPr>
        <w:rFonts w:ascii="Arial" w:hAnsi="Arial" w:cs="Arial"/>
        <w:b/>
        <w:sz w:val="48"/>
      </w:rPr>
      <w:t>FR</w:t>
    </w:r>
    <w:r w:rsidRPr="00B91265">
      <w:rPr>
        <w:rFonts w:ascii="Arial" w:hAnsi="Arial" w:cs="Arial"/>
        <w:b/>
        <w:sz w:val="48"/>
      </w:rPr>
      <w:tab/>
    </w:r>
    <w:r w:rsidRPr="00B91265">
      <w:rPr>
        <w:rFonts w:ascii="Arial" w:hAnsi="Arial" w:cs="Arial"/>
        <w:b/>
        <w:sz w:val="48"/>
      </w:rPr>
      <w:tab/>
    </w:r>
    <w:r w:rsidRPr="00B91265">
      <w:tab/>
    </w:r>
    <w:r w:rsidRPr="00B91265">
      <w:rPr>
        <w:rFonts w:ascii="Arial" w:hAnsi="Arial" w:cs="Arial"/>
        <w:b/>
        <w:sz w:val="48"/>
      </w:rPr>
      <w:t>FR</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2123"/>
      <w:docPartObj>
        <w:docPartGallery w:val="Page Numbers (Bottom of Page)"/>
        <w:docPartUnique/>
      </w:docPartObj>
    </w:sdtPr>
    <w:sdtEndPr>
      <w:rPr>
        <w:noProof/>
      </w:rPr>
    </w:sdtEndPr>
    <w:sdtContent>
      <w:p w14:paraId="3029EFB4" w14:textId="584B3A64" w:rsidR="00025543" w:rsidRDefault="007E3A2F">
        <w:pPr>
          <w:pStyle w:val="Footer"/>
          <w:jc w:val="center"/>
        </w:pPr>
        <w:r>
          <w:fldChar w:fldCharType="begin"/>
        </w:r>
        <w:r>
          <w:instrText xml:space="preserve"> PAGE   \* MERGEFORMAT </w:instrText>
        </w:r>
        <w:r>
          <w:fldChar w:fldCharType="separate"/>
        </w:r>
        <w:r w:rsidR="00E87C64">
          <w:rPr>
            <w:noProof/>
          </w:rPr>
          <w:t>21</w:t>
        </w:r>
        <w:r>
          <w:fldChar w:fldCharType="end"/>
        </w:r>
      </w:p>
    </w:sdtContent>
  </w:sdt>
  <w:p w14:paraId="0C138EA0" w14:textId="77777777" w:rsidR="00025543" w:rsidRDefault="00025543">
    <w:pPr>
      <w:pStyle w:val="FooterCouncil"/>
    </w:pPr>
  </w:p>
</w:ftr>
</file>

<file path=word/footer2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120921"/>
      <w:docPartObj>
        <w:docPartGallery w:val="Page Numbers (Bottom of Page)"/>
        <w:docPartUnique/>
      </w:docPartObj>
    </w:sdtPr>
    <w:sdtEndPr>
      <w:rPr>
        <w:noProof/>
      </w:rPr>
    </w:sdtEndPr>
    <w:sdtContent>
      <w:p w14:paraId="6C01AAF7" w14:textId="676CA78B" w:rsidR="00025543" w:rsidRDefault="007E3A2F">
        <w:pPr>
          <w:pStyle w:val="Footer"/>
          <w:jc w:val="center"/>
        </w:pPr>
        <w:r>
          <w:fldChar w:fldCharType="begin"/>
        </w:r>
        <w:r>
          <w:instrText xml:space="preserve"> PAGE   \* MERGEFORMAT </w:instrText>
        </w:r>
        <w:r>
          <w:fldChar w:fldCharType="separate"/>
        </w:r>
        <w:r>
          <w:t>192</w:t>
        </w:r>
        <w:r>
          <w:fldChar w:fldCharType="end"/>
        </w:r>
      </w:p>
    </w:sdtContent>
  </w:sdt>
  <w:p w14:paraId="0C0528A5" w14:textId="77777777" w:rsidR="00025543" w:rsidRDefault="00025543">
    <w:pPr>
      <w:pStyle w:val="FooterCouncil"/>
    </w:pPr>
  </w:p>
</w:ftr>
</file>

<file path=word/footer2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9DD64" w14:textId="77777777" w:rsidR="00025543" w:rsidRDefault="00025543">
    <w:pPr>
      <w:pStyle w:val="Footer"/>
    </w:pPr>
  </w:p>
</w:ftr>
</file>

<file path=word/footer2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5A6A1" w14:textId="77777777" w:rsidR="00025543" w:rsidRDefault="00025543">
    <w:pPr>
      <w:pStyle w:val="Footer"/>
    </w:pPr>
  </w:p>
</w:ftr>
</file>

<file path=word/footer2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840960"/>
      <w:docPartObj>
        <w:docPartGallery w:val="Page Numbers (Bottom of Page)"/>
        <w:docPartUnique/>
      </w:docPartObj>
    </w:sdtPr>
    <w:sdtEndPr>
      <w:rPr>
        <w:noProof/>
      </w:rPr>
    </w:sdtEndPr>
    <w:sdtContent>
      <w:p w14:paraId="282CDDA1" w14:textId="6AB4AB69" w:rsidR="00025543" w:rsidRDefault="007E3A2F">
        <w:pPr>
          <w:pStyle w:val="Footer"/>
          <w:jc w:val="center"/>
        </w:pPr>
        <w:r>
          <w:fldChar w:fldCharType="begin"/>
        </w:r>
        <w:r>
          <w:instrText xml:space="preserve"> PAGE   \* MERGEFORMAT </w:instrText>
        </w:r>
        <w:r>
          <w:fldChar w:fldCharType="separate"/>
        </w:r>
        <w:r>
          <w:t>194</w:t>
        </w:r>
        <w:r>
          <w:fldChar w:fldCharType="end"/>
        </w:r>
      </w:p>
    </w:sdtContent>
  </w:sdt>
  <w:p w14:paraId="497D4D4F" w14:textId="77777777" w:rsidR="00025543" w:rsidRDefault="00025543">
    <w:pPr>
      <w:pStyle w:val="Footer"/>
    </w:pPr>
  </w:p>
</w:ftr>
</file>

<file path=word/footer2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A2422" w14:textId="77777777" w:rsidR="00025543" w:rsidRDefault="00025543">
    <w:pPr>
      <w:pStyle w:val="Footer"/>
    </w:pPr>
  </w:p>
</w:ftr>
</file>

<file path=word/footer2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83640" w14:textId="77777777" w:rsidR="00025543" w:rsidRDefault="00025543">
    <w:pPr>
      <w:pStyle w:val="Footer"/>
    </w:pPr>
  </w:p>
</w:ftr>
</file>

<file path=word/footer2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171568"/>
      <w:docPartObj>
        <w:docPartGallery w:val="Page Numbers (Bottom of Page)"/>
        <w:docPartUnique/>
      </w:docPartObj>
    </w:sdtPr>
    <w:sdtEndPr>
      <w:rPr>
        <w:noProof/>
      </w:rPr>
    </w:sdtEndPr>
    <w:sdtContent>
      <w:p w14:paraId="26F1B103" w14:textId="3075C28E" w:rsidR="00025543" w:rsidRDefault="007E3A2F">
        <w:pPr>
          <w:pStyle w:val="Footer"/>
          <w:jc w:val="center"/>
        </w:pPr>
        <w:r>
          <w:fldChar w:fldCharType="begin"/>
        </w:r>
        <w:r>
          <w:instrText xml:space="preserve"> PAGE   \* MERGEFORMAT </w:instrText>
        </w:r>
        <w:r>
          <w:fldChar w:fldCharType="separate"/>
        </w:r>
        <w:r>
          <w:t>196</w:t>
        </w:r>
        <w:r>
          <w:fldChar w:fldCharType="end"/>
        </w:r>
      </w:p>
    </w:sdtContent>
  </w:sdt>
  <w:p w14:paraId="48321608" w14:textId="77777777" w:rsidR="00025543" w:rsidRDefault="00025543">
    <w:pPr>
      <w:pStyle w:val="FooterCouncil"/>
    </w:pPr>
  </w:p>
</w:ftr>
</file>

<file path=word/footer2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708B1" w14:textId="77777777" w:rsidR="00025543" w:rsidRDefault="00025543">
    <w:pPr>
      <w:pStyle w:val="Footer"/>
    </w:pPr>
  </w:p>
</w:ftr>
</file>

<file path=word/footer2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BF9AC" w14:textId="77777777" w:rsidR="00025543" w:rsidRDefault="00025543">
    <w:pPr>
      <w:pStyle w:val="Footer"/>
    </w:pPr>
  </w:p>
</w:ftr>
</file>

<file path=word/footer2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038761"/>
      <w:docPartObj>
        <w:docPartGallery w:val="Page Numbers (Bottom of Page)"/>
        <w:docPartUnique/>
      </w:docPartObj>
    </w:sdtPr>
    <w:sdtEndPr>
      <w:rPr>
        <w:noProof/>
      </w:rPr>
    </w:sdtEndPr>
    <w:sdtContent>
      <w:p w14:paraId="15BADCF2" w14:textId="7053881B" w:rsidR="00025543" w:rsidRDefault="007E3A2F">
        <w:pPr>
          <w:pStyle w:val="Footer"/>
          <w:jc w:val="center"/>
        </w:pPr>
        <w:r>
          <w:fldChar w:fldCharType="begin"/>
        </w:r>
        <w:r>
          <w:instrText xml:space="preserve"> PAGE   \* MERGEFORMAT </w:instrText>
        </w:r>
        <w:r>
          <w:fldChar w:fldCharType="separate"/>
        </w:r>
        <w:r>
          <w:t>199</w:t>
        </w:r>
        <w:r>
          <w:fldChar w:fldCharType="end"/>
        </w:r>
      </w:p>
    </w:sdtContent>
  </w:sdt>
  <w:p w14:paraId="5BB854AC" w14:textId="77777777" w:rsidR="00025543" w:rsidRDefault="00025543">
    <w:pPr>
      <w:pStyle w:val="FooterCouncil"/>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BD0A4" w14:textId="77777777" w:rsidR="00025543" w:rsidRDefault="00025543">
    <w:pPr>
      <w:pStyle w:val="Footer"/>
    </w:pPr>
  </w:p>
</w:ftr>
</file>

<file path=word/footer2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42D5F" w14:textId="77777777" w:rsidR="00025543" w:rsidRDefault="00025543">
    <w:pPr>
      <w:pStyle w:val="Footer"/>
    </w:pPr>
  </w:p>
</w:ftr>
</file>

<file path=word/footer2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0D2EA" w14:textId="77777777" w:rsidR="00025543" w:rsidRDefault="00025543">
    <w:pPr>
      <w:pStyle w:val="Footer"/>
    </w:pPr>
  </w:p>
</w:ftr>
</file>

<file path=word/footer2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2114587"/>
      <w:docPartObj>
        <w:docPartGallery w:val="Page Numbers (Bottom of Page)"/>
        <w:docPartUnique/>
      </w:docPartObj>
    </w:sdtPr>
    <w:sdtEndPr>
      <w:rPr>
        <w:noProof/>
      </w:rPr>
    </w:sdtEndPr>
    <w:sdtContent>
      <w:p w14:paraId="7EE00A56" w14:textId="7F45B7BC" w:rsidR="00025543" w:rsidRDefault="007E3A2F">
        <w:pPr>
          <w:pStyle w:val="Footer"/>
          <w:jc w:val="center"/>
        </w:pPr>
        <w:r>
          <w:fldChar w:fldCharType="begin"/>
        </w:r>
        <w:r>
          <w:instrText xml:space="preserve"> PAGE   \* MERGEFORMAT </w:instrText>
        </w:r>
        <w:r>
          <w:fldChar w:fldCharType="separate"/>
        </w:r>
        <w:r>
          <w:t>203</w:t>
        </w:r>
        <w:r>
          <w:fldChar w:fldCharType="end"/>
        </w:r>
      </w:p>
    </w:sdtContent>
  </w:sdt>
  <w:p w14:paraId="7CF68380" w14:textId="77777777" w:rsidR="00025543" w:rsidRDefault="00025543">
    <w:pPr>
      <w:pStyle w:val="FooterCouncil"/>
    </w:pPr>
  </w:p>
</w:ftr>
</file>

<file path=word/footer2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2873E" w14:textId="77777777" w:rsidR="00025543" w:rsidRDefault="00025543">
    <w:pPr>
      <w:pStyle w:val="Footer"/>
    </w:pPr>
  </w:p>
</w:ftr>
</file>

<file path=word/footer2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4FF3C" w14:textId="77777777" w:rsidR="00025543" w:rsidRDefault="00025543">
    <w:pPr>
      <w:pStyle w:val="Footer"/>
    </w:pPr>
  </w:p>
</w:ftr>
</file>

<file path=word/footer2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346299"/>
      <w:docPartObj>
        <w:docPartGallery w:val="Page Numbers (Bottom of Page)"/>
        <w:docPartUnique/>
      </w:docPartObj>
    </w:sdtPr>
    <w:sdtEndPr>
      <w:rPr>
        <w:noProof/>
      </w:rPr>
    </w:sdtEndPr>
    <w:sdtContent>
      <w:p w14:paraId="45A30B0B" w14:textId="6F63468C" w:rsidR="00025543" w:rsidRDefault="007E3A2F">
        <w:pPr>
          <w:pStyle w:val="Footer"/>
          <w:jc w:val="center"/>
        </w:pPr>
        <w:r>
          <w:fldChar w:fldCharType="begin"/>
        </w:r>
        <w:r>
          <w:instrText xml:space="preserve"> PAGE   \* MERGEFORMAT </w:instrText>
        </w:r>
        <w:r>
          <w:fldChar w:fldCharType="separate"/>
        </w:r>
        <w:r>
          <w:t>207</w:t>
        </w:r>
        <w:r>
          <w:fldChar w:fldCharType="end"/>
        </w:r>
      </w:p>
    </w:sdtContent>
  </w:sdt>
  <w:p w14:paraId="5B673CD9" w14:textId="77777777" w:rsidR="00025543" w:rsidRDefault="00025543">
    <w:pPr>
      <w:pStyle w:val="Footer"/>
    </w:pPr>
  </w:p>
</w:ftr>
</file>

<file path=word/footer2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FC740" w14:textId="77777777" w:rsidR="00025543" w:rsidRDefault="00025543">
    <w:pPr>
      <w:pStyle w:val="Footer"/>
    </w:pPr>
  </w:p>
</w:ftr>
</file>

<file path=word/footer2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0A874" w14:textId="77777777" w:rsidR="00025543" w:rsidRDefault="00025543">
    <w:pPr>
      <w:pStyle w:val="Footer"/>
    </w:pPr>
  </w:p>
</w:ftr>
</file>

<file path=word/footer2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78476"/>
      <w:docPartObj>
        <w:docPartGallery w:val="Page Numbers (Bottom of Page)"/>
        <w:docPartUnique/>
      </w:docPartObj>
    </w:sdtPr>
    <w:sdtEndPr>
      <w:rPr>
        <w:noProof/>
      </w:rPr>
    </w:sdtEndPr>
    <w:sdtContent>
      <w:p w14:paraId="0A64BBBC" w14:textId="5A13B8C1" w:rsidR="00025543" w:rsidRDefault="007E3A2F">
        <w:pPr>
          <w:pStyle w:val="Footer"/>
          <w:jc w:val="center"/>
        </w:pPr>
        <w:r>
          <w:fldChar w:fldCharType="begin"/>
        </w:r>
        <w:r>
          <w:instrText xml:space="preserve"> PAGE   \* MERGEFORMAT </w:instrText>
        </w:r>
        <w:r>
          <w:fldChar w:fldCharType="separate"/>
        </w:r>
        <w:r>
          <w:t>212</w:t>
        </w:r>
        <w:r>
          <w:fldChar w:fldCharType="end"/>
        </w:r>
      </w:p>
    </w:sdtContent>
  </w:sdt>
  <w:p w14:paraId="341ABE77" w14:textId="77777777" w:rsidR="00025543" w:rsidRDefault="00025543">
    <w:pPr>
      <w:pStyle w:val="Footer"/>
    </w:pPr>
  </w:p>
</w:ftr>
</file>

<file path=word/footer2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1C6A3" w14:textId="77777777" w:rsidR="00025543" w:rsidRDefault="00025543">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ABBF8" w14:textId="77777777" w:rsidR="00025543" w:rsidRDefault="00025543">
    <w:pPr>
      <w:pStyle w:val="Footer"/>
    </w:pPr>
  </w:p>
</w:ftr>
</file>

<file path=word/footer2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22BA4" w14:textId="77777777" w:rsidR="00025543" w:rsidRDefault="00025543">
    <w:pPr>
      <w:pStyle w:val="Footer"/>
    </w:pPr>
  </w:p>
</w:ftr>
</file>

<file path=word/footer2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734914"/>
      <w:docPartObj>
        <w:docPartGallery w:val="Page Numbers (Bottom of Page)"/>
        <w:docPartUnique/>
      </w:docPartObj>
    </w:sdtPr>
    <w:sdtEndPr>
      <w:rPr>
        <w:noProof/>
      </w:rPr>
    </w:sdtEndPr>
    <w:sdtContent>
      <w:p w14:paraId="70AEAD3F" w14:textId="71C7A66E" w:rsidR="00025543" w:rsidRDefault="007E3A2F">
        <w:pPr>
          <w:pStyle w:val="Footer"/>
          <w:jc w:val="center"/>
        </w:pPr>
        <w:r>
          <w:fldChar w:fldCharType="begin"/>
        </w:r>
        <w:r>
          <w:instrText xml:space="preserve"> PAGE   \* MERGEFORMAT </w:instrText>
        </w:r>
        <w:r>
          <w:fldChar w:fldCharType="separate"/>
        </w:r>
        <w:r>
          <w:t>214</w:t>
        </w:r>
        <w:r>
          <w:fldChar w:fldCharType="end"/>
        </w:r>
      </w:p>
    </w:sdtContent>
  </w:sdt>
  <w:p w14:paraId="112D9EA3" w14:textId="77777777" w:rsidR="00025543" w:rsidRDefault="00025543">
    <w:pPr>
      <w:pStyle w:val="Footer"/>
    </w:pPr>
  </w:p>
</w:ftr>
</file>

<file path=word/footer2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5FCF4" w14:textId="77777777" w:rsidR="00025543" w:rsidRDefault="00025543">
    <w:pPr>
      <w:pStyle w:val="Footer"/>
    </w:pPr>
  </w:p>
</w:ftr>
</file>

<file path=word/footer2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FAA56" w14:textId="77777777" w:rsidR="00025543" w:rsidRDefault="00025543">
    <w:pPr>
      <w:pStyle w:val="Footer"/>
    </w:pPr>
  </w:p>
</w:ftr>
</file>

<file path=word/footer2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120838"/>
      <w:docPartObj>
        <w:docPartGallery w:val="Page Numbers (Bottom of Page)"/>
        <w:docPartUnique/>
      </w:docPartObj>
    </w:sdtPr>
    <w:sdtEndPr>
      <w:rPr>
        <w:noProof/>
      </w:rPr>
    </w:sdtEndPr>
    <w:sdtContent>
      <w:p w14:paraId="2D8DCD3E" w14:textId="72D78353" w:rsidR="00025543" w:rsidRDefault="007E3A2F">
        <w:pPr>
          <w:pStyle w:val="Footer"/>
          <w:jc w:val="center"/>
        </w:pPr>
        <w:r>
          <w:fldChar w:fldCharType="begin"/>
        </w:r>
        <w:r>
          <w:instrText xml:space="preserve"> PAGE   \* MERGEFORMAT </w:instrText>
        </w:r>
        <w:r>
          <w:fldChar w:fldCharType="separate"/>
        </w:r>
        <w:r>
          <w:t>219</w:t>
        </w:r>
        <w:r>
          <w:fldChar w:fldCharType="end"/>
        </w:r>
      </w:p>
    </w:sdtContent>
  </w:sdt>
  <w:p w14:paraId="5ED59FD4" w14:textId="77777777" w:rsidR="00025543" w:rsidRDefault="00025543">
    <w:pPr>
      <w:pStyle w:val="Footer"/>
    </w:pPr>
  </w:p>
</w:ftr>
</file>

<file path=word/footer2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1E51E" w14:textId="77777777" w:rsidR="00025543" w:rsidRDefault="00025543">
    <w:pPr>
      <w:pStyle w:val="Footer"/>
    </w:pPr>
  </w:p>
</w:ftr>
</file>

<file path=word/footer2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6AE31" w14:textId="77777777" w:rsidR="00025543" w:rsidRDefault="00025543">
    <w:pPr>
      <w:pStyle w:val="Footer"/>
    </w:pPr>
  </w:p>
</w:ftr>
</file>

<file path=word/footer2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300413"/>
      <w:docPartObj>
        <w:docPartGallery w:val="Page Numbers (Bottom of Page)"/>
        <w:docPartUnique/>
      </w:docPartObj>
    </w:sdtPr>
    <w:sdtEndPr>
      <w:rPr>
        <w:noProof/>
      </w:rPr>
    </w:sdtEndPr>
    <w:sdtContent>
      <w:p w14:paraId="7B805351" w14:textId="0862B88F" w:rsidR="00025543" w:rsidRDefault="007E3A2F">
        <w:pPr>
          <w:pStyle w:val="Footer"/>
          <w:jc w:val="center"/>
        </w:pPr>
        <w:r>
          <w:fldChar w:fldCharType="begin"/>
        </w:r>
        <w:r>
          <w:instrText xml:space="preserve"> PAGE   \* MERGEFORMAT </w:instrText>
        </w:r>
        <w:r>
          <w:fldChar w:fldCharType="separate"/>
        </w:r>
        <w:r>
          <w:t>221</w:t>
        </w:r>
        <w:r>
          <w:fldChar w:fldCharType="end"/>
        </w:r>
      </w:p>
    </w:sdtContent>
  </w:sdt>
  <w:p w14:paraId="52BB1D8B" w14:textId="77777777" w:rsidR="00025543" w:rsidRDefault="00025543">
    <w:pPr>
      <w:pStyle w:val="Footer"/>
    </w:pPr>
  </w:p>
</w:ftr>
</file>

<file path=word/footer2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51265" w14:textId="77777777" w:rsidR="00025543" w:rsidRDefault="00025543">
    <w:pPr>
      <w:pStyle w:val="Footer"/>
    </w:pPr>
  </w:p>
</w:ftr>
</file>

<file path=word/footer2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4BEAF" w14:textId="77777777" w:rsidR="00025543" w:rsidRDefault="00025543">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668470"/>
      <w:docPartObj>
        <w:docPartGallery w:val="Page Numbers (Bottom of Page)"/>
        <w:docPartUnique/>
      </w:docPartObj>
    </w:sdtPr>
    <w:sdtEndPr>
      <w:rPr>
        <w:noProof/>
      </w:rPr>
    </w:sdtEndPr>
    <w:sdtContent>
      <w:p w14:paraId="4791E693" w14:textId="05F2EFF2" w:rsidR="00025543" w:rsidRDefault="007E3A2F">
        <w:pPr>
          <w:pStyle w:val="Footer"/>
          <w:jc w:val="center"/>
        </w:pPr>
        <w:r>
          <w:fldChar w:fldCharType="begin"/>
        </w:r>
        <w:r>
          <w:instrText xml:space="preserve"> PAGE   \* MERGEFORMAT </w:instrText>
        </w:r>
        <w:r>
          <w:fldChar w:fldCharType="separate"/>
        </w:r>
        <w:r w:rsidR="00E87C64">
          <w:rPr>
            <w:noProof/>
          </w:rPr>
          <w:t>22</w:t>
        </w:r>
        <w:r>
          <w:fldChar w:fldCharType="end"/>
        </w:r>
      </w:p>
    </w:sdtContent>
  </w:sdt>
  <w:p w14:paraId="144B058A" w14:textId="77777777" w:rsidR="00025543" w:rsidRDefault="00025543">
    <w:pPr>
      <w:pStyle w:val="FooterCouncil"/>
    </w:pPr>
  </w:p>
</w:ftr>
</file>

<file path=word/footer2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201487"/>
      <w:docPartObj>
        <w:docPartGallery w:val="Page Numbers (Bottom of Page)"/>
        <w:docPartUnique/>
      </w:docPartObj>
    </w:sdtPr>
    <w:sdtEndPr>
      <w:rPr>
        <w:noProof/>
      </w:rPr>
    </w:sdtEndPr>
    <w:sdtContent>
      <w:p w14:paraId="48B98825" w14:textId="6039DB52" w:rsidR="00025543" w:rsidRDefault="007E3A2F">
        <w:pPr>
          <w:pStyle w:val="Footer"/>
          <w:jc w:val="center"/>
        </w:pPr>
        <w:r>
          <w:fldChar w:fldCharType="begin"/>
        </w:r>
        <w:r>
          <w:instrText xml:space="preserve"> PAGE   \* MERGEFORMAT </w:instrText>
        </w:r>
        <w:r>
          <w:fldChar w:fldCharType="separate"/>
        </w:r>
        <w:r>
          <w:t>223</w:t>
        </w:r>
        <w:r>
          <w:fldChar w:fldCharType="end"/>
        </w:r>
      </w:p>
    </w:sdtContent>
  </w:sdt>
  <w:p w14:paraId="3BB9281E" w14:textId="77777777" w:rsidR="00025543" w:rsidRDefault="00025543">
    <w:pPr>
      <w:pStyle w:val="Footer"/>
    </w:pPr>
  </w:p>
</w:ftr>
</file>

<file path=word/footer2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31889" w14:textId="77777777" w:rsidR="00025543" w:rsidRDefault="00025543">
    <w:pPr>
      <w:pStyle w:val="Footer"/>
    </w:pPr>
  </w:p>
</w:ftr>
</file>

<file path=word/footer2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0EA4E" w14:textId="77777777" w:rsidR="00025543" w:rsidRDefault="00025543">
    <w:pPr>
      <w:pStyle w:val="Footer"/>
    </w:pPr>
  </w:p>
</w:ftr>
</file>

<file path=word/footer2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290468"/>
      <w:docPartObj>
        <w:docPartGallery w:val="Page Numbers (Bottom of Page)"/>
        <w:docPartUnique/>
      </w:docPartObj>
    </w:sdtPr>
    <w:sdtEndPr>
      <w:rPr>
        <w:noProof/>
      </w:rPr>
    </w:sdtEndPr>
    <w:sdtContent>
      <w:p w14:paraId="49B72FB6" w14:textId="51998B4E" w:rsidR="00025543" w:rsidRDefault="007E3A2F">
        <w:pPr>
          <w:pStyle w:val="Footer"/>
          <w:jc w:val="center"/>
        </w:pPr>
        <w:r>
          <w:fldChar w:fldCharType="begin"/>
        </w:r>
        <w:r>
          <w:instrText xml:space="preserve"> PAGE   \* MERGEFORMAT </w:instrText>
        </w:r>
        <w:r>
          <w:fldChar w:fldCharType="separate"/>
        </w:r>
        <w:r>
          <w:t>224</w:t>
        </w:r>
        <w:r>
          <w:fldChar w:fldCharType="end"/>
        </w:r>
      </w:p>
    </w:sdtContent>
  </w:sdt>
  <w:p w14:paraId="669FE613" w14:textId="77777777" w:rsidR="00025543" w:rsidRDefault="00025543">
    <w:pPr>
      <w:pStyle w:val="Footer"/>
    </w:pPr>
  </w:p>
</w:ftr>
</file>

<file path=word/footer2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49A12" w14:textId="77777777" w:rsidR="00025543" w:rsidRDefault="00025543">
    <w:pPr>
      <w:pStyle w:val="Footer"/>
    </w:pPr>
  </w:p>
</w:ftr>
</file>

<file path=word/footer2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8AD99" w14:textId="77777777" w:rsidR="00025543" w:rsidRDefault="00025543">
    <w:pPr>
      <w:pStyle w:val="Footer"/>
    </w:pPr>
  </w:p>
</w:ftr>
</file>

<file path=word/footer2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172502"/>
      <w:docPartObj>
        <w:docPartGallery w:val="Page Numbers (Bottom of Page)"/>
        <w:docPartUnique/>
      </w:docPartObj>
    </w:sdtPr>
    <w:sdtEndPr>
      <w:rPr>
        <w:noProof/>
      </w:rPr>
    </w:sdtEndPr>
    <w:sdtContent>
      <w:p w14:paraId="495798F3" w14:textId="52FAE42E" w:rsidR="00025543" w:rsidRDefault="007E3A2F">
        <w:pPr>
          <w:pStyle w:val="Footer"/>
          <w:jc w:val="center"/>
        </w:pPr>
        <w:r>
          <w:fldChar w:fldCharType="begin"/>
        </w:r>
        <w:r>
          <w:instrText xml:space="preserve"> PAGE   \* MERGEFORMAT </w:instrText>
        </w:r>
        <w:r>
          <w:fldChar w:fldCharType="separate"/>
        </w:r>
        <w:r>
          <w:t>226</w:t>
        </w:r>
        <w:r>
          <w:fldChar w:fldCharType="end"/>
        </w:r>
      </w:p>
    </w:sdtContent>
  </w:sdt>
  <w:p w14:paraId="4C2C0078" w14:textId="77777777" w:rsidR="00025543" w:rsidRDefault="00025543">
    <w:pPr>
      <w:pStyle w:val="Footer"/>
    </w:pPr>
  </w:p>
</w:ftr>
</file>

<file path=word/footer2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BA03" w14:textId="77777777" w:rsidR="00025543" w:rsidRDefault="00025543">
    <w:pPr>
      <w:pStyle w:val="Footer"/>
    </w:pPr>
  </w:p>
</w:ftr>
</file>

<file path=word/footer2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F3EF5" w14:textId="77777777" w:rsidR="00025543" w:rsidRDefault="00025543">
    <w:pPr>
      <w:pStyle w:val="Footer"/>
    </w:pPr>
  </w:p>
</w:ftr>
</file>

<file path=word/footer2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539900"/>
      <w:docPartObj>
        <w:docPartGallery w:val="Page Numbers (Bottom of Page)"/>
        <w:docPartUnique/>
      </w:docPartObj>
    </w:sdtPr>
    <w:sdtEndPr>
      <w:rPr>
        <w:noProof/>
      </w:rPr>
    </w:sdtEndPr>
    <w:sdtContent>
      <w:p w14:paraId="7FECEFC2" w14:textId="06D3B20F" w:rsidR="00025543" w:rsidRDefault="007E3A2F">
        <w:pPr>
          <w:pStyle w:val="Footer"/>
          <w:jc w:val="center"/>
        </w:pPr>
        <w:r>
          <w:fldChar w:fldCharType="begin"/>
        </w:r>
        <w:r>
          <w:instrText xml:space="preserve"> PAGE   \* MERGEFORMAT </w:instrText>
        </w:r>
        <w:r>
          <w:fldChar w:fldCharType="separate"/>
        </w:r>
        <w:r>
          <w:t>229</w:t>
        </w:r>
        <w:r>
          <w:fldChar w:fldCharType="end"/>
        </w:r>
      </w:p>
    </w:sdtContent>
  </w:sdt>
  <w:p w14:paraId="48A097C1" w14:textId="77777777" w:rsidR="00025543" w:rsidRDefault="00025543">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4A47C" w14:textId="77777777" w:rsidR="00025543" w:rsidRDefault="00025543">
    <w:pPr>
      <w:pStyle w:val="Footer"/>
    </w:pPr>
  </w:p>
</w:ftr>
</file>

<file path=word/footer2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6B949" w14:textId="77777777" w:rsidR="00025543" w:rsidRDefault="00025543">
    <w:pPr>
      <w:pStyle w:val="Footer"/>
    </w:pPr>
  </w:p>
</w:ftr>
</file>

<file path=word/footer2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3AFD0" w14:textId="77777777" w:rsidR="00025543" w:rsidRDefault="00025543">
    <w:pPr>
      <w:pStyle w:val="Footer"/>
    </w:pPr>
  </w:p>
</w:ftr>
</file>

<file path=word/footer2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339357"/>
      <w:docPartObj>
        <w:docPartGallery w:val="Page Numbers (Bottom of Page)"/>
        <w:docPartUnique/>
      </w:docPartObj>
    </w:sdtPr>
    <w:sdtEndPr>
      <w:rPr>
        <w:noProof/>
      </w:rPr>
    </w:sdtEndPr>
    <w:sdtContent>
      <w:p w14:paraId="53C60AFB" w14:textId="3B750F17" w:rsidR="00025543" w:rsidRDefault="007E3A2F">
        <w:pPr>
          <w:pStyle w:val="Footer"/>
          <w:jc w:val="center"/>
        </w:pPr>
        <w:r>
          <w:fldChar w:fldCharType="begin"/>
        </w:r>
        <w:r>
          <w:instrText xml:space="preserve"> PAGE   \* MERGEFORMAT </w:instrText>
        </w:r>
        <w:r>
          <w:fldChar w:fldCharType="separate"/>
        </w:r>
        <w:r>
          <w:t>234</w:t>
        </w:r>
        <w:r>
          <w:fldChar w:fldCharType="end"/>
        </w:r>
      </w:p>
    </w:sdtContent>
  </w:sdt>
  <w:p w14:paraId="583D7E0E" w14:textId="77777777" w:rsidR="00025543" w:rsidRDefault="00025543">
    <w:pPr>
      <w:pStyle w:val="Footer"/>
    </w:pPr>
  </w:p>
</w:ftr>
</file>

<file path=word/footer2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C793D" w14:textId="77777777" w:rsidR="00025543" w:rsidRDefault="00025543">
    <w:pPr>
      <w:pStyle w:val="Footer"/>
    </w:pPr>
  </w:p>
</w:ftr>
</file>

<file path=word/footer2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C682B" w14:textId="77777777" w:rsidR="00025543" w:rsidRDefault="00025543">
    <w:pPr>
      <w:pStyle w:val="Footer"/>
    </w:pPr>
  </w:p>
</w:ftr>
</file>

<file path=word/footer2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232595"/>
      <w:docPartObj>
        <w:docPartGallery w:val="Page Numbers (Bottom of Page)"/>
        <w:docPartUnique/>
      </w:docPartObj>
    </w:sdtPr>
    <w:sdtEndPr>
      <w:rPr>
        <w:noProof/>
      </w:rPr>
    </w:sdtEndPr>
    <w:sdtContent>
      <w:p w14:paraId="5B0C25C8" w14:textId="72398377" w:rsidR="00025543" w:rsidRDefault="007E3A2F">
        <w:pPr>
          <w:pStyle w:val="Footer"/>
          <w:jc w:val="center"/>
        </w:pPr>
        <w:r>
          <w:fldChar w:fldCharType="begin"/>
        </w:r>
        <w:r>
          <w:instrText xml:space="preserve"> PAGE   \* MERGEFORMAT </w:instrText>
        </w:r>
        <w:r>
          <w:fldChar w:fldCharType="separate"/>
        </w:r>
        <w:r>
          <w:t>235</w:t>
        </w:r>
        <w:r>
          <w:fldChar w:fldCharType="end"/>
        </w:r>
      </w:p>
    </w:sdtContent>
  </w:sdt>
  <w:p w14:paraId="7DCA154F" w14:textId="77777777" w:rsidR="00025543" w:rsidRDefault="00025543">
    <w:pPr>
      <w:pStyle w:val="Footer"/>
    </w:pPr>
  </w:p>
</w:ftr>
</file>

<file path=word/footer2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E7588" w14:textId="77777777" w:rsidR="00025543" w:rsidRDefault="00025543">
    <w:pPr>
      <w:pStyle w:val="Footer"/>
    </w:pPr>
  </w:p>
</w:ftr>
</file>

<file path=word/footer2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518F2" w14:textId="77777777" w:rsidR="00025543" w:rsidRDefault="00025543">
    <w:pPr>
      <w:pStyle w:val="Footer"/>
    </w:pPr>
  </w:p>
</w:ftr>
</file>

<file path=word/footer2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626841"/>
      <w:docPartObj>
        <w:docPartGallery w:val="Page Numbers (Bottom of Page)"/>
        <w:docPartUnique/>
      </w:docPartObj>
    </w:sdtPr>
    <w:sdtEndPr>
      <w:rPr>
        <w:noProof/>
      </w:rPr>
    </w:sdtEndPr>
    <w:sdtContent>
      <w:p w14:paraId="23407933" w14:textId="16E0850E" w:rsidR="00025543" w:rsidRDefault="007E3A2F">
        <w:pPr>
          <w:pStyle w:val="Footer"/>
          <w:jc w:val="center"/>
        </w:pPr>
        <w:r>
          <w:fldChar w:fldCharType="begin"/>
        </w:r>
        <w:r>
          <w:instrText xml:space="preserve"> PAGE   \* MERGEFORMAT </w:instrText>
        </w:r>
        <w:r>
          <w:fldChar w:fldCharType="separate"/>
        </w:r>
        <w:r>
          <w:t>236</w:t>
        </w:r>
        <w:r>
          <w:fldChar w:fldCharType="end"/>
        </w:r>
      </w:p>
    </w:sdtContent>
  </w:sdt>
  <w:p w14:paraId="60B63127" w14:textId="77777777" w:rsidR="00025543" w:rsidRDefault="00025543">
    <w:pPr>
      <w:pStyle w:val="Footer"/>
    </w:pPr>
  </w:p>
</w:ftr>
</file>

<file path=word/footer2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4EDD" w14:textId="77777777" w:rsidR="00025543" w:rsidRDefault="00025543">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ABE26" w14:textId="77777777" w:rsidR="00025543" w:rsidRDefault="00025543">
    <w:pPr>
      <w:pStyle w:val="Footer"/>
    </w:pPr>
  </w:p>
</w:ftr>
</file>

<file path=word/footer2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4316B" w14:textId="77777777" w:rsidR="00025543" w:rsidRDefault="00025543">
    <w:pPr>
      <w:pStyle w:val="Footer"/>
    </w:pPr>
  </w:p>
</w:ftr>
</file>

<file path=word/footer2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537938"/>
      <w:docPartObj>
        <w:docPartGallery w:val="Page Numbers (Bottom of Page)"/>
        <w:docPartUnique/>
      </w:docPartObj>
    </w:sdtPr>
    <w:sdtEndPr>
      <w:rPr>
        <w:noProof/>
      </w:rPr>
    </w:sdtEndPr>
    <w:sdtContent>
      <w:p w14:paraId="6EB49D3F" w14:textId="4BD2869A" w:rsidR="00025543" w:rsidRDefault="007E3A2F">
        <w:pPr>
          <w:pStyle w:val="Footer"/>
          <w:jc w:val="center"/>
        </w:pPr>
        <w:r>
          <w:fldChar w:fldCharType="begin"/>
        </w:r>
        <w:r>
          <w:instrText xml:space="preserve"> PAGE   \* MERGEFORMAT </w:instrText>
        </w:r>
        <w:r>
          <w:fldChar w:fldCharType="separate"/>
        </w:r>
        <w:r>
          <w:t>238</w:t>
        </w:r>
        <w:r>
          <w:fldChar w:fldCharType="end"/>
        </w:r>
      </w:p>
    </w:sdtContent>
  </w:sdt>
  <w:p w14:paraId="6E1C74BD" w14:textId="77777777" w:rsidR="00025543" w:rsidRDefault="00025543">
    <w:pPr>
      <w:pStyle w:val="Footer"/>
    </w:pPr>
  </w:p>
</w:ftr>
</file>

<file path=word/footer2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79DF1" w14:textId="77777777" w:rsidR="00025543" w:rsidRDefault="00025543">
    <w:pPr>
      <w:pStyle w:val="Footer"/>
    </w:pPr>
  </w:p>
</w:ftr>
</file>

<file path=word/footer2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92C34" w14:textId="77777777" w:rsidR="00025543" w:rsidRDefault="00025543">
    <w:pPr>
      <w:pStyle w:val="Footer"/>
    </w:pPr>
  </w:p>
</w:ftr>
</file>

<file path=word/footer2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865684"/>
      <w:docPartObj>
        <w:docPartGallery w:val="Page Numbers (Bottom of Page)"/>
        <w:docPartUnique/>
      </w:docPartObj>
    </w:sdtPr>
    <w:sdtEndPr>
      <w:rPr>
        <w:noProof/>
      </w:rPr>
    </w:sdtEndPr>
    <w:sdtContent>
      <w:p w14:paraId="5BFA255B" w14:textId="48D58CD1" w:rsidR="00025543" w:rsidRDefault="007E3A2F">
        <w:pPr>
          <w:pStyle w:val="Footer"/>
          <w:jc w:val="center"/>
        </w:pPr>
        <w:r>
          <w:fldChar w:fldCharType="begin"/>
        </w:r>
        <w:r>
          <w:instrText xml:space="preserve"> PAGE   \* MERGEFORMAT </w:instrText>
        </w:r>
        <w:r>
          <w:fldChar w:fldCharType="separate"/>
        </w:r>
        <w:r>
          <w:t>242</w:t>
        </w:r>
        <w:r>
          <w:fldChar w:fldCharType="end"/>
        </w:r>
      </w:p>
    </w:sdtContent>
  </w:sdt>
  <w:p w14:paraId="32111950" w14:textId="77777777" w:rsidR="00025543" w:rsidRDefault="00025543">
    <w:pPr>
      <w:pStyle w:val="Footer"/>
    </w:pPr>
  </w:p>
</w:ftr>
</file>

<file path=word/footer2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69767" w14:textId="77777777" w:rsidR="00025543" w:rsidRDefault="00025543">
    <w:pPr>
      <w:pStyle w:val="Footer"/>
    </w:pPr>
  </w:p>
</w:ftr>
</file>

<file path=word/footer2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39B0C" w14:textId="77777777" w:rsidR="00025543" w:rsidRDefault="00025543">
    <w:pPr>
      <w:pStyle w:val="Footer"/>
    </w:pPr>
  </w:p>
</w:ftr>
</file>

<file path=word/footer2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922921"/>
      <w:docPartObj>
        <w:docPartGallery w:val="Page Numbers (Bottom of Page)"/>
        <w:docPartUnique/>
      </w:docPartObj>
    </w:sdtPr>
    <w:sdtEndPr>
      <w:rPr>
        <w:noProof/>
      </w:rPr>
    </w:sdtEndPr>
    <w:sdtContent>
      <w:p w14:paraId="3E39CE48" w14:textId="1389424D" w:rsidR="00025543" w:rsidRDefault="007E3A2F">
        <w:pPr>
          <w:pStyle w:val="Footer"/>
          <w:jc w:val="center"/>
        </w:pPr>
        <w:r>
          <w:fldChar w:fldCharType="begin"/>
        </w:r>
        <w:r>
          <w:instrText xml:space="preserve"> PAGE   \* MERGEFORMAT </w:instrText>
        </w:r>
        <w:r>
          <w:fldChar w:fldCharType="separate"/>
        </w:r>
        <w:r>
          <w:t>259</w:t>
        </w:r>
        <w:r>
          <w:fldChar w:fldCharType="end"/>
        </w:r>
      </w:p>
    </w:sdtContent>
  </w:sdt>
  <w:p w14:paraId="4B7FBFD6" w14:textId="77777777" w:rsidR="00025543" w:rsidRDefault="00025543">
    <w:pPr>
      <w:pStyle w:val="FooterCouncil"/>
    </w:pPr>
  </w:p>
</w:ftr>
</file>

<file path=word/footer2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45BFE" w14:textId="77777777" w:rsidR="00025543" w:rsidRDefault="00025543">
    <w:pPr>
      <w:pStyle w:val="Footer"/>
    </w:pPr>
  </w:p>
</w:ftr>
</file>

<file path=word/footer2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E95B5" w14:textId="77777777" w:rsidR="00025543" w:rsidRDefault="00025543">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1333210"/>
      <w:docPartObj>
        <w:docPartGallery w:val="Page Numbers (Bottom of Page)"/>
        <w:docPartUnique/>
      </w:docPartObj>
    </w:sdtPr>
    <w:sdtEndPr>
      <w:rPr>
        <w:noProof/>
      </w:rPr>
    </w:sdtEndPr>
    <w:sdtContent>
      <w:p w14:paraId="58AD863B" w14:textId="469D1067" w:rsidR="00025543" w:rsidRDefault="007E3A2F">
        <w:pPr>
          <w:pStyle w:val="Footer"/>
          <w:jc w:val="center"/>
        </w:pPr>
        <w:r>
          <w:fldChar w:fldCharType="begin"/>
        </w:r>
        <w:r>
          <w:instrText xml:space="preserve"> PAGE   \* MERGEFORMAT </w:instrText>
        </w:r>
        <w:r>
          <w:fldChar w:fldCharType="separate"/>
        </w:r>
        <w:r w:rsidR="00E87C64">
          <w:rPr>
            <w:noProof/>
          </w:rPr>
          <w:t>23</w:t>
        </w:r>
        <w:r>
          <w:fldChar w:fldCharType="end"/>
        </w:r>
      </w:p>
    </w:sdtContent>
  </w:sdt>
  <w:p w14:paraId="1A21B86A" w14:textId="77777777" w:rsidR="00025543" w:rsidRDefault="00025543">
    <w:pPr>
      <w:pStyle w:val="FooterCouncil"/>
    </w:pPr>
  </w:p>
</w:ftr>
</file>

<file path=word/footer2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309932"/>
      <w:docPartObj>
        <w:docPartGallery w:val="Page Numbers (Bottom of Page)"/>
        <w:docPartUnique/>
      </w:docPartObj>
    </w:sdtPr>
    <w:sdtEndPr>
      <w:rPr>
        <w:noProof/>
      </w:rPr>
    </w:sdtEndPr>
    <w:sdtContent>
      <w:p w14:paraId="3656F7CA" w14:textId="3CCEAC05" w:rsidR="00025543" w:rsidRDefault="007E3A2F">
        <w:pPr>
          <w:pStyle w:val="Footer"/>
          <w:jc w:val="center"/>
        </w:pPr>
        <w:r>
          <w:fldChar w:fldCharType="begin"/>
        </w:r>
        <w:r>
          <w:instrText xml:space="preserve"> PAGE   \* MERGEFORMAT </w:instrText>
        </w:r>
        <w:r>
          <w:fldChar w:fldCharType="separate"/>
        </w:r>
        <w:r>
          <w:t>272</w:t>
        </w:r>
        <w:r>
          <w:fldChar w:fldCharType="end"/>
        </w:r>
      </w:p>
    </w:sdtContent>
  </w:sdt>
  <w:p w14:paraId="6FD82C52" w14:textId="77777777" w:rsidR="00025543" w:rsidRDefault="00025543">
    <w:pPr>
      <w:pStyle w:val="FooterCouncil"/>
    </w:pPr>
  </w:p>
</w:ftr>
</file>

<file path=word/footer2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89913" w14:textId="77777777" w:rsidR="00025543" w:rsidRDefault="00025543">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0BC96" w14:textId="77777777" w:rsidR="00025543" w:rsidRDefault="00025543">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9A427" w14:textId="77777777" w:rsidR="00025543" w:rsidRDefault="00025543">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139"/>
      <w:docPartObj>
        <w:docPartGallery w:val="Page Numbers (Bottom of Page)"/>
        <w:docPartUnique/>
      </w:docPartObj>
    </w:sdtPr>
    <w:sdtEndPr>
      <w:rPr>
        <w:noProof/>
      </w:rPr>
    </w:sdtEndPr>
    <w:sdtContent>
      <w:p w14:paraId="14EF0460" w14:textId="1EF87A09" w:rsidR="00025543" w:rsidRDefault="007E3A2F">
        <w:pPr>
          <w:pStyle w:val="Footer"/>
          <w:jc w:val="center"/>
        </w:pPr>
        <w:r>
          <w:fldChar w:fldCharType="begin"/>
        </w:r>
        <w:r>
          <w:instrText xml:space="preserve"> PAGE   \* MERGEFORMAT </w:instrText>
        </w:r>
        <w:r>
          <w:fldChar w:fldCharType="separate"/>
        </w:r>
        <w:r>
          <w:t>24</w:t>
        </w:r>
        <w:r>
          <w:fldChar w:fldCharType="end"/>
        </w:r>
      </w:p>
    </w:sdtContent>
  </w:sdt>
  <w:p w14:paraId="75F4885B" w14:textId="77777777" w:rsidR="00025543" w:rsidRDefault="00025543">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E4324" w14:textId="77777777" w:rsidR="00B91265" w:rsidRPr="00B91265" w:rsidRDefault="00B91265" w:rsidP="00B91265">
    <w:pPr>
      <w:pStyle w:val="FooterCoverPage"/>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5B358" w14:textId="77777777" w:rsidR="00025543" w:rsidRDefault="00025543">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57F99" w14:textId="77777777" w:rsidR="00025543" w:rsidRDefault="00025543">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177407"/>
      <w:docPartObj>
        <w:docPartGallery w:val="Page Numbers (Bottom of Page)"/>
        <w:docPartUnique/>
      </w:docPartObj>
    </w:sdtPr>
    <w:sdtEndPr>
      <w:rPr>
        <w:noProof/>
      </w:rPr>
    </w:sdtEndPr>
    <w:sdtContent>
      <w:p w14:paraId="2E7B2C4B" w14:textId="74FC57AC" w:rsidR="00025543" w:rsidRDefault="007E3A2F">
        <w:pPr>
          <w:pStyle w:val="Footer"/>
          <w:jc w:val="center"/>
        </w:pPr>
        <w:r>
          <w:fldChar w:fldCharType="begin"/>
        </w:r>
        <w:r>
          <w:instrText xml:space="preserve"> PAGE   \* MERGEFORMAT </w:instrText>
        </w:r>
        <w:r>
          <w:fldChar w:fldCharType="separate"/>
        </w:r>
        <w:r>
          <w:t>31</w:t>
        </w:r>
        <w:r>
          <w:fldChar w:fldCharType="end"/>
        </w:r>
      </w:p>
    </w:sdtContent>
  </w:sdt>
  <w:p w14:paraId="10DD59A4" w14:textId="77777777" w:rsidR="00025543" w:rsidRDefault="00025543">
    <w:pPr>
      <w:pStyle w:val="FooterCouncil"/>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0EA25" w14:textId="77777777" w:rsidR="00025543" w:rsidRDefault="00025543">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0F42" w14:textId="77777777" w:rsidR="00025543" w:rsidRDefault="00025543">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08171"/>
      <w:docPartObj>
        <w:docPartGallery w:val="Page Numbers (Bottom of Page)"/>
        <w:docPartUnique/>
      </w:docPartObj>
    </w:sdtPr>
    <w:sdtEndPr>
      <w:rPr>
        <w:noProof/>
      </w:rPr>
    </w:sdtEndPr>
    <w:sdtContent>
      <w:p w14:paraId="02089A11" w14:textId="5DBAAE96" w:rsidR="00025543" w:rsidRDefault="007E3A2F">
        <w:pPr>
          <w:pStyle w:val="Footer"/>
          <w:jc w:val="center"/>
        </w:pPr>
        <w:r>
          <w:fldChar w:fldCharType="begin"/>
        </w:r>
        <w:r>
          <w:instrText xml:space="preserve"> PAGE   \* MERGEFORMAT </w:instrText>
        </w:r>
        <w:r>
          <w:fldChar w:fldCharType="separate"/>
        </w:r>
        <w:r>
          <w:t>36</w:t>
        </w:r>
        <w:r>
          <w:fldChar w:fldCharType="end"/>
        </w:r>
      </w:p>
    </w:sdtContent>
  </w:sdt>
  <w:p w14:paraId="6DB54ECC" w14:textId="77777777" w:rsidR="00025543" w:rsidRDefault="00025543">
    <w:pPr>
      <w:pStyle w:val="FooterCouncil"/>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77B7D" w14:textId="77777777" w:rsidR="00025543" w:rsidRDefault="00025543">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287A8" w14:textId="77777777" w:rsidR="00025543" w:rsidRDefault="00025543">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724926"/>
      <w:docPartObj>
        <w:docPartGallery w:val="Page Numbers (Bottom of Page)"/>
        <w:docPartUnique/>
      </w:docPartObj>
    </w:sdtPr>
    <w:sdtEndPr>
      <w:rPr>
        <w:noProof/>
      </w:rPr>
    </w:sdtEndPr>
    <w:sdtContent>
      <w:p w14:paraId="0B137988" w14:textId="551E5A1C" w:rsidR="00025543" w:rsidRDefault="007E3A2F">
        <w:pPr>
          <w:pStyle w:val="Footer"/>
          <w:jc w:val="center"/>
        </w:pPr>
        <w:r>
          <w:fldChar w:fldCharType="begin"/>
        </w:r>
        <w:r>
          <w:instrText xml:space="preserve"> PAGE   \* MERGEFORMAT </w:instrText>
        </w:r>
        <w:r>
          <w:fldChar w:fldCharType="separate"/>
        </w:r>
        <w:r>
          <w:t>40</w:t>
        </w:r>
        <w:r>
          <w:fldChar w:fldCharType="end"/>
        </w:r>
      </w:p>
    </w:sdtContent>
  </w:sdt>
  <w:p w14:paraId="2C67A35F" w14:textId="77777777" w:rsidR="00025543" w:rsidRDefault="00025543">
    <w:pPr>
      <w:pStyle w:val="FooterCouncil"/>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6048C" w14:textId="77777777" w:rsidR="00025543" w:rsidRDefault="000255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0C747" w14:textId="77777777" w:rsidR="00025543" w:rsidRDefault="00025543">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AE53F" w14:textId="77777777" w:rsidR="00025543" w:rsidRDefault="00025543">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907566"/>
      <w:docPartObj>
        <w:docPartGallery w:val="Page Numbers (Bottom of Page)"/>
        <w:docPartUnique/>
      </w:docPartObj>
    </w:sdtPr>
    <w:sdtEndPr>
      <w:rPr>
        <w:noProof/>
      </w:rPr>
    </w:sdtEndPr>
    <w:sdtContent>
      <w:p w14:paraId="6C36ECB3" w14:textId="6FC72727" w:rsidR="00025543" w:rsidRDefault="007E3A2F">
        <w:pPr>
          <w:pStyle w:val="Footer"/>
          <w:jc w:val="center"/>
        </w:pPr>
        <w:r>
          <w:fldChar w:fldCharType="begin"/>
        </w:r>
        <w:r>
          <w:instrText xml:space="preserve"> PAGE   \* MERGEFORMAT </w:instrText>
        </w:r>
        <w:r>
          <w:fldChar w:fldCharType="separate"/>
        </w:r>
        <w:r>
          <w:t>43</w:t>
        </w:r>
        <w:r>
          <w:fldChar w:fldCharType="end"/>
        </w:r>
      </w:p>
    </w:sdtContent>
  </w:sdt>
  <w:p w14:paraId="6638A3D7" w14:textId="77777777" w:rsidR="00025543" w:rsidRDefault="00025543">
    <w:pPr>
      <w:pStyle w:val="FooterCouncil"/>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D07C6" w14:textId="77777777" w:rsidR="00025543" w:rsidRDefault="00025543">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DE8E9" w14:textId="77777777" w:rsidR="00025543" w:rsidRDefault="00025543">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9872834"/>
      <w:docPartObj>
        <w:docPartGallery w:val="Page Numbers (Bottom of Page)"/>
        <w:docPartUnique/>
      </w:docPartObj>
    </w:sdtPr>
    <w:sdtEndPr>
      <w:rPr>
        <w:noProof/>
      </w:rPr>
    </w:sdtEndPr>
    <w:sdtContent>
      <w:p w14:paraId="10803678" w14:textId="7F3DEE45" w:rsidR="00025543" w:rsidRDefault="007E3A2F">
        <w:pPr>
          <w:pStyle w:val="Footer"/>
          <w:jc w:val="center"/>
        </w:pPr>
        <w:r>
          <w:fldChar w:fldCharType="begin"/>
        </w:r>
        <w:r>
          <w:instrText xml:space="preserve"> PAGE   \* MERGEFORMAT </w:instrText>
        </w:r>
        <w:r>
          <w:fldChar w:fldCharType="separate"/>
        </w:r>
        <w:r>
          <w:t>44</w:t>
        </w:r>
        <w:r>
          <w:fldChar w:fldCharType="end"/>
        </w:r>
      </w:p>
    </w:sdtContent>
  </w:sdt>
  <w:p w14:paraId="33EFC74B" w14:textId="77777777" w:rsidR="00025543" w:rsidRDefault="00025543">
    <w:pPr>
      <w:pStyle w:val="FooterCouncil"/>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3323B" w14:textId="77777777" w:rsidR="00025543" w:rsidRDefault="00025543">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95405" w14:textId="77777777" w:rsidR="00025543" w:rsidRDefault="00025543">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178609"/>
      <w:docPartObj>
        <w:docPartGallery w:val="Page Numbers (Bottom of Page)"/>
        <w:docPartUnique/>
      </w:docPartObj>
    </w:sdtPr>
    <w:sdtEndPr>
      <w:rPr>
        <w:noProof/>
      </w:rPr>
    </w:sdtEndPr>
    <w:sdtContent>
      <w:p w14:paraId="702838D8" w14:textId="00CEA1FC" w:rsidR="00025543" w:rsidRDefault="007E3A2F">
        <w:pPr>
          <w:pStyle w:val="Footer"/>
          <w:jc w:val="center"/>
        </w:pPr>
        <w:r>
          <w:fldChar w:fldCharType="begin"/>
        </w:r>
        <w:r>
          <w:instrText xml:space="preserve"> PAGE   \* MERGEFORMAT </w:instrText>
        </w:r>
        <w:r>
          <w:fldChar w:fldCharType="separate"/>
        </w:r>
        <w:r>
          <w:t>46</w:t>
        </w:r>
        <w:r>
          <w:fldChar w:fldCharType="end"/>
        </w:r>
      </w:p>
    </w:sdtContent>
  </w:sdt>
  <w:p w14:paraId="4CDB74AA" w14:textId="77777777" w:rsidR="00025543" w:rsidRDefault="00025543">
    <w:pPr>
      <w:pStyle w:val="FooterCouncil"/>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00033" w14:textId="77777777" w:rsidR="00025543" w:rsidRDefault="00025543">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683A0" w14:textId="77777777" w:rsidR="00025543" w:rsidRDefault="0002554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211281"/>
      <w:docPartObj>
        <w:docPartGallery w:val="Page Numbers (Bottom of Page)"/>
        <w:docPartUnique/>
      </w:docPartObj>
    </w:sdtPr>
    <w:sdtEndPr>
      <w:rPr>
        <w:noProof/>
      </w:rPr>
    </w:sdtEndPr>
    <w:sdtContent>
      <w:p w14:paraId="0F20F9DE" w14:textId="58A42D9A" w:rsidR="00025543" w:rsidRDefault="007E3A2F">
        <w:pPr>
          <w:pStyle w:val="Footer"/>
          <w:jc w:val="center"/>
        </w:pPr>
        <w:r>
          <w:fldChar w:fldCharType="begin"/>
        </w:r>
        <w:r>
          <w:instrText xml:space="preserve"> PAGE   \* MERGEFORMAT </w:instrText>
        </w:r>
        <w:r>
          <w:fldChar w:fldCharType="separate"/>
        </w:r>
        <w:r w:rsidR="00B91265">
          <w:rPr>
            <w:noProof/>
          </w:rPr>
          <w:t>2</w:t>
        </w:r>
        <w:r>
          <w:fldChar w:fldCharType="end"/>
        </w:r>
      </w:p>
    </w:sdtContent>
  </w:sdt>
  <w:p w14:paraId="66D11FE0" w14:textId="77777777" w:rsidR="00025543" w:rsidRDefault="00025543">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933638"/>
      <w:docPartObj>
        <w:docPartGallery w:val="Page Numbers (Bottom of Page)"/>
        <w:docPartUnique/>
      </w:docPartObj>
    </w:sdtPr>
    <w:sdtEndPr>
      <w:rPr>
        <w:noProof/>
      </w:rPr>
    </w:sdtEndPr>
    <w:sdtContent>
      <w:p w14:paraId="2075D5E7" w14:textId="345341BA" w:rsidR="00025543" w:rsidRDefault="007E3A2F">
        <w:pPr>
          <w:pStyle w:val="Footer"/>
          <w:jc w:val="center"/>
        </w:pPr>
        <w:r>
          <w:fldChar w:fldCharType="begin"/>
        </w:r>
        <w:r>
          <w:instrText xml:space="preserve"> PAGE   \* MERGEFORMAT </w:instrText>
        </w:r>
        <w:r>
          <w:fldChar w:fldCharType="separate"/>
        </w:r>
        <w:r>
          <w:t>48</w:t>
        </w:r>
        <w:r>
          <w:fldChar w:fldCharType="end"/>
        </w:r>
      </w:p>
    </w:sdtContent>
  </w:sdt>
  <w:p w14:paraId="4CC2E4BD" w14:textId="77777777" w:rsidR="00025543" w:rsidRDefault="00025543">
    <w:pPr>
      <w:pStyle w:val="FooterCouncil"/>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1AA69" w14:textId="77777777" w:rsidR="00025543" w:rsidRDefault="00025543">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1971B" w14:textId="77777777" w:rsidR="00025543" w:rsidRDefault="00025543">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086833"/>
      <w:docPartObj>
        <w:docPartGallery w:val="Page Numbers (Bottom of Page)"/>
        <w:docPartUnique/>
      </w:docPartObj>
    </w:sdtPr>
    <w:sdtEndPr>
      <w:rPr>
        <w:noProof/>
      </w:rPr>
    </w:sdtEndPr>
    <w:sdtContent>
      <w:p w14:paraId="578216B4" w14:textId="7A50B726" w:rsidR="00025543" w:rsidRDefault="007E3A2F">
        <w:pPr>
          <w:pStyle w:val="Footer"/>
          <w:jc w:val="center"/>
        </w:pPr>
        <w:r>
          <w:fldChar w:fldCharType="begin"/>
        </w:r>
        <w:r>
          <w:instrText xml:space="preserve"> PAGE   \* MERGEFORMAT </w:instrText>
        </w:r>
        <w:r>
          <w:fldChar w:fldCharType="separate"/>
        </w:r>
        <w:r>
          <w:t>49</w:t>
        </w:r>
        <w:r>
          <w:fldChar w:fldCharType="end"/>
        </w:r>
      </w:p>
    </w:sdtContent>
  </w:sdt>
  <w:p w14:paraId="36A8EB77" w14:textId="77777777" w:rsidR="00025543" w:rsidRDefault="00025543">
    <w:pPr>
      <w:pStyle w:val="FooterCouncil"/>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D17A6" w14:textId="77777777" w:rsidR="00025543" w:rsidRDefault="00025543">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C00F9" w14:textId="77777777" w:rsidR="00025543" w:rsidRDefault="00025543">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081170"/>
      <w:docPartObj>
        <w:docPartGallery w:val="Page Numbers (Bottom of Page)"/>
        <w:docPartUnique/>
      </w:docPartObj>
    </w:sdtPr>
    <w:sdtEndPr>
      <w:rPr>
        <w:noProof/>
      </w:rPr>
    </w:sdtEndPr>
    <w:sdtContent>
      <w:p w14:paraId="610CFA07" w14:textId="3F232382" w:rsidR="00025543" w:rsidRDefault="007E3A2F">
        <w:pPr>
          <w:pStyle w:val="Footer"/>
          <w:jc w:val="center"/>
        </w:pPr>
        <w:r>
          <w:fldChar w:fldCharType="begin"/>
        </w:r>
        <w:r>
          <w:instrText xml:space="preserve"> PAGE   \* MERGEFORMAT </w:instrText>
        </w:r>
        <w:r>
          <w:fldChar w:fldCharType="separate"/>
        </w:r>
        <w:r>
          <w:t>50</w:t>
        </w:r>
        <w:r>
          <w:fldChar w:fldCharType="end"/>
        </w:r>
      </w:p>
    </w:sdtContent>
  </w:sdt>
  <w:p w14:paraId="05254029" w14:textId="77777777" w:rsidR="00025543" w:rsidRDefault="00025543">
    <w:pPr>
      <w:pStyle w:val="FooterCouncil"/>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47DD8" w14:textId="77777777" w:rsidR="00025543" w:rsidRDefault="00025543">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47FB" w14:textId="77777777" w:rsidR="00025543" w:rsidRDefault="00025543">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661037"/>
      <w:docPartObj>
        <w:docPartGallery w:val="Page Numbers (Bottom of Page)"/>
        <w:docPartUnique/>
      </w:docPartObj>
    </w:sdtPr>
    <w:sdtEndPr>
      <w:rPr>
        <w:noProof/>
      </w:rPr>
    </w:sdtEndPr>
    <w:sdtContent>
      <w:p w14:paraId="131E3374" w14:textId="70AF1373" w:rsidR="00025543" w:rsidRDefault="007E3A2F">
        <w:pPr>
          <w:pStyle w:val="Footer"/>
          <w:jc w:val="center"/>
        </w:pPr>
        <w:r>
          <w:fldChar w:fldCharType="begin"/>
        </w:r>
        <w:r>
          <w:instrText xml:space="preserve"> PAGE   \* MERGEFORMAT </w:instrText>
        </w:r>
        <w:r>
          <w:fldChar w:fldCharType="separate"/>
        </w:r>
        <w:r>
          <w:t>52</w:t>
        </w:r>
        <w:r>
          <w:fldChar w:fldCharType="end"/>
        </w:r>
      </w:p>
    </w:sdtContent>
  </w:sdt>
  <w:p w14:paraId="5E7D8C33" w14:textId="77777777" w:rsidR="00025543" w:rsidRDefault="00025543">
    <w:pPr>
      <w:pStyle w:val="FooterCouncil"/>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69B5C" w14:textId="77777777" w:rsidR="00025543" w:rsidRDefault="00025543">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46FD7" w14:textId="77777777" w:rsidR="00025543" w:rsidRDefault="00025543">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0CA6F" w14:textId="77777777" w:rsidR="00025543" w:rsidRDefault="00025543">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327308"/>
      <w:docPartObj>
        <w:docPartGallery w:val="Page Numbers (Bottom of Page)"/>
        <w:docPartUnique/>
      </w:docPartObj>
    </w:sdtPr>
    <w:sdtEndPr>
      <w:rPr>
        <w:noProof/>
      </w:rPr>
    </w:sdtEndPr>
    <w:sdtContent>
      <w:p w14:paraId="7DB35CAF" w14:textId="00883550" w:rsidR="00025543" w:rsidRDefault="007E3A2F">
        <w:pPr>
          <w:pStyle w:val="Footer"/>
          <w:jc w:val="center"/>
        </w:pPr>
        <w:r>
          <w:fldChar w:fldCharType="begin"/>
        </w:r>
        <w:r>
          <w:instrText xml:space="preserve"> PAGE   \* MERGEFORMAT </w:instrText>
        </w:r>
        <w:r>
          <w:fldChar w:fldCharType="separate"/>
        </w:r>
        <w:r>
          <w:t>54</w:t>
        </w:r>
        <w:r>
          <w:fldChar w:fldCharType="end"/>
        </w:r>
      </w:p>
    </w:sdtContent>
  </w:sdt>
  <w:p w14:paraId="221E4614" w14:textId="77777777" w:rsidR="00025543" w:rsidRDefault="00025543">
    <w:pPr>
      <w:pStyle w:val="FooterCouncil"/>
    </w:pP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D8D51" w14:textId="77777777" w:rsidR="00025543" w:rsidRDefault="00025543">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936E" w14:textId="77777777" w:rsidR="00025543" w:rsidRDefault="00025543">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1357470"/>
      <w:docPartObj>
        <w:docPartGallery w:val="Page Numbers (Bottom of Page)"/>
        <w:docPartUnique/>
      </w:docPartObj>
    </w:sdtPr>
    <w:sdtEndPr>
      <w:rPr>
        <w:noProof/>
      </w:rPr>
    </w:sdtEndPr>
    <w:sdtContent>
      <w:p w14:paraId="5BFC553E" w14:textId="6D000D7A" w:rsidR="00025543" w:rsidRDefault="007E3A2F">
        <w:pPr>
          <w:pStyle w:val="Footer"/>
          <w:jc w:val="center"/>
        </w:pPr>
        <w:r>
          <w:fldChar w:fldCharType="begin"/>
        </w:r>
        <w:r>
          <w:instrText xml:space="preserve"> PAGE   \* MERGEFORMAT </w:instrText>
        </w:r>
        <w:r>
          <w:fldChar w:fldCharType="separate"/>
        </w:r>
        <w:r>
          <w:t>56</w:t>
        </w:r>
        <w:r>
          <w:fldChar w:fldCharType="end"/>
        </w:r>
      </w:p>
    </w:sdtContent>
  </w:sdt>
  <w:p w14:paraId="6AB00A70" w14:textId="77777777" w:rsidR="00025543" w:rsidRDefault="00025543">
    <w:pPr>
      <w:pStyle w:val="FooterCouncil"/>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2E8F4" w14:textId="77777777" w:rsidR="00025543" w:rsidRDefault="00025543">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E9307" w14:textId="77777777" w:rsidR="00025543" w:rsidRDefault="00025543">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657104"/>
      <w:docPartObj>
        <w:docPartGallery w:val="Page Numbers (Bottom of Page)"/>
        <w:docPartUnique/>
      </w:docPartObj>
    </w:sdtPr>
    <w:sdtEndPr>
      <w:rPr>
        <w:noProof/>
      </w:rPr>
    </w:sdtEndPr>
    <w:sdtContent>
      <w:p w14:paraId="64D946E3" w14:textId="5573F578" w:rsidR="00025543" w:rsidRDefault="007E3A2F">
        <w:pPr>
          <w:pStyle w:val="Footer"/>
          <w:jc w:val="center"/>
        </w:pPr>
        <w:r>
          <w:fldChar w:fldCharType="begin"/>
        </w:r>
        <w:r>
          <w:instrText xml:space="preserve"> PAGE   \* MERGEFORMAT </w:instrText>
        </w:r>
        <w:r>
          <w:fldChar w:fldCharType="separate"/>
        </w:r>
        <w:r>
          <w:t>58</w:t>
        </w:r>
        <w:r>
          <w:fldChar w:fldCharType="end"/>
        </w:r>
      </w:p>
    </w:sdtContent>
  </w:sdt>
  <w:p w14:paraId="2CE83E63" w14:textId="77777777" w:rsidR="00025543" w:rsidRDefault="00025543">
    <w:pPr>
      <w:pStyle w:val="FooterCouncil"/>
    </w:pP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C313B" w14:textId="77777777" w:rsidR="00025543" w:rsidRDefault="0002554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8E5A2" w14:textId="77777777" w:rsidR="00025543" w:rsidRDefault="00025543">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E2371" w14:textId="77777777" w:rsidR="00025543" w:rsidRDefault="00025543">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824047"/>
      <w:docPartObj>
        <w:docPartGallery w:val="Page Numbers (Bottom of Page)"/>
        <w:docPartUnique/>
      </w:docPartObj>
    </w:sdtPr>
    <w:sdtEndPr>
      <w:rPr>
        <w:noProof/>
      </w:rPr>
    </w:sdtEndPr>
    <w:sdtContent>
      <w:p w14:paraId="4C78DA55" w14:textId="15A11134" w:rsidR="00025543" w:rsidRDefault="007E3A2F">
        <w:pPr>
          <w:pStyle w:val="Footer"/>
          <w:jc w:val="center"/>
        </w:pPr>
        <w:r>
          <w:fldChar w:fldCharType="begin"/>
        </w:r>
        <w:r>
          <w:instrText xml:space="preserve"> PAGE   \* MERGEFORMAT </w:instrText>
        </w:r>
        <w:r>
          <w:fldChar w:fldCharType="separate"/>
        </w:r>
        <w:r>
          <w:t>61</w:t>
        </w:r>
        <w:r>
          <w:fldChar w:fldCharType="end"/>
        </w:r>
      </w:p>
    </w:sdtContent>
  </w:sdt>
  <w:p w14:paraId="6E3C7DDC" w14:textId="77777777" w:rsidR="00025543" w:rsidRDefault="00025543">
    <w:pPr>
      <w:pStyle w:val="FooterCouncil"/>
    </w:pP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3E078" w14:textId="77777777" w:rsidR="00025543" w:rsidRDefault="00025543">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163EA" w14:textId="77777777" w:rsidR="00025543" w:rsidRDefault="00025543">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929907"/>
      <w:docPartObj>
        <w:docPartGallery w:val="Page Numbers (Bottom of Page)"/>
        <w:docPartUnique/>
      </w:docPartObj>
    </w:sdtPr>
    <w:sdtEndPr>
      <w:rPr>
        <w:noProof/>
      </w:rPr>
    </w:sdtEndPr>
    <w:sdtContent>
      <w:p w14:paraId="7B353596" w14:textId="4D185F70" w:rsidR="00025543" w:rsidRDefault="007E3A2F">
        <w:pPr>
          <w:pStyle w:val="Footer"/>
          <w:jc w:val="center"/>
        </w:pPr>
        <w:r>
          <w:fldChar w:fldCharType="begin"/>
        </w:r>
        <w:r>
          <w:instrText xml:space="preserve"> PAGE   \* MERGEFORMAT </w:instrText>
        </w:r>
        <w:r>
          <w:fldChar w:fldCharType="separate"/>
        </w:r>
        <w:r>
          <w:t>67</w:t>
        </w:r>
        <w:r>
          <w:fldChar w:fldCharType="end"/>
        </w:r>
      </w:p>
    </w:sdtContent>
  </w:sdt>
  <w:p w14:paraId="5C0D3BCB" w14:textId="77777777" w:rsidR="00025543" w:rsidRDefault="00025543">
    <w:pPr>
      <w:pStyle w:val="FooterCouncil"/>
    </w:pP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A5E25" w14:textId="77777777" w:rsidR="00025543" w:rsidRDefault="00025543">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9B61E" w14:textId="77777777" w:rsidR="00025543" w:rsidRDefault="00025543">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3148314"/>
      <w:docPartObj>
        <w:docPartGallery w:val="Page Numbers (Bottom of Page)"/>
        <w:docPartUnique/>
      </w:docPartObj>
    </w:sdtPr>
    <w:sdtEndPr>
      <w:rPr>
        <w:noProof/>
      </w:rPr>
    </w:sdtEndPr>
    <w:sdtContent>
      <w:p w14:paraId="1EA223BB" w14:textId="612438FD" w:rsidR="00025543" w:rsidRDefault="007E3A2F">
        <w:pPr>
          <w:pStyle w:val="Footer"/>
          <w:jc w:val="center"/>
        </w:pPr>
        <w:r>
          <w:fldChar w:fldCharType="begin"/>
        </w:r>
        <w:r>
          <w:instrText xml:space="preserve"> PAGE   \* MERGEFORMAT </w:instrText>
        </w:r>
        <w:r>
          <w:fldChar w:fldCharType="separate"/>
        </w:r>
        <w:r>
          <w:t>69</w:t>
        </w:r>
        <w:r>
          <w:fldChar w:fldCharType="end"/>
        </w:r>
      </w:p>
    </w:sdtContent>
  </w:sdt>
  <w:p w14:paraId="669B3DCB" w14:textId="77777777" w:rsidR="00025543" w:rsidRDefault="00025543">
    <w:pPr>
      <w:pStyle w:val="FooterCouncil"/>
    </w:pP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E7468" w14:textId="77777777" w:rsidR="00025543" w:rsidRDefault="00025543">
    <w:pPr>
      <w:pStyle w:val="Footer"/>
    </w:pP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897BC" w14:textId="77777777" w:rsidR="00025543" w:rsidRDefault="0002554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4525987"/>
      <w:docPartObj>
        <w:docPartGallery w:val="Page Numbers (Bottom of Page)"/>
        <w:docPartUnique/>
      </w:docPartObj>
    </w:sdtPr>
    <w:sdtEndPr>
      <w:rPr>
        <w:noProof/>
      </w:rPr>
    </w:sdtEndPr>
    <w:sdtContent>
      <w:p w14:paraId="28E35FF5" w14:textId="52B00EB8" w:rsidR="00025543" w:rsidRDefault="007E3A2F">
        <w:pPr>
          <w:pStyle w:val="Footer"/>
          <w:jc w:val="center"/>
        </w:pPr>
        <w:r>
          <w:fldChar w:fldCharType="begin"/>
        </w:r>
        <w:r>
          <w:instrText xml:space="preserve"> PAGE   \* MERGEFORMAT </w:instrText>
        </w:r>
        <w:r>
          <w:fldChar w:fldCharType="separate"/>
        </w:r>
        <w:r w:rsidR="00B91265">
          <w:rPr>
            <w:noProof/>
          </w:rPr>
          <w:t>9</w:t>
        </w:r>
        <w:r>
          <w:fldChar w:fldCharType="end"/>
        </w:r>
      </w:p>
    </w:sdtContent>
  </w:sdt>
  <w:p w14:paraId="54C8A837" w14:textId="77777777" w:rsidR="00025543" w:rsidRDefault="00025543">
    <w:pPr>
      <w:pStyle w:val="FooterCouncil"/>
    </w:pP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780495"/>
      <w:docPartObj>
        <w:docPartGallery w:val="Page Numbers (Bottom of Page)"/>
        <w:docPartUnique/>
      </w:docPartObj>
    </w:sdtPr>
    <w:sdtEndPr>
      <w:rPr>
        <w:noProof/>
      </w:rPr>
    </w:sdtEndPr>
    <w:sdtContent>
      <w:p w14:paraId="6364D966" w14:textId="0D7822AD" w:rsidR="00025543" w:rsidRDefault="007E3A2F">
        <w:pPr>
          <w:pStyle w:val="Footer"/>
          <w:jc w:val="center"/>
        </w:pPr>
        <w:r>
          <w:fldChar w:fldCharType="begin"/>
        </w:r>
        <w:r>
          <w:instrText xml:space="preserve"> PAGE   \* MERGEFORMAT </w:instrText>
        </w:r>
        <w:r>
          <w:fldChar w:fldCharType="separate"/>
        </w:r>
        <w:r>
          <w:t>73</w:t>
        </w:r>
        <w:r>
          <w:fldChar w:fldCharType="end"/>
        </w:r>
      </w:p>
    </w:sdtContent>
  </w:sdt>
  <w:p w14:paraId="55B37821" w14:textId="77777777" w:rsidR="00025543" w:rsidRDefault="00025543">
    <w:pPr>
      <w:pStyle w:val="FooterCouncil"/>
    </w:pP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B567A" w14:textId="77777777" w:rsidR="00025543" w:rsidRDefault="00025543">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202F2" w14:textId="77777777" w:rsidR="00025543" w:rsidRDefault="00025543">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884597"/>
      <w:docPartObj>
        <w:docPartGallery w:val="Page Numbers (Bottom of Page)"/>
        <w:docPartUnique/>
      </w:docPartObj>
    </w:sdtPr>
    <w:sdtEndPr>
      <w:rPr>
        <w:noProof/>
      </w:rPr>
    </w:sdtEndPr>
    <w:sdtContent>
      <w:p w14:paraId="1D194B4A" w14:textId="70B55F97" w:rsidR="00025543" w:rsidRDefault="007E3A2F">
        <w:pPr>
          <w:pStyle w:val="Footer"/>
          <w:jc w:val="center"/>
        </w:pPr>
        <w:r>
          <w:fldChar w:fldCharType="begin"/>
        </w:r>
        <w:r>
          <w:instrText xml:space="preserve"> PAGE   \* MERGEFORMAT </w:instrText>
        </w:r>
        <w:r>
          <w:fldChar w:fldCharType="separate"/>
        </w:r>
        <w:r>
          <w:t>75</w:t>
        </w:r>
        <w:r>
          <w:fldChar w:fldCharType="end"/>
        </w:r>
      </w:p>
    </w:sdtContent>
  </w:sdt>
  <w:p w14:paraId="23E4F5D7" w14:textId="77777777" w:rsidR="00025543" w:rsidRDefault="00025543">
    <w:pPr>
      <w:pStyle w:val="FooterCouncil"/>
    </w:pP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CE2AE" w14:textId="77777777" w:rsidR="00025543" w:rsidRDefault="00025543">
    <w:pPr>
      <w:pStyle w:val="Footer"/>
    </w:pP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97C19" w14:textId="77777777" w:rsidR="00025543" w:rsidRDefault="00025543">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221520"/>
      <w:docPartObj>
        <w:docPartGallery w:val="Page Numbers (Bottom of Page)"/>
        <w:docPartUnique/>
      </w:docPartObj>
    </w:sdtPr>
    <w:sdtEndPr>
      <w:rPr>
        <w:noProof/>
      </w:rPr>
    </w:sdtEndPr>
    <w:sdtContent>
      <w:p w14:paraId="3121B433" w14:textId="712C8728" w:rsidR="00025543" w:rsidRDefault="007E3A2F">
        <w:pPr>
          <w:pStyle w:val="Footer"/>
          <w:jc w:val="center"/>
        </w:pPr>
        <w:r>
          <w:fldChar w:fldCharType="begin"/>
        </w:r>
        <w:r>
          <w:instrText xml:space="preserve"> PAGE   \* MERGEFORMAT </w:instrText>
        </w:r>
        <w:r>
          <w:fldChar w:fldCharType="separate"/>
        </w:r>
        <w:r>
          <w:t>77</w:t>
        </w:r>
        <w:r>
          <w:fldChar w:fldCharType="end"/>
        </w:r>
      </w:p>
    </w:sdtContent>
  </w:sdt>
  <w:p w14:paraId="1A77753A" w14:textId="77777777" w:rsidR="00025543" w:rsidRDefault="00025543">
    <w:pPr>
      <w:pStyle w:val="FooterCouncil"/>
    </w:pP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25B66" w14:textId="77777777" w:rsidR="00025543" w:rsidRDefault="00025543">
    <w:pPr>
      <w:pStyle w:val="Footer"/>
    </w:pP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9C05B" w14:textId="77777777" w:rsidR="00025543" w:rsidRDefault="00025543">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377511"/>
      <w:docPartObj>
        <w:docPartGallery w:val="Page Numbers (Bottom of Page)"/>
        <w:docPartUnique/>
      </w:docPartObj>
    </w:sdtPr>
    <w:sdtEndPr>
      <w:rPr>
        <w:noProof/>
      </w:rPr>
    </w:sdtEndPr>
    <w:sdtContent>
      <w:p w14:paraId="7DB9DFCD" w14:textId="0F1BC592" w:rsidR="00025543" w:rsidRDefault="007E3A2F">
        <w:pPr>
          <w:pStyle w:val="Footer"/>
          <w:jc w:val="center"/>
        </w:pPr>
        <w:r>
          <w:fldChar w:fldCharType="begin"/>
        </w:r>
        <w:r>
          <w:instrText xml:space="preserve"> PAGE   \* MERGEFORMAT </w:instrText>
        </w:r>
        <w:r>
          <w:fldChar w:fldCharType="separate"/>
        </w:r>
        <w:r>
          <w:t>79</w:t>
        </w:r>
        <w:r>
          <w:fldChar w:fldCharType="end"/>
        </w:r>
      </w:p>
    </w:sdtContent>
  </w:sdt>
  <w:p w14:paraId="063BA81B" w14:textId="77777777" w:rsidR="00025543" w:rsidRDefault="00025543">
    <w:pPr>
      <w:pStyle w:val="FooterCouncil"/>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020AB" w14:textId="77777777" w:rsidR="00025543" w:rsidRDefault="00025543">
    <w:pPr>
      <w:pStyle w:val="Footer"/>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C0D5C" w14:textId="77777777" w:rsidR="00025543" w:rsidRDefault="00025543">
    <w:pPr>
      <w:pStyle w:val="Footer"/>
    </w:pP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7954C" w14:textId="77777777" w:rsidR="00025543" w:rsidRDefault="00025543">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095012"/>
      <w:docPartObj>
        <w:docPartGallery w:val="Page Numbers (Bottom of Page)"/>
        <w:docPartUnique/>
      </w:docPartObj>
    </w:sdtPr>
    <w:sdtEndPr>
      <w:rPr>
        <w:noProof/>
      </w:rPr>
    </w:sdtEndPr>
    <w:sdtContent>
      <w:p w14:paraId="3FFF09E0" w14:textId="5A344FAF" w:rsidR="00025543" w:rsidRDefault="007E3A2F">
        <w:pPr>
          <w:pStyle w:val="Footer"/>
          <w:jc w:val="center"/>
        </w:pPr>
        <w:r>
          <w:fldChar w:fldCharType="begin"/>
        </w:r>
        <w:r>
          <w:instrText xml:space="preserve"> PAGE   \* MERGEFORMAT </w:instrText>
        </w:r>
        <w:r>
          <w:fldChar w:fldCharType="separate"/>
        </w:r>
        <w:r>
          <w:t>81</w:t>
        </w:r>
        <w:r>
          <w:fldChar w:fldCharType="end"/>
        </w:r>
      </w:p>
    </w:sdtContent>
  </w:sdt>
  <w:p w14:paraId="042803D7" w14:textId="77777777" w:rsidR="00025543" w:rsidRDefault="00025543">
    <w:pPr>
      <w:pStyle w:val="FooterCouncil"/>
    </w:pP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5E599" w14:textId="77777777" w:rsidR="00025543" w:rsidRDefault="00025543">
    <w:pPr>
      <w:pStyle w:val="Footer"/>
    </w:pP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97D8C" w14:textId="77777777" w:rsidR="00025543" w:rsidRDefault="00025543">
    <w:pPr>
      <w:pStyle w:val="Footer"/>
    </w:pP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954417"/>
      <w:docPartObj>
        <w:docPartGallery w:val="Page Numbers (Bottom of Page)"/>
        <w:docPartUnique/>
      </w:docPartObj>
    </w:sdtPr>
    <w:sdtEndPr>
      <w:rPr>
        <w:noProof/>
      </w:rPr>
    </w:sdtEndPr>
    <w:sdtContent>
      <w:p w14:paraId="232A8922" w14:textId="7F83C876" w:rsidR="00025543" w:rsidRDefault="007E3A2F">
        <w:pPr>
          <w:pStyle w:val="Footer"/>
          <w:jc w:val="center"/>
        </w:pPr>
        <w:r>
          <w:fldChar w:fldCharType="begin"/>
        </w:r>
        <w:r>
          <w:instrText xml:space="preserve"> PAGE   \* MERGEFORMAT </w:instrText>
        </w:r>
        <w:r>
          <w:fldChar w:fldCharType="separate"/>
        </w:r>
        <w:r>
          <w:t>85</w:t>
        </w:r>
        <w:r>
          <w:fldChar w:fldCharType="end"/>
        </w:r>
      </w:p>
    </w:sdtContent>
  </w:sdt>
  <w:p w14:paraId="0A21E1D5" w14:textId="77777777" w:rsidR="00025543" w:rsidRDefault="00025543">
    <w:pPr>
      <w:pStyle w:val="FooterCouncil"/>
    </w:pP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94507" w14:textId="77777777" w:rsidR="00025543" w:rsidRDefault="00025543">
    <w:pPr>
      <w:pStyle w:val="Footer"/>
    </w:pP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4836A" w14:textId="77777777" w:rsidR="00025543" w:rsidRDefault="00025543">
    <w:pPr>
      <w:pStyle w:val="Footer"/>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432272"/>
      <w:docPartObj>
        <w:docPartGallery w:val="Page Numbers (Bottom of Page)"/>
        <w:docPartUnique/>
      </w:docPartObj>
    </w:sdtPr>
    <w:sdtEndPr>
      <w:rPr>
        <w:noProof/>
      </w:rPr>
    </w:sdtEndPr>
    <w:sdtContent>
      <w:p w14:paraId="62196D0E" w14:textId="26E66C95" w:rsidR="00025543" w:rsidRDefault="007E3A2F">
        <w:pPr>
          <w:pStyle w:val="Footer"/>
          <w:jc w:val="center"/>
        </w:pPr>
        <w:r>
          <w:fldChar w:fldCharType="begin"/>
        </w:r>
        <w:r>
          <w:instrText xml:space="preserve"> PAGE   \* MERGEFORMAT </w:instrText>
        </w:r>
        <w:r>
          <w:fldChar w:fldCharType="separate"/>
        </w:r>
        <w:r>
          <w:t>88</w:t>
        </w:r>
        <w:r>
          <w:fldChar w:fldCharType="end"/>
        </w:r>
      </w:p>
    </w:sdtContent>
  </w:sdt>
  <w:p w14:paraId="1E2D4A2E" w14:textId="77777777" w:rsidR="00025543" w:rsidRDefault="00025543">
    <w:pPr>
      <w:pStyle w:val="FooterCouncil"/>
    </w:pP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5BE05" w14:textId="77777777" w:rsidR="00025543" w:rsidRDefault="00025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2635F" w14:textId="77777777" w:rsidR="00025543" w:rsidRDefault="007E3A2F">
      <w:pPr>
        <w:spacing w:before="0" w:after="0" w:line="240" w:lineRule="auto"/>
      </w:pPr>
      <w:r>
        <w:separator/>
      </w:r>
    </w:p>
  </w:footnote>
  <w:footnote w:type="continuationSeparator" w:id="0">
    <w:p w14:paraId="327832FE" w14:textId="77777777" w:rsidR="00025543" w:rsidRDefault="007E3A2F">
      <w:pPr>
        <w:spacing w:before="0" w:after="0" w:line="240" w:lineRule="auto"/>
      </w:pPr>
      <w:r>
        <w:continuationSeparator/>
      </w:r>
    </w:p>
  </w:footnote>
  <w:footnote w:type="continuationNotice" w:id="1">
    <w:p w14:paraId="339BB07B" w14:textId="77777777" w:rsidR="00025543" w:rsidRDefault="00025543">
      <w:pPr>
        <w:spacing w:before="0" w:after="0" w:line="240" w:lineRule="auto"/>
      </w:pPr>
    </w:p>
  </w:footnote>
  <w:footnote w:id="2">
    <w:p w14:paraId="197A31E8" w14:textId="0671317D" w:rsidR="00025543" w:rsidRDefault="007E3A2F">
      <w:pPr>
        <w:pStyle w:val="FootnoteText"/>
        <w:ind w:left="0" w:firstLine="0"/>
        <w:jc w:val="both"/>
        <w:rPr>
          <w:sz w:val="20"/>
        </w:rPr>
      </w:pPr>
      <w:r w:rsidRPr="007E3A2F">
        <w:rPr>
          <w:rStyle w:val="FootnoteReference"/>
          <w:sz w:val="20"/>
        </w:rPr>
        <w:footnoteRef/>
      </w:r>
      <w:r>
        <w:rPr>
          <w:sz w:val="20"/>
        </w:rPr>
        <w:t xml:space="preserve"> En particulier, la mesure impose aux opérateurs économiques effectuant les travaux de construction de veiller à ce qu’au moins 70 % (en poids) des déchets de construction et de démolition non dangereux (à l’exclusion des matériaux naturels visés dans la catégorie 17 05 04 de la liste européenne des déchets établie par la décision no 2000/532/CE du 3 mai 2000 remplaçant la décision no 94/3/CE établissant une liste de déchets en application de l’article 1, point a), de la directive 75/442/CEE du Conseil relative aux déchets et la décision no 94/904/CE du Conseil établissant une liste de déchets dangereux en application de l’article 1, paragraphe 4, de la directive 91/689/CEE du Conseil relative aux déchets dangereux [notifiée sous le numéro C (2000) 1147], soient préparés en vue du réemploi, du recyclage et d’autres opérations de valorisation des matériaux, y compris des opérations de remblayage utilisant des déchets pour remplacer d’autres matières, conformément à la hiérarchie des déchets et au protocole de gestion des déchets de construction et de démolition de l’Union européenne.</w:t>
      </w:r>
    </w:p>
  </w:footnote>
  <w:footnote w:id="3">
    <w:p w14:paraId="7449EE9B" w14:textId="0166D0DB" w:rsidR="00025543" w:rsidRDefault="007E3A2F">
      <w:pPr>
        <w:pBdr>
          <w:top w:val="nil"/>
          <w:left w:val="nil"/>
          <w:bottom w:val="nil"/>
          <w:right w:val="nil"/>
          <w:between w:val="nil"/>
        </w:pBdr>
        <w:spacing w:after="0" w:line="240" w:lineRule="auto"/>
        <w:jc w:val="both"/>
        <w:rPr>
          <w:color w:val="000000"/>
          <w:sz w:val="20"/>
        </w:rPr>
      </w:pPr>
      <w:r w:rsidRPr="007E3A2F">
        <w:rPr>
          <w:rStyle w:val="FootnoteReference"/>
          <w:b w:val="0"/>
          <w:sz w:val="20"/>
        </w:rPr>
        <w:footnoteRef/>
      </w:r>
      <w:r>
        <w:rPr>
          <w:color w:val="000000"/>
          <w:sz w:val="20"/>
        </w:rPr>
        <w:t xml:space="preserve"> Adoptée conformément à la recommandation 2020/1307 de la Commission concernant une boîte à outils commune à l’échelle de l’Union en vue de réduire le coût du déploiement de réseaux à très haute capacité et de garantir un accès rapide et propice aux investissements au spectre radioélectrique 5G, afin de favoriser la connectivité à l’appui de la reprise économique après la crise de la COVID-19 dans l’Union.</w:t>
      </w:r>
    </w:p>
  </w:footnote>
  <w:footnote w:id="4">
    <w:p w14:paraId="58F62D33" w14:textId="77777777" w:rsidR="00025543" w:rsidRDefault="007E3A2F">
      <w:pPr>
        <w:pStyle w:val="FootnoteText"/>
      </w:pPr>
      <w:r w:rsidRPr="007E3A2F">
        <w:rPr>
          <w:rStyle w:val="FootnoteReference"/>
        </w:rPr>
        <w:footnoteRef/>
      </w:r>
      <w:r>
        <w:t xml:space="preserve"> </w:t>
      </w:r>
      <w:r>
        <w:tab/>
      </w:r>
      <w:r>
        <w:rPr>
          <w:rFonts w:eastAsia="Times New Roman"/>
        </w:rPr>
        <w:t>À l’exception des projets relevant de la présente mesure concernant la production d’électricité et/ou de chaleur, ainsi que les infrastructures connexes de transport et de distribution utilisant le gaz naturel, qui sont conformes aux conditions énoncées à l’annexe III des orientations techniques «Ne pas causer de préjudice important» (2021/C58/01).</w:t>
      </w:r>
    </w:p>
  </w:footnote>
  <w:footnote w:id="5">
    <w:p w14:paraId="7730E12E" w14:textId="77777777" w:rsidR="00025543" w:rsidRDefault="007E3A2F">
      <w:pPr>
        <w:pStyle w:val="FootnoteText"/>
      </w:pPr>
      <w:r w:rsidRPr="007E3A2F">
        <w:rPr>
          <w:rStyle w:val="FootnoteReference"/>
        </w:rPr>
        <w:footnoteRef/>
      </w:r>
      <w:r>
        <w:t xml:space="preserve"> </w:t>
      </w:r>
      <w:r>
        <w:tab/>
      </w:r>
      <w:r>
        <w:rPr>
          <w:rFonts w:eastAsia="Times New Roman"/>
        </w:rPr>
        <w:t>Lorsque l’activité soutenue permet d’obtenir des projections d’émissions de gaz à effet de serre qui ne sont pas sensiblement inférieures aux référentiels pertinents, il convient de fournir une explication des raisons pour lesquelles cela n’est pas possible. Référentiels établis aux fins de l’allocation de quotas à titre gratuit pour les activités relevant du système d’échange de quotas d’émission, conformément au règlement d’exécution (UE) 2021/447 de la Commission.</w:t>
      </w:r>
    </w:p>
  </w:footnote>
  <w:footnote w:id="6">
    <w:p w14:paraId="293B91E1" w14:textId="77777777" w:rsidR="00025543" w:rsidRDefault="007E3A2F">
      <w:pPr>
        <w:pStyle w:val="FootnoteText"/>
      </w:pPr>
      <w:r w:rsidRPr="007E3A2F">
        <w:rPr>
          <w:rStyle w:val="FootnoteReference"/>
        </w:rPr>
        <w:footnoteRef/>
      </w:r>
      <w:r>
        <w:t xml:space="preserve"> </w:t>
      </w:r>
      <w:r>
        <w:tab/>
      </w:r>
      <w:r>
        <w:rPr>
          <w:rFonts w:eastAsia="Times New Roman"/>
        </w:rPr>
        <w:t>Cette exclusion ne s’applique pas aux actions menées au titre de la présente mesure dans des installations exclusivement consacrées au traitement des déchets dangereux non recyclables, ni aux installations existantes, lorsque les actions menées au titre de la présente mesure visent à accroître l’efficacité énergétique, à capturer les gaz d’échappement en vue de leur stockage ou de leur utilisation ou à récupérer des matières provenant des cendres d’incinération, à condition que ces actions au titre de la présente mesure n’entraînent pas d’augmentation de la capacité de traitement des déchets des installations ou d’allongement de la durée de vie des installations; pour lesquels des preuves sont fournies au niveau de l’usine.</w:t>
      </w:r>
    </w:p>
  </w:footnote>
  <w:footnote w:id="7">
    <w:p w14:paraId="6D583B6E" w14:textId="77777777" w:rsidR="00025543" w:rsidRDefault="007E3A2F">
      <w:pPr>
        <w:pStyle w:val="FootnoteText"/>
      </w:pPr>
      <w:r w:rsidRPr="007E3A2F">
        <w:rPr>
          <w:rStyle w:val="FootnoteReference"/>
        </w:rPr>
        <w:footnoteRef/>
      </w:r>
      <w:r>
        <w:t xml:space="preserve"> </w:t>
      </w:r>
      <w:r>
        <w:tab/>
      </w:r>
      <w:r>
        <w:rPr>
          <w:rFonts w:eastAsia="Times New Roman"/>
        </w:rPr>
        <w:t>Cette exclusion ne s’applique pas aux actions menées au titre de la présente mesure dans les installations de traitement biomécanique existantes, lorsque les actions menées au titre de la présente mesure visent à accroître l’efficacité énergétique ou à adapter aux opérations de recyclage les déchets séparés en biodéchets compost et en digestion anaérobie des biodéchets, à condition que ces actions au titre de la présente mesure n’entraînent pas d’augmentation de la capacité de traitement des déchets des installations ou d’allongement de la durée de vie des installations; pour lesquels des preuves sont fournies au niveau de l’usine.</w:t>
      </w:r>
    </w:p>
  </w:footnote>
  <w:footnote w:id="8">
    <w:p w14:paraId="551F6AE0" w14:textId="0D93DED4" w:rsidR="00025543" w:rsidRDefault="007E3A2F">
      <w:pPr>
        <w:pStyle w:val="FootnoteText"/>
        <w:ind w:left="142" w:hanging="142"/>
        <w:jc w:val="both"/>
      </w:pPr>
      <w:r w:rsidRPr="007E3A2F">
        <w:rPr>
          <w:rStyle w:val="FootnoteReference"/>
        </w:rPr>
        <w:footnoteRef/>
      </w:r>
      <w:r>
        <w:t xml:space="preserve"> Pour</w:t>
      </w:r>
      <w:r>
        <w:rPr>
          <w:rFonts w:eastAsia="Times New Roman"/>
          <w:sz w:val="20"/>
        </w:rPr>
        <w:t>les investissements stratégiques, c’est-à-dire ceux dans les technologies et produits de défense recensés dans le programme de travail annuel pour le Fonds européen de la défense; investissements spatiaux dans les horloges atomiques, les lanceurs stratégiques; et les produits spatiaux;  et les investissements axés uniquement sur le développement et le déploiement d’outils et de solutions de cybersécurité, y compris lorsqu’ils s’inscrivent dans le déploiement ou la modernisation de réseaux numériques et d’infrastructures de données; les bénéficiaires finaux ne sont pas contrôlés par un pays tiers ou des entités de pays tiers et ont leur gestion exécutive dans l’Union, sauf pour les investissements inférieurs à 10 000 000 EUR. Si le bénéficiaire final participe à un investissement stratégique dans le domaine de la connectivité 5G, les mesures et les plans d’atténuation des risques, conformément à la boîte à outils en matière de cybersécurité 5G, s’appliquent également à ses fournisseurs. Ces fournisseurs incluent notamment des commerçants en équipements de télécommunications et des fabricants et d’autres fournisseurs tiers, comme des fournisseurs d’infrastructures en nuage, des fournisseurs de services gérés, des intégrateurs de systèmes, des contractants pour la sécurité et l’entretien et des producteurs d’équipements de transmission. Lorsque le bénéficiaire final participe à un investissement stratégique dans le domaine de la défense, cette limitation s’applique également à ses fournisseurs et sous-traitants. Les limitations concernant l’absence de contrôle par un pays tiers ou une entité d’un pays tiers ci-dessus ne s’appliquent pas à une opération de financement et d’investissement particulière lorsque le bénéficiaire final peut démontrer qu’il s’agit d’une entité juridique pour laquelle l’État membre dans lequel il est établi a approuvé une garantie pour l’action spécifique concernée conformément aux principes concernant les entités éligibles énoncés dans les dispositions pertinentes du règlement relatif au Fonds européen de la défense (ci-après le «FED») — ou à la dérogation accordée par la Commission conformément aux principes concernant les entités éligibles énoncés dans les dispositions pertinentes du règlement sur l’espace. Le partenaire chargé de la mise en œuvre doit notifier au gouvernement toute dérogation accordée aux limitations.</w:t>
      </w:r>
    </w:p>
  </w:footnote>
  <w:footnote w:id="9">
    <w:p w14:paraId="577C8C23" w14:textId="77777777" w:rsidR="00025543" w:rsidRDefault="007E3A2F">
      <w:pPr>
        <w:pStyle w:val="FootnoteText"/>
        <w:ind w:left="142" w:hanging="142"/>
        <w:jc w:val="both"/>
        <w:rPr>
          <w:rFonts w:eastAsia="Times New Roman"/>
        </w:rPr>
      </w:pPr>
      <w:r w:rsidRPr="007E3A2F">
        <w:rPr>
          <w:rStyle w:val="FootnoteReference"/>
        </w:rPr>
        <w:footnoteRef/>
      </w:r>
      <w:r>
        <w:t xml:space="preserve"> Il</w:t>
      </w:r>
      <w:r>
        <w:rPr>
          <w:rFonts w:eastAsia="Times New Roman"/>
          <w:sz w:val="20"/>
        </w:rPr>
        <w:t>est considéré qu’un bénéficiaire final se concentre «de manière substantielle» sur un secteur ou une activité commerciale si ce secteur ou cette activité est identifié comme un élément essentiel de l’activité commerciale du bénéficiaire final par rapport aux recettes brutes, aux bénéfices ou à la clientèle du bénéficiaire final. Les recettes brutes générées par le secteur ou l’activité faisant l’objet de restrictions ne dépassent pas, en tout état de cause, 50 % des recettes brutes.</w:t>
      </w:r>
    </w:p>
  </w:footnote>
  <w:footnote w:id="10">
    <w:p w14:paraId="6018F800" w14:textId="77777777" w:rsidR="00025543" w:rsidRDefault="007E3A2F">
      <w:pPr>
        <w:spacing w:after="0" w:line="240" w:lineRule="auto"/>
        <w:jc w:val="both"/>
        <w:rPr>
          <w:rFonts w:eastAsia="Times New Roman"/>
          <w:sz w:val="20"/>
        </w:rPr>
      </w:pPr>
      <w:r w:rsidRPr="007E3A2F">
        <w:rPr>
          <w:rStyle w:val="FootnoteReference"/>
          <w:sz w:val="20"/>
        </w:rPr>
        <w:footnoteRef/>
      </w:r>
      <w:r>
        <w:rPr>
          <w:sz w:val="20"/>
        </w:rPr>
        <w:t xml:space="preserve"> </w:t>
      </w:r>
      <w:r>
        <w:rPr>
          <w:rFonts w:eastAsia="Times New Roman"/>
          <w:sz w:val="20"/>
        </w:rPr>
        <w:t>À l’exception a) des actifs et activités dans le domaine de la production d’électricité et/ou de chaleur, ainsi que des infrastructures de transport et de distribution connexes utilisant du gaz naturel, qui sont conformes aux conditions énoncées à l’annexe III des orientations techniques «Ne pas causer de préjudice important» (2021/C58/01) et b) les activités et actifs visés au point ii) pour lesquels l’utilisation de combustibles fossiles est temporaire et techniquement inévitable pour la transition en temps utile vers une exploitation sans combustibles fossiles.</w:t>
      </w:r>
    </w:p>
  </w:footnote>
  <w:footnote w:id="11">
    <w:p w14:paraId="38EEF74F" w14:textId="77777777" w:rsidR="00025543" w:rsidRDefault="007E3A2F">
      <w:pPr>
        <w:spacing w:after="0" w:line="240" w:lineRule="auto"/>
        <w:jc w:val="both"/>
        <w:rPr>
          <w:rFonts w:eastAsia="Times New Roman"/>
          <w:sz w:val="20"/>
        </w:rPr>
      </w:pPr>
      <w:r w:rsidRPr="007E3A2F">
        <w:rPr>
          <w:rStyle w:val="FootnoteReference"/>
          <w:sz w:val="20"/>
        </w:rPr>
        <w:footnoteRef/>
      </w:r>
      <w:r>
        <w:rPr>
          <w:sz w:val="20"/>
        </w:rPr>
        <w:t xml:space="preserve"> </w:t>
      </w:r>
      <w:r>
        <w:rPr>
          <w:rFonts w:eastAsia="Times New Roman"/>
          <w:sz w:val="20"/>
        </w:rPr>
        <w:t>Y compris les activités et les actifs relevant du système d’échange de quotas d’émission de l’UE (SEQE) permettant d’atteindre les émissions de gaz à effet de serre prévues qui ne sont pas inférieures aux référentiels pertinents. Lorsque l’activité bénéficiant de l’aide permet d’obtenir des projections d’émissions de gaz à effet de serre qui ne sont pas sensiblement inférieures aux référentiels pertinents, une explication des raisons pour lesquelles cela n’est pas possible est fournie. Référentiels établis aux fins de l’allocation de quotas à titre gratuit pour les activités relevant du système d’échange de quotas d’émission, conformément au règlement d’exécution (UE) 2021/447 de la Commission.</w:t>
      </w:r>
    </w:p>
  </w:footnote>
  <w:footnote w:id="12">
    <w:p w14:paraId="42926D56" w14:textId="77777777" w:rsidR="00025543" w:rsidRDefault="007E3A2F">
      <w:pPr>
        <w:spacing w:after="0" w:line="240" w:lineRule="auto"/>
        <w:jc w:val="both"/>
        <w:rPr>
          <w:rFonts w:eastAsia="Times New Roman"/>
          <w:sz w:val="20"/>
        </w:rPr>
      </w:pPr>
      <w:r w:rsidRPr="007E3A2F">
        <w:rPr>
          <w:rStyle w:val="FootnoteReference"/>
          <w:sz w:val="20"/>
        </w:rPr>
        <w:footnoteRef/>
      </w:r>
      <w:r>
        <w:rPr>
          <w:sz w:val="20"/>
        </w:rPr>
        <w:t xml:space="preserve"> </w:t>
      </w:r>
      <w:r>
        <w:rPr>
          <w:rFonts w:eastAsia="Times New Roman"/>
          <w:sz w:val="20"/>
        </w:rPr>
        <w:t>Les véhicules polluants sont définis comme des véhicules non à émission nulle.</w:t>
      </w:r>
    </w:p>
  </w:footnote>
  <w:footnote w:id="13">
    <w:p w14:paraId="06795BB4" w14:textId="4458FD10" w:rsidR="00025543" w:rsidRDefault="007E3A2F">
      <w:pPr>
        <w:pStyle w:val="FootnoteText"/>
        <w:ind w:left="142" w:hanging="153"/>
        <w:jc w:val="both"/>
        <w:rPr>
          <w:rFonts w:eastAsia="Times New Roman"/>
        </w:rPr>
      </w:pPr>
      <w:r w:rsidRPr="007E3A2F">
        <w:rPr>
          <w:rStyle w:val="FootnoteReference"/>
          <w:b w:val="0"/>
        </w:rPr>
        <w:footnoteRef/>
      </w:r>
      <w:r>
        <w:rPr>
          <w:b/>
        </w:rPr>
        <w:t xml:space="preserve"> Cette</w:t>
      </w:r>
      <w:r>
        <w:rPr>
          <w:rFonts w:eastAsia="Times New Roman"/>
          <w:sz w:val="20"/>
        </w:rPr>
        <w:t>exclusion ne s’applique pas aux actions menées dans les installations exclusivement destinées au traitement des déchets dangereux non recyclables, ni aux installations existantes, lorsque les actions au titre de la présente mesure visent à accroître l’efficacité énergétique, à capturer les gaz d’échappement en vue de leur stockage ou de leur utilisation ou à récupérer les matériaux provenant des cendres d’incinération, à condition que ces actions au titre de la présente mesure n’entraînent pas une augmentation de la capacité de traitement des déchets des installations ou une prolongation de la durée de vie des installations; pour lesquels des preuves sont fournies au niveau de l’usine.</w:t>
      </w:r>
    </w:p>
  </w:footnote>
  <w:footnote w:id="14">
    <w:p w14:paraId="4BB55216" w14:textId="73C08CF6" w:rsidR="00025543" w:rsidRDefault="007E3A2F">
      <w:pPr>
        <w:spacing w:before="0" w:after="0"/>
        <w:jc w:val="both"/>
        <w:rPr>
          <w:sz w:val="20"/>
        </w:rPr>
      </w:pPr>
      <w:r w:rsidRPr="007E3A2F">
        <w:rPr>
          <w:rStyle w:val="FootnoteReference"/>
          <w:sz w:val="20"/>
        </w:rPr>
        <w:footnoteRef/>
      </w:r>
      <w:r>
        <w:rPr>
          <w:rFonts w:eastAsia="Times New Roman"/>
          <w:sz w:val="20"/>
        </w:rPr>
        <w:t>Conformément à l’article 12 de la directive 2008/98/CE telle que modifiée par la directive (UE) 2018/851</w:t>
      </w:r>
      <w:r>
        <w:rPr>
          <w:rStyle w:val="FootnoteReference"/>
          <w:sz w:val="20"/>
        </w:rPr>
        <w:t>.</w:t>
      </w:r>
    </w:p>
  </w:footnote>
  <w:footnote w:id="15">
    <w:p w14:paraId="061B0005" w14:textId="52070E68" w:rsidR="00025543" w:rsidRDefault="007E3A2F">
      <w:pPr>
        <w:pStyle w:val="FootnoteText"/>
        <w:rPr>
          <w:sz w:val="20"/>
        </w:rPr>
      </w:pPr>
      <w:r w:rsidRPr="007E3A2F">
        <w:rPr>
          <w:rStyle w:val="FootnoteReference"/>
          <w:sz w:val="20"/>
        </w:rPr>
        <w:footnoteRef/>
      </w:r>
      <w:r>
        <w:rPr>
          <w:sz w:val="20"/>
        </w:rPr>
        <w:t xml:space="preserve"> Conformément à la directive 1999/31/CE telle que modifiée par la directive (UE) 2018/850.</w:t>
      </w:r>
    </w:p>
  </w:footnote>
  <w:footnote w:id="16">
    <w:p w14:paraId="699646B6" w14:textId="77777777" w:rsidR="00025543" w:rsidRDefault="007E3A2F">
      <w:pPr>
        <w:pStyle w:val="FootnoteText"/>
        <w:jc w:val="both"/>
        <w:rPr>
          <w:rFonts w:eastAsia="Times New Roman"/>
        </w:rPr>
      </w:pPr>
      <w:r w:rsidRPr="007E3A2F">
        <w:rPr>
          <w:rStyle w:val="FootnoteReference"/>
        </w:rPr>
        <w:footnoteRef/>
      </w:r>
      <w:r>
        <w:t xml:space="preserve"> </w:t>
      </w:r>
      <w:r>
        <w:rPr>
          <w:rFonts w:eastAsia="Times New Roman"/>
        </w:rPr>
        <w:t>À l’exception a) des actifs et activités dans le domaine de la production d’électricité et/ou de chaleur, ainsi que des infrastructures de transport et de distribution connexes utilisant du gaz naturel, qui sont conformes aux conditions énoncées à l’annexe III des orientations techniques «Ne pas causer de préjudice important» (2021/C58/01) et b) les activités et actifs visés au point ii) pour lesquels l’utilisation de combustibles fossiles est temporaire et techniquement inévitable pour la transition en temps utile vers une exploitation sans combustibles fossiles.</w:t>
      </w:r>
    </w:p>
  </w:footnote>
  <w:footnote w:id="17">
    <w:p w14:paraId="4523B37F" w14:textId="77777777" w:rsidR="00025543" w:rsidRDefault="007E3A2F">
      <w:pPr>
        <w:pStyle w:val="FootnoteText"/>
        <w:jc w:val="both"/>
        <w:rPr>
          <w:rFonts w:eastAsia="EC Square Sans Pro"/>
        </w:rPr>
      </w:pPr>
      <w:r w:rsidRPr="007E3A2F">
        <w:rPr>
          <w:rStyle w:val="FootnoteReference"/>
        </w:rPr>
        <w:footnoteRef/>
      </w:r>
      <w:r>
        <w:t xml:space="preserve"> </w:t>
      </w:r>
      <w:r>
        <w:rPr>
          <w:rFonts w:eastAsia="EC Square Sans Pro"/>
        </w:rPr>
        <w:t xml:space="preserve">Lorsque l’activité bénéficiant de l’aide permet d’obtenir des projections d’émissions de gaz à effet de serre qui ne sont pas sensiblement inférieures aux référentiels pertinents, une explication des raisons pour lesquelles cela n’est pas possible est fournie. Référentiels établis aux fins de l’allocation de quotas à titre gratuit pour les activités relevant du système d’échange de quotas d’émission, conformément au règlement d’exécution (UE) 2021/447 de la Commission. </w:t>
      </w:r>
    </w:p>
  </w:footnote>
  <w:footnote w:id="18">
    <w:p w14:paraId="5D3F9CDF" w14:textId="77777777" w:rsidR="00025543" w:rsidRDefault="007E3A2F">
      <w:pPr>
        <w:pStyle w:val="FootnoteText"/>
        <w:jc w:val="both"/>
        <w:rPr>
          <w:rFonts w:eastAsia="Times New Roman"/>
        </w:rPr>
      </w:pPr>
      <w:r w:rsidRPr="007E3A2F">
        <w:rPr>
          <w:rStyle w:val="FootnoteReference"/>
        </w:rPr>
        <w:footnoteRef/>
      </w:r>
      <w:r>
        <w:t xml:space="preserve"> </w:t>
      </w:r>
      <w:r>
        <w:rPr>
          <w:rFonts w:eastAsia="Times New Roman"/>
        </w:rPr>
        <w:t>À l’exception a) des actifs et activités dans le domaine de la production d’électricité et/ou de chaleur, ainsi que des infrastructures de transport et de distribution connexes utilisant du gaz naturel, qui sont conformes aux conditions énoncées à l’annexe III des orientations techniques «Ne pas causer de préjudice important» (2021/C58/01) et b) les activités et actifs visés au point ii) pour lesquels l’utilisation de combustibles fossiles est temporaire et techniquement inévitable pour la transition en temps utile vers une exploitation sans combustibles fossiles.</w:t>
      </w:r>
    </w:p>
  </w:footnote>
  <w:footnote w:id="19">
    <w:p w14:paraId="6C720CB9" w14:textId="77777777" w:rsidR="00025543" w:rsidRDefault="007E3A2F">
      <w:pPr>
        <w:pStyle w:val="FootnoteText"/>
        <w:jc w:val="both"/>
        <w:rPr>
          <w:rFonts w:eastAsia="EC Square Sans Pro"/>
        </w:rPr>
      </w:pPr>
      <w:r w:rsidRPr="007E3A2F">
        <w:rPr>
          <w:rStyle w:val="FootnoteReference"/>
        </w:rPr>
        <w:footnoteRef/>
      </w:r>
      <w:r>
        <w:t xml:space="preserve"> </w:t>
      </w:r>
      <w:r>
        <w:rPr>
          <w:rFonts w:eastAsia="EC Square Sans Pro"/>
        </w:rPr>
        <w:t xml:space="preserve">Lorsque l’activité bénéficiant de l’aide permet d’obtenir des projections d’émissions de gaz à effet de serre qui ne sont pas sensiblement inférieures aux référentiels pertinents, une explication des raisons pour lesquelles cela n’est pas possible est fournie. Référentiels établis aux fins de l’allocation de quotas à titre gratuit pour les activités relevant du système d’échange de quotas d’émission, conformément au règlement d’exécution (UE) 2021/447 de la Commission. </w:t>
      </w:r>
    </w:p>
  </w:footnote>
  <w:footnote w:id="20">
    <w:p w14:paraId="505486FA" w14:textId="77777777" w:rsidR="00025543" w:rsidRDefault="007E3A2F">
      <w:pPr>
        <w:pStyle w:val="FootnoteText"/>
        <w:jc w:val="both"/>
        <w:rPr>
          <w:rFonts w:eastAsia="Times New Roman"/>
        </w:rPr>
      </w:pPr>
      <w:r w:rsidRPr="007E3A2F">
        <w:rPr>
          <w:rStyle w:val="FootnoteReference"/>
        </w:rPr>
        <w:footnoteRef/>
      </w:r>
      <w:r>
        <w:t xml:space="preserve"> </w:t>
      </w:r>
      <w:r>
        <w:rPr>
          <w:rFonts w:eastAsia="Times New Roman"/>
        </w:rPr>
        <w:t>À l’exception a) des actifs et activités dans le domaine de la production d’électricité et/ou de chaleur, ainsi que des infrastructures de transport et de distribution connexes utilisant du gaz naturel, qui sont conformes aux conditions énoncées à l’annexe III des orientations techniques «Ne pas causer de préjudice important» (2021/C58/01) et b) les activités et actifs visés au point ii) pour lesquels l’utilisation de combustibles fossiles est temporaire et techniquement inévitable pour la transition en temps utile vers une exploitation sans combustibles fossiles.</w:t>
      </w:r>
    </w:p>
  </w:footnote>
  <w:footnote w:id="21">
    <w:p w14:paraId="55CB05B4" w14:textId="77777777" w:rsidR="00025543" w:rsidRDefault="007E3A2F">
      <w:pPr>
        <w:pStyle w:val="FootnoteText"/>
        <w:jc w:val="both"/>
        <w:rPr>
          <w:rFonts w:eastAsia="EC Square Sans Pro"/>
        </w:rPr>
      </w:pPr>
      <w:r w:rsidRPr="007E3A2F">
        <w:rPr>
          <w:rStyle w:val="FootnoteReference"/>
        </w:rPr>
        <w:footnoteRef/>
      </w:r>
      <w:r>
        <w:t xml:space="preserve"> </w:t>
      </w:r>
      <w:r>
        <w:rPr>
          <w:rFonts w:eastAsia="EC Square Sans Pro"/>
        </w:rPr>
        <w:t xml:space="preserve">Lorsque l’activité bénéficiant de l’aide permet d’obtenir des projections d’émissions de gaz à effet de serre qui ne sont pas sensiblement inférieures aux référentiels pertinents, une explication des raisons pour lesquelles cela n’est pas possible est fournie. Référentiels établis aux fins de l’allocation de quotas à titre gratuit pour les activités relevant du système d’échange de quotas d’émission, conformément au règlement d’exécution (UE) 2021/447 de la Commission. </w:t>
      </w:r>
    </w:p>
  </w:footnote>
  <w:footnote w:id="22">
    <w:p w14:paraId="54DC741E" w14:textId="60670958" w:rsidR="00025543" w:rsidRDefault="007E3A2F">
      <w:pPr>
        <w:spacing w:after="0" w:line="257" w:lineRule="auto"/>
        <w:jc w:val="both"/>
        <w:rPr>
          <w:sz w:val="20"/>
        </w:rPr>
      </w:pPr>
      <w:r w:rsidRPr="007E3A2F">
        <w:rPr>
          <w:rStyle w:val="FootnoteReference"/>
          <w:sz w:val="20"/>
        </w:rPr>
        <w:footnoteRef/>
      </w:r>
      <w:r>
        <w:rPr>
          <w:sz w:val="20"/>
        </w:rPr>
        <w:t xml:space="preserve"> </w:t>
      </w:r>
      <w:r>
        <w:rPr>
          <w:rFonts w:eastAsia="Times New Roman"/>
          <w:sz w:val="20"/>
        </w:rPr>
        <w:t>À l’exception des projets relevant de la présente mesure dans le domaine de la production d’électricité et/ou de chaleur, ainsi que des infrastructures de transport et de distribution connexes utilisant du gaz naturel, qui sont conformes aux conditions énoncées à l’annexe III des orientations techniques «Ne pas causer de préjudice important» (2021/C58/01).</w:t>
      </w:r>
    </w:p>
  </w:footnote>
  <w:footnote w:id="23">
    <w:p w14:paraId="285F747F" w14:textId="77777777" w:rsidR="00025543" w:rsidRDefault="007E3A2F">
      <w:pPr>
        <w:spacing w:after="0" w:line="257" w:lineRule="auto"/>
        <w:jc w:val="both"/>
        <w:rPr>
          <w:sz w:val="20"/>
        </w:rPr>
      </w:pPr>
      <w:r w:rsidRPr="007E3A2F">
        <w:rPr>
          <w:rStyle w:val="FootnoteReference"/>
          <w:sz w:val="20"/>
        </w:rPr>
        <w:footnoteRef/>
      </w:r>
      <w:r>
        <w:rPr>
          <w:sz w:val="20"/>
        </w:rPr>
        <w:t xml:space="preserve"> </w:t>
      </w:r>
      <w:r>
        <w:rPr>
          <w:rFonts w:eastAsia="Times New Roman"/>
          <w:sz w:val="20"/>
        </w:rPr>
        <w:t>Lorsque l’activité soutenue permet d’obtenir des projections d’émissions de gaz à effet de serre qui ne sont pas sensiblement inférieures aux référentiels pertinents, il convient de fournir une explication des raisons pour lesquelles cela n’est pas possible. Référentiels établis aux fins de l’allocation de quotas à titre gratuit pour les activités relevant du système d’échange de quotas d’émission, conformément au règlement d’exécution (UE) 2021/447 de la Commission.</w:t>
      </w:r>
    </w:p>
  </w:footnote>
  <w:footnote w:id="24">
    <w:p w14:paraId="7104FE8E" w14:textId="77777777" w:rsidR="00025543" w:rsidRDefault="007E3A2F">
      <w:pPr>
        <w:spacing w:after="0" w:line="257" w:lineRule="auto"/>
        <w:jc w:val="both"/>
        <w:rPr>
          <w:sz w:val="20"/>
        </w:rPr>
      </w:pPr>
      <w:r w:rsidRPr="007E3A2F">
        <w:rPr>
          <w:rStyle w:val="FootnoteReference"/>
          <w:sz w:val="20"/>
        </w:rPr>
        <w:footnoteRef/>
      </w:r>
      <w:r>
        <w:rPr>
          <w:sz w:val="20"/>
        </w:rPr>
        <w:t xml:space="preserve"> Cette</w:t>
      </w:r>
      <w:r>
        <w:rPr>
          <w:rFonts w:eastAsia="Times New Roman"/>
          <w:sz w:val="20"/>
        </w:rPr>
        <w:t>exclusion ne s’applique pas aux actions menées au titre de la présente mesure dans des installations exclusivement consacrées au traitement des déchets dangereux non recyclables, ni aux installations existantes, lorsque les actions menées au titre de la présente mesure visent à accroître l’efficacité énergétique, à capturer les gaz d’échappement en vue de leur stockage ou de leur utilisation ou à récupérer des matières provenant des cendres d’incinération, à condition que ces actions au titre de la présente mesure n’entraînent pas d’augmentation de la capacité de traitement des déchets des installations ou d’allongement de la durée de vie des installations; pour lesquels des preuves sont fournies au niveau de l’usine.</w:t>
      </w:r>
    </w:p>
  </w:footnote>
  <w:footnote w:id="25">
    <w:p w14:paraId="67A6864B" w14:textId="77777777" w:rsidR="00025543" w:rsidRDefault="007E3A2F">
      <w:pPr>
        <w:spacing w:after="0" w:line="257" w:lineRule="auto"/>
        <w:jc w:val="both"/>
        <w:rPr>
          <w:sz w:val="20"/>
        </w:rPr>
      </w:pPr>
      <w:r w:rsidRPr="007E3A2F">
        <w:rPr>
          <w:rStyle w:val="FootnoteReference"/>
          <w:sz w:val="20"/>
        </w:rPr>
        <w:footnoteRef/>
      </w:r>
      <w:r>
        <w:rPr>
          <w:sz w:val="20"/>
        </w:rPr>
        <w:t xml:space="preserve"> Cette</w:t>
      </w:r>
      <w:r>
        <w:rPr>
          <w:rFonts w:eastAsia="Times New Roman"/>
          <w:sz w:val="20"/>
        </w:rPr>
        <w:t>exclusion ne s’applique pas aux actions menées au titre de la présente mesure dans les installations de traitement biomécanique existantes, lorsque les actions menées au titre de la présente mesure visent à accroître l’efficacité énergétique ou à adapter aux opérations de recyclage les déchets séparés en biodéchets compost et en digestion anaérobie des biodéchets, à condition que ces actions au titre de la présente mesure n’entraînent pas d’augmentation de la capacité de traitement des déchets des installations ou d’allongement de la durée de vie des installations; pour lesquels des preuves sont fournies au niveau de l’usine.</w:t>
      </w:r>
    </w:p>
    <w:p w14:paraId="7A7ADD0F" w14:textId="77777777" w:rsidR="00025543" w:rsidRDefault="00025543">
      <w:pPr>
        <w:pStyle w:val="FootnoteText"/>
        <w:rPr>
          <w:sz w:val="20"/>
        </w:rPr>
      </w:pPr>
    </w:p>
  </w:footnote>
  <w:footnote w:id="26">
    <w:p w14:paraId="567F8547" w14:textId="77777777" w:rsidR="00025543" w:rsidRDefault="007E3A2F">
      <w:pPr>
        <w:pStyle w:val="FootnoteText"/>
        <w:rPr>
          <w:sz w:val="20"/>
        </w:rPr>
      </w:pPr>
      <w:r w:rsidRPr="007E3A2F">
        <w:rPr>
          <w:rStyle w:val="FootnoteReference"/>
          <w:sz w:val="20"/>
        </w:rPr>
        <w:footnoteRef/>
      </w:r>
      <w:r>
        <w:rPr>
          <w:sz w:val="20"/>
        </w:rPr>
        <w:t xml:space="preserve"> https://ec.europa.eu/health/sites/default/files/non_communicable_diseases/docs/eu_cancer-plan_en.pdf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21633" w14:textId="77777777" w:rsidR="00B91265" w:rsidRPr="00B91265" w:rsidRDefault="00B91265" w:rsidP="00B9126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8FB8C" w14:textId="77777777" w:rsidR="00025543" w:rsidRDefault="00025543">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D8CD3" w14:textId="77777777" w:rsidR="00025543" w:rsidRDefault="00025543">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14FCD" w14:textId="77777777" w:rsidR="00025543" w:rsidRDefault="00025543">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2DC83" w14:textId="77777777" w:rsidR="00025543" w:rsidRDefault="00025543">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A05C7" w14:textId="77777777" w:rsidR="00025543" w:rsidRDefault="00025543">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BA828" w14:textId="77777777" w:rsidR="00025543" w:rsidRDefault="00025543">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1922" w14:textId="77777777" w:rsidR="00025543" w:rsidRDefault="00025543">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1F16C" w14:textId="77777777" w:rsidR="00025543" w:rsidRDefault="00025543">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C530D" w14:textId="77777777" w:rsidR="00025543" w:rsidRDefault="00025543">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1FBAB" w14:textId="77777777" w:rsidR="00025543" w:rsidRDefault="00025543">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D6053" w14:textId="77777777" w:rsidR="00025543" w:rsidRDefault="0002554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64BEA" w14:textId="77777777" w:rsidR="00025543" w:rsidRDefault="00025543">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DDECD" w14:textId="77777777" w:rsidR="00025543" w:rsidRDefault="00025543">
    <w:pPr>
      <w:pStyle w:val="Header"/>
    </w:pP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DCF58" w14:textId="77777777" w:rsidR="00025543" w:rsidRDefault="00025543">
    <w:pPr>
      <w:pStyle w:val="Header"/>
    </w:pPr>
  </w:p>
</w:hdr>
</file>

<file path=word/header1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D5C3B" w14:textId="77777777" w:rsidR="00025543" w:rsidRDefault="00025543">
    <w:pPr>
      <w:pStyle w:val="Header"/>
    </w:pPr>
  </w:p>
</w:hdr>
</file>

<file path=word/header1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CFA5C" w14:textId="77777777" w:rsidR="00025543" w:rsidRDefault="00025543">
    <w:pPr>
      <w:pStyle w:val="Header"/>
    </w:pPr>
  </w:p>
</w:hdr>
</file>

<file path=word/header1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9CC4B" w14:textId="77777777" w:rsidR="00025543" w:rsidRDefault="00025543">
    <w:pPr>
      <w:pStyle w:val="Header"/>
    </w:pPr>
  </w:p>
</w:hdr>
</file>

<file path=word/header1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96758" w14:textId="77777777" w:rsidR="00025543" w:rsidRDefault="00025543">
    <w:pPr>
      <w:pStyle w:val="Header"/>
    </w:pPr>
  </w:p>
</w:hdr>
</file>

<file path=word/header1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B404E" w14:textId="77777777" w:rsidR="00025543" w:rsidRDefault="00025543">
    <w:pPr>
      <w:pStyle w:val="Header"/>
    </w:pPr>
  </w:p>
</w:hdr>
</file>

<file path=word/header1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CECAA" w14:textId="77777777" w:rsidR="00025543" w:rsidRDefault="00025543">
    <w:pPr>
      <w:pStyle w:val="Header"/>
    </w:pPr>
  </w:p>
</w:hdr>
</file>

<file path=word/header1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0201" w14:textId="77777777" w:rsidR="00025543" w:rsidRDefault="00025543">
    <w:pPr>
      <w:pStyle w:val="Header"/>
    </w:pPr>
  </w:p>
</w:hdr>
</file>

<file path=word/header1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3413D" w14:textId="77777777" w:rsidR="00025543" w:rsidRDefault="0002554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6528E" w14:textId="77777777" w:rsidR="00025543" w:rsidRDefault="00025543">
    <w:pPr>
      <w:pStyle w:val="Header"/>
    </w:pPr>
  </w:p>
</w:hdr>
</file>

<file path=word/header1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3E9E8" w14:textId="77777777" w:rsidR="00025543" w:rsidRDefault="00025543">
    <w:pPr>
      <w:pStyle w:val="Header"/>
    </w:pPr>
  </w:p>
</w:hdr>
</file>

<file path=word/header1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8B504" w14:textId="77777777" w:rsidR="00025543" w:rsidRDefault="00025543">
    <w:pPr>
      <w:pStyle w:val="Header"/>
    </w:pPr>
  </w:p>
</w:hdr>
</file>

<file path=word/header1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2DF35" w14:textId="77777777" w:rsidR="00025543" w:rsidRDefault="00025543">
    <w:pPr>
      <w:pStyle w:val="Header"/>
    </w:pPr>
  </w:p>
</w:hdr>
</file>

<file path=word/header1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A22AC" w14:textId="77777777" w:rsidR="00025543" w:rsidRDefault="00025543">
    <w:pPr>
      <w:pStyle w:val="Header"/>
    </w:pPr>
  </w:p>
</w:hdr>
</file>

<file path=word/header1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36E0A" w14:textId="77777777" w:rsidR="00025543" w:rsidRDefault="00025543">
    <w:pPr>
      <w:pStyle w:val="Header"/>
    </w:pPr>
  </w:p>
</w:hdr>
</file>

<file path=word/header1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1173B" w14:textId="77777777" w:rsidR="00025543" w:rsidRDefault="00025543">
    <w:pPr>
      <w:pStyle w:val="Header"/>
    </w:pPr>
  </w:p>
</w:hdr>
</file>

<file path=word/header1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60C1A" w14:textId="77777777" w:rsidR="00025543" w:rsidRDefault="00025543">
    <w:pPr>
      <w:pStyle w:val="Header"/>
    </w:pPr>
  </w:p>
</w:hdr>
</file>

<file path=word/header1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1EB7B" w14:textId="77777777" w:rsidR="00025543" w:rsidRDefault="00025543">
    <w:pPr>
      <w:pStyle w:val="Header"/>
    </w:pPr>
  </w:p>
</w:hdr>
</file>

<file path=word/header1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6262C" w14:textId="77777777" w:rsidR="00025543" w:rsidRDefault="00025543">
    <w:pPr>
      <w:pStyle w:val="Header"/>
    </w:pPr>
  </w:p>
</w:hdr>
</file>

<file path=word/header1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64188" w14:textId="77777777" w:rsidR="00025543" w:rsidRDefault="0002554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F6634" w14:textId="77777777" w:rsidR="00025543" w:rsidRDefault="00025543">
    <w:pPr>
      <w:pStyle w:val="Header"/>
    </w:pPr>
  </w:p>
</w:hdr>
</file>

<file path=word/header1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E039F" w14:textId="77777777" w:rsidR="00025543" w:rsidRDefault="00025543">
    <w:pPr>
      <w:pStyle w:val="Header"/>
    </w:pPr>
  </w:p>
</w:hdr>
</file>

<file path=word/header1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FF9B8" w14:textId="77777777" w:rsidR="00025543" w:rsidRDefault="00025543">
    <w:pPr>
      <w:pStyle w:val="Header"/>
    </w:pPr>
  </w:p>
</w:hdr>
</file>

<file path=word/header1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E85D5" w14:textId="77777777" w:rsidR="00025543" w:rsidRDefault="00025543">
    <w:pPr>
      <w:pStyle w:val="Header"/>
    </w:pPr>
  </w:p>
</w:hdr>
</file>

<file path=word/header1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C1CB9" w14:textId="77777777" w:rsidR="00025543" w:rsidRDefault="00025543">
    <w:pPr>
      <w:pStyle w:val="Header"/>
    </w:pPr>
  </w:p>
</w:hdr>
</file>

<file path=word/header1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CF842" w14:textId="77777777" w:rsidR="00025543" w:rsidRDefault="00025543">
    <w:pPr>
      <w:pStyle w:val="Header"/>
    </w:pPr>
  </w:p>
</w:hdr>
</file>

<file path=word/header1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0CAA6" w14:textId="77777777" w:rsidR="00025543" w:rsidRDefault="00025543">
    <w:pPr>
      <w:pStyle w:val="Header"/>
    </w:pPr>
  </w:p>
</w:hdr>
</file>

<file path=word/header1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4C0E7" w14:textId="77777777" w:rsidR="00025543" w:rsidRDefault="00025543">
    <w:pPr>
      <w:pStyle w:val="Header"/>
    </w:pPr>
  </w:p>
</w:hdr>
</file>

<file path=word/header1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34288" w14:textId="77777777" w:rsidR="00025543" w:rsidRDefault="00025543">
    <w:pPr>
      <w:pStyle w:val="Header"/>
    </w:pPr>
  </w:p>
</w:hdr>
</file>

<file path=word/header1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F0DD9" w14:textId="77777777" w:rsidR="00025543" w:rsidRDefault="00025543">
    <w:pPr>
      <w:pStyle w:val="Header"/>
    </w:pPr>
  </w:p>
</w:hdr>
</file>

<file path=word/header1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981B4" w14:textId="77777777" w:rsidR="00025543" w:rsidRDefault="0002554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CE48B" w14:textId="77777777" w:rsidR="00025543" w:rsidRDefault="00025543">
    <w:pPr>
      <w:pStyle w:val="Header"/>
    </w:pPr>
  </w:p>
</w:hdr>
</file>

<file path=word/header1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CCEF6" w14:textId="77777777" w:rsidR="00025543" w:rsidRDefault="00025543">
    <w:pPr>
      <w:pStyle w:val="Header"/>
    </w:pPr>
  </w:p>
</w:hdr>
</file>

<file path=word/header1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1FD56" w14:textId="77777777" w:rsidR="00025543" w:rsidRDefault="00025543">
    <w:pPr>
      <w:pStyle w:val="Header"/>
    </w:pPr>
  </w:p>
</w:hdr>
</file>

<file path=word/header1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80B88" w14:textId="77777777" w:rsidR="00025543" w:rsidRDefault="00025543">
    <w:pPr>
      <w:pStyle w:val="Header"/>
    </w:pPr>
  </w:p>
</w:hdr>
</file>

<file path=word/header1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3D1F9" w14:textId="77777777" w:rsidR="00025543" w:rsidRDefault="00025543">
    <w:pPr>
      <w:pStyle w:val="Header"/>
    </w:pPr>
  </w:p>
</w:hdr>
</file>

<file path=word/header1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F1163" w14:textId="77777777" w:rsidR="00025543" w:rsidRDefault="00025543">
    <w:pPr>
      <w:pStyle w:val="Header"/>
    </w:pPr>
  </w:p>
</w:hdr>
</file>

<file path=word/header1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DC56A" w14:textId="77777777" w:rsidR="00025543" w:rsidRDefault="00025543">
    <w:pPr>
      <w:pStyle w:val="Header"/>
    </w:pPr>
  </w:p>
</w:hdr>
</file>

<file path=word/header1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5CAF6" w14:textId="77777777" w:rsidR="00025543" w:rsidRDefault="00025543">
    <w:pPr>
      <w:pStyle w:val="Header"/>
    </w:pPr>
  </w:p>
</w:hdr>
</file>

<file path=word/header1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5EF27" w14:textId="77777777" w:rsidR="00025543" w:rsidRDefault="00025543">
    <w:pPr>
      <w:pStyle w:val="Header"/>
    </w:pPr>
  </w:p>
</w:hdr>
</file>

<file path=word/header1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2C8A0" w14:textId="77777777" w:rsidR="00025543" w:rsidRDefault="00025543">
    <w:pPr>
      <w:pStyle w:val="Header"/>
    </w:pPr>
  </w:p>
</w:hdr>
</file>

<file path=word/header1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FCAC1" w14:textId="77777777" w:rsidR="00025543" w:rsidRDefault="0002554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7CBCC" w14:textId="77777777" w:rsidR="00025543" w:rsidRDefault="00025543">
    <w:pPr>
      <w:pStyle w:val="Header"/>
    </w:pPr>
  </w:p>
</w:hdr>
</file>

<file path=word/header1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6D7A0" w14:textId="77777777" w:rsidR="00025543" w:rsidRDefault="00025543">
    <w:pPr>
      <w:pStyle w:val="Header"/>
    </w:pPr>
  </w:p>
</w:hdr>
</file>

<file path=word/header1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40A2F" w14:textId="77777777" w:rsidR="00025543" w:rsidRDefault="00025543">
    <w:pPr>
      <w:pStyle w:val="Header"/>
    </w:pPr>
  </w:p>
</w:hdr>
</file>

<file path=word/header1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5BC40" w14:textId="77777777" w:rsidR="00025543" w:rsidRDefault="00025543">
    <w:pPr>
      <w:pStyle w:val="Header"/>
    </w:pPr>
  </w:p>
</w:hdr>
</file>

<file path=word/header1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67AB2" w14:textId="77777777" w:rsidR="00025543" w:rsidRDefault="00025543">
    <w:pPr>
      <w:pStyle w:val="Header"/>
    </w:pPr>
  </w:p>
</w:hdr>
</file>

<file path=word/header1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EB6D" w14:textId="77777777" w:rsidR="00025543" w:rsidRDefault="00025543">
    <w:pPr>
      <w:pStyle w:val="Header"/>
    </w:pPr>
  </w:p>
</w:hdr>
</file>

<file path=word/header1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CC9E5" w14:textId="77777777" w:rsidR="00025543" w:rsidRDefault="00025543">
    <w:pPr>
      <w:pStyle w:val="Header"/>
    </w:pPr>
  </w:p>
</w:hdr>
</file>

<file path=word/header1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AF64C" w14:textId="77777777" w:rsidR="00025543" w:rsidRDefault="00025543">
    <w:pPr>
      <w:pStyle w:val="Header"/>
    </w:pPr>
  </w:p>
</w:hdr>
</file>

<file path=word/header1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CDD86" w14:textId="77777777" w:rsidR="00025543" w:rsidRDefault="00025543">
    <w:pPr>
      <w:pStyle w:val="Header"/>
    </w:pPr>
  </w:p>
</w:hdr>
</file>

<file path=word/header1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B6B4F" w14:textId="77777777" w:rsidR="00025543" w:rsidRDefault="00025543">
    <w:pPr>
      <w:pStyle w:val="Header"/>
    </w:pPr>
  </w:p>
</w:hdr>
</file>

<file path=word/header1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7E56F" w14:textId="77777777" w:rsidR="00025543" w:rsidRDefault="0002554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BF8DD" w14:textId="77777777" w:rsidR="00025543" w:rsidRDefault="00025543">
    <w:pPr>
      <w:pStyle w:val="Header"/>
    </w:pPr>
  </w:p>
</w:hdr>
</file>

<file path=word/header1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1AB8D" w14:textId="77777777" w:rsidR="00025543" w:rsidRDefault="00025543">
    <w:pPr>
      <w:pStyle w:val="Header"/>
    </w:pPr>
  </w:p>
</w:hdr>
</file>

<file path=word/header1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74048" w14:textId="77777777" w:rsidR="00025543" w:rsidRDefault="00025543">
    <w:pPr>
      <w:pStyle w:val="Header"/>
    </w:pPr>
  </w:p>
</w:hdr>
</file>

<file path=word/header1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E78C8" w14:textId="77777777" w:rsidR="00025543" w:rsidRDefault="00025543">
    <w:pPr>
      <w:pStyle w:val="Header"/>
    </w:pPr>
  </w:p>
</w:hdr>
</file>

<file path=word/header1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C3450" w14:textId="77777777" w:rsidR="00025543" w:rsidRDefault="00025543">
    <w:pPr>
      <w:pStyle w:val="Header"/>
    </w:pPr>
  </w:p>
</w:hdr>
</file>

<file path=word/header1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B2CA" w14:textId="77777777" w:rsidR="00025543" w:rsidRDefault="00025543">
    <w:pPr>
      <w:pStyle w:val="Header"/>
    </w:pPr>
  </w:p>
</w:hdr>
</file>

<file path=word/header1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5B1F" w14:textId="77777777" w:rsidR="00025543" w:rsidRDefault="00025543">
    <w:pPr>
      <w:pStyle w:val="Header"/>
    </w:pPr>
  </w:p>
</w:hdr>
</file>

<file path=word/header1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45B29" w14:textId="77777777" w:rsidR="00025543" w:rsidRDefault="00025543">
    <w:pPr>
      <w:pStyle w:val="Header"/>
    </w:pPr>
  </w:p>
</w:hdr>
</file>

<file path=word/header1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0913A" w14:textId="77777777" w:rsidR="00025543" w:rsidRDefault="00025543">
    <w:pPr>
      <w:pStyle w:val="Header"/>
    </w:pPr>
  </w:p>
</w:hdr>
</file>

<file path=word/header1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BD0FC" w14:textId="77777777" w:rsidR="00025543" w:rsidRDefault="00025543">
    <w:pPr>
      <w:pStyle w:val="Header"/>
    </w:pPr>
  </w:p>
</w:hdr>
</file>

<file path=word/header1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77FD7" w14:textId="77777777" w:rsidR="00025543" w:rsidRDefault="0002554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37CC2" w14:textId="77777777" w:rsidR="00025543" w:rsidRDefault="00025543">
    <w:pPr>
      <w:pStyle w:val="Header"/>
    </w:pPr>
  </w:p>
</w:hdr>
</file>

<file path=word/header1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04884" w14:textId="77777777" w:rsidR="00025543" w:rsidRDefault="00025543">
    <w:pPr>
      <w:pStyle w:val="Header"/>
    </w:pPr>
  </w:p>
</w:hdr>
</file>

<file path=word/header1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8B9D" w14:textId="77777777" w:rsidR="00025543" w:rsidRDefault="00025543">
    <w:pPr>
      <w:pStyle w:val="Header"/>
    </w:pPr>
  </w:p>
</w:hdr>
</file>

<file path=word/header1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06650" w14:textId="77777777" w:rsidR="00025543" w:rsidRDefault="00025543">
    <w:pPr>
      <w:pStyle w:val="Header"/>
    </w:pPr>
  </w:p>
</w:hdr>
</file>

<file path=word/header1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EB489" w14:textId="77777777" w:rsidR="00025543" w:rsidRDefault="00025543">
    <w:pPr>
      <w:pStyle w:val="Header"/>
    </w:pPr>
  </w:p>
</w:hdr>
</file>

<file path=word/header1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2B66E" w14:textId="77777777" w:rsidR="00025543" w:rsidRDefault="00025543">
    <w:pPr>
      <w:pStyle w:val="Header"/>
    </w:pPr>
  </w:p>
</w:hdr>
</file>

<file path=word/header1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11F53" w14:textId="77777777" w:rsidR="00025543" w:rsidRDefault="00025543">
    <w:pPr>
      <w:pStyle w:val="Header"/>
    </w:pPr>
  </w:p>
</w:hdr>
</file>

<file path=word/header1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0D2A3" w14:textId="77777777" w:rsidR="00025543" w:rsidRDefault="00025543">
    <w:pPr>
      <w:pStyle w:val="Header"/>
    </w:pPr>
  </w:p>
</w:hdr>
</file>

<file path=word/header1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659B2" w14:textId="77777777" w:rsidR="00025543" w:rsidRDefault="00025543">
    <w:pPr>
      <w:pStyle w:val="Header"/>
    </w:pPr>
  </w:p>
</w:hdr>
</file>

<file path=word/header1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DEFAA" w14:textId="77777777" w:rsidR="00025543" w:rsidRDefault="00025543">
    <w:pPr>
      <w:pStyle w:val="Header"/>
    </w:pPr>
  </w:p>
</w:hdr>
</file>

<file path=word/header1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898A3" w14:textId="77777777" w:rsidR="00025543" w:rsidRDefault="0002554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48842" w14:textId="77777777" w:rsidR="00025543" w:rsidRDefault="00025543">
    <w:pPr>
      <w:pStyle w:val="Header"/>
    </w:pPr>
  </w:p>
</w:hdr>
</file>

<file path=word/header1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4ED5E" w14:textId="77777777" w:rsidR="00025543" w:rsidRDefault="00025543">
    <w:pPr>
      <w:pStyle w:val="Header"/>
    </w:pPr>
  </w:p>
</w:hdr>
</file>

<file path=word/header1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89217" w14:textId="77777777" w:rsidR="00025543" w:rsidRDefault="00025543">
    <w:pPr>
      <w:pStyle w:val="Header"/>
    </w:pPr>
  </w:p>
</w:hdr>
</file>

<file path=word/header1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2940C" w14:textId="77777777" w:rsidR="00025543" w:rsidRDefault="00025543">
    <w:pPr>
      <w:pStyle w:val="Header"/>
    </w:pPr>
  </w:p>
</w:hdr>
</file>

<file path=word/header1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00C8E" w14:textId="77777777" w:rsidR="00025543" w:rsidRDefault="00025543">
    <w:pPr>
      <w:pStyle w:val="Header"/>
    </w:pPr>
  </w:p>
</w:hdr>
</file>

<file path=word/header1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A552F" w14:textId="77777777" w:rsidR="00025543" w:rsidRDefault="00025543">
    <w:pPr>
      <w:pStyle w:val="Header"/>
    </w:pPr>
  </w:p>
</w:hdr>
</file>

<file path=word/header1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09E1A" w14:textId="77777777" w:rsidR="00025543" w:rsidRDefault="00025543">
    <w:pPr>
      <w:pStyle w:val="Header"/>
    </w:pPr>
  </w:p>
</w:hdr>
</file>

<file path=word/header1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51AC7" w14:textId="77777777" w:rsidR="00025543" w:rsidRDefault="00025543">
    <w:pPr>
      <w:pStyle w:val="Header"/>
    </w:pPr>
  </w:p>
</w:hdr>
</file>

<file path=word/header1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C0BBC" w14:textId="77777777" w:rsidR="00025543" w:rsidRDefault="00025543">
    <w:pPr>
      <w:pStyle w:val="Header"/>
    </w:pPr>
  </w:p>
</w:hdr>
</file>

<file path=word/header1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426EE" w14:textId="77777777" w:rsidR="00025543" w:rsidRDefault="00025543">
    <w:pPr>
      <w:pStyle w:val="Header"/>
    </w:pPr>
  </w:p>
</w:hdr>
</file>

<file path=word/header1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B5D0A" w14:textId="77777777" w:rsidR="00025543" w:rsidRDefault="0002554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B4FF5" w14:textId="77777777" w:rsidR="00025543" w:rsidRDefault="00025543">
    <w:pPr>
      <w:pStyle w:val="Header"/>
    </w:pPr>
  </w:p>
</w:hdr>
</file>

<file path=word/header1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E54A" w14:textId="77777777" w:rsidR="00025543" w:rsidRDefault="00025543">
    <w:pPr>
      <w:pStyle w:val="Header"/>
    </w:pPr>
  </w:p>
</w:hdr>
</file>

<file path=word/header1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79CA1" w14:textId="77777777" w:rsidR="00025543" w:rsidRDefault="00025543">
    <w:pPr>
      <w:pStyle w:val="Header"/>
    </w:pPr>
  </w:p>
</w:hdr>
</file>

<file path=word/header1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2B433" w14:textId="77777777" w:rsidR="00025543" w:rsidRDefault="00025543">
    <w:pPr>
      <w:pStyle w:val="Header"/>
    </w:pPr>
  </w:p>
</w:hdr>
</file>

<file path=word/header1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CC8B2" w14:textId="77777777" w:rsidR="00025543" w:rsidRDefault="00025543">
    <w:pPr>
      <w:pStyle w:val="Header"/>
    </w:pPr>
  </w:p>
</w:hdr>
</file>

<file path=word/header1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66477" w14:textId="77777777" w:rsidR="00025543" w:rsidRDefault="00025543">
    <w:pPr>
      <w:pStyle w:val="Header"/>
    </w:pPr>
  </w:p>
</w:hdr>
</file>

<file path=word/header1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6997F" w14:textId="77777777" w:rsidR="00025543" w:rsidRDefault="00025543">
    <w:pPr>
      <w:pStyle w:val="Header"/>
    </w:pPr>
  </w:p>
</w:hdr>
</file>

<file path=word/header1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184DC" w14:textId="77777777" w:rsidR="00025543" w:rsidRDefault="00025543">
    <w:pPr>
      <w:pStyle w:val="Header"/>
    </w:pPr>
  </w:p>
</w:hdr>
</file>

<file path=word/header1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80544" w14:textId="77777777" w:rsidR="00025543" w:rsidRDefault="00025543">
    <w:pPr>
      <w:pStyle w:val="Header"/>
    </w:pPr>
  </w:p>
</w:hdr>
</file>

<file path=word/header1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9B0E2" w14:textId="77777777" w:rsidR="00025543" w:rsidRDefault="00025543">
    <w:pPr>
      <w:pStyle w:val="Header"/>
    </w:pPr>
  </w:p>
</w:hdr>
</file>

<file path=word/header1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47DE8" w14:textId="77777777" w:rsidR="00025543" w:rsidRDefault="00025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77DA6" w14:textId="77777777" w:rsidR="00B91265" w:rsidRPr="00B91265" w:rsidRDefault="00B91265" w:rsidP="00B91265">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9F816" w14:textId="77777777" w:rsidR="00025543" w:rsidRDefault="00025543">
    <w:pPr>
      <w:pStyle w:val="Header"/>
    </w:pPr>
  </w:p>
</w:hdr>
</file>

<file path=word/header2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682A3" w14:textId="77777777" w:rsidR="00025543" w:rsidRDefault="00025543">
    <w:pPr>
      <w:pStyle w:val="Header"/>
    </w:pPr>
  </w:p>
</w:hdr>
</file>

<file path=word/header2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681F3" w14:textId="77777777" w:rsidR="00025543" w:rsidRDefault="00025543">
    <w:pPr>
      <w:pStyle w:val="Header"/>
    </w:pPr>
  </w:p>
</w:hdr>
</file>

<file path=word/header2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6D93D" w14:textId="77777777" w:rsidR="00025543" w:rsidRDefault="00025543">
    <w:pPr>
      <w:pStyle w:val="Header"/>
    </w:pPr>
  </w:p>
</w:hdr>
</file>

<file path=word/header2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FBA19" w14:textId="77777777" w:rsidR="00025543" w:rsidRDefault="00025543">
    <w:pPr>
      <w:pStyle w:val="Header"/>
    </w:pPr>
  </w:p>
</w:hdr>
</file>

<file path=word/header2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C8666" w14:textId="77777777" w:rsidR="00025543" w:rsidRDefault="00025543">
    <w:pPr>
      <w:pStyle w:val="Header"/>
    </w:pPr>
  </w:p>
</w:hdr>
</file>

<file path=word/header2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AA060" w14:textId="77777777" w:rsidR="00025543" w:rsidRDefault="00025543">
    <w:pPr>
      <w:pStyle w:val="Header"/>
    </w:pPr>
  </w:p>
</w:hdr>
</file>

<file path=word/header2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DF3C8" w14:textId="77777777" w:rsidR="00025543" w:rsidRDefault="00025543">
    <w:pPr>
      <w:pStyle w:val="Header"/>
    </w:pPr>
  </w:p>
</w:hdr>
</file>

<file path=word/header2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6D707" w14:textId="77777777" w:rsidR="00025543" w:rsidRDefault="00025543">
    <w:pPr>
      <w:pStyle w:val="Header"/>
    </w:pPr>
  </w:p>
</w:hdr>
</file>

<file path=word/header2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51002" w14:textId="77777777" w:rsidR="00025543" w:rsidRDefault="00025543">
    <w:pPr>
      <w:pStyle w:val="Header"/>
    </w:pPr>
  </w:p>
</w:hdr>
</file>

<file path=word/header2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B7B6B" w14:textId="77777777" w:rsidR="00025543" w:rsidRDefault="0002554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7BAE4" w14:textId="77777777" w:rsidR="00025543" w:rsidRDefault="00025543">
    <w:pPr>
      <w:pStyle w:val="Header"/>
    </w:pPr>
  </w:p>
</w:hdr>
</file>

<file path=word/header2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F4B5E" w14:textId="77777777" w:rsidR="00025543" w:rsidRDefault="00025543">
    <w:pPr>
      <w:pStyle w:val="Header"/>
    </w:pPr>
  </w:p>
</w:hdr>
</file>

<file path=word/header2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DA37E" w14:textId="77777777" w:rsidR="00025543" w:rsidRDefault="00025543">
    <w:pPr>
      <w:pStyle w:val="Header"/>
    </w:pPr>
  </w:p>
</w:hdr>
</file>

<file path=word/header2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BF712" w14:textId="77777777" w:rsidR="00025543" w:rsidRDefault="00025543">
    <w:pPr>
      <w:pStyle w:val="Header"/>
    </w:pPr>
  </w:p>
</w:hdr>
</file>

<file path=word/header2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CCD1A" w14:textId="77777777" w:rsidR="00025543" w:rsidRDefault="00025543">
    <w:pPr>
      <w:pStyle w:val="Header"/>
    </w:pPr>
  </w:p>
</w:hdr>
</file>

<file path=word/header2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A9838" w14:textId="77777777" w:rsidR="00025543" w:rsidRDefault="00025543">
    <w:pPr>
      <w:pStyle w:val="Header"/>
    </w:pPr>
  </w:p>
</w:hdr>
</file>

<file path=word/header2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0865D" w14:textId="77777777" w:rsidR="00025543" w:rsidRDefault="00025543">
    <w:pPr>
      <w:pStyle w:val="Header"/>
    </w:pPr>
  </w:p>
</w:hdr>
</file>

<file path=word/header2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58F2F" w14:textId="77777777" w:rsidR="00025543" w:rsidRDefault="00025543">
    <w:pPr>
      <w:pStyle w:val="Header"/>
    </w:pPr>
  </w:p>
</w:hdr>
</file>

<file path=word/header2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8ECAC" w14:textId="77777777" w:rsidR="00025543" w:rsidRDefault="00025543">
    <w:pPr>
      <w:pStyle w:val="Header"/>
    </w:pPr>
  </w:p>
</w:hdr>
</file>

<file path=word/header2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A0CA2" w14:textId="77777777" w:rsidR="00025543" w:rsidRDefault="00025543">
    <w:pPr>
      <w:pStyle w:val="Header"/>
    </w:pPr>
  </w:p>
</w:hdr>
</file>

<file path=word/header2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93748" w14:textId="77777777" w:rsidR="00025543" w:rsidRDefault="00025543">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C3170" w14:textId="77777777" w:rsidR="00025543" w:rsidRDefault="00025543">
    <w:pPr>
      <w:pStyle w:val="Header"/>
    </w:pPr>
  </w:p>
</w:hdr>
</file>

<file path=word/header2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7CF94" w14:textId="77777777" w:rsidR="00025543" w:rsidRDefault="00025543">
    <w:pPr>
      <w:pStyle w:val="Header"/>
    </w:pPr>
  </w:p>
</w:hdr>
</file>

<file path=word/header2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0F53C" w14:textId="77777777" w:rsidR="00025543" w:rsidRDefault="00025543">
    <w:pPr>
      <w:pStyle w:val="Header"/>
    </w:pPr>
  </w:p>
</w:hdr>
</file>

<file path=word/header2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03870" w14:textId="77777777" w:rsidR="00025543" w:rsidRDefault="00025543">
    <w:pPr>
      <w:pStyle w:val="Header"/>
    </w:pPr>
  </w:p>
</w:hdr>
</file>

<file path=word/header2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C2618" w14:textId="77777777" w:rsidR="00025543" w:rsidRDefault="00025543">
    <w:pPr>
      <w:pStyle w:val="Header"/>
    </w:pPr>
  </w:p>
</w:hdr>
</file>

<file path=word/header2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1DCA5" w14:textId="77777777" w:rsidR="00025543" w:rsidRDefault="00025543">
    <w:pPr>
      <w:pStyle w:val="Header"/>
    </w:pPr>
  </w:p>
</w:hdr>
</file>

<file path=word/header2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FCABE" w14:textId="77777777" w:rsidR="00025543" w:rsidRDefault="00025543">
    <w:pPr>
      <w:pStyle w:val="Header"/>
    </w:pPr>
  </w:p>
</w:hdr>
</file>

<file path=word/header2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48162" w14:textId="77777777" w:rsidR="00025543" w:rsidRDefault="00025543">
    <w:pPr>
      <w:pStyle w:val="Header"/>
    </w:pPr>
  </w:p>
</w:hdr>
</file>

<file path=word/header2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5BCC9" w14:textId="77777777" w:rsidR="00025543" w:rsidRDefault="00025543">
    <w:pPr>
      <w:pStyle w:val="Header"/>
    </w:pPr>
  </w:p>
</w:hdr>
</file>

<file path=word/header2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CC9B5" w14:textId="77777777" w:rsidR="00025543" w:rsidRDefault="00025543">
    <w:pPr>
      <w:pStyle w:val="Header"/>
    </w:pPr>
  </w:p>
</w:hdr>
</file>

<file path=word/header2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4CAFB" w14:textId="77777777" w:rsidR="00025543" w:rsidRDefault="00025543">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5A315" w14:textId="77777777" w:rsidR="00025543" w:rsidRDefault="00025543">
    <w:pPr>
      <w:pStyle w:val="Header"/>
    </w:pPr>
  </w:p>
</w:hdr>
</file>

<file path=word/header2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5976B" w14:textId="77777777" w:rsidR="00025543" w:rsidRDefault="00025543">
    <w:pPr>
      <w:pStyle w:val="Header"/>
    </w:pPr>
  </w:p>
</w:hdr>
</file>

<file path=word/header2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B7F7F" w14:textId="77777777" w:rsidR="00025543" w:rsidRDefault="00025543">
    <w:pPr>
      <w:pStyle w:val="Header"/>
    </w:pPr>
  </w:p>
</w:hdr>
</file>

<file path=word/header2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E27A1" w14:textId="77777777" w:rsidR="00025543" w:rsidRDefault="00025543">
    <w:pPr>
      <w:pStyle w:val="Header"/>
    </w:pPr>
  </w:p>
</w:hdr>
</file>

<file path=word/header2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C8EBC" w14:textId="77777777" w:rsidR="00025543" w:rsidRDefault="00025543">
    <w:pPr>
      <w:pStyle w:val="Header"/>
    </w:pPr>
  </w:p>
</w:hdr>
</file>

<file path=word/header2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D3C29" w14:textId="77777777" w:rsidR="00025543" w:rsidRDefault="00025543">
    <w:pPr>
      <w:pStyle w:val="Header"/>
    </w:pPr>
  </w:p>
</w:hdr>
</file>

<file path=word/header2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A271B" w14:textId="77777777" w:rsidR="00025543" w:rsidRDefault="00025543">
    <w:pPr>
      <w:pStyle w:val="Header"/>
    </w:pPr>
  </w:p>
</w:hdr>
</file>

<file path=word/header2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3EA4A" w14:textId="77777777" w:rsidR="00025543" w:rsidRDefault="00025543">
    <w:pPr>
      <w:pStyle w:val="Header"/>
    </w:pPr>
  </w:p>
</w:hdr>
</file>

<file path=word/header2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B5BAF" w14:textId="77777777" w:rsidR="00025543" w:rsidRDefault="00025543">
    <w:pPr>
      <w:pStyle w:val="Header"/>
    </w:pPr>
  </w:p>
</w:hdr>
</file>

<file path=word/header2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85247" w14:textId="77777777" w:rsidR="00025543" w:rsidRDefault="00025543">
    <w:pPr>
      <w:pStyle w:val="Header"/>
    </w:pPr>
  </w:p>
</w:hdr>
</file>

<file path=word/header2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E248D" w14:textId="77777777" w:rsidR="00025543" w:rsidRDefault="00025543">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3197F" w14:textId="77777777" w:rsidR="00025543" w:rsidRDefault="00025543">
    <w:pPr>
      <w:pStyle w:val="Header"/>
    </w:pPr>
  </w:p>
</w:hdr>
</file>

<file path=word/header2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D906A" w14:textId="77777777" w:rsidR="00025543" w:rsidRDefault="00025543">
    <w:pPr>
      <w:pStyle w:val="Header"/>
    </w:pPr>
  </w:p>
</w:hdr>
</file>

<file path=word/header2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2FB62" w14:textId="77777777" w:rsidR="00025543" w:rsidRDefault="00025543">
    <w:pPr>
      <w:pStyle w:val="Header"/>
    </w:pPr>
  </w:p>
</w:hdr>
</file>

<file path=word/header2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1C083" w14:textId="77777777" w:rsidR="00025543" w:rsidRDefault="00025543">
    <w:pPr>
      <w:pStyle w:val="Header"/>
    </w:pPr>
  </w:p>
</w:hdr>
</file>

<file path=word/header2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E61D1" w14:textId="77777777" w:rsidR="00025543" w:rsidRDefault="00025543">
    <w:pPr>
      <w:pStyle w:val="Header"/>
    </w:pPr>
  </w:p>
</w:hdr>
</file>

<file path=word/header2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0AE36" w14:textId="77777777" w:rsidR="00025543" w:rsidRDefault="00025543">
    <w:pPr>
      <w:pStyle w:val="Header"/>
    </w:pPr>
  </w:p>
</w:hdr>
</file>

<file path=word/header2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9C6EA" w14:textId="77777777" w:rsidR="00025543" w:rsidRDefault="00025543">
    <w:pPr>
      <w:pStyle w:val="Header"/>
    </w:pPr>
  </w:p>
</w:hdr>
</file>

<file path=word/header2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5C301" w14:textId="77777777" w:rsidR="00025543" w:rsidRDefault="00025543">
    <w:pPr>
      <w:pStyle w:val="Header"/>
    </w:pPr>
  </w:p>
</w:hdr>
</file>

<file path=word/header2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DC434" w14:textId="77777777" w:rsidR="00025543" w:rsidRDefault="00025543">
    <w:pPr>
      <w:pStyle w:val="Header"/>
    </w:pPr>
  </w:p>
</w:hdr>
</file>

<file path=word/header2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B7F56" w14:textId="77777777" w:rsidR="00025543" w:rsidRDefault="00025543">
    <w:pPr>
      <w:pStyle w:val="Header"/>
    </w:pPr>
  </w:p>
</w:hdr>
</file>

<file path=word/header2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8E258" w14:textId="77777777" w:rsidR="00025543" w:rsidRDefault="00025543">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7ECC5" w14:textId="77777777" w:rsidR="00025543" w:rsidRDefault="00025543">
    <w:pPr>
      <w:pStyle w:val="Header"/>
    </w:pPr>
  </w:p>
</w:hdr>
</file>

<file path=word/header2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83CC4" w14:textId="77777777" w:rsidR="00025543" w:rsidRDefault="00025543">
    <w:pPr>
      <w:pStyle w:val="Header"/>
    </w:pPr>
  </w:p>
</w:hdr>
</file>

<file path=word/header2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FAC66" w14:textId="77777777" w:rsidR="00025543" w:rsidRDefault="00025543">
    <w:pPr>
      <w:pStyle w:val="Header"/>
    </w:pPr>
  </w:p>
</w:hdr>
</file>

<file path=word/header2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F60C7" w14:textId="77777777" w:rsidR="00025543" w:rsidRDefault="00025543">
    <w:pPr>
      <w:pStyle w:val="Header"/>
    </w:pPr>
  </w:p>
</w:hdr>
</file>

<file path=word/header2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D0C3E" w14:textId="77777777" w:rsidR="00025543" w:rsidRDefault="00025543">
    <w:pPr>
      <w:pStyle w:val="Header"/>
    </w:pPr>
  </w:p>
</w:hdr>
</file>

<file path=word/header2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26563" w14:textId="77777777" w:rsidR="00025543" w:rsidRDefault="00025543">
    <w:pPr>
      <w:pStyle w:val="Header"/>
    </w:pPr>
  </w:p>
</w:hdr>
</file>

<file path=word/header2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B1466" w14:textId="77777777" w:rsidR="00025543" w:rsidRDefault="00025543">
    <w:pPr>
      <w:pStyle w:val="Header"/>
    </w:pPr>
  </w:p>
</w:hdr>
</file>

<file path=word/header2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2E917" w14:textId="77777777" w:rsidR="00025543" w:rsidRDefault="00025543">
    <w:pPr>
      <w:pStyle w:val="Header"/>
    </w:pPr>
  </w:p>
</w:hdr>
</file>

<file path=word/header2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94DE4" w14:textId="77777777" w:rsidR="00025543" w:rsidRDefault="00025543">
    <w:pPr>
      <w:pStyle w:val="Header"/>
    </w:pPr>
  </w:p>
</w:hdr>
</file>

<file path=word/header2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BDC37" w14:textId="77777777" w:rsidR="00025543" w:rsidRDefault="00025543">
    <w:pPr>
      <w:pStyle w:val="Header"/>
    </w:pPr>
  </w:p>
</w:hdr>
</file>

<file path=word/header2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E8D3F" w14:textId="77777777" w:rsidR="00025543" w:rsidRDefault="00025543">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9837E" w14:textId="77777777" w:rsidR="00025543" w:rsidRDefault="00025543">
    <w:pPr>
      <w:pStyle w:val="Header"/>
    </w:pPr>
  </w:p>
</w:hdr>
</file>

<file path=word/header2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F5476" w14:textId="77777777" w:rsidR="00025543" w:rsidRDefault="00025543">
    <w:pPr>
      <w:pStyle w:val="Header"/>
    </w:pPr>
  </w:p>
</w:hdr>
</file>

<file path=word/header2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B8552" w14:textId="77777777" w:rsidR="00025543" w:rsidRDefault="00025543">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AD921" w14:textId="77777777" w:rsidR="00025543" w:rsidRDefault="00025543">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F8104" w14:textId="77777777" w:rsidR="00025543" w:rsidRDefault="00025543">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E9C9A" w14:textId="77777777" w:rsidR="00025543" w:rsidRDefault="000255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D4A08" w14:textId="77777777" w:rsidR="00B91265" w:rsidRPr="00B91265" w:rsidRDefault="00B91265" w:rsidP="00B91265">
    <w:pPr>
      <w:pStyle w:val="HeaderCoverPag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3FF69" w14:textId="77777777" w:rsidR="00025543" w:rsidRDefault="00025543">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5A3AF" w14:textId="77777777" w:rsidR="00025543" w:rsidRDefault="00025543">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83F0C" w14:textId="77777777" w:rsidR="00025543" w:rsidRDefault="00025543">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1201C" w14:textId="77777777" w:rsidR="00025543" w:rsidRDefault="00025543">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4AEC7" w14:textId="77777777" w:rsidR="00025543" w:rsidRDefault="00025543">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C5B9" w14:textId="77777777" w:rsidR="00025543" w:rsidRDefault="00025543">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F62E3" w14:textId="77777777" w:rsidR="00025543" w:rsidRDefault="00025543">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574FA" w14:textId="77777777" w:rsidR="00025543" w:rsidRDefault="00025543">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B4B22" w14:textId="77777777" w:rsidR="00025543" w:rsidRDefault="00025543">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A1F66" w14:textId="77777777" w:rsidR="00025543" w:rsidRDefault="000255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A7B1D" w14:textId="77777777" w:rsidR="00025543" w:rsidRDefault="00025543">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756A3" w14:textId="77777777" w:rsidR="00025543" w:rsidRDefault="00025543">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3CFEF" w14:textId="77777777" w:rsidR="00025543" w:rsidRDefault="00025543">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5DF52" w14:textId="77777777" w:rsidR="00025543" w:rsidRDefault="00025543">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41425" w14:textId="77777777" w:rsidR="00025543" w:rsidRDefault="00025543">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096B" w14:textId="77777777" w:rsidR="00025543" w:rsidRDefault="00025543">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27DC5" w14:textId="77777777" w:rsidR="00025543" w:rsidRDefault="00025543">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696CA" w14:textId="77777777" w:rsidR="00025543" w:rsidRDefault="00025543">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00F49" w14:textId="77777777" w:rsidR="00025543" w:rsidRDefault="00025543">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08D9F" w14:textId="77777777" w:rsidR="00025543" w:rsidRDefault="00025543">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4B81C" w14:textId="77777777" w:rsidR="00025543" w:rsidRDefault="000255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B2051" w14:textId="77777777" w:rsidR="00025543" w:rsidRDefault="00025543">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CB121" w14:textId="77777777" w:rsidR="00025543" w:rsidRDefault="00025543">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FE453" w14:textId="77777777" w:rsidR="00025543" w:rsidRDefault="00025543">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7EBB6" w14:textId="77777777" w:rsidR="00025543" w:rsidRDefault="00025543">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0E91D" w14:textId="77777777" w:rsidR="00025543" w:rsidRDefault="00025543">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22C5F" w14:textId="77777777" w:rsidR="00025543" w:rsidRDefault="00025543">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D4976" w14:textId="77777777" w:rsidR="00025543" w:rsidRDefault="00025543">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3BBAD" w14:textId="77777777" w:rsidR="00025543" w:rsidRDefault="00025543">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01707" w14:textId="77777777" w:rsidR="00025543" w:rsidRDefault="00025543">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E22C5" w14:textId="77777777" w:rsidR="00025543" w:rsidRDefault="00025543">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5285B" w14:textId="77777777" w:rsidR="00025543" w:rsidRDefault="0002554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39264" w14:textId="77777777" w:rsidR="00025543" w:rsidRDefault="00025543">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27BDF" w14:textId="77777777" w:rsidR="00025543" w:rsidRDefault="00025543">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5C9EB" w14:textId="77777777" w:rsidR="00025543" w:rsidRDefault="00025543">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AF1A2" w14:textId="77777777" w:rsidR="00025543" w:rsidRDefault="00025543">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DDFC3" w14:textId="77777777" w:rsidR="00025543" w:rsidRDefault="00025543">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53AB3" w14:textId="77777777" w:rsidR="00025543" w:rsidRDefault="00025543">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FFF59" w14:textId="77777777" w:rsidR="00025543" w:rsidRDefault="00025543">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050D4" w14:textId="77777777" w:rsidR="00025543" w:rsidRDefault="00025543">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C4AE9" w14:textId="77777777" w:rsidR="00025543" w:rsidRDefault="00025543">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EE348" w14:textId="77777777" w:rsidR="00025543" w:rsidRDefault="00025543">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C0940" w14:textId="77777777" w:rsidR="00025543" w:rsidRDefault="0002554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8CC02" w14:textId="77777777" w:rsidR="00025543" w:rsidRDefault="00025543">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7F15C" w14:textId="77777777" w:rsidR="00025543" w:rsidRDefault="00025543">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9C904" w14:textId="77777777" w:rsidR="00025543" w:rsidRDefault="00025543">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B9833" w14:textId="77777777" w:rsidR="00025543" w:rsidRDefault="00025543">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25B6A" w14:textId="77777777" w:rsidR="00025543" w:rsidRDefault="00025543">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2899C" w14:textId="77777777" w:rsidR="00025543" w:rsidRDefault="00025543">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51BB8" w14:textId="77777777" w:rsidR="00025543" w:rsidRDefault="00025543">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78370" w14:textId="77777777" w:rsidR="00025543" w:rsidRDefault="00025543">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FD456" w14:textId="77777777" w:rsidR="00025543" w:rsidRDefault="00025543">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55674" w14:textId="77777777" w:rsidR="00025543" w:rsidRDefault="00025543">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E9B8B" w14:textId="77777777" w:rsidR="00025543" w:rsidRDefault="0002554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EF93F" w14:textId="77777777" w:rsidR="00025543" w:rsidRDefault="00025543">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3C26D" w14:textId="77777777" w:rsidR="00025543" w:rsidRDefault="00025543">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8FFB5" w14:textId="77777777" w:rsidR="00025543" w:rsidRDefault="00025543">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26F12" w14:textId="77777777" w:rsidR="00025543" w:rsidRDefault="00025543">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D8356" w14:textId="77777777" w:rsidR="00025543" w:rsidRDefault="00025543">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D0F45" w14:textId="77777777" w:rsidR="00025543" w:rsidRDefault="00025543">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C0D11" w14:textId="77777777" w:rsidR="00025543" w:rsidRDefault="00025543">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92A81" w14:textId="77777777" w:rsidR="00025543" w:rsidRDefault="00025543">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28FB6" w14:textId="77777777" w:rsidR="00025543" w:rsidRDefault="00025543">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88337" w14:textId="77777777" w:rsidR="00025543" w:rsidRDefault="00025543">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4F4EE" w14:textId="77777777" w:rsidR="00025543" w:rsidRDefault="0002554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0AE2D" w14:textId="77777777" w:rsidR="00025543" w:rsidRDefault="00025543">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BC1B0" w14:textId="77777777" w:rsidR="00025543" w:rsidRDefault="00025543">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EBF6D" w14:textId="77777777" w:rsidR="00025543" w:rsidRDefault="00025543">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CE490" w14:textId="77777777" w:rsidR="00025543" w:rsidRDefault="00025543">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782A2" w14:textId="77777777" w:rsidR="00025543" w:rsidRDefault="00025543">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953E0" w14:textId="77777777" w:rsidR="00025543" w:rsidRDefault="00025543">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49952" w14:textId="77777777" w:rsidR="00025543" w:rsidRDefault="00025543">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8E483" w14:textId="77777777" w:rsidR="00025543" w:rsidRDefault="00025543">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311EF" w14:textId="77777777" w:rsidR="00025543" w:rsidRDefault="00025543">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6CCEA" w14:textId="77777777" w:rsidR="00025543" w:rsidRDefault="00025543">
    <w:pPr>
      <w:pStyle w:val="Header"/>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5775C" w14:textId="77777777" w:rsidR="00025543" w:rsidRDefault="00025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E140CA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5A6272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3C20270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7168214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BC045F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4EC618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788A4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31E9FD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F924CE"/>
    <w:multiLevelType w:val="hybridMultilevel"/>
    <w:tmpl w:val="FFFFFFFF"/>
    <w:lvl w:ilvl="0" w:tplc="EE90CC04">
      <w:start w:val="3"/>
      <w:numFmt w:val="lowerRoman"/>
      <w:lvlText w:val="%1."/>
      <w:lvlJc w:val="right"/>
      <w:pPr>
        <w:ind w:left="1080" w:hanging="360"/>
      </w:pPr>
    </w:lvl>
    <w:lvl w:ilvl="1" w:tplc="66D6AE6E">
      <w:start w:val="1"/>
      <w:numFmt w:val="lowerLetter"/>
      <w:lvlText w:val="%2."/>
      <w:lvlJc w:val="left"/>
      <w:pPr>
        <w:ind w:left="1440" w:hanging="360"/>
      </w:pPr>
    </w:lvl>
    <w:lvl w:ilvl="2" w:tplc="5488540A">
      <w:start w:val="1"/>
      <w:numFmt w:val="lowerRoman"/>
      <w:lvlText w:val="%3."/>
      <w:lvlJc w:val="right"/>
      <w:pPr>
        <w:ind w:left="2160" w:hanging="180"/>
      </w:pPr>
    </w:lvl>
    <w:lvl w:ilvl="3" w:tplc="56488E4E">
      <w:start w:val="1"/>
      <w:numFmt w:val="decimal"/>
      <w:lvlText w:val="%4."/>
      <w:lvlJc w:val="left"/>
      <w:pPr>
        <w:ind w:left="2880" w:hanging="360"/>
      </w:pPr>
    </w:lvl>
    <w:lvl w:ilvl="4" w:tplc="F170034C">
      <w:start w:val="1"/>
      <w:numFmt w:val="lowerLetter"/>
      <w:lvlText w:val="%5."/>
      <w:lvlJc w:val="left"/>
      <w:pPr>
        <w:ind w:left="3600" w:hanging="360"/>
      </w:pPr>
    </w:lvl>
    <w:lvl w:ilvl="5" w:tplc="E3FE4638">
      <w:start w:val="1"/>
      <w:numFmt w:val="lowerRoman"/>
      <w:lvlText w:val="%6."/>
      <w:lvlJc w:val="right"/>
      <w:pPr>
        <w:ind w:left="4320" w:hanging="180"/>
      </w:pPr>
    </w:lvl>
    <w:lvl w:ilvl="6" w:tplc="5CEC40F0">
      <w:start w:val="1"/>
      <w:numFmt w:val="decimal"/>
      <w:lvlText w:val="%7."/>
      <w:lvlJc w:val="left"/>
      <w:pPr>
        <w:ind w:left="5040" w:hanging="360"/>
      </w:pPr>
    </w:lvl>
    <w:lvl w:ilvl="7" w:tplc="90A6C442">
      <w:start w:val="1"/>
      <w:numFmt w:val="lowerLetter"/>
      <w:lvlText w:val="%8."/>
      <w:lvlJc w:val="left"/>
      <w:pPr>
        <w:ind w:left="5760" w:hanging="360"/>
      </w:pPr>
    </w:lvl>
    <w:lvl w:ilvl="8" w:tplc="92DEFC50">
      <w:start w:val="1"/>
      <w:numFmt w:val="lowerRoman"/>
      <w:lvlText w:val="%9."/>
      <w:lvlJc w:val="right"/>
      <w:pPr>
        <w:ind w:left="6480" w:hanging="180"/>
      </w:pPr>
    </w:lvl>
  </w:abstractNum>
  <w:abstractNum w:abstractNumId="9" w15:restartNumberingAfterBreak="0">
    <w:nsid w:val="011FC85E"/>
    <w:multiLevelType w:val="hybridMultilevel"/>
    <w:tmpl w:val="FFFFFFFF"/>
    <w:lvl w:ilvl="0" w:tplc="0BD64D90">
      <w:start w:val="1"/>
      <w:numFmt w:val="bullet"/>
      <w:lvlText w:val="-"/>
      <w:lvlJc w:val="left"/>
      <w:pPr>
        <w:ind w:left="1080" w:hanging="360"/>
      </w:pPr>
      <w:rPr>
        <w:rFonts w:ascii="MS Gothic" w:hAnsi="MS Gothic" w:hint="default"/>
      </w:rPr>
    </w:lvl>
    <w:lvl w:ilvl="1" w:tplc="E35E2FA6">
      <w:start w:val="1"/>
      <w:numFmt w:val="bullet"/>
      <w:lvlText w:val="o"/>
      <w:lvlJc w:val="left"/>
      <w:pPr>
        <w:ind w:left="1440" w:hanging="360"/>
      </w:pPr>
      <w:rPr>
        <w:rFonts w:ascii="Courier New" w:hAnsi="Courier New" w:hint="default"/>
      </w:rPr>
    </w:lvl>
    <w:lvl w:ilvl="2" w:tplc="6AE2C2BA">
      <w:start w:val="1"/>
      <w:numFmt w:val="bullet"/>
      <w:lvlText w:val=""/>
      <w:lvlJc w:val="left"/>
      <w:pPr>
        <w:ind w:left="2160" w:hanging="360"/>
      </w:pPr>
      <w:rPr>
        <w:rFonts w:ascii="Wingdings" w:hAnsi="Wingdings" w:hint="default"/>
      </w:rPr>
    </w:lvl>
    <w:lvl w:ilvl="3" w:tplc="06289296">
      <w:start w:val="1"/>
      <w:numFmt w:val="bullet"/>
      <w:lvlText w:val=""/>
      <w:lvlJc w:val="left"/>
      <w:pPr>
        <w:ind w:left="2880" w:hanging="360"/>
      </w:pPr>
      <w:rPr>
        <w:rFonts w:ascii="Symbol" w:hAnsi="Symbol" w:hint="default"/>
      </w:rPr>
    </w:lvl>
    <w:lvl w:ilvl="4" w:tplc="2152CAF6">
      <w:start w:val="1"/>
      <w:numFmt w:val="bullet"/>
      <w:lvlText w:val="o"/>
      <w:lvlJc w:val="left"/>
      <w:pPr>
        <w:ind w:left="3600" w:hanging="360"/>
      </w:pPr>
      <w:rPr>
        <w:rFonts w:ascii="Courier New" w:hAnsi="Courier New" w:hint="default"/>
      </w:rPr>
    </w:lvl>
    <w:lvl w:ilvl="5" w:tplc="B572839C">
      <w:start w:val="1"/>
      <w:numFmt w:val="bullet"/>
      <w:lvlText w:val=""/>
      <w:lvlJc w:val="left"/>
      <w:pPr>
        <w:ind w:left="4320" w:hanging="360"/>
      </w:pPr>
      <w:rPr>
        <w:rFonts w:ascii="Wingdings" w:hAnsi="Wingdings" w:hint="default"/>
      </w:rPr>
    </w:lvl>
    <w:lvl w:ilvl="6" w:tplc="5E58AE68">
      <w:start w:val="1"/>
      <w:numFmt w:val="bullet"/>
      <w:lvlText w:val=""/>
      <w:lvlJc w:val="left"/>
      <w:pPr>
        <w:ind w:left="5040" w:hanging="360"/>
      </w:pPr>
      <w:rPr>
        <w:rFonts w:ascii="Symbol" w:hAnsi="Symbol" w:hint="default"/>
      </w:rPr>
    </w:lvl>
    <w:lvl w:ilvl="7" w:tplc="4AF4F320">
      <w:start w:val="1"/>
      <w:numFmt w:val="bullet"/>
      <w:lvlText w:val="o"/>
      <w:lvlJc w:val="left"/>
      <w:pPr>
        <w:ind w:left="5760" w:hanging="360"/>
      </w:pPr>
      <w:rPr>
        <w:rFonts w:ascii="Courier New" w:hAnsi="Courier New" w:hint="default"/>
      </w:rPr>
    </w:lvl>
    <w:lvl w:ilvl="8" w:tplc="9B9AE95E">
      <w:start w:val="1"/>
      <w:numFmt w:val="bullet"/>
      <w:lvlText w:val=""/>
      <w:lvlJc w:val="left"/>
      <w:pPr>
        <w:ind w:left="6480" w:hanging="360"/>
      </w:pPr>
      <w:rPr>
        <w:rFonts w:ascii="Wingdings" w:hAnsi="Wingdings" w:hint="default"/>
      </w:rPr>
    </w:lvl>
  </w:abstractNum>
  <w:abstractNum w:abstractNumId="10" w15:restartNumberingAfterBreak="0">
    <w:nsid w:val="0145F627"/>
    <w:multiLevelType w:val="hybridMultilevel"/>
    <w:tmpl w:val="FFFFFFFF"/>
    <w:lvl w:ilvl="0" w:tplc="2ECCB0EC">
      <w:start w:val="1"/>
      <w:numFmt w:val="bullet"/>
      <w:lvlText w:val=""/>
      <w:lvlJc w:val="left"/>
      <w:pPr>
        <w:ind w:left="720" w:hanging="360"/>
      </w:pPr>
      <w:rPr>
        <w:rFonts w:ascii="Symbol" w:hAnsi="Symbol" w:hint="default"/>
      </w:rPr>
    </w:lvl>
    <w:lvl w:ilvl="1" w:tplc="BBE6EC84">
      <w:start w:val="1"/>
      <w:numFmt w:val="bullet"/>
      <w:lvlText w:val="o"/>
      <w:lvlJc w:val="left"/>
      <w:pPr>
        <w:ind w:left="1440" w:hanging="360"/>
      </w:pPr>
      <w:rPr>
        <w:rFonts w:ascii="Courier New" w:hAnsi="Courier New" w:hint="default"/>
      </w:rPr>
    </w:lvl>
    <w:lvl w:ilvl="2" w:tplc="1F9E7946">
      <w:start w:val="1"/>
      <w:numFmt w:val="bullet"/>
      <w:lvlText w:val=""/>
      <w:lvlJc w:val="left"/>
      <w:pPr>
        <w:ind w:left="2160" w:hanging="360"/>
      </w:pPr>
      <w:rPr>
        <w:rFonts w:ascii="Wingdings" w:hAnsi="Wingdings" w:hint="default"/>
      </w:rPr>
    </w:lvl>
    <w:lvl w:ilvl="3" w:tplc="E6D07916">
      <w:start w:val="1"/>
      <w:numFmt w:val="bullet"/>
      <w:lvlText w:val=""/>
      <w:lvlJc w:val="left"/>
      <w:pPr>
        <w:ind w:left="2880" w:hanging="360"/>
      </w:pPr>
      <w:rPr>
        <w:rFonts w:ascii="Symbol" w:hAnsi="Symbol" w:hint="default"/>
      </w:rPr>
    </w:lvl>
    <w:lvl w:ilvl="4" w:tplc="C4B6F226">
      <w:start w:val="1"/>
      <w:numFmt w:val="bullet"/>
      <w:lvlText w:val="o"/>
      <w:lvlJc w:val="left"/>
      <w:pPr>
        <w:ind w:left="3600" w:hanging="360"/>
      </w:pPr>
      <w:rPr>
        <w:rFonts w:ascii="Courier New" w:hAnsi="Courier New" w:hint="default"/>
      </w:rPr>
    </w:lvl>
    <w:lvl w:ilvl="5" w:tplc="278A2CEC">
      <w:start w:val="1"/>
      <w:numFmt w:val="bullet"/>
      <w:lvlText w:val=""/>
      <w:lvlJc w:val="left"/>
      <w:pPr>
        <w:ind w:left="4320" w:hanging="360"/>
      </w:pPr>
      <w:rPr>
        <w:rFonts w:ascii="Wingdings" w:hAnsi="Wingdings" w:hint="default"/>
      </w:rPr>
    </w:lvl>
    <w:lvl w:ilvl="6" w:tplc="CE041366">
      <w:start w:val="1"/>
      <w:numFmt w:val="bullet"/>
      <w:lvlText w:val=""/>
      <w:lvlJc w:val="left"/>
      <w:pPr>
        <w:ind w:left="5040" w:hanging="360"/>
      </w:pPr>
      <w:rPr>
        <w:rFonts w:ascii="Symbol" w:hAnsi="Symbol" w:hint="default"/>
      </w:rPr>
    </w:lvl>
    <w:lvl w:ilvl="7" w:tplc="91E451D0">
      <w:start w:val="1"/>
      <w:numFmt w:val="bullet"/>
      <w:lvlText w:val="o"/>
      <w:lvlJc w:val="left"/>
      <w:pPr>
        <w:ind w:left="5760" w:hanging="360"/>
      </w:pPr>
      <w:rPr>
        <w:rFonts w:ascii="Courier New" w:hAnsi="Courier New" w:hint="default"/>
      </w:rPr>
    </w:lvl>
    <w:lvl w:ilvl="8" w:tplc="E8AA5FC6">
      <w:start w:val="1"/>
      <w:numFmt w:val="bullet"/>
      <w:lvlText w:val=""/>
      <w:lvlJc w:val="left"/>
      <w:pPr>
        <w:ind w:left="6480" w:hanging="360"/>
      </w:pPr>
      <w:rPr>
        <w:rFonts w:ascii="Wingdings" w:hAnsi="Wingdings" w:hint="default"/>
      </w:rPr>
    </w:lvl>
  </w:abstractNum>
  <w:abstractNum w:abstractNumId="11" w15:restartNumberingAfterBreak="0">
    <w:nsid w:val="017B63D1"/>
    <w:multiLevelType w:val="hybridMultilevel"/>
    <w:tmpl w:val="FFFFFFFF"/>
    <w:lvl w:ilvl="0" w:tplc="7B7A8F3C">
      <w:start w:val="1"/>
      <w:numFmt w:val="lowerRoman"/>
      <w:lvlText w:val="%1."/>
      <w:lvlJc w:val="right"/>
      <w:pPr>
        <w:ind w:left="1070" w:hanging="360"/>
      </w:pPr>
    </w:lvl>
    <w:lvl w:ilvl="1" w:tplc="5E58DB04">
      <w:start w:val="1"/>
      <w:numFmt w:val="lowerLetter"/>
      <w:lvlText w:val="%2."/>
      <w:lvlJc w:val="left"/>
      <w:pPr>
        <w:ind w:left="1440" w:hanging="360"/>
      </w:pPr>
    </w:lvl>
    <w:lvl w:ilvl="2" w:tplc="E0D277DA">
      <w:start w:val="1"/>
      <w:numFmt w:val="lowerRoman"/>
      <w:lvlText w:val="%3."/>
      <w:lvlJc w:val="right"/>
      <w:pPr>
        <w:ind w:left="2160" w:hanging="180"/>
      </w:pPr>
    </w:lvl>
    <w:lvl w:ilvl="3" w:tplc="689CB9BA">
      <w:start w:val="1"/>
      <w:numFmt w:val="decimal"/>
      <w:lvlText w:val="%4."/>
      <w:lvlJc w:val="left"/>
      <w:pPr>
        <w:ind w:left="2880" w:hanging="360"/>
      </w:pPr>
    </w:lvl>
    <w:lvl w:ilvl="4" w:tplc="9ACC2572">
      <w:start w:val="1"/>
      <w:numFmt w:val="lowerLetter"/>
      <w:lvlText w:val="%5."/>
      <w:lvlJc w:val="left"/>
      <w:pPr>
        <w:ind w:left="3600" w:hanging="360"/>
      </w:pPr>
    </w:lvl>
    <w:lvl w:ilvl="5" w:tplc="142A126A">
      <w:start w:val="1"/>
      <w:numFmt w:val="lowerRoman"/>
      <w:lvlText w:val="%6."/>
      <w:lvlJc w:val="right"/>
      <w:pPr>
        <w:ind w:left="4320" w:hanging="180"/>
      </w:pPr>
    </w:lvl>
    <w:lvl w:ilvl="6" w:tplc="C434A750">
      <w:start w:val="1"/>
      <w:numFmt w:val="decimal"/>
      <w:lvlText w:val="%7."/>
      <w:lvlJc w:val="left"/>
      <w:pPr>
        <w:ind w:left="5040" w:hanging="360"/>
      </w:pPr>
    </w:lvl>
    <w:lvl w:ilvl="7" w:tplc="521A037E">
      <w:start w:val="1"/>
      <w:numFmt w:val="lowerLetter"/>
      <w:lvlText w:val="%8."/>
      <w:lvlJc w:val="left"/>
      <w:pPr>
        <w:ind w:left="5760" w:hanging="360"/>
      </w:pPr>
    </w:lvl>
    <w:lvl w:ilvl="8" w:tplc="3BD02D3C">
      <w:start w:val="1"/>
      <w:numFmt w:val="lowerRoman"/>
      <w:lvlText w:val="%9."/>
      <w:lvlJc w:val="right"/>
      <w:pPr>
        <w:ind w:left="6480" w:hanging="180"/>
      </w:pPr>
    </w:lvl>
  </w:abstractNum>
  <w:abstractNum w:abstractNumId="12" w15:restartNumberingAfterBreak="0">
    <w:nsid w:val="01D0AC7F"/>
    <w:multiLevelType w:val="hybridMultilevel"/>
    <w:tmpl w:val="FFFFFFFF"/>
    <w:lvl w:ilvl="0" w:tplc="8996D45A">
      <w:start w:val="1"/>
      <w:numFmt w:val="bullet"/>
      <w:lvlText w:val="o"/>
      <w:lvlJc w:val="left"/>
      <w:pPr>
        <w:ind w:left="1080" w:hanging="360"/>
      </w:pPr>
      <w:rPr>
        <w:rFonts w:ascii="Courier New" w:hAnsi="Courier New" w:hint="default"/>
      </w:rPr>
    </w:lvl>
    <w:lvl w:ilvl="1" w:tplc="F87EC29C">
      <w:start w:val="1"/>
      <w:numFmt w:val="bullet"/>
      <w:lvlText w:val="o"/>
      <w:lvlJc w:val="left"/>
      <w:pPr>
        <w:ind w:left="1440" w:hanging="360"/>
      </w:pPr>
      <w:rPr>
        <w:rFonts w:ascii="Courier New" w:hAnsi="Courier New" w:hint="default"/>
      </w:rPr>
    </w:lvl>
    <w:lvl w:ilvl="2" w:tplc="5726AA20">
      <w:start w:val="1"/>
      <w:numFmt w:val="bullet"/>
      <w:lvlText w:val=""/>
      <w:lvlJc w:val="left"/>
      <w:pPr>
        <w:ind w:left="2160" w:hanging="360"/>
      </w:pPr>
      <w:rPr>
        <w:rFonts w:ascii="Wingdings" w:hAnsi="Wingdings" w:hint="default"/>
      </w:rPr>
    </w:lvl>
    <w:lvl w:ilvl="3" w:tplc="0DBE6DFA">
      <w:start w:val="1"/>
      <w:numFmt w:val="bullet"/>
      <w:lvlText w:val=""/>
      <w:lvlJc w:val="left"/>
      <w:pPr>
        <w:ind w:left="2880" w:hanging="360"/>
      </w:pPr>
      <w:rPr>
        <w:rFonts w:ascii="Symbol" w:hAnsi="Symbol" w:hint="default"/>
      </w:rPr>
    </w:lvl>
    <w:lvl w:ilvl="4" w:tplc="9E42DE72">
      <w:start w:val="1"/>
      <w:numFmt w:val="bullet"/>
      <w:lvlText w:val="o"/>
      <w:lvlJc w:val="left"/>
      <w:pPr>
        <w:ind w:left="3600" w:hanging="360"/>
      </w:pPr>
      <w:rPr>
        <w:rFonts w:ascii="Courier New" w:hAnsi="Courier New" w:hint="default"/>
      </w:rPr>
    </w:lvl>
    <w:lvl w:ilvl="5" w:tplc="4A946762">
      <w:start w:val="1"/>
      <w:numFmt w:val="bullet"/>
      <w:lvlText w:val=""/>
      <w:lvlJc w:val="left"/>
      <w:pPr>
        <w:ind w:left="4320" w:hanging="360"/>
      </w:pPr>
      <w:rPr>
        <w:rFonts w:ascii="Wingdings" w:hAnsi="Wingdings" w:hint="default"/>
      </w:rPr>
    </w:lvl>
    <w:lvl w:ilvl="6" w:tplc="8B32A86A">
      <w:start w:val="1"/>
      <w:numFmt w:val="bullet"/>
      <w:lvlText w:val=""/>
      <w:lvlJc w:val="left"/>
      <w:pPr>
        <w:ind w:left="5040" w:hanging="360"/>
      </w:pPr>
      <w:rPr>
        <w:rFonts w:ascii="Symbol" w:hAnsi="Symbol" w:hint="default"/>
      </w:rPr>
    </w:lvl>
    <w:lvl w:ilvl="7" w:tplc="5FF21ACE">
      <w:start w:val="1"/>
      <w:numFmt w:val="bullet"/>
      <w:lvlText w:val="o"/>
      <w:lvlJc w:val="left"/>
      <w:pPr>
        <w:ind w:left="5760" w:hanging="360"/>
      </w:pPr>
      <w:rPr>
        <w:rFonts w:ascii="Courier New" w:hAnsi="Courier New" w:hint="default"/>
      </w:rPr>
    </w:lvl>
    <w:lvl w:ilvl="8" w:tplc="A770EFB6">
      <w:start w:val="1"/>
      <w:numFmt w:val="bullet"/>
      <w:lvlText w:val=""/>
      <w:lvlJc w:val="left"/>
      <w:pPr>
        <w:ind w:left="6480" w:hanging="360"/>
      </w:pPr>
      <w:rPr>
        <w:rFonts w:ascii="Wingdings" w:hAnsi="Wingdings" w:hint="default"/>
      </w:rPr>
    </w:lvl>
  </w:abstractNum>
  <w:abstractNum w:abstractNumId="13" w15:restartNumberingAfterBreak="0">
    <w:nsid w:val="01E49E4A"/>
    <w:multiLevelType w:val="hybridMultilevel"/>
    <w:tmpl w:val="FFFFFFFF"/>
    <w:lvl w:ilvl="0" w:tplc="626C27A4">
      <w:start w:val="1"/>
      <w:numFmt w:val="decimal"/>
      <w:lvlText w:val="%1."/>
      <w:lvlJc w:val="left"/>
      <w:pPr>
        <w:ind w:left="720" w:hanging="360"/>
      </w:pPr>
    </w:lvl>
    <w:lvl w:ilvl="1" w:tplc="09763C08">
      <w:start w:val="1"/>
      <w:numFmt w:val="lowerLetter"/>
      <w:lvlText w:val="%2."/>
      <w:lvlJc w:val="left"/>
      <w:pPr>
        <w:ind w:left="1440" w:hanging="360"/>
      </w:pPr>
    </w:lvl>
    <w:lvl w:ilvl="2" w:tplc="8FD45346">
      <w:start w:val="1"/>
      <w:numFmt w:val="lowerRoman"/>
      <w:lvlText w:val="%3."/>
      <w:lvlJc w:val="right"/>
      <w:pPr>
        <w:ind w:left="2160" w:hanging="180"/>
      </w:pPr>
    </w:lvl>
    <w:lvl w:ilvl="3" w:tplc="022CB106">
      <w:start w:val="1"/>
      <w:numFmt w:val="decimal"/>
      <w:lvlText w:val="%4."/>
      <w:lvlJc w:val="left"/>
      <w:pPr>
        <w:ind w:left="2880" w:hanging="360"/>
      </w:pPr>
    </w:lvl>
    <w:lvl w:ilvl="4" w:tplc="E54C32DC">
      <w:start w:val="1"/>
      <w:numFmt w:val="lowerLetter"/>
      <w:lvlText w:val="%5."/>
      <w:lvlJc w:val="left"/>
      <w:pPr>
        <w:ind w:left="3600" w:hanging="360"/>
      </w:pPr>
    </w:lvl>
    <w:lvl w:ilvl="5" w:tplc="6A70E6D0">
      <w:start w:val="1"/>
      <w:numFmt w:val="lowerRoman"/>
      <w:lvlText w:val="%6."/>
      <w:lvlJc w:val="right"/>
      <w:pPr>
        <w:ind w:left="4320" w:hanging="180"/>
      </w:pPr>
    </w:lvl>
    <w:lvl w:ilvl="6" w:tplc="6DFE358A">
      <w:start w:val="1"/>
      <w:numFmt w:val="decimal"/>
      <w:lvlText w:val="%7."/>
      <w:lvlJc w:val="left"/>
      <w:pPr>
        <w:ind w:left="5040" w:hanging="360"/>
      </w:pPr>
    </w:lvl>
    <w:lvl w:ilvl="7" w:tplc="51C66A8A">
      <w:start w:val="1"/>
      <w:numFmt w:val="lowerLetter"/>
      <w:lvlText w:val="%8."/>
      <w:lvlJc w:val="left"/>
      <w:pPr>
        <w:ind w:left="5760" w:hanging="360"/>
      </w:pPr>
    </w:lvl>
    <w:lvl w:ilvl="8" w:tplc="8A44DB18">
      <w:start w:val="1"/>
      <w:numFmt w:val="lowerRoman"/>
      <w:lvlText w:val="%9."/>
      <w:lvlJc w:val="right"/>
      <w:pPr>
        <w:ind w:left="6480" w:hanging="180"/>
      </w:pPr>
    </w:lvl>
  </w:abstractNum>
  <w:abstractNum w:abstractNumId="14" w15:restartNumberingAfterBreak="0">
    <w:nsid w:val="01E55275"/>
    <w:multiLevelType w:val="hybridMultilevel"/>
    <w:tmpl w:val="EEA27F24"/>
    <w:lvl w:ilvl="0" w:tplc="FFFFFFFF">
      <w:start w:val="1"/>
      <w:numFmt w:val="bullet"/>
      <w:lvlText w:val="-"/>
      <w:lvlJc w:val="left"/>
      <w:pPr>
        <w:ind w:left="966" w:hanging="850"/>
      </w:pPr>
      <w:rPr>
        <w:rFonts w:hint="default"/>
        <w:w w:val="100"/>
        <w:sz w:val="24"/>
        <w:szCs w:val="24"/>
        <w:lang w:val="cs-CZ" w:eastAsia="en-US" w:bidi="ar-SA"/>
      </w:rPr>
    </w:lvl>
    <w:lvl w:ilvl="1" w:tplc="ECCAA4F4">
      <w:numFmt w:val="bullet"/>
      <w:lvlText w:val="•"/>
      <w:lvlJc w:val="left"/>
      <w:pPr>
        <w:ind w:left="1794" w:hanging="850"/>
      </w:pPr>
      <w:rPr>
        <w:rFonts w:hint="default"/>
        <w:lang w:val="cs-CZ" w:eastAsia="en-US" w:bidi="ar-SA"/>
      </w:rPr>
    </w:lvl>
    <w:lvl w:ilvl="2" w:tplc="A95E16C4">
      <w:numFmt w:val="bullet"/>
      <w:lvlText w:val="•"/>
      <w:lvlJc w:val="left"/>
      <w:pPr>
        <w:ind w:left="2629" w:hanging="850"/>
      </w:pPr>
      <w:rPr>
        <w:rFonts w:hint="default"/>
        <w:lang w:val="cs-CZ" w:eastAsia="en-US" w:bidi="ar-SA"/>
      </w:rPr>
    </w:lvl>
    <w:lvl w:ilvl="3" w:tplc="D94A74DC">
      <w:numFmt w:val="bullet"/>
      <w:lvlText w:val="•"/>
      <w:lvlJc w:val="left"/>
      <w:pPr>
        <w:ind w:left="3463" w:hanging="850"/>
      </w:pPr>
      <w:rPr>
        <w:rFonts w:hint="default"/>
        <w:lang w:val="cs-CZ" w:eastAsia="en-US" w:bidi="ar-SA"/>
      </w:rPr>
    </w:lvl>
    <w:lvl w:ilvl="4" w:tplc="A13AA534">
      <w:numFmt w:val="bullet"/>
      <w:lvlText w:val="•"/>
      <w:lvlJc w:val="left"/>
      <w:pPr>
        <w:ind w:left="4298" w:hanging="850"/>
      </w:pPr>
      <w:rPr>
        <w:rFonts w:hint="default"/>
        <w:lang w:val="cs-CZ" w:eastAsia="en-US" w:bidi="ar-SA"/>
      </w:rPr>
    </w:lvl>
    <w:lvl w:ilvl="5" w:tplc="65C8287E">
      <w:numFmt w:val="bullet"/>
      <w:lvlText w:val="•"/>
      <w:lvlJc w:val="left"/>
      <w:pPr>
        <w:ind w:left="5133" w:hanging="850"/>
      </w:pPr>
      <w:rPr>
        <w:rFonts w:hint="default"/>
        <w:lang w:val="cs-CZ" w:eastAsia="en-US" w:bidi="ar-SA"/>
      </w:rPr>
    </w:lvl>
    <w:lvl w:ilvl="6" w:tplc="B30EA5F6">
      <w:numFmt w:val="bullet"/>
      <w:lvlText w:val="•"/>
      <w:lvlJc w:val="left"/>
      <w:pPr>
        <w:ind w:left="5967" w:hanging="850"/>
      </w:pPr>
      <w:rPr>
        <w:rFonts w:hint="default"/>
        <w:lang w:val="cs-CZ" w:eastAsia="en-US" w:bidi="ar-SA"/>
      </w:rPr>
    </w:lvl>
    <w:lvl w:ilvl="7" w:tplc="7786AD04">
      <w:numFmt w:val="bullet"/>
      <w:lvlText w:val="•"/>
      <w:lvlJc w:val="left"/>
      <w:pPr>
        <w:ind w:left="6802" w:hanging="850"/>
      </w:pPr>
      <w:rPr>
        <w:rFonts w:hint="default"/>
        <w:lang w:val="cs-CZ" w:eastAsia="en-US" w:bidi="ar-SA"/>
      </w:rPr>
    </w:lvl>
    <w:lvl w:ilvl="8" w:tplc="E1DEBE00">
      <w:numFmt w:val="bullet"/>
      <w:lvlText w:val="•"/>
      <w:lvlJc w:val="left"/>
      <w:pPr>
        <w:ind w:left="7637" w:hanging="850"/>
      </w:pPr>
      <w:rPr>
        <w:rFonts w:hint="default"/>
        <w:lang w:val="cs-CZ" w:eastAsia="en-US" w:bidi="ar-SA"/>
      </w:rPr>
    </w:lvl>
  </w:abstractNum>
  <w:abstractNum w:abstractNumId="15" w15:restartNumberingAfterBreak="0">
    <w:nsid w:val="03B2D200"/>
    <w:multiLevelType w:val="hybridMultilevel"/>
    <w:tmpl w:val="915E4A62"/>
    <w:lvl w:ilvl="0" w:tplc="09BA676C">
      <w:start w:val="1"/>
      <w:numFmt w:val="decimal"/>
      <w:lvlText w:val="%1."/>
      <w:lvlJc w:val="left"/>
      <w:pPr>
        <w:ind w:left="720" w:hanging="360"/>
      </w:pPr>
    </w:lvl>
    <w:lvl w:ilvl="1" w:tplc="2202EC42">
      <w:start w:val="1"/>
      <w:numFmt w:val="lowerLetter"/>
      <w:lvlText w:val="%2."/>
      <w:lvlJc w:val="left"/>
      <w:pPr>
        <w:ind w:left="1440" w:hanging="360"/>
      </w:pPr>
    </w:lvl>
    <w:lvl w:ilvl="2" w:tplc="4FB8CB64">
      <w:start w:val="1"/>
      <w:numFmt w:val="lowerRoman"/>
      <w:lvlText w:val="%3."/>
      <w:lvlJc w:val="right"/>
      <w:pPr>
        <w:ind w:left="2160" w:hanging="180"/>
      </w:pPr>
    </w:lvl>
    <w:lvl w:ilvl="3" w:tplc="742ACDAC">
      <w:start w:val="1"/>
      <w:numFmt w:val="decimal"/>
      <w:lvlText w:val="%4."/>
      <w:lvlJc w:val="left"/>
      <w:pPr>
        <w:ind w:left="2880" w:hanging="360"/>
      </w:pPr>
    </w:lvl>
    <w:lvl w:ilvl="4" w:tplc="C43EFE14">
      <w:start w:val="1"/>
      <w:numFmt w:val="lowerLetter"/>
      <w:lvlText w:val="%5."/>
      <w:lvlJc w:val="left"/>
      <w:pPr>
        <w:ind w:left="3600" w:hanging="360"/>
      </w:pPr>
    </w:lvl>
    <w:lvl w:ilvl="5" w:tplc="EF8EAC10">
      <w:start w:val="1"/>
      <w:numFmt w:val="lowerRoman"/>
      <w:lvlText w:val="%6."/>
      <w:lvlJc w:val="right"/>
      <w:pPr>
        <w:ind w:left="4320" w:hanging="180"/>
      </w:pPr>
    </w:lvl>
    <w:lvl w:ilvl="6" w:tplc="727A2874">
      <w:start w:val="1"/>
      <w:numFmt w:val="decimal"/>
      <w:lvlText w:val="%7."/>
      <w:lvlJc w:val="left"/>
      <w:pPr>
        <w:ind w:left="5040" w:hanging="360"/>
      </w:pPr>
    </w:lvl>
    <w:lvl w:ilvl="7" w:tplc="4196ABF6">
      <w:start w:val="1"/>
      <w:numFmt w:val="lowerLetter"/>
      <w:lvlText w:val="%8."/>
      <w:lvlJc w:val="left"/>
      <w:pPr>
        <w:ind w:left="5760" w:hanging="360"/>
      </w:pPr>
    </w:lvl>
    <w:lvl w:ilvl="8" w:tplc="678E0EC2">
      <w:start w:val="1"/>
      <w:numFmt w:val="lowerRoman"/>
      <w:lvlText w:val="%9."/>
      <w:lvlJc w:val="right"/>
      <w:pPr>
        <w:ind w:left="6480" w:hanging="180"/>
      </w:pPr>
    </w:lvl>
  </w:abstractNum>
  <w:abstractNum w:abstractNumId="16" w15:restartNumberingAfterBreak="0">
    <w:nsid w:val="03DC4943"/>
    <w:multiLevelType w:val="hybridMultilevel"/>
    <w:tmpl w:val="CC267388"/>
    <w:lvl w:ilvl="0" w:tplc="49B66352">
      <w:start w:val="1"/>
      <w:numFmt w:val="lowerLetter"/>
      <w:lvlText w:val="%1."/>
      <w:lvlJc w:val="left"/>
      <w:pPr>
        <w:ind w:left="144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040938E6"/>
    <w:multiLevelType w:val="hybridMultilevel"/>
    <w:tmpl w:val="FFFFFFFF"/>
    <w:lvl w:ilvl="0" w:tplc="09B4827A">
      <w:start w:val="1"/>
      <w:numFmt w:val="bullet"/>
      <w:lvlText w:val=""/>
      <w:lvlJc w:val="left"/>
      <w:pPr>
        <w:ind w:left="720" w:hanging="360"/>
      </w:pPr>
      <w:rPr>
        <w:rFonts w:ascii="Symbol" w:hAnsi="Symbol" w:hint="default"/>
      </w:rPr>
    </w:lvl>
    <w:lvl w:ilvl="1" w:tplc="F762FA0E">
      <w:start w:val="1"/>
      <w:numFmt w:val="bullet"/>
      <w:lvlText w:val="o"/>
      <w:lvlJc w:val="left"/>
      <w:pPr>
        <w:ind w:left="1440" w:hanging="360"/>
      </w:pPr>
      <w:rPr>
        <w:rFonts w:ascii="Courier New" w:hAnsi="Courier New" w:hint="default"/>
      </w:rPr>
    </w:lvl>
    <w:lvl w:ilvl="2" w:tplc="B55C25E6">
      <w:start w:val="1"/>
      <w:numFmt w:val="bullet"/>
      <w:lvlText w:val=""/>
      <w:lvlJc w:val="left"/>
      <w:pPr>
        <w:ind w:left="2160" w:hanging="360"/>
      </w:pPr>
      <w:rPr>
        <w:rFonts w:ascii="Wingdings" w:hAnsi="Wingdings" w:hint="default"/>
      </w:rPr>
    </w:lvl>
    <w:lvl w:ilvl="3" w:tplc="6048231A">
      <w:start w:val="1"/>
      <w:numFmt w:val="bullet"/>
      <w:lvlText w:val=""/>
      <w:lvlJc w:val="left"/>
      <w:pPr>
        <w:ind w:left="2880" w:hanging="360"/>
      </w:pPr>
      <w:rPr>
        <w:rFonts w:ascii="Symbol" w:hAnsi="Symbol" w:hint="default"/>
      </w:rPr>
    </w:lvl>
    <w:lvl w:ilvl="4" w:tplc="026099A0">
      <w:start w:val="1"/>
      <w:numFmt w:val="bullet"/>
      <w:lvlText w:val="o"/>
      <w:lvlJc w:val="left"/>
      <w:pPr>
        <w:ind w:left="3600" w:hanging="360"/>
      </w:pPr>
      <w:rPr>
        <w:rFonts w:ascii="Courier New" w:hAnsi="Courier New" w:hint="default"/>
      </w:rPr>
    </w:lvl>
    <w:lvl w:ilvl="5" w:tplc="1A045704">
      <w:start w:val="1"/>
      <w:numFmt w:val="bullet"/>
      <w:lvlText w:val=""/>
      <w:lvlJc w:val="left"/>
      <w:pPr>
        <w:ind w:left="4320" w:hanging="360"/>
      </w:pPr>
      <w:rPr>
        <w:rFonts w:ascii="Wingdings" w:hAnsi="Wingdings" w:hint="default"/>
      </w:rPr>
    </w:lvl>
    <w:lvl w:ilvl="6" w:tplc="D004CAAA">
      <w:start w:val="1"/>
      <w:numFmt w:val="bullet"/>
      <w:lvlText w:val=""/>
      <w:lvlJc w:val="left"/>
      <w:pPr>
        <w:ind w:left="5040" w:hanging="360"/>
      </w:pPr>
      <w:rPr>
        <w:rFonts w:ascii="Symbol" w:hAnsi="Symbol" w:hint="default"/>
      </w:rPr>
    </w:lvl>
    <w:lvl w:ilvl="7" w:tplc="6E148C9A">
      <w:start w:val="1"/>
      <w:numFmt w:val="bullet"/>
      <w:lvlText w:val="o"/>
      <w:lvlJc w:val="left"/>
      <w:pPr>
        <w:ind w:left="5760" w:hanging="360"/>
      </w:pPr>
      <w:rPr>
        <w:rFonts w:ascii="Courier New" w:hAnsi="Courier New" w:hint="default"/>
      </w:rPr>
    </w:lvl>
    <w:lvl w:ilvl="8" w:tplc="74D0D0B4">
      <w:start w:val="1"/>
      <w:numFmt w:val="bullet"/>
      <w:lvlText w:val=""/>
      <w:lvlJc w:val="left"/>
      <w:pPr>
        <w:ind w:left="6480" w:hanging="360"/>
      </w:pPr>
      <w:rPr>
        <w:rFonts w:ascii="Wingdings" w:hAnsi="Wingdings" w:hint="default"/>
      </w:rPr>
    </w:lvl>
  </w:abstractNum>
  <w:abstractNum w:abstractNumId="18" w15:restartNumberingAfterBreak="0">
    <w:nsid w:val="04D7163C"/>
    <w:multiLevelType w:val="hybridMultilevel"/>
    <w:tmpl w:val="FFFFFFFF"/>
    <w:lvl w:ilvl="0" w:tplc="35822E9A">
      <w:start w:val="1"/>
      <w:numFmt w:val="bullet"/>
      <w:lvlText w:val="o"/>
      <w:lvlJc w:val="left"/>
      <w:pPr>
        <w:ind w:left="1080" w:hanging="360"/>
      </w:pPr>
      <w:rPr>
        <w:rFonts w:ascii="Courier New" w:hAnsi="Courier New" w:hint="default"/>
      </w:rPr>
    </w:lvl>
    <w:lvl w:ilvl="1" w:tplc="10306CEC">
      <w:start w:val="1"/>
      <w:numFmt w:val="bullet"/>
      <w:lvlText w:val="o"/>
      <w:lvlJc w:val="left"/>
      <w:pPr>
        <w:ind w:left="1440" w:hanging="360"/>
      </w:pPr>
      <w:rPr>
        <w:rFonts w:ascii="Courier New" w:hAnsi="Courier New" w:hint="default"/>
      </w:rPr>
    </w:lvl>
    <w:lvl w:ilvl="2" w:tplc="00389E28">
      <w:start w:val="1"/>
      <w:numFmt w:val="bullet"/>
      <w:lvlText w:val=""/>
      <w:lvlJc w:val="left"/>
      <w:pPr>
        <w:ind w:left="2160" w:hanging="360"/>
      </w:pPr>
      <w:rPr>
        <w:rFonts w:ascii="Wingdings" w:hAnsi="Wingdings" w:hint="default"/>
      </w:rPr>
    </w:lvl>
    <w:lvl w:ilvl="3" w:tplc="FF88AD36">
      <w:start w:val="1"/>
      <w:numFmt w:val="bullet"/>
      <w:lvlText w:val=""/>
      <w:lvlJc w:val="left"/>
      <w:pPr>
        <w:ind w:left="2880" w:hanging="360"/>
      </w:pPr>
      <w:rPr>
        <w:rFonts w:ascii="Symbol" w:hAnsi="Symbol" w:hint="default"/>
      </w:rPr>
    </w:lvl>
    <w:lvl w:ilvl="4" w:tplc="9894D486">
      <w:start w:val="1"/>
      <w:numFmt w:val="bullet"/>
      <w:lvlText w:val="o"/>
      <w:lvlJc w:val="left"/>
      <w:pPr>
        <w:ind w:left="3600" w:hanging="360"/>
      </w:pPr>
      <w:rPr>
        <w:rFonts w:ascii="Courier New" w:hAnsi="Courier New" w:hint="default"/>
      </w:rPr>
    </w:lvl>
    <w:lvl w:ilvl="5" w:tplc="96524792">
      <w:start w:val="1"/>
      <w:numFmt w:val="bullet"/>
      <w:lvlText w:val=""/>
      <w:lvlJc w:val="left"/>
      <w:pPr>
        <w:ind w:left="4320" w:hanging="360"/>
      </w:pPr>
      <w:rPr>
        <w:rFonts w:ascii="Wingdings" w:hAnsi="Wingdings" w:hint="default"/>
      </w:rPr>
    </w:lvl>
    <w:lvl w:ilvl="6" w:tplc="301ABB46">
      <w:start w:val="1"/>
      <w:numFmt w:val="bullet"/>
      <w:lvlText w:val=""/>
      <w:lvlJc w:val="left"/>
      <w:pPr>
        <w:ind w:left="5040" w:hanging="360"/>
      </w:pPr>
      <w:rPr>
        <w:rFonts w:ascii="Symbol" w:hAnsi="Symbol" w:hint="default"/>
      </w:rPr>
    </w:lvl>
    <w:lvl w:ilvl="7" w:tplc="1BE43BA0">
      <w:start w:val="1"/>
      <w:numFmt w:val="bullet"/>
      <w:lvlText w:val="o"/>
      <w:lvlJc w:val="left"/>
      <w:pPr>
        <w:ind w:left="5760" w:hanging="360"/>
      </w:pPr>
      <w:rPr>
        <w:rFonts w:ascii="Courier New" w:hAnsi="Courier New" w:hint="default"/>
      </w:rPr>
    </w:lvl>
    <w:lvl w:ilvl="8" w:tplc="B184BEFE">
      <w:start w:val="1"/>
      <w:numFmt w:val="bullet"/>
      <w:lvlText w:val=""/>
      <w:lvlJc w:val="left"/>
      <w:pPr>
        <w:ind w:left="6480" w:hanging="360"/>
      </w:pPr>
      <w:rPr>
        <w:rFonts w:ascii="Wingdings" w:hAnsi="Wingdings" w:hint="default"/>
      </w:rPr>
    </w:lvl>
  </w:abstractNum>
  <w:abstractNum w:abstractNumId="19" w15:restartNumberingAfterBreak="0">
    <w:nsid w:val="0690BBB7"/>
    <w:multiLevelType w:val="hybridMultilevel"/>
    <w:tmpl w:val="FFFFFFFF"/>
    <w:lvl w:ilvl="0" w:tplc="9DAEBA7C">
      <w:start w:val="1"/>
      <w:numFmt w:val="bullet"/>
      <w:lvlText w:val="·"/>
      <w:lvlJc w:val="left"/>
      <w:pPr>
        <w:ind w:left="720" w:hanging="360"/>
      </w:pPr>
      <w:rPr>
        <w:rFonts w:ascii="Symbol" w:hAnsi="Symbol" w:hint="default"/>
      </w:rPr>
    </w:lvl>
    <w:lvl w:ilvl="1" w:tplc="B066E77A">
      <w:start w:val="1"/>
      <w:numFmt w:val="bullet"/>
      <w:lvlText w:val="o"/>
      <w:lvlJc w:val="left"/>
      <w:pPr>
        <w:ind w:left="1440" w:hanging="360"/>
      </w:pPr>
      <w:rPr>
        <w:rFonts w:ascii="Courier New" w:hAnsi="Courier New" w:hint="default"/>
      </w:rPr>
    </w:lvl>
    <w:lvl w:ilvl="2" w:tplc="E23E27DC">
      <w:start w:val="1"/>
      <w:numFmt w:val="bullet"/>
      <w:lvlText w:val=""/>
      <w:lvlJc w:val="left"/>
      <w:pPr>
        <w:ind w:left="2160" w:hanging="360"/>
      </w:pPr>
      <w:rPr>
        <w:rFonts w:ascii="Wingdings" w:hAnsi="Wingdings" w:hint="default"/>
      </w:rPr>
    </w:lvl>
    <w:lvl w:ilvl="3" w:tplc="82BCCCD6">
      <w:start w:val="1"/>
      <w:numFmt w:val="bullet"/>
      <w:lvlText w:val=""/>
      <w:lvlJc w:val="left"/>
      <w:pPr>
        <w:ind w:left="2880" w:hanging="360"/>
      </w:pPr>
      <w:rPr>
        <w:rFonts w:ascii="Symbol" w:hAnsi="Symbol" w:hint="default"/>
      </w:rPr>
    </w:lvl>
    <w:lvl w:ilvl="4" w:tplc="D1DC9526">
      <w:start w:val="1"/>
      <w:numFmt w:val="bullet"/>
      <w:lvlText w:val="o"/>
      <w:lvlJc w:val="left"/>
      <w:pPr>
        <w:ind w:left="3600" w:hanging="360"/>
      </w:pPr>
      <w:rPr>
        <w:rFonts w:ascii="Courier New" w:hAnsi="Courier New" w:hint="default"/>
      </w:rPr>
    </w:lvl>
    <w:lvl w:ilvl="5" w:tplc="61161EA2">
      <w:start w:val="1"/>
      <w:numFmt w:val="bullet"/>
      <w:lvlText w:val=""/>
      <w:lvlJc w:val="left"/>
      <w:pPr>
        <w:ind w:left="4320" w:hanging="360"/>
      </w:pPr>
      <w:rPr>
        <w:rFonts w:ascii="Wingdings" w:hAnsi="Wingdings" w:hint="default"/>
      </w:rPr>
    </w:lvl>
    <w:lvl w:ilvl="6" w:tplc="9528C1EE">
      <w:start w:val="1"/>
      <w:numFmt w:val="bullet"/>
      <w:lvlText w:val=""/>
      <w:lvlJc w:val="left"/>
      <w:pPr>
        <w:ind w:left="5040" w:hanging="360"/>
      </w:pPr>
      <w:rPr>
        <w:rFonts w:ascii="Symbol" w:hAnsi="Symbol" w:hint="default"/>
      </w:rPr>
    </w:lvl>
    <w:lvl w:ilvl="7" w:tplc="5824C91E">
      <w:start w:val="1"/>
      <w:numFmt w:val="bullet"/>
      <w:lvlText w:val="o"/>
      <w:lvlJc w:val="left"/>
      <w:pPr>
        <w:ind w:left="5760" w:hanging="360"/>
      </w:pPr>
      <w:rPr>
        <w:rFonts w:ascii="Courier New" w:hAnsi="Courier New" w:hint="default"/>
      </w:rPr>
    </w:lvl>
    <w:lvl w:ilvl="8" w:tplc="16CE5654">
      <w:start w:val="1"/>
      <w:numFmt w:val="bullet"/>
      <w:lvlText w:val=""/>
      <w:lvlJc w:val="left"/>
      <w:pPr>
        <w:ind w:left="6480" w:hanging="360"/>
      </w:pPr>
      <w:rPr>
        <w:rFonts w:ascii="Wingdings" w:hAnsi="Wingdings" w:hint="default"/>
      </w:rPr>
    </w:lvl>
  </w:abstractNum>
  <w:abstractNum w:abstractNumId="20" w15:restartNumberingAfterBreak="0">
    <w:nsid w:val="069E0CC2"/>
    <w:multiLevelType w:val="hybridMultilevel"/>
    <w:tmpl w:val="361063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082654AD"/>
    <w:multiLevelType w:val="hybridMultilevel"/>
    <w:tmpl w:val="FFFFFFFF"/>
    <w:lvl w:ilvl="0" w:tplc="6C929078">
      <w:start w:val="1"/>
      <w:numFmt w:val="bullet"/>
      <w:lvlText w:val="o"/>
      <w:lvlJc w:val="left"/>
      <w:pPr>
        <w:ind w:left="1080" w:hanging="360"/>
      </w:pPr>
      <w:rPr>
        <w:rFonts w:ascii="Courier New" w:hAnsi="Courier New" w:hint="default"/>
      </w:rPr>
    </w:lvl>
    <w:lvl w:ilvl="1" w:tplc="BFB05B3C">
      <w:start w:val="1"/>
      <w:numFmt w:val="bullet"/>
      <w:lvlText w:val="o"/>
      <w:lvlJc w:val="left"/>
      <w:pPr>
        <w:ind w:left="1440" w:hanging="360"/>
      </w:pPr>
      <w:rPr>
        <w:rFonts w:ascii="Courier New" w:hAnsi="Courier New" w:hint="default"/>
      </w:rPr>
    </w:lvl>
    <w:lvl w:ilvl="2" w:tplc="867CC0AA">
      <w:start w:val="1"/>
      <w:numFmt w:val="bullet"/>
      <w:lvlText w:val=""/>
      <w:lvlJc w:val="left"/>
      <w:pPr>
        <w:ind w:left="2160" w:hanging="360"/>
      </w:pPr>
      <w:rPr>
        <w:rFonts w:ascii="Wingdings" w:hAnsi="Wingdings" w:hint="default"/>
      </w:rPr>
    </w:lvl>
    <w:lvl w:ilvl="3" w:tplc="DCAE843A">
      <w:start w:val="1"/>
      <w:numFmt w:val="bullet"/>
      <w:lvlText w:val=""/>
      <w:lvlJc w:val="left"/>
      <w:pPr>
        <w:ind w:left="2880" w:hanging="360"/>
      </w:pPr>
      <w:rPr>
        <w:rFonts w:ascii="Symbol" w:hAnsi="Symbol" w:hint="default"/>
      </w:rPr>
    </w:lvl>
    <w:lvl w:ilvl="4" w:tplc="3724C74A">
      <w:start w:val="1"/>
      <w:numFmt w:val="bullet"/>
      <w:lvlText w:val="o"/>
      <w:lvlJc w:val="left"/>
      <w:pPr>
        <w:ind w:left="3600" w:hanging="360"/>
      </w:pPr>
      <w:rPr>
        <w:rFonts w:ascii="Courier New" w:hAnsi="Courier New" w:hint="default"/>
      </w:rPr>
    </w:lvl>
    <w:lvl w:ilvl="5" w:tplc="120EF6BC">
      <w:start w:val="1"/>
      <w:numFmt w:val="bullet"/>
      <w:lvlText w:val=""/>
      <w:lvlJc w:val="left"/>
      <w:pPr>
        <w:ind w:left="4320" w:hanging="360"/>
      </w:pPr>
      <w:rPr>
        <w:rFonts w:ascii="Wingdings" w:hAnsi="Wingdings" w:hint="default"/>
      </w:rPr>
    </w:lvl>
    <w:lvl w:ilvl="6" w:tplc="351AB4A2">
      <w:start w:val="1"/>
      <w:numFmt w:val="bullet"/>
      <w:lvlText w:val=""/>
      <w:lvlJc w:val="left"/>
      <w:pPr>
        <w:ind w:left="5040" w:hanging="360"/>
      </w:pPr>
      <w:rPr>
        <w:rFonts w:ascii="Symbol" w:hAnsi="Symbol" w:hint="default"/>
      </w:rPr>
    </w:lvl>
    <w:lvl w:ilvl="7" w:tplc="17B25390">
      <w:start w:val="1"/>
      <w:numFmt w:val="bullet"/>
      <w:lvlText w:val="o"/>
      <w:lvlJc w:val="left"/>
      <w:pPr>
        <w:ind w:left="5760" w:hanging="360"/>
      </w:pPr>
      <w:rPr>
        <w:rFonts w:ascii="Courier New" w:hAnsi="Courier New" w:hint="default"/>
      </w:rPr>
    </w:lvl>
    <w:lvl w:ilvl="8" w:tplc="4D56739E">
      <w:start w:val="1"/>
      <w:numFmt w:val="bullet"/>
      <w:lvlText w:val=""/>
      <w:lvlJc w:val="left"/>
      <w:pPr>
        <w:ind w:left="6480" w:hanging="360"/>
      </w:pPr>
      <w:rPr>
        <w:rFonts w:ascii="Wingdings" w:hAnsi="Wingdings" w:hint="default"/>
      </w:rPr>
    </w:lvl>
  </w:abstractNum>
  <w:abstractNum w:abstractNumId="22" w15:restartNumberingAfterBreak="0">
    <w:nsid w:val="083E6BED"/>
    <w:multiLevelType w:val="hybridMultilevel"/>
    <w:tmpl w:val="23EED8EE"/>
    <w:lvl w:ilvl="0" w:tplc="8A00CC74">
      <w:start w:val="16"/>
      <w:numFmt w:val="bullet"/>
      <w:lvlText w:val="-"/>
      <w:lvlJc w:val="left"/>
      <w:pPr>
        <w:ind w:left="720" w:hanging="360"/>
      </w:pPr>
      <w:rPr>
        <w:rFonts w:ascii="Times New Roman" w:eastAsia="Times New Roman" w:hAnsi="Times New Roman" w:cs="Times New Roman" w:hint="default"/>
        <w:color w:val="006100"/>
        <w:sz w:val="15"/>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089D1748"/>
    <w:multiLevelType w:val="hybridMultilevel"/>
    <w:tmpl w:val="271CCD86"/>
    <w:lvl w:ilvl="0" w:tplc="2FBCC50C">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09545F81"/>
    <w:multiLevelType w:val="hybridMultilevel"/>
    <w:tmpl w:val="FFFFFFFF"/>
    <w:lvl w:ilvl="0" w:tplc="FEE2E08A">
      <w:start w:val="1"/>
      <w:numFmt w:val="bullet"/>
      <w:lvlText w:val="●"/>
      <w:lvlJc w:val="left"/>
      <w:pPr>
        <w:ind w:left="720" w:hanging="360"/>
      </w:pPr>
      <w:rPr>
        <w:rFonts w:ascii="Noto Sans Symbols" w:hAnsi="Noto Sans Symbols" w:hint="default"/>
      </w:rPr>
    </w:lvl>
    <w:lvl w:ilvl="1" w:tplc="C478CE58">
      <w:start w:val="1"/>
      <w:numFmt w:val="bullet"/>
      <w:lvlText w:val="o"/>
      <w:lvlJc w:val="left"/>
      <w:pPr>
        <w:ind w:left="1440" w:hanging="360"/>
      </w:pPr>
      <w:rPr>
        <w:rFonts w:ascii="Courier New" w:hAnsi="Courier New" w:hint="default"/>
      </w:rPr>
    </w:lvl>
    <w:lvl w:ilvl="2" w:tplc="C3FE84C8">
      <w:start w:val="1"/>
      <w:numFmt w:val="bullet"/>
      <w:lvlText w:val=""/>
      <w:lvlJc w:val="left"/>
      <w:pPr>
        <w:ind w:left="2160" w:hanging="360"/>
      </w:pPr>
      <w:rPr>
        <w:rFonts w:ascii="Wingdings" w:hAnsi="Wingdings" w:hint="default"/>
      </w:rPr>
    </w:lvl>
    <w:lvl w:ilvl="3" w:tplc="4C943194">
      <w:start w:val="1"/>
      <w:numFmt w:val="bullet"/>
      <w:lvlText w:val=""/>
      <w:lvlJc w:val="left"/>
      <w:pPr>
        <w:ind w:left="2880" w:hanging="360"/>
      </w:pPr>
      <w:rPr>
        <w:rFonts w:ascii="Symbol" w:hAnsi="Symbol" w:hint="default"/>
      </w:rPr>
    </w:lvl>
    <w:lvl w:ilvl="4" w:tplc="86865322">
      <w:start w:val="1"/>
      <w:numFmt w:val="bullet"/>
      <w:lvlText w:val="o"/>
      <w:lvlJc w:val="left"/>
      <w:pPr>
        <w:ind w:left="3600" w:hanging="360"/>
      </w:pPr>
      <w:rPr>
        <w:rFonts w:ascii="Courier New" w:hAnsi="Courier New" w:hint="default"/>
      </w:rPr>
    </w:lvl>
    <w:lvl w:ilvl="5" w:tplc="9392F500">
      <w:start w:val="1"/>
      <w:numFmt w:val="bullet"/>
      <w:lvlText w:val=""/>
      <w:lvlJc w:val="left"/>
      <w:pPr>
        <w:ind w:left="4320" w:hanging="360"/>
      </w:pPr>
      <w:rPr>
        <w:rFonts w:ascii="Wingdings" w:hAnsi="Wingdings" w:hint="default"/>
      </w:rPr>
    </w:lvl>
    <w:lvl w:ilvl="6" w:tplc="B2003112">
      <w:start w:val="1"/>
      <w:numFmt w:val="bullet"/>
      <w:lvlText w:val=""/>
      <w:lvlJc w:val="left"/>
      <w:pPr>
        <w:ind w:left="5040" w:hanging="360"/>
      </w:pPr>
      <w:rPr>
        <w:rFonts w:ascii="Symbol" w:hAnsi="Symbol" w:hint="default"/>
      </w:rPr>
    </w:lvl>
    <w:lvl w:ilvl="7" w:tplc="CB7A82F0">
      <w:start w:val="1"/>
      <w:numFmt w:val="bullet"/>
      <w:lvlText w:val="o"/>
      <w:lvlJc w:val="left"/>
      <w:pPr>
        <w:ind w:left="5760" w:hanging="360"/>
      </w:pPr>
      <w:rPr>
        <w:rFonts w:ascii="Courier New" w:hAnsi="Courier New" w:hint="default"/>
      </w:rPr>
    </w:lvl>
    <w:lvl w:ilvl="8" w:tplc="8EF6D4BC">
      <w:start w:val="1"/>
      <w:numFmt w:val="bullet"/>
      <w:lvlText w:val=""/>
      <w:lvlJc w:val="left"/>
      <w:pPr>
        <w:ind w:left="6480" w:hanging="360"/>
      </w:pPr>
      <w:rPr>
        <w:rFonts w:ascii="Wingdings" w:hAnsi="Wingdings" w:hint="default"/>
      </w:rPr>
    </w:lvl>
  </w:abstractNum>
  <w:abstractNum w:abstractNumId="25" w15:restartNumberingAfterBreak="0">
    <w:nsid w:val="09687B21"/>
    <w:multiLevelType w:val="hybridMultilevel"/>
    <w:tmpl w:val="FFFFFFFF"/>
    <w:lvl w:ilvl="0" w:tplc="35708430">
      <w:start w:val="1"/>
      <w:numFmt w:val="bullet"/>
      <w:lvlText w:val=""/>
      <w:lvlJc w:val="left"/>
      <w:pPr>
        <w:ind w:left="720" w:hanging="360"/>
      </w:pPr>
      <w:rPr>
        <w:rFonts w:ascii="Symbol" w:hAnsi="Symbol" w:hint="default"/>
      </w:rPr>
    </w:lvl>
    <w:lvl w:ilvl="1" w:tplc="97647158">
      <w:start w:val="1"/>
      <w:numFmt w:val="bullet"/>
      <w:lvlText w:val="o"/>
      <w:lvlJc w:val="left"/>
      <w:pPr>
        <w:ind w:left="1440" w:hanging="360"/>
      </w:pPr>
      <w:rPr>
        <w:rFonts w:ascii="Courier New" w:hAnsi="Courier New" w:hint="default"/>
      </w:rPr>
    </w:lvl>
    <w:lvl w:ilvl="2" w:tplc="ADC28E02">
      <w:start w:val="1"/>
      <w:numFmt w:val="bullet"/>
      <w:lvlText w:val=""/>
      <w:lvlJc w:val="left"/>
      <w:pPr>
        <w:ind w:left="2160" w:hanging="360"/>
      </w:pPr>
      <w:rPr>
        <w:rFonts w:ascii="Wingdings" w:hAnsi="Wingdings" w:hint="default"/>
      </w:rPr>
    </w:lvl>
    <w:lvl w:ilvl="3" w:tplc="8BA80D88">
      <w:start w:val="1"/>
      <w:numFmt w:val="bullet"/>
      <w:lvlText w:val=""/>
      <w:lvlJc w:val="left"/>
      <w:pPr>
        <w:ind w:left="2880" w:hanging="360"/>
      </w:pPr>
      <w:rPr>
        <w:rFonts w:ascii="Symbol" w:hAnsi="Symbol" w:hint="default"/>
      </w:rPr>
    </w:lvl>
    <w:lvl w:ilvl="4" w:tplc="86C6D23E">
      <w:start w:val="1"/>
      <w:numFmt w:val="bullet"/>
      <w:lvlText w:val="o"/>
      <w:lvlJc w:val="left"/>
      <w:pPr>
        <w:ind w:left="3600" w:hanging="360"/>
      </w:pPr>
      <w:rPr>
        <w:rFonts w:ascii="Courier New" w:hAnsi="Courier New" w:hint="default"/>
      </w:rPr>
    </w:lvl>
    <w:lvl w:ilvl="5" w:tplc="0C987B58">
      <w:start w:val="1"/>
      <w:numFmt w:val="bullet"/>
      <w:lvlText w:val=""/>
      <w:lvlJc w:val="left"/>
      <w:pPr>
        <w:ind w:left="4320" w:hanging="360"/>
      </w:pPr>
      <w:rPr>
        <w:rFonts w:ascii="Wingdings" w:hAnsi="Wingdings" w:hint="default"/>
      </w:rPr>
    </w:lvl>
    <w:lvl w:ilvl="6" w:tplc="51E886D0">
      <w:start w:val="1"/>
      <w:numFmt w:val="bullet"/>
      <w:lvlText w:val=""/>
      <w:lvlJc w:val="left"/>
      <w:pPr>
        <w:ind w:left="5040" w:hanging="360"/>
      </w:pPr>
      <w:rPr>
        <w:rFonts w:ascii="Symbol" w:hAnsi="Symbol" w:hint="default"/>
      </w:rPr>
    </w:lvl>
    <w:lvl w:ilvl="7" w:tplc="3C2E1190">
      <w:start w:val="1"/>
      <w:numFmt w:val="bullet"/>
      <w:lvlText w:val="o"/>
      <w:lvlJc w:val="left"/>
      <w:pPr>
        <w:ind w:left="5760" w:hanging="360"/>
      </w:pPr>
      <w:rPr>
        <w:rFonts w:ascii="Courier New" w:hAnsi="Courier New" w:hint="default"/>
      </w:rPr>
    </w:lvl>
    <w:lvl w:ilvl="8" w:tplc="2B90C30A">
      <w:start w:val="1"/>
      <w:numFmt w:val="bullet"/>
      <w:lvlText w:val=""/>
      <w:lvlJc w:val="left"/>
      <w:pPr>
        <w:ind w:left="6480" w:hanging="360"/>
      </w:pPr>
      <w:rPr>
        <w:rFonts w:ascii="Wingdings" w:hAnsi="Wingdings" w:hint="default"/>
      </w:rPr>
    </w:lvl>
  </w:abstractNum>
  <w:abstractNum w:abstractNumId="26" w15:restartNumberingAfterBreak="0">
    <w:nsid w:val="0AA628D4"/>
    <w:multiLevelType w:val="multilevel"/>
    <w:tmpl w:val="7F48683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0ACFF43C"/>
    <w:multiLevelType w:val="hybridMultilevel"/>
    <w:tmpl w:val="D70EC240"/>
    <w:lvl w:ilvl="0" w:tplc="B0E2431A">
      <w:start w:val="1"/>
      <w:numFmt w:val="bullet"/>
      <w:lvlText w:val="-"/>
      <w:lvlJc w:val="left"/>
      <w:pPr>
        <w:ind w:left="720" w:hanging="360"/>
      </w:pPr>
      <w:rPr>
        <w:rFonts w:ascii="Calibri" w:hAnsi="Calibri" w:hint="default"/>
      </w:rPr>
    </w:lvl>
    <w:lvl w:ilvl="1" w:tplc="BBAAF39A">
      <w:start w:val="1"/>
      <w:numFmt w:val="bullet"/>
      <w:lvlText w:val="o"/>
      <w:lvlJc w:val="left"/>
      <w:pPr>
        <w:ind w:left="1440" w:hanging="360"/>
      </w:pPr>
      <w:rPr>
        <w:rFonts w:ascii="Courier New" w:hAnsi="Courier New" w:hint="default"/>
      </w:rPr>
    </w:lvl>
    <w:lvl w:ilvl="2" w:tplc="F9DC0398">
      <w:start w:val="1"/>
      <w:numFmt w:val="bullet"/>
      <w:lvlText w:val=""/>
      <w:lvlJc w:val="left"/>
      <w:pPr>
        <w:ind w:left="2160" w:hanging="360"/>
      </w:pPr>
      <w:rPr>
        <w:rFonts w:ascii="Wingdings" w:hAnsi="Wingdings" w:hint="default"/>
      </w:rPr>
    </w:lvl>
    <w:lvl w:ilvl="3" w:tplc="39BADD5A">
      <w:start w:val="1"/>
      <w:numFmt w:val="bullet"/>
      <w:lvlText w:val=""/>
      <w:lvlJc w:val="left"/>
      <w:pPr>
        <w:ind w:left="2880" w:hanging="360"/>
      </w:pPr>
      <w:rPr>
        <w:rFonts w:ascii="Symbol" w:hAnsi="Symbol" w:hint="default"/>
      </w:rPr>
    </w:lvl>
    <w:lvl w:ilvl="4" w:tplc="52420C94">
      <w:start w:val="1"/>
      <w:numFmt w:val="bullet"/>
      <w:lvlText w:val="o"/>
      <w:lvlJc w:val="left"/>
      <w:pPr>
        <w:ind w:left="3600" w:hanging="360"/>
      </w:pPr>
      <w:rPr>
        <w:rFonts w:ascii="Courier New" w:hAnsi="Courier New" w:hint="default"/>
      </w:rPr>
    </w:lvl>
    <w:lvl w:ilvl="5" w:tplc="E5301BFE">
      <w:start w:val="1"/>
      <w:numFmt w:val="bullet"/>
      <w:lvlText w:val=""/>
      <w:lvlJc w:val="left"/>
      <w:pPr>
        <w:ind w:left="4320" w:hanging="360"/>
      </w:pPr>
      <w:rPr>
        <w:rFonts w:ascii="Wingdings" w:hAnsi="Wingdings" w:hint="default"/>
      </w:rPr>
    </w:lvl>
    <w:lvl w:ilvl="6" w:tplc="4B28C4A6">
      <w:start w:val="1"/>
      <w:numFmt w:val="bullet"/>
      <w:lvlText w:val=""/>
      <w:lvlJc w:val="left"/>
      <w:pPr>
        <w:ind w:left="5040" w:hanging="360"/>
      </w:pPr>
      <w:rPr>
        <w:rFonts w:ascii="Symbol" w:hAnsi="Symbol" w:hint="default"/>
      </w:rPr>
    </w:lvl>
    <w:lvl w:ilvl="7" w:tplc="86E6ACA2">
      <w:start w:val="1"/>
      <w:numFmt w:val="bullet"/>
      <w:lvlText w:val="o"/>
      <w:lvlJc w:val="left"/>
      <w:pPr>
        <w:ind w:left="5760" w:hanging="360"/>
      </w:pPr>
      <w:rPr>
        <w:rFonts w:ascii="Courier New" w:hAnsi="Courier New" w:hint="default"/>
      </w:rPr>
    </w:lvl>
    <w:lvl w:ilvl="8" w:tplc="3EB8AD10">
      <w:start w:val="1"/>
      <w:numFmt w:val="bullet"/>
      <w:lvlText w:val=""/>
      <w:lvlJc w:val="left"/>
      <w:pPr>
        <w:ind w:left="6480" w:hanging="360"/>
      </w:pPr>
      <w:rPr>
        <w:rFonts w:ascii="Wingdings" w:hAnsi="Wingdings" w:hint="default"/>
      </w:rPr>
    </w:lvl>
  </w:abstractNum>
  <w:abstractNum w:abstractNumId="28" w15:restartNumberingAfterBreak="0">
    <w:nsid w:val="0AF91AD9"/>
    <w:multiLevelType w:val="hybridMultilevel"/>
    <w:tmpl w:val="4EEC4C1E"/>
    <w:lvl w:ilvl="0" w:tplc="7FF07966">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0B10DD33"/>
    <w:multiLevelType w:val="hybridMultilevel"/>
    <w:tmpl w:val="FFFFFFFF"/>
    <w:lvl w:ilvl="0" w:tplc="B91600B6">
      <w:start w:val="4"/>
      <w:numFmt w:val="lowerRoman"/>
      <w:lvlText w:val="%1."/>
      <w:lvlJc w:val="right"/>
      <w:pPr>
        <w:ind w:left="1080" w:hanging="360"/>
      </w:pPr>
    </w:lvl>
    <w:lvl w:ilvl="1" w:tplc="A094F63E">
      <w:start w:val="1"/>
      <w:numFmt w:val="lowerLetter"/>
      <w:lvlText w:val="%2."/>
      <w:lvlJc w:val="left"/>
      <w:pPr>
        <w:ind w:left="1440" w:hanging="360"/>
      </w:pPr>
    </w:lvl>
    <w:lvl w:ilvl="2" w:tplc="5BE01252">
      <w:start w:val="1"/>
      <w:numFmt w:val="lowerRoman"/>
      <w:lvlText w:val="%3."/>
      <w:lvlJc w:val="right"/>
      <w:pPr>
        <w:ind w:left="2160" w:hanging="180"/>
      </w:pPr>
    </w:lvl>
    <w:lvl w:ilvl="3" w:tplc="1BF04F5A">
      <w:start w:val="1"/>
      <w:numFmt w:val="decimal"/>
      <w:lvlText w:val="%4."/>
      <w:lvlJc w:val="left"/>
      <w:pPr>
        <w:ind w:left="2880" w:hanging="360"/>
      </w:pPr>
    </w:lvl>
    <w:lvl w:ilvl="4" w:tplc="7E5AC7AC">
      <w:start w:val="1"/>
      <w:numFmt w:val="lowerLetter"/>
      <w:lvlText w:val="%5."/>
      <w:lvlJc w:val="left"/>
      <w:pPr>
        <w:ind w:left="3600" w:hanging="360"/>
      </w:pPr>
    </w:lvl>
    <w:lvl w:ilvl="5" w:tplc="B3C4EB5C">
      <w:start w:val="1"/>
      <w:numFmt w:val="lowerRoman"/>
      <w:lvlText w:val="%6."/>
      <w:lvlJc w:val="right"/>
      <w:pPr>
        <w:ind w:left="4320" w:hanging="180"/>
      </w:pPr>
    </w:lvl>
    <w:lvl w:ilvl="6" w:tplc="B314B830">
      <w:start w:val="1"/>
      <w:numFmt w:val="decimal"/>
      <w:lvlText w:val="%7."/>
      <w:lvlJc w:val="left"/>
      <w:pPr>
        <w:ind w:left="5040" w:hanging="360"/>
      </w:pPr>
    </w:lvl>
    <w:lvl w:ilvl="7" w:tplc="9FD2C964">
      <w:start w:val="1"/>
      <w:numFmt w:val="lowerLetter"/>
      <w:lvlText w:val="%8."/>
      <w:lvlJc w:val="left"/>
      <w:pPr>
        <w:ind w:left="5760" w:hanging="360"/>
      </w:pPr>
    </w:lvl>
    <w:lvl w:ilvl="8" w:tplc="8B3275CA">
      <w:start w:val="1"/>
      <w:numFmt w:val="lowerRoman"/>
      <w:lvlText w:val="%9."/>
      <w:lvlJc w:val="right"/>
      <w:pPr>
        <w:ind w:left="6480" w:hanging="180"/>
      </w:pPr>
    </w:lvl>
  </w:abstractNum>
  <w:abstractNum w:abstractNumId="30" w15:restartNumberingAfterBreak="0">
    <w:nsid w:val="0B3C9F9F"/>
    <w:multiLevelType w:val="hybridMultilevel"/>
    <w:tmpl w:val="FFFFFFFF"/>
    <w:lvl w:ilvl="0" w:tplc="B7B2A624">
      <w:start w:val="1"/>
      <w:numFmt w:val="bullet"/>
      <w:lvlText w:val="-"/>
      <w:lvlJc w:val="left"/>
      <w:pPr>
        <w:ind w:left="720" w:hanging="360"/>
      </w:pPr>
      <w:rPr>
        <w:rFonts w:ascii="Calibri" w:hAnsi="Calibri" w:hint="default"/>
      </w:rPr>
    </w:lvl>
    <w:lvl w:ilvl="1" w:tplc="6614947E">
      <w:start w:val="1"/>
      <w:numFmt w:val="bullet"/>
      <w:lvlText w:val="o"/>
      <w:lvlJc w:val="left"/>
      <w:pPr>
        <w:ind w:left="1440" w:hanging="360"/>
      </w:pPr>
      <w:rPr>
        <w:rFonts w:ascii="Courier New" w:hAnsi="Courier New" w:hint="default"/>
      </w:rPr>
    </w:lvl>
    <w:lvl w:ilvl="2" w:tplc="3FAAA6A0">
      <w:start w:val="1"/>
      <w:numFmt w:val="bullet"/>
      <w:lvlText w:val=""/>
      <w:lvlJc w:val="left"/>
      <w:pPr>
        <w:ind w:left="2160" w:hanging="360"/>
      </w:pPr>
      <w:rPr>
        <w:rFonts w:ascii="Wingdings" w:hAnsi="Wingdings" w:hint="default"/>
      </w:rPr>
    </w:lvl>
    <w:lvl w:ilvl="3" w:tplc="BA1070EE">
      <w:start w:val="1"/>
      <w:numFmt w:val="bullet"/>
      <w:lvlText w:val=""/>
      <w:lvlJc w:val="left"/>
      <w:pPr>
        <w:ind w:left="2880" w:hanging="360"/>
      </w:pPr>
      <w:rPr>
        <w:rFonts w:ascii="Symbol" w:hAnsi="Symbol" w:hint="default"/>
      </w:rPr>
    </w:lvl>
    <w:lvl w:ilvl="4" w:tplc="ED2AEC32">
      <w:start w:val="1"/>
      <w:numFmt w:val="bullet"/>
      <w:lvlText w:val="o"/>
      <w:lvlJc w:val="left"/>
      <w:pPr>
        <w:ind w:left="3600" w:hanging="360"/>
      </w:pPr>
      <w:rPr>
        <w:rFonts w:ascii="Courier New" w:hAnsi="Courier New" w:hint="default"/>
      </w:rPr>
    </w:lvl>
    <w:lvl w:ilvl="5" w:tplc="FA4CE50E">
      <w:start w:val="1"/>
      <w:numFmt w:val="bullet"/>
      <w:lvlText w:val=""/>
      <w:lvlJc w:val="left"/>
      <w:pPr>
        <w:ind w:left="4320" w:hanging="360"/>
      </w:pPr>
      <w:rPr>
        <w:rFonts w:ascii="Wingdings" w:hAnsi="Wingdings" w:hint="default"/>
      </w:rPr>
    </w:lvl>
    <w:lvl w:ilvl="6" w:tplc="CCC2C30A">
      <w:start w:val="1"/>
      <w:numFmt w:val="bullet"/>
      <w:lvlText w:val=""/>
      <w:lvlJc w:val="left"/>
      <w:pPr>
        <w:ind w:left="5040" w:hanging="360"/>
      </w:pPr>
      <w:rPr>
        <w:rFonts w:ascii="Symbol" w:hAnsi="Symbol" w:hint="default"/>
      </w:rPr>
    </w:lvl>
    <w:lvl w:ilvl="7" w:tplc="DA10368C">
      <w:start w:val="1"/>
      <w:numFmt w:val="bullet"/>
      <w:lvlText w:val="o"/>
      <w:lvlJc w:val="left"/>
      <w:pPr>
        <w:ind w:left="5760" w:hanging="360"/>
      </w:pPr>
      <w:rPr>
        <w:rFonts w:ascii="Courier New" w:hAnsi="Courier New" w:hint="default"/>
      </w:rPr>
    </w:lvl>
    <w:lvl w:ilvl="8" w:tplc="F3F6E2AC">
      <w:start w:val="1"/>
      <w:numFmt w:val="bullet"/>
      <w:lvlText w:val=""/>
      <w:lvlJc w:val="left"/>
      <w:pPr>
        <w:ind w:left="6480" w:hanging="360"/>
      </w:pPr>
      <w:rPr>
        <w:rFonts w:ascii="Wingdings" w:hAnsi="Wingdings" w:hint="default"/>
      </w:rPr>
    </w:lvl>
  </w:abstractNum>
  <w:abstractNum w:abstractNumId="31" w15:restartNumberingAfterBreak="0">
    <w:nsid w:val="0B475A00"/>
    <w:multiLevelType w:val="multilevel"/>
    <w:tmpl w:val="E7206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0BAA21EB"/>
    <w:multiLevelType w:val="multilevel"/>
    <w:tmpl w:val="B64E70FC"/>
    <w:lvl w:ilvl="0">
      <w:start w:val="1"/>
      <w:numFmt w:val="bullet"/>
      <w:lvlText w:val="●"/>
      <w:lvlJc w:val="left"/>
      <w:pPr>
        <w:ind w:left="1080" w:hanging="72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0BBB2E31"/>
    <w:multiLevelType w:val="multilevel"/>
    <w:tmpl w:val="9C80828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4" w15:restartNumberingAfterBreak="0">
    <w:nsid w:val="0BE1380B"/>
    <w:multiLevelType w:val="hybridMultilevel"/>
    <w:tmpl w:val="FFFFFFFF"/>
    <w:lvl w:ilvl="0" w:tplc="BEF69C30">
      <w:start w:val="1"/>
      <w:numFmt w:val="decimal"/>
      <w:lvlText w:val="%1."/>
      <w:lvlJc w:val="left"/>
      <w:pPr>
        <w:ind w:left="720" w:hanging="360"/>
      </w:pPr>
    </w:lvl>
    <w:lvl w:ilvl="1" w:tplc="64709142">
      <w:start w:val="6"/>
      <w:numFmt w:val="lowerRoman"/>
      <w:lvlText w:val="%2."/>
      <w:lvlJc w:val="right"/>
      <w:pPr>
        <w:ind w:left="1440" w:hanging="360"/>
      </w:pPr>
    </w:lvl>
    <w:lvl w:ilvl="2" w:tplc="15CA6230">
      <w:start w:val="1"/>
      <w:numFmt w:val="lowerRoman"/>
      <w:lvlText w:val="%3."/>
      <w:lvlJc w:val="right"/>
      <w:pPr>
        <w:ind w:left="2160" w:hanging="180"/>
      </w:pPr>
    </w:lvl>
    <w:lvl w:ilvl="3" w:tplc="45F8A09E">
      <w:start w:val="1"/>
      <w:numFmt w:val="decimal"/>
      <w:lvlText w:val="%4."/>
      <w:lvlJc w:val="left"/>
      <w:pPr>
        <w:ind w:left="2880" w:hanging="360"/>
      </w:pPr>
    </w:lvl>
    <w:lvl w:ilvl="4" w:tplc="7AA45674">
      <w:start w:val="1"/>
      <w:numFmt w:val="lowerLetter"/>
      <w:lvlText w:val="%5."/>
      <w:lvlJc w:val="left"/>
      <w:pPr>
        <w:ind w:left="3600" w:hanging="360"/>
      </w:pPr>
    </w:lvl>
    <w:lvl w:ilvl="5" w:tplc="0534E698">
      <w:start w:val="1"/>
      <w:numFmt w:val="lowerRoman"/>
      <w:lvlText w:val="%6."/>
      <w:lvlJc w:val="right"/>
      <w:pPr>
        <w:ind w:left="4320" w:hanging="180"/>
      </w:pPr>
    </w:lvl>
    <w:lvl w:ilvl="6" w:tplc="0D165768">
      <w:start w:val="1"/>
      <w:numFmt w:val="decimal"/>
      <w:lvlText w:val="%7."/>
      <w:lvlJc w:val="left"/>
      <w:pPr>
        <w:ind w:left="5040" w:hanging="360"/>
      </w:pPr>
    </w:lvl>
    <w:lvl w:ilvl="7" w:tplc="8FD0AF92">
      <w:start w:val="1"/>
      <w:numFmt w:val="lowerLetter"/>
      <w:lvlText w:val="%8."/>
      <w:lvlJc w:val="left"/>
      <w:pPr>
        <w:ind w:left="5760" w:hanging="360"/>
      </w:pPr>
    </w:lvl>
    <w:lvl w:ilvl="8" w:tplc="06761AFE">
      <w:start w:val="1"/>
      <w:numFmt w:val="lowerRoman"/>
      <w:lvlText w:val="%9."/>
      <w:lvlJc w:val="right"/>
      <w:pPr>
        <w:ind w:left="6480" w:hanging="180"/>
      </w:pPr>
    </w:lvl>
  </w:abstractNum>
  <w:abstractNum w:abstractNumId="35" w15:restartNumberingAfterBreak="0">
    <w:nsid w:val="0C4C60E3"/>
    <w:multiLevelType w:val="hybridMultilevel"/>
    <w:tmpl w:val="39AE15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0C8367E9"/>
    <w:multiLevelType w:val="hybridMultilevel"/>
    <w:tmpl w:val="FFFFFFFF"/>
    <w:lvl w:ilvl="0" w:tplc="AA5ADAA2">
      <w:start w:val="1"/>
      <w:numFmt w:val="bullet"/>
      <w:lvlText w:val=""/>
      <w:lvlJc w:val="left"/>
      <w:pPr>
        <w:ind w:left="720" w:hanging="360"/>
      </w:pPr>
      <w:rPr>
        <w:rFonts w:ascii="Symbol" w:hAnsi="Symbol" w:hint="default"/>
      </w:rPr>
    </w:lvl>
    <w:lvl w:ilvl="1" w:tplc="3C46AC64">
      <w:start w:val="1"/>
      <w:numFmt w:val="bullet"/>
      <w:lvlText w:val="o"/>
      <w:lvlJc w:val="left"/>
      <w:pPr>
        <w:ind w:left="1440" w:hanging="360"/>
      </w:pPr>
      <w:rPr>
        <w:rFonts w:ascii="Courier New" w:hAnsi="Courier New" w:hint="default"/>
      </w:rPr>
    </w:lvl>
    <w:lvl w:ilvl="2" w:tplc="0A7CB06A">
      <w:start w:val="1"/>
      <w:numFmt w:val="bullet"/>
      <w:lvlText w:val=""/>
      <w:lvlJc w:val="left"/>
      <w:pPr>
        <w:ind w:left="2160" w:hanging="360"/>
      </w:pPr>
      <w:rPr>
        <w:rFonts w:ascii="Wingdings" w:hAnsi="Wingdings" w:hint="default"/>
      </w:rPr>
    </w:lvl>
    <w:lvl w:ilvl="3" w:tplc="6E02D9A6">
      <w:start w:val="1"/>
      <w:numFmt w:val="bullet"/>
      <w:lvlText w:val=""/>
      <w:lvlJc w:val="left"/>
      <w:pPr>
        <w:ind w:left="2880" w:hanging="360"/>
      </w:pPr>
      <w:rPr>
        <w:rFonts w:ascii="Symbol" w:hAnsi="Symbol" w:hint="default"/>
      </w:rPr>
    </w:lvl>
    <w:lvl w:ilvl="4" w:tplc="41107FF2">
      <w:start w:val="1"/>
      <w:numFmt w:val="bullet"/>
      <w:lvlText w:val="o"/>
      <w:lvlJc w:val="left"/>
      <w:pPr>
        <w:ind w:left="3600" w:hanging="360"/>
      </w:pPr>
      <w:rPr>
        <w:rFonts w:ascii="Courier New" w:hAnsi="Courier New" w:hint="default"/>
      </w:rPr>
    </w:lvl>
    <w:lvl w:ilvl="5" w:tplc="02E2FA12">
      <w:start w:val="1"/>
      <w:numFmt w:val="bullet"/>
      <w:lvlText w:val=""/>
      <w:lvlJc w:val="left"/>
      <w:pPr>
        <w:ind w:left="4320" w:hanging="360"/>
      </w:pPr>
      <w:rPr>
        <w:rFonts w:ascii="Wingdings" w:hAnsi="Wingdings" w:hint="default"/>
      </w:rPr>
    </w:lvl>
    <w:lvl w:ilvl="6" w:tplc="0736E644">
      <w:start w:val="1"/>
      <w:numFmt w:val="bullet"/>
      <w:lvlText w:val=""/>
      <w:lvlJc w:val="left"/>
      <w:pPr>
        <w:ind w:left="5040" w:hanging="360"/>
      </w:pPr>
      <w:rPr>
        <w:rFonts w:ascii="Symbol" w:hAnsi="Symbol" w:hint="default"/>
      </w:rPr>
    </w:lvl>
    <w:lvl w:ilvl="7" w:tplc="548CF4E0">
      <w:start w:val="1"/>
      <w:numFmt w:val="bullet"/>
      <w:lvlText w:val="o"/>
      <w:lvlJc w:val="left"/>
      <w:pPr>
        <w:ind w:left="5760" w:hanging="360"/>
      </w:pPr>
      <w:rPr>
        <w:rFonts w:ascii="Courier New" w:hAnsi="Courier New" w:hint="default"/>
      </w:rPr>
    </w:lvl>
    <w:lvl w:ilvl="8" w:tplc="B6742DCC">
      <w:start w:val="1"/>
      <w:numFmt w:val="bullet"/>
      <w:lvlText w:val=""/>
      <w:lvlJc w:val="left"/>
      <w:pPr>
        <w:ind w:left="6480" w:hanging="360"/>
      </w:pPr>
      <w:rPr>
        <w:rFonts w:ascii="Wingdings" w:hAnsi="Wingdings" w:hint="default"/>
      </w:rPr>
    </w:lvl>
  </w:abstractNum>
  <w:abstractNum w:abstractNumId="37" w15:restartNumberingAfterBreak="0">
    <w:nsid w:val="0CC18F91"/>
    <w:multiLevelType w:val="hybridMultilevel"/>
    <w:tmpl w:val="A14C6BC4"/>
    <w:lvl w:ilvl="0" w:tplc="AED0E530">
      <w:start w:val="2"/>
      <w:numFmt w:val="lowerLetter"/>
      <w:lvlText w:val="%1)"/>
      <w:lvlJc w:val="left"/>
      <w:pPr>
        <w:ind w:left="720" w:hanging="360"/>
      </w:pPr>
    </w:lvl>
    <w:lvl w:ilvl="1" w:tplc="165AB8EE">
      <w:start w:val="1"/>
      <w:numFmt w:val="lowerLetter"/>
      <w:lvlText w:val="%2."/>
      <w:lvlJc w:val="left"/>
      <w:pPr>
        <w:ind w:left="1440" w:hanging="360"/>
      </w:pPr>
    </w:lvl>
    <w:lvl w:ilvl="2" w:tplc="2BC2FB8C">
      <w:start w:val="1"/>
      <w:numFmt w:val="lowerRoman"/>
      <w:lvlText w:val="%3."/>
      <w:lvlJc w:val="right"/>
      <w:pPr>
        <w:ind w:left="2160" w:hanging="180"/>
      </w:pPr>
    </w:lvl>
    <w:lvl w:ilvl="3" w:tplc="ABBA827E">
      <w:start w:val="1"/>
      <w:numFmt w:val="decimal"/>
      <w:lvlText w:val="%4."/>
      <w:lvlJc w:val="left"/>
      <w:pPr>
        <w:ind w:left="2880" w:hanging="360"/>
      </w:pPr>
    </w:lvl>
    <w:lvl w:ilvl="4" w:tplc="7AE4DD2E">
      <w:start w:val="1"/>
      <w:numFmt w:val="lowerLetter"/>
      <w:lvlText w:val="%5."/>
      <w:lvlJc w:val="left"/>
      <w:pPr>
        <w:ind w:left="3600" w:hanging="360"/>
      </w:pPr>
    </w:lvl>
    <w:lvl w:ilvl="5" w:tplc="C874ACE2">
      <w:start w:val="1"/>
      <w:numFmt w:val="lowerRoman"/>
      <w:lvlText w:val="%6."/>
      <w:lvlJc w:val="right"/>
      <w:pPr>
        <w:ind w:left="4320" w:hanging="180"/>
      </w:pPr>
    </w:lvl>
    <w:lvl w:ilvl="6" w:tplc="CB7037B8">
      <w:start w:val="1"/>
      <w:numFmt w:val="decimal"/>
      <w:lvlText w:val="%7."/>
      <w:lvlJc w:val="left"/>
      <w:pPr>
        <w:ind w:left="5040" w:hanging="360"/>
      </w:pPr>
    </w:lvl>
    <w:lvl w:ilvl="7" w:tplc="108A0352">
      <w:start w:val="1"/>
      <w:numFmt w:val="lowerLetter"/>
      <w:lvlText w:val="%8."/>
      <w:lvlJc w:val="left"/>
      <w:pPr>
        <w:ind w:left="5760" w:hanging="360"/>
      </w:pPr>
    </w:lvl>
    <w:lvl w:ilvl="8" w:tplc="C122B16A">
      <w:start w:val="1"/>
      <w:numFmt w:val="lowerRoman"/>
      <w:lvlText w:val="%9."/>
      <w:lvlJc w:val="right"/>
      <w:pPr>
        <w:ind w:left="6480" w:hanging="180"/>
      </w:pPr>
    </w:lvl>
  </w:abstractNum>
  <w:abstractNum w:abstractNumId="38" w15:restartNumberingAfterBreak="0">
    <w:nsid w:val="0CDA4A76"/>
    <w:multiLevelType w:val="hybridMultilevel"/>
    <w:tmpl w:val="9EC09702"/>
    <w:lvl w:ilvl="0" w:tplc="D56649B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0CEE6450"/>
    <w:multiLevelType w:val="hybridMultilevel"/>
    <w:tmpl w:val="FFFFFFFF"/>
    <w:lvl w:ilvl="0" w:tplc="F4B44376">
      <w:start w:val="1"/>
      <w:numFmt w:val="decimal"/>
      <w:lvlText w:val="%1."/>
      <w:lvlJc w:val="left"/>
      <w:pPr>
        <w:ind w:left="720" w:hanging="360"/>
      </w:pPr>
    </w:lvl>
    <w:lvl w:ilvl="1" w:tplc="8BB87FDC">
      <w:start w:val="7"/>
      <w:numFmt w:val="lowerRoman"/>
      <w:lvlText w:val="%2."/>
      <w:lvlJc w:val="right"/>
      <w:pPr>
        <w:ind w:left="1080" w:hanging="360"/>
      </w:pPr>
    </w:lvl>
    <w:lvl w:ilvl="2" w:tplc="BC06ABF6">
      <w:start w:val="1"/>
      <w:numFmt w:val="lowerRoman"/>
      <w:lvlText w:val="%3."/>
      <w:lvlJc w:val="right"/>
      <w:pPr>
        <w:ind w:left="2160" w:hanging="180"/>
      </w:pPr>
    </w:lvl>
    <w:lvl w:ilvl="3" w:tplc="ADDC4D30">
      <w:start w:val="1"/>
      <w:numFmt w:val="decimal"/>
      <w:lvlText w:val="%4."/>
      <w:lvlJc w:val="left"/>
      <w:pPr>
        <w:ind w:left="2880" w:hanging="360"/>
      </w:pPr>
    </w:lvl>
    <w:lvl w:ilvl="4" w:tplc="B9DCDB0C">
      <w:start w:val="1"/>
      <w:numFmt w:val="lowerLetter"/>
      <w:lvlText w:val="%5."/>
      <w:lvlJc w:val="left"/>
      <w:pPr>
        <w:ind w:left="3600" w:hanging="360"/>
      </w:pPr>
    </w:lvl>
    <w:lvl w:ilvl="5" w:tplc="D34E03A0">
      <w:start w:val="1"/>
      <w:numFmt w:val="lowerRoman"/>
      <w:lvlText w:val="%6."/>
      <w:lvlJc w:val="right"/>
      <w:pPr>
        <w:ind w:left="4320" w:hanging="180"/>
      </w:pPr>
    </w:lvl>
    <w:lvl w:ilvl="6" w:tplc="5BA07C5A">
      <w:start w:val="1"/>
      <w:numFmt w:val="decimal"/>
      <w:lvlText w:val="%7."/>
      <w:lvlJc w:val="left"/>
      <w:pPr>
        <w:ind w:left="5040" w:hanging="360"/>
      </w:pPr>
    </w:lvl>
    <w:lvl w:ilvl="7" w:tplc="FB521A96">
      <w:start w:val="1"/>
      <w:numFmt w:val="lowerLetter"/>
      <w:lvlText w:val="%8."/>
      <w:lvlJc w:val="left"/>
      <w:pPr>
        <w:ind w:left="5760" w:hanging="360"/>
      </w:pPr>
    </w:lvl>
    <w:lvl w:ilvl="8" w:tplc="419EDC2C">
      <w:start w:val="1"/>
      <w:numFmt w:val="lowerRoman"/>
      <w:lvlText w:val="%9."/>
      <w:lvlJc w:val="right"/>
      <w:pPr>
        <w:ind w:left="6480" w:hanging="180"/>
      </w:pPr>
    </w:lvl>
  </w:abstractNum>
  <w:abstractNum w:abstractNumId="40" w15:restartNumberingAfterBreak="0">
    <w:nsid w:val="0DB68E27"/>
    <w:multiLevelType w:val="hybridMultilevel"/>
    <w:tmpl w:val="FFFFFFFF"/>
    <w:lvl w:ilvl="0" w:tplc="3B78E514">
      <w:start w:val="4"/>
      <w:numFmt w:val="lowerRoman"/>
      <w:lvlText w:val="%1."/>
      <w:lvlJc w:val="right"/>
      <w:pPr>
        <w:ind w:left="1080" w:hanging="360"/>
      </w:pPr>
    </w:lvl>
    <w:lvl w:ilvl="1" w:tplc="B824DD86">
      <w:start w:val="1"/>
      <w:numFmt w:val="lowerLetter"/>
      <w:lvlText w:val="%2."/>
      <w:lvlJc w:val="left"/>
      <w:pPr>
        <w:ind w:left="1440" w:hanging="360"/>
      </w:pPr>
    </w:lvl>
    <w:lvl w:ilvl="2" w:tplc="E85CB7AC">
      <w:start w:val="1"/>
      <w:numFmt w:val="lowerRoman"/>
      <w:lvlText w:val="%3."/>
      <w:lvlJc w:val="right"/>
      <w:pPr>
        <w:ind w:left="2160" w:hanging="180"/>
      </w:pPr>
    </w:lvl>
    <w:lvl w:ilvl="3" w:tplc="CB38D1CE">
      <w:start w:val="1"/>
      <w:numFmt w:val="decimal"/>
      <w:lvlText w:val="%4."/>
      <w:lvlJc w:val="left"/>
      <w:pPr>
        <w:ind w:left="2880" w:hanging="360"/>
      </w:pPr>
    </w:lvl>
    <w:lvl w:ilvl="4" w:tplc="5846DA76">
      <w:start w:val="1"/>
      <w:numFmt w:val="lowerLetter"/>
      <w:lvlText w:val="%5."/>
      <w:lvlJc w:val="left"/>
      <w:pPr>
        <w:ind w:left="3600" w:hanging="360"/>
      </w:pPr>
    </w:lvl>
    <w:lvl w:ilvl="5" w:tplc="7D383410">
      <w:start w:val="1"/>
      <w:numFmt w:val="lowerRoman"/>
      <w:lvlText w:val="%6."/>
      <w:lvlJc w:val="right"/>
      <w:pPr>
        <w:ind w:left="4320" w:hanging="180"/>
      </w:pPr>
    </w:lvl>
    <w:lvl w:ilvl="6" w:tplc="DB68DC34">
      <w:start w:val="1"/>
      <w:numFmt w:val="decimal"/>
      <w:lvlText w:val="%7."/>
      <w:lvlJc w:val="left"/>
      <w:pPr>
        <w:ind w:left="5040" w:hanging="360"/>
      </w:pPr>
    </w:lvl>
    <w:lvl w:ilvl="7" w:tplc="48DC9AC2">
      <w:start w:val="1"/>
      <w:numFmt w:val="lowerLetter"/>
      <w:lvlText w:val="%8."/>
      <w:lvlJc w:val="left"/>
      <w:pPr>
        <w:ind w:left="5760" w:hanging="360"/>
      </w:pPr>
    </w:lvl>
    <w:lvl w:ilvl="8" w:tplc="A13850C2">
      <w:start w:val="1"/>
      <w:numFmt w:val="lowerRoman"/>
      <w:lvlText w:val="%9."/>
      <w:lvlJc w:val="right"/>
      <w:pPr>
        <w:ind w:left="6480" w:hanging="180"/>
      </w:pPr>
    </w:lvl>
  </w:abstractNum>
  <w:abstractNum w:abstractNumId="41" w15:restartNumberingAfterBreak="0">
    <w:nsid w:val="0DC1E80A"/>
    <w:multiLevelType w:val="hybridMultilevel"/>
    <w:tmpl w:val="FFFFFFFF"/>
    <w:lvl w:ilvl="0" w:tplc="BE7E86D0">
      <w:start w:val="6"/>
      <w:numFmt w:val="lowerLetter"/>
      <w:lvlText w:val="%1)"/>
      <w:lvlJc w:val="left"/>
      <w:pPr>
        <w:ind w:left="720" w:hanging="360"/>
      </w:pPr>
    </w:lvl>
    <w:lvl w:ilvl="1" w:tplc="7550149A">
      <w:start w:val="1"/>
      <w:numFmt w:val="lowerLetter"/>
      <w:lvlText w:val="%2."/>
      <w:lvlJc w:val="left"/>
      <w:pPr>
        <w:ind w:left="1440" w:hanging="360"/>
      </w:pPr>
    </w:lvl>
    <w:lvl w:ilvl="2" w:tplc="BF6633F8">
      <w:start w:val="1"/>
      <w:numFmt w:val="lowerRoman"/>
      <w:lvlText w:val="%3."/>
      <w:lvlJc w:val="right"/>
      <w:pPr>
        <w:ind w:left="2160" w:hanging="180"/>
      </w:pPr>
    </w:lvl>
    <w:lvl w:ilvl="3" w:tplc="103E55BA">
      <w:start w:val="1"/>
      <w:numFmt w:val="decimal"/>
      <w:lvlText w:val="%4."/>
      <w:lvlJc w:val="left"/>
      <w:pPr>
        <w:ind w:left="2880" w:hanging="360"/>
      </w:pPr>
    </w:lvl>
    <w:lvl w:ilvl="4" w:tplc="2FB82902">
      <w:start w:val="1"/>
      <w:numFmt w:val="lowerLetter"/>
      <w:lvlText w:val="%5."/>
      <w:lvlJc w:val="left"/>
      <w:pPr>
        <w:ind w:left="3600" w:hanging="360"/>
      </w:pPr>
    </w:lvl>
    <w:lvl w:ilvl="5" w:tplc="B756E938">
      <w:start w:val="1"/>
      <w:numFmt w:val="lowerRoman"/>
      <w:lvlText w:val="%6."/>
      <w:lvlJc w:val="right"/>
      <w:pPr>
        <w:ind w:left="4320" w:hanging="180"/>
      </w:pPr>
    </w:lvl>
    <w:lvl w:ilvl="6" w:tplc="A8DC9816">
      <w:start w:val="1"/>
      <w:numFmt w:val="decimal"/>
      <w:lvlText w:val="%7."/>
      <w:lvlJc w:val="left"/>
      <w:pPr>
        <w:ind w:left="5040" w:hanging="360"/>
      </w:pPr>
    </w:lvl>
    <w:lvl w:ilvl="7" w:tplc="27926530">
      <w:start w:val="1"/>
      <w:numFmt w:val="lowerLetter"/>
      <w:lvlText w:val="%8."/>
      <w:lvlJc w:val="left"/>
      <w:pPr>
        <w:ind w:left="5760" w:hanging="360"/>
      </w:pPr>
    </w:lvl>
    <w:lvl w:ilvl="8" w:tplc="6B2A953A">
      <w:start w:val="1"/>
      <w:numFmt w:val="lowerRoman"/>
      <w:lvlText w:val="%9."/>
      <w:lvlJc w:val="right"/>
      <w:pPr>
        <w:ind w:left="6480" w:hanging="180"/>
      </w:pPr>
    </w:lvl>
  </w:abstractNum>
  <w:abstractNum w:abstractNumId="42" w15:restartNumberingAfterBreak="0">
    <w:nsid w:val="0E077550"/>
    <w:multiLevelType w:val="hybridMultilevel"/>
    <w:tmpl w:val="FFFFFFFF"/>
    <w:lvl w:ilvl="0" w:tplc="B9F6BC16">
      <w:start w:val="1"/>
      <w:numFmt w:val="bullet"/>
      <w:lvlText w:val=""/>
      <w:lvlJc w:val="left"/>
      <w:pPr>
        <w:ind w:left="720" w:hanging="360"/>
      </w:pPr>
      <w:rPr>
        <w:rFonts w:ascii="Symbol" w:hAnsi="Symbol" w:hint="default"/>
      </w:rPr>
    </w:lvl>
    <w:lvl w:ilvl="1" w:tplc="3EEA0C08">
      <w:start w:val="1"/>
      <w:numFmt w:val="bullet"/>
      <w:lvlText w:val="o"/>
      <w:lvlJc w:val="left"/>
      <w:pPr>
        <w:ind w:left="1440" w:hanging="360"/>
      </w:pPr>
      <w:rPr>
        <w:rFonts w:ascii="&quot;Courier New&quot;" w:hAnsi="&quot;Courier New&quot;" w:hint="default"/>
      </w:rPr>
    </w:lvl>
    <w:lvl w:ilvl="2" w:tplc="E95E47D4">
      <w:start w:val="1"/>
      <w:numFmt w:val="bullet"/>
      <w:lvlText w:val=""/>
      <w:lvlJc w:val="left"/>
      <w:pPr>
        <w:ind w:left="2160" w:hanging="360"/>
      </w:pPr>
      <w:rPr>
        <w:rFonts w:ascii="Wingdings" w:hAnsi="Wingdings" w:hint="default"/>
      </w:rPr>
    </w:lvl>
    <w:lvl w:ilvl="3" w:tplc="137263E0">
      <w:start w:val="1"/>
      <w:numFmt w:val="bullet"/>
      <w:lvlText w:val=""/>
      <w:lvlJc w:val="left"/>
      <w:pPr>
        <w:ind w:left="2880" w:hanging="360"/>
      </w:pPr>
      <w:rPr>
        <w:rFonts w:ascii="Symbol" w:hAnsi="Symbol" w:hint="default"/>
      </w:rPr>
    </w:lvl>
    <w:lvl w:ilvl="4" w:tplc="261A2852">
      <w:start w:val="1"/>
      <w:numFmt w:val="bullet"/>
      <w:lvlText w:val="o"/>
      <w:lvlJc w:val="left"/>
      <w:pPr>
        <w:ind w:left="3600" w:hanging="360"/>
      </w:pPr>
      <w:rPr>
        <w:rFonts w:ascii="Courier New" w:hAnsi="Courier New" w:hint="default"/>
      </w:rPr>
    </w:lvl>
    <w:lvl w:ilvl="5" w:tplc="5C30F786">
      <w:start w:val="1"/>
      <w:numFmt w:val="bullet"/>
      <w:lvlText w:val=""/>
      <w:lvlJc w:val="left"/>
      <w:pPr>
        <w:ind w:left="4320" w:hanging="360"/>
      </w:pPr>
      <w:rPr>
        <w:rFonts w:ascii="Wingdings" w:hAnsi="Wingdings" w:hint="default"/>
      </w:rPr>
    </w:lvl>
    <w:lvl w:ilvl="6" w:tplc="7DC0A66A">
      <w:start w:val="1"/>
      <w:numFmt w:val="bullet"/>
      <w:lvlText w:val=""/>
      <w:lvlJc w:val="left"/>
      <w:pPr>
        <w:ind w:left="5040" w:hanging="360"/>
      </w:pPr>
      <w:rPr>
        <w:rFonts w:ascii="Symbol" w:hAnsi="Symbol" w:hint="default"/>
      </w:rPr>
    </w:lvl>
    <w:lvl w:ilvl="7" w:tplc="A0766588">
      <w:start w:val="1"/>
      <w:numFmt w:val="bullet"/>
      <w:lvlText w:val="o"/>
      <w:lvlJc w:val="left"/>
      <w:pPr>
        <w:ind w:left="5760" w:hanging="360"/>
      </w:pPr>
      <w:rPr>
        <w:rFonts w:ascii="Courier New" w:hAnsi="Courier New" w:hint="default"/>
      </w:rPr>
    </w:lvl>
    <w:lvl w:ilvl="8" w:tplc="74426A4E">
      <w:start w:val="1"/>
      <w:numFmt w:val="bullet"/>
      <w:lvlText w:val=""/>
      <w:lvlJc w:val="left"/>
      <w:pPr>
        <w:ind w:left="6480" w:hanging="360"/>
      </w:pPr>
      <w:rPr>
        <w:rFonts w:ascii="Wingdings" w:hAnsi="Wingdings" w:hint="default"/>
      </w:rPr>
    </w:lvl>
  </w:abstractNum>
  <w:abstractNum w:abstractNumId="43" w15:restartNumberingAfterBreak="0">
    <w:nsid w:val="0E1D807F"/>
    <w:multiLevelType w:val="hybridMultilevel"/>
    <w:tmpl w:val="FFFFFFFF"/>
    <w:lvl w:ilvl="0" w:tplc="8FFE6B72">
      <w:start w:val="1"/>
      <w:numFmt w:val="bullet"/>
      <w:lvlText w:val="·"/>
      <w:lvlJc w:val="left"/>
      <w:pPr>
        <w:ind w:left="720" w:hanging="360"/>
      </w:pPr>
      <w:rPr>
        <w:rFonts w:ascii="&quot;Times New Roman&quot;,serif" w:hAnsi="&quot;Times New Roman&quot;,serif" w:hint="default"/>
      </w:rPr>
    </w:lvl>
    <w:lvl w:ilvl="1" w:tplc="61043198">
      <w:start w:val="1"/>
      <w:numFmt w:val="bullet"/>
      <w:lvlText w:val="o"/>
      <w:lvlJc w:val="left"/>
      <w:pPr>
        <w:ind w:left="1440" w:hanging="360"/>
      </w:pPr>
      <w:rPr>
        <w:rFonts w:ascii="Courier New" w:hAnsi="Courier New" w:hint="default"/>
      </w:rPr>
    </w:lvl>
    <w:lvl w:ilvl="2" w:tplc="0C64D5FA">
      <w:start w:val="1"/>
      <w:numFmt w:val="bullet"/>
      <w:lvlText w:val=""/>
      <w:lvlJc w:val="left"/>
      <w:pPr>
        <w:ind w:left="2160" w:hanging="360"/>
      </w:pPr>
      <w:rPr>
        <w:rFonts w:ascii="Wingdings" w:hAnsi="Wingdings" w:hint="default"/>
      </w:rPr>
    </w:lvl>
    <w:lvl w:ilvl="3" w:tplc="8B6C1440">
      <w:start w:val="1"/>
      <w:numFmt w:val="bullet"/>
      <w:lvlText w:val=""/>
      <w:lvlJc w:val="left"/>
      <w:pPr>
        <w:ind w:left="2880" w:hanging="360"/>
      </w:pPr>
      <w:rPr>
        <w:rFonts w:ascii="Symbol" w:hAnsi="Symbol" w:hint="default"/>
      </w:rPr>
    </w:lvl>
    <w:lvl w:ilvl="4" w:tplc="2634FE20">
      <w:start w:val="1"/>
      <w:numFmt w:val="bullet"/>
      <w:lvlText w:val="o"/>
      <w:lvlJc w:val="left"/>
      <w:pPr>
        <w:ind w:left="3600" w:hanging="360"/>
      </w:pPr>
      <w:rPr>
        <w:rFonts w:ascii="Courier New" w:hAnsi="Courier New" w:hint="default"/>
      </w:rPr>
    </w:lvl>
    <w:lvl w:ilvl="5" w:tplc="BA7EEB2E">
      <w:start w:val="1"/>
      <w:numFmt w:val="bullet"/>
      <w:lvlText w:val=""/>
      <w:lvlJc w:val="left"/>
      <w:pPr>
        <w:ind w:left="4320" w:hanging="360"/>
      </w:pPr>
      <w:rPr>
        <w:rFonts w:ascii="Wingdings" w:hAnsi="Wingdings" w:hint="default"/>
      </w:rPr>
    </w:lvl>
    <w:lvl w:ilvl="6" w:tplc="F8324CC2">
      <w:start w:val="1"/>
      <w:numFmt w:val="bullet"/>
      <w:lvlText w:val=""/>
      <w:lvlJc w:val="left"/>
      <w:pPr>
        <w:ind w:left="5040" w:hanging="360"/>
      </w:pPr>
      <w:rPr>
        <w:rFonts w:ascii="Symbol" w:hAnsi="Symbol" w:hint="default"/>
      </w:rPr>
    </w:lvl>
    <w:lvl w:ilvl="7" w:tplc="04EE7658">
      <w:start w:val="1"/>
      <w:numFmt w:val="bullet"/>
      <w:lvlText w:val="o"/>
      <w:lvlJc w:val="left"/>
      <w:pPr>
        <w:ind w:left="5760" w:hanging="360"/>
      </w:pPr>
      <w:rPr>
        <w:rFonts w:ascii="Courier New" w:hAnsi="Courier New" w:hint="default"/>
      </w:rPr>
    </w:lvl>
    <w:lvl w:ilvl="8" w:tplc="914450FC">
      <w:start w:val="1"/>
      <w:numFmt w:val="bullet"/>
      <w:lvlText w:val=""/>
      <w:lvlJc w:val="left"/>
      <w:pPr>
        <w:ind w:left="6480" w:hanging="360"/>
      </w:pPr>
      <w:rPr>
        <w:rFonts w:ascii="Wingdings" w:hAnsi="Wingdings" w:hint="default"/>
      </w:rPr>
    </w:lvl>
  </w:abstractNum>
  <w:abstractNum w:abstractNumId="44" w15:restartNumberingAfterBreak="0">
    <w:nsid w:val="0E683BFC"/>
    <w:multiLevelType w:val="hybridMultilevel"/>
    <w:tmpl w:val="FFFFFFFF"/>
    <w:lvl w:ilvl="0" w:tplc="7EB688DC">
      <w:start w:val="1"/>
      <w:numFmt w:val="bullet"/>
      <w:lvlText w:val="o"/>
      <w:lvlJc w:val="left"/>
      <w:pPr>
        <w:ind w:left="1080" w:hanging="360"/>
      </w:pPr>
      <w:rPr>
        <w:rFonts w:ascii="Courier New" w:hAnsi="Courier New" w:hint="default"/>
      </w:rPr>
    </w:lvl>
    <w:lvl w:ilvl="1" w:tplc="CD3E5D0C">
      <w:start w:val="1"/>
      <w:numFmt w:val="bullet"/>
      <w:lvlText w:val="o"/>
      <w:lvlJc w:val="left"/>
      <w:pPr>
        <w:ind w:left="1440" w:hanging="360"/>
      </w:pPr>
      <w:rPr>
        <w:rFonts w:ascii="Courier New" w:hAnsi="Courier New" w:hint="default"/>
      </w:rPr>
    </w:lvl>
    <w:lvl w:ilvl="2" w:tplc="F4FC26C2">
      <w:start w:val="1"/>
      <w:numFmt w:val="bullet"/>
      <w:lvlText w:val=""/>
      <w:lvlJc w:val="left"/>
      <w:pPr>
        <w:ind w:left="2160" w:hanging="360"/>
      </w:pPr>
      <w:rPr>
        <w:rFonts w:ascii="Wingdings" w:hAnsi="Wingdings" w:hint="default"/>
      </w:rPr>
    </w:lvl>
    <w:lvl w:ilvl="3" w:tplc="6BFC401E">
      <w:start w:val="1"/>
      <w:numFmt w:val="bullet"/>
      <w:lvlText w:val=""/>
      <w:lvlJc w:val="left"/>
      <w:pPr>
        <w:ind w:left="2880" w:hanging="360"/>
      </w:pPr>
      <w:rPr>
        <w:rFonts w:ascii="Symbol" w:hAnsi="Symbol" w:hint="default"/>
      </w:rPr>
    </w:lvl>
    <w:lvl w:ilvl="4" w:tplc="2B0A9CDC">
      <w:start w:val="1"/>
      <w:numFmt w:val="bullet"/>
      <w:lvlText w:val="o"/>
      <w:lvlJc w:val="left"/>
      <w:pPr>
        <w:ind w:left="3600" w:hanging="360"/>
      </w:pPr>
      <w:rPr>
        <w:rFonts w:ascii="Courier New" w:hAnsi="Courier New" w:hint="default"/>
      </w:rPr>
    </w:lvl>
    <w:lvl w:ilvl="5" w:tplc="2918F2BE">
      <w:start w:val="1"/>
      <w:numFmt w:val="bullet"/>
      <w:lvlText w:val=""/>
      <w:lvlJc w:val="left"/>
      <w:pPr>
        <w:ind w:left="4320" w:hanging="360"/>
      </w:pPr>
      <w:rPr>
        <w:rFonts w:ascii="Wingdings" w:hAnsi="Wingdings" w:hint="default"/>
      </w:rPr>
    </w:lvl>
    <w:lvl w:ilvl="6" w:tplc="2ACAD418">
      <w:start w:val="1"/>
      <w:numFmt w:val="bullet"/>
      <w:lvlText w:val=""/>
      <w:lvlJc w:val="left"/>
      <w:pPr>
        <w:ind w:left="5040" w:hanging="360"/>
      </w:pPr>
      <w:rPr>
        <w:rFonts w:ascii="Symbol" w:hAnsi="Symbol" w:hint="default"/>
      </w:rPr>
    </w:lvl>
    <w:lvl w:ilvl="7" w:tplc="2CB8DCBA">
      <w:start w:val="1"/>
      <w:numFmt w:val="bullet"/>
      <w:lvlText w:val="o"/>
      <w:lvlJc w:val="left"/>
      <w:pPr>
        <w:ind w:left="5760" w:hanging="360"/>
      </w:pPr>
      <w:rPr>
        <w:rFonts w:ascii="Courier New" w:hAnsi="Courier New" w:hint="default"/>
      </w:rPr>
    </w:lvl>
    <w:lvl w:ilvl="8" w:tplc="6EF88DC4">
      <w:start w:val="1"/>
      <w:numFmt w:val="bullet"/>
      <w:lvlText w:val=""/>
      <w:lvlJc w:val="left"/>
      <w:pPr>
        <w:ind w:left="6480" w:hanging="360"/>
      </w:pPr>
      <w:rPr>
        <w:rFonts w:ascii="Wingdings" w:hAnsi="Wingdings" w:hint="default"/>
      </w:rPr>
    </w:lvl>
  </w:abstractNum>
  <w:abstractNum w:abstractNumId="45" w15:restartNumberingAfterBreak="0">
    <w:nsid w:val="0F0CAF05"/>
    <w:multiLevelType w:val="hybridMultilevel"/>
    <w:tmpl w:val="FFFFFFFF"/>
    <w:lvl w:ilvl="0" w:tplc="B00C277E">
      <w:start w:val="1"/>
      <w:numFmt w:val="bullet"/>
      <w:lvlText w:val=""/>
      <w:lvlJc w:val="left"/>
      <w:pPr>
        <w:ind w:left="720" w:hanging="360"/>
      </w:pPr>
      <w:rPr>
        <w:rFonts w:ascii="Symbol" w:hAnsi="Symbol" w:hint="default"/>
      </w:rPr>
    </w:lvl>
    <w:lvl w:ilvl="1" w:tplc="96142172">
      <w:start w:val="1"/>
      <w:numFmt w:val="bullet"/>
      <w:lvlText w:val="o"/>
      <w:lvlJc w:val="left"/>
      <w:pPr>
        <w:ind w:left="1440" w:hanging="360"/>
      </w:pPr>
      <w:rPr>
        <w:rFonts w:ascii="Courier New" w:hAnsi="Courier New" w:hint="default"/>
      </w:rPr>
    </w:lvl>
    <w:lvl w:ilvl="2" w:tplc="7B42FE92">
      <w:start w:val="1"/>
      <w:numFmt w:val="bullet"/>
      <w:lvlText w:val=""/>
      <w:lvlJc w:val="left"/>
      <w:pPr>
        <w:ind w:left="2160" w:hanging="360"/>
      </w:pPr>
      <w:rPr>
        <w:rFonts w:ascii="Wingdings" w:hAnsi="Wingdings" w:hint="default"/>
      </w:rPr>
    </w:lvl>
    <w:lvl w:ilvl="3" w:tplc="B8CE32D0">
      <w:start w:val="1"/>
      <w:numFmt w:val="bullet"/>
      <w:lvlText w:val=""/>
      <w:lvlJc w:val="left"/>
      <w:pPr>
        <w:ind w:left="2880" w:hanging="360"/>
      </w:pPr>
      <w:rPr>
        <w:rFonts w:ascii="Symbol" w:hAnsi="Symbol" w:hint="default"/>
      </w:rPr>
    </w:lvl>
    <w:lvl w:ilvl="4" w:tplc="CA06C3EE">
      <w:start w:val="1"/>
      <w:numFmt w:val="bullet"/>
      <w:lvlText w:val="o"/>
      <w:lvlJc w:val="left"/>
      <w:pPr>
        <w:ind w:left="3600" w:hanging="360"/>
      </w:pPr>
      <w:rPr>
        <w:rFonts w:ascii="Courier New" w:hAnsi="Courier New" w:hint="default"/>
      </w:rPr>
    </w:lvl>
    <w:lvl w:ilvl="5" w:tplc="F31E8428">
      <w:start w:val="1"/>
      <w:numFmt w:val="bullet"/>
      <w:lvlText w:val=""/>
      <w:lvlJc w:val="left"/>
      <w:pPr>
        <w:ind w:left="4320" w:hanging="360"/>
      </w:pPr>
      <w:rPr>
        <w:rFonts w:ascii="Wingdings" w:hAnsi="Wingdings" w:hint="default"/>
      </w:rPr>
    </w:lvl>
    <w:lvl w:ilvl="6" w:tplc="5B76597C">
      <w:start w:val="1"/>
      <w:numFmt w:val="bullet"/>
      <w:lvlText w:val=""/>
      <w:lvlJc w:val="left"/>
      <w:pPr>
        <w:ind w:left="5040" w:hanging="360"/>
      </w:pPr>
      <w:rPr>
        <w:rFonts w:ascii="Symbol" w:hAnsi="Symbol" w:hint="default"/>
      </w:rPr>
    </w:lvl>
    <w:lvl w:ilvl="7" w:tplc="6D247AF6">
      <w:start w:val="1"/>
      <w:numFmt w:val="bullet"/>
      <w:lvlText w:val="o"/>
      <w:lvlJc w:val="left"/>
      <w:pPr>
        <w:ind w:left="5760" w:hanging="360"/>
      </w:pPr>
      <w:rPr>
        <w:rFonts w:ascii="Courier New" w:hAnsi="Courier New" w:hint="default"/>
      </w:rPr>
    </w:lvl>
    <w:lvl w:ilvl="8" w:tplc="B8D44D7A">
      <w:start w:val="1"/>
      <w:numFmt w:val="bullet"/>
      <w:lvlText w:val=""/>
      <w:lvlJc w:val="left"/>
      <w:pPr>
        <w:ind w:left="6480" w:hanging="360"/>
      </w:pPr>
      <w:rPr>
        <w:rFonts w:ascii="Wingdings" w:hAnsi="Wingdings" w:hint="default"/>
      </w:rPr>
    </w:lvl>
  </w:abstractNum>
  <w:abstractNum w:abstractNumId="46" w15:restartNumberingAfterBreak="0">
    <w:nsid w:val="0F1558DA"/>
    <w:multiLevelType w:val="hybridMultilevel"/>
    <w:tmpl w:val="7C4AA3F2"/>
    <w:lvl w:ilvl="0" w:tplc="0F4058B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0F56786F"/>
    <w:multiLevelType w:val="hybridMultilevel"/>
    <w:tmpl w:val="0B0C2426"/>
    <w:lvl w:ilvl="0" w:tplc="E9E807A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0FE04B5E"/>
    <w:multiLevelType w:val="hybridMultilevel"/>
    <w:tmpl w:val="FFFFFFFF"/>
    <w:lvl w:ilvl="0" w:tplc="AFFE2992">
      <w:start w:val="2"/>
      <w:numFmt w:val="lowerLetter"/>
      <w:lvlText w:val="%1)"/>
      <w:lvlJc w:val="left"/>
      <w:pPr>
        <w:ind w:left="720" w:hanging="360"/>
      </w:pPr>
    </w:lvl>
    <w:lvl w:ilvl="1" w:tplc="3D10E650">
      <w:start w:val="1"/>
      <w:numFmt w:val="lowerLetter"/>
      <w:lvlText w:val="%2."/>
      <w:lvlJc w:val="left"/>
      <w:pPr>
        <w:ind w:left="1440" w:hanging="360"/>
      </w:pPr>
    </w:lvl>
    <w:lvl w:ilvl="2" w:tplc="3B2C6C20">
      <w:start w:val="1"/>
      <w:numFmt w:val="lowerRoman"/>
      <w:lvlText w:val="%3."/>
      <w:lvlJc w:val="right"/>
      <w:pPr>
        <w:ind w:left="2160" w:hanging="180"/>
      </w:pPr>
    </w:lvl>
    <w:lvl w:ilvl="3" w:tplc="98B61BA6">
      <w:start w:val="1"/>
      <w:numFmt w:val="decimal"/>
      <w:lvlText w:val="%4."/>
      <w:lvlJc w:val="left"/>
      <w:pPr>
        <w:ind w:left="2880" w:hanging="360"/>
      </w:pPr>
    </w:lvl>
    <w:lvl w:ilvl="4" w:tplc="2FCCED6A">
      <w:start w:val="1"/>
      <w:numFmt w:val="lowerLetter"/>
      <w:lvlText w:val="%5."/>
      <w:lvlJc w:val="left"/>
      <w:pPr>
        <w:ind w:left="3600" w:hanging="360"/>
      </w:pPr>
    </w:lvl>
    <w:lvl w:ilvl="5" w:tplc="B0423F60">
      <w:start w:val="1"/>
      <w:numFmt w:val="lowerRoman"/>
      <w:lvlText w:val="%6."/>
      <w:lvlJc w:val="right"/>
      <w:pPr>
        <w:ind w:left="4320" w:hanging="180"/>
      </w:pPr>
    </w:lvl>
    <w:lvl w:ilvl="6" w:tplc="9CEA49F0">
      <w:start w:val="1"/>
      <w:numFmt w:val="decimal"/>
      <w:lvlText w:val="%7."/>
      <w:lvlJc w:val="left"/>
      <w:pPr>
        <w:ind w:left="5040" w:hanging="360"/>
      </w:pPr>
    </w:lvl>
    <w:lvl w:ilvl="7" w:tplc="D7BE54DA">
      <w:start w:val="1"/>
      <w:numFmt w:val="lowerLetter"/>
      <w:lvlText w:val="%8."/>
      <w:lvlJc w:val="left"/>
      <w:pPr>
        <w:ind w:left="5760" w:hanging="360"/>
      </w:pPr>
    </w:lvl>
    <w:lvl w:ilvl="8" w:tplc="877ACA46">
      <w:start w:val="1"/>
      <w:numFmt w:val="lowerRoman"/>
      <w:lvlText w:val="%9."/>
      <w:lvlJc w:val="right"/>
      <w:pPr>
        <w:ind w:left="6480" w:hanging="180"/>
      </w:pPr>
    </w:lvl>
  </w:abstractNum>
  <w:abstractNum w:abstractNumId="49" w15:restartNumberingAfterBreak="0">
    <w:nsid w:val="10647ECF"/>
    <w:multiLevelType w:val="hybridMultilevel"/>
    <w:tmpl w:val="83EC65A6"/>
    <w:lvl w:ilvl="0" w:tplc="FEA4A576">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1073B903"/>
    <w:multiLevelType w:val="hybridMultilevel"/>
    <w:tmpl w:val="AD60DA06"/>
    <w:lvl w:ilvl="0" w:tplc="B8681A66">
      <w:start w:val="1"/>
      <w:numFmt w:val="bullet"/>
      <w:lvlText w:val="·"/>
      <w:lvlJc w:val="left"/>
      <w:pPr>
        <w:ind w:left="720" w:hanging="360"/>
      </w:pPr>
      <w:rPr>
        <w:rFonts w:ascii="Symbol" w:hAnsi="Symbol" w:hint="default"/>
      </w:rPr>
    </w:lvl>
    <w:lvl w:ilvl="1" w:tplc="06623CDA">
      <w:start w:val="1"/>
      <w:numFmt w:val="bullet"/>
      <w:lvlText w:val="o"/>
      <w:lvlJc w:val="left"/>
      <w:pPr>
        <w:ind w:left="1440" w:hanging="360"/>
      </w:pPr>
      <w:rPr>
        <w:rFonts w:ascii="Courier New" w:hAnsi="Courier New" w:hint="default"/>
      </w:rPr>
    </w:lvl>
    <w:lvl w:ilvl="2" w:tplc="D62CF5A4">
      <w:start w:val="1"/>
      <w:numFmt w:val="bullet"/>
      <w:lvlText w:val=""/>
      <w:lvlJc w:val="left"/>
      <w:pPr>
        <w:ind w:left="2160" w:hanging="360"/>
      </w:pPr>
      <w:rPr>
        <w:rFonts w:ascii="Wingdings" w:hAnsi="Wingdings" w:hint="default"/>
      </w:rPr>
    </w:lvl>
    <w:lvl w:ilvl="3" w:tplc="1AE65A00">
      <w:start w:val="1"/>
      <w:numFmt w:val="bullet"/>
      <w:lvlText w:val=""/>
      <w:lvlJc w:val="left"/>
      <w:pPr>
        <w:ind w:left="2880" w:hanging="360"/>
      </w:pPr>
      <w:rPr>
        <w:rFonts w:ascii="Symbol" w:hAnsi="Symbol" w:hint="default"/>
      </w:rPr>
    </w:lvl>
    <w:lvl w:ilvl="4" w:tplc="23FE4C96">
      <w:start w:val="1"/>
      <w:numFmt w:val="bullet"/>
      <w:lvlText w:val="o"/>
      <w:lvlJc w:val="left"/>
      <w:pPr>
        <w:ind w:left="3600" w:hanging="360"/>
      </w:pPr>
      <w:rPr>
        <w:rFonts w:ascii="Courier New" w:hAnsi="Courier New" w:hint="default"/>
      </w:rPr>
    </w:lvl>
    <w:lvl w:ilvl="5" w:tplc="711835FA">
      <w:start w:val="1"/>
      <w:numFmt w:val="bullet"/>
      <w:lvlText w:val=""/>
      <w:lvlJc w:val="left"/>
      <w:pPr>
        <w:ind w:left="4320" w:hanging="360"/>
      </w:pPr>
      <w:rPr>
        <w:rFonts w:ascii="Wingdings" w:hAnsi="Wingdings" w:hint="default"/>
      </w:rPr>
    </w:lvl>
    <w:lvl w:ilvl="6" w:tplc="1CB0EE22">
      <w:start w:val="1"/>
      <w:numFmt w:val="bullet"/>
      <w:lvlText w:val=""/>
      <w:lvlJc w:val="left"/>
      <w:pPr>
        <w:ind w:left="5040" w:hanging="360"/>
      </w:pPr>
      <w:rPr>
        <w:rFonts w:ascii="Symbol" w:hAnsi="Symbol" w:hint="default"/>
      </w:rPr>
    </w:lvl>
    <w:lvl w:ilvl="7" w:tplc="32C4DB34">
      <w:start w:val="1"/>
      <w:numFmt w:val="bullet"/>
      <w:lvlText w:val="o"/>
      <w:lvlJc w:val="left"/>
      <w:pPr>
        <w:ind w:left="5760" w:hanging="360"/>
      </w:pPr>
      <w:rPr>
        <w:rFonts w:ascii="Courier New" w:hAnsi="Courier New" w:hint="default"/>
      </w:rPr>
    </w:lvl>
    <w:lvl w:ilvl="8" w:tplc="F4340AF8">
      <w:start w:val="1"/>
      <w:numFmt w:val="bullet"/>
      <w:lvlText w:val=""/>
      <w:lvlJc w:val="left"/>
      <w:pPr>
        <w:ind w:left="6480" w:hanging="360"/>
      </w:pPr>
      <w:rPr>
        <w:rFonts w:ascii="Wingdings" w:hAnsi="Wingdings" w:hint="default"/>
      </w:rPr>
    </w:lvl>
  </w:abstractNum>
  <w:abstractNum w:abstractNumId="51" w15:restartNumberingAfterBreak="0">
    <w:nsid w:val="11A89A3A"/>
    <w:multiLevelType w:val="hybridMultilevel"/>
    <w:tmpl w:val="FFFFFFFF"/>
    <w:lvl w:ilvl="0" w:tplc="FC722944">
      <w:start w:val="1"/>
      <w:numFmt w:val="bullet"/>
      <w:lvlText w:val="%1."/>
      <w:lvlJc w:val="left"/>
      <w:pPr>
        <w:ind w:left="720" w:hanging="360"/>
      </w:pPr>
      <w:rPr>
        <w:rFonts w:ascii="Times New Roman" w:hAnsi="Times New Roman" w:hint="default"/>
      </w:rPr>
    </w:lvl>
    <w:lvl w:ilvl="1" w:tplc="6F62853E">
      <w:start w:val="1"/>
      <w:numFmt w:val="bullet"/>
      <w:lvlText w:val="o"/>
      <w:lvlJc w:val="left"/>
      <w:pPr>
        <w:ind w:left="1440" w:hanging="360"/>
      </w:pPr>
      <w:rPr>
        <w:rFonts w:ascii="Courier New" w:hAnsi="Courier New" w:hint="default"/>
      </w:rPr>
    </w:lvl>
    <w:lvl w:ilvl="2" w:tplc="2E528878">
      <w:start w:val="1"/>
      <w:numFmt w:val="bullet"/>
      <w:lvlText w:val=""/>
      <w:lvlJc w:val="left"/>
      <w:pPr>
        <w:ind w:left="2160" w:hanging="360"/>
      </w:pPr>
      <w:rPr>
        <w:rFonts w:ascii="Wingdings" w:hAnsi="Wingdings" w:hint="default"/>
      </w:rPr>
    </w:lvl>
    <w:lvl w:ilvl="3" w:tplc="EBD4E98C">
      <w:start w:val="1"/>
      <w:numFmt w:val="bullet"/>
      <w:lvlText w:val=""/>
      <w:lvlJc w:val="left"/>
      <w:pPr>
        <w:ind w:left="2880" w:hanging="360"/>
      </w:pPr>
      <w:rPr>
        <w:rFonts w:ascii="Symbol" w:hAnsi="Symbol" w:hint="default"/>
      </w:rPr>
    </w:lvl>
    <w:lvl w:ilvl="4" w:tplc="227C6F7A">
      <w:start w:val="1"/>
      <w:numFmt w:val="bullet"/>
      <w:lvlText w:val="o"/>
      <w:lvlJc w:val="left"/>
      <w:pPr>
        <w:ind w:left="3600" w:hanging="360"/>
      </w:pPr>
      <w:rPr>
        <w:rFonts w:ascii="Courier New" w:hAnsi="Courier New" w:hint="default"/>
      </w:rPr>
    </w:lvl>
    <w:lvl w:ilvl="5" w:tplc="3674472C">
      <w:start w:val="1"/>
      <w:numFmt w:val="bullet"/>
      <w:lvlText w:val=""/>
      <w:lvlJc w:val="left"/>
      <w:pPr>
        <w:ind w:left="4320" w:hanging="360"/>
      </w:pPr>
      <w:rPr>
        <w:rFonts w:ascii="Wingdings" w:hAnsi="Wingdings" w:hint="default"/>
      </w:rPr>
    </w:lvl>
    <w:lvl w:ilvl="6" w:tplc="AEFCAD54">
      <w:start w:val="1"/>
      <w:numFmt w:val="bullet"/>
      <w:lvlText w:val=""/>
      <w:lvlJc w:val="left"/>
      <w:pPr>
        <w:ind w:left="5040" w:hanging="360"/>
      </w:pPr>
      <w:rPr>
        <w:rFonts w:ascii="Symbol" w:hAnsi="Symbol" w:hint="default"/>
      </w:rPr>
    </w:lvl>
    <w:lvl w:ilvl="7" w:tplc="01580CEE">
      <w:start w:val="1"/>
      <w:numFmt w:val="bullet"/>
      <w:lvlText w:val="o"/>
      <w:lvlJc w:val="left"/>
      <w:pPr>
        <w:ind w:left="5760" w:hanging="360"/>
      </w:pPr>
      <w:rPr>
        <w:rFonts w:ascii="Courier New" w:hAnsi="Courier New" w:hint="default"/>
      </w:rPr>
    </w:lvl>
    <w:lvl w:ilvl="8" w:tplc="493E53B6">
      <w:start w:val="1"/>
      <w:numFmt w:val="bullet"/>
      <w:lvlText w:val=""/>
      <w:lvlJc w:val="left"/>
      <w:pPr>
        <w:ind w:left="6480" w:hanging="360"/>
      </w:pPr>
      <w:rPr>
        <w:rFonts w:ascii="Wingdings" w:hAnsi="Wingdings" w:hint="default"/>
      </w:rPr>
    </w:lvl>
  </w:abstractNum>
  <w:abstractNum w:abstractNumId="52" w15:restartNumberingAfterBreak="0">
    <w:nsid w:val="11E95C1A"/>
    <w:multiLevelType w:val="hybridMultilevel"/>
    <w:tmpl w:val="E95E4FAC"/>
    <w:lvl w:ilvl="0" w:tplc="1809000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125E4451"/>
    <w:multiLevelType w:val="hybridMultilevel"/>
    <w:tmpl w:val="2F68EF5C"/>
    <w:lvl w:ilvl="0" w:tplc="18090001">
      <w:start w:val="1"/>
      <w:numFmt w:val="bullet"/>
      <w:lvlText w:val=""/>
      <w:lvlJc w:val="left"/>
      <w:pPr>
        <w:ind w:left="771" w:hanging="360"/>
      </w:pPr>
      <w:rPr>
        <w:rFonts w:ascii="Symbol" w:hAnsi="Symbol" w:hint="default"/>
      </w:rPr>
    </w:lvl>
    <w:lvl w:ilvl="1" w:tplc="18090003" w:tentative="1">
      <w:start w:val="1"/>
      <w:numFmt w:val="bullet"/>
      <w:lvlText w:val="o"/>
      <w:lvlJc w:val="left"/>
      <w:pPr>
        <w:ind w:left="1491" w:hanging="360"/>
      </w:pPr>
      <w:rPr>
        <w:rFonts w:ascii="Courier New" w:hAnsi="Courier New" w:cs="Courier New" w:hint="default"/>
      </w:rPr>
    </w:lvl>
    <w:lvl w:ilvl="2" w:tplc="18090005" w:tentative="1">
      <w:start w:val="1"/>
      <w:numFmt w:val="bullet"/>
      <w:lvlText w:val=""/>
      <w:lvlJc w:val="left"/>
      <w:pPr>
        <w:ind w:left="2211" w:hanging="360"/>
      </w:pPr>
      <w:rPr>
        <w:rFonts w:ascii="Wingdings" w:hAnsi="Wingdings" w:hint="default"/>
      </w:rPr>
    </w:lvl>
    <w:lvl w:ilvl="3" w:tplc="18090001" w:tentative="1">
      <w:start w:val="1"/>
      <w:numFmt w:val="bullet"/>
      <w:lvlText w:val=""/>
      <w:lvlJc w:val="left"/>
      <w:pPr>
        <w:ind w:left="2931" w:hanging="360"/>
      </w:pPr>
      <w:rPr>
        <w:rFonts w:ascii="Symbol" w:hAnsi="Symbol" w:hint="default"/>
      </w:rPr>
    </w:lvl>
    <w:lvl w:ilvl="4" w:tplc="18090003" w:tentative="1">
      <w:start w:val="1"/>
      <w:numFmt w:val="bullet"/>
      <w:lvlText w:val="o"/>
      <w:lvlJc w:val="left"/>
      <w:pPr>
        <w:ind w:left="3651" w:hanging="360"/>
      </w:pPr>
      <w:rPr>
        <w:rFonts w:ascii="Courier New" w:hAnsi="Courier New" w:cs="Courier New" w:hint="default"/>
      </w:rPr>
    </w:lvl>
    <w:lvl w:ilvl="5" w:tplc="18090005" w:tentative="1">
      <w:start w:val="1"/>
      <w:numFmt w:val="bullet"/>
      <w:lvlText w:val=""/>
      <w:lvlJc w:val="left"/>
      <w:pPr>
        <w:ind w:left="4371" w:hanging="360"/>
      </w:pPr>
      <w:rPr>
        <w:rFonts w:ascii="Wingdings" w:hAnsi="Wingdings" w:hint="default"/>
      </w:rPr>
    </w:lvl>
    <w:lvl w:ilvl="6" w:tplc="18090001" w:tentative="1">
      <w:start w:val="1"/>
      <w:numFmt w:val="bullet"/>
      <w:lvlText w:val=""/>
      <w:lvlJc w:val="left"/>
      <w:pPr>
        <w:ind w:left="5091" w:hanging="360"/>
      </w:pPr>
      <w:rPr>
        <w:rFonts w:ascii="Symbol" w:hAnsi="Symbol" w:hint="default"/>
      </w:rPr>
    </w:lvl>
    <w:lvl w:ilvl="7" w:tplc="18090003" w:tentative="1">
      <w:start w:val="1"/>
      <w:numFmt w:val="bullet"/>
      <w:lvlText w:val="o"/>
      <w:lvlJc w:val="left"/>
      <w:pPr>
        <w:ind w:left="5811" w:hanging="360"/>
      </w:pPr>
      <w:rPr>
        <w:rFonts w:ascii="Courier New" w:hAnsi="Courier New" w:cs="Courier New" w:hint="default"/>
      </w:rPr>
    </w:lvl>
    <w:lvl w:ilvl="8" w:tplc="18090005" w:tentative="1">
      <w:start w:val="1"/>
      <w:numFmt w:val="bullet"/>
      <w:lvlText w:val=""/>
      <w:lvlJc w:val="left"/>
      <w:pPr>
        <w:ind w:left="6531" w:hanging="360"/>
      </w:pPr>
      <w:rPr>
        <w:rFonts w:ascii="Wingdings" w:hAnsi="Wingdings" w:hint="default"/>
      </w:rPr>
    </w:lvl>
  </w:abstractNum>
  <w:abstractNum w:abstractNumId="54" w15:restartNumberingAfterBreak="0">
    <w:nsid w:val="12604784"/>
    <w:multiLevelType w:val="hybridMultilevel"/>
    <w:tmpl w:val="FFFFFFFF"/>
    <w:lvl w:ilvl="0" w:tplc="C7E8B172">
      <w:start w:val="2"/>
      <w:numFmt w:val="lowerLetter"/>
      <w:lvlText w:val="%1."/>
      <w:lvlJc w:val="left"/>
      <w:pPr>
        <w:ind w:left="720" w:hanging="360"/>
      </w:pPr>
    </w:lvl>
    <w:lvl w:ilvl="1" w:tplc="E5D6017E">
      <w:start w:val="1"/>
      <w:numFmt w:val="lowerLetter"/>
      <w:lvlText w:val="%2."/>
      <w:lvlJc w:val="left"/>
      <w:pPr>
        <w:ind w:left="1440" w:hanging="360"/>
      </w:pPr>
    </w:lvl>
    <w:lvl w:ilvl="2" w:tplc="90BC1094">
      <w:start w:val="1"/>
      <w:numFmt w:val="lowerRoman"/>
      <w:lvlText w:val="%3."/>
      <w:lvlJc w:val="right"/>
      <w:pPr>
        <w:ind w:left="2160" w:hanging="180"/>
      </w:pPr>
    </w:lvl>
    <w:lvl w:ilvl="3" w:tplc="3B269014">
      <w:start w:val="1"/>
      <w:numFmt w:val="decimal"/>
      <w:lvlText w:val="%4."/>
      <w:lvlJc w:val="left"/>
      <w:pPr>
        <w:ind w:left="2880" w:hanging="360"/>
      </w:pPr>
    </w:lvl>
    <w:lvl w:ilvl="4" w:tplc="C4941328">
      <w:start w:val="1"/>
      <w:numFmt w:val="lowerLetter"/>
      <w:lvlText w:val="%5."/>
      <w:lvlJc w:val="left"/>
      <w:pPr>
        <w:ind w:left="3600" w:hanging="360"/>
      </w:pPr>
    </w:lvl>
    <w:lvl w:ilvl="5" w:tplc="50483656">
      <w:start w:val="1"/>
      <w:numFmt w:val="lowerRoman"/>
      <w:lvlText w:val="%6."/>
      <w:lvlJc w:val="right"/>
      <w:pPr>
        <w:ind w:left="4320" w:hanging="180"/>
      </w:pPr>
    </w:lvl>
    <w:lvl w:ilvl="6" w:tplc="FC4A3D88">
      <w:start w:val="1"/>
      <w:numFmt w:val="decimal"/>
      <w:lvlText w:val="%7."/>
      <w:lvlJc w:val="left"/>
      <w:pPr>
        <w:ind w:left="5040" w:hanging="360"/>
      </w:pPr>
    </w:lvl>
    <w:lvl w:ilvl="7" w:tplc="FF34FBAC">
      <w:start w:val="1"/>
      <w:numFmt w:val="lowerLetter"/>
      <w:lvlText w:val="%8."/>
      <w:lvlJc w:val="left"/>
      <w:pPr>
        <w:ind w:left="5760" w:hanging="360"/>
      </w:pPr>
    </w:lvl>
    <w:lvl w:ilvl="8" w:tplc="A0CE6EF0">
      <w:start w:val="1"/>
      <w:numFmt w:val="lowerRoman"/>
      <w:lvlText w:val="%9."/>
      <w:lvlJc w:val="right"/>
      <w:pPr>
        <w:ind w:left="6480" w:hanging="180"/>
      </w:pPr>
    </w:lvl>
  </w:abstractNum>
  <w:abstractNum w:abstractNumId="55" w15:restartNumberingAfterBreak="0">
    <w:nsid w:val="128734F2"/>
    <w:multiLevelType w:val="hybridMultilevel"/>
    <w:tmpl w:val="FFFFFFFF"/>
    <w:lvl w:ilvl="0" w:tplc="EA5A3E20">
      <w:start w:val="1"/>
      <w:numFmt w:val="bullet"/>
      <w:lvlText w:val=""/>
      <w:lvlJc w:val="left"/>
      <w:pPr>
        <w:ind w:left="720" w:hanging="360"/>
      </w:pPr>
      <w:rPr>
        <w:rFonts w:ascii="Symbol" w:hAnsi="Symbol" w:hint="default"/>
      </w:rPr>
    </w:lvl>
    <w:lvl w:ilvl="1" w:tplc="B3203FB0">
      <w:start w:val="1"/>
      <w:numFmt w:val="bullet"/>
      <w:lvlText w:val="o"/>
      <w:lvlJc w:val="left"/>
      <w:pPr>
        <w:ind w:left="1440" w:hanging="360"/>
      </w:pPr>
      <w:rPr>
        <w:rFonts w:ascii="Courier New" w:hAnsi="Courier New" w:hint="default"/>
      </w:rPr>
    </w:lvl>
    <w:lvl w:ilvl="2" w:tplc="C3A2D50A">
      <w:start w:val="1"/>
      <w:numFmt w:val="bullet"/>
      <w:lvlText w:val=""/>
      <w:lvlJc w:val="left"/>
      <w:pPr>
        <w:ind w:left="2160" w:hanging="360"/>
      </w:pPr>
      <w:rPr>
        <w:rFonts w:ascii="Wingdings" w:hAnsi="Wingdings" w:hint="default"/>
      </w:rPr>
    </w:lvl>
    <w:lvl w:ilvl="3" w:tplc="6F64C862">
      <w:start w:val="1"/>
      <w:numFmt w:val="bullet"/>
      <w:lvlText w:val=""/>
      <w:lvlJc w:val="left"/>
      <w:pPr>
        <w:ind w:left="2880" w:hanging="360"/>
      </w:pPr>
      <w:rPr>
        <w:rFonts w:ascii="Symbol" w:hAnsi="Symbol" w:hint="default"/>
      </w:rPr>
    </w:lvl>
    <w:lvl w:ilvl="4" w:tplc="01AEE770">
      <w:start w:val="1"/>
      <w:numFmt w:val="bullet"/>
      <w:lvlText w:val="o"/>
      <w:lvlJc w:val="left"/>
      <w:pPr>
        <w:ind w:left="3600" w:hanging="360"/>
      </w:pPr>
      <w:rPr>
        <w:rFonts w:ascii="Courier New" w:hAnsi="Courier New" w:hint="default"/>
      </w:rPr>
    </w:lvl>
    <w:lvl w:ilvl="5" w:tplc="5CA8F604">
      <w:start w:val="1"/>
      <w:numFmt w:val="bullet"/>
      <w:lvlText w:val=""/>
      <w:lvlJc w:val="left"/>
      <w:pPr>
        <w:ind w:left="4320" w:hanging="360"/>
      </w:pPr>
      <w:rPr>
        <w:rFonts w:ascii="Wingdings" w:hAnsi="Wingdings" w:hint="default"/>
      </w:rPr>
    </w:lvl>
    <w:lvl w:ilvl="6" w:tplc="784C9D52">
      <w:start w:val="1"/>
      <w:numFmt w:val="bullet"/>
      <w:lvlText w:val=""/>
      <w:lvlJc w:val="left"/>
      <w:pPr>
        <w:ind w:left="5040" w:hanging="360"/>
      </w:pPr>
      <w:rPr>
        <w:rFonts w:ascii="Symbol" w:hAnsi="Symbol" w:hint="default"/>
      </w:rPr>
    </w:lvl>
    <w:lvl w:ilvl="7" w:tplc="D34A6D2A">
      <w:start w:val="1"/>
      <w:numFmt w:val="bullet"/>
      <w:lvlText w:val="o"/>
      <w:lvlJc w:val="left"/>
      <w:pPr>
        <w:ind w:left="5760" w:hanging="360"/>
      </w:pPr>
      <w:rPr>
        <w:rFonts w:ascii="Courier New" w:hAnsi="Courier New" w:hint="default"/>
      </w:rPr>
    </w:lvl>
    <w:lvl w:ilvl="8" w:tplc="82927F90">
      <w:start w:val="1"/>
      <w:numFmt w:val="bullet"/>
      <w:lvlText w:val=""/>
      <w:lvlJc w:val="left"/>
      <w:pPr>
        <w:ind w:left="6480" w:hanging="360"/>
      </w:pPr>
      <w:rPr>
        <w:rFonts w:ascii="Wingdings" w:hAnsi="Wingdings" w:hint="default"/>
      </w:rPr>
    </w:lvl>
  </w:abstractNum>
  <w:abstractNum w:abstractNumId="56" w15:restartNumberingAfterBreak="0">
    <w:nsid w:val="12E12773"/>
    <w:multiLevelType w:val="hybridMultilevel"/>
    <w:tmpl w:val="9BDE3512"/>
    <w:lvl w:ilvl="0" w:tplc="6F885748">
      <w:start w:val="1"/>
      <w:numFmt w:val="lowerLetter"/>
      <w:lvlText w:val="%1)"/>
      <w:lvlJc w:val="left"/>
      <w:pPr>
        <w:ind w:left="720" w:hanging="360"/>
      </w:pPr>
    </w:lvl>
    <w:lvl w:ilvl="1" w:tplc="E13414CC">
      <w:start w:val="1"/>
      <w:numFmt w:val="lowerLetter"/>
      <w:lvlText w:val="%2."/>
      <w:lvlJc w:val="left"/>
      <w:pPr>
        <w:ind w:left="1440" w:hanging="360"/>
      </w:pPr>
    </w:lvl>
    <w:lvl w:ilvl="2" w:tplc="5E9AC476">
      <w:start w:val="1"/>
      <w:numFmt w:val="lowerRoman"/>
      <w:lvlText w:val="%3."/>
      <w:lvlJc w:val="right"/>
      <w:pPr>
        <w:ind w:left="2160" w:hanging="180"/>
      </w:pPr>
    </w:lvl>
    <w:lvl w:ilvl="3" w:tplc="81DA314C">
      <w:start w:val="1"/>
      <w:numFmt w:val="decimal"/>
      <w:lvlText w:val="%4."/>
      <w:lvlJc w:val="left"/>
      <w:pPr>
        <w:ind w:left="2880" w:hanging="360"/>
      </w:pPr>
    </w:lvl>
    <w:lvl w:ilvl="4" w:tplc="7CDC7A58">
      <w:start w:val="1"/>
      <w:numFmt w:val="lowerLetter"/>
      <w:lvlText w:val="%5."/>
      <w:lvlJc w:val="left"/>
      <w:pPr>
        <w:ind w:left="3600" w:hanging="360"/>
      </w:pPr>
    </w:lvl>
    <w:lvl w:ilvl="5" w:tplc="28C6BD1E">
      <w:start w:val="1"/>
      <w:numFmt w:val="lowerRoman"/>
      <w:lvlText w:val="%6."/>
      <w:lvlJc w:val="right"/>
      <w:pPr>
        <w:ind w:left="4320" w:hanging="180"/>
      </w:pPr>
    </w:lvl>
    <w:lvl w:ilvl="6" w:tplc="9A3ECC90">
      <w:start w:val="1"/>
      <w:numFmt w:val="decimal"/>
      <w:lvlText w:val="%7."/>
      <w:lvlJc w:val="left"/>
      <w:pPr>
        <w:ind w:left="5040" w:hanging="360"/>
      </w:pPr>
    </w:lvl>
    <w:lvl w:ilvl="7" w:tplc="54DC060C">
      <w:start w:val="1"/>
      <w:numFmt w:val="lowerLetter"/>
      <w:lvlText w:val="%8."/>
      <w:lvlJc w:val="left"/>
      <w:pPr>
        <w:ind w:left="5760" w:hanging="360"/>
      </w:pPr>
    </w:lvl>
    <w:lvl w:ilvl="8" w:tplc="365CD902">
      <w:start w:val="1"/>
      <w:numFmt w:val="lowerRoman"/>
      <w:lvlText w:val="%9."/>
      <w:lvlJc w:val="right"/>
      <w:pPr>
        <w:ind w:left="6480" w:hanging="180"/>
      </w:pPr>
    </w:lvl>
  </w:abstractNum>
  <w:abstractNum w:abstractNumId="57" w15:restartNumberingAfterBreak="0">
    <w:nsid w:val="13821A03"/>
    <w:multiLevelType w:val="multilevel"/>
    <w:tmpl w:val="0FEAE776"/>
    <w:lvl w:ilvl="0">
      <w:start w:val="1"/>
      <w:numFmt w:val="decimal"/>
      <w:lvlText w:val="%1)"/>
      <w:lvlJc w:val="left"/>
      <w:pPr>
        <w:ind w:left="360" w:hanging="360"/>
      </w:pPr>
      <w:rPr>
        <w:b w:val="0"/>
        <w:lang w:val="en-G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13A01994"/>
    <w:multiLevelType w:val="hybridMultilevel"/>
    <w:tmpl w:val="08D634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9" w15:restartNumberingAfterBreak="0">
    <w:nsid w:val="13DB6E5A"/>
    <w:multiLevelType w:val="hybridMultilevel"/>
    <w:tmpl w:val="FFFFFFFF"/>
    <w:lvl w:ilvl="0" w:tplc="CE10DEC8">
      <w:start w:val="1"/>
      <w:numFmt w:val="decimal"/>
      <w:lvlText w:val="%1."/>
      <w:lvlJc w:val="left"/>
      <w:pPr>
        <w:ind w:left="720" w:hanging="360"/>
      </w:pPr>
    </w:lvl>
    <w:lvl w:ilvl="1" w:tplc="4F748378">
      <w:start w:val="1"/>
      <w:numFmt w:val="lowerRoman"/>
      <w:lvlText w:val="%2."/>
      <w:lvlJc w:val="right"/>
      <w:pPr>
        <w:ind w:left="1080" w:hanging="360"/>
      </w:pPr>
    </w:lvl>
    <w:lvl w:ilvl="2" w:tplc="2FA2BAD4">
      <w:start w:val="1"/>
      <w:numFmt w:val="lowerRoman"/>
      <w:lvlText w:val="%3."/>
      <w:lvlJc w:val="right"/>
      <w:pPr>
        <w:ind w:left="2160" w:hanging="180"/>
      </w:pPr>
    </w:lvl>
    <w:lvl w:ilvl="3" w:tplc="CB2E2308">
      <w:start w:val="1"/>
      <w:numFmt w:val="decimal"/>
      <w:lvlText w:val="%4."/>
      <w:lvlJc w:val="left"/>
      <w:pPr>
        <w:ind w:left="2880" w:hanging="360"/>
      </w:pPr>
    </w:lvl>
    <w:lvl w:ilvl="4" w:tplc="35CAFD48">
      <w:start w:val="1"/>
      <w:numFmt w:val="lowerLetter"/>
      <w:lvlText w:val="%5."/>
      <w:lvlJc w:val="left"/>
      <w:pPr>
        <w:ind w:left="3600" w:hanging="360"/>
      </w:pPr>
    </w:lvl>
    <w:lvl w:ilvl="5" w:tplc="58E4B4B6">
      <w:start w:val="1"/>
      <w:numFmt w:val="lowerRoman"/>
      <w:lvlText w:val="%6."/>
      <w:lvlJc w:val="right"/>
      <w:pPr>
        <w:ind w:left="4320" w:hanging="180"/>
      </w:pPr>
    </w:lvl>
    <w:lvl w:ilvl="6" w:tplc="274E5FBE">
      <w:start w:val="1"/>
      <w:numFmt w:val="decimal"/>
      <w:lvlText w:val="%7."/>
      <w:lvlJc w:val="left"/>
      <w:pPr>
        <w:ind w:left="5040" w:hanging="360"/>
      </w:pPr>
    </w:lvl>
    <w:lvl w:ilvl="7" w:tplc="639A6EFA">
      <w:start w:val="1"/>
      <w:numFmt w:val="lowerLetter"/>
      <w:lvlText w:val="%8."/>
      <w:lvlJc w:val="left"/>
      <w:pPr>
        <w:ind w:left="5760" w:hanging="360"/>
      </w:pPr>
    </w:lvl>
    <w:lvl w:ilvl="8" w:tplc="00FE8920">
      <w:start w:val="1"/>
      <w:numFmt w:val="lowerRoman"/>
      <w:lvlText w:val="%9."/>
      <w:lvlJc w:val="right"/>
      <w:pPr>
        <w:ind w:left="6480" w:hanging="180"/>
      </w:pPr>
    </w:lvl>
  </w:abstractNum>
  <w:abstractNum w:abstractNumId="60" w15:restartNumberingAfterBreak="0">
    <w:nsid w:val="13F00BFD"/>
    <w:multiLevelType w:val="multilevel"/>
    <w:tmpl w:val="40D812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146070EF"/>
    <w:multiLevelType w:val="hybridMultilevel"/>
    <w:tmpl w:val="2206BC60"/>
    <w:lvl w:ilvl="0" w:tplc="51B64BF0">
      <w:start w:val="4"/>
      <w:numFmt w:val="decimal"/>
      <w:lvlText w:val="%1."/>
      <w:lvlJc w:val="left"/>
      <w:pPr>
        <w:ind w:left="720" w:hanging="360"/>
      </w:pPr>
    </w:lvl>
    <w:lvl w:ilvl="1" w:tplc="883CD9D4">
      <w:start w:val="1"/>
      <w:numFmt w:val="lowerLetter"/>
      <w:lvlText w:val="%2."/>
      <w:lvlJc w:val="left"/>
      <w:pPr>
        <w:ind w:left="1440" w:hanging="360"/>
      </w:pPr>
    </w:lvl>
    <w:lvl w:ilvl="2" w:tplc="40149278">
      <w:start w:val="1"/>
      <w:numFmt w:val="lowerRoman"/>
      <w:lvlText w:val="%3."/>
      <w:lvlJc w:val="right"/>
      <w:pPr>
        <w:ind w:left="2160" w:hanging="180"/>
      </w:pPr>
    </w:lvl>
    <w:lvl w:ilvl="3" w:tplc="69488584">
      <w:start w:val="1"/>
      <w:numFmt w:val="decimal"/>
      <w:lvlText w:val="%4."/>
      <w:lvlJc w:val="left"/>
      <w:pPr>
        <w:ind w:left="2880" w:hanging="360"/>
      </w:pPr>
    </w:lvl>
    <w:lvl w:ilvl="4" w:tplc="9350DA86">
      <w:start w:val="1"/>
      <w:numFmt w:val="lowerLetter"/>
      <w:lvlText w:val="%5."/>
      <w:lvlJc w:val="left"/>
      <w:pPr>
        <w:ind w:left="3600" w:hanging="360"/>
      </w:pPr>
    </w:lvl>
    <w:lvl w:ilvl="5" w:tplc="F14CAC5E">
      <w:start w:val="1"/>
      <w:numFmt w:val="lowerRoman"/>
      <w:lvlText w:val="%6."/>
      <w:lvlJc w:val="right"/>
      <w:pPr>
        <w:ind w:left="4320" w:hanging="180"/>
      </w:pPr>
    </w:lvl>
    <w:lvl w:ilvl="6" w:tplc="2730EAB8">
      <w:start w:val="1"/>
      <w:numFmt w:val="decimal"/>
      <w:lvlText w:val="%7."/>
      <w:lvlJc w:val="left"/>
      <w:pPr>
        <w:ind w:left="5040" w:hanging="360"/>
      </w:pPr>
    </w:lvl>
    <w:lvl w:ilvl="7" w:tplc="57A4C59E">
      <w:start w:val="1"/>
      <w:numFmt w:val="lowerLetter"/>
      <w:lvlText w:val="%8."/>
      <w:lvlJc w:val="left"/>
      <w:pPr>
        <w:ind w:left="5760" w:hanging="360"/>
      </w:pPr>
    </w:lvl>
    <w:lvl w:ilvl="8" w:tplc="D312E2EA">
      <w:start w:val="1"/>
      <w:numFmt w:val="lowerRoman"/>
      <w:lvlText w:val="%9."/>
      <w:lvlJc w:val="right"/>
      <w:pPr>
        <w:ind w:left="6480" w:hanging="180"/>
      </w:pPr>
    </w:lvl>
  </w:abstractNum>
  <w:abstractNum w:abstractNumId="62" w15:restartNumberingAfterBreak="0">
    <w:nsid w:val="149745A8"/>
    <w:multiLevelType w:val="hybridMultilevel"/>
    <w:tmpl w:val="FFFFFFFF"/>
    <w:lvl w:ilvl="0" w:tplc="C12AE710">
      <w:start w:val="2"/>
      <w:numFmt w:val="decimal"/>
      <w:lvlText w:val="%1."/>
      <w:lvlJc w:val="left"/>
      <w:pPr>
        <w:ind w:left="720" w:hanging="360"/>
      </w:pPr>
    </w:lvl>
    <w:lvl w:ilvl="1" w:tplc="0CC8C840">
      <w:start w:val="1"/>
      <w:numFmt w:val="lowerLetter"/>
      <w:lvlText w:val="%2."/>
      <w:lvlJc w:val="left"/>
      <w:pPr>
        <w:ind w:left="1440" w:hanging="360"/>
      </w:pPr>
    </w:lvl>
    <w:lvl w:ilvl="2" w:tplc="E2B03D82">
      <w:start w:val="1"/>
      <w:numFmt w:val="lowerRoman"/>
      <w:lvlText w:val="%3."/>
      <w:lvlJc w:val="right"/>
      <w:pPr>
        <w:ind w:left="2160" w:hanging="180"/>
      </w:pPr>
    </w:lvl>
    <w:lvl w:ilvl="3" w:tplc="13F04D5C">
      <w:start w:val="1"/>
      <w:numFmt w:val="decimal"/>
      <w:lvlText w:val="%4."/>
      <w:lvlJc w:val="left"/>
      <w:pPr>
        <w:ind w:left="2880" w:hanging="360"/>
      </w:pPr>
    </w:lvl>
    <w:lvl w:ilvl="4" w:tplc="4C1A1484">
      <w:start w:val="1"/>
      <w:numFmt w:val="lowerLetter"/>
      <w:lvlText w:val="%5."/>
      <w:lvlJc w:val="left"/>
      <w:pPr>
        <w:ind w:left="3600" w:hanging="360"/>
      </w:pPr>
    </w:lvl>
    <w:lvl w:ilvl="5" w:tplc="813A3522">
      <w:start w:val="1"/>
      <w:numFmt w:val="lowerRoman"/>
      <w:lvlText w:val="%6."/>
      <w:lvlJc w:val="right"/>
      <w:pPr>
        <w:ind w:left="4320" w:hanging="180"/>
      </w:pPr>
    </w:lvl>
    <w:lvl w:ilvl="6" w:tplc="AFF260AE">
      <w:start w:val="1"/>
      <w:numFmt w:val="decimal"/>
      <w:lvlText w:val="%7."/>
      <w:lvlJc w:val="left"/>
      <w:pPr>
        <w:ind w:left="5040" w:hanging="360"/>
      </w:pPr>
    </w:lvl>
    <w:lvl w:ilvl="7" w:tplc="67EE7D12">
      <w:start w:val="1"/>
      <w:numFmt w:val="lowerLetter"/>
      <w:lvlText w:val="%8."/>
      <w:lvlJc w:val="left"/>
      <w:pPr>
        <w:ind w:left="5760" w:hanging="360"/>
      </w:pPr>
    </w:lvl>
    <w:lvl w:ilvl="8" w:tplc="966C47B2">
      <w:start w:val="1"/>
      <w:numFmt w:val="lowerRoman"/>
      <w:lvlText w:val="%9."/>
      <w:lvlJc w:val="right"/>
      <w:pPr>
        <w:ind w:left="6480" w:hanging="180"/>
      </w:pPr>
    </w:lvl>
  </w:abstractNum>
  <w:abstractNum w:abstractNumId="63" w15:restartNumberingAfterBreak="0">
    <w:nsid w:val="150A26C2"/>
    <w:multiLevelType w:val="hybridMultilevel"/>
    <w:tmpl w:val="FFFFFFFF"/>
    <w:lvl w:ilvl="0" w:tplc="516274FC">
      <w:start w:val="1"/>
      <w:numFmt w:val="decimal"/>
      <w:lvlText w:val="%1."/>
      <w:lvlJc w:val="left"/>
      <w:pPr>
        <w:ind w:left="720" w:hanging="360"/>
      </w:pPr>
    </w:lvl>
    <w:lvl w:ilvl="1" w:tplc="844611EA">
      <w:start w:val="1"/>
      <w:numFmt w:val="lowerLetter"/>
      <w:lvlText w:val="%2."/>
      <w:lvlJc w:val="left"/>
      <w:pPr>
        <w:ind w:left="1440" w:hanging="360"/>
      </w:pPr>
    </w:lvl>
    <w:lvl w:ilvl="2" w:tplc="BAB2F316">
      <w:start w:val="1"/>
      <w:numFmt w:val="lowerRoman"/>
      <w:lvlText w:val="%3."/>
      <w:lvlJc w:val="right"/>
      <w:pPr>
        <w:ind w:left="2160" w:hanging="180"/>
      </w:pPr>
    </w:lvl>
    <w:lvl w:ilvl="3" w:tplc="3E5A6758">
      <w:start w:val="1"/>
      <w:numFmt w:val="decimal"/>
      <w:lvlText w:val="%4."/>
      <w:lvlJc w:val="left"/>
      <w:pPr>
        <w:ind w:left="2880" w:hanging="360"/>
      </w:pPr>
    </w:lvl>
    <w:lvl w:ilvl="4" w:tplc="1C066A8A">
      <w:start w:val="1"/>
      <w:numFmt w:val="lowerLetter"/>
      <w:lvlText w:val="%5."/>
      <w:lvlJc w:val="left"/>
      <w:pPr>
        <w:ind w:left="3600" w:hanging="360"/>
      </w:pPr>
    </w:lvl>
    <w:lvl w:ilvl="5" w:tplc="C7827D9A">
      <w:start w:val="1"/>
      <w:numFmt w:val="lowerRoman"/>
      <w:lvlText w:val="%6."/>
      <w:lvlJc w:val="right"/>
      <w:pPr>
        <w:ind w:left="4320" w:hanging="180"/>
      </w:pPr>
    </w:lvl>
    <w:lvl w:ilvl="6" w:tplc="E9AAE1FC">
      <w:start w:val="1"/>
      <w:numFmt w:val="decimal"/>
      <w:lvlText w:val="%7."/>
      <w:lvlJc w:val="left"/>
      <w:pPr>
        <w:ind w:left="5040" w:hanging="360"/>
      </w:pPr>
    </w:lvl>
    <w:lvl w:ilvl="7" w:tplc="0D54AE90">
      <w:start w:val="1"/>
      <w:numFmt w:val="lowerLetter"/>
      <w:lvlText w:val="%8."/>
      <w:lvlJc w:val="left"/>
      <w:pPr>
        <w:ind w:left="5760" w:hanging="360"/>
      </w:pPr>
    </w:lvl>
    <w:lvl w:ilvl="8" w:tplc="755263F8">
      <w:start w:val="1"/>
      <w:numFmt w:val="lowerRoman"/>
      <w:lvlText w:val="%9."/>
      <w:lvlJc w:val="right"/>
      <w:pPr>
        <w:ind w:left="6480" w:hanging="180"/>
      </w:pPr>
    </w:lvl>
  </w:abstractNum>
  <w:abstractNum w:abstractNumId="64" w15:restartNumberingAfterBreak="0">
    <w:nsid w:val="1547426B"/>
    <w:multiLevelType w:val="hybridMultilevel"/>
    <w:tmpl w:val="FFFFFFFF"/>
    <w:lvl w:ilvl="0" w:tplc="037A98A4">
      <w:start w:val="7"/>
      <w:numFmt w:val="decimal"/>
      <w:lvlText w:val="%1."/>
      <w:lvlJc w:val="left"/>
      <w:pPr>
        <w:ind w:left="720" w:hanging="360"/>
      </w:pPr>
    </w:lvl>
    <w:lvl w:ilvl="1" w:tplc="436A97CE">
      <w:start w:val="1"/>
      <w:numFmt w:val="lowerLetter"/>
      <w:lvlText w:val="%2."/>
      <w:lvlJc w:val="left"/>
      <w:pPr>
        <w:ind w:left="1440" w:hanging="360"/>
      </w:pPr>
    </w:lvl>
    <w:lvl w:ilvl="2" w:tplc="5B401BDC">
      <w:start w:val="1"/>
      <w:numFmt w:val="lowerRoman"/>
      <w:lvlText w:val="%3."/>
      <w:lvlJc w:val="right"/>
      <w:pPr>
        <w:ind w:left="2160" w:hanging="180"/>
      </w:pPr>
    </w:lvl>
    <w:lvl w:ilvl="3" w:tplc="4306C39C">
      <w:start w:val="1"/>
      <w:numFmt w:val="decimal"/>
      <w:lvlText w:val="%4."/>
      <w:lvlJc w:val="left"/>
      <w:pPr>
        <w:ind w:left="2880" w:hanging="360"/>
      </w:pPr>
    </w:lvl>
    <w:lvl w:ilvl="4" w:tplc="EB689C40">
      <w:start w:val="1"/>
      <w:numFmt w:val="lowerLetter"/>
      <w:lvlText w:val="%5."/>
      <w:lvlJc w:val="left"/>
      <w:pPr>
        <w:ind w:left="3600" w:hanging="360"/>
      </w:pPr>
    </w:lvl>
    <w:lvl w:ilvl="5" w:tplc="B92A209A">
      <w:start w:val="1"/>
      <w:numFmt w:val="lowerRoman"/>
      <w:lvlText w:val="%6."/>
      <w:lvlJc w:val="right"/>
      <w:pPr>
        <w:ind w:left="4320" w:hanging="180"/>
      </w:pPr>
    </w:lvl>
    <w:lvl w:ilvl="6" w:tplc="0088DE36">
      <w:start w:val="1"/>
      <w:numFmt w:val="decimal"/>
      <w:lvlText w:val="%7."/>
      <w:lvlJc w:val="left"/>
      <w:pPr>
        <w:ind w:left="5040" w:hanging="360"/>
      </w:pPr>
    </w:lvl>
    <w:lvl w:ilvl="7" w:tplc="5BE240E4">
      <w:start w:val="1"/>
      <w:numFmt w:val="lowerLetter"/>
      <w:lvlText w:val="%8."/>
      <w:lvlJc w:val="left"/>
      <w:pPr>
        <w:ind w:left="5760" w:hanging="360"/>
      </w:pPr>
    </w:lvl>
    <w:lvl w:ilvl="8" w:tplc="DEC01050">
      <w:start w:val="1"/>
      <w:numFmt w:val="lowerRoman"/>
      <w:lvlText w:val="%9."/>
      <w:lvlJc w:val="right"/>
      <w:pPr>
        <w:ind w:left="6480" w:hanging="180"/>
      </w:pPr>
    </w:lvl>
  </w:abstractNum>
  <w:abstractNum w:abstractNumId="65" w15:restartNumberingAfterBreak="0">
    <w:nsid w:val="1576521A"/>
    <w:multiLevelType w:val="hybridMultilevel"/>
    <w:tmpl w:val="FFFFFFFF"/>
    <w:lvl w:ilvl="0" w:tplc="F2E863E8">
      <w:start w:val="1"/>
      <w:numFmt w:val="bullet"/>
      <w:lvlText w:val="o"/>
      <w:lvlJc w:val="left"/>
      <w:pPr>
        <w:ind w:left="1080" w:hanging="360"/>
      </w:pPr>
      <w:rPr>
        <w:rFonts w:ascii="Courier New" w:hAnsi="Courier New" w:hint="default"/>
      </w:rPr>
    </w:lvl>
    <w:lvl w:ilvl="1" w:tplc="3BAC89E4">
      <w:start w:val="1"/>
      <w:numFmt w:val="bullet"/>
      <w:lvlText w:val="o"/>
      <w:lvlJc w:val="left"/>
      <w:pPr>
        <w:ind w:left="1440" w:hanging="360"/>
      </w:pPr>
      <w:rPr>
        <w:rFonts w:ascii="Courier New" w:hAnsi="Courier New" w:hint="default"/>
      </w:rPr>
    </w:lvl>
    <w:lvl w:ilvl="2" w:tplc="94863DE4">
      <w:start w:val="1"/>
      <w:numFmt w:val="bullet"/>
      <w:lvlText w:val=""/>
      <w:lvlJc w:val="left"/>
      <w:pPr>
        <w:ind w:left="2160" w:hanging="360"/>
      </w:pPr>
      <w:rPr>
        <w:rFonts w:ascii="Wingdings" w:hAnsi="Wingdings" w:hint="default"/>
      </w:rPr>
    </w:lvl>
    <w:lvl w:ilvl="3" w:tplc="DF568134">
      <w:start w:val="1"/>
      <w:numFmt w:val="bullet"/>
      <w:lvlText w:val=""/>
      <w:lvlJc w:val="left"/>
      <w:pPr>
        <w:ind w:left="2880" w:hanging="360"/>
      </w:pPr>
      <w:rPr>
        <w:rFonts w:ascii="Symbol" w:hAnsi="Symbol" w:hint="default"/>
      </w:rPr>
    </w:lvl>
    <w:lvl w:ilvl="4" w:tplc="3EE43082">
      <w:start w:val="1"/>
      <w:numFmt w:val="bullet"/>
      <w:lvlText w:val="o"/>
      <w:lvlJc w:val="left"/>
      <w:pPr>
        <w:ind w:left="3600" w:hanging="360"/>
      </w:pPr>
      <w:rPr>
        <w:rFonts w:ascii="Courier New" w:hAnsi="Courier New" w:hint="default"/>
      </w:rPr>
    </w:lvl>
    <w:lvl w:ilvl="5" w:tplc="42E84596">
      <w:start w:val="1"/>
      <w:numFmt w:val="bullet"/>
      <w:lvlText w:val=""/>
      <w:lvlJc w:val="left"/>
      <w:pPr>
        <w:ind w:left="4320" w:hanging="360"/>
      </w:pPr>
      <w:rPr>
        <w:rFonts w:ascii="Wingdings" w:hAnsi="Wingdings" w:hint="default"/>
      </w:rPr>
    </w:lvl>
    <w:lvl w:ilvl="6" w:tplc="1E482BE0">
      <w:start w:val="1"/>
      <w:numFmt w:val="bullet"/>
      <w:lvlText w:val=""/>
      <w:lvlJc w:val="left"/>
      <w:pPr>
        <w:ind w:left="5040" w:hanging="360"/>
      </w:pPr>
      <w:rPr>
        <w:rFonts w:ascii="Symbol" w:hAnsi="Symbol" w:hint="default"/>
      </w:rPr>
    </w:lvl>
    <w:lvl w:ilvl="7" w:tplc="806E702E">
      <w:start w:val="1"/>
      <w:numFmt w:val="bullet"/>
      <w:lvlText w:val="o"/>
      <w:lvlJc w:val="left"/>
      <w:pPr>
        <w:ind w:left="5760" w:hanging="360"/>
      </w:pPr>
      <w:rPr>
        <w:rFonts w:ascii="Courier New" w:hAnsi="Courier New" w:hint="default"/>
      </w:rPr>
    </w:lvl>
    <w:lvl w:ilvl="8" w:tplc="0134A128">
      <w:start w:val="1"/>
      <w:numFmt w:val="bullet"/>
      <w:lvlText w:val=""/>
      <w:lvlJc w:val="left"/>
      <w:pPr>
        <w:ind w:left="6480" w:hanging="360"/>
      </w:pPr>
      <w:rPr>
        <w:rFonts w:ascii="Wingdings" w:hAnsi="Wingdings" w:hint="default"/>
      </w:rPr>
    </w:lvl>
  </w:abstractNum>
  <w:abstractNum w:abstractNumId="66" w15:restartNumberingAfterBreak="0">
    <w:nsid w:val="1599A137"/>
    <w:multiLevelType w:val="hybridMultilevel"/>
    <w:tmpl w:val="FFFFFFFF"/>
    <w:lvl w:ilvl="0" w:tplc="08421836">
      <w:start w:val="5"/>
      <w:numFmt w:val="lowerLetter"/>
      <w:lvlText w:val="%1)"/>
      <w:lvlJc w:val="left"/>
      <w:pPr>
        <w:ind w:left="720" w:hanging="360"/>
      </w:pPr>
    </w:lvl>
    <w:lvl w:ilvl="1" w:tplc="2FF40366">
      <w:start w:val="1"/>
      <w:numFmt w:val="lowerLetter"/>
      <w:lvlText w:val="%2."/>
      <w:lvlJc w:val="left"/>
      <w:pPr>
        <w:ind w:left="1440" w:hanging="360"/>
      </w:pPr>
    </w:lvl>
    <w:lvl w:ilvl="2" w:tplc="CB78795C">
      <w:start w:val="1"/>
      <w:numFmt w:val="lowerRoman"/>
      <w:lvlText w:val="%3."/>
      <w:lvlJc w:val="right"/>
      <w:pPr>
        <w:ind w:left="2160" w:hanging="180"/>
      </w:pPr>
    </w:lvl>
    <w:lvl w:ilvl="3" w:tplc="35764EB0">
      <w:start w:val="1"/>
      <w:numFmt w:val="decimal"/>
      <w:lvlText w:val="%4."/>
      <w:lvlJc w:val="left"/>
      <w:pPr>
        <w:ind w:left="2880" w:hanging="360"/>
      </w:pPr>
    </w:lvl>
    <w:lvl w:ilvl="4" w:tplc="40544C38">
      <w:start w:val="1"/>
      <w:numFmt w:val="lowerLetter"/>
      <w:lvlText w:val="%5."/>
      <w:lvlJc w:val="left"/>
      <w:pPr>
        <w:ind w:left="3600" w:hanging="360"/>
      </w:pPr>
    </w:lvl>
    <w:lvl w:ilvl="5" w:tplc="86807146">
      <w:start w:val="1"/>
      <w:numFmt w:val="lowerRoman"/>
      <w:lvlText w:val="%6."/>
      <w:lvlJc w:val="right"/>
      <w:pPr>
        <w:ind w:left="4320" w:hanging="180"/>
      </w:pPr>
    </w:lvl>
    <w:lvl w:ilvl="6" w:tplc="ED56A4EC">
      <w:start w:val="1"/>
      <w:numFmt w:val="decimal"/>
      <w:lvlText w:val="%7."/>
      <w:lvlJc w:val="left"/>
      <w:pPr>
        <w:ind w:left="5040" w:hanging="360"/>
      </w:pPr>
    </w:lvl>
    <w:lvl w:ilvl="7" w:tplc="A0D4505C">
      <w:start w:val="1"/>
      <w:numFmt w:val="lowerLetter"/>
      <w:lvlText w:val="%8."/>
      <w:lvlJc w:val="left"/>
      <w:pPr>
        <w:ind w:left="5760" w:hanging="360"/>
      </w:pPr>
    </w:lvl>
    <w:lvl w:ilvl="8" w:tplc="435A6314">
      <w:start w:val="1"/>
      <w:numFmt w:val="lowerRoman"/>
      <w:lvlText w:val="%9."/>
      <w:lvlJc w:val="right"/>
      <w:pPr>
        <w:ind w:left="6480" w:hanging="180"/>
      </w:pPr>
    </w:lvl>
  </w:abstractNum>
  <w:abstractNum w:abstractNumId="67" w15:restartNumberingAfterBreak="0">
    <w:nsid w:val="15FB003C"/>
    <w:multiLevelType w:val="hybridMultilevel"/>
    <w:tmpl w:val="576885C8"/>
    <w:lvl w:ilvl="0" w:tplc="DC4C000A">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15:restartNumberingAfterBreak="0">
    <w:nsid w:val="163C9E05"/>
    <w:multiLevelType w:val="hybridMultilevel"/>
    <w:tmpl w:val="FFFFFFFF"/>
    <w:lvl w:ilvl="0" w:tplc="E78EDFA2">
      <w:start w:val="2"/>
      <w:numFmt w:val="lowerLetter"/>
      <w:lvlText w:val="%1."/>
      <w:lvlJc w:val="left"/>
      <w:pPr>
        <w:ind w:left="720" w:hanging="360"/>
      </w:pPr>
    </w:lvl>
    <w:lvl w:ilvl="1" w:tplc="0BBA5CCC">
      <w:start w:val="1"/>
      <w:numFmt w:val="lowerLetter"/>
      <w:lvlText w:val="%2."/>
      <w:lvlJc w:val="left"/>
      <w:pPr>
        <w:ind w:left="1440" w:hanging="360"/>
      </w:pPr>
    </w:lvl>
    <w:lvl w:ilvl="2" w:tplc="57608EBA">
      <w:start w:val="1"/>
      <w:numFmt w:val="lowerRoman"/>
      <w:lvlText w:val="%3."/>
      <w:lvlJc w:val="right"/>
      <w:pPr>
        <w:ind w:left="2160" w:hanging="180"/>
      </w:pPr>
    </w:lvl>
    <w:lvl w:ilvl="3" w:tplc="0AE8DA6E">
      <w:start w:val="1"/>
      <w:numFmt w:val="decimal"/>
      <w:lvlText w:val="%4."/>
      <w:lvlJc w:val="left"/>
      <w:pPr>
        <w:ind w:left="2880" w:hanging="360"/>
      </w:pPr>
    </w:lvl>
    <w:lvl w:ilvl="4" w:tplc="5400DFAE">
      <w:start w:val="1"/>
      <w:numFmt w:val="lowerLetter"/>
      <w:lvlText w:val="%5."/>
      <w:lvlJc w:val="left"/>
      <w:pPr>
        <w:ind w:left="3600" w:hanging="360"/>
      </w:pPr>
    </w:lvl>
    <w:lvl w:ilvl="5" w:tplc="C5A49B94">
      <w:start w:val="1"/>
      <w:numFmt w:val="lowerRoman"/>
      <w:lvlText w:val="%6."/>
      <w:lvlJc w:val="right"/>
      <w:pPr>
        <w:ind w:left="4320" w:hanging="180"/>
      </w:pPr>
    </w:lvl>
    <w:lvl w:ilvl="6" w:tplc="050CF3C2">
      <w:start w:val="1"/>
      <w:numFmt w:val="decimal"/>
      <w:lvlText w:val="%7."/>
      <w:lvlJc w:val="left"/>
      <w:pPr>
        <w:ind w:left="5040" w:hanging="360"/>
      </w:pPr>
    </w:lvl>
    <w:lvl w:ilvl="7" w:tplc="F0BCFEC2">
      <w:start w:val="1"/>
      <w:numFmt w:val="lowerLetter"/>
      <w:lvlText w:val="%8."/>
      <w:lvlJc w:val="left"/>
      <w:pPr>
        <w:ind w:left="5760" w:hanging="360"/>
      </w:pPr>
    </w:lvl>
    <w:lvl w:ilvl="8" w:tplc="0E204C92">
      <w:start w:val="1"/>
      <w:numFmt w:val="lowerRoman"/>
      <w:lvlText w:val="%9."/>
      <w:lvlJc w:val="right"/>
      <w:pPr>
        <w:ind w:left="6480" w:hanging="180"/>
      </w:pPr>
    </w:lvl>
  </w:abstractNum>
  <w:abstractNum w:abstractNumId="69" w15:restartNumberingAfterBreak="0">
    <w:nsid w:val="164347F5"/>
    <w:multiLevelType w:val="hybridMultilevel"/>
    <w:tmpl w:val="FA82FA80"/>
    <w:lvl w:ilvl="0" w:tplc="A28A392A">
      <w:start w:val="1"/>
      <w:numFmt w:val="bullet"/>
      <w:lvlText w:val=""/>
      <w:lvlJc w:val="left"/>
      <w:pPr>
        <w:ind w:left="720" w:hanging="360"/>
      </w:pPr>
      <w:rPr>
        <w:rFonts w:ascii="Symbol" w:hAnsi="Symbol" w:hint="default"/>
        <w:sz w:val="24"/>
        <w:szCs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0" w15:restartNumberingAfterBreak="0">
    <w:nsid w:val="16E4F319"/>
    <w:multiLevelType w:val="hybridMultilevel"/>
    <w:tmpl w:val="FFFFFFFF"/>
    <w:lvl w:ilvl="0" w:tplc="67708FC6">
      <w:start w:val="1"/>
      <w:numFmt w:val="bullet"/>
      <w:lvlText w:val=""/>
      <w:lvlJc w:val="left"/>
      <w:pPr>
        <w:ind w:left="720" w:hanging="360"/>
      </w:pPr>
      <w:rPr>
        <w:rFonts w:ascii="Symbol" w:hAnsi="Symbol" w:hint="default"/>
      </w:rPr>
    </w:lvl>
    <w:lvl w:ilvl="1" w:tplc="09AEDC1E">
      <w:start w:val="1"/>
      <w:numFmt w:val="bullet"/>
      <w:lvlText w:val="o"/>
      <w:lvlJc w:val="left"/>
      <w:pPr>
        <w:ind w:left="1440" w:hanging="360"/>
      </w:pPr>
      <w:rPr>
        <w:rFonts w:ascii="Courier New" w:hAnsi="Courier New" w:hint="default"/>
      </w:rPr>
    </w:lvl>
    <w:lvl w:ilvl="2" w:tplc="E4842132">
      <w:start w:val="1"/>
      <w:numFmt w:val="bullet"/>
      <w:lvlText w:val=""/>
      <w:lvlJc w:val="left"/>
      <w:pPr>
        <w:ind w:left="2160" w:hanging="360"/>
      </w:pPr>
      <w:rPr>
        <w:rFonts w:ascii="Wingdings" w:hAnsi="Wingdings" w:hint="default"/>
      </w:rPr>
    </w:lvl>
    <w:lvl w:ilvl="3" w:tplc="0062F8F0">
      <w:start w:val="1"/>
      <w:numFmt w:val="bullet"/>
      <w:lvlText w:val=""/>
      <w:lvlJc w:val="left"/>
      <w:pPr>
        <w:ind w:left="2880" w:hanging="360"/>
      </w:pPr>
      <w:rPr>
        <w:rFonts w:ascii="Symbol" w:hAnsi="Symbol" w:hint="default"/>
      </w:rPr>
    </w:lvl>
    <w:lvl w:ilvl="4" w:tplc="A7248A28">
      <w:start w:val="1"/>
      <w:numFmt w:val="bullet"/>
      <w:lvlText w:val="o"/>
      <w:lvlJc w:val="left"/>
      <w:pPr>
        <w:ind w:left="3600" w:hanging="360"/>
      </w:pPr>
      <w:rPr>
        <w:rFonts w:ascii="Courier New" w:hAnsi="Courier New" w:hint="default"/>
      </w:rPr>
    </w:lvl>
    <w:lvl w:ilvl="5" w:tplc="A71699DA">
      <w:start w:val="1"/>
      <w:numFmt w:val="bullet"/>
      <w:lvlText w:val=""/>
      <w:lvlJc w:val="left"/>
      <w:pPr>
        <w:ind w:left="4320" w:hanging="360"/>
      </w:pPr>
      <w:rPr>
        <w:rFonts w:ascii="Wingdings" w:hAnsi="Wingdings" w:hint="default"/>
      </w:rPr>
    </w:lvl>
    <w:lvl w:ilvl="6" w:tplc="C25AA552">
      <w:start w:val="1"/>
      <w:numFmt w:val="bullet"/>
      <w:lvlText w:val=""/>
      <w:lvlJc w:val="left"/>
      <w:pPr>
        <w:ind w:left="5040" w:hanging="360"/>
      </w:pPr>
      <w:rPr>
        <w:rFonts w:ascii="Symbol" w:hAnsi="Symbol" w:hint="default"/>
      </w:rPr>
    </w:lvl>
    <w:lvl w:ilvl="7" w:tplc="CDE0BA8C">
      <w:start w:val="1"/>
      <w:numFmt w:val="bullet"/>
      <w:lvlText w:val="o"/>
      <w:lvlJc w:val="left"/>
      <w:pPr>
        <w:ind w:left="5760" w:hanging="360"/>
      </w:pPr>
      <w:rPr>
        <w:rFonts w:ascii="Courier New" w:hAnsi="Courier New" w:hint="default"/>
      </w:rPr>
    </w:lvl>
    <w:lvl w:ilvl="8" w:tplc="4508B44E">
      <w:start w:val="1"/>
      <w:numFmt w:val="bullet"/>
      <w:lvlText w:val=""/>
      <w:lvlJc w:val="left"/>
      <w:pPr>
        <w:ind w:left="6480" w:hanging="360"/>
      </w:pPr>
      <w:rPr>
        <w:rFonts w:ascii="Wingdings" w:hAnsi="Wingdings" w:hint="default"/>
      </w:rPr>
    </w:lvl>
  </w:abstractNum>
  <w:abstractNum w:abstractNumId="71" w15:restartNumberingAfterBreak="0">
    <w:nsid w:val="18220F9B"/>
    <w:multiLevelType w:val="hybridMultilevel"/>
    <w:tmpl w:val="BCACA684"/>
    <w:lvl w:ilvl="0" w:tplc="18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8C66047"/>
    <w:multiLevelType w:val="hybridMultilevel"/>
    <w:tmpl w:val="FFFFFFFF"/>
    <w:lvl w:ilvl="0" w:tplc="8F0EB536">
      <w:start w:val="5"/>
      <w:numFmt w:val="lowerLetter"/>
      <w:lvlText w:val="%1)"/>
      <w:lvlJc w:val="left"/>
      <w:pPr>
        <w:ind w:left="720" w:hanging="360"/>
      </w:pPr>
    </w:lvl>
    <w:lvl w:ilvl="1" w:tplc="491E7AD4">
      <w:start w:val="1"/>
      <w:numFmt w:val="lowerLetter"/>
      <w:lvlText w:val="%2."/>
      <w:lvlJc w:val="left"/>
      <w:pPr>
        <w:ind w:left="1440" w:hanging="360"/>
      </w:pPr>
    </w:lvl>
    <w:lvl w:ilvl="2" w:tplc="8D84823C">
      <w:start w:val="1"/>
      <w:numFmt w:val="lowerRoman"/>
      <w:lvlText w:val="%3."/>
      <w:lvlJc w:val="right"/>
      <w:pPr>
        <w:ind w:left="2160" w:hanging="180"/>
      </w:pPr>
    </w:lvl>
    <w:lvl w:ilvl="3" w:tplc="AAAC0128">
      <w:start w:val="1"/>
      <w:numFmt w:val="decimal"/>
      <w:lvlText w:val="%4."/>
      <w:lvlJc w:val="left"/>
      <w:pPr>
        <w:ind w:left="2880" w:hanging="360"/>
      </w:pPr>
    </w:lvl>
    <w:lvl w:ilvl="4" w:tplc="BF7C7AE2">
      <w:start w:val="1"/>
      <w:numFmt w:val="lowerLetter"/>
      <w:lvlText w:val="%5."/>
      <w:lvlJc w:val="left"/>
      <w:pPr>
        <w:ind w:left="3600" w:hanging="360"/>
      </w:pPr>
    </w:lvl>
    <w:lvl w:ilvl="5" w:tplc="A148C840">
      <w:start w:val="1"/>
      <w:numFmt w:val="lowerRoman"/>
      <w:lvlText w:val="%6."/>
      <w:lvlJc w:val="right"/>
      <w:pPr>
        <w:ind w:left="4320" w:hanging="180"/>
      </w:pPr>
    </w:lvl>
    <w:lvl w:ilvl="6" w:tplc="DAF0ABE4">
      <w:start w:val="1"/>
      <w:numFmt w:val="decimal"/>
      <w:lvlText w:val="%7."/>
      <w:lvlJc w:val="left"/>
      <w:pPr>
        <w:ind w:left="5040" w:hanging="360"/>
      </w:pPr>
    </w:lvl>
    <w:lvl w:ilvl="7" w:tplc="C4C8AA1C">
      <w:start w:val="1"/>
      <w:numFmt w:val="lowerLetter"/>
      <w:lvlText w:val="%8."/>
      <w:lvlJc w:val="left"/>
      <w:pPr>
        <w:ind w:left="5760" w:hanging="360"/>
      </w:pPr>
    </w:lvl>
    <w:lvl w:ilvl="8" w:tplc="A2063206">
      <w:start w:val="1"/>
      <w:numFmt w:val="lowerRoman"/>
      <w:lvlText w:val="%9."/>
      <w:lvlJc w:val="right"/>
      <w:pPr>
        <w:ind w:left="6480" w:hanging="180"/>
      </w:pPr>
    </w:lvl>
  </w:abstractNum>
  <w:abstractNum w:abstractNumId="73" w15:restartNumberingAfterBreak="0">
    <w:nsid w:val="192CB88E"/>
    <w:multiLevelType w:val="hybridMultilevel"/>
    <w:tmpl w:val="943AF720"/>
    <w:lvl w:ilvl="0" w:tplc="0D9EA948">
      <w:start w:val="1"/>
      <w:numFmt w:val="decimal"/>
      <w:lvlText w:val="%1."/>
      <w:lvlJc w:val="left"/>
      <w:pPr>
        <w:ind w:left="720" w:hanging="360"/>
      </w:pPr>
    </w:lvl>
    <w:lvl w:ilvl="1" w:tplc="D7F8DF3A">
      <w:start w:val="1"/>
      <w:numFmt w:val="lowerLetter"/>
      <w:lvlText w:val="%2."/>
      <w:lvlJc w:val="left"/>
      <w:pPr>
        <w:ind w:left="1440" w:hanging="360"/>
      </w:pPr>
    </w:lvl>
    <w:lvl w:ilvl="2" w:tplc="461ABB7E">
      <w:start w:val="1"/>
      <w:numFmt w:val="lowerRoman"/>
      <w:lvlText w:val="%3."/>
      <w:lvlJc w:val="right"/>
      <w:pPr>
        <w:ind w:left="2160" w:hanging="180"/>
      </w:pPr>
    </w:lvl>
    <w:lvl w:ilvl="3" w:tplc="4FF6E780">
      <w:start w:val="1"/>
      <w:numFmt w:val="decimal"/>
      <w:lvlText w:val="%4."/>
      <w:lvlJc w:val="left"/>
      <w:pPr>
        <w:ind w:left="2880" w:hanging="360"/>
      </w:pPr>
    </w:lvl>
    <w:lvl w:ilvl="4" w:tplc="C72A128E">
      <w:start w:val="1"/>
      <w:numFmt w:val="lowerLetter"/>
      <w:lvlText w:val="%5."/>
      <w:lvlJc w:val="left"/>
      <w:pPr>
        <w:ind w:left="3600" w:hanging="360"/>
      </w:pPr>
    </w:lvl>
    <w:lvl w:ilvl="5" w:tplc="301E55BE">
      <w:start w:val="1"/>
      <w:numFmt w:val="lowerRoman"/>
      <w:lvlText w:val="%6."/>
      <w:lvlJc w:val="right"/>
      <w:pPr>
        <w:ind w:left="4320" w:hanging="180"/>
      </w:pPr>
    </w:lvl>
    <w:lvl w:ilvl="6" w:tplc="E5B4A998">
      <w:start w:val="1"/>
      <w:numFmt w:val="decimal"/>
      <w:lvlText w:val="%7."/>
      <w:lvlJc w:val="left"/>
      <w:pPr>
        <w:ind w:left="5040" w:hanging="360"/>
      </w:pPr>
    </w:lvl>
    <w:lvl w:ilvl="7" w:tplc="9EF841C0">
      <w:start w:val="1"/>
      <w:numFmt w:val="lowerLetter"/>
      <w:lvlText w:val="%8."/>
      <w:lvlJc w:val="left"/>
      <w:pPr>
        <w:ind w:left="5760" w:hanging="360"/>
      </w:pPr>
    </w:lvl>
    <w:lvl w:ilvl="8" w:tplc="E0547A68">
      <w:start w:val="1"/>
      <w:numFmt w:val="lowerRoman"/>
      <w:lvlText w:val="%9."/>
      <w:lvlJc w:val="right"/>
      <w:pPr>
        <w:ind w:left="6480" w:hanging="180"/>
      </w:pPr>
    </w:lvl>
  </w:abstractNum>
  <w:abstractNum w:abstractNumId="74" w15:restartNumberingAfterBreak="0">
    <w:nsid w:val="194F1A20"/>
    <w:multiLevelType w:val="hybridMultilevel"/>
    <w:tmpl w:val="C28ADDEA"/>
    <w:lvl w:ilvl="0" w:tplc="E0BAC110">
      <w:start w:val="1"/>
      <w:numFmt w:val="decimal"/>
      <w:lvlText w:val="%1)"/>
      <w:lvlJc w:val="left"/>
      <w:pPr>
        <w:ind w:left="1800" w:hanging="360"/>
      </w:pPr>
    </w:lvl>
    <w:lvl w:ilvl="1" w:tplc="354E5DE8">
      <w:start w:val="1"/>
      <w:numFmt w:val="decimal"/>
      <w:lvlText w:val="%2)"/>
      <w:lvlJc w:val="left"/>
      <w:pPr>
        <w:ind w:left="1800" w:hanging="360"/>
      </w:pPr>
    </w:lvl>
    <w:lvl w:ilvl="2" w:tplc="2A30D2A4">
      <w:start w:val="1"/>
      <w:numFmt w:val="decimal"/>
      <w:lvlText w:val="%3)"/>
      <w:lvlJc w:val="left"/>
      <w:pPr>
        <w:ind w:left="1800" w:hanging="360"/>
      </w:pPr>
    </w:lvl>
    <w:lvl w:ilvl="3" w:tplc="78A0EF02">
      <w:start w:val="1"/>
      <w:numFmt w:val="decimal"/>
      <w:lvlText w:val="%4)"/>
      <w:lvlJc w:val="left"/>
      <w:pPr>
        <w:ind w:left="1800" w:hanging="360"/>
      </w:pPr>
    </w:lvl>
    <w:lvl w:ilvl="4" w:tplc="E7F4406C">
      <w:start w:val="1"/>
      <w:numFmt w:val="decimal"/>
      <w:lvlText w:val="%5)"/>
      <w:lvlJc w:val="left"/>
      <w:pPr>
        <w:ind w:left="1800" w:hanging="360"/>
      </w:pPr>
    </w:lvl>
    <w:lvl w:ilvl="5" w:tplc="E962E90C">
      <w:start w:val="1"/>
      <w:numFmt w:val="decimal"/>
      <w:lvlText w:val="%6)"/>
      <w:lvlJc w:val="left"/>
      <w:pPr>
        <w:ind w:left="1800" w:hanging="360"/>
      </w:pPr>
    </w:lvl>
    <w:lvl w:ilvl="6" w:tplc="20001BB6">
      <w:start w:val="1"/>
      <w:numFmt w:val="decimal"/>
      <w:lvlText w:val="%7)"/>
      <w:lvlJc w:val="left"/>
      <w:pPr>
        <w:ind w:left="1800" w:hanging="360"/>
      </w:pPr>
    </w:lvl>
    <w:lvl w:ilvl="7" w:tplc="7E449414">
      <w:start w:val="1"/>
      <w:numFmt w:val="decimal"/>
      <w:lvlText w:val="%8)"/>
      <w:lvlJc w:val="left"/>
      <w:pPr>
        <w:ind w:left="1800" w:hanging="360"/>
      </w:pPr>
    </w:lvl>
    <w:lvl w:ilvl="8" w:tplc="33C44BA4">
      <w:start w:val="1"/>
      <w:numFmt w:val="decimal"/>
      <w:lvlText w:val="%9)"/>
      <w:lvlJc w:val="left"/>
      <w:pPr>
        <w:ind w:left="1800" w:hanging="360"/>
      </w:pPr>
    </w:lvl>
  </w:abstractNum>
  <w:abstractNum w:abstractNumId="75" w15:restartNumberingAfterBreak="0">
    <w:nsid w:val="1991396D"/>
    <w:multiLevelType w:val="multilevel"/>
    <w:tmpl w:val="A086D35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1A6140E9"/>
    <w:multiLevelType w:val="hybridMultilevel"/>
    <w:tmpl w:val="B81804F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7" w15:restartNumberingAfterBreak="0">
    <w:nsid w:val="1A8DBD7B"/>
    <w:multiLevelType w:val="hybridMultilevel"/>
    <w:tmpl w:val="FFFFFFFF"/>
    <w:lvl w:ilvl="0" w:tplc="7E0CF870">
      <w:start w:val="10"/>
      <w:numFmt w:val="decimal"/>
      <w:lvlText w:val="%1."/>
      <w:lvlJc w:val="left"/>
      <w:pPr>
        <w:ind w:left="720" w:hanging="360"/>
      </w:pPr>
    </w:lvl>
    <w:lvl w:ilvl="1" w:tplc="6C463A86">
      <w:start w:val="1"/>
      <w:numFmt w:val="lowerLetter"/>
      <w:lvlText w:val="%2."/>
      <w:lvlJc w:val="left"/>
      <w:pPr>
        <w:ind w:left="1440" w:hanging="360"/>
      </w:pPr>
    </w:lvl>
    <w:lvl w:ilvl="2" w:tplc="9CDC542C">
      <w:start w:val="1"/>
      <w:numFmt w:val="lowerRoman"/>
      <w:lvlText w:val="%3."/>
      <w:lvlJc w:val="right"/>
      <w:pPr>
        <w:ind w:left="2160" w:hanging="180"/>
      </w:pPr>
    </w:lvl>
    <w:lvl w:ilvl="3" w:tplc="A880A4C4">
      <w:start w:val="1"/>
      <w:numFmt w:val="decimal"/>
      <w:lvlText w:val="%4."/>
      <w:lvlJc w:val="left"/>
      <w:pPr>
        <w:ind w:left="2880" w:hanging="360"/>
      </w:pPr>
    </w:lvl>
    <w:lvl w:ilvl="4" w:tplc="62166188">
      <w:start w:val="1"/>
      <w:numFmt w:val="lowerLetter"/>
      <w:lvlText w:val="%5."/>
      <w:lvlJc w:val="left"/>
      <w:pPr>
        <w:ind w:left="3600" w:hanging="360"/>
      </w:pPr>
    </w:lvl>
    <w:lvl w:ilvl="5" w:tplc="18EC92FC">
      <w:start w:val="1"/>
      <w:numFmt w:val="lowerRoman"/>
      <w:lvlText w:val="%6."/>
      <w:lvlJc w:val="right"/>
      <w:pPr>
        <w:ind w:left="4320" w:hanging="180"/>
      </w:pPr>
    </w:lvl>
    <w:lvl w:ilvl="6" w:tplc="31665B10">
      <w:start w:val="1"/>
      <w:numFmt w:val="decimal"/>
      <w:lvlText w:val="%7."/>
      <w:lvlJc w:val="left"/>
      <w:pPr>
        <w:ind w:left="5040" w:hanging="360"/>
      </w:pPr>
    </w:lvl>
    <w:lvl w:ilvl="7" w:tplc="E272BEDA">
      <w:start w:val="1"/>
      <w:numFmt w:val="lowerLetter"/>
      <w:lvlText w:val="%8."/>
      <w:lvlJc w:val="left"/>
      <w:pPr>
        <w:ind w:left="5760" w:hanging="360"/>
      </w:pPr>
    </w:lvl>
    <w:lvl w:ilvl="8" w:tplc="28C4744A">
      <w:start w:val="1"/>
      <w:numFmt w:val="lowerRoman"/>
      <w:lvlText w:val="%9."/>
      <w:lvlJc w:val="right"/>
      <w:pPr>
        <w:ind w:left="6480" w:hanging="180"/>
      </w:pPr>
    </w:lvl>
  </w:abstractNum>
  <w:abstractNum w:abstractNumId="78" w15:restartNumberingAfterBreak="0">
    <w:nsid w:val="1B275DC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9" w15:restartNumberingAfterBreak="0">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0" w15:restartNumberingAfterBreak="0">
    <w:nsid w:val="1B7CBF49"/>
    <w:multiLevelType w:val="hybridMultilevel"/>
    <w:tmpl w:val="384295A0"/>
    <w:lvl w:ilvl="0" w:tplc="9402903A">
      <w:start w:val="2"/>
      <w:numFmt w:val="decimal"/>
      <w:lvlText w:val="%1."/>
      <w:lvlJc w:val="left"/>
      <w:pPr>
        <w:ind w:left="720" w:hanging="360"/>
      </w:pPr>
    </w:lvl>
    <w:lvl w:ilvl="1" w:tplc="A2DA220E">
      <w:start w:val="1"/>
      <w:numFmt w:val="lowerLetter"/>
      <w:lvlText w:val="%2."/>
      <w:lvlJc w:val="left"/>
      <w:pPr>
        <w:ind w:left="1440" w:hanging="360"/>
      </w:pPr>
    </w:lvl>
    <w:lvl w:ilvl="2" w:tplc="EED2A35A">
      <w:start w:val="1"/>
      <w:numFmt w:val="lowerRoman"/>
      <w:lvlText w:val="%3."/>
      <w:lvlJc w:val="right"/>
      <w:pPr>
        <w:ind w:left="2160" w:hanging="180"/>
      </w:pPr>
    </w:lvl>
    <w:lvl w:ilvl="3" w:tplc="204EB55E">
      <w:start w:val="1"/>
      <w:numFmt w:val="decimal"/>
      <w:lvlText w:val="%4."/>
      <w:lvlJc w:val="left"/>
      <w:pPr>
        <w:ind w:left="2880" w:hanging="360"/>
      </w:pPr>
    </w:lvl>
    <w:lvl w:ilvl="4" w:tplc="49B033EC">
      <w:start w:val="1"/>
      <w:numFmt w:val="lowerLetter"/>
      <w:lvlText w:val="%5."/>
      <w:lvlJc w:val="left"/>
      <w:pPr>
        <w:ind w:left="3600" w:hanging="360"/>
      </w:pPr>
    </w:lvl>
    <w:lvl w:ilvl="5" w:tplc="67CEA352">
      <w:start w:val="1"/>
      <w:numFmt w:val="lowerRoman"/>
      <w:lvlText w:val="%6."/>
      <w:lvlJc w:val="right"/>
      <w:pPr>
        <w:ind w:left="4320" w:hanging="180"/>
      </w:pPr>
    </w:lvl>
    <w:lvl w:ilvl="6" w:tplc="1B76FC48">
      <w:start w:val="1"/>
      <w:numFmt w:val="decimal"/>
      <w:lvlText w:val="%7."/>
      <w:lvlJc w:val="left"/>
      <w:pPr>
        <w:ind w:left="5040" w:hanging="360"/>
      </w:pPr>
    </w:lvl>
    <w:lvl w:ilvl="7" w:tplc="D8D87BFC">
      <w:start w:val="1"/>
      <w:numFmt w:val="lowerLetter"/>
      <w:lvlText w:val="%8."/>
      <w:lvlJc w:val="left"/>
      <w:pPr>
        <w:ind w:left="5760" w:hanging="360"/>
      </w:pPr>
    </w:lvl>
    <w:lvl w:ilvl="8" w:tplc="DC6806DE">
      <w:start w:val="1"/>
      <w:numFmt w:val="lowerRoman"/>
      <w:lvlText w:val="%9."/>
      <w:lvlJc w:val="right"/>
      <w:pPr>
        <w:ind w:left="6480" w:hanging="180"/>
      </w:pPr>
    </w:lvl>
  </w:abstractNum>
  <w:abstractNum w:abstractNumId="81" w15:restartNumberingAfterBreak="0">
    <w:nsid w:val="1B85B42E"/>
    <w:multiLevelType w:val="hybridMultilevel"/>
    <w:tmpl w:val="FFFFFFFF"/>
    <w:lvl w:ilvl="0" w:tplc="D416D78A">
      <w:start w:val="12"/>
      <w:numFmt w:val="decimal"/>
      <w:lvlText w:val="%1."/>
      <w:lvlJc w:val="left"/>
      <w:pPr>
        <w:ind w:left="720" w:hanging="360"/>
      </w:pPr>
    </w:lvl>
    <w:lvl w:ilvl="1" w:tplc="6546A324">
      <w:start w:val="1"/>
      <w:numFmt w:val="lowerLetter"/>
      <w:lvlText w:val="%2."/>
      <w:lvlJc w:val="left"/>
      <w:pPr>
        <w:ind w:left="1440" w:hanging="360"/>
      </w:pPr>
    </w:lvl>
    <w:lvl w:ilvl="2" w:tplc="4D50897A">
      <w:start w:val="1"/>
      <w:numFmt w:val="lowerRoman"/>
      <w:lvlText w:val="%3."/>
      <w:lvlJc w:val="right"/>
      <w:pPr>
        <w:ind w:left="2160" w:hanging="180"/>
      </w:pPr>
    </w:lvl>
    <w:lvl w:ilvl="3" w:tplc="A1829E32">
      <w:start w:val="1"/>
      <w:numFmt w:val="decimal"/>
      <w:lvlText w:val="%4."/>
      <w:lvlJc w:val="left"/>
      <w:pPr>
        <w:ind w:left="2880" w:hanging="360"/>
      </w:pPr>
    </w:lvl>
    <w:lvl w:ilvl="4" w:tplc="58621286">
      <w:start w:val="1"/>
      <w:numFmt w:val="lowerLetter"/>
      <w:lvlText w:val="%5."/>
      <w:lvlJc w:val="left"/>
      <w:pPr>
        <w:ind w:left="3600" w:hanging="360"/>
      </w:pPr>
    </w:lvl>
    <w:lvl w:ilvl="5" w:tplc="077A4458">
      <w:start w:val="1"/>
      <w:numFmt w:val="lowerRoman"/>
      <w:lvlText w:val="%6."/>
      <w:lvlJc w:val="right"/>
      <w:pPr>
        <w:ind w:left="4320" w:hanging="180"/>
      </w:pPr>
    </w:lvl>
    <w:lvl w:ilvl="6" w:tplc="4E241660">
      <w:start w:val="1"/>
      <w:numFmt w:val="decimal"/>
      <w:lvlText w:val="%7."/>
      <w:lvlJc w:val="left"/>
      <w:pPr>
        <w:ind w:left="5040" w:hanging="360"/>
      </w:pPr>
    </w:lvl>
    <w:lvl w:ilvl="7" w:tplc="A1E4366E">
      <w:start w:val="1"/>
      <w:numFmt w:val="lowerLetter"/>
      <w:lvlText w:val="%8."/>
      <w:lvlJc w:val="left"/>
      <w:pPr>
        <w:ind w:left="5760" w:hanging="360"/>
      </w:pPr>
    </w:lvl>
    <w:lvl w:ilvl="8" w:tplc="65A864D8">
      <w:start w:val="1"/>
      <w:numFmt w:val="lowerRoman"/>
      <w:lvlText w:val="%9."/>
      <w:lvlJc w:val="right"/>
      <w:pPr>
        <w:ind w:left="6480" w:hanging="180"/>
      </w:pPr>
    </w:lvl>
  </w:abstractNum>
  <w:abstractNum w:abstractNumId="82" w15:restartNumberingAfterBreak="0">
    <w:nsid w:val="1BB9CC5B"/>
    <w:multiLevelType w:val="hybridMultilevel"/>
    <w:tmpl w:val="FFFFFFFF"/>
    <w:lvl w:ilvl="0" w:tplc="8258CEE4">
      <w:start w:val="2"/>
      <w:numFmt w:val="lowerLetter"/>
      <w:lvlText w:val="%1."/>
      <w:lvlJc w:val="left"/>
      <w:pPr>
        <w:ind w:left="720" w:hanging="360"/>
      </w:pPr>
    </w:lvl>
    <w:lvl w:ilvl="1" w:tplc="AD1C7FBE">
      <w:start w:val="1"/>
      <w:numFmt w:val="lowerLetter"/>
      <w:lvlText w:val="%2."/>
      <w:lvlJc w:val="left"/>
      <w:pPr>
        <w:ind w:left="1440" w:hanging="360"/>
      </w:pPr>
    </w:lvl>
    <w:lvl w:ilvl="2" w:tplc="4178F8D8">
      <w:start w:val="1"/>
      <w:numFmt w:val="lowerRoman"/>
      <w:lvlText w:val="%3."/>
      <w:lvlJc w:val="right"/>
      <w:pPr>
        <w:ind w:left="2160" w:hanging="180"/>
      </w:pPr>
    </w:lvl>
    <w:lvl w:ilvl="3" w:tplc="3EAA75A8">
      <w:start w:val="1"/>
      <w:numFmt w:val="decimal"/>
      <w:lvlText w:val="%4."/>
      <w:lvlJc w:val="left"/>
      <w:pPr>
        <w:ind w:left="2880" w:hanging="360"/>
      </w:pPr>
    </w:lvl>
    <w:lvl w:ilvl="4" w:tplc="2C448A1C">
      <w:start w:val="1"/>
      <w:numFmt w:val="lowerLetter"/>
      <w:lvlText w:val="%5."/>
      <w:lvlJc w:val="left"/>
      <w:pPr>
        <w:ind w:left="3600" w:hanging="360"/>
      </w:pPr>
    </w:lvl>
    <w:lvl w:ilvl="5" w:tplc="E94E111E">
      <w:start w:val="1"/>
      <w:numFmt w:val="lowerRoman"/>
      <w:lvlText w:val="%6."/>
      <w:lvlJc w:val="right"/>
      <w:pPr>
        <w:ind w:left="4320" w:hanging="180"/>
      </w:pPr>
    </w:lvl>
    <w:lvl w:ilvl="6" w:tplc="2CB0D928">
      <w:start w:val="1"/>
      <w:numFmt w:val="decimal"/>
      <w:lvlText w:val="%7."/>
      <w:lvlJc w:val="left"/>
      <w:pPr>
        <w:ind w:left="5040" w:hanging="360"/>
      </w:pPr>
    </w:lvl>
    <w:lvl w:ilvl="7" w:tplc="7C88E9E8">
      <w:start w:val="1"/>
      <w:numFmt w:val="lowerLetter"/>
      <w:lvlText w:val="%8."/>
      <w:lvlJc w:val="left"/>
      <w:pPr>
        <w:ind w:left="5760" w:hanging="360"/>
      </w:pPr>
    </w:lvl>
    <w:lvl w:ilvl="8" w:tplc="178C9C84">
      <w:start w:val="1"/>
      <w:numFmt w:val="lowerRoman"/>
      <w:lvlText w:val="%9."/>
      <w:lvlJc w:val="right"/>
      <w:pPr>
        <w:ind w:left="6480" w:hanging="180"/>
      </w:pPr>
    </w:lvl>
  </w:abstractNum>
  <w:abstractNum w:abstractNumId="83" w15:restartNumberingAfterBreak="0">
    <w:nsid w:val="1BFE17CE"/>
    <w:multiLevelType w:val="hybridMultilevel"/>
    <w:tmpl w:val="D608A136"/>
    <w:lvl w:ilvl="0" w:tplc="02BC345E">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4" w15:restartNumberingAfterBreak="0">
    <w:nsid w:val="1D303C89"/>
    <w:multiLevelType w:val="hybridMultilevel"/>
    <w:tmpl w:val="FFFFFFFF"/>
    <w:lvl w:ilvl="0" w:tplc="A21A6128">
      <w:start w:val="4"/>
      <w:numFmt w:val="lowerRoman"/>
      <w:lvlText w:val="%1."/>
      <w:lvlJc w:val="right"/>
      <w:pPr>
        <w:ind w:left="1080" w:hanging="360"/>
      </w:pPr>
    </w:lvl>
    <w:lvl w:ilvl="1" w:tplc="D4601282">
      <w:start w:val="1"/>
      <w:numFmt w:val="lowerLetter"/>
      <w:lvlText w:val="%2."/>
      <w:lvlJc w:val="left"/>
      <w:pPr>
        <w:ind w:left="1440" w:hanging="360"/>
      </w:pPr>
    </w:lvl>
    <w:lvl w:ilvl="2" w:tplc="74069D66">
      <w:start w:val="1"/>
      <w:numFmt w:val="lowerRoman"/>
      <w:lvlText w:val="%3."/>
      <w:lvlJc w:val="right"/>
      <w:pPr>
        <w:ind w:left="2160" w:hanging="180"/>
      </w:pPr>
    </w:lvl>
    <w:lvl w:ilvl="3" w:tplc="EF566B32">
      <w:start w:val="1"/>
      <w:numFmt w:val="decimal"/>
      <w:lvlText w:val="%4."/>
      <w:lvlJc w:val="left"/>
      <w:pPr>
        <w:ind w:left="2880" w:hanging="360"/>
      </w:pPr>
    </w:lvl>
    <w:lvl w:ilvl="4" w:tplc="C63473CE">
      <w:start w:val="1"/>
      <w:numFmt w:val="lowerLetter"/>
      <w:lvlText w:val="%5."/>
      <w:lvlJc w:val="left"/>
      <w:pPr>
        <w:ind w:left="3600" w:hanging="360"/>
      </w:pPr>
    </w:lvl>
    <w:lvl w:ilvl="5" w:tplc="1FE2808C">
      <w:start w:val="1"/>
      <w:numFmt w:val="lowerRoman"/>
      <w:lvlText w:val="%6."/>
      <w:lvlJc w:val="right"/>
      <w:pPr>
        <w:ind w:left="4320" w:hanging="180"/>
      </w:pPr>
    </w:lvl>
    <w:lvl w:ilvl="6" w:tplc="0D223CF0">
      <w:start w:val="1"/>
      <w:numFmt w:val="decimal"/>
      <w:lvlText w:val="%7."/>
      <w:lvlJc w:val="left"/>
      <w:pPr>
        <w:ind w:left="5040" w:hanging="360"/>
      </w:pPr>
    </w:lvl>
    <w:lvl w:ilvl="7" w:tplc="1570D4C4">
      <w:start w:val="1"/>
      <w:numFmt w:val="lowerLetter"/>
      <w:lvlText w:val="%8."/>
      <w:lvlJc w:val="left"/>
      <w:pPr>
        <w:ind w:left="5760" w:hanging="360"/>
      </w:pPr>
    </w:lvl>
    <w:lvl w:ilvl="8" w:tplc="18A6ED02">
      <w:start w:val="1"/>
      <w:numFmt w:val="lowerRoman"/>
      <w:lvlText w:val="%9."/>
      <w:lvlJc w:val="right"/>
      <w:pPr>
        <w:ind w:left="6480" w:hanging="180"/>
      </w:pPr>
    </w:lvl>
  </w:abstractNum>
  <w:abstractNum w:abstractNumId="85" w15:restartNumberingAfterBreak="0">
    <w:nsid w:val="1DEB14F1"/>
    <w:multiLevelType w:val="hybridMultilevel"/>
    <w:tmpl w:val="FFFFFFFF"/>
    <w:lvl w:ilvl="0" w:tplc="C5387018">
      <w:start w:val="1"/>
      <w:numFmt w:val="bullet"/>
      <w:lvlText w:val=""/>
      <w:lvlJc w:val="left"/>
      <w:pPr>
        <w:ind w:left="720" w:hanging="360"/>
      </w:pPr>
      <w:rPr>
        <w:rFonts w:ascii="Symbol" w:hAnsi="Symbol" w:hint="default"/>
      </w:rPr>
    </w:lvl>
    <w:lvl w:ilvl="1" w:tplc="B6BCFFAC">
      <w:start w:val="1"/>
      <w:numFmt w:val="bullet"/>
      <w:lvlText w:val="o"/>
      <w:lvlJc w:val="left"/>
      <w:pPr>
        <w:ind w:left="1440" w:hanging="360"/>
      </w:pPr>
      <w:rPr>
        <w:rFonts w:ascii="Courier New" w:hAnsi="Courier New" w:hint="default"/>
      </w:rPr>
    </w:lvl>
    <w:lvl w:ilvl="2" w:tplc="1698049A">
      <w:start w:val="1"/>
      <w:numFmt w:val="bullet"/>
      <w:lvlText w:val=""/>
      <w:lvlJc w:val="left"/>
      <w:pPr>
        <w:ind w:left="2160" w:hanging="360"/>
      </w:pPr>
      <w:rPr>
        <w:rFonts w:ascii="Wingdings" w:hAnsi="Wingdings" w:hint="default"/>
      </w:rPr>
    </w:lvl>
    <w:lvl w:ilvl="3" w:tplc="FCC4A536">
      <w:start w:val="1"/>
      <w:numFmt w:val="bullet"/>
      <w:lvlText w:val=""/>
      <w:lvlJc w:val="left"/>
      <w:pPr>
        <w:ind w:left="2880" w:hanging="360"/>
      </w:pPr>
      <w:rPr>
        <w:rFonts w:ascii="Symbol" w:hAnsi="Symbol" w:hint="default"/>
      </w:rPr>
    </w:lvl>
    <w:lvl w:ilvl="4" w:tplc="89E8106C">
      <w:start w:val="1"/>
      <w:numFmt w:val="bullet"/>
      <w:lvlText w:val="o"/>
      <w:lvlJc w:val="left"/>
      <w:pPr>
        <w:ind w:left="3600" w:hanging="360"/>
      </w:pPr>
      <w:rPr>
        <w:rFonts w:ascii="Courier New" w:hAnsi="Courier New" w:hint="default"/>
      </w:rPr>
    </w:lvl>
    <w:lvl w:ilvl="5" w:tplc="738AFEC8">
      <w:start w:val="1"/>
      <w:numFmt w:val="bullet"/>
      <w:lvlText w:val=""/>
      <w:lvlJc w:val="left"/>
      <w:pPr>
        <w:ind w:left="4320" w:hanging="360"/>
      </w:pPr>
      <w:rPr>
        <w:rFonts w:ascii="Wingdings" w:hAnsi="Wingdings" w:hint="default"/>
      </w:rPr>
    </w:lvl>
    <w:lvl w:ilvl="6" w:tplc="C9CE7C30">
      <w:start w:val="1"/>
      <w:numFmt w:val="bullet"/>
      <w:lvlText w:val=""/>
      <w:lvlJc w:val="left"/>
      <w:pPr>
        <w:ind w:left="5040" w:hanging="360"/>
      </w:pPr>
      <w:rPr>
        <w:rFonts w:ascii="Symbol" w:hAnsi="Symbol" w:hint="default"/>
      </w:rPr>
    </w:lvl>
    <w:lvl w:ilvl="7" w:tplc="AA9CB930">
      <w:start w:val="1"/>
      <w:numFmt w:val="bullet"/>
      <w:lvlText w:val="o"/>
      <w:lvlJc w:val="left"/>
      <w:pPr>
        <w:ind w:left="5760" w:hanging="360"/>
      </w:pPr>
      <w:rPr>
        <w:rFonts w:ascii="Courier New" w:hAnsi="Courier New" w:hint="default"/>
      </w:rPr>
    </w:lvl>
    <w:lvl w:ilvl="8" w:tplc="11C28648">
      <w:start w:val="1"/>
      <w:numFmt w:val="bullet"/>
      <w:lvlText w:val=""/>
      <w:lvlJc w:val="left"/>
      <w:pPr>
        <w:ind w:left="6480" w:hanging="360"/>
      </w:pPr>
      <w:rPr>
        <w:rFonts w:ascii="Wingdings" w:hAnsi="Wingdings" w:hint="default"/>
      </w:rPr>
    </w:lvl>
  </w:abstractNum>
  <w:abstractNum w:abstractNumId="86" w15:restartNumberingAfterBreak="0">
    <w:nsid w:val="1EA337E1"/>
    <w:multiLevelType w:val="hybridMultilevel"/>
    <w:tmpl w:val="FFFFFFFF"/>
    <w:lvl w:ilvl="0" w:tplc="6978BCA6">
      <w:start w:val="5"/>
      <w:numFmt w:val="lowerRoman"/>
      <w:lvlText w:val="%1."/>
      <w:lvlJc w:val="right"/>
      <w:pPr>
        <w:ind w:left="1080" w:hanging="360"/>
      </w:pPr>
    </w:lvl>
    <w:lvl w:ilvl="1" w:tplc="CF06B36E">
      <w:start w:val="1"/>
      <w:numFmt w:val="lowerLetter"/>
      <w:lvlText w:val="%2."/>
      <w:lvlJc w:val="left"/>
      <w:pPr>
        <w:ind w:left="1440" w:hanging="360"/>
      </w:pPr>
    </w:lvl>
    <w:lvl w:ilvl="2" w:tplc="2066629C">
      <w:start w:val="1"/>
      <w:numFmt w:val="lowerRoman"/>
      <w:lvlText w:val="%3."/>
      <w:lvlJc w:val="right"/>
      <w:pPr>
        <w:ind w:left="2160" w:hanging="180"/>
      </w:pPr>
    </w:lvl>
    <w:lvl w:ilvl="3" w:tplc="5F362CC0">
      <w:start w:val="1"/>
      <w:numFmt w:val="decimal"/>
      <w:lvlText w:val="%4."/>
      <w:lvlJc w:val="left"/>
      <w:pPr>
        <w:ind w:left="2880" w:hanging="360"/>
      </w:pPr>
    </w:lvl>
    <w:lvl w:ilvl="4" w:tplc="09380F30">
      <w:start w:val="1"/>
      <w:numFmt w:val="lowerLetter"/>
      <w:lvlText w:val="%5."/>
      <w:lvlJc w:val="left"/>
      <w:pPr>
        <w:ind w:left="3600" w:hanging="360"/>
      </w:pPr>
    </w:lvl>
    <w:lvl w:ilvl="5" w:tplc="F9502D82">
      <w:start w:val="1"/>
      <w:numFmt w:val="lowerRoman"/>
      <w:lvlText w:val="%6."/>
      <w:lvlJc w:val="right"/>
      <w:pPr>
        <w:ind w:left="4320" w:hanging="180"/>
      </w:pPr>
    </w:lvl>
    <w:lvl w:ilvl="6" w:tplc="2A5EC638">
      <w:start w:val="1"/>
      <w:numFmt w:val="decimal"/>
      <w:lvlText w:val="%7."/>
      <w:lvlJc w:val="left"/>
      <w:pPr>
        <w:ind w:left="5040" w:hanging="360"/>
      </w:pPr>
    </w:lvl>
    <w:lvl w:ilvl="7" w:tplc="D8C22C08">
      <w:start w:val="1"/>
      <w:numFmt w:val="lowerLetter"/>
      <w:lvlText w:val="%8."/>
      <w:lvlJc w:val="left"/>
      <w:pPr>
        <w:ind w:left="5760" w:hanging="360"/>
      </w:pPr>
    </w:lvl>
    <w:lvl w:ilvl="8" w:tplc="9BC20440">
      <w:start w:val="1"/>
      <w:numFmt w:val="lowerRoman"/>
      <w:lvlText w:val="%9."/>
      <w:lvlJc w:val="right"/>
      <w:pPr>
        <w:ind w:left="6480" w:hanging="180"/>
      </w:pPr>
    </w:lvl>
  </w:abstractNum>
  <w:abstractNum w:abstractNumId="87" w15:restartNumberingAfterBreak="0">
    <w:nsid w:val="1EDD5151"/>
    <w:multiLevelType w:val="hybridMultilevel"/>
    <w:tmpl w:val="FFFFFFFF"/>
    <w:lvl w:ilvl="0" w:tplc="73088188">
      <w:start w:val="1"/>
      <w:numFmt w:val="bullet"/>
      <w:lvlText w:val=""/>
      <w:lvlJc w:val="left"/>
      <w:pPr>
        <w:ind w:left="720" w:hanging="360"/>
      </w:pPr>
      <w:rPr>
        <w:rFonts w:ascii="Symbol" w:hAnsi="Symbol" w:hint="default"/>
      </w:rPr>
    </w:lvl>
    <w:lvl w:ilvl="1" w:tplc="9CA2682C">
      <w:start w:val="1"/>
      <w:numFmt w:val="bullet"/>
      <w:lvlText w:val="o"/>
      <w:lvlJc w:val="left"/>
      <w:pPr>
        <w:ind w:left="1440" w:hanging="360"/>
      </w:pPr>
      <w:rPr>
        <w:rFonts w:ascii="Courier New" w:hAnsi="Courier New" w:hint="default"/>
      </w:rPr>
    </w:lvl>
    <w:lvl w:ilvl="2" w:tplc="BACE261C">
      <w:start w:val="1"/>
      <w:numFmt w:val="bullet"/>
      <w:lvlText w:val=""/>
      <w:lvlJc w:val="left"/>
      <w:pPr>
        <w:ind w:left="2160" w:hanging="360"/>
      </w:pPr>
      <w:rPr>
        <w:rFonts w:ascii="Wingdings" w:hAnsi="Wingdings" w:hint="default"/>
      </w:rPr>
    </w:lvl>
    <w:lvl w:ilvl="3" w:tplc="4F223560">
      <w:start w:val="1"/>
      <w:numFmt w:val="bullet"/>
      <w:lvlText w:val=""/>
      <w:lvlJc w:val="left"/>
      <w:pPr>
        <w:ind w:left="2880" w:hanging="360"/>
      </w:pPr>
      <w:rPr>
        <w:rFonts w:ascii="Symbol" w:hAnsi="Symbol" w:hint="default"/>
      </w:rPr>
    </w:lvl>
    <w:lvl w:ilvl="4" w:tplc="197AADD8">
      <w:start w:val="1"/>
      <w:numFmt w:val="bullet"/>
      <w:lvlText w:val="o"/>
      <w:lvlJc w:val="left"/>
      <w:pPr>
        <w:ind w:left="3600" w:hanging="360"/>
      </w:pPr>
      <w:rPr>
        <w:rFonts w:ascii="Courier New" w:hAnsi="Courier New" w:hint="default"/>
      </w:rPr>
    </w:lvl>
    <w:lvl w:ilvl="5" w:tplc="D750D7B4">
      <w:start w:val="1"/>
      <w:numFmt w:val="bullet"/>
      <w:lvlText w:val=""/>
      <w:lvlJc w:val="left"/>
      <w:pPr>
        <w:ind w:left="4320" w:hanging="360"/>
      </w:pPr>
      <w:rPr>
        <w:rFonts w:ascii="Wingdings" w:hAnsi="Wingdings" w:hint="default"/>
      </w:rPr>
    </w:lvl>
    <w:lvl w:ilvl="6" w:tplc="A46AFE8A">
      <w:start w:val="1"/>
      <w:numFmt w:val="bullet"/>
      <w:lvlText w:val=""/>
      <w:lvlJc w:val="left"/>
      <w:pPr>
        <w:ind w:left="5040" w:hanging="360"/>
      </w:pPr>
      <w:rPr>
        <w:rFonts w:ascii="Symbol" w:hAnsi="Symbol" w:hint="default"/>
      </w:rPr>
    </w:lvl>
    <w:lvl w:ilvl="7" w:tplc="7BDAF140">
      <w:start w:val="1"/>
      <w:numFmt w:val="bullet"/>
      <w:lvlText w:val="o"/>
      <w:lvlJc w:val="left"/>
      <w:pPr>
        <w:ind w:left="5760" w:hanging="360"/>
      </w:pPr>
      <w:rPr>
        <w:rFonts w:ascii="Courier New" w:hAnsi="Courier New" w:hint="default"/>
      </w:rPr>
    </w:lvl>
    <w:lvl w:ilvl="8" w:tplc="D3E24386">
      <w:start w:val="1"/>
      <w:numFmt w:val="bullet"/>
      <w:lvlText w:val=""/>
      <w:lvlJc w:val="left"/>
      <w:pPr>
        <w:ind w:left="6480" w:hanging="360"/>
      </w:pPr>
      <w:rPr>
        <w:rFonts w:ascii="Wingdings" w:hAnsi="Wingdings" w:hint="default"/>
      </w:rPr>
    </w:lvl>
  </w:abstractNum>
  <w:abstractNum w:abstractNumId="88" w15:restartNumberingAfterBreak="0">
    <w:nsid w:val="1F42C193"/>
    <w:multiLevelType w:val="hybridMultilevel"/>
    <w:tmpl w:val="FFFFFFFF"/>
    <w:lvl w:ilvl="0" w:tplc="90906BD8">
      <w:start w:val="3"/>
      <w:numFmt w:val="lowerLetter"/>
      <w:lvlText w:val="%1."/>
      <w:lvlJc w:val="left"/>
      <w:pPr>
        <w:ind w:left="720" w:hanging="360"/>
      </w:pPr>
    </w:lvl>
    <w:lvl w:ilvl="1" w:tplc="C7F0D1B6">
      <w:start w:val="1"/>
      <w:numFmt w:val="lowerLetter"/>
      <w:lvlText w:val="%2."/>
      <w:lvlJc w:val="left"/>
      <w:pPr>
        <w:ind w:left="1440" w:hanging="360"/>
      </w:pPr>
    </w:lvl>
    <w:lvl w:ilvl="2" w:tplc="EBD84E3E">
      <w:start w:val="1"/>
      <w:numFmt w:val="lowerRoman"/>
      <w:lvlText w:val="%3."/>
      <w:lvlJc w:val="right"/>
      <w:pPr>
        <w:ind w:left="2160" w:hanging="180"/>
      </w:pPr>
    </w:lvl>
    <w:lvl w:ilvl="3" w:tplc="147E7466">
      <w:start w:val="1"/>
      <w:numFmt w:val="decimal"/>
      <w:lvlText w:val="%4."/>
      <w:lvlJc w:val="left"/>
      <w:pPr>
        <w:ind w:left="2880" w:hanging="360"/>
      </w:pPr>
    </w:lvl>
    <w:lvl w:ilvl="4" w:tplc="0EE24A0E">
      <w:start w:val="1"/>
      <w:numFmt w:val="lowerLetter"/>
      <w:lvlText w:val="%5."/>
      <w:lvlJc w:val="left"/>
      <w:pPr>
        <w:ind w:left="3600" w:hanging="360"/>
      </w:pPr>
    </w:lvl>
    <w:lvl w:ilvl="5" w:tplc="4FA27688">
      <w:start w:val="1"/>
      <w:numFmt w:val="lowerRoman"/>
      <w:lvlText w:val="%6."/>
      <w:lvlJc w:val="right"/>
      <w:pPr>
        <w:ind w:left="4320" w:hanging="180"/>
      </w:pPr>
    </w:lvl>
    <w:lvl w:ilvl="6" w:tplc="B484BC7A">
      <w:start w:val="1"/>
      <w:numFmt w:val="decimal"/>
      <w:lvlText w:val="%7."/>
      <w:lvlJc w:val="left"/>
      <w:pPr>
        <w:ind w:left="5040" w:hanging="360"/>
      </w:pPr>
    </w:lvl>
    <w:lvl w:ilvl="7" w:tplc="24AE7360">
      <w:start w:val="1"/>
      <w:numFmt w:val="lowerLetter"/>
      <w:lvlText w:val="%8."/>
      <w:lvlJc w:val="left"/>
      <w:pPr>
        <w:ind w:left="5760" w:hanging="360"/>
      </w:pPr>
    </w:lvl>
    <w:lvl w:ilvl="8" w:tplc="BB7644AA">
      <w:start w:val="1"/>
      <w:numFmt w:val="lowerRoman"/>
      <w:lvlText w:val="%9."/>
      <w:lvlJc w:val="right"/>
      <w:pPr>
        <w:ind w:left="6480" w:hanging="180"/>
      </w:pPr>
    </w:lvl>
  </w:abstractNum>
  <w:abstractNum w:abstractNumId="89" w15:restartNumberingAfterBreak="0">
    <w:nsid w:val="1F923B1D"/>
    <w:multiLevelType w:val="hybridMultilevel"/>
    <w:tmpl w:val="FFFFFFFF"/>
    <w:lvl w:ilvl="0" w:tplc="5DBEA212">
      <w:start w:val="1"/>
      <w:numFmt w:val="decimal"/>
      <w:lvlText w:val="%1."/>
      <w:lvlJc w:val="left"/>
      <w:pPr>
        <w:ind w:left="720" w:hanging="360"/>
      </w:pPr>
    </w:lvl>
    <w:lvl w:ilvl="1" w:tplc="31A4AE6A">
      <w:start w:val="1"/>
      <w:numFmt w:val="lowerLetter"/>
      <w:lvlText w:val="%2."/>
      <w:lvlJc w:val="left"/>
      <w:pPr>
        <w:ind w:left="1440" w:hanging="360"/>
      </w:pPr>
    </w:lvl>
    <w:lvl w:ilvl="2" w:tplc="C76ABF64">
      <w:start w:val="1"/>
      <w:numFmt w:val="lowerRoman"/>
      <w:lvlText w:val="%3."/>
      <w:lvlJc w:val="right"/>
      <w:pPr>
        <w:ind w:left="2160" w:hanging="180"/>
      </w:pPr>
    </w:lvl>
    <w:lvl w:ilvl="3" w:tplc="072A4102">
      <w:start w:val="1"/>
      <w:numFmt w:val="decimal"/>
      <w:lvlText w:val="%4."/>
      <w:lvlJc w:val="left"/>
      <w:pPr>
        <w:ind w:left="2880" w:hanging="360"/>
      </w:pPr>
    </w:lvl>
    <w:lvl w:ilvl="4" w:tplc="772E7F44">
      <w:start w:val="1"/>
      <w:numFmt w:val="lowerLetter"/>
      <w:lvlText w:val="%5."/>
      <w:lvlJc w:val="left"/>
      <w:pPr>
        <w:ind w:left="3600" w:hanging="360"/>
      </w:pPr>
    </w:lvl>
    <w:lvl w:ilvl="5" w:tplc="C938F9F8">
      <w:start w:val="1"/>
      <w:numFmt w:val="lowerRoman"/>
      <w:lvlText w:val="%6."/>
      <w:lvlJc w:val="right"/>
      <w:pPr>
        <w:ind w:left="4320" w:hanging="180"/>
      </w:pPr>
    </w:lvl>
    <w:lvl w:ilvl="6" w:tplc="68AC161A">
      <w:start w:val="1"/>
      <w:numFmt w:val="decimal"/>
      <w:lvlText w:val="%7."/>
      <w:lvlJc w:val="left"/>
      <w:pPr>
        <w:ind w:left="5040" w:hanging="360"/>
      </w:pPr>
    </w:lvl>
    <w:lvl w:ilvl="7" w:tplc="26447188">
      <w:start w:val="1"/>
      <w:numFmt w:val="lowerLetter"/>
      <w:lvlText w:val="%8."/>
      <w:lvlJc w:val="left"/>
      <w:pPr>
        <w:ind w:left="5760" w:hanging="360"/>
      </w:pPr>
    </w:lvl>
    <w:lvl w:ilvl="8" w:tplc="C722E034">
      <w:start w:val="1"/>
      <w:numFmt w:val="lowerRoman"/>
      <w:lvlText w:val="%9."/>
      <w:lvlJc w:val="right"/>
      <w:pPr>
        <w:ind w:left="6480" w:hanging="180"/>
      </w:pPr>
    </w:lvl>
  </w:abstractNum>
  <w:abstractNum w:abstractNumId="90" w15:restartNumberingAfterBreak="0">
    <w:nsid w:val="201467A4"/>
    <w:multiLevelType w:val="hybridMultilevel"/>
    <w:tmpl w:val="915E4A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1" w15:restartNumberingAfterBreak="0">
    <w:nsid w:val="2021550C"/>
    <w:multiLevelType w:val="hybridMultilevel"/>
    <w:tmpl w:val="FFFFFFFF"/>
    <w:lvl w:ilvl="0" w:tplc="46CC776E">
      <w:start w:val="4"/>
      <w:numFmt w:val="lowerLetter"/>
      <w:lvlText w:val="%1."/>
      <w:lvlJc w:val="left"/>
      <w:pPr>
        <w:ind w:left="720" w:hanging="360"/>
      </w:pPr>
    </w:lvl>
    <w:lvl w:ilvl="1" w:tplc="54107AF6">
      <w:start w:val="1"/>
      <w:numFmt w:val="lowerLetter"/>
      <w:lvlText w:val="%2."/>
      <w:lvlJc w:val="left"/>
      <w:pPr>
        <w:ind w:left="1440" w:hanging="360"/>
      </w:pPr>
    </w:lvl>
    <w:lvl w:ilvl="2" w:tplc="BF06D392">
      <w:start w:val="1"/>
      <w:numFmt w:val="lowerRoman"/>
      <w:lvlText w:val="%3."/>
      <w:lvlJc w:val="right"/>
      <w:pPr>
        <w:ind w:left="2160" w:hanging="180"/>
      </w:pPr>
    </w:lvl>
    <w:lvl w:ilvl="3" w:tplc="31C80EC8">
      <w:start w:val="1"/>
      <w:numFmt w:val="decimal"/>
      <w:lvlText w:val="%4."/>
      <w:lvlJc w:val="left"/>
      <w:pPr>
        <w:ind w:left="2880" w:hanging="360"/>
      </w:pPr>
    </w:lvl>
    <w:lvl w:ilvl="4" w:tplc="74E01070">
      <w:start w:val="1"/>
      <w:numFmt w:val="lowerLetter"/>
      <w:lvlText w:val="%5."/>
      <w:lvlJc w:val="left"/>
      <w:pPr>
        <w:ind w:left="3600" w:hanging="360"/>
      </w:pPr>
    </w:lvl>
    <w:lvl w:ilvl="5" w:tplc="086C5780">
      <w:start w:val="1"/>
      <w:numFmt w:val="lowerRoman"/>
      <w:lvlText w:val="%6."/>
      <w:lvlJc w:val="right"/>
      <w:pPr>
        <w:ind w:left="4320" w:hanging="180"/>
      </w:pPr>
    </w:lvl>
    <w:lvl w:ilvl="6" w:tplc="402C5264">
      <w:start w:val="1"/>
      <w:numFmt w:val="decimal"/>
      <w:lvlText w:val="%7."/>
      <w:lvlJc w:val="left"/>
      <w:pPr>
        <w:ind w:left="5040" w:hanging="360"/>
      </w:pPr>
    </w:lvl>
    <w:lvl w:ilvl="7" w:tplc="2A763656">
      <w:start w:val="1"/>
      <w:numFmt w:val="lowerLetter"/>
      <w:lvlText w:val="%8."/>
      <w:lvlJc w:val="left"/>
      <w:pPr>
        <w:ind w:left="5760" w:hanging="360"/>
      </w:pPr>
    </w:lvl>
    <w:lvl w:ilvl="8" w:tplc="D07A95CA">
      <w:start w:val="1"/>
      <w:numFmt w:val="lowerRoman"/>
      <w:lvlText w:val="%9."/>
      <w:lvlJc w:val="right"/>
      <w:pPr>
        <w:ind w:left="6480" w:hanging="180"/>
      </w:pPr>
    </w:lvl>
  </w:abstractNum>
  <w:abstractNum w:abstractNumId="92" w15:restartNumberingAfterBreak="0">
    <w:nsid w:val="20BA3079"/>
    <w:multiLevelType w:val="hybridMultilevel"/>
    <w:tmpl w:val="3FD66F18"/>
    <w:lvl w:ilvl="0" w:tplc="4DF2958C">
      <w:start w:val="1"/>
      <w:numFmt w:val="bullet"/>
      <w:lvlText w:val="-"/>
      <w:lvlJc w:val="left"/>
      <w:pPr>
        <w:ind w:left="720" w:hanging="360"/>
      </w:pPr>
      <w:rPr>
        <w:rFonts w:ascii="Calibri" w:hAnsi="Calibri" w:hint="default"/>
      </w:rPr>
    </w:lvl>
    <w:lvl w:ilvl="1" w:tplc="84EE432E">
      <w:start w:val="1"/>
      <w:numFmt w:val="bullet"/>
      <w:lvlText w:val="o"/>
      <w:lvlJc w:val="left"/>
      <w:pPr>
        <w:ind w:left="1440" w:hanging="360"/>
      </w:pPr>
      <w:rPr>
        <w:rFonts w:ascii="Courier New" w:hAnsi="Courier New" w:hint="default"/>
      </w:rPr>
    </w:lvl>
    <w:lvl w:ilvl="2" w:tplc="A9E2F49E">
      <w:start w:val="1"/>
      <w:numFmt w:val="bullet"/>
      <w:lvlText w:val=""/>
      <w:lvlJc w:val="left"/>
      <w:pPr>
        <w:ind w:left="2160" w:hanging="360"/>
      </w:pPr>
      <w:rPr>
        <w:rFonts w:ascii="Wingdings" w:hAnsi="Wingdings" w:hint="default"/>
      </w:rPr>
    </w:lvl>
    <w:lvl w:ilvl="3" w:tplc="DD467064">
      <w:start w:val="1"/>
      <w:numFmt w:val="bullet"/>
      <w:lvlText w:val=""/>
      <w:lvlJc w:val="left"/>
      <w:pPr>
        <w:ind w:left="2880" w:hanging="360"/>
      </w:pPr>
      <w:rPr>
        <w:rFonts w:ascii="Symbol" w:hAnsi="Symbol" w:hint="default"/>
      </w:rPr>
    </w:lvl>
    <w:lvl w:ilvl="4" w:tplc="2020D88C">
      <w:start w:val="1"/>
      <w:numFmt w:val="bullet"/>
      <w:lvlText w:val="o"/>
      <w:lvlJc w:val="left"/>
      <w:pPr>
        <w:ind w:left="3600" w:hanging="360"/>
      </w:pPr>
      <w:rPr>
        <w:rFonts w:ascii="Courier New" w:hAnsi="Courier New" w:hint="default"/>
      </w:rPr>
    </w:lvl>
    <w:lvl w:ilvl="5" w:tplc="2AF67C26">
      <w:start w:val="1"/>
      <w:numFmt w:val="bullet"/>
      <w:lvlText w:val=""/>
      <w:lvlJc w:val="left"/>
      <w:pPr>
        <w:ind w:left="4320" w:hanging="360"/>
      </w:pPr>
      <w:rPr>
        <w:rFonts w:ascii="Wingdings" w:hAnsi="Wingdings" w:hint="default"/>
      </w:rPr>
    </w:lvl>
    <w:lvl w:ilvl="6" w:tplc="61AEABF2">
      <w:start w:val="1"/>
      <w:numFmt w:val="bullet"/>
      <w:lvlText w:val=""/>
      <w:lvlJc w:val="left"/>
      <w:pPr>
        <w:ind w:left="5040" w:hanging="360"/>
      </w:pPr>
      <w:rPr>
        <w:rFonts w:ascii="Symbol" w:hAnsi="Symbol" w:hint="default"/>
      </w:rPr>
    </w:lvl>
    <w:lvl w:ilvl="7" w:tplc="F39E73C8">
      <w:start w:val="1"/>
      <w:numFmt w:val="bullet"/>
      <w:lvlText w:val="o"/>
      <w:lvlJc w:val="left"/>
      <w:pPr>
        <w:ind w:left="5760" w:hanging="360"/>
      </w:pPr>
      <w:rPr>
        <w:rFonts w:ascii="Courier New" w:hAnsi="Courier New" w:hint="default"/>
      </w:rPr>
    </w:lvl>
    <w:lvl w:ilvl="8" w:tplc="2D1E49F8">
      <w:start w:val="1"/>
      <w:numFmt w:val="bullet"/>
      <w:lvlText w:val=""/>
      <w:lvlJc w:val="left"/>
      <w:pPr>
        <w:ind w:left="6480" w:hanging="360"/>
      </w:pPr>
      <w:rPr>
        <w:rFonts w:ascii="Wingdings" w:hAnsi="Wingdings" w:hint="default"/>
      </w:rPr>
    </w:lvl>
  </w:abstractNum>
  <w:abstractNum w:abstractNumId="93" w15:restartNumberingAfterBreak="0">
    <w:nsid w:val="20DE47CF"/>
    <w:multiLevelType w:val="hybridMultilevel"/>
    <w:tmpl w:val="FFFFFFFF"/>
    <w:lvl w:ilvl="0" w:tplc="774AEB34">
      <w:start w:val="1"/>
      <w:numFmt w:val="bullet"/>
      <w:lvlText w:val=""/>
      <w:lvlJc w:val="left"/>
      <w:pPr>
        <w:ind w:left="720" w:hanging="360"/>
      </w:pPr>
      <w:rPr>
        <w:rFonts w:ascii="Symbol" w:hAnsi="Symbol" w:hint="default"/>
      </w:rPr>
    </w:lvl>
    <w:lvl w:ilvl="1" w:tplc="E3968868">
      <w:start w:val="1"/>
      <w:numFmt w:val="bullet"/>
      <w:lvlText w:val="o"/>
      <w:lvlJc w:val="left"/>
      <w:pPr>
        <w:ind w:left="1440" w:hanging="360"/>
      </w:pPr>
      <w:rPr>
        <w:rFonts w:ascii="Courier New" w:hAnsi="Courier New" w:hint="default"/>
      </w:rPr>
    </w:lvl>
    <w:lvl w:ilvl="2" w:tplc="8BB62982">
      <w:start w:val="1"/>
      <w:numFmt w:val="bullet"/>
      <w:lvlText w:val=""/>
      <w:lvlJc w:val="left"/>
      <w:pPr>
        <w:ind w:left="2160" w:hanging="360"/>
      </w:pPr>
      <w:rPr>
        <w:rFonts w:ascii="Wingdings" w:hAnsi="Wingdings" w:hint="default"/>
      </w:rPr>
    </w:lvl>
    <w:lvl w:ilvl="3" w:tplc="DDD6E5C2">
      <w:start w:val="1"/>
      <w:numFmt w:val="bullet"/>
      <w:lvlText w:val=""/>
      <w:lvlJc w:val="left"/>
      <w:pPr>
        <w:ind w:left="2880" w:hanging="360"/>
      </w:pPr>
      <w:rPr>
        <w:rFonts w:ascii="Symbol" w:hAnsi="Symbol" w:hint="default"/>
      </w:rPr>
    </w:lvl>
    <w:lvl w:ilvl="4" w:tplc="E650437A">
      <w:start w:val="1"/>
      <w:numFmt w:val="bullet"/>
      <w:lvlText w:val="o"/>
      <w:lvlJc w:val="left"/>
      <w:pPr>
        <w:ind w:left="3600" w:hanging="360"/>
      </w:pPr>
      <w:rPr>
        <w:rFonts w:ascii="Courier New" w:hAnsi="Courier New" w:hint="default"/>
      </w:rPr>
    </w:lvl>
    <w:lvl w:ilvl="5" w:tplc="112C2E44">
      <w:start w:val="1"/>
      <w:numFmt w:val="bullet"/>
      <w:lvlText w:val=""/>
      <w:lvlJc w:val="left"/>
      <w:pPr>
        <w:ind w:left="4320" w:hanging="360"/>
      </w:pPr>
      <w:rPr>
        <w:rFonts w:ascii="Wingdings" w:hAnsi="Wingdings" w:hint="default"/>
      </w:rPr>
    </w:lvl>
    <w:lvl w:ilvl="6" w:tplc="46F224F8">
      <w:start w:val="1"/>
      <w:numFmt w:val="bullet"/>
      <w:lvlText w:val=""/>
      <w:lvlJc w:val="left"/>
      <w:pPr>
        <w:ind w:left="5040" w:hanging="360"/>
      </w:pPr>
      <w:rPr>
        <w:rFonts w:ascii="Symbol" w:hAnsi="Symbol" w:hint="default"/>
      </w:rPr>
    </w:lvl>
    <w:lvl w:ilvl="7" w:tplc="9878D96A">
      <w:start w:val="1"/>
      <w:numFmt w:val="bullet"/>
      <w:lvlText w:val="o"/>
      <w:lvlJc w:val="left"/>
      <w:pPr>
        <w:ind w:left="5760" w:hanging="360"/>
      </w:pPr>
      <w:rPr>
        <w:rFonts w:ascii="Courier New" w:hAnsi="Courier New" w:hint="default"/>
      </w:rPr>
    </w:lvl>
    <w:lvl w:ilvl="8" w:tplc="5198CAA4">
      <w:start w:val="1"/>
      <w:numFmt w:val="bullet"/>
      <w:lvlText w:val=""/>
      <w:lvlJc w:val="left"/>
      <w:pPr>
        <w:ind w:left="6480" w:hanging="360"/>
      </w:pPr>
      <w:rPr>
        <w:rFonts w:ascii="Wingdings" w:hAnsi="Wingdings" w:hint="default"/>
      </w:rPr>
    </w:lvl>
  </w:abstractNum>
  <w:abstractNum w:abstractNumId="94" w15:restartNumberingAfterBreak="0">
    <w:nsid w:val="212F2E97"/>
    <w:multiLevelType w:val="hybridMultilevel"/>
    <w:tmpl w:val="061EF006"/>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95" w15:restartNumberingAfterBreak="0">
    <w:nsid w:val="214C450B"/>
    <w:multiLevelType w:val="hybridMultilevel"/>
    <w:tmpl w:val="FFFFFFFF"/>
    <w:lvl w:ilvl="0" w:tplc="63B814AA">
      <w:start w:val="1"/>
      <w:numFmt w:val="decimal"/>
      <w:lvlText w:val="%1."/>
      <w:lvlJc w:val="left"/>
      <w:pPr>
        <w:ind w:left="720" w:hanging="360"/>
      </w:pPr>
    </w:lvl>
    <w:lvl w:ilvl="1" w:tplc="2D94FFB2">
      <w:start w:val="4"/>
      <w:numFmt w:val="lowerRoman"/>
      <w:lvlText w:val="%2."/>
      <w:lvlJc w:val="right"/>
      <w:pPr>
        <w:ind w:left="1440" w:hanging="360"/>
      </w:pPr>
    </w:lvl>
    <w:lvl w:ilvl="2" w:tplc="EBE07ED6">
      <w:start w:val="1"/>
      <w:numFmt w:val="lowerRoman"/>
      <w:lvlText w:val="%3."/>
      <w:lvlJc w:val="right"/>
      <w:pPr>
        <w:ind w:left="2160" w:hanging="180"/>
      </w:pPr>
    </w:lvl>
    <w:lvl w:ilvl="3" w:tplc="804C427A">
      <w:start w:val="1"/>
      <w:numFmt w:val="decimal"/>
      <w:lvlText w:val="%4."/>
      <w:lvlJc w:val="left"/>
      <w:pPr>
        <w:ind w:left="2880" w:hanging="360"/>
      </w:pPr>
    </w:lvl>
    <w:lvl w:ilvl="4" w:tplc="BABA1AF4">
      <w:start w:val="1"/>
      <w:numFmt w:val="lowerLetter"/>
      <w:lvlText w:val="%5."/>
      <w:lvlJc w:val="left"/>
      <w:pPr>
        <w:ind w:left="3600" w:hanging="360"/>
      </w:pPr>
    </w:lvl>
    <w:lvl w:ilvl="5" w:tplc="4BB6F69C">
      <w:start w:val="1"/>
      <w:numFmt w:val="lowerRoman"/>
      <w:lvlText w:val="%6."/>
      <w:lvlJc w:val="right"/>
      <w:pPr>
        <w:ind w:left="4320" w:hanging="180"/>
      </w:pPr>
    </w:lvl>
    <w:lvl w:ilvl="6" w:tplc="461ACDF6">
      <w:start w:val="1"/>
      <w:numFmt w:val="decimal"/>
      <w:lvlText w:val="%7."/>
      <w:lvlJc w:val="left"/>
      <w:pPr>
        <w:ind w:left="5040" w:hanging="360"/>
      </w:pPr>
    </w:lvl>
    <w:lvl w:ilvl="7" w:tplc="0FDE302E">
      <w:start w:val="1"/>
      <w:numFmt w:val="lowerLetter"/>
      <w:lvlText w:val="%8."/>
      <w:lvlJc w:val="left"/>
      <w:pPr>
        <w:ind w:left="5760" w:hanging="360"/>
      </w:pPr>
    </w:lvl>
    <w:lvl w:ilvl="8" w:tplc="D5DAA4FE">
      <w:start w:val="1"/>
      <w:numFmt w:val="lowerRoman"/>
      <w:lvlText w:val="%9."/>
      <w:lvlJc w:val="right"/>
      <w:pPr>
        <w:ind w:left="6480" w:hanging="180"/>
      </w:pPr>
    </w:lvl>
  </w:abstractNum>
  <w:abstractNum w:abstractNumId="96" w15:restartNumberingAfterBreak="0">
    <w:nsid w:val="218621C2"/>
    <w:multiLevelType w:val="hybridMultilevel"/>
    <w:tmpl w:val="FFFFFFFF"/>
    <w:lvl w:ilvl="0" w:tplc="FFFFFFFF">
      <w:start w:val="1"/>
      <w:numFmt w:val="lowerRoman"/>
      <w:lvlText w:val="(%1)"/>
      <w:lvlJc w:val="right"/>
      <w:pPr>
        <w:ind w:left="720" w:hanging="360"/>
      </w:pPr>
    </w:lvl>
    <w:lvl w:ilvl="1" w:tplc="2736ABAA">
      <w:start w:val="1"/>
      <w:numFmt w:val="lowerLetter"/>
      <w:lvlText w:val="%2."/>
      <w:lvlJc w:val="left"/>
      <w:pPr>
        <w:ind w:left="1440" w:hanging="360"/>
      </w:pPr>
    </w:lvl>
    <w:lvl w:ilvl="2" w:tplc="0C626916">
      <w:start w:val="1"/>
      <w:numFmt w:val="lowerRoman"/>
      <w:lvlText w:val="%3."/>
      <w:lvlJc w:val="right"/>
      <w:pPr>
        <w:ind w:left="2160" w:hanging="180"/>
      </w:pPr>
    </w:lvl>
    <w:lvl w:ilvl="3" w:tplc="D81894EC">
      <w:start w:val="1"/>
      <w:numFmt w:val="decimal"/>
      <w:lvlText w:val="%4."/>
      <w:lvlJc w:val="left"/>
      <w:pPr>
        <w:ind w:left="2880" w:hanging="360"/>
      </w:pPr>
    </w:lvl>
    <w:lvl w:ilvl="4" w:tplc="BAA87104">
      <w:start w:val="1"/>
      <w:numFmt w:val="lowerLetter"/>
      <w:lvlText w:val="%5."/>
      <w:lvlJc w:val="left"/>
      <w:pPr>
        <w:ind w:left="3600" w:hanging="360"/>
      </w:pPr>
    </w:lvl>
    <w:lvl w:ilvl="5" w:tplc="397A5CD4">
      <w:start w:val="1"/>
      <w:numFmt w:val="lowerRoman"/>
      <w:lvlText w:val="%6."/>
      <w:lvlJc w:val="right"/>
      <w:pPr>
        <w:ind w:left="4320" w:hanging="180"/>
      </w:pPr>
    </w:lvl>
    <w:lvl w:ilvl="6" w:tplc="AF76CB38">
      <w:start w:val="1"/>
      <w:numFmt w:val="decimal"/>
      <w:lvlText w:val="%7."/>
      <w:lvlJc w:val="left"/>
      <w:pPr>
        <w:ind w:left="5040" w:hanging="360"/>
      </w:pPr>
    </w:lvl>
    <w:lvl w:ilvl="7" w:tplc="A7F4D2D4">
      <w:start w:val="1"/>
      <w:numFmt w:val="lowerLetter"/>
      <w:lvlText w:val="%8."/>
      <w:lvlJc w:val="left"/>
      <w:pPr>
        <w:ind w:left="5760" w:hanging="360"/>
      </w:pPr>
    </w:lvl>
    <w:lvl w:ilvl="8" w:tplc="C3D67A64">
      <w:start w:val="1"/>
      <w:numFmt w:val="lowerRoman"/>
      <w:lvlText w:val="%9."/>
      <w:lvlJc w:val="right"/>
      <w:pPr>
        <w:ind w:left="6480" w:hanging="180"/>
      </w:pPr>
    </w:lvl>
  </w:abstractNum>
  <w:abstractNum w:abstractNumId="97" w15:restartNumberingAfterBreak="0">
    <w:nsid w:val="219B67DC"/>
    <w:multiLevelType w:val="multilevel"/>
    <w:tmpl w:val="55C8577E"/>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21B60D22"/>
    <w:multiLevelType w:val="hybridMultilevel"/>
    <w:tmpl w:val="F47A89E0"/>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99" w15:restartNumberingAfterBreak="0">
    <w:nsid w:val="22D62238"/>
    <w:multiLevelType w:val="hybridMultilevel"/>
    <w:tmpl w:val="EB8883A0"/>
    <w:lvl w:ilvl="0" w:tplc="1FC2DCB8">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0" w15:restartNumberingAfterBreak="0">
    <w:nsid w:val="22E11CC8"/>
    <w:multiLevelType w:val="hybridMultilevel"/>
    <w:tmpl w:val="FFFFFFFF"/>
    <w:lvl w:ilvl="0" w:tplc="89A04324">
      <w:start w:val="1"/>
      <w:numFmt w:val="bullet"/>
      <w:lvlText w:val=""/>
      <w:lvlJc w:val="left"/>
      <w:pPr>
        <w:ind w:left="720" w:hanging="360"/>
      </w:pPr>
      <w:rPr>
        <w:rFonts w:ascii="Symbol" w:hAnsi="Symbol" w:hint="default"/>
      </w:rPr>
    </w:lvl>
    <w:lvl w:ilvl="1" w:tplc="11C88600">
      <w:start w:val="1"/>
      <w:numFmt w:val="bullet"/>
      <w:lvlText w:val="o"/>
      <w:lvlJc w:val="left"/>
      <w:pPr>
        <w:ind w:left="1440" w:hanging="360"/>
      </w:pPr>
      <w:rPr>
        <w:rFonts w:ascii="Courier New" w:hAnsi="Courier New" w:hint="default"/>
      </w:rPr>
    </w:lvl>
    <w:lvl w:ilvl="2" w:tplc="14EE6286">
      <w:start w:val="1"/>
      <w:numFmt w:val="bullet"/>
      <w:lvlText w:val=""/>
      <w:lvlJc w:val="left"/>
      <w:pPr>
        <w:ind w:left="2160" w:hanging="360"/>
      </w:pPr>
      <w:rPr>
        <w:rFonts w:ascii="Wingdings" w:hAnsi="Wingdings" w:hint="default"/>
      </w:rPr>
    </w:lvl>
    <w:lvl w:ilvl="3" w:tplc="3AF4F02C">
      <w:start w:val="1"/>
      <w:numFmt w:val="bullet"/>
      <w:lvlText w:val=""/>
      <w:lvlJc w:val="left"/>
      <w:pPr>
        <w:ind w:left="2880" w:hanging="360"/>
      </w:pPr>
      <w:rPr>
        <w:rFonts w:ascii="Symbol" w:hAnsi="Symbol" w:hint="default"/>
      </w:rPr>
    </w:lvl>
    <w:lvl w:ilvl="4" w:tplc="6FCEB814">
      <w:start w:val="1"/>
      <w:numFmt w:val="bullet"/>
      <w:lvlText w:val="o"/>
      <w:lvlJc w:val="left"/>
      <w:pPr>
        <w:ind w:left="3600" w:hanging="360"/>
      </w:pPr>
      <w:rPr>
        <w:rFonts w:ascii="Courier New" w:hAnsi="Courier New" w:hint="default"/>
      </w:rPr>
    </w:lvl>
    <w:lvl w:ilvl="5" w:tplc="618A447A">
      <w:start w:val="1"/>
      <w:numFmt w:val="bullet"/>
      <w:lvlText w:val=""/>
      <w:lvlJc w:val="left"/>
      <w:pPr>
        <w:ind w:left="4320" w:hanging="360"/>
      </w:pPr>
      <w:rPr>
        <w:rFonts w:ascii="Wingdings" w:hAnsi="Wingdings" w:hint="default"/>
      </w:rPr>
    </w:lvl>
    <w:lvl w:ilvl="6" w:tplc="5E44AC62">
      <w:start w:val="1"/>
      <w:numFmt w:val="bullet"/>
      <w:lvlText w:val=""/>
      <w:lvlJc w:val="left"/>
      <w:pPr>
        <w:ind w:left="5040" w:hanging="360"/>
      </w:pPr>
      <w:rPr>
        <w:rFonts w:ascii="Symbol" w:hAnsi="Symbol" w:hint="default"/>
      </w:rPr>
    </w:lvl>
    <w:lvl w:ilvl="7" w:tplc="ADC84EFA">
      <w:start w:val="1"/>
      <w:numFmt w:val="bullet"/>
      <w:lvlText w:val="o"/>
      <w:lvlJc w:val="left"/>
      <w:pPr>
        <w:ind w:left="5760" w:hanging="360"/>
      </w:pPr>
      <w:rPr>
        <w:rFonts w:ascii="Courier New" w:hAnsi="Courier New" w:hint="default"/>
      </w:rPr>
    </w:lvl>
    <w:lvl w:ilvl="8" w:tplc="2118195C">
      <w:start w:val="1"/>
      <w:numFmt w:val="bullet"/>
      <w:lvlText w:val=""/>
      <w:lvlJc w:val="left"/>
      <w:pPr>
        <w:ind w:left="6480" w:hanging="360"/>
      </w:pPr>
      <w:rPr>
        <w:rFonts w:ascii="Wingdings" w:hAnsi="Wingdings" w:hint="default"/>
      </w:rPr>
    </w:lvl>
  </w:abstractNum>
  <w:abstractNum w:abstractNumId="10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239DFCDF"/>
    <w:multiLevelType w:val="hybridMultilevel"/>
    <w:tmpl w:val="FFFFFFFF"/>
    <w:lvl w:ilvl="0" w:tplc="C764BF92">
      <w:start w:val="1"/>
      <w:numFmt w:val="bullet"/>
      <w:lvlText w:val="o"/>
      <w:lvlJc w:val="left"/>
      <w:pPr>
        <w:ind w:left="1080" w:hanging="360"/>
      </w:pPr>
      <w:rPr>
        <w:rFonts w:ascii="Courier New" w:hAnsi="Courier New" w:hint="default"/>
      </w:rPr>
    </w:lvl>
    <w:lvl w:ilvl="1" w:tplc="EC760B96">
      <w:start w:val="1"/>
      <w:numFmt w:val="bullet"/>
      <w:lvlText w:val="o"/>
      <w:lvlJc w:val="left"/>
      <w:pPr>
        <w:ind w:left="1440" w:hanging="360"/>
      </w:pPr>
      <w:rPr>
        <w:rFonts w:ascii="Courier New" w:hAnsi="Courier New" w:hint="default"/>
      </w:rPr>
    </w:lvl>
    <w:lvl w:ilvl="2" w:tplc="D4069422">
      <w:start w:val="1"/>
      <w:numFmt w:val="bullet"/>
      <w:lvlText w:val=""/>
      <w:lvlJc w:val="left"/>
      <w:pPr>
        <w:ind w:left="2160" w:hanging="360"/>
      </w:pPr>
      <w:rPr>
        <w:rFonts w:ascii="Wingdings" w:hAnsi="Wingdings" w:hint="default"/>
      </w:rPr>
    </w:lvl>
    <w:lvl w:ilvl="3" w:tplc="6DC80CB6">
      <w:start w:val="1"/>
      <w:numFmt w:val="bullet"/>
      <w:lvlText w:val=""/>
      <w:lvlJc w:val="left"/>
      <w:pPr>
        <w:ind w:left="2880" w:hanging="360"/>
      </w:pPr>
      <w:rPr>
        <w:rFonts w:ascii="Symbol" w:hAnsi="Symbol" w:hint="default"/>
      </w:rPr>
    </w:lvl>
    <w:lvl w:ilvl="4" w:tplc="F8EE4E46">
      <w:start w:val="1"/>
      <w:numFmt w:val="bullet"/>
      <w:lvlText w:val="o"/>
      <w:lvlJc w:val="left"/>
      <w:pPr>
        <w:ind w:left="3600" w:hanging="360"/>
      </w:pPr>
      <w:rPr>
        <w:rFonts w:ascii="Courier New" w:hAnsi="Courier New" w:hint="default"/>
      </w:rPr>
    </w:lvl>
    <w:lvl w:ilvl="5" w:tplc="51D25270">
      <w:start w:val="1"/>
      <w:numFmt w:val="bullet"/>
      <w:lvlText w:val=""/>
      <w:lvlJc w:val="left"/>
      <w:pPr>
        <w:ind w:left="4320" w:hanging="360"/>
      </w:pPr>
      <w:rPr>
        <w:rFonts w:ascii="Wingdings" w:hAnsi="Wingdings" w:hint="default"/>
      </w:rPr>
    </w:lvl>
    <w:lvl w:ilvl="6" w:tplc="27E8376C">
      <w:start w:val="1"/>
      <w:numFmt w:val="bullet"/>
      <w:lvlText w:val=""/>
      <w:lvlJc w:val="left"/>
      <w:pPr>
        <w:ind w:left="5040" w:hanging="360"/>
      </w:pPr>
      <w:rPr>
        <w:rFonts w:ascii="Symbol" w:hAnsi="Symbol" w:hint="default"/>
      </w:rPr>
    </w:lvl>
    <w:lvl w:ilvl="7" w:tplc="83EEE030">
      <w:start w:val="1"/>
      <w:numFmt w:val="bullet"/>
      <w:lvlText w:val="o"/>
      <w:lvlJc w:val="left"/>
      <w:pPr>
        <w:ind w:left="5760" w:hanging="360"/>
      </w:pPr>
      <w:rPr>
        <w:rFonts w:ascii="Courier New" w:hAnsi="Courier New" w:hint="default"/>
      </w:rPr>
    </w:lvl>
    <w:lvl w:ilvl="8" w:tplc="442A7ACA">
      <w:start w:val="1"/>
      <w:numFmt w:val="bullet"/>
      <w:lvlText w:val=""/>
      <w:lvlJc w:val="left"/>
      <w:pPr>
        <w:ind w:left="6480" w:hanging="360"/>
      </w:pPr>
      <w:rPr>
        <w:rFonts w:ascii="Wingdings" w:hAnsi="Wingdings" w:hint="default"/>
      </w:rPr>
    </w:lvl>
  </w:abstractNum>
  <w:abstractNum w:abstractNumId="103" w15:restartNumberingAfterBreak="0">
    <w:nsid w:val="23C86FCB"/>
    <w:multiLevelType w:val="hybridMultilevel"/>
    <w:tmpl w:val="FFFFFFFF"/>
    <w:lvl w:ilvl="0" w:tplc="DE7841FA">
      <w:start w:val="1"/>
      <w:numFmt w:val="decimal"/>
      <w:lvlText w:val="%1."/>
      <w:lvlJc w:val="left"/>
      <w:pPr>
        <w:ind w:left="720" w:hanging="360"/>
      </w:pPr>
    </w:lvl>
    <w:lvl w:ilvl="1" w:tplc="7A929F20">
      <w:start w:val="1"/>
      <w:numFmt w:val="lowerLetter"/>
      <w:lvlText w:val="%2."/>
      <w:lvlJc w:val="left"/>
      <w:pPr>
        <w:ind w:left="1440" w:hanging="360"/>
      </w:pPr>
    </w:lvl>
    <w:lvl w:ilvl="2" w:tplc="1B14113C">
      <w:start w:val="1"/>
      <w:numFmt w:val="lowerRoman"/>
      <w:lvlText w:val="%3."/>
      <w:lvlJc w:val="right"/>
      <w:pPr>
        <w:ind w:left="2160" w:hanging="180"/>
      </w:pPr>
    </w:lvl>
    <w:lvl w:ilvl="3" w:tplc="6C30CB64">
      <w:start w:val="1"/>
      <w:numFmt w:val="decimal"/>
      <w:lvlText w:val="%4."/>
      <w:lvlJc w:val="left"/>
      <w:pPr>
        <w:ind w:left="2880" w:hanging="360"/>
      </w:pPr>
    </w:lvl>
    <w:lvl w:ilvl="4" w:tplc="703E83B4">
      <w:start w:val="1"/>
      <w:numFmt w:val="lowerLetter"/>
      <w:lvlText w:val="%5."/>
      <w:lvlJc w:val="left"/>
      <w:pPr>
        <w:ind w:left="3600" w:hanging="360"/>
      </w:pPr>
    </w:lvl>
    <w:lvl w:ilvl="5" w:tplc="1DCA4114">
      <w:start w:val="1"/>
      <w:numFmt w:val="lowerRoman"/>
      <w:lvlText w:val="%6."/>
      <w:lvlJc w:val="right"/>
      <w:pPr>
        <w:ind w:left="4320" w:hanging="180"/>
      </w:pPr>
    </w:lvl>
    <w:lvl w:ilvl="6" w:tplc="F70AC498">
      <w:start w:val="1"/>
      <w:numFmt w:val="decimal"/>
      <w:lvlText w:val="%7."/>
      <w:lvlJc w:val="left"/>
      <w:pPr>
        <w:ind w:left="5040" w:hanging="360"/>
      </w:pPr>
    </w:lvl>
    <w:lvl w:ilvl="7" w:tplc="89E0BF42">
      <w:start w:val="1"/>
      <w:numFmt w:val="lowerLetter"/>
      <w:lvlText w:val="%8."/>
      <w:lvlJc w:val="left"/>
      <w:pPr>
        <w:ind w:left="5760" w:hanging="360"/>
      </w:pPr>
    </w:lvl>
    <w:lvl w:ilvl="8" w:tplc="E1D89E66">
      <w:start w:val="1"/>
      <w:numFmt w:val="lowerRoman"/>
      <w:lvlText w:val="%9."/>
      <w:lvlJc w:val="right"/>
      <w:pPr>
        <w:ind w:left="6480" w:hanging="180"/>
      </w:pPr>
    </w:lvl>
  </w:abstractNum>
  <w:abstractNum w:abstractNumId="104" w15:restartNumberingAfterBreak="0">
    <w:nsid w:val="23DF3295"/>
    <w:multiLevelType w:val="hybridMultilevel"/>
    <w:tmpl w:val="FFFFFFFF"/>
    <w:lvl w:ilvl="0" w:tplc="2DD230A6">
      <w:start w:val="5"/>
      <w:numFmt w:val="decimal"/>
      <w:lvlText w:val="%1."/>
      <w:lvlJc w:val="left"/>
      <w:pPr>
        <w:ind w:left="720" w:hanging="360"/>
      </w:pPr>
    </w:lvl>
    <w:lvl w:ilvl="1" w:tplc="9F203400">
      <w:start w:val="1"/>
      <w:numFmt w:val="lowerLetter"/>
      <w:lvlText w:val="%2."/>
      <w:lvlJc w:val="left"/>
      <w:pPr>
        <w:ind w:left="1440" w:hanging="360"/>
      </w:pPr>
    </w:lvl>
    <w:lvl w:ilvl="2" w:tplc="451A4CB4">
      <w:start w:val="1"/>
      <w:numFmt w:val="lowerRoman"/>
      <w:lvlText w:val="%3."/>
      <w:lvlJc w:val="right"/>
      <w:pPr>
        <w:ind w:left="2160" w:hanging="180"/>
      </w:pPr>
    </w:lvl>
    <w:lvl w:ilvl="3" w:tplc="2C3ED222">
      <w:start w:val="1"/>
      <w:numFmt w:val="decimal"/>
      <w:lvlText w:val="%4."/>
      <w:lvlJc w:val="left"/>
      <w:pPr>
        <w:ind w:left="2880" w:hanging="360"/>
      </w:pPr>
    </w:lvl>
    <w:lvl w:ilvl="4" w:tplc="E258F780">
      <w:start w:val="1"/>
      <w:numFmt w:val="lowerLetter"/>
      <w:lvlText w:val="%5."/>
      <w:lvlJc w:val="left"/>
      <w:pPr>
        <w:ind w:left="3600" w:hanging="360"/>
      </w:pPr>
    </w:lvl>
    <w:lvl w:ilvl="5" w:tplc="7C9E1DEA">
      <w:start w:val="1"/>
      <w:numFmt w:val="lowerRoman"/>
      <w:lvlText w:val="%6."/>
      <w:lvlJc w:val="right"/>
      <w:pPr>
        <w:ind w:left="4320" w:hanging="180"/>
      </w:pPr>
    </w:lvl>
    <w:lvl w:ilvl="6" w:tplc="EC647B76">
      <w:start w:val="1"/>
      <w:numFmt w:val="decimal"/>
      <w:lvlText w:val="%7."/>
      <w:lvlJc w:val="left"/>
      <w:pPr>
        <w:ind w:left="5040" w:hanging="360"/>
      </w:pPr>
    </w:lvl>
    <w:lvl w:ilvl="7" w:tplc="DDC8C72C">
      <w:start w:val="1"/>
      <w:numFmt w:val="lowerLetter"/>
      <w:lvlText w:val="%8."/>
      <w:lvlJc w:val="left"/>
      <w:pPr>
        <w:ind w:left="5760" w:hanging="360"/>
      </w:pPr>
    </w:lvl>
    <w:lvl w:ilvl="8" w:tplc="5C06E760">
      <w:start w:val="1"/>
      <w:numFmt w:val="lowerRoman"/>
      <w:lvlText w:val="%9."/>
      <w:lvlJc w:val="right"/>
      <w:pPr>
        <w:ind w:left="6480" w:hanging="180"/>
      </w:pPr>
    </w:lvl>
  </w:abstractNum>
  <w:abstractNum w:abstractNumId="105" w15:restartNumberingAfterBreak="0">
    <w:nsid w:val="2438C48E"/>
    <w:multiLevelType w:val="hybridMultilevel"/>
    <w:tmpl w:val="FFFFFFFF"/>
    <w:lvl w:ilvl="0" w:tplc="A4FC0984">
      <w:start w:val="1"/>
      <w:numFmt w:val="bullet"/>
      <w:lvlText w:val=""/>
      <w:lvlJc w:val="left"/>
      <w:pPr>
        <w:ind w:left="720" w:hanging="360"/>
      </w:pPr>
      <w:rPr>
        <w:rFonts w:ascii="Symbol" w:hAnsi="Symbol" w:hint="default"/>
      </w:rPr>
    </w:lvl>
    <w:lvl w:ilvl="1" w:tplc="8108978A">
      <w:start w:val="1"/>
      <w:numFmt w:val="bullet"/>
      <w:lvlText w:val="o"/>
      <w:lvlJc w:val="left"/>
      <w:pPr>
        <w:ind w:left="1440" w:hanging="360"/>
      </w:pPr>
      <w:rPr>
        <w:rFonts w:ascii="Courier New" w:hAnsi="Courier New" w:hint="default"/>
      </w:rPr>
    </w:lvl>
    <w:lvl w:ilvl="2" w:tplc="38AA3946">
      <w:start w:val="1"/>
      <w:numFmt w:val="bullet"/>
      <w:lvlText w:val=""/>
      <w:lvlJc w:val="left"/>
      <w:pPr>
        <w:ind w:left="2160" w:hanging="360"/>
      </w:pPr>
      <w:rPr>
        <w:rFonts w:ascii="Wingdings" w:hAnsi="Wingdings" w:hint="default"/>
      </w:rPr>
    </w:lvl>
    <w:lvl w:ilvl="3" w:tplc="7A40829A">
      <w:start w:val="1"/>
      <w:numFmt w:val="bullet"/>
      <w:lvlText w:val=""/>
      <w:lvlJc w:val="left"/>
      <w:pPr>
        <w:ind w:left="2880" w:hanging="360"/>
      </w:pPr>
      <w:rPr>
        <w:rFonts w:ascii="Symbol" w:hAnsi="Symbol" w:hint="default"/>
      </w:rPr>
    </w:lvl>
    <w:lvl w:ilvl="4" w:tplc="F31AEE2A">
      <w:start w:val="1"/>
      <w:numFmt w:val="bullet"/>
      <w:lvlText w:val="o"/>
      <w:lvlJc w:val="left"/>
      <w:pPr>
        <w:ind w:left="3600" w:hanging="360"/>
      </w:pPr>
      <w:rPr>
        <w:rFonts w:ascii="Courier New" w:hAnsi="Courier New" w:hint="default"/>
      </w:rPr>
    </w:lvl>
    <w:lvl w:ilvl="5" w:tplc="8342E710">
      <w:start w:val="1"/>
      <w:numFmt w:val="bullet"/>
      <w:lvlText w:val=""/>
      <w:lvlJc w:val="left"/>
      <w:pPr>
        <w:ind w:left="4320" w:hanging="360"/>
      </w:pPr>
      <w:rPr>
        <w:rFonts w:ascii="Wingdings" w:hAnsi="Wingdings" w:hint="default"/>
      </w:rPr>
    </w:lvl>
    <w:lvl w:ilvl="6" w:tplc="D3AADDC4">
      <w:start w:val="1"/>
      <w:numFmt w:val="bullet"/>
      <w:lvlText w:val=""/>
      <w:lvlJc w:val="left"/>
      <w:pPr>
        <w:ind w:left="5040" w:hanging="360"/>
      </w:pPr>
      <w:rPr>
        <w:rFonts w:ascii="Symbol" w:hAnsi="Symbol" w:hint="default"/>
      </w:rPr>
    </w:lvl>
    <w:lvl w:ilvl="7" w:tplc="5358B2E0">
      <w:start w:val="1"/>
      <w:numFmt w:val="bullet"/>
      <w:lvlText w:val="o"/>
      <w:lvlJc w:val="left"/>
      <w:pPr>
        <w:ind w:left="5760" w:hanging="360"/>
      </w:pPr>
      <w:rPr>
        <w:rFonts w:ascii="Courier New" w:hAnsi="Courier New" w:hint="default"/>
      </w:rPr>
    </w:lvl>
    <w:lvl w:ilvl="8" w:tplc="D188C688">
      <w:start w:val="1"/>
      <w:numFmt w:val="bullet"/>
      <w:lvlText w:val=""/>
      <w:lvlJc w:val="left"/>
      <w:pPr>
        <w:ind w:left="6480" w:hanging="360"/>
      </w:pPr>
      <w:rPr>
        <w:rFonts w:ascii="Wingdings" w:hAnsi="Wingdings" w:hint="default"/>
      </w:rPr>
    </w:lvl>
  </w:abstractNum>
  <w:abstractNum w:abstractNumId="106" w15:restartNumberingAfterBreak="0">
    <w:nsid w:val="2482F2DF"/>
    <w:multiLevelType w:val="hybridMultilevel"/>
    <w:tmpl w:val="FFFFFFFF"/>
    <w:lvl w:ilvl="0" w:tplc="E96A4674">
      <w:start w:val="3"/>
      <w:numFmt w:val="decimal"/>
      <w:lvlText w:val="%1."/>
      <w:lvlJc w:val="left"/>
      <w:pPr>
        <w:ind w:left="720" w:hanging="360"/>
      </w:pPr>
    </w:lvl>
    <w:lvl w:ilvl="1" w:tplc="64E4FDCE">
      <w:start w:val="1"/>
      <w:numFmt w:val="lowerLetter"/>
      <w:lvlText w:val="%2."/>
      <w:lvlJc w:val="left"/>
      <w:pPr>
        <w:ind w:left="1440" w:hanging="360"/>
      </w:pPr>
    </w:lvl>
    <w:lvl w:ilvl="2" w:tplc="4DBC9D40">
      <w:start w:val="1"/>
      <w:numFmt w:val="lowerRoman"/>
      <w:lvlText w:val="%3."/>
      <w:lvlJc w:val="right"/>
      <w:pPr>
        <w:ind w:left="2160" w:hanging="180"/>
      </w:pPr>
    </w:lvl>
    <w:lvl w:ilvl="3" w:tplc="2818ABEE">
      <w:start w:val="1"/>
      <w:numFmt w:val="decimal"/>
      <w:lvlText w:val="%4."/>
      <w:lvlJc w:val="left"/>
      <w:pPr>
        <w:ind w:left="2880" w:hanging="360"/>
      </w:pPr>
    </w:lvl>
    <w:lvl w:ilvl="4" w:tplc="4B1247F4">
      <w:start w:val="1"/>
      <w:numFmt w:val="lowerLetter"/>
      <w:lvlText w:val="%5."/>
      <w:lvlJc w:val="left"/>
      <w:pPr>
        <w:ind w:left="3600" w:hanging="360"/>
      </w:pPr>
    </w:lvl>
    <w:lvl w:ilvl="5" w:tplc="F2E0FB34">
      <w:start w:val="1"/>
      <w:numFmt w:val="lowerRoman"/>
      <w:lvlText w:val="%6."/>
      <w:lvlJc w:val="right"/>
      <w:pPr>
        <w:ind w:left="4320" w:hanging="180"/>
      </w:pPr>
    </w:lvl>
    <w:lvl w:ilvl="6" w:tplc="A554F798">
      <w:start w:val="1"/>
      <w:numFmt w:val="decimal"/>
      <w:lvlText w:val="%7."/>
      <w:lvlJc w:val="left"/>
      <w:pPr>
        <w:ind w:left="5040" w:hanging="360"/>
      </w:pPr>
    </w:lvl>
    <w:lvl w:ilvl="7" w:tplc="0B946CBC">
      <w:start w:val="1"/>
      <w:numFmt w:val="lowerLetter"/>
      <w:lvlText w:val="%8."/>
      <w:lvlJc w:val="left"/>
      <w:pPr>
        <w:ind w:left="5760" w:hanging="360"/>
      </w:pPr>
    </w:lvl>
    <w:lvl w:ilvl="8" w:tplc="F1945554">
      <w:start w:val="1"/>
      <w:numFmt w:val="lowerRoman"/>
      <w:lvlText w:val="%9."/>
      <w:lvlJc w:val="right"/>
      <w:pPr>
        <w:ind w:left="6480" w:hanging="180"/>
      </w:pPr>
    </w:lvl>
  </w:abstractNum>
  <w:abstractNum w:abstractNumId="107" w15:restartNumberingAfterBreak="0">
    <w:nsid w:val="24CF548C"/>
    <w:multiLevelType w:val="multilevel"/>
    <w:tmpl w:val="BEDEC07A"/>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7"/>
      <w:numFmt w:val="bullet"/>
      <w:lvlText w:val="-"/>
      <w:lvlJc w:val="left"/>
      <w:pPr>
        <w:ind w:left="2160" w:hanging="360"/>
      </w:pPr>
      <w:rPr>
        <w:rFonts w:ascii="Times New Roman" w:eastAsia="Times New Roman" w:hAnsi="Times New Roman" w:cs="Times New Roman"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24E40402"/>
    <w:multiLevelType w:val="hybridMultilevel"/>
    <w:tmpl w:val="D2383244"/>
    <w:lvl w:ilvl="0" w:tplc="B35412AA">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9" w15:restartNumberingAfterBreak="0">
    <w:nsid w:val="25104649"/>
    <w:multiLevelType w:val="hybridMultilevel"/>
    <w:tmpl w:val="7FD6C0B6"/>
    <w:lvl w:ilvl="0" w:tplc="8454F666">
      <w:start w:val="1"/>
      <w:numFmt w:val="decimal"/>
      <w:lvlText w:val="%1."/>
      <w:lvlJc w:val="left"/>
      <w:pPr>
        <w:ind w:left="720" w:hanging="360"/>
      </w:pPr>
    </w:lvl>
    <w:lvl w:ilvl="1" w:tplc="60D07D12">
      <w:start w:val="1"/>
      <w:numFmt w:val="lowerLetter"/>
      <w:lvlText w:val="%2."/>
      <w:lvlJc w:val="left"/>
      <w:pPr>
        <w:ind w:left="1440" w:hanging="360"/>
      </w:pPr>
    </w:lvl>
    <w:lvl w:ilvl="2" w:tplc="8F4AA076">
      <w:start w:val="1"/>
      <w:numFmt w:val="lowerRoman"/>
      <w:lvlText w:val="%3."/>
      <w:lvlJc w:val="right"/>
      <w:pPr>
        <w:ind w:left="2160" w:hanging="180"/>
      </w:pPr>
    </w:lvl>
    <w:lvl w:ilvl="3" w:tplc="3DA06E1A">
      <w:start w:val="1"/>
      <w:numFmt w:val="decimal"/>
      <w:lvlText w:val="%4."/>
      <w:lvlJc w:val="left"/>
      <w:pPr>
        <w:ind w:left="2880" w:hanging="360"/>
      </w:pPr>
    </w:lvl>
    <w:lvl w:ilvl="4" w:tplc="65F26C96">
      <w:start w:val="1"/>
      <w:numFmt w:val="lowerLetter"/>
      <w:lvlText w:val="%5."/>
      <w:lvlJc w:val="left"/>
      <w:pPr>
        <w:ind w:left="3600" w:hanging="360"/>
      </w:pPr>
    </w:lvl>
    <w:lvl w:ilvl="5" w:tplc="2CAE769A">
      <w:start w:val="1"/>
      <w:numFmt w:val="lowerRoman"/>
      <w:lvlText w:val="%6."/>
      <w:lvlJc w:val="right"/>
      <w:pPr>
        <w:ind w:left="4320" w:hanging="180"/>
      </w:pPr>
    </w:lvl>
    <w:lvl w:ilvl="6" w:tplc="516E6260">
      <w:start w:val="1"/>
      <w:numFmt w:val="decimal"/>
      <w:lvlText w:val="%7."/>
      <w:lvlJc w:val="left"/>
      <w:pPr>
        <w:ind w:left="5040" w:hanging="360"/>
      </w:pPr>
    </w:lvl>
    <w:lvl w:ilvl="7" w:tplc="63088E82">
      <w:start w:val="1"/>
      <w:numFmt w:val="lowerLetter"/>
      <w:lvlText w:val="%8."/>
      <w:lvlJc w:val="left"/>
      <w:pPr>
        <w:ind w:left="5760" w:hanging="360"/>
      </w:pPr>
    </w:lvl>
    <w:lvl w:ilvl="8" w:tplc="881E6C1C">
      <w:start w:val="1"/>
      <w:numFmt w:val="lowerRoman"/>
      <w:lvlText w:val="%9."/>
      <w:lvlJc w:val="right"/>
      <w:pPr>
        <w:ind w:left="6480" w:hanging="180"/>
      </w:pPr>
    </w:lvl>
  </w:abstractNum>
  <w:abstractNum w:abstractNumId="110" w15:restartNumberingAfterBreak="0">
    <w:nsid w:val="25D86760"/>
    <w:multiLevelType w:val="hybridMultilevel"/>
    <w:tmpl w:val="FFFFFFFF"/>
    <w:lvl w:ilvl="0" w:tplc="C136DA96">
      <w:start w:val="1"/>
      <w:numFmt w:val="bullet"/>
      <w:lvlText w:val=""/>
      <w:lvlJc w:val="left"/>
      <w:pPr>
        <w:ind w:left="720" w:hanging="360"/>
      </w:pPr>
      <w:rPr>
        <w:rFonts w:ascii="Symbol" w:hAnsi="Symbol" w:hint="default"/>
      </w:rPr>
    </w:lvl>
    <w:lvl w:ilvl="1" w:tplc="6802A7A0">
      <w:start w:val="1"/>
      <w:numFmt w:val="bullet"/>
      <w:lvlText w:val="o"/>
      <w:lvlJc w:val="left"/>
      <w:pPr>
        <w:ind w:left="1440" w:hanging="360"/>
      </w:pPr>
      <w:rPr>
        <w:rFonts w:ascii="Courier New" w:hAnsi="Courier New" w:hint="default"/>
      </w:rPr>
    </w:lvl>
    <w:lvl w:ilvl="2" w:tplc="24621428">
      <w:start w:val="1"/>
      <w:numFmt w:val="bullet"/>
      <w:lvlText w:val=""/>
      <w:lvlJc w:val="left"/>
      <w:pPr>
        <w:ind w:left="2160" w:hanging="360"/>
      </w:pPr>
      <w:rPr>
        <w:rFonts w:ascii="Wingdings" w:hAnsi="Wingdings" w:hint="default"/>
      </w:rPr>
    </w:lvl>
    <w:lvl w:ilvl="3" w:tplc="85E0461A">
      <w:start w:val="1"/>
      <w:numFmt w:val="bullet"/>
      <w:lvlText w:val=""/>
      <w:lvlJc w:val="left"/>
      <w:pPr>
        <w:ind w:left="2880" w:hanging="360"/>
      </w:pPr>
      <w:rPr>
        <w:rFonts w:ascii="Symbol" w:hAnsi="Symbol" w:hint="default"/>
      </w:rPr>
    </w:lvl>
    <w:lvl w:ilvl="4" w:tplc="E1B8D7C6">
      <w:start w:val="1"/>
      <w:numFmt w:val="bullet"/>
      <w:lvlText w:val="o"/>
      <w:lvlJc w:val="left"/>
      <w:pPr>
        <w:ind w:left="3600" w:hanging="360"/>
      </w:pPr>
      <w:rPr>
        <w:rFonts w:ascii="Courier New" w:hAnsi="Courier New" w:hint="default"/>
      </w:rPr>
    </w:lvl>
    <w:lvl w:ilvl="5" w:tplc="4EA6A244">
      <w:start w:val="1"/>
      <w:numFmt w:val="bullet"/>
      <w:lvlText w:val=""/>
      <w:lvlJc w:val="left"/>
      <w:pPr>
        <w:ind w:left="4320" w:hanging="360"/>
      </w:pPr>
      <w:rPr>
        <w:rFonts w:ascii="Wingdings" w:hAnsi="Wingdings" w:hint="default"/>
      </w:rPr>
    </w:lvl>
    <w:lvl w:ilvl="6" w:tplc="AE6272DC">
      <w:start w:val="1"/>
      <w:numFmt w:val="bullet"/>
      <w:lvlText w:val=""/>
      <w:lvlJc w:val="left"/>
      <w:pPr>
        <w:ind w:left="5040" w:hanging="360"/>
      </w:pPr>
      <w:rPr>
        <w:rFonts w:ascii="Symbol" w:hAnsi="Symbol" w:hint="default"/>
      </w:rPr>
    </w:lvl>
    <w:lvl w:ilvl="7" w:tplc="BBD69EAC">
      <w:start w:val="1"/>
      <w:numFmt w:val="bullet"/>
      <w:lvlText w:val="o"/>
      <w:lvlJc w:val="left"/>
      <w:pPr>
        <w:ind w:left="5760" w:hanging="360"/>
      </w:pPr>
      <w:rPr>
        <w:rFonts w:ascii="Courier New" w:hAnsi="Courier New" w:hint="default"/>
      </w:rPr>
    </w:lvl>
    <w:lvl w:ilvl="8" w:tplc="977C1502">
      <w:start w:val="1"/>
      <w:numFmt w:val="bullet"/>
      <w:lvlText w:val=""/>
      <w:lvlJc w:val="left"/>
      <w:pPr>
        <w:ind w:left="6480" w:hanging="360"/>
      </w:pPr>
      <w:rPr>
        <w:rFonts w:ascii="Wingdings" w:hAnsi="Wingdings" w:hint="default"/>
      </w:rPr>
    </w:lvl>
  </w:abstractNum>
  <w:abstractNum w:abstractNumId="111" w15:restartNumberingAfterBreak="0">
    <w:nsid w:val="2625DC79"/>
    <w:multiLevelType w:val="hybridMultilevel"/>
    <w:tmpl w:val="FFFFFFFF"/>
    <w:lvl w:ilvl="0" w:tplc="09FC5D10">
      <w:start w:val="1"/>
      <w:numFmt w:val="decimal"/>
      <w:lvlText w:val="%1."/>
      <w:lvlJc w:val="left"/>
      <w:pPr>
        <w:ind w:left="720" w:hanging="360"/>
      </w:pPr>
    </w:lvl>
    <w:lvl w:ilvl="1" w:tplc="9F6A4E74">
      <w:start w:val="5"/>
      <w:numFmt w:val="lowerRoman"/>
      <w:lvlText w:val="%2."/>
      <w:lvlJc w:val="right"/>
      <w:pPr>
        <w:ind w:left="1080" w:hanging="360"/>
      </w:pPr>
    </w:lvl>
    <w:lvl w:ilvl="2" w:tplc="336413A8">
      <w:start w:val="1"/>
      <w:numFmt w:val="lowerRoman"/>
      <w:lvlText w:val="%3."/>
      <w:lvlJc w:val="right"/>
      <w:pPr>
        <w:ind w:left="2160" w:hanging="180"/>
      </w:pPr>
    </w:lvl>
    <w:lvl w:ilvl="3" w:tplc="7DCEC552">
      <w:start w:val="1"/>
      <w:numFmt w:val="decimal"/>
      <w:lvlText w:val="%4."/>
      <w:lvlJc w:val="left"/>
      <w:pPr>
        <w:ind w:left="2880" w:hanging="360"/>
      </w:pPr>
    </w:lvl>
    <w:lvl w:ilvl="4" w:tplc="55DC2D1C">
      <w:start w:val="1"/>
      <w:numFmt w:val="lowerLetter"/>
      <w:lvlText w:val="%5."/>
      <w:lvlJc w:val="left"/>
      <w:pPr>
        <w:ind w:left="3600" w:hanging="360"/>
      </w:pPr>
    </w:lvl>
    <w:lvl w:ilvl="5" w:tplc="D27C5B8C">
      <w:start w:val="1"/>
      <w:numFmt w:val="lowerRoman"/>
      <w:lvlText w:val="%6."/>
      <w:lvlJc w:val="right"/>
      <w:pPr>
        <w:ind w:left="4320" w:hanging="180"/>
      </w:pPr>
    </w:lvl>
    <w:lvl w:ilvl="6" w:tplc="7C4CD0CC">
      <w:start w:val="1"/>
      <w:numFmt w:val="decimal"/>
      <w:lvlText w:val="%7."/>
      <w:lvlJc w:val="left"/>
      <w:pPr>
        <w:ind w:left="5040" w:hanging="360"/>
      </w:pPr>
    </w:lvl>
    <w:lvl w:ilvl="7" w:tplc="D74E45AE">
      <w:start w:val="1"/>
      <w:numFmt w:val="lowerLetter"/>
      <w:lvlText w:val="%8."/>
      <w:lvlJc w:val="left"/>
      <w:pPr>
        <w:ind w:left="5760" w:hanging="360"/>
      </w:pPr>
    </w:lvl>
    <w:lvl w:ilvl="8" w:tplc="B732B206">
      <w:start w:val="1"/>
      <w:numFmt w:val="lowerRoman"/>
      <w:lvlText w:val="%9."/>
      <w:lvlJc w:val="right"/>
      <w:pPr>
        <w:ind w:left="6480" w:hanging="180"/>
      </w:pPr>
    </w:lvl>
  </w:abstractNum>
  <w:abstractNum w:abstractNumId="112" w15:restartNumberingAfterBreak="0">
    <w:nsid w:val="262C1454"/>
    <w:multiLevelType w:val="multilevel"/>
    <w:tmpl w:val="A46090B2"/>
    <w:name w:val="Default"/>
    <w:lvl w:ilvl="0">
      <w:start w:val="1"/>
      <w:numFmt w:val="decimal"/>
      <w:lvlRestart w:val="0"/>
      <w:lvlText w:val="%1."/>
      <w:lvlJc w:val="left"/>
      <w:pPr>
        <w:ind w:left="720" w:hanging="360"/>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13" w15:restartNumberingAfterBreak="0">
    <w:nsid w:val="265FBD25"/>
    <w:multiLevelType w:val="hybridMultilevel"/>
    <w:tmpl w:val="FFFFFFFF"/>
    <w:lvl w:ilvl="0" w:tplc="89E81BA8">
      <w:start w:val="11"/>
      <w:numFmt w:val="decimal"/>
      <w:lvlText w:val="%1."/>
      <w:lvlJc w:val="left"/>
      <w:pPr>
        <w:ind w:left="720" w:hanging="360"/>
      </w:pPr>
    </w:lvl>
    <w:lvl w:ilvl="1" w:tplc="5186D874">
      <w:start w:val="1"/>
      <w:numFmt w:val="lowerLetter"/>
      <w:lvlText w:val="%2."/>
      <w:lvlJc w:val="left"/>
      <w:pPr>
        <w:ind w:left="1440" w:hanging="360"/>
      </w:pPr>
    </w:lvl>
    <w:lvl w:ilvl="2" w:tplc="92EE6246">
      <w:start w:val="1"/>
      <w:numFmt w:val="lowerRoman"/>
      <w:lvlText w:val="%3."/>
      <w:lvlJc w:val="right"/>
      <w:pPr>
        <w:ind w:left="2160" w:hanging="180"/>
      </w:pPr>
    </w:lvl>
    <w:lvl w:ilvl="3" w:tplc="A198B758">
      <w:start w:val="1"/>
      <w:numFmt w:val="decimal"/>
      <w:lvlText w:val="%4."/>
      <w:lvlJc w:val="left"/>
      <w:pPr>
        <w:ind w:left="2880" w:hanging="360"/>
      </w:pPr>
    </w:lvl>
    <w:lvl w:ilvl="4" w:tplc="6010DC50">
      <w:start w:val="1"/>
      <w:numFmt w:val="lowerLetter"/>
      <w:lvlText w:val="%5."/>
      <w:lvlJc w:val="left"/>
      <w:pPr>
        <w:ind w:left="3600" w:hanging="360"/>
      </w:pPr>
    </w:lvl>
    <w:lvl w:ilvl="5" w:tplc="803C1D3A">
      <w:start w:val="1"/>
      <w:numFmt w:val="lowerRoman"/>
      <w:lvlText w:val="%6."/>
      <w:lvlJc w:val="right"/>
      <w:pPr>
        <w:ind w:left="4320" w:hanging="180"/>
      </w:pPr>
    </w:lvl>
    <w:lvl w:ilvl="6" w:tplc="8D1CCEC2">
      <w:start w:val="1"/>
      <w:numFmt w:val="decimal"/>
      <w:lvlText w:val="%7."/>
      <w:lvlJc w:val="left"/>
      <w:pPr>
        <w:ind w:left="5040" w:hanging="360"/>
      </w:pPr>
    </w:lvl>
    <w:lvl w:ilvl="7" w:tplc="9B76985E">
      <w:start w:val="1"/>
      <w:numFmt w:val="lowerLetter"/>
      <w:lvlText w:val="%8."/>
      <w:lvlJc w:val="left"/>
      <w:pPr>
        <w:ind w:left="5760" w:hanging="360"/>
      </w:pPr>
    </w:lvl>
    <w:lvl w:ilvl="8" w:tplc="DFDA6D56">
      <w:start w:val="1"/>
      <w:numFmt w:val="lowerRoman"/>
      <w:lvlText w:val="%9."/>
      <w:lvlJc w:val="right"/>
      <w:pPr>
        <w:ind w:left="6480" w:hanging="180"/>
      </w:pPr>
    </w:lvl>
  </w:abstractNum>
  <w:abstractNum w:abstractNumId="114" w15:restartNumberingAfterBreak="0">
    <w:nsid w:val="26B81529"/>
    <w:multiLevelType w:val="multilevel"/>
    <w:tmpl w:val="19B49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15:restartNumberingAfterBreak="0">
    <w:nsid w:val="26F0FB7F"/>
    <w:multiLevelType w:val="hybridMultilevel"/>
    <w:tmpl w:val="FFFFFFFF"/>
    <w:lvl w:ilvl="0" w:tplc="138EA5FC">
      <w:start w:val="1"/>
      <w:numFmt w:val="bullet"/>
      <w:lvlText w:val="o"/>
      <w:lvlJc w:val="left"/>
      <w:pPr>
        <w:ind w:left="1080" w:hanging="360"/>
      </w:pPr>
      <w:rPr>
        <w:rFonts w:ascii="Courier New" w:hAnsi="Courier New" w:hint="default"/>
      </w:rPr>
    </w:lvl>
    <w:lvl w:ilvl="1" w:tplc="2AE4E034">
      <w:start w:val="1"/>
      <w:numFmt w:val="bullet"/>
      <w:lvlText w:val="o"/>
      <w:lvlJc w:val="left"/>
      <w:pPr>
        <w:ind w:left="1440" w:hanging="360"/>
      </w:pPr>
      <w:rPr>
        <w:rFonts w:ascii="Courier New" w:hAnsi="Courier New" w:hint="default"/>
      </w:rPr>
    </w:lvl>
    <w:lvl w:ilvl="2" w:tplc="D40EB664">
      <w:start w:val="1"/>
      <w:numFmt w:val="bullet"/>
      <w:lvlText w:val=""/>
      <w:lvlJc w:val="left"/>
      <w:pPr>
        <w:ind w:left="2160" w:hanging="360"/>
      </w:pPr>
      <w:rPr>
        <w:rFonts w:ascii="Wingdings" w:hAnsi="Wingdings" w:hint="default"/>
      </w:rPr>
    </w:lvl>
    <w:lvl w:ilvl="3" w:tplc="8D9413AE">
      <w:start w:val="1"/>
      <w:numFmt w:val="bullet"/>
      <w:lvlText w:val=""/>
      <w:lvlJc w:val="left"/>
      <w:pPr>
        <w:ind w:left="2880" w:hanging="360"/>
      </w:pPr>
      <w:rPr>
        <w:rFonts w:ascii="Symbol" w:hAnsi="Symbol" w:hint="default"/>
      </w:rPr>
    </w:lvl>
    <w:lvl w:ilvl="4" w:tplc="3FA2B2E8">
      <w:start w:val="1"/>
      <w:numFmt w:val="bullet"/>
      <w:lvlText w:val="o"/>
      <w:lvlJc w:val="left"/>
      <w:pPr>
        <w:ind w:left="3600" w:hanging="360"/>
      </w:pPr>
      <w:rPr>
        <w:rFonts w:ascii="Courier New" w:hAnsi="Courier New" w:hint="default"/>
      </w:rPr>
    </w:lvl>
    <w:lvl w:ilvl="5" w:tplc="133A1AF8">
      <w:start w:val="1"/>
      <w:numFmt w:val="bullet"/>
      <w:lvlText w:val=""/>
      <w:lvlJc w:val="left"/>
      <w:pPr>
        <w:ind w:left="4320" w:hanging="360"/>
      </w:pPr>
      <w:rPr>
        <w:rFonts w:ascii="Wingdings" w:hAnsi="Wingdings" w:hint="default"/>
      </w:rPr>
    </w:lvl>
    <w:lvl w:ilvl="6" w:tplc="FF5ABA86">
      <w:start w:val="1"/>
      <w:numFmt w:val="bullet"/>
      <w:lvlText w:val=""/>
      <w:lvlJc w:val="left"/>
      <w:pPr>
        <w:ind w:left="5040" w:hanging="360"/>
      </w:pPr>
      <w:rPr>
        <w:rFonts w:ascii="Symbol" w:hAnsi="Symbol" w:hint="default"/>
      </w:rPr>
    </w:lvl>
    <w:lvl w:ilvl="7" w:tplc="271E146C">
      <w:start w:val="1"/>
      <w:numFmt w:val="bullet"/>
      <w:lvlText w:val="o"/>
      <w:lvlJc w:val="left"/>
      <w:pPr>
        <w:ind w:left="5760" w:hanging="360"/>
      </w:pPr>
      <w:rPr>
        <w:rFonts w:ascii="Courier New" w:hAnsi="Courier New" w:hint="default"/>
      </w:rPr>
    </w:lvl>
    <w:lvl w:ilvl="8" w:tplc="B0181798">
      <w:start w:val="1"/>
      <w:numFmt w:val="bullet"/>
      <w:lvlText w:val=""/>
      <w:lvlJc w:val="left"/>
      <w:pPr>
        <w:ind w:left="6480" w:hanging="360"/>
      </w:pPr>
      <w:rPr>
        <w:rFonts w:ascii="Wingdings" w:hAnsi="Wingdings" w:hint="default"/>
      </w:rPr>
    </w:lvl>
  </w:abstractNum>
  <w:abstractNum w:abstractNumId="116" w15:restartNumberingAfterBreak="0">
    <w:nsid w:val="27BA6957"/>
    <w:multiLevelType w:val="hybridMultilevel"/>
    <w:tmpl w:val="FFFFFFFF"/>
    <w:lvl w:ilvl="0" w:tplc="C1DCAB2A">
      <w:start w:val="2"/>
      <w:numFmt w:val="lowerLetter"/>
      <w:lvlText w:val="%1."/>
      <w:lvlJc w:val="left"/>
      <w:pPr>
        <w:ind w:left="720" w:hanging="360"/>
      </w:pPr>
    </w:lvl>
    <w:lvl w:ilvl="1" w:tplc="03CAC48E">
      <w:start w:val="1"/>
      <w:numFmt w:val="lowerLetter"/>
      <w:lvlText w:val="%2."/>
      <w:lvlJc w:val="left"/>
      <w:pPr>
        <w:ind w:left="1440" w:hanging="360"/>
      </w:pPr>
    </w:lvl>
    <w:lvl w:ilvl="2" w:tplc="1120636C">
      <w:start w:val="1"/>
      <w:numFmt w:val="lowerRoman"/>
      <w:lvlText w:val="%3."/>
      <w:lvlJc w:val="right"/>
      <w:pPr>
        <w:ind w:left="2160" w:hanging="180"/>
      </w:pPr>
    </w:lvl>
    <w:lvl w:ilvl="3" w:tplc="A9B2BD74">
      <w:start w:val="1"/>
      <w:numFmt w:val="decimal"/>
      <w:lvlText w:val="%4."/>
      <w:lvlJc w:val="left"/>
      <w:pPr>
        <w:ind w:left="2880" w:hanging="360"/>
      </w:pPr>
    </w:lvl>
    <w:lvl w:ilvl="4" w:tplc="A3CC5F48">
      <w:start w:val="1"/>
      <w:numFmt w:val="lowerLetter"/>
      <w:lvlText w:val="%5."/>
      <w:lvlJc w:val="left"/>
      <w:pPr>
        <w:ind w:left="3600" w:hanging="360"/>
      </w:pPr>
    </w:lvl>
    <w:lvl w:ilvl="5" w:tplc="C7F81E7A">
      <w:start w:val="1"/>
      <w:numFmt w:val="lowerRoman"/>
      <w:lvlText w:val="%6."/>
      <w:lvlJc w:val="right"/>
      <w:pPr>
        <w:ind w:left="4320" w:hanging="180"/>
      </w:pPr>
    </w:lvl>
    <w:lvl w:ilvl="6" w:tplc="8BFCAD44">
      <w:start w:val="1"/>
      <w:numFmt w:val="decimal"/>
      <w:lvlText w:val="%7."/>
      <w:lvlJc w:val="left"/>
      <w:pPr>
        <w:ind w:left="5040" w:hanging="360"/>
      </w:pPr>
    </w:lvl>
    <w:lvl w:ilvl="7" w:tplc="A86E14A6">
      <w:start w:val="1"/>
      <w:numFmt w:val="lowerLetter"/>
      <w:lvlText w:val="%8."/>
      <w:lvlJc w:val="left"/>
      <w:pPr>
        <w:ind w:left="5760" w:hanging="360"/>
      </w:pPr>
    </w:lvl>
    <w:lvl w:ilvl="8" w:tplc="67824E60">
      <w:start w:val="1"/>
      <w:numFmt w:val="lowerRoman"/>
      <w:lvlText w:val="%9."/>
      <w:lvlJc w:val="right"/>
      <w:pPr>
        <w:ind w:left="6480" w:hanging="180"/>
      </w:pPr>
    </w:lvl>
  </w:abstractNum>
  <w:abstractNum w:abstractNumId="117" w15:restartNumberingAfterBreak="0">
    <w:nsid w:val="282C67BF"/>
    <w:multiLevelType w:val="hybridMultilevel"/>
    <w:tmpl w:val="35EC0AA2"/>
    <w:lvl w:ilvl="0" w:tplc="FFFFFFFF">
      <w:start w:val="1"/>
      <w:numFmt w:val="lowerLetter"/>
      <w:lvlText w:val="%1."/>
      <w:lvlJc w:val="left"/>
      <w:pPr>
        <w:ind w:left="720" w:hanging="360"/>
      </w:pPr>
    </w:lvl>
    <w:lvl w:ilvl="1" w:tplc="E61EA238">
      <w:start w:val="1"/>
      <w:numFmt w:val="bullet"/>
      <w:lvlText w:val="-"/>
      <w:lvlJc w:val="left"/>
      <w:pPr>
        <w:ind w:left="144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8" w15:restartNumberingAfterBreak="0">
    <w:nsid w:val="295E2747"/>
    <w:multiLevelType w:val="hybridMultilevel"/>
    <w:tmpl w:val="FFFFFFFF"/>
    <w:lvl w:ilvl="0" w:tplc="6148A688">
      <w:start w:val="1"/>
      <w:numFmt w:val="decimal"/>
      <w:lvlText w:val="%1."/>
      <w:lvlJc w:val="left"/>
      <w:pPr>
        <w:ind w:left="720" w:hanging="360"/>
      </w:pPr>
    </w:lvl>
    <w:lvl w:ilvl="1" w:tplc="3DF66CE2">
      <w:start w:val="1"/>
      <w:numFmt w:val="lowerLetter"/>
      <w:lvlText w:val="%2."/>
      <w:lvlJc w:val="left"/>
      <w:pPr>
        <w:ind w:left="1440" w:hanging="360"/>
      </w:pPr>
    </w:lvl>
    <w:lvl w:ilvl="2" w:tplc="75F48C72">
      <w:start w:val="1"/>
      <w:numFmt w:val="lowerRoman"/>
      <w:lvlText w:val="%3."/>
      <w:lvlJc w:val="right"/>
      <w:pPr>
        <w:ind w:left="2160" w:hanging="180"/>
      </w:pPr>
    </w:lvl>
    <w:lvl w:ilvl="3" w:tplc="8BDA9FCE">
      <w:start w:val="1"/>
      <w:numFmt w:val="decimal"/>
      <w:lvlText w:val="%4."/>
      <w:lvlJc w:val="left"/>
      <w:pPr>
        <w:ind w:left="2880" w:hanging="360"/>
      </w:pPr>
    </w:lvl>
    <w:lvl w:ilvl="4" w:tplc="36049456">
      <w:start w:val="1"/>
      <w:numFmt w:val="lowerLetter"/>
      <w:lvlText w:val="%5."/>
      <w:lvlJc w:val="left"/>
      <w:pPr>
        <w:ind w:left="3600" w:hanging="360"/>
      </w:pPr>
    </w:lvl>
    <w:lvl w:ilvl="5" w:tplc="2E4435DE">
      <w:start w:val="1"/>
      <w:numFmt w:val="lowerRoman"/>
      <w:lvlText w:val="%6."/>
      <w:lvlJc w:val="right"/>
      <w:pPr>
        <w:ind w:left="4320" w:hanging="180"/>
      </w:pPr>
    </w:lvl>
    <w:lvl w:ilvl="6" w:tplc="F0A470F8">
      <w:start w:val="1"/>
      <w:numFmt w:val="decimal"/>
      <w:lvlText w:val="%7."/>
      <w:lvlJc w:val="left"/>
      <w:pPr>
        <w:ind w:left="5040" w:hanging="360"/>
      </w:pPr>
    </w:lvl>
    <w:lvl w:ilvl="7" w:tplc="6B90063C">
      <w:start w:val="1"/>
      <w:numFmt w:val="lowerLetter"/>
      <w:lvlText w:val="%8."/>
      <w:lvlJc w:val="left"/>
      <w:pPr>
        <w:ind w:left="5760" w:hanging="360"/>
      </w:pPr>
    </w:lvl>
    <w:lvl w:ilvl="8" w:tplc="AF584196">
      <w:start w:val="1"/>
      <w:numFmt w:val="lowerRoman"/>
      <w:lvlText w:val="%9."/>
      <w:lvlJc w:val="right"/>
      <w:pPr>
        <w:ind w:left="6480" w:hanging="180"/>
      </w:pPr>
    </w:lvl>
  </w:abstractNum>
  <w:abstractNum w:abstractNumId="119" w15:restartNumberingAfterBreak="0">
    <w:nsid w:val="2AB416AA"/>
    <w:multiLevelType w:val="hybridMultilevel"/>
    <w:tmpl w:val="FFFFFFFF"/>
    <w:lvl w:ilvl="0" w:tplc="F2BA5572">
      <w:start w:val="4"/>
      <w:numFmt w:val="lowerLetter"/>
      <w:lvlText w:val="%1)"/>
      <w:lvlJc w:val="left"/>
      <w:pPr>
        <w:ind w:left="720" w:hanging="360"/>
      </w:pPr>
    </w:lvl>
    <w:lvl w:ilvl="1" w:tplc="6FD835EA">
      <w:start w:val="1"/>
      <w:numFmt w:val="lowerLetter"/>
      <w:lvlText w:val="%2."/>
      <w:lvlJc w:val="left"/>
      <w:pPr>
        <w:ind w:left="1440" w:hanging="360"/>
      </w:pPr>
    </w:lvl>
    <w:lvl w:ilvl="2" w:tplc="BF8E3D7A">
      <w:start w:val="1"/>
      <w:numFmt w:val="lowerRoman"/>
      <w:lvlText w:val="%3."/>
      <w:lvlJc w:val="right"/>
      <w:pPr>
        <w:ind w:left="2160" w:hanging="180"/>
      </w:pPr>
    </w:lvl>
    <w:lvl w:ilvl="3" w:tplc="C5166D2A">
      <w:start w:val="1"/>
      <w:numFmt w:val="decimal"/>
      <w:lvlText w:val="%4."/>
      <w:lvlJc w:val="left"/>
      <w:pPr>
        <w:ind w:left="2880" w:hanging="360"/>
      </w:pPr>
    </w:lvl>
    <w:lvl w:ilvl="4" w:tplc="65BAF046">
      <w:start w:val="1"/>
      <w:numFmt w:val="lowerLetter"/>
      <w:lvlText w:val="%5."/>
      <w:lvlJc w:val="left"/>
      <w:pPr>
        <w:ind w:left="3600" w:hanging="360"/>
      </w:pPr>
    </w:lvl>
    <w:lvl w:ilvl="5" w:tplc="69CAF076">
      <w:start w:val="1"/>
      <w:numFmt w:val="lowerRoman"/>
      <w:lvlText w:val="%6."/>
      <w:lvlJc w:val="right"/>
      <w:pPr>
        <w:ind w:left="4320" w:hanging="180"/>
      </w:pPr>
    </w:lvl>
    <w:lvl w:ilvl="6" w:tplc="682A8126">
      <w:start w:val="1"/>
      <w:numFmt w:val="decimal"/>
      <w:lvlText w:val="%7."/>
      <w:lvlJc w:val="left"/>
      <w:pPr>
        <w:ind w:left="5040" w:hanging="360"/>
      </w:pPr>
    </w:lvl>
    <w:lvl w:ilvl="7" w:tplc="06D43FEE">
      <w:start w:val="1"/>
      <w:numFmt w:val="lowerLetter"/>
      <w:lvlText w:val="%8."/>
      <w:lvlJc w:val="left"/>
      <w:pPr>
        <w:ind w:left="5760" w:hanging="360"/>
      </w:pPr>
    </w:lvl>
    <w:lvl w:ilvl="8" w:tplc="D8BE98AA">
      <w:start w:val="1"/>
      <w:numFmt w:val="lowerRoman"/>
      <w:lvlText w:val="%9."/>
      <w:lvlJc w:val="right"/>
      <w:pPr>
        <w:ind w:left="6480" w:hanging="180"/>
      </w:pPr>
    </w:lvl>
  </w:abstractNum>
  <w:abstractNum w:abstractNumId="120" w15:restartNumberingAfterBreak="0">
    <w:nsid w:val="2ACDECC8"/>
    <w:multiLevelType w:val="hybridMultilevel"/>
    <w:tmpl w:val="FFFFFFFF"/>
    <w:lvl w:ilvl="0" w:tplc="70A87C80">
      <w:start w:val="6"/>
      <w:numFmt w:val="lowerLetter"/>
      <w:lvlText w:val="%1)"/>
      <w:lvlJc w:val="left"/>
      <w:pPr>
        <w:ind w:left="720" w:hanging="360"/>
      </w:pPr>
    </w:lvl>
    <w:lvl w:ilvl="1" w:tplc="A5B826D0">
      <w:start w:val="1"/>
      <w:numFmt w:val="lowerLetter"/>
      <w:lvlText w:val="%2."/>
      <w:lvlJc w:val="left"/>
      <w:pPr>
        <w:ind w:left="1440" w:hanging="360"/>
      </w:pPr>
    </w:lvl>
    <w:lvl w:ilvl="2" w:tplc="4296DFB6">
      <w:start w:val="1"/>
      <w:numFmt w:val="lowerRoman"/>
      <w:lvlText w:val="%3."/>
      <w:lvlJc w:val="right"/>
      <w:pPr>
        <w:ind w:left="2160" w:hanging="180"/>
      </w:pPr>
    </w:lvl>
    <w:lvl w:ilvl="3" w:tplc="C6BC9A30">
      <w:start w:val="1"/>
      <w:numFmt w:val="decimal"/>
      <w:lvlText w:val="%4."/>
      <w:lvlJc w:val="left"/>
      <w:pPr>
        <w:ind w:left="2880" w:hanging="360"/>
      </w:pPr>
    </w:lvl>
    <w:lvl w:ilvl="4" w:tplc="983EEC84">
      <w:start w:val="1"/>
      <w:numFmt w:val="lowerLetter"/>
      <w:lvlText w:val="%5."/>
      <w:lvlJc w:val="left"/>
      <w:pPr>
        <w:ind w:left="3600" w:hanging="360"/>
      </w:pPr>
    </w:lvl>
    <w:lvl w:ilvl="5" w:tplc="3EEEA4EA">
      <w:start w:val="1"/>
      <w:numFmt w:val="lowerRoman"/>
      <w:lvlText w:val="%6."/>
      <w:lvlJc w:val="right"/>
      <w:pPr>
        <w:ind w:left="4320" w:hanging="180"/>
      </w:pPr>
    </w:lvl>
    <w:lvl w:ilvl="6" w:tplc="43325FDC">
      <w:start w:val="1"/>
      <w:numFmt w:val="decimal"/>
      <w:lvlText w:val="%7."/>
      <w:lvlJc w:val="left"/>
      <w:pPr>
        <w:ind w:left="5040" w:hanging="360"/>
      </w:pPr>
    </w:lvl>
    <w:lvl w:ilvl="7" w:tplc="F600191E">
      <w:start w:val="1"/>
      <w:numFmt w:val="lowerLetter"/>
      <w:lvlText w:val="%8."/>
      <w:lvlJc w:val="left"/>
      <w:pPr>
        <w:ind w:left="5760" w:hanging="360"/>
      </w:pPr>
    </w:lvl>
    <w:lvl w:ilvl="8" w:tplc="D8082DD0">
      <w:start w:val="1"/>
      <w:numFmt w:val="lowerRoman"/>
      <w:lvlText w:val="%9."/>
      <w:lvlJc w:val="right"/>
      <w:pPr>
        <w:ind w:left="6480" w:hanging="180"/>
      </w:pPr>
    </w:lvl>
  </w:abstractNum>
  <w:abstractNum w:abstractNumId="121" w15:restartNumberingAfterBreak="0">
    <w:nsid w:val="2AF68BC0"/>
    <w:multiLevelType w:val="hybridMultilevel"/>
    <w:tmpl w:val="FFFFFFFF"/>
    <w:lvl w:ilvl="0" w:tplc="41BC4404">
      <w:start w:val="1"/>
      <w:numFmt w:val="decimal"/>
      <w:lvlText w:val="%1."/>
      <w:lvlJc w:val="left"/>
      <w:pPr>
        <w:ind w:left="720" w:hanging="360"/>
      </w:pPr>
    </w:lvl>
    <w:lvl w:ilvl="1" w:tplc="AF945CF2">
      <w:start w:val="1"/>
      <w:numFmt w:val="lowerLetter"/>
      <w:lvlText w:val="%2."/>
      <w:lvlJc w:val="left"/>
      <w:pPr>
        <w:ind w:left="1440" w:hanging="360"/>
      </w:pPr>
    </w:lvl>
    <w:lvl w:ilvl="2" w:tplc="12BC1C80">
      <w:start w:val="1"/>
      <w:numFmt w:val="lowerRoman"/>
      <w:lvlText w:val="%3."/>
      <w:lvlJc w:val="right"/>
      <w:pPr>
        <w:ind w:left="2160" w:hanging="180"/>
      </w:pPr>
    </w:lvl>
    <w:lvl w:ilvl="3" w:tplc="D836461E">
      <w:start w:val="1"/>
      <w:numFmt w:val="decimal"/>
      <w:lvlText w:val="%4."/>
      <w:lvlJc w:val="left"/>
      <w:pPr>
        <w:ind w:left="2880" w:hanging="360"/>
      </w:pPr>
    </w:lvl>
    <w:lvl w:ilvl="4" w:tplc="6FD229CC">
      <w:start w:val="1"/>
      <w:numFmt w:val="lowerLetter"/>
      <w:lvlText w:val="%5."/>
      <w:lvlJc w:val="left"/>
      <w:pPr>
        <w:ind w:left="3600" w:hanging="360"/>
      </w:pPr>
    </w:lvl>
    <w:lvl w:ilvl="5" w:tplc="D2F213E4">
      <w:start w:val="1"/>
      <w:numFmt w:val="lowerRoman"/>
      <w:lvlText w:val="%6."/>
      <w:lvlJc w:val="right"/>
      <w:pPr>
        <w:ind w:left="4320" w:hanging="180"/>
      </w:pPr>
    </w:lvl>
    <w:lvl w:ilvl="6" w:tplc="6EF2BF56">
      <w:start w:val="1"/>
      <w:numFmt w:val="decimal"/>
      <w:lvlText w:val="%7."/>
      <w:lvlJc w:val="left"/>
      <w:pPr>
        <w:ind w:left="5040" w:hanging="360"/>
      </w:pPr>
    </w:lvl>
    <w:lvl w:ilvl="7" w:tplc="D9006140">
      <w:start w:val="1"/>
      <w:numFmt w:val="lowerLetter"/>
      <w:lvlText w:val="%8."/>
      <w:lvlJc w:val="left"/>
      <w:pPr>
        <w:ind w:left="5760" w:hanging="360"/>
      </w:pPr>
    </w:lvl>
    <w:lvl w:ilvl="8" w:tplc="604EED16">
      <w:start w:val="1"/>
      <w:numFmt w:val="lowerRoman"/>
      <w:lvlText w:val="%9."/>
      <w:lvlJc w:val="right"/>
      <w:pPr>
        <w:ind w:left="6480" w:hanging="180"/>
      </w:pPr>
    </w:lvl>
  </w:abstractNum>
  <w:abstractNum w:abstractNumId="122" w15:restartNumberingAfterBreak="0">
    <w:nsid w:val="2B0CA56B"/>
    <w:multiLevelType w:val="hybridMultilevel"/>
    <w:tmpl w:val="FFFFFFFF"/>
    <w:lvl w:ilvl="0" w:tplc="BE74118E">
      <w:start w:val="1"/>
      <w:numFmt w:val="decimal"/>
      <w:lvlText w:val="%1."/>
      <w:lvlJc w:val="left"/>
      <w:pPr>
        <w:ind w:left="720" w:hanging="360"/>
      </w:pPr>
    </w:lvl>
    <w:lvl w:ilvl="1" w:tplc="D8C0CAFA">
      <w:start w:val="8"/>
      <w:numFmt w:val="lowerRoman"/>
      <w:lvlText w:val="%2."/>
      <w:lvlJc w:val="right"/>
      <w:pPr>
        <w:ind w:left="1440" w:hanging="360"/>
      </w:pPr>
    </w:lvl>
    <w:lvl w:ilvl="2" w:tplc="60340630">
      <w:start w:val="1"/>
      <w:numFmt w:val="lowerRoman"/>
      <w:lvlText w:val="%3."/>
      <w:lvlJc w:val="right"/>
      <w:pPr>
        <w:ind w:left="2160" w:hanging="180"/>
      </w:pPr>
    </w:lvl>
    <w:lvl w:ilvl="3" w:tplc="E3D87F9C">
      <w:start w:val="1"/>
      <w:numFmt w:val="decimal"/>
      <w:lvlText w:val="%4."/>
      <w:lvlJc w:val="left"/>
      <w:pPr>
        <w:ind w:left="2880" w:hanging="360"/>
      </w:pPr>
    </w:lvl>
    <w:lvl w:ilvl="4" w:tplc="E7E84B8C">
      <w:start w:val="1"/>
      <w:numFmt w:val="lowerLetter"/>
      <w:lvlText w:val="%5."/>
      <w:lvlJc w:val="left"/>
      <w:pPr>
        <w:ind w:left="3600" w:hanging="360"/>
      </w:pPr>
    </w:lvl>
    <w:lvl w:ilvl="5" w:tplc="AE440F94">
      <w:start w:val="1"/>
      <w:numFmt w:val="lowerRoman"/>
      <w:lvlText w:val="%6."/>
      <w:lvlJc w:val="right"/>
      <w:pPr>
        <w:ind w:left="4320" w:hanging="180"/>
      </w:pPr>
    </w:lvl>
    <w:lvl w:ilvl="6" w:tplc="E79CE2BC">
      <w:start w:val="1"/>
      <w:numFmt w:val="decimal"/>
      <w:lvlText w:val="%7."/>
      <w:lvlJc w:val="left"/>
      <w:pPr>
        <w:ind w:left="5040" w:hanging="360"/>
      </w:pPr>
    </w:lvl>
    <w:lvl w:ilvl="7" w:tplc="E5C675F4">
      <w:start w:val="1"/>
      <w:numFmt w:val="lowerLetter"/>
      <w:lvlText w:val="%8."/>
      <w:lvlJc w:val="left"/>
      <w:pPr>
        <w:ind w:left="5760" w:hanging="360"/>
      </w:pPr>
    </w:lvl>
    <w:lvl w:ilvl="8" w:tplc="7A9AE256">
      <w:start w:val="1"/>
      <w:numFmt w:val="lowerRoman"/>
      <w:lvlText w:val="%9."/>
      <w:lvlJc w:val="right"/>
      <w:pPr>
        <w:ind w:left="6480" w:hanging="180"/>
      </w:pPr>
    </w:lvl>
  </w:abstractNum>
  <w:abstractNum w:abstractNumId="123" w15:restartNumberingAfterBreak="0">
    <w:nsid w:val="2C2D4F88"/>
    <w:multiLevelType w:val="hybridMultilevel"/>
    <w:tmpl w:val="1752E1F4"/>
    <w:lvl w:ilvl="0" w:tplc="DB9A5C5A">
      <w:start w:val="1"/>
      <w:numFmt w:val="bullet"/>
      <w:lvlText w:val=""/>
      <w:lvlJc w:val="left"/>
      <w:pPr>
        <w:ind w:left="720" w:hanging="360"/>
      </w:pPr>
      <w:rPr>
        <w:rFonts w:ascii="Symbol" w:hAnsi="Symbol" w:hint="default"/>
      </w:rPr>
    </w:lvl>
    <w:lvl w:ilvl="1" w:tplc="4E0EDE78">
      <w:start w:val="1"/>
      <w:numFmt w:val="bullet"/>
      <w:lvlText w:val="o"/>
      <w:lvlJc w:val="left"/>
      <w:pPr>
        <w:ind w:left="1440" w:hanging="360"/>
      </w:pPr>
      <w:rPr>
        <w:rFonts w:ascii="Courier New" w:hAnsi="Courier New" w:hint="default"/>
      </w:rPr>
    </w:lvl>
    <w:lvl w:ilvl="2" w:tplc="39C80CB4">
      <w:start w:val="1"/>
      <w:numFmt w:val="bullet"/>
      <w:lvlText w:val=""/>
      <w:lvlJc w:val="left"/>
      <w:pPr>
        <w:ind w:left="2160" w:hanging="360"/>
      </w:pPr>
      <w:rPr>
        <w:rFonts w:ascii="Wingdings" w:hAnsi="Wingdings" w:hint="default"/>
      </w:rPr>
    </w:lvl>
    <w:lvl w:ilvl="3" w:tplc="90EC4780">
      <w:start w:val="1"/>
      <w:numFmt w:val="bullet"/>
      <w:lvlText w:val=""/>
      <w:lvlJc w:val="left"/>
      <w:pPr>
        <w:ind w:left="2880" w:hanging="360"/>
      </w:pPr>
      <w:rPr>
        <w:rFonts w:ascii="Symbol" w:hAnsi="Symbol" w:hint="default"/>
      </w:rPr>
    </w:lvl>
    <w:lvl w:ilvl="4" w:tplc="8A0E9BD2">
      <w:start w:val="1"/>
      <w:numFmt w:val="bullet"/>
      <w:lvlText w:val="o"/>
      <w:lvlJc w:val="left"/>
      <w:pPr>
        <w:ind w:left="3600" w:hanging="360"/>
      </w:pPr>
      <w:rPr>
        <w:rFonts w:ascii="Courier New" w:hAnsi="Courier New" w:hint="default"/>
      </w:rPr>
    </w:lvl>
    <w:lvl w:ilvl="5" w:tplc="59D49EE6">
      <w:start w:val="1"/>
      <w:numFmt w:val="bullet"/>
      <w:lvlText w:val=""/>
      <w:lvlJc w:val="left"/>
      <w:pPr>
        <w:ind w:left="4320" w:hanging="360"/>
      </w:pPr>
      <w:rPr>
        <w:rFonts w:ascii="Wingdings" w:hAnsi="Wingdings" w:hint="default"/>
      </w:rPr>
    </w:lvl>
    <w:lvl w:ilvl="6" w:tplc="4C5A6D88">
      <w:start w:val="1"/>
      <w:numFmt w:val="bullet"/>
      <w:lvlText w:val=""/>
      <w:lvlJc w:val="left"/>
      <w:pPr>
        <w:ind w:left="5040" w:hanging="360"/>
      </w:pPr>
      <w:rPr>
        <w:rFonts w:ascii="Symbol" w:hAnsi="Symbol" w:hint="default"/>
      </w:rPr>
    </w:lvl>
    <w:lvl w:ilvl="7" w:tplc="7D1AB098">
      <w:start w:val="1"/>
      <w:numFmt w:val="bullet"/>
      <w:lvlText w:val="o"/>
      <w:lvlJc w:val="left"/>
      <w:pPr>
        <w:ind w:left="5760" w:hanging="360"/>
      </w:pPr>
      <w:rPr>
        <w:rFonts w:ascii="Courier New" w:hAnsi="Courier New" w:hint="default"/>
      </w:rPr>
    </w:lvl>
    <w:lvl w:ilvl="8" w:tplc="54081E28">
      <w:start w:val="1"/>
      <w:numFmt w:val="bullet"/>
      <w:lvlText w:val=""/>
      <w:lvlJc w:val="left"/>
      <w:pPr>
        <w:ind w:left="6480" w:hanging="360"/>
      </w:pPr>
      <w:rPr>
        <w:rFonts w:ascii="Wingdings" w:hAnsi="Wingdings" w:hint="default"/>
      </w:rPr>
    </w:lvl>
  </w:abstractNum>
  <w:abstractNum w:abstractNumId="124" w15:restartNumberingAfterBreak="0">
    <w:nsid w:val="2C601870"/>
    <w:multiLevelType w:val="hybridMultilevel"/>
    <w:tmpl w:val="FFFFFFFF"/>
    <w:lvl w:ilvl="0" w:tplc="DFAA3484">
      <w:start w:val="8"/>
      <w:numFmt w:val="lowerRoman"/>
      <w:lvlText w:val="%1."/>
      <w:lvlJc w:val="right"/>
      <w:pPr>
        <w:ind w:left="1080" w:hanging="360"/>
      </w:pPr>
    </w:lvl>
    <w:lvl w:ilvl="1" w:tplc="116CA016">
      <w:start w:val="1"/>
      <w:numFmt w:val="lowerLetter"/>
      <w:lvlText w:val="%2."/>
      <w:lvlJc w:val="left"/>
      <w:pPr>
        <w:ind w:left="1440" w:hanging="360"/>
      </w:pPr>
    </w:lvl>
    <w:lvl w:ilvl="2" w:tplc="0930F2E0">
      <w:start w:val="1"/>
      <w:numFmt w:val="lowerRoman"/>
      <w:lvlText w:val="%3."/>
      <w:lvlJc w:val="right"/>
      <w:pPr>
        <w:ind w:left="2160" w:hanging="180"/>
      </w:pPr>
    </w:lvl>
    <w:lvl w:ilvl="3" w:tplc="14EE408C">
      <w:start w:val="1"/>
      <w:numFmt w:val="decimal"/>
      <w:lvlText w:val="%4."/>
      <w:lvlJc w:val="left"/>
      <w:pPr>
        <w:ind w:left="2880" w:hanging="360"/>
      </w:pPr>
    </w:lvl>
    <w:lvl w:ilvl="4" w:tplc="88FCC5EC">
      <w:start w:val="1"/>
      <w:numFmt w:val="lowerLetter"/>
      <w:lvlText w:val="%5."/>
      <w:lvlJc w:val="left"/>
      <w:pPr>
        <w:ind w:left="3600" w:hanging="360"/>
      </w:pPr>
    </w:lvl>
    <w:lvl w:ilvl="5" w:tplc="884C395E">
      <w:start w:val="1"/>
      <w:numFmt w:val="lowerRoman"/>
      <w:lvlText w:val="%6."/>
      <w:lvlJc w:val="right"/>
      <w:pPr>
        <w:ind w:left="4320" w:hanging="180"/>
      </w:pPr>
    </w:lvl>
    <w:lvl w:ilvl="6" w:tplc="41A6D3E4">
      <w:start w:val="1"/>
      <w:numFmt w:val="decimal"/>
      <w:lvlText w:val="%7."/>
      <w:lvlJc w:val="left"/>
      <w:pPr>
        <w:ind w:left="5040" w:hanging="360"/>
      </w:pPr>
    </w:lvl>
    <w:lvl w:ilvl="7" w:tplc="719E1A72">
      <w:start w:val="1"/>
      <w:numFmt w:val="lowerLetter"/>
      <w:lvlText w:val="%8."/>
      <w:lvlJc w:val="left"/>
      <w:pPr>
        <w:ind w:left="5760" w:hanging="360"/>
      </w:pPr>
    </w:lvl>
    <w:lvl w:ilvl="8" w:tplc="0C80F79C">
      <w:start w:val="1"/>
      <w:numFmt w:val="lowerRoman"/>
      <w:lvlText w:val="%9."/>
      <w:lvlJc w:val="right"/>
      <w:pPr>
        <w:ind w:left="6480" w:hanging="180"/>
      </w:pPr>
    </w:lvl>
  </w:abstractNum>
  <w:abstractNum w:abstractNumId="12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6" w15:restartNumberingAfterBreak="0">
    <w:nsid w:val="2CDCD814"/>
    <w:multiLevelType w:val="hybridMultilevel"/>
    <w:tmpl w:val="FFFFFFFF"/>
    <w:lvl w:ilvl="0" w:tplc="61D4678A">
      <w:start w:val="1"/>
      <w:numFmt w:val="decimal"/>
      <w:lvlText w:val="%1."/>
      <w:lvlJc w:val="left"/>
      <w:pPr>
        <w:ind w:left="720" w:hanging="360"/>
      </w:pPr>
    </w:lvl>
    <w:lvl w:ilvl="1" w:tplc="AA0E6010">
      <w:start w:val="1"/>
      <w:numFmt w:val="lowerLetter"/>
      <w:lvlText w:val="%2."/>
      <w:lvlJc w:val="left"/>
      <w:pPr>
        <w:ind w:left="1440" w:hanging="360"/>
      </w:pPr>
    </w:lvl>
    <w:lvl w:ilvl="2" w:tplc="CA00F4BA">
      <w:start w:val="1"/>
      <w:numFmt w:val="lowerRoman"/>
      <w:lvlText w:val="%3."/>
      <w:lvlJc w:val="right"/>
      <w:pPr>
        <w:ind w:left="2160" w:hanging="180"/>
      </w:pPr>
    </w:lvl>
    <w:lvl w:ilvl="3" w:tplc="4622FA04">
      <w:start w:val="1"/>
      <w:numFmt w:val="decimal"/>
      <w:lvlText w:val="%4."/>
      <w:lvlJc w:val="left"/>
      <w:pPr>
        <w:ind w:left="2880" w:hanging="360"/>
      </w:pPr>
    </w:lvl>
    <w:lvl w:ilvl="4" w:tplc="35DA69EC">
      <w:start w:val="1"/>
      <w:numFmt w:val="lowerLetter"/>
      <w:lvlText w:val="%5."/>
      <w:lvlJc w:val="left"/>
      <w:pPr>
        <w:ind w:left="3600" w:hanging="360"/>
      </w:pPr>
    </w:lvl>
    <w:lvl w:ilvl="5" w:tplc="1B585942">
      <w:start w:val="1"/>
      <w:numFmt w:val="lowerRoman"/>
      <w:lvlText w:val="%6."/>
      <w:lvlJc w:val="right"/>
      <w:pPr>
        <w:ind w:left="4320" w:hanging="180"/>
      </w:pPr>
    </w:lvl>
    <w:lvl w:ilvl="6" w:tplc="D68C4CEE">
      <w:start w:val="1"/>
      <w:numFmt w:val="decimal"/>
      <w:lvlText w:val="%7."/>
      <w:lvlJc w:val="left"/>
      <w:pPr>
        <w:ind w:left="5040" w:hanging="360"/>
      </w:pPr>
    </w:lvl>
    <w:lvl w:ilvl="7" w:tplc="B950D94C">
      <w:start w:val="1"/>
      <w:numFmt w:val="lowerLetter"/>
      <w:lvlText w:val="%8."/>
      <w:lvlJc w:val="left"/>
      <w:pPr>
        <w:ind w:left="5760" w:hanging="360"/>
      </w:pPr>
    </w:lvl>
    <w:lvl w:ilvl="8" w:tplc="F34AE9B0">
      <w:start w:val="1"/>
      <w:numFmt w:val="lowerRoman"/>
      <w:lvlText w:val="%9."/>
      <w:lvlJc w:val="right"/>
      <w:pPr>
        <w:ind w:left="6480" w:hanging="180"/>
      </w:pPr>
    </w:lvl>
  </w:abstractNum>
  <w:abstractNum w:abstractNumId="12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8" w15:restartNumberingAfterBreak="0">
    <w:nsid w:val="2D5C5A61"/>
    <w:multiLevelType w:val="hybridMultilevel"/>
    <w:tmpl w:val="57A6031A"/>
    <w:lvl w:ilvl="0" w:tplc="4E685BA8">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9" w15:restartNumberingAfterBreak="0">
    <w:nsid w:val="2D779A4B"/>
    <w:multiLevelType w:val="hybridMultilevel"/>
    <w:tmpl w:val="FFFFFFFF"/>
    <w:lvl w:ilvl="0" w:tplc="E5022A68">
      <w:start w:val="1"/>
      <w:numFmt w:val="bullet"/>
      <w:lvlText w:val=""/>
      <w:lvlJc w:val="left"/>
      <w:pPr>
        <w:ind w:left="720" w:hanging="360"/>
      </w:pPr>
      <w:rPr>
        <w:rFonts w:ascii="Symbol" w:hAnsi="Symbol" w:hint="default"/>
      </w:rPr>
    </w:lvl>
    <w:lvl w:ilvl="1" w:tplc="4572B90E">
      <w:start w:val="1"/>
      <w:numFmt w:val="bullet"/>
      <w:lvlText w:val="o"/>
      <w:lvlJc w:val="left"/>
      <w:pPr>
        <w:ind w:left="1440" w:hanging="360"/>
      </w:pPr>
      <w:rPr>
        <w:rFonts w:ascii="Courier New" w:hAnsi="Courier New" w:hint="default"/>
      </w:rPr>
    </w:lvl>
    <w:lvl w:ilvl="2" w:tplc="BDE8F200">
      <w:start w:val="1"/>
      <w:numFmt w:val="bullet"/>
      <w:lvlText w:val=""/>
      <w:lvlJc w:val="left"/>
      <w:pPr>
        <w:ind w:left="2160" w:hanging="360"/>
      </w:pPr>
      <w:rPr>
        <w:rFonts w:ascii="Wingdings" w:hAnsi="Wingdings" w:hint="default"/>
      </w:rPr>
    </w:lvl>
    <w:lvl w:ilvl="3" w:tplc="8EA2777C">
      <w:start w:val="1"/>
      <w:numFmt w:val="bullet"/>
      <w:lvlText w:val=""/>
      <w:lvlJc w:val="left"/>
      <w:pPr>
        <w:ind w:left="2880" w:hanging="360"/>
      </w:pPr>
      <w:rPr>
        <w:rFonts w:ascii="Symbol" w:hAnsi="Symbol" w:hint="default"/>
      </w:rPr>
    </w:lvl>
    <w:lvl w:ilvl="4" w:tplc="508EA71A">
      <w:start w:val="1"/>
      <w:numFmt w:val="bullet"/>
      <w:lvlText w:val="o"/>
      <w:lvlJc w:val="left"/>
      <w:pPr>
        <w:ind w:left="3600" w:hanging="360"/>
      </w:pPr>
      <w:rPr>
        <w:rFonts w:ascii="Courier New" w:hAnsi="Courier New" w:hint="default"/>
      </w:rPr>
    </w:lvl>
    <w:lvl w:ilvl="5" w:tplc="02E6A848">
      <w:start w:val="1"/>
      <w:numFmt w:val="bullet"/>
      <w:lvlText w:val=""/>
      <w:lvlJc w:val="left"/>
      <w:pPr>
        <w:ind w:left="4320" w:hanging="360"/>
      </w:pPr>
      <w:rPr>
        <w:rFonts w:ascii="Wingdings" w:hAnsi="Wingdings" w:hint="default"/>
      </w:rPr>
    </w:lvl>
    <w:lvl w:ilvl="6" w:tplc="3F82DC2E">
      <w:start w:val="1"/>
      <w:numFmt w:val="bullet"/>
      <w:lvlText w:val=""/>
      <w:lvlJc w:val="left"/>
      <w:pPr>
        <w:ind w:left="5040" w:hanging="360"/>
      </w:pPr>
      <w:rPr>
        <w:rFonts w:ascii="Symbol" w:hAnsi="Symbol" w:hint="default"/>
      </w:rPr>
    </w:lvl>
    <w:lvl w:ilvl="7" w:tplc="74509432">
      <w:start w:val="1"/>
      <w:numFmt w:val="bullet"/>
      <w:lvlText w:val="o"/>
      <w:lvlJc w:val="left"/>
      <w:pPr>
        <w:ind w:left="5760" w:hanging="360"/>
      </w:pPr>
      <w:rPr>
        <w:rFonts w:ascii="Courier New" w:hAnsi="Courier New" w:hint="default"/>
      </w:rPr>
    </w:lvl>
    <w:lvl w:ilvl="8" w:tplc="E6B89C32">
      <w:start w:val="1"/>
      <w:numFmt w:val="bullet"/>
      <w:lvlText w:val=""/>
      <w:lvlJc w:val="left"/>
      <w:pPr>
        <w:ind w:left="6480" w:hanging="360"/>
      </w:pPr>
      <w:rPr>
        <w:rFonts w:ascii="Wingdings" w:hAnsi="Wingdings" w:hint="default"/>
      </w:rPr>
    </w:lvl>
  </w:abstractNum>
  <w:abstractNum w:abstractNumId="130" w15:restartNumberingAfterBreak="0">
    <w:nsid w:val="2E96D848"/>
    <w:multiLevelType w:val="hybridMultilevel"/>
    <w:tmpl w:val="FFFFFFFF"/>
    <w:lvl w:ilvl="0" w:tplc="8D269702">
      <w:start w:val="1"/>
      <w:numFmt w:val="lowerLetter"/>
      <w:lvlText w:val="%1."/>
      <w:lvlJc w:val="left"/>
      <w:pPr>
        <w:ind w:left="720" w:hanging="360"/>
      </w:pPr>
    </w:lvl>
    <w:lvl w:ilvl="1" w:tplc="ACBC587E">
      <w:start w:val="1"/>
      <w:numFmt w:val="lowerLetter"/>
      <w:lvlText w:val="%2."/>
      <w:lvlJc w:val="left"/>
      <w:pPr>
        <w:ind w:left="1440" w:hanging="360"/>
      </w:pPr>
    </w:lvl>
    <w:lvl w:ilvl="2" w:tplc="61768584">
      <w:start w:val="1"/>
      <w:numFmt w:val="lowerRoman"/>
      <w:lvlText w:val="%3."/>
      <w:lvlJc w:val="right"/>
      <w:pPr>
        <w:ind w:left="2160" w:hanging="180"/>
      </w:pPr>
    </w:lvl>
    <w:lvl w:ilvl="3" w:tplc="B31EFD8C">
      <w:start w:val="1"/>
      <w:numFmt w:val="decimal"/>
      <w:lvlText w:val="%4."/>
      <w:lvlJc w:val="left"/>
      <w:pPr>
        <w:ind w:left="2880" w:hanging="360"/>
      </w:pPr>
    </w:lvl>
    <w:lvl w:ilvl="4" w:tplc="A7225662">
      <w:start w:val="1"/>
      <w:numFmt w:val="lowerLetter"/>
      <w:lvlText w:val="%5."/>
      <w:lvlJc w:val="left"/>
      <w:pPr>
        <w:ind w:left="3600" w:hanging="360"/>
      </w:pPr>
    </w:lvl>
    <w:lvl w:ilvl="5" w:tplc="6018FE9A">
      <w:start w:val="1"/>
      <w:numFmt w:val="lowerRoman"/>
      <w:lvlText w:val="%6."/>
      <w:lvlJc w:val="right"/>
      <w:pPr>
        <w:ind w:left="4320" w:hanging="180"/>
      </w:pPr>
    </w:lvl>
    <w:lvl w:ilvl="6" w:tplc="DCB47D3E">
      <w:start w:val="1"/>
      <w:numFmt w:val="decimal"/>
      <w:lvlText w:val="%7."/>
      <w:lvlJc w:val="left"/>
      <w:pPr>
        <w:ind w:left="5040" w:hanging="360"/>
      </w:pPr>
    </w:lvl>
    <w:lvl w:ilvl="7" w:tplc="28C0AD40">
      <w:start w:val="1"/>
      <w:numFmt w:val="lowerLetter"/>
      <w:lvlText w:val="%8."/>
      <w:lvlJc w:val="left"/>
      <w:pPr>
        <w:ind w:left="5760" w:hanging="360"/>
      </w:pPr>
    </w:lvl>
    <w:lvl w:ilvl="8" w:tplc="FDC068FE">
      <w:start w:val="1"/>
      <w:numFmt w:val="lowerRoman"/>
      <w:lvlText w:val="%9."/>
      <w:lvlJc w:val="right"/>
      <w:pPr>
        <w:ind w:left="6480" w:hanging="180"/>
      </w:pPr>
    </w:lvl>
  </w:abstractNum>
  <w:abstractNum w:abstractNumId="131" w15:restartNumberingAfterBreak="0">
    <w:nsid w:val="2ECE5390"/>
    <w:multiLevelType w:val="hybridMultilevel"/>
    <w:tmpl w:val="5272350E"/>
    <w:lvl w:ilvl="0" w:tplc="E7F67502">
      <w:start w:val="1"/>
      <w:numFmt w:val="bullet"/>
      <w:lvlText w:val=""/>
      <w:lvlJc w:val="left"/>
      <w:pPr>
        <w:ind w:left="720" w:hanging="360"/>
      </w:pPr>
      <w:rPr>
        <w:rFonts w:ascii="Symbol" w:hAnsi="Symbol" w:hint="default"/>
        <w:sz w:val="16"/>
        <w:szCs w:val="16"/>
      </w:rPr>
    </w:lvl>
    <w:lvl w:ilvl="1" w:tplc="E17CDDAA">
      <w:start w:val="1"/>
      <w:numFmt w:val="bullet"/>
      <w:lvlText w:val="o"/>
      <w:lvlJc w:val="left"/>
      <w:pPr>
        <w:ind w:left="1440" w:hanging="360"/>
      </w:pPr>
      <w:rPr>
        <w:rFonts w:ascii="Courier New" w:hAnsi="Courier New" w:hint="default"/>
      </w:rPr>
    </w:lvl>
    <w:lvl w:ilvl="2" w:tplc="49E8BC62">
      <w:start w:val="1"/>
      <w:numFmt w:val="bullet"/>
      <w:lvlText w:val=""/>
      <w:lvlJc w:val="left"/>
      <w:pPr>
        <w:ind w:left="2160" w:hanging="360"/>
      </w:pPr>
      <w:rPr>
        <w:rFonts w:ascii="Wingdings" w:hAnsi="Wingdings" w:hint="default"/>
      </w:rPr>
    </w:lvl>
    <w:lvl w:ilvl="3" w:tplc="7F9ABCC0">
      <w:start w:val="1"/>
      <w:numFmt w:val="bullet"/>
      <w:lvlText w:val=""/>
      <w:lvlJc w:val="left"/>
      <w:pPr>
        <w:ind w:left="2880" w:hanging="360"/>
      </w:pPr>
      <w:rPr>
        <w:rFonts w:ascii="Symbol" w:hAnsi="Symbol" w:hint="default"/>
      </w:rPr>
    </w:lvl>
    <w:lvl w:ilvl="4" w:tplc="AB3CB48C">
      <w:start w:val="1"/>
      <w:numFmt w:val="bullet"/>
      <w:lvlText w:val="o"/>
      <w:lvlJc w:val="left"/>
      <w:pPr>
        <w:ind w:left="3600" w:hanging="360"/>
      </w:pPr>
      <w:rPr>
        <w:rFonts w:ascii="Courier New" w:hAnsi="Courier New" w:hint="default"/>
      </w:rPr>
    </w:lvl>
    <w:lvl w:ilvl="5" w:tplc="ED8A7C2C">
      <w:start w:val="1"/>
      <w:numFmt w:val="bullet"/>
      <w:lvlText w:val=""/>
      <w:lvlJc w:val="left"/>
      <w:pPr>
        <w:ind w:left="4320" w:hanging="360"/>
      </w:pPr>
      <w:rPr>
        <w:rFonts w:ascii="Wingdings" w:hAnsi="Wingdings" w:hint="default"/>
      </w:rPr>
    </w:lvl>
    <w:lvl w:ilvl="6" w:tplc="3D9E2B5C">
      <w:start w:val="1"/>
      <w:numFmt w:val="bullet"/>
      <w:lvlText w:val=""/>
      <w:lvlJc w:val="left"/>
      <w:pPr>
        <w:ind w:left="5040" w:hanging="360"/>
      </w:pPr>
      <w:rPr>
        <w:rFonts w:ascii="Symbol" w:hAnsi="Symbol" w:hint="default"/>
      </w:rPr>
    </w:lvl>
    <w:lvl w:ilvl="7" w:tplc="B0CC366C">
      <w:start w:val="1"/>
      <w:numFmt w:val="bullet"/>
      <w:lvlText w:val="o"/>
      <w:lvlJc w:val="left"/>
      <w:pPr>
        <w:ind w:left="5760" w:hanging="360"/>
      </w:pPr>
      <w:rPr>
        <w:rFonts w:ascii="Courier New" w:hAnsi="Courier New" w:hint="default"/>
      </w:rPr>
    </w:lvl>
    <w:lvl w:ilvl="8" w:tplc="49F6BA96">
      <w:start w:val="1"/>
      <w:numFmt w:val="bullet"/>
      <w:lvlText w:val=""/>
      <w:lvlJc w:val="left"/>
      <w:pPr>
        <w:ind w:left="6480" w:hanging="360"/>
      </w:pPr>
      <w:rPr>
        <w:rFonts w:ascii="Wingdings" w:hAnsi="Wingdings" w:hint="default"/>
      </w:rPr>
    </w:lvl>
  </w:abstractNum>
  <w:abstractNum w:abstractNumId="132" w15:restartNumberingAfterBreak="0">
    <w:nsid w:val="2FEDC564"/>
    <w:multiLevelType w:val="hybridMultilevel"/>
    <w:tmpl w:val="FFFFFFFF"/>
    <w:lvl w:ilvl="0" w:tplc="5FCC7A08">
      <w:start w:val="1"/>
      <w:numFmt w:val="bullet"/>
      <w:lvlText w:val="·"/>
      <w:lvlJc w:val="left"/>
      <w:pPr>
        <w:ind w:left="720" w:hanging="360"/>
      </w:pPr>
      <w:rPr>
        <w:rFonts w:ascii="Symbol" w:hAnsi="Symbol" w:hint="default"/>
      </w:rPr>
    </w:lvl>
    <w:lvl w:ilvl="1" w:tplc="035A1440">
      <w:start w:val="1"/>
      <w:numFmt w:val="bullet"/>
      <w:lvlText w:val="o"/>
      <w:lvlJc w:val="left"/>
      <w:pPr>
        <w:ind w:left="1440" w:hanging="360"/>
      </w:pPr>
      <w:rPr>
        <w:rFonts w:ascii="Courier New" w:hAnsi="Courier New" w:hint="default"/>
      </w:rPr>
    </w:lvl>
    <w:lvl w:ilvl="2" w:tplc="22547C94">
      <w:start w:val="1"/>
      <w:numFmt w:val="bullet"/>
      <w:lvlText w:val=""/>
      <w:lvlJc w:val="left"/>
      <w:pPr>
        <w:ind w:left="2160" w:hanging="360"/>
      </w:pPr>
      <w:rPr>
        <w:rFonts w:ascii="Wingdings" w:hAnsi="Wingdings" w:hint="default"/>
      </w:rPr>
    </w:lvl>
    <w:lvl w:ilvl="3" w:tplc="B74A3C9E">
      <w:start w:val="1"/>
      <w:numFmt w:val="bullet"/>
      <w:lvlText w:val=""/>
      <w:lvlJc w:val="left"/>
      <w:pPr>
        <w:ind w:left="2880" w:hanging="360"/>
      </w:pPr>
      <w:rPr>
        <w:rFonts w:ascii="Symbol" w:hAnsi="Symbol" w:hint="default"/>
      </w:rPr>
    </w:lvl>
    <w:lvl w:ilvl="4" w:tplc="D60C45AE">
      <w:start w:val="1"/>
      <w:numFmt w:val="bullet"/>
      <w:lvlText w:val="o"/>
      <w:lvlJc w:val="left"/>
      <w:pPr>
        <w:ind w:left="3600" w:hanging="360"/>
      </w:pPr>
      <w:rPr>
        <w:rFonts w:ascii="Courier New" w:hAnsi="Courier New" w:hint="default"/>
      </w:rPr>
    </w:lvl>
    <w:lvl w:ilvl="5" w:tplc="AB404BE6">
      <w:start w:val="1"/>
      <w:numFmt w:val="bullet"/>
      <w:lvlText w:val=""/>
      <w:lvlJc w:val="left"/>
      <w:pPr>
        <w:ind w:left="4320" w:hanging="360"/>
      </w:pPr>
      <w:rPr>
        <w:rFonts w:ascii="Wingdings" w:hAnsi="Wingdings" w:hint="default"/>
      </w:rPr>
    </w:lvl>
    <w:lvl w:ilvl="6" w:tplc="45089318">
      <w:start w:val="1"/>
      <w:numFmt w:val="bullet"/>
      <w:lvlText w:val=""/>
      <w:lvlJc w:val="left"/>
      <w:pPr>
        <w:ind w:left="5040" w:hanging="360"/>
      </w:pPr>
      <w:rPr>
        <w:rFonts w:ascii="Symbol" w:hAnsi="Symbol" w:hint="default"/>
      </w:rPr>
    </w:lvl>
    <w:lvl w:ilvl="7" w:tplc="9C9236A2">
      <w:start w:val="1"/>
      <w:numFmt w:val="bullet"/>
      <w:lvlText w:val="o"/>
      <w:lvlJc w:val="left"/>
      <w:pPr>
        <w:ind w:left="5760" w:hanging="360"/>
      </w:pPr>
      <w:rPr>
        <w:rFonts w:ascii="Courier New" w:hAnsi="Courier New" w:hint="default"/>
      </w:rPr>
    </w:lvl>
    <w:lvl w:ilvl="8" w:tplc="2C2AC726">
      <w:start w:val="1"/>
      <w:numFmt w:val="bullet"/>
      <w:lvlText w:val=""/>
      <w:lvlJc w:val="left"/>
      <w:pPr>
        <w:ind w:left="6480" w:hanging="360"/>
      </w:pPr>
      <w:rPr>
        <w:rFonts w:ascii="Wingdings" w:hAnsi="Wingdings" w:hint="default"/>
      </w:rPr>
    </w:lvl>
  </w:abstractNum>
  <w:abstractNum w:abstractNumId="133" w15:restartNumberingAfterBreak="0">
    <w:nsid w:val="307919BE"/>
    <w:multiLevelType w:val="hybridMultilevel"/>
    <w:tmpl w:val="FFFFFFFF"/>
    <w:lvl w:ilvl="0" w:tplc="BA96C046">
      <w:start w:val="1"/>
      <w:numFmt w:val="bullet"/>
      <w:lvlText w:val="-"/>
      <w:lvlJc w:val="left"/>
      <w:pPr>
        <w:ind w:left="720" w:hanging="360"/>
      </w:pPr>
      <w:rPr>
        <w:rFonts w:ascii="Symbol" w:hAnsi="Symbol" w:hint="default"/>
      </w:rPr>
    </w:lvl>
    <w:lvl w:ilvl="1" w:tplc="BD6C8A26">
      <w:start w:val="1"/>
      <w:numFmt w:val="bullet"/>
      <w:lvlText w:val="o"/>
      <w:lvlJc w:val="left"/>
      <w:pPr>
        <w:ind w:left="1440" w:hanging="360"/>
      </w:pPr>
      <w:rPr>
        <w:rFonts w:ascii="Courier New" w:hAnsi="Courier New" w:hint="default"/>
      </w:rPr>
    </w:lvl>
    <w:lvl w:ilvl="2" w:tplc="42980B90">
      <w:start w:val="1"/>
      <w:numFmt w:val="bullet"/>
      <w:lvlText w:val=""/>
      <w:lvlJc w:val="left"/>
      <w:pPr>
        <w:ind w:left="2160" w:hanging="360"/>
      </w:pPr>
      <w:rPr>
        <w:rFonts w:ascii="Wingdings" w:hAnsi="Wingdings" w:hint="default"/>
      </w:rPr>
    </w:lvl>
    <w:lvl w:ilvl="3" w:tplc="ECBC6C38">
      <w:start w:val="1"/>
      <w:numFmt w:val="bullet"/>
      <w:lvlText w:val=""/>
      <w:lvlJc w:val="left"/>
      <w:pPr>
        <w:ind w:left="2880" w:hanging="360"/>
      </w:pPr>
      <w:rPr>
        <w:rFonts w:ascii="Symbol" w:hAnsi="Symbol" w:hint="default"/>
      </w:rPr>
    </w:lvl>
    <w:lvl w:ilvl="4" w:tplc="FDC03870">
      <w:start w:val="1"/>
      <w:numFmt w:val="bullet"/>
      <w:lvlText w:val="o"/>
      <w:lvlJc w:val="left"/>
      <w:pPr>
        <w:ind w:left="3600" w:hanging="360"/>
      </w:pPr>
      <w:rPr>
        <w:rFonts w:ascii="Courier New" w:hAnsi="Courier New" w:hint="default"/>
      </w:rPr>
    </w:lvl>
    <w:lvl w:ilvl="5" w:tplc="90546AE0">
      <w:start w:val="1"/>
      <w:numFmt w:val="bullet"/>
      <w:lvlText w:val=""/>
      <w:lvlJc w:val="left"/>
      <w:pPr>
        <w:ind w:left="4320" w:hanging="360"/>
      </w:pPr>
      <w:rPr>
        <w:rFonts w:ascii="Wingdings" w:hAnsi="Wingdings" w:hint="default"/>
      </w:rPr>
    </w:lvl>
    <w:lvl w:ilvl="6" w:tplc="8E46B48E">
      <w:start w:val="1"/>
      <w:numFmt w:val="bullet"/>
      <w:lvlText w:val=""/>
      <w:lvlJc w:val="left"/>
      <w:pPr>
        <w:ind w:left="5040" w:hanging="360"/>
      </w:pPr>
      <w:rPr>
        <w:rFonts w:ascii="Symbol" w:hAnsi="Symbol" w:hint="default"/>
      </w:rPr>
    </w:lvl>
    <w:lvl w:ilvl="7" w:tplc="222A31DC">
      <w:start w:val="1"/>
      <w:numFmt w:val="bullet"/>
      <w:lvlText w:val="o"/>
      <w:lvlJc w:val="left"/>
      <w:pPr>
        <w:ind w:left="5760" w:hanging="360"/>
      </w:pPr>
      <w:rPr>
        <w:rFonts w:ascii="Courier New" w:hAnsi="Courier New" w:hint="default"/>
      </w:rPr>
    </w:lvl>
    <w:lvl w:ilvl="8" w:tplc="23804A2E">
      <w:start w:val="1"/>
      <w:numFmt w:val="bullet"/>
      <w:lvlText w:val=""/>
      <w:lvlJc w:val="left"/>
      <w:pPr>
        <w:ind w:left="6480" w:hanging="360"/>
      </w:pPr>
      <w:rPr>
        <w:rFonts w:ascii="Wingdings" w:hAnsi="Wingdings" w:hint="default"/>
      </w:rPr>
    </w:lvl>
  </w:abstractNum>
  <w:abstractNum w:abstractNumId="134" w15:restartNumberingAfterBreak="0">
    <w:nsid w:val="310A79F7"/>
    <w:multiLevelType w:val="hybridMultilevel"/>
    <w:tmpl w:val="EFF2ABAA"/>
    <w:lvl w:ilvl="0" w:tplc="1F42A986">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5" w15:restartNumberingAfterBreak="0">
    <w:nsid w:val="318276F3"/>
    <w:multiLevelType w:val="hybridMultilevel"/>
    <w:tmpl w:val="FFFFFFFF"/>
    <w:lvl w:ilvl="0" w:tplc="10AE58F6">
      <w:start w:val="3"/>
      <w:numFmt w:val="lowerLetter"/>
      <w:lvlText w:val="%1."/>
      <w:lvlJc w:val="left"/>
      <w:pPr>
        <w:ind w:left="720" w:hanging="360"/>
      </w:pPr>
    </w:lvl>
    <w:lvl w:ilvl="1" w:tplc="283E57C6">
      <w:start w:val="1"/>
      <w:numFmt w:val="lowerLetter"/>
      <w:lvlText w:val="%2."/>
      <w:lvlJc w:val="left"/>
      <w:pPr>
        <w:ind w:left="1440" w:hanging="360"/>
      </w:pPr>
    </w:lvl>
    <w:lvl w:ilvl="2" w:tplc="9926E9F8">
      <w:start w:val="1"/>
      <w:numFmt w:val="lowerRoman"/>
      <w:lvlText w:val="%3."/>
      <w:lvlJc w:val="right"/>
      <w:pPr>
        <w:ind w:left="2160" w:hanging="180"/>
      </w:pPr>
    </w:lvl>
    <w:lvl w:ilvl="3" w:tplc="72B026CA">
      <w:start w:val="1"/>
      <w:numFmt w:val="decimal"/>
      <w:lvlText w:val="%4."/>
      <w:lvlJc w:val="left"/>
      <w:pPr>
        <w:ind w:left="2880" w:hanging="360"/>
      </w:pPr>
    </w:lvl>
    <w:lvl w:ilvl="4" w:tplc="8638ACEC">
      <w:start w:val="1"/>
      <w:numFmt w:val="lowerLetter"/>
      <w:lvlText w:val="%5."/>
      <w:lvlJc w:val="left"/>
      <w:pPr>
        <w:ind w:left="3600" w:hanging="360"/>
      </w:pPr>
    </w:lvl>
    <w:lvl w:ilvl="5" w:tplc="6374B23A">
      <w:start w:val="1"/>
      <w:numFmt w:val="lowerRoman"/>
      <w:lvlText w:val="%6."/>
      <w:lvlJc w:val="right"/>
      <w:pPr>
        <w:ind w:left="4320" w:hanging="180"/>
      </w:pPr>
    </w:lvl>
    <w:lvl w:ilvl="6" w:tplc="D422CD26">
      <w:start w:val="1"/>
      <w:numFmt w:val="decimal"/>
      <w:lvlText w:val="%7."/>
      <w:lvlJc w:val="left"/>
      <w:pPr>
        <w:ind w:left="5040" w:hanging="360"/>
      </w:pPr>
    </w:lvl>
    <w:lvl w:ilvl="7" w:tplc="D1D0C6D4">
      <w:start w:val="1"/>
      <w:numFmt w:val="lowerLetter"/>
      <w:lvlText w:val="%8."/>
      <w:lvlJc w:val="left"/>
      <w:pPr>
        <w:ind w:left="5760" w:hanging="360"/>
      </w:pPr>
    </w:lvl>
    <w:lvl w:ilvl="8" w:tplc="6B8EB47E">
      <w:start w:val="1"/>
      <w:numFmt w:val="lowerRoman"/>
      <w:lvlText w:val="%9."/>
      <w:lvlJc w:val="right"/>
      <w:pPr>
        <w:ind w:left="6480" w:hanging="180"/>
      </w:pPr>
    </w:lvl>
  </w:abstractNum>
  <w:abstractNum w:abstractNumId="136" w15:restartNumberingAfterBreak="0">
    <w:nsid w:val="3194EFD8"/>
    <w:multiLevelType w:val="hybridMultilevel"/>
    <w:tmpl w:val="FFFFFFFF"/>
    <w:lvl w:ilvl="0" w:tplc="90A20596">
      <w:start w:val="1"/>
      <w:numFmt w:val="lowerLetter"/>
      <w:lvlText w:val="%1)"/>
      <w:lvlJc w:val="left"/>
      <w:pPr>
        <w:ind w:left="720" w:hanging="360"/>
      </w:pPr>
    </w:lvl>
    <w:lvl w:ilvl="1" w:tplc="98F09CB8">
      <w:start w:val="1"/>
      <w:numFmt w:val="lowerLetter"/>
      <w:lvlText w:val="%2."/>
      <w:lvlJc w:val="left"/>
      <w:pPr>
        <w:ind w:left="1440" w:hanging="360"/>
      </w:pPr>
    </w:lvl>
    <w:lvl w:ilvl="2" w:tplc="EF10C6A8">
      <w:start w:val="1"/>
      <w:numFmt w:val="lowerRoman"/>
      <w:lvlText w:val="%3."/>
      <w:lvlJc w:val="right"/>
      <w:pPr>
        <w:ind w:left="2160" w:hanging="180"/>
      </w:pPr>
    </w:lvl>
    <w:lvl w:ilvl="3" w:tplc="C2C22E42">
      <w:start w:val="1"/>
      <w:numFmt w:val="decimal"/>
      <w:lvlText w:val="%4."/>
      <w:lvlJc w:val="left"/>
      <w:pPr>
        <w:ind w:left="2880" w:hanging="360"/>
      </w:pPr>
    </w:lvl>
    <w:lvl w:ilvl="4" w:tplc="0E927524">
      <w:start w:val="1"/>
      <w:numFmt w:val="lowerLetter"/>
      <w:lvlText w:val="%5."/>
      <w:lvlJc w:val="left"/>
      <w:pPr>
        <w:ind w:left="3600" w:hanging="360"/>
      </w:pPr>
    </w:lvl>
    <w:lvl w:ilvl="5" w:tplc="6966EF2C">
      <w:start w:val="1"/>
      <w:numFmt w:val="lowerRoman"/>
      <w:lvlText w:val="%6."/>
      <w:lvlJc w:val="right"/>
      <w:pPr>
        <w:ind w:left="4320" w:hanging="180"/>
      </w:pPr>
    </w:lvl>
    <w:lvl w:ilvl="6" w:tplc="FC304E2C">
      <w:start w:val="1"/>
      <w:numFmt w:val="decimal"/>
      <w:lvlText w:val="%7."/>
      <w:lvlJc w:val="left"/>
      <w:pPr>
        <w:ind w:left="5040" w:hanging="360"/>
      </w:pPr>
    </w:lvl>
    <w:lvl w:ilvl="7" w:tplc="49E66B7C">
      <w:start w:val="1"/>
      <w:numFmt w:val="lowerLetter"/>
      <w:lvlText w:val="%8."/>
      <w:lvlJc w:val="left"/>
      <w:pPr>
        <w:ind w:left="5760" w:hanging="360"/>
      </w:pPr>
    </w:lvl>
    <w:lvl w:ilvl="8" w:tplc="0B5AF7B2">
      <w:start w:val="1"/>
      <w:numFmt w:val="lowerRoman"/>
      <w:lvlText w:val="%9."/>
      <w:lvlJc w:val="right"/>
      <w:pPr>
        <w:ind w:left="6480" w:hanging="180"/>
      </w:pPr>
    </w:lvl>
  </w:abstractNum>
  <w:abstractNum w:abstractNumId="137" w15:restartNumberingAfterBreak="0">
    <w:nsid w:val="31DE9C9A"/>
    <w:multiLevelType w:val="hybridMultilevel"/>
    <w:tmpl w:val="B94E86AE"/>
    <w:lvl w:ilvl="0" w:tplc="3F46DA22">
      <w:start w:val="1"/>
      <w:numFmt w:val="decimal"/>
      <w:lvlText w:val="%1."/>
      <w:lvlJc w:val="left"/>
      <w:pPr>
        <w:ind w:left="720" w:hanging="360"/>
      </w:pPr>
    </w:lvl>
    <w:lvl w:ilvl="1" w:tplc="02D01D0A">
      <w:start w:val="1"/>
      <w:numFmt w:val="lowerLetter"/>
      <w:lvlText w:val="%2."/>
      <w:lvlJc w:val="left"/>
      <w:pPr>
        <w:ind w:left="1440" w:hanging="360"/>
      </w:pPr>
    </w:lvl>
    <w:lvl w:ilvl="2" w:tplc="48460B54">
      <w:start w:val="1"/>
      <w:numFmt w:val="lowerRoman"/>
      <w:lvlText w:val="%3."/>
      <w:lvlJc w:val="right"/>
      <w:pPr>
        <w:ind w:left="2160" w:hanging="180"/>
      </w:pPr>
    </w:lvl>
    <w:lvl w:ilvl="3" w:tplc="067AE308">
      <w:start w:val="1"/>
      <w:numFmt w:val="decimal"/>
      <w:lvlText w:val="%4."/>
      <w:lvlJc w:val="left"/>
      <w:pPr>
        <w:ind w:left="2880" w:hanging="360"/>
      </w:pPr>
    </w:lvl>
    <w:lvl w:ilvl="4" w:tplc="3A00A3AA">
      <w:start w:val="1"/>
      <w:numFmt w:val="lowerLetter"/>
      <w:lvlText w:val="%5."/>
      <w:lvlJc w:val="left"/>
      <w:pPr>
        <w:ind w:left="3600" w:hanging="360"/>
      </w:pPr>
    </w:lvl>
    <w:lvl w:ilvl="5" w:tplc="60E6C388">
      <w:start w:val="1"/>
      <w:numFmt w:val="lowerRoman"/>
      <w:lvlText w:val="%6."/>
      <w:lvlJc w:val="right"/>
      <w:pPr>
        <w:ind w:left="4320" w:hanging="180"/>
      </w:pPr>
    </w:lvl>
    <w:lvl w:ilvl="6" w:tplc="F4FC070E">
      <w:start w:val="1"/>
      <w:numFmt w:val="decimal"/>
      <w:lvlText w:val="%7."/>
      <w:lvlJc w:val="left"/>
      <w:pPr>
        <w:ind w:left="5040" w:hanging="360"/>
      </w:pPr>
    </w:lvl>
    <w:lvl w:ilvl="7" w:tplc="0518C7A4">
      <w:start w:val="1"/>
      <w:numFmt w:val="lowerLetter"/>
      <w:lvlText w:val="%8."/>
      <w:lvlJc w:val="left"/>
      <w:pPr>
        <w:ind w:left="5760" w:hanging="360"/>
      </w:pPr>
    </w:lvl>
    <w:lvl w:ilvl="8" w:tplc="654A265E">
      <w:start w:val="1"/>
      <w:numFmt w:val="lowerRoman"/>
      <w:lvlText w:val="%9."/>
      <w:lvlJc w:val="right"/>
      <w:pPr>
        <w:ind w:left="6480" w:hanging="180"/>
      </w:pPr>
    </w:lvl>
  </w:abstractNum>
  <w:abstractNum w:abstractNumId="138" w15:restartNumberingAfterBreak="0">
    <w:nsid w:val="31F531EA"/>
    <w:multiLevelType w:val="hybridMultilevel"/>
    <w:tmpl w:val="46E40F34"/>
    <w:lvl w:ilvl="0" w:tplc="95427C5C">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9" w15:restartNumberingAfterBreak="0">
    <w:nsid w:val="32364E78"/>
    <w:multiLevelType w:val="hybridMultilevel"/>
    <w:tmpl w:val="FFFFFFFF"/>
    <w:lvl w:ilvl="0" w:tplc="5CCA2748">
      <w:start w:val="1"/>
      <w:numFmt w:val="decimal"/>
      <w:lvlText w:val="%1."/>
      <w:lvlJc w:val="left"/>
      <w:pPr>
        <w:ind w:left="720" w:hanging="360"/>
      </w:pPr>
    </w:lvl>
    <w:lvl w:ilvl="1" w:tplc="5352DF2E">
      <w:start w:val="7"/>
      <w:numFmt w:val="lowerRoman"/>
      <w:lvlText w:val="%2."/>
      <w:lvlJc w:val="right"/>
      <w:pPr>
        <w:ind w:left="1080" w:hanging="360"/>
      </w:pPr>
    </w:lvl>
    <w:lvl w:ilvl="2" w:tplc="9610825C">
      <w:start w:val="1"/>
      <w:numFmt w:val="lowerRoman"/>
      <w:lvlText w:val="%3."/>
      <w:lvlJc w:val="right"/>
      <w:pPr>
        <w:ind w:left="2160" w:hanging="180"/>
      </w:pPr>
    </w:lvl>
    <w:lvl w:ilvl="3" w:tplc="68F61244">
      <w:start w:val="1"/>
      <w:numFmt w:val="decimal"/>
      <w:lvlText w:val="%4."/>
      <w:lvlJc w:val="left"/>
      <w:pPr>
        <w:ind w:left="2880" w:hanging="360"/>
      </w:pPr>
    </w:lvl>
    <w:lvl w:ilvl="4" w:tplc="2B3ACC8C">
      <w:start w:val="1"/>
      <w:numFmt w:val="lowerLetter"/>
      <w:lvlText w:val="%5."/>
      <w:lvlJc w:val="left"/>
      <w:pPr>
        <w:ind w:left="3600" w:hanging="360"/>
      </w:pPr>
    </w:lvl>
    <w:lvl w:ilvl="5" w:tplc="B94294F2">
      <w:start w:val="1"/>
      <w:numFmt w:val="lowerRoman"/>
      <w:lvlText w:val="%6."/>
      <w:lvlJc w:val="right"/>
      <w:pPr>
        <w:ind w:left="4320" w:hanging="180"/>
      </w:pPr>
    </w:lvl>
    <w:lvl w:ilvl="6" w:tplc="AAE0C9C0">
      <w:start w:val="1"/>
      <w:numFmt w:val="decimal"/>
      <w:lvlText w:val="%7."/>
      <w:lvlJc w:val="left"/>
      <w:pPr>
        <w:ind w:left="5040" w:hanging="360"/>
      </w:pPr>
    </w:lvl>
    <w:lvl w:ilvl="7" w:tplc="4F586C32">
      <w:start w:val="1"/>
      <w:numFmt w:val="lowerLetter"/>
      <w:lvlText w:val="%8."/>
      <w:lvlJc w:val="left"/>
      <w:pPr>
        <w:ind w:left="5760" w:hanging="360"/>
      </w:pPr>
    </w:lvl>
    <w:lvl w:ilvl="8" w:tplc="5374E8C4">
      <w:start w:val="1"/>
      <w:numFmt w:val="lowerRoman"/>
      <w:lvlText w:val="%9."/>
      <w:lvlJc w:val="right"/>
      <w:pPr>
        <w:ind w:left="6480" w:hanging="180"/>
      </w:pPr>
    </w:lvl>
  </w:abstractNum>
  <w:abstractNum w:abstractNumId="140" w15:restartNumberingAfterBreak="0">
    <w:nsid w:val="32905771"/>
    <w:multiLevelType w:val="hybridMultilevel"/>
    <w:tmpl w:val="FFFFFFFF"/>
    <w:lvl w:ilvl="0" w:tplc="802470DC">
      <w:start w:val="1"/>
      <w:numFmt w:val="bullet"/>
      <w:lvlText w:val=""/>
      <w:lvlJc w:val="left"/>
      <w:pPr>
        <w:ind w:left="720" w:hanging="360"/>
      </w:pPr>
      <w:rPr>
        <w:rFonts w:ascii="Symbol" w:hAnsi="Symbol" w:hint="default"/>
      </w:rPr>
    </w:lvl>
    <w:lvl w:ilvl="1" w:tplc="3912F008">
      <w:start w:val="1"/>
      <w:numFmt w:val="bullet"/>
      <w:lvlText w:val="o"/>
      <w:lvlJc w:val="left"/>
      <w:pPr>
        <w:ind w:left="1440" w:hanging="360"/>
      </w:pPr>
      <w:rPr>
        <w:rFonts w:ascii="&quot;Courier New&quot;" w:hAnsi="&quot;Courier New&quot;" w:hint="default"/>
      </w:rPr>
    </w:lvl>
    <w:lvl w:ilvl="2" w:tplc="F0129022">
      <w:start w:val="1"/>
      <w:numFmt w:val="bullet"/>
      <w:lvlText w:val=""/>
      <w:lvlJc w:val="left"/>
      <w:pPr>
        <w:ind w:left="2160" w:hanging="360"/>
      </w:pPr>
      <w:rPr>
        <w:rFonts w:ascii="Wingdings" w:hAnsi="Wingdings" w:hint="default"/>
      </w:rPr>
    </w:lvl>
    <w:lvl w:ilvl="3" w:tplc="02CC95F6">
      <w:start w:val="1"/>
      <w:numFmt w:val="bullet"/>
      <w:lvlText w:val=""/>
      <w:lvlJc w:val="left"/>
      <w:pPr>
        <w:ind w:left="2880" w:hanging="360"/>
      </w:pPr>
      <w:rPr>
        <w:rFonts w:ascii="Symbol" w:hAnsi="Symbol" w:hint="default"/>
      </w:rPr>
    </w:lvl>
    <w:lvl w:ilvl="4" w:tplc="80023A3E">
      <w:start w:val="1"/>
      <w:numFmt w:val="bullet"/>
      <w:lvlText w:val="o"/>
      <w:lvlJc w:val="left"/>
      <w:pPr>
        <w:ind w:left="3600" w:hanging="360"/>
      </w:pPr>
      <w:rPr>
        <w:rFonts w:ascii="Courier New" w:hAnsi="Courier New" w:hint="default"/>
      </w:rPr>
    </w:lvl>
    <w:lvl w:ilvl="5" w:tplc="E048B706">
      <w:start w:val="1"/>
      <w:numFmt w:val="bullet"/>
      <w:lvlText w:val=""/>
      <w:lvlJc w:val="left"/>
      <w:pPr>
        <w:ind w:left="4320" w:hanging="360"/>
      </w:pPr>
      <w:rPr>
        <w:rFonts w:ascii="Wingdings" w:hAnsi="Wingdings" w:hint="default"/>
      </w:rPr>
    </w:lvl>
    <w:lvl w:ilvl="6" w:tplc="154A0AB8">
      <w:start w:val="1"/>
      <w:numFmt w:val="bullet"/>
      <w:lvlText w:val=""/>
      <w:lvlJc w:val="left"/>
      <w:pPr>
        <w:ind w:left="5040" w:hanging="360"/>
      </w:pPr>
      <w:rPr>
        <w:rFonts w:ascii="Symbol" w:hAnsi="Symbol" w:hint="default"/>
      </w:rPr>
    </w:lvl>
    <w:lvl w:ilvl="7" w:tplc="88B4FFA2">
      <w:start w:val="1"/>
      <w:numFmt w:val="bullet"/>
      <w:lvlText w:val="o"/>
      <w:lvlJc w:val="left"/>
      <w:pPr>
        <w:ind w:left="5760" w:hanging="360"/>
      </w:pPr>
      <w:rPr>
        <w:rFonts w:ascii="Courier New" w:hAnsi="Courier New" w:hint="default"/>
      </w:rPr>
    </w:lvl>
    <w:lvl w:ilvl="8" w:tplc="A2AAFF36">
      <w:start w:val="1"/>
      <w:numFmt w:val="bullet"/>
      <w:lvlText w:val=""/>
      <w:lvlJc w:val="left"/>
      <w:pPr>
        <w:ind w:left="6480" w:hanging="360"/>
      </w:pPr>
      <w:rPr>
        <w:rFonts w:ascii="Wingdings" w:hAnsi="Wingdings" w:hint="default"/>
      </w:rPr>
    </w:lvl>
  </w:abstractNum>
  <w:abstractNum w:abstractNumId="141" w15:restartNumberingAfterBreak="0">
    <w:nsid w:val="32BF1771"/>
    <w:multiLevelType w:val="hybridMultilevel"/>
    <w:tmpl w:val="40800248"/>
    <w:lvl w:ilvl="0" w:tplc="043A7158">
      <w:start w:val="2"/>
      <w:numFmt w:val="decimal"/>
      <w:lvlText w:val="%1."/>
      <w:lvlJc w:val="left"/>
      <w:pPr>
        <w:ind w:left="720" w:hanging="360"/>
      </w:pPr>
    </w:lvl>
    <w:lvl w:ilvl="1" w:tplc="ADC877F0">
      <w:start w:val="1"/>
      <w:numFmt w:val="lowerLetter"/>
      <w:lvlText w:val="%2."/>
      <w:lvlJc w:val="left"/>
      <w:pPr>
        <w:ind w:left="1440" w:hanging="360"/>
      </w:pPr>
    </w:lvl>
    <w:lvl w:ilvl="2" w:tplc="94F4E436">
      <w:start w:val="1"/>
      <w:numFmt w:val="lowerRoman"/>
      <w:lvlText w:val="%3."/>
      <w:lvlJc w:val="right"/>
      <w:pPr>
        <w:ind w:left="2160" w:hanging="180"/>
      </w:pPr>
    </w:lvl>
    <w:lvl w:ilvl="3" w:tplc="8820BD04">
      <w:start w:val="1"/>
      <w:numFmt w:val="decimal"/>
      <w:lvlText w:val="%4."/>
      <w:lvlJc w:val="left"/>
      <w:pPr>
        <w:ind w:left="2880" w:hanging="360"/>
      </w:pPr>
    </w:lvl>
    <w:lvl w:ilvl="4" w:tplc="E36685DC">
      <w:start w:val="1"/>
      <w:numFmt w:val="lowerLetter"/>
      <w:lvlText w:val="%5."/>
      <w:lvlJc w:val="left"/>
      <w:pPr>
        <w:ind w:left="3600" w:hanging="360"/>
      </w:pPr>
    </w:lvl>
    <w:lvl w:ilvl="5" w:tplc="BBDEDF9E">
      <w:start w:val="1"/>
      <w:numFmt w:val="lowerRoman"/>
      <w:lvlText w:val="%6."/>
      <w:lvlJc w:val="right"/>
      <w:pPr>
        <w:ind w:left="4320" w:hanging="180"/>
      </w:pPr>
    </w:lvl>
    <w:lvl w:ilvl="6" w:tplc="65D4FB4C">
      <w:start w:val="1"/>
      <w:numFmt w:val="decimal"/>
      <w:lvlText w:val="%7."/>
      <w:lvlJc w:val="left"/>
      <w:pPr>
        <w:ind w:left="5040" w:hanging="360"/>
      </w:pPr>
    </w:lvl>
    <w:lvl w:ilvl="7" w:tplc="1A0CB368">
      <w:start w:val="1"/>
      <w:numFmt w:val="lowerLetter"/>
      <w:lvlText w:val="%8."/>
      <w:lvlJc w:val="left"/>
      <w:pPr>
        <w:ind w:left="5760" w:hanging="360"/>
      </w:pPr>
    </w:lvl>
    <w:lvl w:ilvl="8" w:tplc="44D07228">
      <w:start w:val="1"/>
      <w:numFmt w:val="lowerRoman"/>
      <w:lvlText w:val="%9."/>
      <w:lvlJc w:val="right"/>
      <w:pPr>
        <w:ind w:left="6480" w:hanging="180"/>
      </w:pPr>
    </w:lvl>
  </w:abstractNum>
  <w:abstractNum w:abstractNumId="142" w15:restartNumberingAfterBreak="0">
    <w:nsid w:val="32CCE208"/>
    <w:multiLevelType w:val="hybridMultilevel"/>
    <w:tmpl w:val="FFFFFFFF"/>
    <w:lvl w:ilvl="0" w:tplc="CB48FF56">
      <w:start w:val="1"/>
      <w:numFmt w:val="lowerLetter"/>
      <w:lvlText w:val="%1."/>
      <w:lvlJc w:val="left"/>
      <w:pPr>
        <w:ind w:left="720" w:hanging="360"/>
      </w:pPr>
    </w:lvl>
    <w:lvl w:ilvl="1" w:tplc="2FFC34C2">
      <w:start w:val="1"/>
      <w:numFmt w:val="lowerLetter"/>
      <w:lvlText w:val="%2."/>
      <w:lvlJc w:val="left"/>
      <w:pPr>
        <w:ind w:left="1440" w:hanging="360"/>
      </w:pPr>
    </w:lvl>
    <w:lvl w:ilvl="2" w:tplc="6846B5D4">
      <w:start w:val="1"/>
      <w:numFmt w:val="lowerRoman"/>
      <w:lvlText w:val="%3."/>
      <w:lvlJc w:val="right"/>
      <w:pPr>
        <w:ind w:left="2160" w:hanging="180"/>
      </w:pPr>
    </w:lvl>
    <w:lvl w:ilvl="3" w:tplc="23640916">
      <w:start w:val="1"/>
      <w:numFmt w:val="decimal"/>
      <w:lvlText w:val="%4."/>
      <w:lvlJc w:val="left"/>
      <w:pPr>
        <w:ind w:left="2880" w:hanging="360"/>
      </w:pPr>
    </w:lvl>
    <w:lvl w:ilvl="4" w:tplc="CE46D3CE">
      <w:start w:val="1"/>
      <w:numFmt w:val="lowerLetter"/>
      <w:lvlText w:val="%5."/>
      <w:lvlJc w:val="left"/>
      <w:pPr>
        <w:ind w:left="3600" w:hanging="360"/>
      </w:pPr>
    </w:lvl>
    <w:lvl w:ilvl="5" w:tplc="38C674E0">
      <w:start w:val="1"/>
      <w:numFmt w:val="lowerRoman"/>
      <w:lvlText w:val="%6."/>
      <w:lvlJc w:val="right"/>
      <w:pPr>
        <w:ind w:left="4320" w:hanging="180"/>
      </w:pPr>
    </w:lvl>
    <w:lvl w:ilvl="6" w:tplc="4A367F1E">
      <w:start w:val="1"/>
      <w:numFmt w:val="decimal"/>
      <w:lvlText w:val="%7."/>
      <w:lvlJc w:val="left"/>
      <w:pPr>
        <w:ind w:left="5040" w:hanging="360"/>
      </w:pPr>
    </w:lvl>
    <w:lvl w:ilvl="7" w:tplc="1408D136">
      <w:start w:val="1"/>
      <w:numFmt w:val="lowerLetter"/>
      <w:lvlText w:val="%8."/>
      <w:lvlJc w:val="left"/>
      <w:pPr>
        <w:ind w:left="5760" w:hanging="360"/>
      </w:pPr>
    </w:lvl>
    <w:lvl w:ilvl="8" w:tplc="A43AD94C">
      <w:start w:val="1"/>
      <w:numFmt w:val="lowerRoman"/>
      <w:lvlText w:val="%9."/>
      <w:lvlJc w:val="right"/>
      <w:pPr>
        <w:ind w:left="6480" w:hanging="180"/>
      </w:pPr>
    </w:lvl>
  </w:abstractNum>
  <w:abstractNum w:abstractNumId="143" w15:restartNumberingAfterBreak="0">
    <w:nsid w:val="32F7DD53"/>
    <w:multiLevelType w:val="hybridMultilevel"/>
    <w:tmpl w:val="FFFFFFFF"/>
    <w:lvl w:ilvl="0" w:tplc="FEE66778">
      <w:start w:val="1"/>
      <w:numFmt w:val="bullet"/>
      <w:lvlText w:val=""/>
      <w:lvlJc w:val="left"/>
      <w:pPr>
        <w:ind w:left="720" w:hanging="360"/>
      </w:pPr>
      <w:rPr>
        <w:rFonts w:ascii="Symbol" w:hAnsi="Symbol" w:hint="default"/>
      </w:rPr>
    </w:lvl>
    <w:lvl w:ilvl="1" w:tplc="E66A0A5A">
      <w:start w:val="1"/>
      <w:numFmt w:val="bullet"/>
      <w:lvlText w:val="o"/>
      <w:lvlJc w:val="left"/>
      <w:pPr>
        <w:ind w:left="1440" w:hanging="360"/>
      </w:pPr>
      <w:rPr>
        <w:rFonts w:ascii="Courier New" w:hAnsi="Courier New" w:hint="default"/>
      </w:rPr>
    </w:lvl>
    <w:lvl w:ilvl="2" w:tplc="98184F1C">
      <w:start w:val="1"/>
      <w:numFmt w:val="bullet"/>
      <w:lvlText w:val=""/>
      <w:lvlJc w:val="left"/>
      <w:pPr>
        <w:ind w:left="2160" w:hanging="360"/>
      </w:pPr>
      <w:rPr>
        <w:rFonts w:ascii="Wingdings" w:hAnsi="Wingdings" w:hint="default"/>
      </w:rPr>
    </w:lvl>
    <w:lvl w:ilvl="3" w:tplc="55CE3246">
      <w:start w:val="1"/>
      <w:numFmt w:val="bullet"/>
      <w:lvlText w:val=""/>
      <w:lvlJc w:val="left"/>
      <w:pPr>
        <w:ind w:left="2880" w:hanging="360"/>
      </w:pPr>
      <w:rPr>
        <w:rFonts w:ascii="Symbol" w:hAnsi="Symbol" w:hint="default"/>
      </w:rPr>
    </w:lvl>
    <w:lvl w:ilvl="4" w:tplc="F8461A1E">
      <w:start w:val="1"/>
      <w:numFmt w:val="bullet"/>
      <w:lvlText w:val="o"/>
      <w:lvlJc w:val="left"/>
      <w:pPr>
        <w:ind w:left="3600" w:hanging="360"/>
      </w:pPr>
      <w:rPr>
        <w:rFonts w:ascii="Courier New" w:hAnsi="Courier New" w:hint="default"/>
      </w:rPr>
    </w:lvl>
    <w:lvl w:ilvl="5" w:tplc="61882B90">
      <w:start w:val="1"/>
      <w:numFmt w:val="bullet"/>
      <w:lvlText w:val=""/>
      <w:lvlJc w:val="left"/>
      <w:pPr>
        <w:ind w:left="4320" w:hanging="360"/>
      </w:pPr>
      <w:rPr>
        <w:rFonts w:ascii="Wingdings" w:hAnsi="Wingdings" w:hint="default"/>
      </w:rPr>
    </w:lvl>
    <w:lvl w:ilvl="6" w:tplc="B5F04E3A">
      <w:start w:val="1"/>
      <w:numFmt w:val="bullet"/>
      <w:lvlText w:val=""/>
      <w:lvlJc w:val="left"/>
      <w:pPr>
        <w:ind w:left="5040" w:hanging="360"/>
      </w:pPr>
      <w:rPr>
        <w:rFonts w:ascii="Symbol" w:hAnsi="Symbol" w:hint="default"/>
      </w:rPr>
    </w:lvl>
    <w:lvl w:ilvl="7" w:tplc="69B4B56C">
      <w:start w:val="1"/>
      <w:numFmt w:val="bullet"/>
      <w:lvlText w:val="o"/>
      <w:lvlJc w:val="left"/>
      <w:pPr>
        <w:ind w:left="5760" w:hanging="360"/>
      </w:pPr>
      <w:rPr>
        <w:rFonts w:ascii="Courier New" w:hAnsi="Courier New" w:hint="default"/>
      </w:rPr>
    </w:lvl>
    <w:lvl w:ilvl="8" w:tplc="86EC7306">
      <w:start w:val="1"/>
      <w:numFmt w:val="bullet"/>
      <w:lvlText w:val=""/>
      <w:lvlJc w:val="left"/>
      <w:pPr>
        <w:ind w:left="6480" w:hanging="360"/>
      </w:pPr>
      <w:rPr>
        <w:rFonts w:ascii="Wingdings" w:hAnsi="Wingdings" w:hint="default"/>
      </w:rPr>
    </w:lvl>
  </w:abstractNum>
  <w:abstractNum w:abstractNumId="144" w15:restartNumberingAfterBreak="0">
    <w:nsid w:val="330F0E9A"/>
    <w:multiLevelType w:val="hybridMultilevel"/>
    <w:tmpl w:val="0A12C168"/>
    <w:lvl w:ilvl="0" w:tplc="FFFFFFFF">
      <w:start w:val="1"/>
      <w:numFmt w:val="bullet"/>
      <w:lvlText w:val=""/>
      <w:lvlJc w:val="left"/>
      <w:pPr>
        <w:ind w:left="720" w:hanging="360"/>
      </w:pPr>
      <w:rPr>
        <w:rFonts w:ascii="Symbol" w:hAnsi="Symbol" w:hint="default"/>
        <w:b/>
        <w:bCs/>
      </w:rPr>
    </w:lvl>
    <w:lvl w:ilvl="1" w:tplc="49B66352">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5" w15:restartNumberingAfterBreak="0">
    <w:nsid w:val="333D0D78"/>
    <w:multiLevelType w:val="hybridMultilevel"/>
    <w:tmpl w:val="BDEA41FA"/>
    <w:lvl w:ilvl="0" w:tplc="749E635C">
      <w:start w:val="1"/>
      <w:numFmt w:val="bullet"/>
      <w:lvlText w:val="-"/>
      <w:lvlJc w:val="left"/>
      <w:pPr>
        <w:ind w:left="720" w:hanging="360"/>
      </w:pPr>
      <w:rPr>
        <w:rFonts w:ascii="Calibri" w:hAnsi="Calibri" w:hint="default"/>
      </w:rPr>
    </w:lvl>
    <w:lvl w:ilvl="1" w:tplc="38440264">
      <w:start w:val="1"/>
      <w:numFmt w:val="bullet"/>
      <w:lvlText w:val="o"/>
      <w:lvlJc w:val="left"/>
      <w:pPr>
        <w:ind w:left="1440" w:hanging="360"/>
      </w:pPr>
      <w:rPr>
        <w:rFonts w:ascii="Courier New" w:hAnsi="Courier New" w:hint="default"/>
      </w:rPr>
    </w:lvl>
    <w:lvl w:ilvl="2" w:tplc="103E9B2A">
      <w:start w:val="1"/>
      <w:numFmt w:val="bullet"/>
      <w:lvlText w:val=""/>
      <w:lvlJc w:val="left"/>
      <w:pPr>
        <w:ind w:left="2160" w:hanging="360"/>
      </w:pPr>
      <w:rPr>
        <w:rFonts w:ascii="Wingdings" w:hAnsi="Wingdings" w:hint="default"/>
      </w:rPr>
    </w:lvl>
    <w:lvl w:ilvl="3" w:tplc="37CE650A">
      <w:start w:val="1"/>
      <w:numFmt w:val="bullet"/>
      <w:lvlText w:val=""/>
      <w:lvlJc w:val="left"/>
      <w:pPr>
        <w:ind w:left="2880" w:hanging="360"/>
      </w:pPr>
      <w:rPr>
        <w:rFonts w:ascii="Symbol" w:hAnsi="Symbol" w:hint="default"/>
      </w:rPr>
    </w:lvl>
    <w:lvl w:ilvl="4" w:tplc="C53ACC30">
      <w:start w:val="1"/>
      <w:numFmt w:val="bullet"/>
      <w:lvlText w:val="o"/>
      <w:lvlJc w:val="left"/>
      <w:pPr>
        <w:ind w:left="3600" w:hanging="360"/>
      </w:pPr>
      <w:rPr>
        <w:rFonts w:ascii="Courier New" w:hAnsi="Courier New" w:hint="default"/>
      </w:rPr>
    </w:lvl>
    <w:lvl w:ilvl="5" w:tplc="C1A20C0E">
      <w:start w:val="1"/>
      <w:numFmt w:val="bullet"/>
      <w:lvlText w:val=""/>
      <w:lvlJc w:val="left"/>
      <w:pPr>
        <w:ind w:left="4320" w:hanging="360"/>
      </w:pPr>
      <w:rPr>
        <w:rFonts w:ascii="Wingdings" w:hAnsi="Wingdings" w:hint="default"/>
      </w:rPr>
    </w:lvl>
    <w:lvl w:ilvl="6" w:tplc="D81438B6">
      <w:start w:val="1"/>
      <w:numFmt w:val="bullet"/>
      <w:lvlText w:val=""/>
      <w:lvlJc w:val="left"/>
      <w:pPr>
        <w:ind w:left="5040" w:hanging="360"/>
      </w:pPr>
      <w:rPr>
        <w:rFonts w:ascii="Symbol" w:hAnsi="Symbol" w:hint="default"/>
      </w:rPr>
    </w:lvl>
    <w:lvl w:ilvl="7" w:tplc="F39AEB90">
      <w:start w:val="1"/>
      <w:numFmt w:val="bullet"/>
      <w:lvlText w:val="o"/>
      <w:lvlJc w:val="left"/>
      <w:pPr>
        <w:ind w:left="5760" w:hanging="360"/>
      </w:pPr>
      <w:rPr>
        <w:rFonts w:ascii="Courier New" w:hAnsi="Courier New" w:hint="default"/>
      </w:rPr>
    </w:lvl>
    <w:lvl w:ilvl="8" w:tplc="8992115A">
      <w:start w:val="1"/>
      <w:numFmt w:val="bullet"/>
      <w:lvlText w:val=""/>
      <w:lvlJc w:val="left"/>
      <w:pPr>
        <w:ind w:left="6480" w:hanging="360"/>
      </w:pPr>
      <w:rPr>
        <w:rFonts w:ascii="Wingdings" w:hAnsi="Wingdings" w:hint="default"/>
      </w:rPr>
    </w:lvl>
  </w:abstractNum>
  <w:abstractNum w:abstractNumId="146" w15:restartNumberingAfterBreak="0">
    <w:nsid w:val="3343A7FE"/>
    <w:multiLevelType w:val="hybridMultilevel"/>
    <w:tmpl w:val="FFFFFFFF"/>
    <w:lvl w:ilvl="0" w:tplc="4F34F90A">
      <w:start w:val="3"/>
      <w:numFmt w:val="lowerRoman"/>
      <w:lvlText w:val="%1."/>
      <w:lvlJc w:val="right"/>
      <w:pPr>
        <w:ind w:left="1080" w:hanging="360"/>
      </w:pPr>
    </w:lvl>
    <w:lvl w:ilvl="1" w:tplc="B0C4E548">
      <w:start w:val="1"/>
      <w:numFmt w:val="lowerLetter"/>
      <w:lvlText w:val="%2."/>
      <w:lvlJc w:val="left"/>
      <w:pPr>
        <w:ind w:left="1440" w:hanging="360"/>
      </w:pPr>
    </w:lvl>
    <w:lvl w:ilvl="2" w:tplc="7696C45A">
      <w:start w:val="1"/>
      <w:numFmt w:val="lowerRoman"/>
      <w:lvlText w:val="%3."/>
      <w:lvlJc w:val="right"/>
      <w:pPr>
        <w:ind w:left="2160" w:hanging="180"/>
      </w:pPr>
    </w:lvl>
    <w:lvl w:ilvl="3" w:tplc="3718DBAC">
      <w:start w:val="1"/>
      <w:numFmt w:val="decimal"/>
      <w:lvlText w:val="%4."/>
      <w:lvlJc w:val="left"/>
      <w:pPr>
        <w:ind w:left="2880" w:hanging="360"/>
      </w:pPr>
    </w:lvl>
    <w:lvl w:ilvl="4" w:tplc="DC9E4D5C">
      <w:start w:val="1"/>
      <w:numFmt w:val="lowerLetter"/>
      <w:lvlText w:val="%5."/>
      <w:lvlJc w:val="left"/>
      <w:pPr>
        <w:ind w:left="3600" w:hanging="360"/>
      </w:pPr>
    </w:lvl>
    <w:lvl w:ilvl="5" w:tplc="4F7467DC">
      <w:start w:val="1"/>
      <w:numFmt w:val="lowerRoman"/>
      <w:lvlText w:val="%6."/>
      <w:lvlJc w:val="right"/>
      <w:pPr>
        <w:ind w:left="4320" w:hanging="180"/>
      </w:pPr>
    </w:lvl>
    <w:lvl w:ilvl="6" w:tplc="D7DCBC5A">
      <w:start w:val="1"/>
      <w:numFmt w:val="decimal"/>
      <w:lvlText w:val="%7."/>
      <w:lvlJc w:val="left"/>
      <w:pPr>
        <w:ind w:left="5040" w:hanging="360"/>
      </w:pPr>
    </w:lvl>
    <w:lvl w:ilvl="7" w:tplc="78A01CF2">
      <w:start w:val="1"/>
      <w:numFmt w:val="lowerLetter"/>
      <w:lvlText w:val="%8."/>
      <w:lvlJc w:val="left"/>
      <w:pPr>
        <w:ind w:left="5760" w:hanging="360"/>
      </w:pPr>
    </w:lvl>
    <w:lvl w:ilvl="8" w:tplc="F57E7948">
      <w:start w:val="1"/>
      <w:numFmt w:val="lowerRoman"/>
      <w:lvlText w:val="%9."/>
      <w:lvlJc w:val="right"/>
      <w:pPr>
        <w:ind w:left="6480" w:hanging="180"/>
      </w:pPr>
    </w:lvl>
  </w:abstractNum>
  <w:abstractNum w:abstractNumId="147" w15:restartNumberingAfterBreak="0">
    <w:nsid w:val="33C5D403"/>
    <w:multiLevelType w:val="hybridMultilevel"/>
    <w:tmpl w:val="FFFFFFFF"/>
    <w:lvl w:ilvl="0" w:tplc="9B36E342">
      <w:start w:val="1"/>
      <w:numFmt w:val="decimal"/>
      <w:lvlText w:val="%1."/>
      <w:lvlJc w:val="left"/>
      <w:pPr>
        <w:ind w:left="720" w:hanging="360"/>
      </w:pPr>
    </w:lvl>
    <w:lvl w:ilvl="1" w:tplc="1400AC6C">
      <w:start w:val="3"/>
      <w:numFmt w:val="lowerRoman"/>
      <w:lvlText w:val="%2."/>
      <w:lvlJc w:val="right"/>
      <w:pPr>
        <w:ind w:left="1440" w:hanging="360"/>
      </w:pPr>
    </w:lvl>
    <w:lvl w:ilvl="2" w:tplc="249CCE56">
      <w:start w:val="1"/>
      <w:numFmt w:val="lowerRoman"/>
      <w:lvlText w:val="%3."/>
      <w:lvlJc w:val="right"/>
      <w:pPr>
        <w:ind w:left="2160" w:hanging="180"/>
      </w:pPr>
    </w:lvl>
    <w:lvl w:ilvl="3" w:tplc="5A248528">
      <w:start w:val="1"/>
      <w:numFmt w:val="decimal"/>
      <w:lvlText w:val="%4."/>
      <w:lvlJc w:val="left"/>
      <w:pPr>
        <w:ind w:left="2880" w:hanging="360"/>
      </w:pPr>
    </w:lvl>
    <w:lvl w:ilvl="4" w:tplc="C89226C0">
      <w:start w:val="1"/>
      <w:numFmt w:val="lowerLetter"/>
      <w:lvlText w:val="%5."/>
      <w:lvlJc w:val="left"/>
      <w:pPr>
        <w:ind w:left="3600" w:hanging="360"/>
      </w:pPr>
    </w:lvl>
    <w:lvl w:ilvl="5" w:tplc="F648BB58">
      <w:start w:val="1"/>
      <w:numFmt w:val="lowerRoman"/>
      <w:lvlText w:val="%6."/>
      <w:lvlJc w:val="right"/>
      <w:pPr>
        <w:ind w:left="4320" w:hanging="180"/>
      </w:pPr>
    </w:lvl>
    <w:lvl w:ilvl="6" w:tplc="ADF049C8">
      <w:start w:val="1"/>
      <w:numFmt w:val="decimal"/>
      <w:lvlText w:val="%7."/>
      <w:lvlJc w:val="left"/>
      <w:pPr>
        <w:ind w:left="5040" w:hanging="360"/>
      </w:pPr>
    </w:lvl>
    <w:lvl w:ilvl="7" w:tplc="F8A0D376">
      <w:start w:val="1"/>
      <w:numFmt w:val="lowerLetter"/>
      <w:lvlText w:val="%8."/>
      <w:lvlJc w:val="left"/>
      <w:pPr>
        <w:ind w:left="5760" w:hanging="360"/>
      </w:pPr>
    </w:lvl>
    <w:lvl w:ilvl="8" w:tplc="0554C948">
      <w:start w:val="1"/>
      <w:numFmt w:val="lowerRoman"/>
      <w:lvlText w:val="%9."/>
      <w:lvlJc w:val="right"/>
      <w:pPr>
        <w:ind w:left="6480" w:hanging="180"/>
      </w:pPr>
    </w:lvl>
  </w:abstractNum>
  <w:abstractNum w:abstractNumId="148" w15:restartNumberingAfterBreak="0">
    <w:nsid w:val="3489EA19"/>
    <w:multiLevelType w:val="hybridMultilevel"/>
    <w:tmpl w:val="C58C3910"/>
    <w:lvl w:ilvl="0" w:tplc="2BB4189A">
      <w:start w:val="1"/>
      <w:numFmt w:val="lowerLetter"/>
      <w:lvlText w:val="%1)"/>
      <w:lvlJc w:val="left"/>
      <w:pPr>
        <w:ind w:left="720" w:hanging="360"/>
      </w:pPr>
    </w:lvl>
    <w:lvl w:ilvl="1" w:tplc="18090001">
      <w:start w:val="1"/>
      <w:numFmt w:val="bullet"/>
      <w:lvlText w:val=""/>
      <w:lvlJc w:val="left"/>
      <w:pPr>
        <w:ind w:left="771" w:hanging="360"/>
      </w:pPr>
      <w:rPr>
        <w:rFonts w:ascii="Symbol" w:hAnsi="Symbol" w:hint="default"/>
      </w:rPr>
    </w:lvl>
    <w:lvl w:ilvl="2" w:tplc="18090003">
      <w:start w:val="1"/>
      <w:numFmt w:val="bullet"/>
      <w:lvlText w:val="o"/>
      <w:lvlJc w:val="left"/>
      <w:pPr>
        <w:ind w:left="1440" w:hanging="360"/>
      </w:pPr>
      <w:rPr>
        <w:rFonts w:ascii="Courier New" w:hAnsi="Courier New" w:cs="Courier New" w:hint="default"/>
      </w:rPr>
    </w:lvl>
    <w:lvl w:ilvl="3" w:tplc="AD949AAE">
      <w:start w:val="1"/>
      <w:numFmt w:val="decimal"/>
      <w:lvlText w:val="%4."/>
      <w:lvlJc w:val="left"/>
      <w:pPr>
        <w:ind w:left="2880" w:hanging="360"/>
      </w:pPr>
    </w:lvl>
    <w:lvl w:ilvl="4" w:tplc="827C65CE">
      <w:start w:val="1"/>
      <w:numFmt w:val="lowerLetter"/>
      <w:lvlText w:val="%5."/>
      <w:lvlJc w:val="left"/>
      <w:pPr>
        <w:ind w:left="3600" w:hanging="360"/>
      </w:pPr>
    </w:lvl>
    <w:lvl w:ilvl="5" w:tplc="258A6470">
      <w:start w:val="1"/>
      <w:numFmt w:val="lowerRoman"/>
      <w:lvlText w:val="%6."/>
      <w:lvlJc w:val="right"/>
      <w:pPr>
        <w:ind w:left="4320" w:hanging="180"/>
      </w:pPr>
    </w:lvl>
    <w:lvl w:ilvl="6" w:tplc="83F854C2">
      <w:start w:val="1"/>
      <w:numFmt w:val="decimal"/>
      <w:lvlText w:val="%7."/>
      <w:lvlJc w:val="left"/>
      <w:pPr>
        <w:ind w:left="5040" w:hanging="360"/>
      </w:pPr>
    </w:lvl>
    <w:lvl w:ilvl="7" w:tplc="F25C5C0E">
      <w:start w:val="1"/>
      <w:numFmt w:val="lowerLetter"/>
      <w:lvlText w:val="%8."/>
      <w:lvlJc w:val="left"/>
      <w:pPr>
        <w:ind w:left="5760" w:hanging="360"/>
      </w:pPr>
    </w:lvl>
    <w:lvl w:ilvl="8" w:tplc="07C0C42E">
      <w:start w:val="1"/>
      <w:numFmt w:val="lowerRoman"/>
      <w:lvlText w:val="%9."/>
      <w:lvlJc w:val="right"/>
      <w:pPr>
        <w:ind w:left="6480" w:hanging="180"/>
      </w:pPr>
    </w:lvl>
  </w:abstractNum>
  <w:abstractNum w:abstractNumId="149" w15:restartNumberingAfterBreak="0">
    <w:nsid w:val="34A41253"/>
    <w:multiLevelType w:val="hybridMultilevel"/>
    <w:tmpl w:val="FFFFFFFF"/>
    <w:lvl w:ilvl="0" w:tplc="1B6C79EE">
      <w:start w:val="4"/>
      <w:numFmt w:val="decimal"/>
      <w:lvlText w:val="%1."/>
      <w:lvlJc w:val="left"/>
      <w:pPr>
        <w:ind w:left="720" w:hanging="360"/>
      </w:pPr>
    </w:lvl>
    <w:lvl w:ilvl="1" w:tplc="361E84D2">
      <w:start w:val="1"/>
      <w:numFmt w:val="lowerLetter"/>
      <w:lvlText w:val="%2."/>
      <w:lvlJc w:val="left"/>
      <w:pPr>
        <w:ind w:left="1440" w:hanging="360"/>
      </w:pPr>
    </w:lvl>
    <w:lvl w:ilvl="2" w:tplc="0F047248">
      <w:start w:val="1"/>
      <w:numFmt w:val="lowerRoman"/>
      <w:lvlText w:val="%3."/>
      <w:lvlJc w:val="right"/>
      <w:pPr>
        <w:ind w:left="2160" w:hanging="180"/>
      </w:pPr>
    </w:lvl>
    <w:lvl w:ilvl="3" w:tplc="9478639E">
      <w:start w:val="1"/>
      <w:numFmt w:val="decimal"/>
      <w:lvlText w:val="%4."/>
      <w:lvlJc w:val="left"/>
      <w:pPr>
        <w:ind w:left="2880" w:hanging="360"/>
      </w:pPr>
    </w:lvl>
    <w:lvl w:ilvl="4" w:tplc="07907978">
      <w:start w:val="1"/>
      <w:numFmt w:val="lowerLetter"/>
      <w:lvlText w:val="%5."/>
      <w:lvlJc w:val="left"/>
      <w:pPr>
        <w:ind w:left="3600" w:hanging="360"/>
      </w:pPr>
    </w:lvl>
    <w:lvl w:ilvl="5" w:tplc="743C935C">
      <w:start w:val="1"/>
      <w:numFmt w:val="lowerRoman"/>
      <w:lvlText w:val="%6."/>
      <w:lvlJc w:val="right"/>
      <w:pPr>
        <w:ind w:left="4320" w:hanging="180"/>
      </w:pPr>
    </w:lvl>
    <w:lvl w:ilvl="6" w:tplc="C814298A">
      <w:start w:val="1"/>
      <w:numFmt w:val="decimal"/>
      <w:lvlText w:val="%7."/>
      <w:lvlJc w:val="left"/>
      <w:pPr>
        <w:ind w:left="5040" w:hanging="360"/>
      </w:pPr>
    </w:lvl>
    <w:lvl w:ilvl="7" w:tplc="FAC4FA88">
      <w:start w:val="1"/>
      <w:numFmt w:val="lowerLetter"/>
      <w:lvlText w:val="%8."/>
      <w:lvlJc w:val="left"/>
      <w:pPr>
        <w:ind w:left="5760" w:hanging="360"/>
      </w:pPr>
    </w:lvl>
    <w:lvl w:ilvl="8" w:tplc="DBDAD2D4">
      <w:start w:val="1"/>
      <w:numFmt w:val="lowerRoman"/>
      <w:lvlText w:val="%9."/>
      <w:lvlJc w:val="right"/>
      <w:pPr>
        <w:ind w:left="6480" w:hanging="180"/>
      </w:pPr>
    </w:lvl>
  </w:abstractNum>
  <w:abstractNum w:abstractNumId="150" w15:restartNumberingAfterBreak="0">
    <w:nsid w:val="35171BCA"/>
    <w:multiLevelType w:val="hybridMultilevel"/>
    <w:tmpl w:val="FFFFFFFF"/>
    <w:lvl w:ilvl="0" w:tplc="30860A0C">
      <w:start w:val="7"/>
      <w:numFmt w:val="lowerRoman"/>
      <w:lvlText w:val="%1."/>
      <w:lvlJc w:val="right"/>
      <w:pPr>
        <w:ind w:left="1080" w:hanging="360"/>
      </w:pPr>
    </w:lvl>
    <w:lvl w:ilvl="1" w:tplc="B99E7D42">
      <w:start w:val="1"/>
      <w:numFmt w:val="lowerLetter"/>
      <w:lvlText w:val="%2."/>
      <w:lvlJc w:val="left"/>
      <w:pPr>
        <w:ind w:left="1440" w:hanging="360"/>
      </w:pPr>
    </w:lvl>
    <w:lvl w:ilvl="2" w:tplc="B12C7DFE">
      <w:start w:val="1"/>
      <w:numFmt w:val="lowerRoman"/>
      <w:lvlText w:val="%3."/>
      <w:lvlJc w:val="right"/>
      <w:pPr>
        <w:ind w:left="2160" w:hanging="180"/>
      </w:pPr>
    </w:lvl>
    <w:lvl w:ilvl="3" w:tplc="FD4606C4">
      <w:start w:val="1"/>
      <w:numFmt w:val="decimal"/>
      <w:lvlText w:val="%4."/>
      <w:lvlJc w:val="left"/>
      <w:pPr>
        <w:ind w:left="2880" w:hanging="360"/>
      </w:pPr>
    </w:lvl>
    <w:lvl w:ilvl="4" w:tplc="C8F4F704">
      <w:start w:val="1"/>
      <w:numFmt w:val="lowerLetter"/>
      <w:lvlText w:val="%5."/>
      <w:lvlJc w:val="left"/>
      <w:pPr>
        <w:ind w:left="3600" w:hanging="360"/>
      </w:pPr>
    </w:lvl>
    <w:lvl w:ilvl="5" w:tplc="E2FA23EE">
      <w:start w:val="1"/>
      <w:numFmt w:val="lowerRoman"/>
      <w:lvlText w:val="%6."/>
      <w:lvlJc w:val="right"/>
      <w:pPr>
        <w:ind w:left="4320" w:hanging="180"/>
      </w:pPr>
    </w:lvl>
    <w:lvl w:ilvl="6" w:tplc="E0E2F9A4">
      <w:start w:val="1"/>
      <w:numFmt w:val="decimal"/>
      <w:lvlText w:val="%7."/>
      <w:lvlJc w:val="left"/>
      <w:pPr>
        <w:ind w:left="5040" w:hanging="360"/>
      </w:pPr>
    </w:lvl>
    <w:lvl w:ilvl="7" w:tplc="A9B29AA6">
      <w:start w:val="1"/>
      <w:numFmt w:val="lowerLetter"/>
      <w:lvlText w:val="%8."/>
      <w:lvlJc w:val="left"/>
      <w:pPr>
        <w:ind w:left="5760" w:hanging="360"/>
      </w:pPr>
    </w:lvl>
    <w:lvl w:ilvl="8" w:tplc="5A168F76">
      <w:start w:val="1"/>
      <w:numFmt w:val="lowerRoman"/>
      <w:lvlText w:val="%9."/>
      <w:lvlJc w:val="right"/>
      <w:pPr>
        <w:ind w:left="6480" w:hanging="180"/>
      </w:pPr>
    </w:lvl>
  </w:abstractNum>
  <w:abstractNum w:abstractNumId="151" w15:restartNumberingAfterBreak="0">
    <w:nsid w:val="35E02C05"/>
    <w:multiLevelType w:val="hybridMultilevel"/>
    <w:tmpl w:val="FFFFFFFF"/>
    <w:lvl w:ilvl="0" w:tplc="CD364824">
      <w:start w:val="1"/>
      <w:numFmt w:val="bullet"/>
      <w:lvlText w:val="-"/>
      <w:lvlJc w:val="left"/>
      <w:pPr>
        <w:ind w:left="720" w:hanging="360"/>
      </w:pPr>
      <w:rPr>
        <w:rFonts w:ascii="Symbol" w:hAnsi="Symbol" w:hint="default"/>
      </w:rPr>
    </w:lvl>
    <w:lvl w:ilvl="1" w:tplc="E0304D8C">
      <w:start w:val="1"/>
      <w:numFmt w:val="bullet"/>
      <w:lvlText w:val="o"/>
      <w:lvlJc w:val="left"/>
      <w:pPr>
        <w:ind w:left="1440" w:hanging="360"/>
      </w:pPr>
      <w:rPr>
        <w:rFonts w:ascii="Courier New" w:hAnsi="Courier New" w:hint="default"/>
      </w:rPr>
    </w:lvl>
    <w:lvl w:ilvl="2" w:tplc="61C8A418">
      <w:start w:val="1"/>
      <w:numFmt w:val="bullet"/>
      <w:lvlText w:val=""/>
      <w:lvlJc w:val="left"/>
      <w:pPr>
        <w:ind w:left="2160" w:hanging="360"/>
      </w:pPr>
      <w:rPr>
        <w:rFonts w:ascii="Wingdings" w:hAnsi="Wingdings" w:hint="default"/>
      </w:rPr>
    </w:lvl>
    <w:lvl w:ilvl="3" w:tplc="DE3EB168">
      <w:start w:val="1"/>
      <w:numFmt w:val="bullet"/>
      <w:lvlText w:val=""/>
      <w:lvlJc w:val="left"/>
      <w:pPr>
        <w:ind w:left="2880" w:hanging="360"/>
      </w:pPr>
      <w:rPr>
        <w:rFonts w:ascii="Symbol" w:hAnsi="Symbol" w:hint="default"/>
      </w:rPr>
    </w:lvl>
    <w:lvl w:ilvl="4" w:tplc="8968FA6A">
      <w:start w:val="1"/>
      <w:numFmt w:val="bullet"/>
      <w:lvlText w:val="o"/>
      <w:lvlJc w:val="left"/>
      <w:pPr>
        <w:ind w:left="3600" w:hanging="360"/>
      </w:pPr>
      <w:rPr>
        <w:rFonts w:ascii="Courier New" w:hAnsi="Courier New" w:hint="default"/>
      </w:rPr>
    </w:lvl>
    <w:lvl w:ilvl="5" w:tplc="6F322E6E">
      <w:start w:val="1"/>
      <w:numFmt w:val="bullet"/>
      <w:lvlText w:val=""/>
      <w:lvlJc w:val="left"/>
      <w:pPr>
        <w:ind w:left="4320" w:hanging="360"/>
      </w:pPr>
      <w:rPr>
        <w:rFonts w:ascii="Wingdings" w:hAnsi="Wingdings" w:hint="default"/>
      </w:rPr>
    </w:lvl>
    <w:lvl w:ilvl="6" w:tplc="97484596">
      <w:start w:val="1"/>
      <w:numFmt w:val="bullet"/>
      <w:lvlText w:val=""/>
      <w:lvlJc w:val="left"/>
      <w:pPr>
        <w:ind w:left="5040" w:hanging="360"/>
      </w:pPr>
      <w:rPr>
        <w:rFonts w:ascii="Symbol" w:hAnsi="Symbol" w:hint="default"/>
      </w:rPr>
    </w:lvl>
    <w:lvl w:ilvl="7" w:tplc="1C22B646">
      <w:start w:val="1"/>
      <w:numFmt w:val="bullet"/>
      <w:lvlText w:val="o"/>
      <w:lvlJc w:val="left"/>
      <w:pPr>
        <w:ind w:left="5760" w:hanging="360"/>
      </w:pPr>
      <w:rPr>
        <w:rFonts w:ascii="Courier New" w:hAnsi="Courier New" w:hint="default"/>
      </w:rPr>
    </w:lvl>
    <w:lvl w:ilvl="8" w:tplc="37BEFFD6">
      <w:start w:val="1"/>
      <w:numFmt w:val="bullet"/>
      <w:lvlText w:val=""/>
      <w:lvlJc w:val="left"/>
      <w:pPr>
        <w:ind w:left="6480" w:hanging="360"/>
      </w:pPr>
      <w:rPr>
        <w:rFonts w:ascii="Wingdings" w:hAnsi="Wingdings" w:hint="default"/>
      </w:rPr>
    </w:lvl>
  </w:abstractNum>
  <w:abstractNum w:abstractNumId="152" w15:restartNumberingAfterBreak="0">
    <w:nsid w:val="35F779E3"/>
    <w:multiLevelType w:val="multilevel"/>
    <w:tmpl w:val="B4F6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373078CE"/>
    <w:multiLevelType w:val="hybridMultilevel"/>
    <w:tmpl w:val="B172DF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4" w15:restartNumberingAfterBreak="0">
    <w:nsid w:val="376316F6"/>
    <w:multiLevelType w:val="hybridMultilevel"/>
    <w:tmpl w:val="FFFFFFFF"/>
    <w:lvl w:ilvl="0" w:tplc="F16EBD64">
      <w:start w:val="5"/>
      <w:numFmt w:val="lowerRoman"/>
      <w:lvlText w:val="%1."/>
      <w:lvlJc w:val="right"/>
      <w:pPr>
        <w:ind w:left="1080" w:hanging="360"/>
      </w:pPr>
    </w:lvl>
    <w:lvl w:ilvl="1" w:tplc="570CFC6E">
      <w:start w:val="1"/>
      <w:numFmt w:val="lowerLetter"/>
      <w:lvlText w:val="%2."/>
      <w:lvlJc w:val="left"/>
      <w:pPr>
        <w:ind w:left="1440" w:hanging="360"/>
      </w:pPr>
    </w:lvl>
    <w:lvl w:ilvl="2" w:tplc="A1FCC680">
      <w:start w:val="1"/>
      <w:numFmt w:val="lowerRoman"/>
      <w:lvlText w:val="%3."/>
      <w:lvlJc w:val="right"/>
      <w:pPr>
        <w:ind w:left="2160" w:hanging="180"/>
      </w:pPr>
    </w:lvl>
    <w:lvl w:ilvl="3" w:tplc="B9243C32">
      <w:start w:val="1"/>
      <w:numFmt w:val="decimal"/>
      <w:lvlText w:val="%4."/>
      <w:lvlJc w:val="left"/>
      <w:pPr>
        <w:ind w:left="2880" w:hanging="360"/>
      </w:pPr>
    </w:lvl>
    <w:lvl w:ilvl="4" w:tplc="AFC81C7C">
      <w:start w:val="1"/>
      <w:numFmt w:val="lowerLetter"/>
      <w:lvlText w:val="%5."/>
      <w:lvlJc w:val="left"/>
      <w:pPr>
        <w:ind w:left="3600" w:hanging="360"/>
      </w:pPr>
    </w:lvl>
    <w:lvl w:ilvl="5" w:tplc="3F842DDE">
      <w:start w:val="1"/>
      <w:numFmt w:val="lowerRoman"/>
      <w:lvlText w:val="%6."/>
      <w:lvlJc w:val="right"/>
      <w:pPr>
        <w:ind w:left="4320" w:hanging="180"/>
      </w:pPr>
    </w:lvl>
    <w:lvl w:ilvl="6" w:tplc="02F498E8">
      <w:start w:val="1"/>
      <w:numFmt w:val="decimal"/>
      <w:lvlText w:val="%7."/>
      <w:lvlJc w:val="left"/>
      <w:pPr>
        <w:ind w:left="5040" w:hanging="360"/>
      </w:pPr>
    </w:lvl>
    <w:lvl w:ilvl="7" w:tplc="7D9AF968">
      <w:start w:val="1"/>
      <w:numFmt w:val="lowerLetter"/>
      <w:lvlText w:val="%8."/>
      <w:lvlJc w:val="left"/>
      <w:pPr>
        <w:ind w:left="5760" w:hanging="360"/>
      </w:pPr>
    </w:lvl>
    <w:lvl w:ilvl="8" w:tplc="A5E843B6">
      <w:start w:val="1"/>
      <w:numFmt w:val="lowerRoman"/>
      <w:lvlText w:val="%9."/>
      <w:lvlJc w:val="right"/>
      <w:pPr>
        <w:ind w:left="6480" w:hanging="180"/>
      </w:pPr>
    </w:lvl>
  </w:abstractNum>
  <w:abstractNum w:abstractNumId="155" w15:restartNumberingAfterBreak="0">
    <w:nsid w:val="376F83E1"/>
    <w:multiLevelType w:val="hybridMultilevel"/>
    <w:tmpl w:val="FFFFFFFF"/>
    <w:lvl w:ilvl="0" w:tplc="94CE06B8">
      <w:start w:val="3"/>
      <w:numFmt w:val="lowerRoman"/>
      <w:lvlText w:val="%1."/>
      <w:lvlJc w:val="right"/>
      <w:pPr>
        <w:ind w:left="1080" w:hanging="360"/>
      </w:pPr>
    </w:lvl>
    <w:lvl w:ilvl="1" w:tplc="28CEF5D0">
      <w:start w:val="1"/>
      <w:numFmt w:val="lowerLetter"/>
      <w:lvlText w:val="%2."/>
      <w:lvlJc w:val="left"/>
      <w:pPr>
        <w:ind w:left="1440" w:hanging="360"/>
      </w:pPr>
    </w:lvl>
    <w:lvl w:ilvl="2" w:tplc="F7365CFC">
      <w:start w:val="1"/>
      <w:numFmt w:val="lowerRoman"/>
      <w:lvlText w:val="%3."/>
      <w:lvlJc w:val="right"/>
      <w:pPr>
        <w:ind w:left="2160" w:hanging="180"/>
      </w:pPr>
    </w:lvl>
    <w:lvl w:ilvl="3" w:tplc="B3B0D844">
      <w:start w:val="1"/>
      <w:numFmt w:val="decimal"/>
      <w:lvlText w:val="%4."/>
      <w:lvlJc w:val="left"/>
      <w:pPr>
        <w:ind w:left="2880" w:hanging="360"/>
      </w:pPr>
    </w:lvl>
    <w:lvl w:ilvl="4" w:tplc="438CE418">
      <w:start w:val="1"/>
      <w:numFmt w:val="lowerLetter"/>
      <w:lvlText w:val="%5."/>
      <w:lvlJc w:val="left"/>
      <w:pPr>
        <w:ind w:left="3600" w:hanging="360"/>
      </w:pPr>
    </w:lvl>
    <w:lvl w:ilvl="5" w:tplc="1C1A6BBC">
      <w:start w:val="1"/>
      <w:numFmt w:val="lowerRoman"/>
      <w:lvlText w:val="%6."/>
      <w:lvlJc w:val="right"/>
      <w:pPr>
        <w:ind w:left="4320" w:hanging="180"/>
      </w:pPr>
    </w:lvl>
    <w:lvl w:ilvl="6" w:tplc="A6D85736">
      <w:start w:val="1"/>
      <w:numFmt w:val="decimal"/>
      <w:lvlText w:val="%7."/>
      <w:lvlJc w:val="left"/>
      <w:pPr>
        <w:ind w:left="5040" w:hanging="360"/>
      </w:pPr>
    </w:lvl>
    <w:lvl w:ilvl="7" w:tplc="140C5BCA">
      <w:start w:val="1"/>
      <w:numFmt w:val="lowerLetter"/>
      <w:lvlText w:val="%8."/>
      <w:lvlJc w:val="left"/>
      <w:pPr>
        <w:ind w:left="5760" w:hanging="360"/>
      </w:pPr>
    </w:lvl>
    <w:lvl w:ilvl="8" w:tplc="E1C8466C">
      <w:start w:val="1"/>
      <w:numFmt w:val="lowerRoman"/>
      <w:lvlText w:val="%9."/>
      <w:lvlJc w:val="right"/>
      <w:pPr>
        <w:ind w:left="6480" w:hanging="180"/>
      </w:pPr>
    </w:lvl>
  </w:abstractNum>
  <w:abstractNum w:abstractNumId="156" w15:restartNumberingAfterBreak="0">
    <w:nsid w:val="37BF6921"/>
    <w:multiLevelType w:val="hybridMultilevel"/>
    <w:tmpl w:val="FFFFFFFF"/>
    <w:lvl w:ilvl="0" w:tplc="3776F2AE">
      <w:start w:val="1"/>
      <w:numFmt w:val="decimal"/>
      <w:lvlText w:val="%1."/>
      <w:lvlJc w:val="left"/>
      <w:pPr>
        <w:ind w:left="720" w:hanging="360"/>
      </w:pPr>
    </w:lvl>
    <w:lvl w:ilvl="1" w:tplc="AA4CC936">
      <w:start w:val="2"/>
      <w:numFmt w:val="lowerRoman"/>
      <w:lvlText w:val="%2."/>
      <w:lvlJc w:val="right"/>
      <w:pPr>
        <w:ind w:left="1440" w:hanging="360"/>
      </w:pPr>
    </w:lvl>
    <w:lvl w:ilvl="2" w:tplc="A852DF18">
      <w:start w:val="1"/>
      <w:numFmt w:val="lowerRoman"/>
      <w:lvlText w:val="%3."/>
      <w:lvlJc w:val="right"/>
      <w:pPr>
        <w:ind w:left="2160" w:hanging="180"/>
      </w:pPr>
    </w:lvl>
    <w:lvl w:ilvl="3" w:tplc="48601822">
      <w:start w:val="1"/>
      <w:numFmt w:val="decimal"/>
      <w:lvlText w:val="%4."/>
      <w:lvlJc w:val="left"/>
      <w:pPr>
        <w:ind w:left="2880" w:hanging="360"/>
      </w:pPr>
    </w:lvl>
    <w:lvl w:ilvl="4" w:tplc="56DE0D26">
      <w:start w:val="1"/>
      <w:numFmt w:val="lowerLetter"/>
      <w:lvlText w:val="%5."/>
      <w:lvlJc w:val="left"/>
      <w:pPr>
        <w:ind w:left="3600" w:hanging="360"/>
      </w:pPr>
    </w:lvl>
    <w:lvl w:ilvl="5" w:tplc="ADE604B6">
      <w:start w:val="1"/>
      <w:numFmt w:val="lowerRoman"/>
      <w:lvlText w:val="%6."/>
      <w:lvlJc w:val="right"/>
      <w:pPr>
        <w:ind w:left="4320" w:hanging="180"/>
      </w:pPr>
    </w:lvl>
    <w:lvl w:ilvl="6" w:tplc="08EC853E">
      <w:start w:val="1"/>
      <w:numFmt w:val="decimal"/>
      <w:lvlText w:val="%7."/>
      <w:lvlJc w:val="left"/>
      <w:pPr>
        <w:ind w:left="5040" w:hanging="360"/>
      </w:pPr>
    </w:lvl>
    <w:lvl w:ilvl="7" w:tplc="3F40F47C">
      <w:start w:val="1"/>
      <w:numFmt w:val="lowerLetter"/>
      <w:lvlText w:val="%8."/>
      <w:lvlJc w:val="left"/>
      <w:pPr>
        <w:ind w:left="5760" w:hanging="360"/>
      </w:pPr>
    </w:lvl>
    <w:lvl w:ilvl="8" w:tplc="E662F24E">
      <w:start w:val="1"/>
      <w:numFmt w:val="lowerRoman"/>
      <w:lvlText w:val="%9."/>
      <w:lvlJc w:val="right"/>
      <w:pPr>
        <w:ind w:left="6480" w:hanging="180"/>
      </w:pPr>
    </w:lvl>
  </w:abstractNum>
  <w:abstractNum w:abstractNumId="157" w15:restartNumberingAfterBreak="0">
    <w:nsid w:val="380B317E"/>
    <w:multiLevelType w:val="hybridMultilevel"/>
    <w:tmpl w:val="603A1416"/>
    <w:lvl w:ilvl="0" w:tplc="D49E5996">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8" w15:restartNumberingAfterBreak="0">
    <w:nsid w:val="3895CB47"/>
    <w:multiLevelType w:val="hybridMultilevel"/>
    <w:tmpl w:val="FFFFFFFF"/>
    <w:lvl w:ilvl="0" w:tplc="29726E10">
      <w:start w:val="7"/>
      <w:numFmt w:val="lowerRoman"/>
      <w:lvlText w:val="%1."/>
      <w:lvlJc w:val="right"/>
      <w:pPr>
        <w:ind w:left="1080" w:hanging="360"/>
      </w:pPr>
    </w:lvl>
    <w:lvl w:ilvl="1" w:tplc="D946FAF0">
      <w:start w:val="1"/>
      <w:numFmt w:val="lowerLetter"/>
      <w:lvlText w:val="%2."/>
      <w:lvlJc w:val="left"/>
      <w:pPr>
        <w:ind w:left="1440" w:hanging="360"/>
      </w:pPr>
    </w:lvl>
    <w:lvl w:ilvl="2" w:tplc="89389216">
      <w:start w:val="1"/>
      <w:numFmt w:val="lowerRoman"/>
      <w:lvlText w:val="%3."/>
      <w:lvlJc w:val="right"/>
      <w:pPr>
        <w:ind w:left="2160" w:hanging="180"/>
      </w:pPr>
    </w:lvl>
    <w:lvl w:ilvl="3" w:tplc="0136B098">
      <w:start w:val="1"/>
      <w:numFmt w:val="decimal"/>
      <w:lvlText w:val="%4."/>
      <w:lvlJc w:val="left"/>
      <w:pPr>
        <w:ind w:left="2880" w:hanging="360"/>
      </w:pPr>
    </w:lvl>
    <w:lvl w:ilvl="4" w:tplc="23C8F444">
      <w:start w:val="1"/>
      <w:numFmt w:val="lowerLetter"/>
      <w:lvlText w:val="%5."/>
      <w:lvlJc w:val="left"/>
      <w:pPr>
        <w:ind w:left="3600" w:hanging="360"/>
      </w:pPr>
    </w:lvl>
    <w:lvl w:ilvl="5" w:tplc="94586158">
      <w:start w:val="1"/>
      <w:numFmt w:val="lowerRoman"/>
      <w:lvlText w:val="%6."/>
      <w:lvlJc w:val="right"/>
      <w:pPr>
        <w:ind w:left="4320" w:hanging="180"/>
      </w:pPr>
    </w:lvl>
    <w:lvl w:ilvl="6" w:tplc="DA78AC8C">
      <w:start w:val="1"/>
      <w:numFmt w:val="decimal"/>
      <w:lvlText w:val="%7."/>
      <w:lvlJc w:val="left"/>
      <w:pPr>
        <w:ind w:left="5040" w:hanging="360"/>
      </w:pPr>
    </w:lvl>
    <w:lvl w:ilvl="7" w:tplc="251C131E">
      <w:start w:val="1"/>
      <w:numFmt w:val="lowerLetter"/>
      <w:lvlText w:val="%8."/>
      <w:lvlJc w:val="left"/>
      <w:pPr>
        <w:ind w:left="5760" w:hanging="360"/>
      </w:pPr>
    </w:lvl>
    <w:lvl w:ilvl="8" w:tplc="C0CAA62E">
      <w:start w:val="1"/>
      <w:numFmt w:val="lowerRoman"/>
      <w:lvlText w:val="%9."/>
      <w:lvlJc w:val="right"/>
      <w:pPr>
        <w:ind w:left="6480" w:hanging="180"/>
      </w:pPr>
    </w:lvl>
  </w:abstractNum>
  <w:abstractNum w:abstractNumId="159" w15:restartNumberingAfterBreak="0">
    <w:nsid w:val="38AB01D1"/>
    <w:multiLevelType w:val="hybridMultilevel"/>
    <w:tmpl w:val="FFFFFFFF"/>
    <w:lvl w:ilvl="0" w:tplc="FCA83F26">
      <w:start w:val="2"/>
      <w:numFmt w:val="lowerLetter"/>
      <w:lvlText w:val="%1)"/>
      <w:lvlJc w:val="left"/>
      <w:pPr>
        <w:ind w:left="720" w:hanging="360"/>
      </w:pPr>
    </w:lvl>
    <w:lvl w:ilvl="1" w:tplc="283AC512">
      <w:start w:val="1"/>
      <w:numFmt w:val="lowerLetter"/>
      <w:lvlText w:val="%2."/>
      <w:lvlJc w:val="left"/>
      <w:pPr>
        <w:ind w:left="1440" w:hanging="360"/>
      </w:pPr>
    </w:lvl>
    <w:lvl w:ilvl="2" w:tplc="E64C85B0">
      <w:start w:val="1"/>
      <w:numFmt w:val="lowerRoman"/>
      <w:lvlText w:val="%3."/>
      <w:lvlJc w:val="right"/>
      <w:pPr>
        <w:ind w:left="2160" w:hanging="180"/>
      </w:pPr>
    </w:lvl>
    <w:lvl w:ilvl="3" w:tplc="28B4CBB6">
      <w:start w:val="1"/>
      <w:numFmt w:val="decimal"/>
      <w:lvlText w:val="%4."/>
      <w:lvlJc w:val="left"/>
      <w:pPr>
        <w:ind w:left="2880" w:hanging="360"/>
      </w:pPr>
    </w:lvl>
    <w:lvl w:ilvl="4" w:tplc="94C4C0AC">
      <w:start w:val="1"/>
      <w:numFmt w:val="lowerLetter"/>
      <w:lvlText w:val="%5."/>
      <w:lvlJc w:val="left"/>
      <w:pPr>
        <w:ind w:left="3600" w:hanging="360"/>
      </w:pPr>
    </w:lvl>
    <w:lvl w:ilvl="5" w:tplc="3D681718">
      <w:start w:val="1"/>
      <w:numFmt w:val="lowerRoman"/>
      <w:lvlText w:val="%6."/>
      <w:lvlJc w:val="right"/>
      <w:pPr>
        <w:ind w:left="4320" w:hanging="180"/>
      </w:pPr>
    </w:lvl>
    <w:lvl w:ilvl="6" w:tplc="4900005E">
      <w:start w:val="1"/>
      <w:numFmt w:val="decimal"/>
      <w:lvlText w:val="%7."/>
      <w:lvlJc w:val="left"/>
      <w:pPr>
        <w:ind w:left="5040" w:hanging="360"/>
      </w:pPr>
    </w:lvl>
    <w:lvl w:ilvl="7" w:tplc="8E04CBE2">
      <w:start w:val="1"/>
      <w:numFmt w:val="lowerLetter"/>
      <w:lvlText w:val="%8."/>
      <w:lvlJc w:val="left"/>
      <w:pPr>
        <w:ind w:left="5760" w:hanging="360"/>
      </w:pPr>
    </w:lvl>
    <w:lvl w:ilvl="8" w:tplc="16E49374">
      <w:start w:val="1"/>
      <w:numFmt w:val="lowerRoman"/>
      <w:lvlText w:val="%9."/>
      <w:lvlJc w:val="right"/>
      <w:pPr>
        <w:ind w:left="6480" w:hanging="180"/>
      </w:pPr>
    </w:lvl>
  </w:abstractNum>
  <w:abstractNum w:abstractNumId="160" w15:restartNumberingAfterBreak="0">
    <w:nsid w:val="38D780B4"/>
    <w:multiLevelType w:val="hybridMultilevel"/>
    <w:tmpl w:val="FFFFFFFF"/>
    <w:lvl w:ilvl="0" w:tplc="734CA9C8">
      <w:start w:val="1"/>
      <w:numFmt w:val="decimal"/>
      <w:lvlText w:val="%1."/>
      <w:lvlJc w:val="left"/>
      <w:pPr>
        <w:ind w:left="720" w:hanging="360"/>
      </w:pPr>
    </w:lvl>
    <w:lvl w:ilvl="1" w:tplc="EBFE237A">
      <w:start w:val="5"/>
      <w:numFmt w:val="lowerRoman"/>
      <w:lvlText w:val="%2."/>
      <w:lvlJc w:val="right"/>
      <w:pPr>
        <w:ind w:left="1080" w:hanging="360"/>
      </w:pPr>
    </w:lvl>
    <w:lvl w:ilvl="2" w:tplc="495E144E">
      <w:start w:val="1"/>
      <w:numFmt w:val="lowerRoman"/>
      <w:lvlText w:val="%3."/>
      <w:lvlJc w:val="right"/>
      <w:pPr>
        <w:ind w:left="2160" w:hanging="180"/>
      </w:pPr>
    </w:lvl>
    <w:lvl w:ilvl="3" w:tplc="350EA5C2">
      <w:start w:val="1"/>
      <w:numFmt w:val="decimal"/>
      <w:lvlText w:val="%4."/>
      <w:lvlJc w:val="left"/>
      <w:pPr>
        <w:ind w:left="2880" w:hanging="360"/>
      </w:pPr>
    </w:lvl>
    <w:lvl w:ilvl="4" w:tplc="731C668C">
      <w:start w:val="1"/>
      <w:numFmt w:val="lowerLetter"/>
      <w:lvlText w:val="%5."/>
      <w:lvlJc w:val="left"/>
      <w:pPr>
        <w:ind w:left="3600" w:hanging="360"/>
      </w:pPr>
    </w:lvl>
    <w:lvl w:ilvl="5" w:tplc="96688B62">
      <w:start w:val="1"/>
      <w:numFmt w:val="lowerRoman"/>
      <w:lvlText w:val="%6."/>
      <w:lvlJc w:val="right"/>
      <w:pPr>
        <w:ind w:left="4320" w:hanging="180"/>
      </w:pPr>
    </w:lvl>
    <w:lvl w:ilvl="6" w:tplc="A3E623AC">
      <w:start w:val="1"/>
      <w:numFmt w:val="decimal"/>
      <w:lvlText w:val="%7."/>
      <w:lvlJc w:val="left"/>
      <w:pPr>
        <w:ind w:left="5040" w:hanging="360"/>
      </w:pPr>
    </w:lvl>
    <w:lvl w:ilvl="7" w:tplc="09708B00">
      <w:start w:val="1"/>
      <w:numFmt w:val="lowerLetter"/>
      <w:lvlText w:val="%8."/>
      <w:lvlJc w:val="left"/>
      <w:pPr>
        <w:ind w:left="5760" w:hanging="360"/>
      </w:pPr>
    </w:lvl>
    <w:lvl w:ilvl="8" w:tplc="18B424DC">
      <w:start w:val="1"/>
      <w:numFmt w:val="lowerRoman"/>
      <w:lvlText w:val="%9."/>
      <w:lvlJc w:val="right"/>
      <w:pPr>
        <w:ind w:left="6480" w:hanging="180"/>
      </w:pPr>
    </w:lvl>
  </w:abstractNum>
  <w:abstractNum w:abstractNumId="161" w15:restartNumberingAfterBreak="0">
    <w:nsid w:val="38E545F9"/>
    <w:multiLevelType w:val="hybridMultilevel"/>
    <w:tmpl w:val="FFFFFFFF"/>
    <w:lvl w:ilvl="0" w:tplc="CD3E645A">
      <w:start w:val="8"/>
      <w:numFmt w:val="lowerRoman"/>
      <w:lvlText w:val="%1."/>
      <w:lvlJc w:val="right"/>
      <w:pPr>
        <w:ind w:left="1080" w:hanging="360"/>
      </w:pPr>
    </w:lvl>
    <w:lvl w:ilvl="1" w:tplc="2DA0CF98">
      <w:start w:val="1"/>
      <w:numFmt w:val="lowerLetter"/>
      <w:lvlText w:val="%2."/>
      <w:lvlJc w:val="left"/>
      <w:pPr>
        <w:ind w:left="1440" w:hanging="360"/>
      </w:pPr>
    </w:lvl>
    <w:lvl w:ilvl="2" w:tplc="A02E78B2">
      <w:start w:val="1"/>
      <w:numFmt w:val="lowerRoman"/>
      <w:lvlText w:val="%3."/>
      <w:lvlJc w:val="right"/>
      <w:pPr>
        <w:ind w:left="2160" w:hanging="180"/>
      </w:pPr>
    </w:lvl>
    <w:lvl w:ilvl="3" w:tplc="B7BC3444">
      <w:start w:val="1"/>
      <w:numFmt w:val="decimal"/>
      <w:lvlText w:val="%4."/>
      <w:lvlJc w:val="left"/>
      <w:pPr>
        <w:ind w:left="2880" w:hanging="360"/>
      </w:pPr>
    </w:lvl>
    <w:lvl w:ilvl="4" w:tplc="A06E4C66">
      <w:start w:val="1"/>
      <w:numFmt w:val="lowerLetter"/>
      <w:lvlText w:val="%5."/>
      <w:lvlJc w:val="left"/>
      <w:pPr>
        <w:ind w:left="3600" w:hanging="360"/>
      </w:pPr>
    </w:lvl>
    <w:lvl w:ilvl="5" w:tplc="5A9C880A">
      <w:start w:val="1"/>
      <w:numFmt w:val="lowerRoman"/>
      <w:lvlText w:val="%6."/>
      <w:lvlJc w:val="right"/>
      <w:pPr>
        <w:ind w:left="4320" w:hanging="180"/>
      </w:pPr>
    </w:lvl>
    <w:lvl w:ilvl="6" w:tplc="7FFA1FEA">
      <w:start w:val="1"/>
      <w:numFmt w:val="decimal"/>
      <w:lvlText w:val="%7."/>
      <w:lvlJc w:val="left"/>
      <w:pPr>
        <w:ind w:left="5040" w:hanging="360"/>
      </w:pPr>
    </w:lvl>
    <w:lvl w:ilvl="7" w:tplc="C7441350">
      <w:start w:val="1"/>
      <w:numFmt w:val="lowerLetter"/>
      <w:lvlText w:val="%8."/>
      <w:lvlJc w:val="left"/>
      <w:pPr>
        <w:ind w:left="5760" w:hanging="360"/>
      </w:pPr>
    </w:lvl>
    <w:lvl w:ilvl="8" w:tplc="3CEA5ABA">
      <w:start w:val="1"/>
      <w:numFmt w:val="lowerRoman"/>
      <w:lvlText w:val="%9."/>
      <w:lvlJc w:val="right"/>
      <w:pPr>
        <w:ind w:left="6480" w:hanging="180"/>
      </w:pPr>
    </w:lvl>
  </w:abstractNum>
  <w:abstractNum w:abstractNumId="162" w15:restartNumberingAfterBreak="0">
    <w:nsid w:val="39249C31"/>
    <w:multiLevelType w:val="hybridMultilevel"/>
    <w:tmpl w:val="FFFFFFFF"/>
    <w:lvl w:ilvl="0" w:tplc="AF18CBC0">
      <w:start w:val="1"/>
      <w:numFmt w:val="decimal"/>
      <w:lvlText w:val="%1."/>
      <w:lvlJc w:val="left"/>
      <w:pPr>
        <w:ind w:left="720" w:hanging="360"/>
      </w:pPr>
    </w:lvl>
    <w:lvl w:ilvl="1" w:tplc="F8405570">
      <w:start w:val="1"/>
      <w:numFmt w:val="lowerLetter"/>
      <w:lvlText w:val="%2."/>
      <w:lvlJc w:val="left"/>
      <w:pPr>
        <w:ind w:left="1440" w:hanging="360"/>
      </w:pPr>
    </w:lvl>
    <w:lvl w:ilvl="2" w:tplc="35A683A8">
      <w:start w:val="1"/>
      <w:numFmt w:val="lowerRoman"/>
      <w:lvlText w:val="%3."/>
      <w:lvlJc w:val="right"/>
      <w:pPr>
        <w:ind w:left="2160" w:hanging="180"/>
      </w:pPr>
    </w:lvl>
    <w:lvl w:ilvl="3" w:tplc="5492BB0C">
      <w:start w:val="1"/>
      <w:numFmt w:val="decimal"/>
      <w:lvlText w:val="%4."/>
      <w:lvlJc w:val="left"/>
      <w:pPr>
        <w:ind w:left="2880" w:hanging="360"/>
      </w:pPr>
    </w:lvl>
    <w:lvl w:ilvl="4" w:tplc="2CC872C0">
      <w:start w:val="1"/>
      <w:numFmt w:val="lowerLetter"/>
      <w:lvlText w:val="%5."/>
      <w:lvlJc w:val="left"/>
      <w:pPr>
        <w:ind w:left="3600" w:hanging="360"/>
      </w:pPr>
    </w:lvl>
    <w:lvl w:ilvl="5" w:tplc="C6928C8E">
      <w:start w:val="1"/>
      <w:numFmt w:val="lowerRoman"/>
      <w:lvlText w:val="%6."/>
      <w:lvlJc w:val="right"/>
      <w:pPr>
        <w:ind w:left="4320" w:hanging="180"/>
      </w:pPr>
    </w:lvl>
    <w:lvl w:ilvl="6" w:tplc="B92AFC68">
      <w:start w:val="1"/>
      <w:numFmt w:val="decimal"/>
      <w:lvlText w:val="%7."/>
      <w:lvlJc w:val="left"/>
      <w:pPr>
        <w:ind w:left="5040" w:hanging="360"/>
      </w:pPr>
    </w:lvl>
    <w:lvl w:ilvl="7" w:tplc="E9829E46">
      <w:start w:val="1"/>
      <w:numFmt w:val="lowerLetter"/>
      <w:lvlText w:val="%8."/>
      <w:lvlJc w:val="left"/>
      <w:pPr>
        <w:ind w:left="5760" w:hanging="360"/>
      </w:pPr>
    </w:lvl>
    <w:lvl w:ilvl="8" w:tplc="8826978C">
      <w:start w:val="1"/>
      <w:numFmt w:val="lowerRoman"/>
      <w:lvlText w:val="%9."/>
      <w:lvlJc w:val="right"/>
      <w:pPr>
        <w:ind w:left="6480" w:hanging="180"/>
      </w:pPr>
    </w:lvl>
  </w:abstractNum>
  <w:abstractNum w:abstractNumId="163" w15:restartNumberingAfterBreak="0">
    <w:nsid w:val="39577F94"/>
    <w:multiLevelType w:val="hybridMultilevel"/>
    <w:tmpl w:val="FFFFFFFF"/>
    <w:lvl w:ilvl="0" w:tplc="5E4260EA">
      <w:start w:val="1"/>
      <w:numFmt w:val="decimal"/>
      <w:lvlText w:val="%1."/>
      <w:lvlJc w:val="left"/>
      <w:pPr>
        <w:ind w:left="720" w:hanging="360"/>
      </w:pPr>
    </w:lvl>
    <w:lvl w:ilvl="1" w:tplc="4432964E">
      <w:start w:val="4"/>
      <w:numFmt w:val="lowerRoman"/>
      <w:lvlText w:val="%2."/>
      <w:lvlJc w:val="right"/>
      <w:pPr>
        <w:ind w:left="1080" w:hanging="360"/>
      </w:pPr>
    </w:lvl>
    <w:lvl w:ilvl="2" w:tplc="C9D2F020">
      <w:start w:val="1"/>
      <w:numFmt w:val="lowerRoman"/>
      <w:lvlText w:val="%3."/>
      <w:lvlJc w:val="right"/>
      <w:pPr>
        <w:ind w:left="2160" w:hanging="180"/>
      </w:pPr>
    </w:lvl>
    <w:lvl w:ilvl="3" w:tplc="9B9E732E">
      <w:start w:val="1"/>
      <w:numFmt w:val="decimal"/>
      <w:lvlText w:val="%4."/>
      <w:lvlJc w:val="left"/>
      <w:pPr>
        <w:ind w:left="2880" w:hanging="360"/>
      </w:pPr>
    </w:lvl>
    <w:lvl w:ilvl="4" w:tplc="397CD67A">
      <w:start w:val="1"/>
      <w:numFmt w:val="lowerLetter"/>
      <w:lvlText w:val="%5."/>
      <w:lvlJc w:val="left"/>
      <w:pPr>
        <w:ind w:left="3600" w:hanging="360"/>
      </w:pPr>
    </w:lvl>
    <w:lvl w:ilvl="5" w:tplc="96AA810E">
      <w:start w:val="1"/>
      <w:numFmt w:val="lowerRoman"/>
      <w:lvlText w:val="%6."/>
      <w:lvlJc w:val="right"/>
      <w:pPr>
        <w:ind w:left="4320" w:hanging="180"/>
      </w:pPr>
    </w:lvl>
    <w:lvl w:ilvl="6" w:tplc="83FA91B2">
      <w:start w:val="1"/>
      <w:numFmt w:val="decimal"/>
      <w:lvlText w:val="%7."/>
      <w:lvlJc w:val="left"/>
      <w:pPr>
        <w:ind w:left="5040" w:hanging="360"/>
      </w:pPr>
    </w:lvl>
    <w:lvl w:ilvl="7" w:tplc="DADCA450">
      <w:start w:val="1"/>
      <w:numFmt w:val="lowerLetter"/>
      <w:lvlText w:val="%8."/>
      <w:lvlJc w:val="left"/>
      <w:pPr>
        <w:ind w:left="5760" w:hanging="360"/>
      </w:pPr>
    </w:lvl>
    <w:lvl w:ilvl="8" w:tplc="FBAEEBE4">
      <w:start w:val="1"/>
      <w:numFmt w:val="lowerRoman"/>
      <w:lvlText w:val="%9."/>
      <w:lvlJc w:val="right"/>
      <w:pPr>
        <w:ind w:left="6480" w:hanging="180"/>
      </w:pPr>
    </w:lvl>
  </w:abstractNum>
  <w:abstractNum w:abstractNumId="164" w15:restartNumberingAfterBreak="0">
    <w:nsid w:val="396E32F7"/>
    <w:multiLevelType w:val="hybridMultilevel"/>
    <w:tmpl w:val="FFFFFFFF"/>
    <w:lvl w:ilvl="0" w:tplc="FFDAECCE">
      <w:start w:val="1"/>
      <w:numFmt w:val="bullet"/>
      <w:lvlText w:val=""/>
      <w:lvlJc w:val="left"/>
      <w:pPr>
        <w:ind w:left="720" w:hanging="360"/>
      </w:pPr>
      <w:rPr>
        <w:rFonts w:ascii="Symbol" w:hAnsi="Symbol" w:hint="default"/>
      </w:rPr>
    </w:lvl>
    <w:lvl w:ilvl="1" w:tplc="4B404D60">
      <w:start w:val="1"/>
      <w:numFmt w:val="bullet"/>
      <w:lvlText w:val="o"/>
      <w:lvlJc w:val="left"/>
      <w:pPr>
        <w:ind w:left="1440" w:hanging="360"/>
      </w:pPr>
      <w:rPr>
        <w:rFonts w:ascii="Courier New" w:hAnsi="Courier New" w:hint="default"/>
      </w:rPr>
    </w:lvl>
    <w:lvl w:ilvl="2" w:tplc="B5DA099E">
      <w:start w:val="1"/>
      <w:numFmt w:val="bullet"/>
      <w:lvlText w:val=""/>
      <w:lvlJc w:val="left"/>
      <w:pPr>
        <w:ind w:left="2160" w:hanging="360"/>
      </w:pPr>
      <w:rPr>
        <w:rFonts w:ascii="Wingdings" w:hAnsi="Wingdings" w:hint="default"/>
      </w:rPr>
    </w:lvl>
    <w:lvl w:ilvl="3" w:tplc="337A44EE">
      <w:start w:val="1"/>
      <w:numFmt w:val="bullet"/>
      <w:lvlText w:val=""/>
      <w:lvlJc w:val="left"/>
      <w:pPr>
        <w:ind w:left="2880" w:hanging="360"/>
      </w:pPr>
      <w:rPr>
        <w:rFonts w:ascii="Symbol" w:hAnsi="Symbol" w:hint="default"/>
      </w:rPr>
    </w:lvl>
    <w:lvl w:ilvl="4" w:tplc="BDA884C2">
      <w:start w:val="1"/>
      <w:numFmt w:val="bullet"/>
      <w:lvlText w:val="o"/>
      <w:lvlJc w:val="left"/>
      <w:pPr>
        <w:ind w:left="3600" w:hanging="360"/>
      </w:pPr>
      <w:rPr>
        <w:rFonts w:ascii="Courier New" w:hAnsi="Courier New" w:hint="default"/>
      </w:rPr>
    </w:lvl>
    <w:lvl w:ilvl="5" w:tplc="9F74BCBC">
      <w:start w:val="1"/>
      <w:numFmt w:val="bullet"/>
      <w:lvlText w:val=""/>
      <w:lvlJc w:val="left"/>
      <w:pPr>
        <w:ind w:left="4320" w:hanging="360"/>
      </w:pPr>
      <w:rPr>
        <w:rFonts w:ascii="Wingdings" w:hAnsi="Wingdings" w:hint="default"/>
      </w:rPr>
    </w:lvl>
    <w:lvl w:ilvl="6" w:tplc="02A238AC">
      <w:start w:val="1"/>
      <w:numFmt w:val="bullet"/>
      <w:lvlText w:val=""/>
      <w:lvlJc w:val="left"/>
      <w:pPr>
        <w:ind w:left="5040" w:hanging="360"/>
      </w:pPr>
      <w:rPr>
        <w:rFonts w:ascii="Symbol" w:hAnsi="Symbol" w:hint="default"/>
      </w:rPr>
    </w:lvl>
    <w:lvl w:ilvl="7" w:tplc="7C4CDF48">
      <w:start w:val="1"/>
      <w:numFmt w:val="bullet"/>
      <w:lvlText w:val="o"/>
      <w:lvlJc w:val="left"/>
      <w:pPr>
        <w:ind w:left="5760" w:hanging="360"/>
      </w:pPr>
      <w:rPr>
        <w:rFonts w:ascii="Courier New" w:hAnsi="Courier New" w:hint="default"/>
      </w:rPr>
    </w:lvl>
    <w:lvl w:ilvl="8" w:tplc="769825D8">
      <w:start w:val="1"/>
      <w:numFmt w:val="bullet"/>
      <w:lvlText w:val=""/>
      <w:lvlJc w:val="left"/>
      <w:pPr>
        <w:ind w:left="6480" w:hanging="360"/>
      </w:pPr>
      <w:rPr>
        <w:rFonts w:ascii="Wingdings" w:hAnsi="Wingdings" w:hint="default"/>
      </w:rPr>
    </w:lvl>
  </w:abstractNum>
  <w:abstractNum w:abstractNumId="165" w15:restartNumberingAfterBreak="0">
    <w:nsid w:val="398CFC99"/>
    <w:multiLevelType w:val="hybridMultilevel"/>
    <w:tmpl w:val="FFFFFFFF"/>
    <w:lvl w:ilvl="0" w:tplc="4A921420">
      <w:start w:val="3"/>
      <w:numFmt w:val="lowerLetter"/>
      <w:lvlText w:val="%1)"/>
      <w:lvlJc w:val="left"/>
      <w:pPr>
        <w:ind w:left="720" w:hanging="360"/>
      </w:pPr>
    </w:lvl>
    <w:lvl w:ilvl="1" w:tplc="8B00FF40">
      <w:start w:val="1"/>
      <w:numFmt w:val="lowerLetter"/>
      <w:lvlText w:val="%2."/>
      <w:lvlJc w:val="left"/>
      <w:pPr>
        <w:ind w:left="1440" w:hanging="360"/>
      </w:pPr>
    </w:lvl>
    <w:lvl w:ilvl="2" w:tplc="F068739A">
      <w:start w:val="1"/>
      <w:numFmt w:val="lowerRoman"/>
      <w:lvlText w:val="%3."/>
      <w:lvlJc w:val="right"/>
      <w:pPr>
        <w:ind w:left="2160" w:hanging="180"/>
      </w:pPr>
    </w:lvl>
    <w:lvl w:ilvl="3" w:tplc="5E2E787C">
      <w:start w:val="1"/>
      <w:numFmt w:val="decimal"/>
      <w:lvlText w:val="%4."/>
      <w:lvlJc w:val="left"/>
      <w:pPr>
        <w:ind w:left="2880" w:hanging="360"/>
      </w:pPr>
    </w:lvl>
    <w:lvl w:ilvl="4" w:tplc="B832F648">
      <w:start w:val="1"/>
      <w:numFmt w:val="lowerLetter"/>
      <w:lvlText w:val="%5."/>
      <w:lvlJc w:val="left"/>
      <w:pPr>
        <w:ind w:left="3600" w:hanging="360"/>
      </w:pPr>
    </w:lvl>
    <w:lvl w:ilvl="5" w:tplc="C1708EE0">
      <w:start w:val="1"/>
      <w:numFmt w:val="lowerRoman"/>
      <w:lvlText w:val="%6."/>
      <w:lvlJc w:val="right"/>
      <w:pPr>
        <w:ind w:left="4320" w:hanging="180"/>
      </w:pPr>
    </w:lvl>
    <w:lvl w:ilvl="6" w:tplc="D1982C94">
      <w:start w:val="1"/>
      <w:numFmt w:val="decimal"/>
      <w:lvlText w:val="%7."/>
      <w:lvlJc w:val="left"/>
      <w:pPr>
        <w:ind w:left="5040" w:hanging="360"/>
      </w:pPr>
    </w:lvl>
    <w:lvl w:ilvl="7" w:tplc="9B9E9A40">
      <w:start w:val="1"/>
      <w:numFmt w:val="lowerLetter"/>
      <w:lvlText w:val="%8."/>
      <w:lvlJc w:val="left"/>
      <w:pPr>
        <w:ind w:left="5760" w:hanging="360"/>
      </w:pPr>
    </w:lvl>
    <w:lvl w:ilvl="8" w:tplc="F8403AE4">
      <w:start w:val="1"/>
      <w:numFmt w:val="lowerRoman"/>
      <w:lvlText w:val="%9."/>
      <w:lvlJc w:val="right"/>
      <w:pPr>
        <w:ind w:left="6480" w:hanging="180"/>
      </w:pPr>
    </w:lvl>
  </w:abstractNum>
  <w:abstractNum w:abstractNumId="166" w15:restartNumberingAfterBreak="0">
    <w:nsid w:val="39A360A6"/>
    <w:multiLevelType w:val="hybridMultilevel"/>
    <w:tmpl w:val="F74818D4"/>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7" w15:restartNumberingAfterBreak="0">
    <w:nsid w:val="39D1CB1B"/>
    <w:multiLevelType w:val="hybridMultilevel"/>
    <w:tmpl w:val="FFFFFFFF"/>
    <w:lvl w:ilvl="0" w:tplc="DE225354">
      <w:start w:val="1"/>
      <w:numFmt w:val="bullet"/>
      <w:lvlText w:val="-"/>
      <w:lvlJc w:val="left"/>
      <w:pPr>
        <w:ind w:left="1080" w:hanging="360"/>
      </w:pPr>
      <w:rPr>
        <w:rFonts w:ascii="MS Gothic" w:hAnsi="MS Gothic" w:hint="default"/>
      </w:rPr>
    </w:lvl>
    <w:lvl w:ilvl="1" w:tplc="12442F0A">
      <w:start w:val="1"/>
      <w:numFmt w:val="bullet"/>
      <w:lvlText w:val="o"/>
      <w:lvlJc w:val="left"/>
      <w:pPr>
        <w:ind w:left="1440" w:hanging="360"/>
      </w:pPr>
      <w:rPr>
        <w:rFonts w:ascii="Courier New" w:hAnsi="Courier New" w:hint="default"/>
      </w:rPr>
    </w:lvl>
    <w:lvl w:ilvl="2" w:tplc="F94EC444">
      <w:start w:val="1"/>
      <w:numFmt w:val="bullet"/>
      <w:lvlText w:val=""/>
      <w:lvlJc w:val="left"/>
      <w:pPr>
        <w:ind w:left="2160" w:hanging="360"/>
      </w:pPr>
      <w:rPr>
        <w:rFonts w:ascii="Wingdings" w:hAnsi="Wingdings" w:hint="default"/>
      </w:rPr>
    </w:lvl>
    <w:lvl w:ilvl="3" w:tplc="E6E20B66">
      <w:start w:val="1"/>
      <w:numFmt w:val="bullet"/>
      <w:lvlText w:val=""/>
      <w:lvlJc w:val="left"/>
      <w:pPr>
        <w:ind w:left="2880" w:hanging="360"/>
      </w:pPr>
      <w:rPr>
        <w:rFonts w:ascii="Symbol" w:hAnsi="Symbol" w:hint="default"/>
      </w:rPr>
    </w:lvl>
    <w:lvl w:ilvl="4" w:tplc="A4D282F6">
      <w:start w:val="1"/>
      <w:numFmt w:val="bullet"/>
      <w:lvlText w:val="o"/>
      <w:lvlJc w:val="left"/>
      <w:pPr>
        <w:ind w:left="3600" w:hanging="360"/>
      </w:pPr>
      <w:rPr>
        <w:rFonts w:ascii="Courier New" w:hAnsi="Courier New" w:hint="default"/>
      </w:rPr>
    </w:lvl>
    <w:lvl w:ilvl="5" w:tplc="83E45118">
      <w:start w:val="1"/>
      <w:numFmt w:val="bullet"/>
      <w:lvlText w:val=""/>
      <w:lvlJc w:val="left"/>
      <w:pPr>
        <w:ind w:left="4320" w:hanging="360"/>
      </w:pPr>
      <w:rPr>
        <w:rFonts w:ascii="Wingdings" w:hAnsi="Wingdings" w:hint="default"/>
      </w:rPr>
    </w:lvl>
    <w:lvl w:ilvl="6" w:tplc="67D49CD6">
      <w:start w:val="1"/>
      <w:numFmt w:val="bullet"/>
      <w:lvlText w:val=""/>
      <w:lvlJc w:val="left"/>
      <w:pPr>
        <w:ind w:left="5040" w:hanging="360"/>
      </w:pPr>
      <w:rPr>
        <w:rFonts w:ascii="Symbol" w:hAnsi="Symbol" w:hint="default"/>
      </w:rPr>
    </w:lvl>
    <w:lvl w:ilvl="7" w:tplc="35126EA2">
      <w:start w:val="1"/>
      <w:numFmt w:val="bullet"/>
      <w:lvlText w:val="o"/>
      <w:lvlJc w:val="left"/>
      <w:pPr>
        <w:ind w:left="5760" w:hanging="360"/>
      </w:pPr>
      <w:rPr>
        <w:rFonts w:ascii="Courier New" w:hAnsi="Courier New" w:hint="default"/>
      </w:rPr>
    </w:lvl>
    <w:lvl w:ilvl="8" w:tplc="97760528">
      <w:start w:val="1"/>
      <w:numFmt w:val="bullet"/>
      <w:lvlText w:val=""/>
      <w:lvlJc w:val="left"/>
      <w:pPr>
        <w:ind w:left="6480" w:hanging="360"/>
      </w:pPr>
      <w:rPr>
        <w:rFonts w:ascii="Wingdings" w:hAnsi="Wingdings" w:hint="default"/>
      </w:rPr>
    </w:lvl>
  </w:abstractNum>
  <w:abstractNum w:abstractNumId="168" w15:restartNumberingAfterBreak="0">
    <w:nsid w:val="39D73433"/>
    <w:multiLevelType w:val="hybridMultilevel"/>
    <w:tmpl w:val="FFFFFFFF"/>
    <w:lvl w:ilvl="0" w:tplc="8B48F09A">
      <w:start w:val="3"/>
      <w:numFmt w:val="decimal"/>
      <w:lvlText w:val="%1."/>
      <w:lvlJc w:val="left"/>
      <w:pPr>
        <w:ind w:left="720" w:hanging="360"/>
      </w:pPr>
    </w:lvl>
    <w:lvl w:ilvl="1" w:tplc="F28A1DCE">
      <w:start w:val="1"/>
      <w:numFmt w:val="lowerLetter"/>
      <w:lvlText w:val="%2."/>
      <w:lvlJc w:val="left"/>
      <w:pPr>
        <w:ind w:left="1440" w:hanging="360"/>
      </w:pPr>
    </w:lvl>
    <w:lvl w:ilvl="2" w:tplc="DB1A1BB2">
      <w:start w:val="1"/>
      <w:numFmt w:val="lowerRoman"/>
      <w:lvlText w:val="%3."/>
      <w:lvlJc w:val="right"/>
      <w:pPr>
        <w:ind w:left="2160" w:hanging="180"/>
      </w:pPr>
    </w:lvl>
    <w:lvl w:ilvl="3" w:tplc="C4F45812">
      <w:start w:val="1"/>
      <w:numFmt w:val="decimal"/>
      <w:lvlText w:val="%4."/>
      <w:lvlJc w:val="left"/>
      <w:pPr>
        <w:ind w:left="2880" w:hanging="360"/>
      </w:pPr>
    </w:lvl>
    <w:lvl w:ilvl="4" w:tplc="2AF8BB2E">
      <w:start w:val="1"/>
      <w:numFmt w:val="lowerLetter"/>
      <w:lvlText w:val="%5."/>
      <w:lvlJc w:val="left"/>
      <w:pPr>
        <w:ind w:left="3600" w:hanging="360"/>
      </w:pPr>
    </w:lvl>
    <w:lvl w:ilvl="5" w:tplc="647089BA">
      <w:start w:val="1"/>
      <w:numFmt w:val="lowerRoman"/>
      <w:lvlText w:val="%6."/>
      <w:lvlJc w:val="right"/>
      <w:pPr>
        <w:ind w:left="4320" w:hanging="180"/>
      </w:pPr>
    </w:lvl>
    <w:lvl w:ilvl="6" w:tplc="1A72EBDC">
      <w:start w:val="1"/>
      <w:numFmt w:val="decimal"/>
      <w:lvlText w:val="%7."/>
      <w:lvlJc w:val="left"/>
      <w:pPr>
        <w:ind w:left="5040" w:hanging="360"/>
      </w:pPr>
    </w:lvl>
    <w:lvl w:ilvl="7" w:tplc="DB4EF1E8">
      <w:start w:val="1"/>
      <w:numFmt w:val="lowerLetter"/>
      <w:lvlText w:val="%8."/>
      <w:lvlJc w:val="left"/>
      <w:pPr>
        <w:ind w:left="5760" w:hanging="360"/>
      </w:pPr>
    </w:lvl>
    <w:lvl w:ilvl="8" w:tplc="148A6BC4">
      <w:start w:val="1"/>
      <w:numFmt w:val="lowerRoman"/>
      <w:lvlText w:val="%9."/>
      <w:lvlJc w:val="right"/>
      <w:pPr>
        <w:ind w:left="6480" w:hanging="180"/>
      </w:pPr>
    </w:lvl>
  </w:abstractNum>
  <w:abstractNum w:abstractNumId="169" w15:restartNumberingAfterBreak="0">
    <w:nsid w:val="3A02227A"/>
    <w:multiLevelType w:val="hybridMultilevel"/>
    <w:tmpl w:val="C5B41DBA"/>
    <w:lvl w:ilvl="0" w:tplc="BAA6F1B0">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0" w15:restartNumberingAfterBreak="0">
    <w:nsid w:val="3A32E396"/>
    <w:multiLevelType w:val="hybridMultilevel"/>
    <w:tmpl w:val="FFFFFFFF"/>
    <w:lvl w:ilvl="0" w:tplc="D4206408">
      <w:start w:val="3"/>
      <w:numFmt w:val="decimal"/>
      <w:lvlText w:val="%1."/>
      <w:lvlJc w:val="left"/>
      <w:pPr>
        <w:ind w:left="720" w:hanging="360"/>
      </w:pPr>
    </w:lvl>
    <w:lvl w:ilvl="1" w:tplc="157C765A">
      <w:start w:val="1"/>
      <w:numFmt w:val="lowerLetter"/>
      <w:lvlText w:val="%2."/>
      <w:lvlJc w:val="left"/>
      <w:pPr>
        <w:ind w:left="1440" w:hanging="360"/>
      </w:pPr>
    </w:lvl>
    <w:lvl w:ilvl="2" w:tplc="E60CF3D0">
      <w:start w:val="1"/>
      <w:numFmt w:val="lowerRoman"/>
      <w:lvlText w:val="%3."/>
      <w:lvlJc w:val="right"/>
      <w:pPr>
        <w:ind w:left="2160" w:hanging="180"/>
      </w:pPr>
    </w:lvl>
    <w:lvl w:ilvl="3" w:tplc="2A765D80">
      <w:start w:val="1"/>
      <w:numFmt w:val="decimal"/>
      <w:lvlText w:val="%4."/>
      <w:lvlJc w:val="left"/>
      <w:pPr>
        <w:ind w:left="2880" w:hanging="360"/>
      </w:pPr>
    </w:lvl>
    <w:lvl w:ilvl="4" w:tplc="635299F4">
      <w:start w:val="1"/>
      <w:numFmt w:val="lowerLetter"/>
      <w:lvlText w:val="%5."/>
      <w:lvlJc w:val="left"/>
      <w:pPr>
        <w:ind w:left="3600" w:hanging="360"/>
      </w:pPr>
    </w:lvl>
    <w:lvl w:ilvl="5" w:tplc="A8DC7814">
      <w:start w:val="1"/>
      <w:numFmt w:val="lowerRoman"/>
      <w:lvlText w:val="%6."/>
      <w:lvlJc w:val="right"/>
      <w:pPr>
        <w:ind w:left="4320" w:hanging="180"/>
      </w:pPr>
    </w:lvl>
    <w:lvl w:ilvl="6" w:tplc="033C5362">
      <w:start w:val="1"/>
      <w:numFmt w:val="decimal"/>
      <w:lvlText w:val="%7."/>
      <w:lvlJc w:val="left"/>
      <w:pPr>
        <w:ind w:left="5040" w:hanging="360"/>
      </w:pPr>
    </w:lvl>
    <w:lvl w:ilvl="7" w:tplc="7124DBC4">
      <w:start w:val="1"/>
      <w:numFmt w:val="lowerLetter"/>
      <w:lvlText w:val="%8."/>
      <w:lvlJc w:val="left"/>
      <w:pPr>
        <w:ind w:left="5760" w:hanging="360"/>
      </w:pPr>
    </w:lvl>
    <w:lvl w:ilvl="8" w:tplc="95928EDC">
      <w:start w:val="1"/>
      <w:numFmt w:val="lowerRoman"/>
      <w:lvlText w:val="%9."/>
      <w:lvlJc w:val="right"/>
      <w:pPr>
        <w:ind w:left="6480" w:hanging="180"/>
      </w:pPr>
    </w:lvl>
  </w:abstractNum>
  <w:abstractNum w:abstractNumId="171" w15:restartNumberingAfterBreak="0">
    <w:nsid w:val="3AB44722"/>
    <w:multiLevelType w:val="hybridMultilevel"/>
    <w:tmpl w:val="66A2DCA0"/>
    <w:lvl w:ilvl="0" w:tplc="9484F038">
      <w:start w:val="1"/>
      <w:numFmt w:val="bullet"/>
      <w:lvlText w:val=""/>
      <w:lvlJc w:val="left"/>
      <w:pPr>
        <w:ind w:left="720" w:hanging="360"/>
      </w:pPr>
      <w:rPr>
        <w:rFonts w:ascii="Symbol" w:hAnsi="Symbol"/>
      </w:rPr>
    </w:lvl>
    <w:lvl w:ilvl="1" w:tplc="2E22280C">
      <w:start w:val="1"/>
      <w:numFmt w:val="bullet"/>
      <w:lvlText w:val=""/>
      <w:lvlJc w:val="left"/>
      <w:pPr>
        <w:ind w:left="720" w:hanging="360"/>
      </w:pPr>
      <w:rPr>
        <w:rFonts w:ascii="Symbol" w:hAnsi="Symbol"/>
      </w:rPr>
    </w:lvl>
    <w:lvl w:ilvl="2" w:tplc="C3089C7E">
      <w:start w:val="1"/>
      <w:numFmt w:val="bullet"/>
      <w:lvlText w:val=""/>
      <w:lvlJc w:val="left"/>
      <w:pPr>
        <w:ind w:left="720" w:hanging="360"/>
      </w:pPr>
      <w:rPr>
        <w:rFonts w:ascii="Symbol" w:hAnsi="Symbol"/>
      </w:rPr>
    </w:lvl>
    <w:lvl w:ilvl="3" w:tplc="FB82426E">
      <w:start w:val="1"/>
      <w:numFmt w:val="bullet"/>
      <w:lvlText w:val=""/>
      <w:lvlJc w:val="left"/>
      <w:pPr>
        <w:ind w:left="720" w:hanging="360"/>
      </w:pPr>
      <w:rPr>
        <w:rFonts w:ascii="Symbol" w:hAnsi="Symbol"/>
      </w:rPr>
    </w:lvl>
    <w:lvl w:ilvl="4" w:tplc="CFFC9E52">
      <w:start w:val="1"/>
      <w:numFmt w:val="bullet"/>
      <w:lvlText w:val=""/>
      <w:lvlJc w:val="left"/>
      <w:pPr>
        <w:ind w:left="720" w:hanging="360"/>
      </w:pPr>
      <w:rPr>
        <w:rFonts w:ascii="Symbol" w:hAnsi="Symbol"/>
      </w:rPr>
    </w:lvl>
    <w:lvl w:ilvl="5" w:tplc="53880E42">
      <w:start w:val="1"/>
      <w:numFmt w:val="bullet"/>
      <w:lvlText w:val=""/>
      <w:lvlJc w:val="left"/>
      <w:pPr>
        <w:ind w:left="720" w:hanging="360"/>
      </w:pPr>
      <w:rPr>
        <w:rFonts w:ascii="Symbol" w:hAnsi="Symbol"/>
      </w:rPr>
    </w:lvl>
    <w:lvl w:ilvl="6" w:tplc="52A4CD38">
      <w:start w:val="1"/>
      <w:numFmt w:val="bullet"/>
      <w:lvlText w:val=""/>
      <w:lvlJc w:val="left"/>
      <w:pPr>
        <w:ind w:left="720" w:hanging="360"/>
      </w:pPr>
      <w:rPr>
        <w:rFonts w:ascii="Symbol" w:hAnsi="Symbol"/>
      </w:rPr>
    </w:lvl>
    <w:lvl w:ilvl="7" w:tplc="87AE8786">
      <w:start w:val="1"/>
      <w:numFmt w:val="bullet"/>
      <w:lvlText w:val=""/>
      <w:lvlJc w:val="left"/>
      <w:pPr>
        <w:ind w:left="720" w:hanging="360"/>
      </w:pPr>
      <w:rPr>
        <w:rFonts w:ascii="Symbol" w:hAnsi="Symbol"/>
      </w:rPr>
    </w:lvl>
    <w:lvl w:ilvl="8" w:tplc="972E252C">
      <w:start w:val="1"/>
      <w:numFmt w:val="bullet"/>
      <w:lvlText w:val=""/>
      <w:lvlJc w:val="left"/>
      <w:pPr>
        <w:ind w:left="720" w:hanging="360"/>
      </w:pPr>
      <w:rPr>
        <w:rFonts w:ascii="Symbol" w:hAnsi="Symbol"/>
      </w:rPr>
    </w:lvl>
  </w:abstractNum>
  <w:abstractNum w:abstractNumId="172" w15:restartNumberingAfterBreak="0">
    <w:nsid w:val="3ADB971C"/>
    <w:multiLevelType w:val="hybridMultilevel"/>
    <w:tmpl w:val="FFFFFFFF"/>
    <w:lvl w:ilvl="0" w:tplc="BC467014">
      <w:start w:val="5"/>
      <w:numFmt w:val="lowerRoman"/>
      <w:lvlText w:val="%1."/>
      <w:lvlJc w:val="right"/>
      <w:pPr>
        <w:ind w:left="1080" w:hanging="360"/>
      </w:pPr>
    </w:lvl>
    <w:lvl w:ilvl="1" w:tplc="4746C914">
      <w:start w:val="1"/>
      <w:numFmt w:val="lowerLetter"/>
      <w:lvlText w:val="%2."/>
      <w:lvlJc w:val="left"/>
      <w:pPr>
        <w:ind w:left="1440" w:hanging="360"/>
      </w:pPr>
    </w:lvl>
    <w:lvl w:ilvl="2" w:tplc="B7FCDB6A">
      <w:start w:val="1"/>
      <w:numFmt w:val="lowerRoman"/>
      <w:lvlText w:val="%3."/>
      <w:lvlJc w:val="right"/>
      <w:pPr>
        <w:ind w:left="2160" w:hanging="180"/>
      </w:pPr>
    </w:lvl>
    <w:lvl w:ilvl="3" w:tplc="25FCA64C">
      <w:start w:val="1"/>
      <w:numFmt w:val="decimal"/>
      <w:lvlText w:val="%4."/>
      <w:lvlJc w:val="left"/>
      <w:pPr>
        <w:ind w:left="2880" w:hanging="360"/>
      </w:pPr>
    </w:lvl>
    <w:lvl w:ilvl="4" w:tplc="3044FDA6">
      <w:start w:val="1"/>
      <w:numFmt w:val="lowerLetter"/>
      <w:lvlText w:val="%5."/>
      <w:lvlJc w:val="left"/>
      <w:pPr>
        <w:ind w:left="3600" w:hanging="360"/>
      </w:pPr>
    </w:lvl>
    <w:lvl w:ilvl="5" w:tplc="75F80B28">
      <w:start w:val="1"/>
      <w:numFmt w:val="lowerRoman"/>
      <w:lvlText w:val="%6."/>
      <w:lvlJc w:val="right"/>
      <w:pPr>
        <w:ind w:left="4320" w:hanging="180"/>
      </w:pPr>
    </w:lvl>
    <w:lvl w:ilvl="6" w:tplc="73FE4E22">
      <w:start w:val="1"/>
      <w:numFmt w:val="decimal"/>
      <w:lvlText w:val="%7."/>
      <w:lvlJc w:val="left"/>
      <w:pPr>
        <w:ind w:left="5040" w:hanging="360"/>
      </w:pPr>
    </w:lvl>
    <w:lvl w:ilvl="7" w:tplc="F3968240">
      <w:start w:val="1"/>
      <w:numFmt w:val="lowerLetter"/>
      <w:lvlText w:val="%8."/>
      <w:lvlJc w:val="left"/>
      <w:pPr>
        <w:ind w:left="5760" w:hanging="360"/>
      </w:pPr>
    </w:lvl>
    <w:lvl w:ilvl="8" w:tplc="682CE082">
      <w:start w:val="1"/>
      <w:numFmt w:val="lowerRoman"/>
      <w:lvlText w:val="%9."/>
      <w:lvlJc w:val="right"/>
      <w:pPr>
        <w:ind w:left="6480" w:hanging="180"/>
      </w:pPr>
    </w:lvl>
  </w:abstractNum>
  <w:abstractNum w:abstractNumId="173" w15:restartNumberingAfterBreak="0">
    <w:nsid w:val="3B684F80"/>
    <w:multiLevelType w:val="hybridMultilevel"/>
    <w:tmpl w:val="6D5E35EA"/>
    <w:lvl w:ilvl="0" w:tplc="18090017">
      <w:start w:val="1"/>
      <w:numFmt w:val="lowerLetter"/>
      <w:lvlText w:val="%1)"/>
      <w:lvlJc w:val="left"/>
      <w:pPr>
        <w:ind w:left="1069" w:hanging="360"/>
      </w:p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74" w15:restartNumberingAfterBreak="0">
    <w:nsid w:val="3B7F5A7B"/>
    <w:multiLevelType w:val="hybridMultilevel"/>
    <w:tmpl w:val="FFFFFFFF"/>
    <w:lvl w:ilvl="0" w:tplc="A8A8A892">
      <w:start w:val="1"/>
      <w:numFmt w:val="bullet"/>
      <w:lvlText w:val=""/>
      <w:lvlJc w:val="left"/>
      <w:pPr>
        <w:ind w:left="720" w:hanging="360"/>
      </w:pPr>
      <w:rPr>
        <w:rFonts w:ascii="Symbol" w:hAnsi="Symbol" w:hint="default"/>
      </w:rPr>
    </w:lvl>
    <w:lvl w:ilvl="1" w:tplc="8CA41C64">
      <w:start w:val="1"/>
      <w:numFmt w:val="bullet"/>
      <w:lvlText w:val="o"/>
      <w:lvlJc w:val="left"/>
      <w:pPr>
        <w:ind w:left="1440" w:hanging="360"/>
      </w:pPr>
      <w:rPr>
        <w:rFonts w:ascii="Courier New" w:hAnsi="Courier New" w:hint="default"/>
      </w:rPr>
    </w:lvl>
    <w:lvl w:ilvl="2" w:tplc="69520452">
      <w:start w:val="1"/>
      <w:numFmt w:val="bullet"/>
      <w:lvlText w:val=""/>
      <w:lvlJc w:val="left"/>
      <w:pPr>
        <w:ind w:left="2160" w:hanging="360"/>
      </w:pPr>
      <w:rPr>
        <w:rFonts w:ascii="Wingdings" w:hAnsi="Wingdings" w:hint="default"/>
      </w:rPr>
    </w:lvl>
    <w:lvl w:ilvl="3" w:tplc="3B20C54E">
      <w:start w:val="1"/>
      <w:numFmt w:val="bullet"/>
      <w:lvlText w:val=""/>
      <w:lvlJc w:val="left"/>
      <w:pPr>
        <w:ind w:left="2880" w:hanging="360"/>
      </w:pPr>
      <w:rPr>
        <w:rFonts w:ascii="Symbol" w:hAnsi="Symbol" w:hint="default"/>
      </w:rPr>
    </w:lvl>
    <w:lvl w:ilvl="4" w:tplc="DDD60F56">
      <w:start w:val="1"/>
      <w:numFmt w:val="bullet"/>
      <w:lvlText w:val="o"/>
      <w:lvlJc w:val="left"/>
      <w:pPr>
        <w:ind w:left="3600" w:hanging="360"/>
      </w:pPr>
      <w:rPr>
        <w:rFonts w:ascii="Courier New" w:hAnsi="Courier New" w:hint="default"/>
      </w:rPr>
    </w:lvl>
    <w:lvl w:ilvl="5" w:tplc="C78A9DCC">
      <w:start w:val="1"/>
      <w:numFmt w:val="bullet"/>
      <w:lvlText w:val=""/>
      <w:lvlJc w:val="left"/>
      <w:pPr>
        <w:ind w:left="4320" w:hanging="360"/>
      </w:pPr>
      <w:rPr>
        <w:rFonts w:ascii="Wingdings" w:hAnsi="Wingdings" w:hint="default"/>
      </w:rPr>
    </w:lvl>
    <w:lvl w:ilvl="6" w:tplc="44FCDB80">
      <w:start w:val="1"/>
      <w:numFmt w:val="bullet"/>
      <w:lvlText w:val=""/>
      <w:lvlJc w:val="left"/>
      <w:pPr>
        <w:ind w:left="5040" w:hanging="360"/>
      </w:pPr>
      <w:rPr>
        <w:rFonts w:ascii="Symbol" w:hAnsi="Symbol" w:hint="default"/>
      </w:rPr>
    </w:lvl>
    <w:lvl w:ilvl="7" w:tplc="44ACDA96">
      <w:start w:val="1"/>
      <w:numFmt w:val="bullet"/>
      <w:lvlText w:val="o"/>
      <w:lvlJc w:val="left"/>
      <w:pPr>
        <w:ind w:left="5760" w:hanging="360"/>
      </w:pPr>
      <w:rPr>
        <w:rFonts w:ascii="Courier New" w:hAnsi="Courier New" w:hint="default"/>
      </w:rPr>
    </w:lvl>
    <w:lvl w:ilvl="8" w:tplc="69FC611C">
      <w:start w:val="1"/>
      <w:numFmt w:val="bullet"/>
      <w:lvlText w:val=""/>
      <w:lvlJc w:val="left"/>
      <w:pPr>
        <w:ind w:left="6480" w:hanging="360"/>
      </w:pPr>
      <w:rPr>
        <w:rFonts w:ascii="Wingdings" w:hAnsi="Wingdings" w:hint="default"/>
      </w:rPr>
    </w:lvl>
  </w:abstractNum>
  <w:abstractNum w:abstractNumId="175" w15:restartNumberingAfterBreak="0">
    <w:nsid w:val="3C291BF8"/>
    <w:multiLevelType w:val="hybridMultilevel"/>
    <w:tmpl w:val="FFFFFFFF"/>
    <w:lvl w:ilvl="0" w:tplc="B208547A">
      <w:start w:val="1"/>
      <w:numFmt w:val="decimal"/>
      <w:lvlText w:val="%1."/>
      <w:lvlJc w:val="left"/>
      <w:pPr>
        <w:ind w:left="720" w:hanging="360"/>
      </w:pPr>
    </w:lvl>
    <w:lvl w:ilvl="1" w:tplc="48BA55E0">
      <w:start w:val="1"/>
      <w:numFmt w:val="lowerLetter"/>
      <w:lvlText w:val="%2."/>
      <w:lvlJc w:val="left"/>
      <w:pPr>
        <w:ind w:left="1440" w:hanging="360"/>
      </w:pPr>
    </w:lvl>
    <w:lvl w:ilvl="2" w:tplc="FBD24EE2">
      <w:start w:val="1"/>
      <w:numFmt w:val="lowerRoman"/>
      <w:lvlText w:val="%3."/>
      <w:lvlJc w:val="right"/>
      <w:pPr>
        <w:ind w:left="2160" w:hanging="180"/>
      </w:pPr>
    </w:lvl>
    <w:lvl w:ilvl="3" w:tplc="C1C8D0CC">
      <w:start w:val="1"/>
      <w:numFmt w:val="decimal"/>
      <w:lvlText w:val="%4."/>
      <w:lvlJc w:val="left"/>
      <w:pPr>
        <w:ind w:left="2880" w:hanging="360"/>
      </w:pPr>
    </w:lvl>
    <w:lvl w:ilvl="4" w:tplc="DB947D98">
      <w:start w:val="1"/>
      <w:numFmt w:val="lowerLetter"/>
      <w:lvlText w:val="%5."/>
      <w:lvlJc w:val="left"/>
      <w:pPr>
        <w:ind w:left="3600" w:hanging="360"/>
      </w:pPr>
    </w:lvl>
    <w:lvl w:ilvl="5" w:tplc="BD12E13A">
      <w:start w:val="1"/>
      <w:numFmt w:val="lowerRoman"/>
      <w:lvlText w:val="%6."/>
      <w:lvlJc w:val="right"/>
      <w:pPr>
        <w:ind w:left="4320" w:hanging="180"/>
      </w:pPr>
    </w:lvl>
    <w:lvl w:ilvl="6" w:tplc="0D50F84E">
      <w:start w:val="1"/>
      <w:numFmt w:val="decimal"/>
      <w:lvlText w:val="%7."/>
      <w:lvlJc w:val="left"/>
      <w:pPr>
        <w:ind w:left="5040" w:hanging="360"/>
      </w:pPr>
    </w:lvl>
    <w:lvl w:ilvl="7" w:tplc="7CA2C86A">
      <w:start w:val="1"/>
      <w:numFmt w:val="lowerLetter"/>
      <w:lvlText w:val="%8."/>
      <w:lvlJc w:val="left"/>
      <w:pPr>
        <w:ind w:left="5760" w:hanging="360"/>
      </w:pPr>
    </w:lvl>
    <w:lvl w:ilvl="8" w:tplc="11C4EABE">
      <w:start w:val="1"/>
      <w:numFmt w:val="lowerRoman"/>
      <w:lvlText w:val="%9."/>
      <w:lvlJc w:val="right"/>
      <w:pPr>
        <w:ind w:left="6480" w:hanging="180"/>
      </w:pPr>
    </w:lvl>
  </w:abstractNum>
  <w:abstractNum w:abstractNumId="176" w15:restartNumberingAfterBreak="0">
    <w:nsid w:val="3D761110"/>
    <w:multiLevelType w:val="multilevel"/>
    <w:tmpl w:val="A69068D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7" w15:restartNumberingAfterBreak="0">
    <w:nsid w:val="3D85594C"/>
    <w:multiLevelType w:val="multilevel"/>
    <w:tmpl w:val="18FCDA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8" w15:restartNumberingAfterBreak="0">
    <w:nsid w:val="3DCCB424"/>
    <w:multiLevelType w:val="hybridMultilevel"/>
    <w:tmpl w:val="FFFFFFFF"/>
    <w:lvl w:ilvl="0" w:tplc="4FDC093E">
      <w:start w:val="4"/>
      <w:numFmt w:val="decimal"/>
      <w:lvlText w:val="%1."/>
      <w:lvlJc w:val="left"/>
      <w:pPr>
        <w:ind w:left="720" w:hanging="360"/>
      </w:pPr>
    </w:lvl>
    <w:lvl w:ilvl="1" w:tplc="E5C0A6EC">
      <w:start w:val="1"/>
      <w:numFmt w:val="lowerLetter"/>
      <w:lvlText w:val="%2."/>
      <w:lvlJc w:val="left"/>
      <w:pPr>
        <w:ind w:left="1440" w:hanging="360"/>
      </w:pPr>
    </w:lvl>
    <w:lvl w:ilvl="2" w:tplc="210E6A04">
      <w:start w:val="1"/>
      <w:numFmt w:val="lowerRoman"/>
      <w:lvlText w:val="%3."/>
      <w:lvlJc w:val="right"/>
      <w:pPr>
        <w:ind w:left="2160" w:hanging="180"/>
      </w:pPr>
    </w:lvl>
    <w:lvl w:ilvl="3" w:tplc="ACAA9282">
      <w:start w:val="1"/>
      <w:numFmt w:val="decimal"/>
      <w:lvlText w:val="%4."/>
      <w:lvlJc w:val="left"/>
      <w:pPr>
        <w:ind w:left="2880" w:hanging="360"/>
      </w:pPr>
    </w:lvl>
    <w:lvl w:ilvl="4" w:tplc="2E1E956E">
      <w:start w:val="1"/>
      <w:numFmt w:val="lowerLetter"/>
      <w:lvlText w:val="%5."/>
      <w:lvlJc w:val="left"/>
      <w:pPr>
        <w:ind w:left="3600" w:hanging="360"/>
      </w:pPr>
    </w:lvl>
    <w:lvl w:ilvl="5" w:tplc="2826B842">
      <w:start w:val="1"/>
      <w:numFmt w:val="lowerRoman"/>
      <w:lvlText w:val="%6."/>
      <w:lvlJc w:val="right"/>
      <w:pPr>
        <w:ind w:left="4320" w:hanging="180"/>
      </w:pPr>
    </w:lvl>
    <w:lvl w:ilvl="6" w:tplc="5F081998">
      <w:start w:val="1"/>
      <w:numFmt w:val="decimal"/>
      <w:lvlText w:val="%7."/>
      <w:lvlJc w:val="left"/>
      <w:pPr>
        <w:ind w:left="5040" w:hanging="360"/>
      </w:pPr>
    </w:lvl>
    <w:lvl w:ilvl="7" w:tplc="540A65FA">
      <w:start w:val="1"/>
      <w:numFmt w:val="lowerLetter"/>
      <w:lvlText w:val="%8."/>
      <w:lvlJc w:val="left"/>
      <w:pPr>
        <w:ind w:left="5760" w:hanging="360"/>
      </w:pPr>
    </w:lvl>
    <w:lvl w:ilvl="8" w:tplc="C142A5AC">
      <w:start w:val="1"/>
      <w:numFmt w:val="lowerRoman"/>
      <w:lvlText w:val="%9."/>
      <w:lvlJc w:val="right"/>
      <w:pPr>
        <w:ind w:left="6480" w:hanging="180"/>
      </w:pPr>
    </w:lvl>
  </w:abstractNum>
  <w:abstractNum w:abstractNumId="179" w15:restartNumberingAfterBreak="0">
    <w:nsid w:val="3DF2CBBC"/>
    <w:multiLevelType w:val="hybridMultilevel"/>
    <w:tmpl w:val="FFFFFFFF"/>
    <w:lvl w:ilvl="0" w:tplc="9DAAF7A2">
      <w:start w:val="3"/>
      <w:numFmt w:val="lowerRoman"/>
      <w:lvlText w:val="%1."/>
      <w:lvlJc w:val="right"/>
      <w:pPr>
        <w:ind w:left="1080" w:hanging="360"/>
      </w:pPr>
    </w:lvl>
    <w:lvl w:ilvl="1" w:tplc="937A367A">
      <w:start w:val="1"/>
      <w:numFmt w:val="lowerLetter"/>
      <w:lvlText w:val="%2."/>
      <w:lvlJc w:val="left"/>
      <w:pPr>
        <w:ind w:left="1440" w:hanging="360"/>
      </w:pPr>
    </w:lvl>
    <w:lvl w:ilvl="2" w:tplc="56509FE4">
      <w:start w:val="1"/>
      <w:numFmt w:val="lowerRoman"/>
      <w:lvlText w:val="%3."/>
      <w:lvlJc w:val="right"/>
      <w:pPr>
        <w:ind w:left="2160" w:hanging="180"/>
      </w:pPr>
    </w:lvl>
    <w:lvl w:ilvl="3" w:tplc="755A7540">
      <w:start w:val="1"/>
      <w:numFmt w:val="decimal"/>
      <w:lvlText w:val="%4."/>
      <w:lvlJc w:val="left"/>
      <w:pPr>
        <w:ind w:left="2880" w:hanging="360"/>
      </w:pPr>
    </w:lvl>
    <w:lvl w:ilvl="4" w:tplc="83747E38">
      <w:start w:val="1"/>
      <w:numFmt w:val="lowerLetter"/>
      <w:lvlText w:val="%5."/>
      <w:lvlJc w:val="left"/>
      <w:pPr>
        <w:ind w:left="3600" w:hanging="360"/>
      </w:pPr>
    </w:lvl>
    <w:lvl w:ilvl="5" w:tplc="A344D91A">
      <w:start w:val="1"/>
      <w:numFmt w:val="lowerRoman"/>
      <w:lvlText w:val="%6."/>
      <w:lvlJc w:val="right"/>
      <w:pPr>
        <w:ind w:left="4320" w:hanging="180"/>
      </w:pPr>
    </w:lvl>
    <w:lvl w:ilvl="6" w:tplc="4DD42A94">
      <w:start w:val="1"/>
      <w:numFmt w:val="decimal"/>
      <w:lvlText w:val="%7."/>
      <w:lvlJc w:val="left"/>
      <w:pPr>
        <w:ind w:left="5040" w:hanging="360"/>
      </w:pPr>
    </w:lvl>
    <w:lvl w:ilvl="7" w:tplc="FC7CDD78">
      <w:start w:val="1"/>
      <w:numFmt w:val="lowerLetter"/>
      <w:lvlText w:val="%8."/>
      <w:lvlJc w:val="left"/>
      <w:pPr>
        <w:ind w:left="5760" w:hanging="360"/>
      </w:pPr>
    </w:lvl>
    <w:lvl w:ilvl="8" w:tplc="CF8CD0A6">
      <w:start w:val="1"/>
      <w:numFmt w:val="lowerRoman"/>
      <w:lvlText w:val="%9."/>
      <w:lvlJc w:val="right"/>
      <w:pPr>
        <w:ind w:left="6480" w:hanging="180"/>
      </w:pPr>
    </w:lvl>
  </w:abstractNum>
  <w:abstractNum w:abstractNumId="180" w15:restartNumberingAfterBreak="0">
    <w:nsid w:val="3DF43027"/>
    <w:multiLevelType w:val="hybridMultilevel"/>
    <w:tmpl w:val="FFFFFFFF"/>
    <w:lvl w:ilvl="0" w:tplc="E3E0AA96">
      <w:start w:val="1"/>
      <w:numFmt w:val="decimal"/>
      <w:lvlText w:val="%1."/>
      <w:lvlJc w:val="left"/>
      <w:pPr>
        <w:ind w:left="720" w:hanging="360"/>
      </w:pPr>
    </w:lvl>
    <w:lvl w:ilvl="1" w:tplc="EBB2A6B2">
      <w:start w:val="6"/>
      <w:numFmt w:val="lowerRoman"/>
      <w:lvlText w:val="%2."/>
      <w:lvlJc w:val="right"/>
      <w:pPr>
        <w:ind w:left="1080" w:hanging="360"/>
      </w:pPr>
    </w:lvl>
    <w:lvl w:ilvl="2" w:tplc="78CC9884">
      <w:start w:val="1"/>
      <w:numFmt w:val="lowerRoman"/>
      <w:lvlText w:val="%3."/>
      <w:lvlJc w:val="right"/>
      <w:pPr>
        <w:ind w:left="2160" w:hanging="180"/>
      </w:pPr>
    </w:lvl>
    <w:lvl w:ilvl="3" w:tplc="696830E4">
      <w:start w:val="1"/>
      <w:numFmt w:val="decimal"/>
      <w:lvlText w:val="%4."/>
      <w:lvlJc w:val="left"/>
      <w:pPr>
        <w:ind w:left="2880" w:hanging="360"/>
      </w:pPr>
    </w:lvl>
    <w:lvl w:ilvl="4" w:tplc="1A405334">
      <w:start w:val="1"/>
      <w:numFmt w:val="lowerLetter"/>
      <w:lvlText w:val="%5."/>
      <w:lvlJc w:val="left"/>
      <w:pPr>
        <w:ind w:left="3600" w:hanging="360"/>
      </w:pPr>
    </w:lvl>
    <w:lvl w:ilvl="5" w:tplc="8410D5EA">
      <w:start w:val="1"/>
      <w:numFmt w:val="lowerRoman"/>
      <w:lvlText w:val="%6."/>
      <w:lvlJc w:val="right"/>
      <w:pPr>
        <w:ind w:left="4320" w:hanging="180"/>
      </w:pPr>
    </w:lvl>
    <w:lvl w:ilvl="6" w:tplc="1612EE04">
      <w:start w:val="1"/>
      <w:numFmt w:val="decimal"/>
      <w:lvlText w:val="%7."/>
      <w:lvlJc w:val="left"/>
      <w:pPr>
        <w:ind w:left="5040" w:hanging="360"/>
      </w:pPr>
    </w:lvl>
    <w:lvl w:ilvl="7" w:tplc="971C8B46">
      <w:start w:val="1"/>
      <w:numFmt w:val="lowerLetter"/>
      <w:lvlText w:val="%8."/>
      <w:lvlJc w:val="left"/>
      <w:pPr>
        <w:ind w:left="5760" w:hanging="360"/>
      </w:pPr>
    </w:lvl>
    <w:lvl w:ilvl="8" w:tplc="A20AF5E0">
      <w:start w:val="1"/>
      <w:numFmt w:val="lowerRoman"/>
      <w:lvlText w:val="%9."/>
      <w:lvlJc w:val="right"/>
      <w:pPr>
        <w:ind w:left="6480" w:hanging="180"/>
      </w:pPr>
    </w:lvl>
  </w:abstractNum>
  <w:abstractNum w:abstractNumId="181" w15:restartNumberingAfterBreak="0">
    <w:nsid w:val="3E427376"/>
    <w:multiLevelType w:val="hybridMultilevel"/>
    <w:tmpl w:val="E6A26BB2"/>
    <w:lvl w:ilvl="0" w:tplc="E7E02F90">
      <w:start w:val="2"/>
      <w:numFmt w:val="decimal"/>
      <w:lvlText w:val="%1."/>
      <w:lvlJc w:val="left"/>
      <w:pPr>
        <w:ind w:left="720" w:hanging="360"/>
      </w:pPr>
    </w:lvl>
    <w:lvl w:ilvl="1" w:tplc="FB9E90EC">
      <w:start w:val="1"/>
      <w:numFmt w:val="lowerLetter"/>
      <w:lvlText w:val="%2."/>
      <w:lvlJc w:val="left"/>
      <w:pPr>
        <w:ind w:left="1440" w:hanging="360"/>
      </w:pPr>
    </w:lvl>
    <w:lvl w:ilvl="2" w:tplc="0FA47222">
      <w:start w:val="1"/>
      <w:numFmt w:val="lowerRoman"/>
      <w:lvlText w:val="%3."/>
      <w:lvlJc w:val="right"/>
      <w:pPr>
        <w:ind w:left="2160" w:hanging="180"/>
      </w:pPr>
    </w:lvl>
    <w:lvl w:ilvl="3" w:tplc="F25683E6">
      <w:start w:val="1"/>
      <w:numFmt w:val="decimal"/>
      <w:lvlText w:val="%4."/>
      <w:lvlJc w:val="left"/>
      <w:pPr>
        <w:ind w:left="2880" w:hanging="360"/>
      </w:pPr>
    </w:lvl>
    <w:lvl w:ilvl="4" w:tplc="70829ABE">
      <w:start w:val="1"/>
      <w:numFmt w:val="lowerLetter"/>
      <w:lvlText w:val="%5."/>
      <w:lvlJc w:val="left"/>
      <w:pPr>
        <w:ind w:left="3600" w:hanging="360"/>
      </w:pPr>
    </w:lvl>
    <w:lvl w:ilvl="5" w:tplc="DF3A36FA">
      <w:start w:val="1"/>
      <w:numFmt w:val="lowerRoman"/>
      <w:lvlText w:val="%6."/>
      <w:lvlJc w:val="right"/>
      <w:pPr>
        <w:ind w:left="4320" w:hanging="180"/>
      </w:pPr>
    </w:lvl>
    <w:lvl w:ilvl="6" w:tplc="A6D83B90">
      <w:start w:val="1"/>
      <w:numFmt w:val="decimal"/>
      <w:lvlText w:val="%7."/>
      <w:lvlJc w:val="left"/>
      <w:pPr>
        <w:ind w:left="5040" w:hanging="360"/>
      </w:pPr>
    </w:lvl>
    <w:lvl w:ilvl="7" w:tplc="639CB248">
      <w:start w:val="1"/>
      <w:numFmt w:val="lowerLetter"/>
      <w:lvlText w:val="%8."/>
      <w:lvlJc w:val="left"/>
      <w:pPr>
        <w:ind w:left="5760" w:hanging="360"/>
      </w:pPr>
    </w:lvl>
    <w:lvl w:ilvl="8" w:tplc="18CA7A76">
      <w:start w:val="1"/>
      <w:numFmt w:val="lowerRoman"/>
      <w:lvlText w:val="%9."/>
      <w:lvlJc w:val="right"/>
      <w:pPr>
        <w:ind w:left="6480" w:hanging="180"/>
      </w:pPr>
    </w:lvl>
  </w:abstractNum>
  <w:abstractNum w:abstractNumId="182" w15:restartNumberingAfterBreak="0">
    <w:nsid w:val="3E58A596"/>
    <w:multiLevelType w:val="hybridMultilevel"/>
    <w:tmpl w:val="FFFFFFFF"/>
    <w:lvl w:ilvl="0" w:tplc="DEEEE3E4">
      <w:start w:val="1"/>
      <w:numFmt w:val="decimal"/>
      <w:lvlText w:val="%1."/>
      <w:lvlJc w:val="left"/>
      <w:pPr>
        <w:ind w:left="720" w:hanging="360"/>
      </w:pPr>
    </w:lvl>
    <w:lvl w:ilvl="1" w:tplc="1E70178C">
      <w:start w:val="3"/>
      <w:numFmt w:val="lowerLetter"/>
      <w:lvlText w:val="%2."/>
      <w:lvlJc w:val="left"/>
      <w:pPr>
        <w:ind w:left="1440" w:hanging="360"/>
      </w:pPr>
    </w:lvl>
    <w:lvl w:ilvl="2" w:tplc="CE343D1A">
      <w:start w:val="1"/>
      <w:numFmt w:val="lowerRoman"/>
      <w:lvlText w:val="%3."/>
      <w:lvlJc w:val="right"/>
      <w:pPr>
        <w:ind w:left="2160" w:hanging="180"/>
      </w:pPr>
    </w:lvl>
    <w:lvl w:ilvl="3" w:tplc="A2A2C910">
      <w:start w:val="1"/>
      <w:numFmt w:val="decimal"/>
      <w:lvlText w:val="%4."/>
      <w:lvlJc w:val="left"/>
      <w:pPr>
        <w:ind w:left="2880" w:hanging="360"/>
      </w:pPr>
    </w:lvl>
    <w:lvl w:ilvl="4" w:tplc="0186ABC4">
      <w:start w:val="1"/>
      <w:numFmt w:val="lowerLetter"/>
      <w:lvlText w:val="%5."/>
      <w:lvlJc w:val="left"/>
      <w:pPr>
        <w:ind w:left="3600" w:hanging="360"/>
      </w:pPr>
    </w:lvl>
    <w:lvl w:ilvl="5" w:tplc="00425EDC">
      <w:start w:val="1"/>
      <w:numFmt w:val="lowerRoman"/>
      <w:lvlText w:val="%6."/>
      <w:lvlJc w:val="right"/>
      <w:pPr>
        <w:ind w:left="4320" w:hanging="180"/>
      </w:pPr>
    </w:lvl>
    <w:lvl w:ilvl="6" w:tplc="95E88268">
      <w:start w:val="1"/>
      <w:numFmt w:val="decimal"/>
      <w:lvlText w:val="%7."/>
      <w:lvlJc w:val="left"/>
      <w:pPr>
        <w:ind w:left="5040" w:hanging="360"/>
      </w:pPr>
    </w:lvl>
    <w:lvl w:ilvl="7" w:tplc="55201CA6">
      <w:start w:val="1"/>
      <w:numFmt w:val="lowerLetter"/>
      <w:lvlText w:val="%8."/>
      <w:lvlJc w:val="left"/>
      <w:pPr>
        <w:ind w:left="5760" w:hanging="360"/>
      </w:pPr>
    </w:lvl>
    <w:lvl w:ilvl="8" w:tplc="589A8BA2">
      <w:start w:val="1"/>
      <w:numFmt w:val="lowerRoman"/>
      <w:lvlText w:val="%9."/>
      <w:lvlJc w:val="right"/>
      <w:pPr>
        <w:ind w:left="6480" w:hanging="180"/>
      </w:pPr>
    </w:lvl>
  </w:abstractNum>
  <w:abstractNum w:abstractNumId="183" w15:restartNumberingAfterBreak="0">
    <w:nsid w:val="3EE34B57"/>
    <w:multiLevelType w:val="hybridMultilevel"/>
    <w:tmpl w:val="3C56098E"/>
    <w:lvl w:ilvl="0" w:tplc="D35E365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3F084F3A"/>
    <w:multiLevelType w:val="hybridMultilevel"/>
    <w:tmpl w:val="4C164D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5" w15:restartNumberingAfterBreak="0">
    <w:nsid w:val="3FF0E36E"/>
    <w:multiLevelType w:val="hybridMultilevel"/>
    <w:tmpl w:val="FFFFFFFF"/>
    <w:lvl w:ilvl="0" w:tplc="1F1A78CE">
      <w:start w:val="1"/>
      <w:numFmt w:val="decimal"/>
      <w:lvlText w:val="%1."/>
      <w:lvlJc w:val="left"/>
      <w:pPr>
        <w:ind w:left="720" w:hanging="360"/>
      </w:pPr>
    </w:lvl>
    <w:lvl w:ilvl="1" w:tplc="E90ADC6A">
      <w:start w:val="1"/>
      <w:numFmt w:val="lowerRoman"/>
      <w:lvlText w:val="%2."/>
      <w:lvlJc w:val="right"/>
      <w:pPr>
        <w:ind w:left="1440" w:hanging="360"/>
      </w:pPr>
    </w:lvl>
    <w:lvl w:ilvl="2" w:tplc="89FC1078">
      <w:start w:val="1"/>
      <w:numFmt w:val="lowerRoman"/>
      <w:lvlText w:val="%3."/>
      <w:lvlJc w:val="right"/>
      <w:pPr>
        <w:ind w:left="2160" w:hanging="180"/>
      </w:pPr>
    </w:lvl>
    <w:lvl w:ilvl="3" w:tplc="1B0C19D8">
      <w:start w:val="1"/>
      <w:numFmt w:val="decimal"/>
      <w:lvlText w:val="%4."/>
      <w:lvlJc w:val="left"/>
      <w:pPr>
        <w:ind w:left="2880" w:hanging="360"/>
      </w:pPr>
    </w:lvl>
    <w:lvl w:ilvl="4" w:tplc="F6A49D3E">
      <w:start w:val="1"/>
      <w:numFmt w:val="lowerLetter"/>
      <w:lvlText w:val="%5."/>
      <w:lvlJc w:val="left"/>
      <w:pPr>
        <w:ind w:left="3600" w:hanging="360"/>
      </w:pPr>
    </w:lvl>
    <w:lvl w:ilvl="5" w:tplc="BB705E2E">
      <w:start w:val="1"/>
      <w:numFmt w:val="lowerRoman"/>
      <w:lvlText w:val="%6."/>
      <w:lvlJc w:val="right"/>
      <w:pPr>
        <w:ind w:left="4320" w:hanging="180"/>
      </w:pPr>
    </w:lvl>
    <w:lvl w:ilvl="6" w:tplc="5E9CEE8C">
      <w:start w:val="1"/>
      <w:numFmt w:val="decimal"/>
      <w:lvlText w:val="%7."/>
      <w:lvlJc w:val="left"/>
      <w:pPr>
        <w:ind w:left="5040" w:hanging="360"/>
      </w:pPr>
    </w:lvl>
    <w:lvl w:ilvl="7" w:tplc="1DA46600">
      <w:start w:val="1"/>
      <w:numFmt w:val="lowerLetter"/>
      <w:lvlText w:val="%8."/>
      <w:lvlJc w:val="left"/>
      <w:pPr>
        <w:ind w:left="5760" w:hanging="360"/>
      </w:pPr>
    </w:lvl>
    <w:lvl w:ilvl="8" w:tplc="AA68E804">
      <w:start w:val="1"/>
      <w:numFmt w:val="lowerRoman"/>
      <w:lvlText w:val="%9."/>
      <w:lvlJc w:val="right"/>
      <w:pPr>
        <w:ind w:left="6480" w:hanging="180"/>
      </w:pPr>
    </w:lvl>
  </w:abstractNum>
  <w:abstractNum w:abstractNumId="186" w15:restartNumberingAfterBreak="0">
    <w:nsid w:val="40189F16"/>
    <w:multiLevelType w:val="hybridMultilevel"/>
    <w:tmpl w:val="FFFFFFFF"/>
    <w:lvl w:ilvl="0" w:tplc="6942828C">
      <w:start w:val="1"/>
      <w:numFmt w:val="bullet"/>
      <w:lvlText w:val=""/>
      <w:lvlJc w:val="left"/>
      <w:pPr>
        <w:ind w:left="720" w:hanging="360"/>
      </w:pPr>
      <w:rPr>
        <w:rFonts w:ascii="Symbol" w:hAnsi="Symbol" w:hint="default"/>
      </w:rPr>
    </w:lvl>
    <w:lvl w:ilvl="1" w:tplc="B1CEBDE2">
      <w:start w:val="1"/>
      <w:numFmt w:val="bullet"/>
      <w:lvlText w:val="o"/>
      <w:lvlJc w:val="left"/>
      <w:pPr>
        <w:ind w:left="1440" w:hanging="360"/>
      </w:pPr>
      <w:rPr>
        <w:rFonts w:ascii="Courier New" w:hAnsi="Courier New" w:hint="default"/>
      </w:rPr>
    </w:lvl>
    <w:lvl w:ilvl="2" w:tplc="1AB632EA">
      <w:start w:val="1"/>
      <w:numFmt w:val="bullet"/>
      <w:lvlText w:val=""/>
      <w:lvlJc w:val="left"/>
      <w:pPr>
        <w:ind w:left="2160" w:hanging="360"/>
      </w:pPr>
      <w:rPr>
        <w:rFonts w:ascii="Wingdings" w:hAnsi="Wingdings" w:hint="default"/>
      </w:rPr>
    </w:lvl>
    <w:lvl w:ilvl="3" w:tplc="8E3AAF7E">
      <w:start w:val="1"/>
      <w:numFmt w:val="bullet"/>
      <w:lvlText w:val=""/>
      <w:lvlJc w:val="left"/>
      <w:pPr>
        <w:ind w:left="2880" w:hanging="360"/>
      </w:pPr>
      <w:rPr>
        <w:rFonts w:ascii="Symbol" w:hAnsi="Symbol" w:hint="default"/>
      </w:rPr>
    </w:lvl>
    <w:lvl w:ilvl="4" w:tplc="06A66DA4">
      <w:start w:val="1"/>
      <w:numFmt w:val="bullet"/>
      <w:lvlText w:val="o"/>
      <w:lvlJc w:val="left"/>
      <w:pPr>
        <w:ind w:left="3600" w:hanging="360"/>
      </w:pPr>
      <w:rPr>
        <w:rFonts w:ascii="Courier New" w:hAnsi="Courier New" w:hint="default"/>
      </w:rPr>
    </w:lvl>
    <w:lvl w:ilvl="5" w:tplc="95F0C3C6">
      <w:start w:val="1"/>
      <w:numFmt w:val="bullet"/>
      <w:lvlText w:val=""/>
      <w:lvlJc w:val="left"/>
      <w:pPr>
        <w:ind w:left="4320" w:hanging="360"/>
      </w:pPr>
      <w:rPr>
        <w:rFonts w:ascii="Wingdings" w:hAnsi="Wingdings" w:hint="default"/>
      </w:rPr>
    </w:lvl>
    <w:lvl w:ilvl="6" w:tplc="F6BEA340">
      <w:start w:val="1"/>
      <w:numFmt w:val="bullet"/>
      <w:lvlText w:val=""/>
      <w:lvlJc w:val="left"/>
      <w:pPr>
        <w:ind w:left="5040" w:hanging="360"/>
      </w:pPr>
      <w:rPr>
        <w:rFonts w:ascii="Symbol" w:hAnsi="Symbol" w:hint="default"/>
      </w:rPr>
    </w:lvl>
    <w:lvl w:ilvl="7" w:tplc="75666744">
      <w:start w:val="1"/>
      <w:numFmt w:val="bullet"/>
      <w:lvlText w:val="o"/>
      <w:lvlJc w:val="left"/>
      <w:pPr>
        <w:ind w:left="5760" w:hanging="360"/>
      </w:pPr>
      <w:rPr>
        <w:rFonts w:ascii="Courier New" w:hAnsi="Courier New" w:hint="default"/>
      </w:rPr>
    </w:lvl>
    <w:lvl w:ilvl="8" w:tplc="02FCFC2A">
      <w:start w:val="1"/>
      <w:numFmt w:val="bullet"/>
      <w:lvlText w:val=""/>
      <w:lvlJc w:val="left"/>
      <w:pPr>
        <w:ind w:left="6480" w:hanging="360"/>
      </w:pPr>
      <w:rPr>
        <w:rFonts w:ascii="Wingdings" w:hAnsi="Wingdings" w:hint="default"/>
      </w:rPr>
    </w:lvl>
  </w:abstractNum>
  <w:abstractNum w:abstractNumId="187" w15:restartNumberingAfterBreak="0">
    <w:nsid w:val="409A090C"/>
    <w:multiLevelType w:val="multilevel"/>
    <w:tmpl w:val="CE5EA90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8" w15:restartNumberingAfterBreak="0">
    <w:nsid w:val="40B7791F"/>
    <w:multiLevelType w:val="multilevel"/>
    <w:tmpl w:val="C598F2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9" w15:restartNumberingAfterBreak="0">
    <w:nsid w:val="4100F493"/>
    <w:multiLevelType w:val="hybridMultilevel"/>
    <w:tmpl w:val="FFFFFFFF"/>
    <w:lvl w:ilvl="0" w:tplc="B22842C8">
      <w:start w:val="8"/>
      <w:numFmt w:val="lowerRoman"/>
      <w:lvlText w:val="%1."/>
      <w:lvlJc w:val="right"/>
      <w:pPr>
        <w:ind w:left="1080" w:hanging="360"/>
      </w:pPr>
    </w:lvl>
    <w:lvl w:ilvl="1" w:tplc="85F2F99E">
      <w:start w:val="1"/>
      <w:numFmt w:val="lowerLetter"/>
      <w:lvlText w:val="%2."/>
      <w:lvlJc w:val="left"/>
      <w:pPr>
        <w:ind w:left="1440" w:hanging="360"/>
      </w:pPr>
    </w:lvl>
    <w:lvl w:ilvl="2" w:tplc="D67C0340">
      <w:start w:val="1"/>
      <w:numFmt w:val="lowerRoman"/>
      <w:lvlText w:val="%3."/>
      <w:lvlJc w:val="right"/>
      <w:pPr>
        <w:ind w:left="2160" w:hanging="180"/>
      </w:pPr>
    </w:lvl>
    <w:lvl w:ilvl="3" w:tplc="2E746A46">
      <w:start w:val="1"/>
      <w:numFmt w:val="decimal"/>
      <w:lvlText w:val="%4."/>
      <w:lvlJc w:val="left"/>
      <w:pPr>
        <w:ind w:left="2880" w:hanging="360"/>
      </w:pPr>
    </w:lvl>
    <w:lvl w:ilvl="4" w:tplc="557E545C">
      <w:start w:val="1"/>
      <w:numFmt w:val="lowerLetter"/>
      <w:lvlText w:val="%5."/>
      <w:lvlJc w:val="left"/>
      <w:pPr>
        <w:ind w:left="3600" w:hanging="360"/>
      </w:pPr>
    </w:lvl>
    <w:lvl w:ilvl="5" w:tplc="D5A48E3E">
      <w:start w:val="1"/>
      <w:numFmt w:val="lowerRoman"/>
      <w:lvlText w:val="%6."/>
      <w:lvlJc w:val="right"/>
      <w:pPr>
        <w:ind w:left="4320" w:hanging="180"/>
      </w:pPr>
    </w:lvl>
    <w:lvl w:ilvl="6" w:tplc="766EBB18">
      <w:start w:val="1"/>
      <w:numFmt w:val="decimal"/>
      <w:lvlText w:val="%7."/>
      <w:lvlJc w:val="left"/>
      <w:pPr>
        <w:ind w:left="5040" w:hanging="360"/>
      </w:pPr>
    </w:lvl>
    <w:lvl w:ilvl="7" w:tplc="1ECE364E">
      <w:start w:val="1"/>
      <w:numFmt w:val="lowerLetter"/>
      <w:lvlText w:val="%8."/>
      <w:lvlJc w:val="left"/>
      <w:pPr>
        <w:ind w:left="5760" w:hanging="360"/>
      </w:pPr>
    </w:lvl>
    <w:lvl w:ilvl="8" w:tplc="D2CC563C">
      <w:start w:val="1"/>
      <w:numFmt w:val="lowerRoman"/>
      <w:lvlText w:val="%9."/>
      <w:lvlJc w:val="right"/>
      <w:pPr>
        <w:ind w:left="6480" w:hanging="180"/>
      </w:pPr>
    </w:lvl>
  </w:abstractNum>
  <w:abstractNum w:abstractNumId="190" w15:restartNumberingAfterBreak="0">
    <w:nsid w:val="4106484C"/>
    <w:multiLevelType w:val="hybridMultilevel"/>
    <w:tmpl w:val="14426AF8"/>
    <w:lvl w:ilvl="0" w:tplc="4372B890">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1" w15:restartNumberingAfterBreak="0">
    <w:nsid w:val="4106FC49"/>
    <w:multiLevelType w:val="hybridMultilevel"/>
    <w:tmpl w:val="FFFFFFFF"/>
    <w:lvl w:ilvl="0" w:tplc="7174DC60">
      <w:start w:val="2"/>
      <w:numFmt w:val="decimal"/>
      <w:lvlText w:val="%1."/>
      <w:lvlJc w:val="left"/>
      <w:pPr>
        <w:ind w:left="720" w:hanging="360"/>
      </w:pPr>
    </w:lvl>
    <w:lvl w:ilvl="1" w:tplc="EAF8AC92">
      <w:start w:val="1"/>
      <w:numFmt w:val="lowerLetter"/>
      <w:lvlText w:val="%2."/>
      <w:lvlJc w:val="left"/>
      <w:pPr>
        <w:ind w:left="1440" w:hanging="360"/>
      </w:pPr>
    </w:lvl>
    <w:lvl w:ilvl="2" w:tplc="C890E090">
      <w:start w:val="1"/>
      <w:numFmt w:val="lowerRoman"/>
      <w:lvlText w:val="%3."/>
      <w:lvlJc w:val="right"/>
      <w:pPr>
        <w:ind w:left="2160" w:hanging="180"/>
      </w:pPr>
    </w:lvl>
    <w:lvl w:ilvl="3" w:tplc="B2E22688">
      <w:start w:val="1"/>
      <w:numFmt w:val="decimal"/>
      <w:lvlText w:val="%4."/>
      <w:lvlJc w:val="left"/>
      <w:pPr>
        <w:ind w:left="2880" w:hanging="360"/>
      </w:pPr>
    </w:lvl>
    <w:lvl w:ilvl="4" w:tplc="7ED2DC1A">
      <w:start w:val="1"/>
      <w:numFmt w:val="lowerLetter"/>
      <w:lvlText w:val="%5."/>
      <w:lvlJc w:val="left"/>
      <w:pPr>
        <w:ind w:left="3600" w:hanging="360"/>
      </w:pPr>
    </w:lvl>
    <w:lvl w:ilvl="5" w:tplc="4EE4D726">
      <w:start w:val="1"/>
      <w:numFmt w:val="lowerRoman"/>
      <w:lvlText w:val="%6."/>
      <w:lvlJc w:val="right"/>
      <w:pPr>
        <w:ind w:left="4320" w:hanging="180"/>
      </w:pPr>
    </w:lvl>
    <w:lvl w:ilvl="6" w:tplc="8730C968">
      <w:start w:val="1"/>
      <w:numFmt w:val="decimal"/>
      <w:lvlText w:val="%7."/>
      <w:lvlJc w:val="left"/>
      <w:pPr>
        <w:ind w:left="5040" w:hanging="360"/>
      </w:pPr>
    </w:lvl>
    <w:lvl w:ilvl="7" w:tplc="2F5C6A68">
      <w:start w:val="1"/>
      <w:numFmt w:val="lowerLetter"/>
      <w:lvlText w:val="%8."/>
      <w:lvlJc w:val="left"/>
      <w:pPr>
        <w:ind w:left="5760" w:hanging="360"/>
      </w:pPr>
    </w:lvl>
    <w:lvl w:ilvl="8" w:tplc="8B362D86">
      <w:start w:val="1"/>
      <w:numFmt w:val="lowerRoman"/>
      <w:lvlText w:val="%9."/>
      <w:lvlJc w:val="right"/>
      <w:pPr>
        <w:ind w:left="6480" w:hanging="180"/>
      </w:pPr>
    </w:lvl>
  </w:abstractNum>
  <w:abstractNum w:abstractNumId="192" w15:restartNumberingAfterBreak="0">
    <w:nsid w:val="4143C15F"/>
    <w:multiLevelType w:val="hybridMultilevel"/>
    <w:tmpl w:val="FFFFFFFF"/>
    <w:lvl w:ilvl="0" w:tplc="7F02CED2">
      <w:start w:val="4"/>
      <w:numFmt w:val="decimal"/>
      <w:lvlText w:val="%1."/>
      <w:lvlJc w:val="left"/>
      <w:pPr>
        <w:ind w:left="720" w:hanging="360"/>
      </w:pPr>
    </w:lvl>
    <w:lvl w:ilvl="1" w:tplc="E2660872">
      <w:start w:val="1"/>
      <w:numFmt w:val="lowerLetter"/>
      <w:lvlText w:val="%2."/>
      <w:lvlJc w:val="left"/>
      <w:pPr>
        <w:ind w:left="1440" w:hanging="360"/>
      </w:pPr>
    </w:lvl>
    <w:lvl w:ilvl="2" w:tplc="39DC1634">
      <w:start w:val="1"/>
      <w:numFmt w:val="lowerRoman"/>
      <w:lvlText w:val="%3."/>
      <w:lvlJc w:val="right"/>
      <w:pPr>
        <w:ind w:left="2160" w:hanging="180"/>
      </w:pPr>
    </w:lvl>
    <w:lvl w:ilvl="3" w:tplc="21C4DBF6">
      <w:start w:val="1"/>
      <w:numFmt w:val="decimal"/>
      <w:lvlText w:val="%4."/>
      <w:lvlJc w:val="left"/>
      <w:pPr>
        <w:ind w:left="2880" w:hanging="360"/>
      </w:pPr>
    </w:lvl>
    <w:lvl w:ilvl="4" w:tplc="2C9CC832">
      <w:start w:val="1"/>
      <w:numFmt w:val="lowerLetter"/>
      <w:lvlText w:val="%5."/>
      <w:lvlJc w:val="left"/>
      <w:pPr>
        <w:ind w:left="3600" w:hanging="360"/>
      </w:pPr>
    </w:lvl>
    <w:lvl w:ilvl="5" w:tplc="C4C2E874">
      <w:start w:val="1"/>
      <w:numFmt w:val="lowerRoman"/>
      <w:lvlText w:val="%6."/>
      <w:lvlJc w:val="right"/>
      <w:pPr>
        <w:ind w:left="4320" w:hanging="180"/>
      </w:pPr>
    </w:lvl>
    <w:lvl w:ilvl="6" w:tplc="36745368">
      <w:start w:val="1"/>
      <w:numFmt w:val="decimal"/>
      <w:lvlText w:val="%7."/>
      <w:lvlJc w:val="left"/>
      <w:pPr>
        <w:ind w:left="5040" w:hanging="360"/>
      </w:pPr>
    </w:lvl>
    <w:lvl w:ilvl="7" w:tplc="17348E42">
      <w:start w:val="1"/>
      <w:numFmt w:val="lowerLetter"/>
      <w:lvlText w:val="%8."/>
      <w:lvlJc w:val="left"/>
      <w:pPr>
        <w:ind w:left="5760" w:hanging="360"/>
      </w:pPr>
    </w:lvl>
    <w:lvl w:ilvl="8" w:tplc="F9527456">
      <w:start w:val="1"/>
      <w:numFmt w:val="lowerRoman"/>
      <w:lvlText w:val="%9."/>
      <w:lvlJc w:val="right"/>
      <w:pPr>
        <w:ind w:left="6480" w:hanging="180"/>
      </w:pPr>
    </w:lvl>
  </w:abstractNum>
  <w:abstractNum w:abstractNumId="193" w15:restartNumberingAfterBreak="0">
    <w:nsid w:val="41914B31"/>
    <w:multiLevelType w:val="hybridMultilevel"/>
    <w:tmpl w:val="FFFFFFFF"/>
    <w:lvl w:ilvl="0" w:tplc="86DAFBA4">
      <w:start w:val="1"/>
      <w:numFmt w:val="bullet"/>
      <w:lvlText w:val="·"/>
      <w:lvlJc w:val="left"/>
      <w:pPr>
        <w:ind w:left="720" w:hanging="360"/>
      </w:pPr>
      <w:rPr>
        <w:rFonts w:ascii="&quot;Times New Roman&quot;,serif" w:hAnsi="&quot;Times New Roman&quot;,serif" w:hint="default"/>
      </w:rPr>
    </w:lvl>
    <w:lvl w:ilvl="1" w:tplc="8B1E71CA">
      <w:start w:val="1"/>
      <w:numFmt w:val="bullet"/>
      <w:lvlText w:val="o"/>
      <w:lvlJc w:val="left"/>
      <w:pPr>
        <w:ind w:left="1440" w:hanging="360"/>
      </w:pPr>
      <w:rPr>
        <w:rFonts w:ascii="Courier New" w:hAnsi="Courier New" w:hint="default"/>
      </w:rPr>
    </w:lvl>
    <w:lvl w:ilvl="2" w:tplc="CED2EE88">
      <w:start w:val="1"/>
      <w:numFmt w:val="bullet"/>
      <w:lvlText w:val=""/>
      <w:lvlJc w:val="left"/>
      <w:pPr>
        <w:ind w:left="2160" w:hanging="360"/>
      </w:pPr>
      <w:rPr>
        <w:rFonts w:ascii="Wingdings" w:hAnsi="Wingdings" w:hint="default"/>
      </w:rPr>
    </w:lvl>
    <w:lvl w:ilvl="3" w:tplc="577C925C">
      <w:start w:val="1"/>
      <w:numFmt w:val="bullet"/>
      <w:lvlText w:val=""/>
      <w:lvlJc w:val="left"/>
      <w:pPr>
        <w:ind w:left="2880" w:hanging="360"/>
      </w:pPr>
      <w:rPr>
        <w:rFonts w:ascii="Symbol" w:hAnsi="Symbol" w:hint="default"/>
      </w:rPr>
    </w:lvl>
    <w:lvl w:ilvl="4" w:tplc="46741FEA">
      <w:start w:val="1"/>
      <w:numFmt w:val="bullet"/>
      <w:lvlText w:val="o"/>
      <w:lvlJc w:val="left"/>
      <w:pPr>
        <w:ind w:left="3600" w:hanging="360"/>
      </w:pPr>
      <w:rPr>
        <w:rFonts w:ascii="Courier New" w:hAnsi="Courier New" w:hint="default"/>
      </w:rPr>
    </w:lvl>
    <w:lvl w:ilvl="5" w:tplc="E03E44B4">
      <w:start w:val="1"/>
      <w:numFmt w:val="bullet"/>
      <w:lvlText w:val=""/>
      <w:lvlJc w:val="left"/>
      <w:pPr>
        <w:ind w:left="4320" w:hanging="360"/>
      </w:pPr>
      <w:rPr>
        <w:rFonts w:ascii="Wingdings" w:hAnsi="Wingdings" w:hint="default"/>
      </w:rPr>
    </w:lvl>
    <w:lvl w:ilvl="6" w:tplc="3ACE58B8">
      <w:start w:val="1"/>
      <w:numFmt w:val="bullet"/>
      <w:lvlText w:val=""/>
      <w:lvlJc w:val="left"/>
      <w:pPr>
        <w:ind w:left="5040" w:hanging="360"/>
      </w:pPr>
      <w:rPr>
        <w:rFonts w:ascii="Symbol" w:hAnsi="Symbol" w:hint="default"/>
      </w:rPr>
    </w:lvl>
    <w:lvl w:ilvl="7" w:tplc="225200A6">
      <w:start w:val="1"/>
      <w:numFmt w:val="bullet"/>
      <w:lvlText w:val="o"/>
      <w:lvlJc w:val="left"/>
      <w:pPr>
        <w:ind w:left="5760" w:hanging="360"/>
      </w:pPr>
      <w:rPr>
        <w:rFonts w:ascii="Courier New" w:hAnsi="Courier New" w:hint="default"/>
      </w:rPr>
    </w:lvl>
    <w:lvl w:ilvl="8" w:tplc="24A06AFC">
      <w:start w:val="1"/>
      <w:numFmt w:val="bullet"/>
      <w:lvlText w:val=""/>
      <w:lvlJc w:val="left"/>
      <w:pPr>
        <w:ind w:left="6480" w:hanging="360"/>
      </w:pPr>
      <w:rPr>
        <w:rFonts w:ascii="Wingdings" w:hAnsi="Wingdings" w:hint="default"/>
      </w:rPr>
    </w:lvl>
  </w:abstractNum>
  <w:abstractNum w:abstractNumId="194" w15:restartNumberingAfterBreak="0">
    <w:nsid w:val="4199D7FA"/>
    <w:multiLevelType w:val="hybridMultilevel"/>
    <w:tmpl w:val="FFFFFFFF"/>
    <w:lvl w:ilvl="0" w:tplc="B22CBFDE">
      <w:start w:val="3"/>
      <w:numFmt w:val="decimal"/>
      <w:lvlText w:val="%1."/>
      <w:lvlJc w:val="left"/>
      <w:pPr>
        <w:ind w:left="720" w:hanging="360"/>
      </w:pPr>
    </w:lvl>
    <w:lvl w:ilvl="1" w:tplc="467A2120">
      <w:start w:val="1"/>
      <w:numFmt w:val="lowerLetter"/>
      <w:lvlText w:val="%2."/>
      <w:lvlJc w:val="left"/>
      <w:pPr>
        <w:ind w:left="1440" w:hanging="360"/>
      </w:pPr>
    </w:lvl>
    <w:lvl w:ilvl="2" w:tplc="22046D08">
      <w:start w:val="1"/>
      <w:numFmt w:val="lowerRoman"/>
      <w:lvlText w:val="%3."/>
      <w:lvlJc w:val="right"/>
      <w:pPr>
        <w:ind w:left="2160" w:hanging="180"/>
      </w:pPr>
    </w:lvl>
    <w:lvl w:ilvl="3" w:tplc="2A36C27E">
      <w:start w:val="1"/>
      <w:numFmt w:val="decimal"/>
      <w:lvlText w:val="%4."/>
      <w:lvlJc w:val="left"/>
      <w:pPr>
        <w:ind w:left="2880" w:hanging="360"/>
      </w:pPr>
    </w:lvl>
    <w:lvl w:ilvl="4" w:tplc="DE7CF8FE">
      <w:start w:val="1"/>
      <w:numFmt w:val="lowerLetter"/>
      <w:lvlText w:val="%5."/>
      <w:lvlJc w:val="left"/>
      <w:pPr>
        <w:ind w:left="3600" w:hanging="360"/>
      </w:pPr>
    </w:lvl>
    <w:lvl w:ilvl="5" w:tplc="E08CDA10">
      <w:start w:val="1"/>
      <w:numFmt w:val="lowerRoman"/>
      <w:lvlText w:val="%6."/>
      <w:lvlJc w:val="right"/>
      <w:pPr>
        <w:ind w:left="4320" w:hanging="180"/>
      </w:pPr>
    </w:lvl>
    <w:lvl w:ilvl="6" w:tplc="3BFA4234">
      <w:start w:val="1"/>
      <w:numFmt w:val="decimal"/>
      <w:lvlText w:val="%7."/>
      <w:lvlJc w:val="left"/>
      <w:pPr>
        <w:ind w:left="5040" w:hanging="360"/>
      </w:pPr>
    </w:lvl>
    <w:lvl w:ilvl="7" w:tplc="42541D62">
      <w:start w:val="1"/>
      <w:numFmt w:val="lowerLetter"/>
      <w:lvlText w:val="%8."/>
      <w:lvlJc w:val="left"/>
      <w:pPr>
        <w:ind w:left="5760" w:hanging="360"/>
      </w:pPr>
    </w:lvl>
    <w:lvl w:ilvl="8" w:tplc="A6266C7E">
      <w:start w:val="1"/>
      <w:numFmt w:val="lowerRoman"/>
      <w:lvlText w:val="%9."/>
      <w:lvlJc w:val="right"/>
      <w:pPr>
        <w:ind w:left="6480" w:hanging="180"/>
      </w:pPr>
    </w:lvl>
  </w:abstractNum>
  <w:abstractNum w:abstractNumId="19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6" w15:restartNumberingAfterBreak="0">
    <w:nsid w:val="42ED4F8E"/>
    <w:multiLevelType w:val="hybridMultilevel"/>
    <w:tmpl w:val="79CAD97C"/>
    <w:lvl w:ilvl="0" w:tplc="25C8F47E">
      <w:start w:val="1"/>
      <w:numFmt w:val="bullet"/>
      <w:lvlText w:val="-"/>
      <w:lvlJc w:val="left"/>
      <w:pPr>
        <w:ind w:left="720" w:hanging="360"/>
      </w:pPr>
      <w:rPr>
        <w:rFonts w:ascii="Calibri" w:hAnsi="Calibri" w:hint="default"/>
      </w:rPr>
    </w:lvl>
    <w:lvl w:ilvl="1" w:tplc="33546922">
      <w:start w:val="1"/>
      <w:numFmt w:val="bullet"/>
      <w:lvlText w:val="o"/>
      <w:lvlJc w:val="left"/>
      <w:pPr>
        <w:ind w:left="1440" w:hanging="360"/>
      </w:pPr>
      <w:rPr>
        <w:rFonts w:ascii="Courier New" w:hAnsi="Courier New" w:hint="default"/>
      </w:rPr>
    </w:lvl>
    <w:lvl w:ilvl="2" w:tplc="AFC0D13A">
      <w:start w:val="1"/>
      <w:numFmt w:val="bullet"/>
      <w:lvlText w:val=""/>
      <w:lvlJc w:val="left"/>
      <w:pPr>
        <w:ind w:left="2160" w:hanging="360"/>
      </w:pPr>
      <w:rPr>
        <w:rFonts w:ascii="Wingdings" w:hAnsi="Wingdings" w:hint="default"/>
      </w:rPr>
    </w:lvl>
    <w:lvl w:ilvl="3" w:tplc="483A448E">
      <w:start w:val="1"/>
      <w:numFmt w:val="bullet"/>
      <w:lvlText w:val=""/>
      <w:lvlJc w:val="left"/>
      <w:pPr>
        <w:ind w:left="2880" w:hanging="360"/>
      </w:pPr>
      <w:rPr>
        <w:rFonts w:ascii="Symbol" w:hAnsi="Symbol" w:hint="default"/>
      </w:rPr>
    </w:lvl>
    <w:lvl w:ilvl="4" w:tplc="881AF23C">
      <w:start w:val="1"/>
      <w:numFmt w:val="bullet"/>
      <w:lvlText w:val="o"/>
      <w:lvlJc w:val="left"/>
      <w:pPr>
        <w:ind w:left="3600" w:hanging="360"/>
      </w:pPr>
      <w:rPr>
        <w:rFonts w:ascii="Courier New" w:hAnsi="Courier New" w:hint="default"/>
      </w:rPr>
    </w:lvl>
    <w:lvl w:ilvl="5" w:tplc="6BA89F1A">
      <w:start w:val="1"/>
      <w:numFmt w:val="bullet"/>
      <w:lvlText w:val=""/>
      <w:lvlJc w:val="left"/>
      <w:pPr>
        <w:ind w:left="4320" w:hanging="360"/>
      </w:pPr>
      <w:rPr>
        <w:rFonts w:ascii="Wingdings" w:hAnsi="Wingdings" w:hint="default"/>
      </w:rPr>
    </w:lvl>
    <w:lvl w:ilvl="6" w:tplc="569C0054">
      <w:start w:val="1"/>
      <w:numFmt w:val="bullet"/>
      <w:lvlText w:val=""/>
      <w:lvlJc w:val="left"/>
      <w:pPr>
        <w:ind w:left="5040" w:hanging="360"/>
      </w:pPr>
      <w:rPr>
        <w:rFonts w:ascii="Symbol" w:hAnsi="Symbol" w:hint="default"/>
      </w:rPr>
    </w:lvl>
    <w:lvl w:ilvl="7" w:tplc="D90A0A0A">
      <w:start w:val="1"/>
      <w:numFmt w:val="bullet"/>
      <w:lvlText w:val="o"/>
      <w:lvlJc w:val="left"/>
      <w:pPr>
        <w:ind w:left="5760" w:hanging="360"/>
      </w:pPr>
      <w:rPr>
        <w:rFonts w:ascii="Courier New" w:hAnsi="Courier New" w:hint="default"/>
      </w:rPr>
    </w:lvl>
    <w:lvl w:ilvl="8" w:tplc="947492B0">
      <w:start w:val="1"/>
      <w:numFmt w:val="bullet"/>
      <w:lvlText w:val=""/>
      <w:lvlJc w:val="left"/>
      <w:pPr>
        <w:ind w:left="6480" w:hanging="360"/>
      </w:pPr>
      <w:rPr>
        <w:rFonts w:ascii="Wingdings" w:hAnsi="Wingdings" w:hint="default"/>
      </w:rPr>
    </w:lvl>
  </w:abstractNum>
  <w:abstractNum w:abstractNumId="19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8" w15:restartNumberingAfterBreak="0">
    <w:nsid w:val="430B5CA0"/>
    <w:multiLevelType w:val="hybridMultilevel"/>
    <w:tmpl w:val="FFFFFFFF"/>
    <w:lvl w:ilvl="0" w:tplc="1082A0BC">
      <w:start w:val="1"/>
      <w:numFmt w:val="decimal"/>
      <w:lvlText w:val="%1."/>
      <w:lvlJc w:val="left"/>
      <w:pPr>
        <w:ind w:left="720" w:hanging="360"/>
      </w:pPr>
    </w:lvl>
    <w:lvl w:ilvl="1" w:tplc="B896CD12">
      <w:start w:val="6"/>
      <w:numFmt w:val="lowerRoman"/>
      <w:lvlText w:val="%2."/>
      <w:lvlJc w:val="right"/>
      <w:pPr>
        <w:ind w:left="1080" w:hanging="360"/>
      </w:pPr>
    </w:lvl>
    <w:lvl w:ilvl="2" w:tplc="BD3AD952">
      <w:start w:val="1"/>
      <w:numFmt w:val="lowerRoman"/>
      <w:lvlText w:val="%3."/>
      <w:lvlJc w:val="right"/>
      <w:pPr>
        <w:ind w:left="2160" w:hanging="180"/>
      </w:pPr>
    </w:lvl>
    <w:lvl w:ilvl="3" w:tplc="C7E647CA">
      <w:start w:val="1"/>
      <w:numFmt w:val="decimal"/>
      <w:lvlText w:val="%4."/>
      <w:lvlJc w:val="left"/>
      <w:pPr>
        <w:ind w:left="2880" w:hanging="360"/>
      </w:pPr>
    </w:lvl>
    <w:lvl w:ilvl="4" w:tplc="7312FC9A">
      <w:start w:val="1"/>
      <w:numFmt w:val="lowerLetter"/>
      <w:lvlText w:val="%5."/>
      <w:lvlJc w:val="left"/>
      <w:pPr>
        <w:ind w:left="3600" w:hanging="360"/>
      </w:pPr>
    </w:lvl>
    <w:lvl w:ilvl="5" w:tplc="360A743A">
      <w:start w:val="1"/>
      <w:numFmt w:val="lowerRoman"/>
      <w:lvlText w:val="%6."/>
      <w:lvlJc w:val="right"/>
      <w:pPr>
        <w:ind w:left="4320" w:hanging="180"/>
      </w:pPr>
    </w:lvl>
    <w:lvl w:ilvl="6" w:tplc="543C08D0">
      <w:start w:val="1"/>
      <w:numFmt w:val="decimal"/>
      <w:lvlText w:val="%7."/>
      <w:lvlJc w:val="left"/>
      <w:pPr>
        <w:ind w:left="5040" w:hanging="360"/>
      </w:pPr>
    </w:lvl>
    <w:lvl w:ilvl="7" w:tplc="69125C1A">
      <w:start w:val="1"/>
      <w:numFmt w:val="lowerLetter"/>
      <w:lvlText w:val="%8."/>
      <w:lvlJc w:val="left"/>
      <w:pPr>
        <w:ind w:left="5760" w:hanging="360"/>
      </w:pPr>
    </w:lvl>
    <w:lvl w:ilvl="8" w:tplc="E542B164">
      <w:start w:val="1"/>
      <w:numFmt w:val="lowerRoman"/>
      <w:lvlText w:val="%9."/>
      <w:lvlJc w:val="right"/>
      <w:pPr>
        <w:ind w:left="6480" w:hanging="180"/>
      </w:pPr>
    </w:lvl>
  </w:abstractNum>
  <w:abstractNum w:abstractNumId="199" w15:restartNumberingAfterBreak="0">
    <w:nsid w:val="431D947E"/>
    <w:multiLevelType w:val="hybridMultilevel"/>
    <w:tmpl w:val="FFFFFFFF"/>
    <w:lvl w:ilvl="0" w:tplc="C9FA2900">
      <w:start w:val="2"/>
      <w:numFmt w:val="lowerLetter"/>
      <w:lvlText w:val="%1)"/>
      <w:lvlJc w:val="left"/>
      <w:pPr>
        <w:ind w:left="720" w:hanging="360"/>
      </w:pPr>
    </w:lvl>
    <w:lvl w:ilvl="1" w:tplc="3B64EF5A">
      <w:start w:val="1"/>
      <w:numFmt w:val="lowerLetter"/>
      <w:lvlText w:val="%2."/>
      <w:lvlJc w:val="left"/>
      <w:pPr>
        <w:ind w:left="1440" w:hanging="360"/>
      </w:pPr>
    </w:lvl>
    <w:lvl w:ilvl="2" w:tplc="07EE73DC">
      <w:start w:val="1"/>
      <w:numFmt w:val="lowerRoman"/>
      <w:lvlText w:val="%3."/>
      <w:lvlJc w:val="right"/>
      <w:pPr>
        <w:ind w:left="2160" w:hanging="180"/>
      </w:pPr>
    </w:lvl>
    <w:lvl w:ilvl="3" w:tplc="26B8BC5E">
      <w:start w:val="1"/>
      <w:numFmt w:val="decimal"/>
      <w:lvlText w:val="%4."/>
      <w:lvlJc w:val="left"/>
      <w:pPr>
        <w:ind w:left="2880" w:hanging="360"/>
      </w:pPr>
    </w:lvl>
    <w:lvl w:ilvl="4" w:tplc="FF0634E8">
      <w:start w:val="1"/>
      <w:numFmt w:val="lowerLetter"/>
      <w:lvlText w:val="%5."/>
      <w:lvlJc w:val="left"/>
      <w:pPr>
        <w:ind w:left="3600" w:hanging="360"/>
      </w:pPr>
    </w:lvl>
    <w:lvl w:ilvl="5" w:tplc="216230FC">
      <w:start w:val="1"/>
      <w:numFmt w:val="lowerRoman"/>
      <w:lvlText w:val="%6."/>
      <w:lvlJc w:val="right"/>
      <w:pPr>
        <w:ind w:left="4320" w:hanging="180"/>
      </w:pPr>
    </w:lvl>
    <w:lvl w:ilvl="6" w:tplc="A092AC74">
      <w:start w:val="1"/>
      <w:numFmt w:val="decimal"/>
      <w:lvlText w:val="%7."/>
      <w:lvlJc w:val="left"/>
      <w:pPr>
        <w:ind w:left="5040" w:hanging="360"/>
      </w:pPr>
    </w:lvl>
    <w:lvl w:ilvl="7" w:tplc="5F2C8B20">
      <w:start w:val="1"/>
      <w:numFmt w:val="lowerLetter"/>
      <w:lvlText w:val="%8."/>
      <w:lvlJc w:val="left"/>
      <w:pPr>
        <w:ind w:left="5760" w:hanging="360"/>
      </w:pPr>
    </w:lvl>
    <w:lvl w:ilvl="8" w:tplc="BD085BCE">
      <w:start w:val="1"/>
      <w:numFmt w:val="lowerRoman"/>
      <w:lvlText w:val="%9."/>
      <w:lvlJc w:val="right"/>
      <w:pPr>
        <w:ind w:left="6480" w:hanging="180"/>
      </w:pPr>
    </w:lvl>
  </w:abstractNum>
  <w:abstractNum w:abstractNumId="200" w15:restartNumberingAfterBreak="0">
    <w:nsid w:val="439ADE95"/>
    <w:multiLevelType w:val="hybridMultilevel"/>
    <w:tmpl w:val="FFFFFFFF"/>
    <w:lvl w:ilvl="0" w:tplc="E21A7C68">
      <w:start w:val="1"/>
      <w:numFmt w:val="bullet"/>
      <w:lvlText w:val="·"/>
      <w:lvlJc w:val="left"/>
      <w:pPr>
        <w:ind w:left="720" w:hanging="360"/>
      </w:pPr>
      <w:rPr>
        <w:rFonts w:ascii="Symbol" w:hAnsi="Symbol" w:hint="default"/>
      </w:rPr>
    </w:lvl>
    <w:lvl w:ilvl="1" w:tplc="0BAC4BC6">
      <w:start w:val="1"/>
      <w:numFmt w:val="bullet"/>
      <w:lvlText w:val="o"/>
      <w:lvlJc w:val="left"/>
      <w:pPr>
        <w:ind w:left="1440" w:hanging="360"/>
      </w:pPr>
      <w:rPr>
        <w:rFonts w:ascii="Courier New" w:hAnsi="Courier New" w:hint="default"/>
      </w:rPr>
    </w:lvl>
    <w:lvl w:ilvl="2" w:tplc="55A88C18">
      <w:start w:val="1"/>
      <w:numFmt w:val="bullet"/>
      <w:lvlText w:val=""/>
      <w:lvlJc w:val="left"/>
      <w:pPr>
        <w:ind w:left="2160" w:hanging="360"/>
      </w:pPr>
      <w:rPr>
        <w:rFonts w:ascii="Wingdings" w:hAnsi="Wingdings" w:hint="default"/>
      </w:rPr>
    </w:lvl>
    <w:lvl w:ilvl="3" w:tplc="F2E4CF28">
      <w:start w:val="1"/>
      <w:numFmt w:val="bullet"/>
      <w:lvlText w:val=""/>
      <w:lvlJc w:val="left"/>
      <w:pPr>
        <w:ind w:left="2880" w:hanging="360"/>
      </w:pPr>
      <w:rPr>
        <w:rFonts w:ascii="Symbol" w:hAnsi="Symbol" w:hint="default"/>
      </w:rPr>
    </w:lvl>
    <w:lvl w:ilvl="4" w:tplc="CDC6CBCC">
      <w:start w:val="1"/>
      <w:numFmt w:val="bullet"/>
      <w:lvlText w:val="o"/>
      <w:lvlJc w:val="left"/>
      <w:pPr>
        <w:ind w:left="3600" w:hanging="360"/>
      </w:pPr>
      <w:rPr>
        <w:rFonts w:ascii="Courier New" w:hAnsi="Courier New" w:hint="default"/>
      </w:rPr>
    </w:lvl>
    <w:lvl w:ilvl="5" w:tplc="CD468464">
      <w:start w:val="1"/>
      <w:numFmt w:val="bullet"/>
      <w:lvlText w:val=""/>
      <w:lvlJc w:val="left"/>
      <w:pPr>
        <w:ind w:left="4320" w:hanging="360"/>
      </w:pPr>
      <w:rPr>
        <w:rFonts w:ascii="Wingdings" w:hAnsi="Wingdings" w:hint="default"/>
      </w:rPr>
    </w:lvl>
    <w:lvl w:ilvl="6" w:tplc="7F72B6C8">
      <w:start w:val="1"/>
      <w:numFmt w:val="bullet"/>
      <w:lvlText w:val=""/>
      <w:lvlJc w:val="left"/>
      <w:pPr>
        <w:ind w:left="5040" w:hanging="360"/>
      </w:pPr>
      <w:rPr>
        <w:rFonts w:ascii="Symbol" w:hAnsi="Symbol" w:hint="default"/>
      </w:rPr>
    </w:lvl>
    <w:lvl w:ilvl="7" w:tplc="9934E76A">
      <w:start w:val="1"/>
      <w:numFmt w:val="bullet"/>
      <w:lvlText w:val="o"/>
      <w:lvlJc w:val="left"/>
      <w:pPr>
        <w:ind w:left="5760" w:hanging="360"/>
      </w:pPr>
      <w:rPr>
        <w:rFonts w:ascii="Courier New" w:hAnsi="Courier New" w:hint="default"/>
      </w:rPr>
    </w:lvl>
    <w:lvl w:ilvl="8" w:tplc="837EEB50">
      <w:start w:val="1"/>
      <w:numFmt w:val="bullet"/>
      <w:lvlText w:val=""/>
      <w:lvlJc w:val="left"/>
      <w:pPr>
        <w:ind w:left="6480" w:hanging="360"/>
      </w:pPr>
      <w:rPr>
        <w:rFonts w:ascii="Wingdings" w:hAnsi="Wingdings" w:hint="default"/>
      </w:rPr>
    </w:lvl>
  </w:abstractNum>
  <w:abstractNum w:abstractNumId="201" w15:restartNumberingAfterBreak="0">
    <w:nsid w:val="43D647AD"/>
    <w:multiLevelType w:val="hybridMultilevel"/>
    <w:tmpl w:val="FFFFFFFF"/>
    <w:lvl w:ilvl="0" w:tplc="71E4D82E">
      <w:start w:val="5"/>
      <w:numFmt w:val="lowerLetter"/>
      <w:lvlText w:val="%1)"/>
      <w:lvlJc w:val="left"/>
      <w:pPr>
        <w:ind w:left="720" w:hanging="360"/>
      </w:pPr>
    </w:lvl>
    <w:lvl w:ilvl="1" w:tplc="DB5CFAA4">
      <w:start w:val="1"/>
      <w:numFmt w:val="lowerLetter"/>
      <w:lvlText w:val="%2."/>
      <w:lvlJc w:val="left"/>
      <w:pPr>
        <w:ind w:left="1440" w:hanging="360"/>
      </w:pPr>
    </w:lvl>
    <w:lvl w:ilvl="2" w:tplc="F8C8DDD8">
      <w:start w:val="1"/>
      <w:numFmt w:val="lowerRoman"/>
      <w:lvlText w:val="%3."/>
      <w:lvlJc w:val="right"/>
      <w:pPr>
        <w:ind w:left="2160" w:hanging="180"/>
      </w:pPr>
    </w:lvl>
    <w:lvl w:ilvl="3" w:tplc="52CE01A6">
      <w:start w:val="1"/>
      <w:numFmt w:val="decimal"/>
      <w:lvlText w:val="%4."/>
      <w:lvlJc w:val="left"/>
      <w:pPr>
        <w:ind w:left="2880" w:hanging="360"/>
      </w:pPr>
    </w:lvl>
    <w:lvl w:ilvl="4" w:tplc="9D544E42">
      <w:start w:val="1"/>
      <w:numFmt w:val="lowerLetter"/>
      <w:lvlText w:val="%5."/>
      <w:lvlJc w:val="left"/>
      <w:pPr>
        <w:ind w:left="3600" w:hanging="360"/>
      </w:pPr>
    </w:lvl>
    <w:lvl w:ilvl="5" w:tplc="89A06950">
      <w:start w:val="1"/>
      <w:numFmt w:val="lowerRoman"/>
      <w:lvlText w:val="%6."/>
      <w:lvlJc w:val="right"/>
      <w:pPr>
        <w:ind w:left="4320" w:hanging="180"/>
      </w:pPr>
    </w:lvl>
    <w:lvl w:ilvl="6" w:tplc="91724F92">
      <w:start w:val="1"/>
      <w:numFmt w:val="decimal"/>
      <w:lvlText w:val="%7."/>
      <w:lvlJc w:val="left"/>
      <w:pPr>
        <w:ind w:left="5040" w:hanging="360"/>
      </w:pPr>
    </w:lvl>
    <w:lvl w:ilvl="7" w:tplc="22E2B90C">
      <w:start w:val="1"/>
      <w:numFmt w:val="lowerLetter"/>
      <w:lvlText w:val="%8."/>
      <w:lvlJc w:val="left"/>
      <w:pPr>
        <w:ind w:left="5760" w:hanging="360"/>
      </w:pPr>
    </w:lvl>
    <w:lvl w:ilvl="8" w:tplc="B21214A2">
      <w:start w:val="1"/>
      <w:numFmt w:val="lowerRoman"/>
      <w:lvlText w:val="%9."/>
      <w:lvlJc w:val="right"/>
      <w:pPr>
        <w:ind w:left="6480" w:hanging="180"/>
      </w:pPr>
    </w:lvl>
  </w:abstractNum>
  <w:abstractNum w:abstractNumId="202" w15:restartNumberingAfterBreak="0">
    <w:nsid w:val="4494263B"/>
    <w:multiLevelType w:val="hybridMultilevel"/>
    <w:tmpl w:val="DFDC7BE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4" w15:restartNumberingAfterBreak="0">
    <w:nsid w:val="45A03C9B"/>
    <w:multiLevelType w:val="hybridMultilevel"/>
    <w:tmpl w:val="221A8812"/>
    <w:lvl w:ilvl="0" w:tplc="BF140532">
      <w:start w:val="1"/>
      <w:numFmt w:val="bullet"/>
      <w:lvlText w:val=""/>
      <w:lvlJc w:val="left"/>
      <w:pPr>
        <w:ind w:left="1440" w:hanging="360"/>
      </w:pPr>
      <w:rPr>
        <w:rFonts w:ascii="Symbol" w:hAnsi="Symbol" w:hint="default"/>
        <w:sz w:val="24"/>
        <w:szCs w:val="24"/>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5" w15:restartNumberingAfterBreak="0">
    <w:nsid w:val="45B20F85"/>
    <w:multiLevelType w:val="hybridMultilevel"/>
    <w:tmpl w:val="0018E5FA"/>
    <w:lvl w:ilvl="0" w:tplc="555E7FC6">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6" w15:restartNumberingAfterBreak="0">
    <w:nsid w:val="45EF13A0"/>
    <w:multiLevelType w:val="hybridMultilevel"/>
    <w:tmpl w:val="E95E4FAC"/>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7" w15:restartNumberingAfterBreak="0">
    <w:nsid w:val="466C5D6E"/>
    <w:multiLevelType w:val="hybridMultilevel"/>
    <w:tmpl w:val="1E0033B6"/>
    <w:lvl w:ilvl="0" w:tplc="FFFFFFFF">
      <w:start w:val="1"/>
      <w:numFmt w:val="decimal"/>
      <w:lvlText w:val="%1."/>
      <w:lvlJc w:val="left"/>
      <w:pPr>
        <w:ind w:left="720" w:hanging="360"/>
      </w:pPr>
      <w:rPr>
        <w:rFonts w:hint="default"/>
      </w:rPr>
    </w:lvl>
    <w:lvl w:ilvl="1" w:tplc="18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8" w15:restartNumberingAfterBreak="0">
    <w:nsid w:val="472A2633"/>
    <w:multiLevelType w:val="hybridMultilevel"/>
    <w:tmpl w:val="FFFFFFFF"/>
    <w:lvl w:ilvl="0" w:tplc="D19CF52C">
      <w:start w:val="3"/>
      <w:numFmt w:val="decimal"/>
      <w:lvlText w:val="%1."/>
      <w:lvlJc w:val="left"/>
      <w:pPr>
        <w:ind w:left="720" w:hanging="360"/>
      </w:pPr>
    </w:lvl>
    <w:lvl w:ilvl="1" w:tplc="3C366370">
      <w:start w:val="1"/>
      <w:numFmt w:val="lowerLetter"/>
      <w:lvlText w:val="%2."/>
      <w:lvlJc w:val="left"/>
      <w:pPr>
        <w:ind w:left="1440" w:hanging="360"/>
      </w:pPr>
    </w:lvl>
    <w:lvl w:ilvl="2" w:tplc="42AC27CC">
      <w:start w:val="1"/>
      <w:numFmt w:val="lowerRoman"/>
      <w:lvlText w:val="%3."/>
      <w:lvlJc w:val="right"/>
      <w:pPr>
        <w:ind w:left="2160" w:hanging="180"/>
      </w:pPr>
    </w:lvl>
    <w:lvl w:ilvl="3" w:tplc="3540616A">
      <w:start w:val="1"/>
      <w:numFmt w:val="decimal"/>
      <w:lvlText w:val="%4."/>
      <w:lvlJc w:val="left"/>
      <w:pPr>
        <w:ind w:left="2880" w:hanging="360"/>
      </w:pPr>
    </w:lvl>
    <w:lvl w:ilvl="4" w:tplc="7E561252">
      <w:start w:val="1"/>
      <w:numFmt w:val="lowerLetter"/>
      <w:lvlText w:val="%5."/>
      <w:lvlJc w:val="left"/>
      <w:pPr>
        <w:ind w:left="3600" w:hanging="360"/>
      </w:pPr>
    </w:lvl>
    <w:lvl w:ilvl="5" w:tplc="1B586328">
      <w:start w:val="1"/>
      <w:numFmt w:val="lowerRoman"/>
      <w:lvlText w:val="%6."/>
      <w:lvlJc w:val="right"/>
      <w:pPr>
        <w:ind w:left="4320" w:hanging="180"/>
      </w:pPr>
    </w:lvl>
    <w:lvl w:ilvl="6" w:tplc="6B1ED078">
      <w:start w:val="1"/>
      <w:numFmt w:val="decimal"/>
      <w:lvlText w:val="%7."/>
      <w:lvlJc w:val="left"/>
      <w:pPr>
        <w:ind w:left="5040" w:hanging="360"/>
      </w:pPr>
    </w:lvl>
    <w:lvl w:ilvl="7" w:tplc="4350B000">
      <w:start w:val="1"/>
      <w:numFmt w:val="lowerLetter"/>
      <w:lvlText w:val="%8."/>
      <w:lvlJc w:val="left"/>
      <w:pPr>
        <w:ind w:left="5760" w:hanging="360"/>
      </w:pPr>
    </w:lvl>
    <w:lvl w:ilvl="8" w:tplc="91608F30">
      <w:start w:val="1"/>
      <w:numFmt w:val="lowerRoman"/>
      <w:lvlText w:val="%9."/>
      <w:lvlJc w:val="right"/>
      <w:pPr>
        <w:ind w:left="6480" w:hanging="180"/>
      </w:pPr>
    </w:lvl>
  </w:abstractNum>
  <w:abstractNum w:abstractNumId="209" w15:restartNumberingAfterBreak="0">
    <w:nsid w:val="4817CAB1"/>
    <w:multiLevelType w:val="hybridMultilevel"/>
    <w:tmpl w:val="FFFFFFFF"/>
    <w:lvl w:ilvl="0" w:tplc="78DAC97C">
      <w:start w:val="2"/>
      <w:numFmt w:val="lowerRoman"/>
      <w:lvlText w:val="%1."/>
      <w:lvlJc w:val="right"/>
      <w:pPr>
        <w:ind w:left="1080" w:hanging="360"/>
      </w:pPr>
    </w:lvl>
    <w:lvl w:ilvl="1" w:tplc="0ED0B7E4">
      <w:start w:val="1"/>
      <w:numFmt w:val="lowerLetter"/>
      <w:lvlText w:val="%2."/>
      <w:lvlJc w:val="left"/>
      <w:pPr>
        <w:ind w:left="1440" w:hanging="360"/>
      </w:pPr>
    </w:lvl>
    <w:lvl w:ilvl="2" w:tplc="1BF4D06E">
      <w:start w:val="1"/>
      <w:numFmt w:val="lowerRoman"/>
      <w:lvlText w:val="%3."/>
      <w:lvlJc w:val="right"/>
      <w:pPr>
        <w:ind w:left="2160" w:hanging="180"/>
      </w:pPr>
    </w:lvl>
    <w:lvl w:ilvl="3" w:tplc="AC62C4FC">
      <w:start w:val="1"/>
      <w:numFmt w:val="decimal"/>
      <w:lvlText w:val="%4."/>
      <w:lvlJc w:val="left"/>
      <w:pPr>
        <w:ind w:left="2880" w:hanging="360"/>
      </w:pPr>
    </w:lvl>
    <w:lvl w:ilvl="4" w:tplc="AED82B14">
      <w:start w:val="1"/>
      <w:numFmt w:val="lowerLetter"/>
      <w:lvlText w:val="%5."/>
      <w:lvlJc w:val="left"/>
      <w:pPr>
        <w:ind w:left="3600" w:hanging="360"/>
      </w:pPr>
    </w:lvl>
    <w:lvl w:ilvl="5" w:tplc="1062CC26">
      <w:start w:val="1"/>
      <w:numFmt w:val="lowerRoman"/>
      <w:lvlText w:val="%6."/>
      <w:lvlJc w:val="right"/>
      <w:pPr>
        <w:ind w:left="4320" w:hanging="180"/>
      </w:pPr>
    </w:lvl>
    <w:lvl w:ilvl="6" w:tplc="47F25BDA">
      <w:start w:val="1"/>
      <w:numFmt w:val="decimal"/>
      <w:lvlText w:val="%7."/>
      <w:lvlJc w:val="left"/>
      <w:pPr>
        <w:ind w:left="5040" w:hanging="360"/>
      </w:pPr>
    </w:lvl>
    <w:lvl w:ilvl="7" w:tplc="3F62EF02">
      <w:start w:val="1"/>
      <w:numFmt w:val="lowerLetter"/>
      <w:lvlText w:val="%8."/>
      <w:lvlJc w:val="left"/>
      <w:pPr>
        <w:ind w:left="5760" w:hanging="360"/>
      </w:pPr>
    </w:lvl>
    <w:lvl w:ilvl="8" w:tplc="E5B4C5D8">
      <w:start w:val="1"/>
      <w:numFmt w:val="lowerRoman"/>
      <w:lvlText w:val="%9."/>
      <w:lvlJc w:val="right"/>
      <w:pPr>
        <w:ind w:left="6480" w:hanging="180"/>
      </w:pPr>
    </w:lvl>
  </w:abstractNum>
  <w:abstractNum w:abstractNumId="210" w15:restartNumberingAfterBreak="0">
    <w:nsid w:val="484D0E2C"/>
    <w:multiLevelType w:val="hybridMultilevel"/>
    <w:tmpl w:val="FFFFFFFF"/>
    <w:lvl w:ilvl="0" w:tplc="7A022B4E">
      <w:start w:val="1"/>
      <w:numFmt w:val="decimal"/>
      <w:lvlText w:val="%1."/>
      <w:lvlJc w:val="left"/>
      <w:pPr>
        <w:ind w:left="720" w:hanging="360"/>
      </w:pPr>
    </w:lvl>
    <w:lvl w:ilvl="1" w:tplc="C764F72C">
      <w:start w:val="2"/>
      <w:numFmt w:val="lowerLetter"/>
      <w:lvlText w:val="%2."/>
      <w:lvlJc w:val="left"/>
      <w:pPr>
        <w:ind w:left="1440" w:hanging="360"/>
      </w:pPr>
    </w:lvl>
    <w:lvl w:ilvl="2" w:tplc="E10C41CE">
      <w:start w:val="1"/>
      <w:numFmt w:val="lowerRoman"/>
      <w:lvlText w:val="%3."/>
      <w:lvlJc w:val="right"/>
      <w:pPr>
        <w:ind w:left="2160" w:hanging="180"/>
      </w:pPr>
    </w:lvl>
    <w:lvl w:ilvl="3" w:tplc="DE0031B8">
      <w:start w:val="1"/>
      <w:numFmt w:val="decimal"/>
      <w:lvlText w:val="%4."/>
      <w:lvlJc w:val="left"/>
      <w:pPr>
        <w:ind w:left="2880" w:hanging="360"/>
      </w:pPr>
    </w:lvl>
    <w:lvl w:ilvl="4" w:tplc="C1EADC4A">
      <w:start w:val="1"/>
      <w:numFmt w:val="lowerLetter"/>
      <w:lvlText w:val="%5."/>
      <w:lvlJc w:val="left"/>
      <w:pPr>
        <w:ind w:left="3600" w:hanging="360"/>
      </w:pPr>
    </w:lvl>
    <w:lvl w:ilvl="5" w:tplc="86482254">
      <w:start w:val="1"/>
      <w:numFmt w:val="lowerRoman"/>
      <w:lvlText w:val="%6."/>
      <w:lvlJc w:val="right"/>
      <w:pPr>
        <w:ind w:left="4320" w:hanging="180"/>
      </w:pPr>
    </w:lvl>
    <w:lvl w:ilvl="6" w:tplc="607E1A48">
      <w:start w:val="1"/>
      <w:numFmt w:val="decimal"/>
      <w:lvlText w:val="%7."/>
      <w:lvlJc w:val="left"/>
      <w:pPr>
        <w:ind w:left="5040" w:hanging="360"/>
      </w:pPr>
    </w:lvl>
    <w:lvl w:ilvl="7" w:tplc="9BB88318">
      <w:start w:val="1"/>
      <w:numFmt w:val="lowerLetter"/>
      <w:lvlText w:val="%8."/>
      <w:lvlJc w:val="left"/>
      <w:pPr>
        <w:ind w:left="5760" w:hanging="360"/>
      </w:pPr>
    </w:lvl>
    <w:lvl w:ilvl="8" w:tplc="B0403CE8">
      <w:start w:val="1"/>
      <w:numFmt w:val="lowerRoman"/>
      <w:lvlText w:val="%9."/>
      <w:lvlJc w:val="right"/>
      <w:pPr>
        <w:ind w:left="6480" w:hanging="180"/>
      </w:pPr>
    </w:lvl>
  </w:abstractNum>
  <w:abstractNum w:abstractNumId="211" w15:restartNumberingAfterBreak="0">
    <w:nsid w:val="489D548A"/>
    <w:multiLevelType w:val="hybridMultilevel"/>
    <w:tmpl w:val="FFFFFFFF"/>
    <w:lvl w:ilvl="0" w:tplc="C7325628">
      <w:start w:val="1"/>
      <w:numFmt w:val="decimal"/>
      <w:lvlText w:val="%1."/>
      <w:lvlJc w:val="left"/>
      <w:pPr>
        <w:ind w:left="720" w:hanging="360"/>
      </w:pPr>
    </w:lvl>
    <w:lvl w:ilvl="1" w:tplc="A8CE6998">
      <w:start w:val="5"/>
      <w:numFmt w:val="lowerRoman"/>
      <w:lvlText w:val="%2."/>
      <w:lvlJc w:val="right"/>
      <w:pPr>
        <w:ind w:left="1440" w:hanging="360"/>
      </w:pPr>
    </w:lvl>
    <w:lvl w:ilvl="2" w:tplc="75B2BBB2">
      <w:start w:val="1"/>
      <w:numFmt w:val="lowerRoman"/>
      <w:lvlText w:val="%3."/>
      <w:lvlJc w:val="right"/>
      <w:pPr>
        <w:ind w:left="2160" w:hanging="180"/>
      </w:pPr>
    </w:lvl>
    <w:lvl w:ilvl="3" w:tplc="101EBF24">
      <w:start w:val="1"/>
      <w:numFmt w:val="decimal"/>
      <w:lvlText w:val="%4."/>
      <w:lvlJc w:val="left"/>
      <w:pPr>
        <w:ind w:left="2880" w:hanging="360"/>
      </w:pPr>
    </w:lvl>
    <w:lvl w:ilvl="4" w:tplc="422CF632">
      <w:start w:val="1"/>
      <w:numFmt w:val="lowerLetter"/>
      <w:lvlText w:val="%5."/>
      <w:lvlJc w:val="left"/>
      <w:pPr>
        <w:ind w:left="3600" w:hanging="360"/>
      </w:pPr>
    </w:lvl>
    <w:lvl w:ilvl="5" w:tplc="979E0498">
      <w:start w:val="1"/>
      <w:numFmt w:val="lowerRoman"/>
      <w:lvlText w:val="%6."/>
      <w:lvlJc w:val="right"/>
      <w:pPr>
        <w:ind w:left="4320" w:hanging="180"/>
      </w:pPr>
    </w:lvl>
    <w:lvl w:ilvl="6" w:tplc="86340FE4">
      <w:start w:val="1"/>
      <w:numFmt w:val="decimal"/>
      <w:lvlText w:val="%7."/>
      <w:lvlJc w:val="left"/>
      <w:pPr>
        <w:ind w:left="5040" w:hanging="360"/>
      </w:pPr>
    </w:lvl>
    <w:lvl w:ilvl="7" w:tplc="E500CABC">
      <w:start w:val="1"/>
      <w:numFmt w:val="lowerLetter"/>
      <w:lvlText w:val="%8."/>
      <w:lvlJc w:val="left"/>
      <w:pPr>
        <w:ind w:left="5760" w:hanging="360"/>
      </w:pPr>
    </w:lvl>
    <w:lvl w:ilvl="8" w:tplc="03705EC8">
      <w:start w:val="1"/>
      <w:numFmt w:val="lowerRoman"/>
      <w:lvlText w:val="%9."/>
      <w:lvlJc w:val="right"/>
      <w:pPr>
        <w:ind w:left="6480" w:hanging="180"/>
      </w:pPr>
    </w:lvl>
  </w:abstractNum>
  <w:abstractNum w:abstractNumId="212" w15:restartNumberingAfterBreak="0">
    <w:nsid w:val="48ECD395"/>
    <w:multiLevelType w:val="hybridMultilevel"/>
    <w:tmpl w:val="FFFFFFFF"/>
    <w:lvl w:ilvl="0" w:tplc="46D2569C">
      <w:start w:val="3"/>
      <w:numFmt w:val="decimal"/>
      <w:lvlText w:val="%1."/>
      <w:lvlJc w:val="left"/>
      <w:pPr>
        <w:ind w:left="720" w:hanging="360"/>
      </w:pPr>
    </w:lvl>
    <w:lvl w:ilvl="1" w:tplc="2AFA2CCC">
      <w:start w:val="1"/>
      <w:numFmt w:val="lowerLetter"/>
      <w:lvlText w:val="%2."/>
      <w:lvlJc w:val="left"/>
      <w:pPr>
        <w:ind w:left="1440" w:hanging="360"/>
      </w:pPr>
    </w:lvl>
    <w:lvl w:ilvl="2" w:tplc="E7C6145E">
      <w:start w:val="1"/>
      <w:numFmt w:val="lowerRoman"/>
      <w:lvlText w:val="%3."/>
      <w:lvlJc w:val="right"/>
      <w:pPr>
        <w:ind w:left="2160" w:hanging="180"/>
      </w:pPr>
    </w:lvl>
    <w:lvl w:ilvl="3" w:tplc="D5781864">
      <w:start w:val="1"/>
      <w:numFmt w:val="decimal"/>
      <w:lvlText w:val="%4."/>
      <w:lvlJc w:val="left"/>
      <w:pPr>
        <w:ind w:left="2880" w:hanging="360"/>
      </w:pPr>
    </w:lvl>
    <w:lvl w:ilvl="4" w:tplc="139CAC14">
      <w:start w:val="1"/>
      <w:numFmt w:val="lowerLetter"/>
      <w:lvlText w:val="%5."/>
      <w:lvlJc w:val="left"/>
      <w:pPr>
        <w:ind w:left="3600" w:hanging="360"/>
      </w:pPr>
    </w:lvl>
    <w:lvl w:ilvl="5" w:tplc="F28EF18C">
      <w:start w:val="1"/>
      <w:numFmt w:val="lowerRoman"/>
      <w:lvlText w:val="%6."/>
      <w:lvlJc w:val="right"/>
      <w:pPr>
        <w:ind w:left="4320" w:hanging="180"/>
      </w:pPr>
    </w:lvl>
    <w:lvl w:ilvl="6" w:tplc="35624478">
      <w:start w:val="1"/>
      <w:numFmt w:val="decimal"/>
      <w:lvlText w:val="%7."/>
      <w:lvlJc w:val="left"/>
      <w:pPr>
        <w:ind w:left="5040" w:hanging="360"/>
      </w:pPr>
    </w:lvl>
    <w:lvl w:ilvl="7" w:tplc="29228448">
      <w:start w:val="1"/>
      <w:numFmt w:val="lowerLetter"/>
      <w:lvlText w:val="%8."/>
      <w:lvlJc w:val="left"/>
      <w:pPr>
        <w:ind w:left="5760" w:hanging="360"/>
      </w:pPr>
    </w:lvl>
    <w:lvl w:ilvl="8" w:tplc="246E1CE0">
      <w:start w:val="1"/>
      <w:numFmt w:val="lowerRoman"/>
      <w:lvlText w:val="%9."/>
      <w:lvlJc w:val="right"/>
      <w:pPr>
        <w:ind w:left="6480" w:hanging="180"/>
      </w:pPr>
    </w:lvl>
  </w:abstractNum>
  <w:abstractNum w:abstractNumId="213" w15:restartNumberingAfterBreak="0">
    <w:nsid w:val="491C5001"/>
    <w:multiLevelType w:val="hybridMultilevel"/>
    <w:tmpl w:val="FFFFFFFF"/>
    <w:lvl w:ilvl="0" w:tplc="512C6B14">
      <w:start w:val="8"/>
      <w:numFmt w:val="decimal"/>
      <w:lvlText w:val="%1."/>
      <w:lvlJc w:val="left"/>
      <w:pPr>
        <w:ind w:left="720" w:hanging="360"/>
      </w:pPr>
    </w:lvl>
    <w:lvl w:ilvl="1" w:tplc="77CA26A4">
      <w:start w:val="1"/>
      <w:numFmt w:val="lowerLetter"/>
      <w:lvlText w:val="%2."/>
      <w:lvlJc w:val="left"/>
      <w:pPr>
        <w:ind w:left="1440" w:hanging="360"/>
      </w:pPr>
    </w:lvl>
    <w:lvl w:ilvl="2" w:tplc="EA066ABE">
      <w:start w:val="1"/>
      <w:numFmt w:val="lowerRoman"/>
      <w:lvlText w:val="%3."/>
      <w:lvlJc w:val="right"/>
      <w:pPr>
        <w:ind w:left="2160" w:hanging="180"/>
      </w:pPr>
    </w:lvl>
    <w:lvl w:ilvl="3" w:tplc="63285588">
      <w:start w:val="1"/>
      <w:numFmt w:val="decimal"/>
      <w:lvlText w:val="%4."/>
      <w:lvlJc w:val="left"/>
      <w:pPr>
        <w:ind w:left="2880" w:hanging="360"/>
      </w:pPr>
    </w:lvl>
    <w:lvl w:ilvl="4" w:tplc="BD4243D4">
      <w:start w:val="1"/>
      <w:numFmt w:val="lowerLetter"/>
      <w:lvlText w:val="%5."/>
      <w:lvlJc w:val="left"/>
      <w:pPr>
        <w:ind w:left="3600" w:hanging="360"/>
      </w:pPr>
    </w:lvl>
    <w:lvl w:ilvl="5" w:tplc="AEC41816">
      <w:start w:val="1"/>
      <w:numFmt w:val="lowerRoman"/>
      <w:lvlText w:val="%6."/>
      <w:lvlJc w:val="right"/>
      <w:pPr>
        <w:ind w:left="4320" w:hanging="180"/>
      </w:pPr>
    </w:lvl>
    <w:lvl w:ilvl="6" w:tplc="51A80024">
      <w:start w:val="1"/>
      <w:numFmt w:val="decimal"/>
      <w:lvlText w:val="%7."/>
      <w:lvlJc w:val="left"/>
      <w:pPr>
        <w:ind w:left="5040" w:hanging="360"/>
      </w:pPr>
    </w:lvl>
    <w:lvl w:ilvl="7" w:tplc="CF6AC42A">
      <w:start w:val="1"/>
      <w:numFmt w:val="lowerLetter"/>
      <w:lvlText w:val="%8."/>
      <w:lvlJc w:val="left"/>
      <w:pPr>
        <w:ind w:left="5760" w:hanging="360"/>
      </w:pPr>
    </w:lvl>
    <w:lvl w:ilvl="8" w:tplc="2078FBB8">
      <w:start w:val="1"/>
      <w:numFmt w:val="lowerRoman"/>
      <w:lvlText w:val="%9."/>
      <w:lvlJc w:val="right"/>
      <w:pPr>
        <w:ind w:left="6480" w:hanging="180"/>
      </w:pPr>
    </w:lvl>
  </w:abstractNum>
  <w:abstractNum w:abstractNumId="214" w15:restartNumberingAfterBreak="0">
    <w:nsid w:val="49964EB8"/>
    <w:multiLevelType w:val="hybridMultilevel"/>
    <w:tmpl w:val="FFFFFFFF"/>
    <w:lvl w:ilvl="0" w:tplc="F1561DC2">
      <w:start w:val="2"/>
      <w:numFmt w:val="lowerRoman"/>
      <w:lvlText w:val="%1."/>
      <w:lvlJc w:val="right"/>
      <w:pPr>
        <w:ind w:left="1080" w:hanging="360"/>
      </w:pPr>
    </w:lvl>
    <w:lvl w:ilvl="1" w:tplc="FDF8DB0E">
      <w:start w:val="1"/>
      <w:numFmt w:val="lowerLetter"/>
      <w:lvlText w:val="%2."/>
      <w:lvlJc w:val="left"/>
      <w:pPr>
        <w:ind w:left="1440" w:hanging="360"/>
      </w:pPr>
    </w:lvl>
    <w:lvl w:ilvl="2" w:tplc="3C4222A8">
      <w:start w:val="1"/>
      <w:numFmt w:val="lowerRoman"/>
      <w:lvlText w:val="%3."/>
      <w:lvlJc w:val="right"/>
      <w:pPr>
        <w:ind w:left="2160" w:hanging="180"/>
      </w:pPr>
    </w:lvl>
    <w:lvl w:ilvl="3" w:tplc="0CFA2B5E">
      <w:start w:val="1"/>
      <w:numFmt w:val="decimal"/>
      <w:lvlText w:val="%4."/>
      <w:lvlJc w:val="left"/>
      <w:pPr>
        <w:ind w:left="2880" w:hanging="360"/>
      </w:pPr>
    </w:lvl>
    <w:lvl w:ilvl="4" w:tplc="27EAC552">
      <w:start w:val="1"/>
      <w:numFmt w:val="lowerLetter"/>
      <w:lvlText w:val="%5."/>
      <w:lvlJc w:val="left"/>
      <w:pPr>
        <w:ind w:left="3600" w:hanging="360"/>
      </w:pPr>
    </w:lvl>
    <w:lvl w:ilvl="5" w:tplc="9814E018">
      <w:start w:val="1"/>
      <w:numFmt w:val="lowerRoman"/>
      <w:lvlText w:val="%6."/>
      <w:lvlJc w:val="right"/>
      <w:pPr>
        <w:ind w:left="4320" w:hanging="180"/>
      </w:pPr>
    </w:lvl>
    <w:lvl w:ilvl="6" w:tplc="A4804358">
      <w:start w:val="1"/>
      <w:numFmt w:val="decimal"/>
      <w:lvlText w:val="%7."/>
      <w:lvlJc w:val="left"/>
      <w:pPr>
        <w:ind w:left="5040" w:hanging="360"/>
      </w:pPr>
    </w:lvl>
    <w:lvl w:ilvl="7" w:tplc="1472E012">
      <w:start w:val="1"/>
      <w:numFmt w:val="lowerLetter"/>
      <w:lvlText w:val="%8."/>
      <w:lvlJc w:val="left"/>
      <w:pPr>
        <w:ind w:left="5760" w:hanging="360"/>
      </w:pPr>
    </w:lvl>
    <w:lvl w:ilvl="8" w:tplc="8D3A7332">
      <w:start w:val="1"/>
      <w:numFmt w:val="lowerRoman"/>
      <w:lvlText w:val="%9."/>
      <w:lvlJc w:val="right"/>
      <w:pPr>
        <w:ind w:left="6480" w:hanging="180"/>
      </w:pPr>
    </w:lvl>
  </w:abstractNum>
  <w:abstractNum w:abstractNumId="215" w15:restartNumberingAfterBreak="0">
    <w:nsid w:val="49A45912"/>
    <w:multiLevelType w:val="hybridMultilevel"/>
    <w:tmpl w:val="8EF48F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6" w15:restartNumberingAfterBreak="0">
    <w:nsid w:val="49E79FE9"/>
    <w:multiLevelType w:val="hybridMultilevel"/>
    <w:tmpl w:val="FFFFFFFF"/>
    <w:lvl w:ilvl="0" w:tplc="925C6314">
      <w:start w:val="1"/>
      <w:numFmt w:val="bullet"/>
      <w:lvlText w:val=""/>
      <w:lvlJc w:val="left"/>
      <w:pPr>
        <w:ind w:left="720" w:hanging="360"/>
      </w:pPr>
      <w:rPr>
        <w:rFonts w:ascii="Symbol" w:hAnsi="Symbol" w:hint="default"/>
      </w:rPr>
    </w:lvl>
    <w:lvl w:ilvl="1" w:tplc="931E82F4">
      <w:start w:val="1"/>
      <w:numFmt w:val="bullet"/>
      <w:lvlText w:val="o"/>
      <w:lvlJc w:val="left"/>
      <w:pPr>
        <w:ind w:left="1440" w:hanging="360"/>
      </w:pPr>
      <w:rPr>
        <w:rFonts w:ascii="Courier New" w:hAnsi="Courier New" w:hint="default"/>
      </w:rPr>
    </w:lvl>
    <w:lvl w:ilvl="2" w:tplc="61209734">
      <w:start w:val="1"/>
      <w:numFmt w:val="bullet"/>
      <w:lvlText w:val=""/>
      <w:lvlJc w:val="left"/>
      <w:pPr>
        <w:ind w:left="2160" w:hanging="360"/>
      </w:pPr>
      <w:rPr>
        <w:rFonts w:ascii="Wingdings" w:hAnsi="Wingdings" w:hint="default"/>
      </w:rPr>
    </w:lvl>
    <w:lvl w:ilvl="3" w:tplc="2A1CD70A">
      <w:start w:val="1"/>
      <w:numFmt w:val="bullet"/>
      <w:lvlText w:val=""/>
      <w:lvlJc w:val="left"/>
      <w:pPr>
        <w:ind w:left="2880" w:hanging="360"/>
      </w:pPr>
      <w:rPr>
        <w:rFonts w:ascii="Symbol" w:hAnsi="Symbol" w:hint="default"/>
      </w:rPr>
    </w:lvl>
    <w:lvl w:ilvl="4" w:tplc="2750B18E">
      <w:start w:val="1"/>
      <w:numFmt w:val="bullet"/>
      <w:lvlText w:val="o"/>
      <w:lvlJc w:val="left"/>
      <w:pPr>
        <w:ind w:left="3600" w:hanging="360"/>
      </w:pPr>
      <w:rPr>
        <w:rFonts w:ascii="Courier New" w:hAnsi="Courier New" w:hint="default"/>
      </w:rPr>
    </w:lvl>
    <w:lvl w:ilvl="5" w:tplc="04C65880">
      <w:start w:val="1"/>
      <w:numFmt w:val="bullet"/>
      <w:lvlText w:val=""/>
      <w:lvlJc w:val="left"/>
      <w:pPr>
        <w:ind w:left="4320" w:hanging="360"/>
      </w:pPr>
      <w:rPr>
        <w:rFonts w:ascii="Wingdings" w:hAnsi="Wingdings" w:hint="default"/>
      </w:rPr>
    </w:lvl>
    <w:lvl w:ilvl="6" w:tplc="7BD409B2">
      <w:start w:val="1"/>
      <w:numFmt w:val="bullet"/>
      <w:lvlText w:val=""/>
      <w:lvlJc w:val="left"/>
      <w:pPr>
        <w:ind w:left="5040" w:hanging="360"/>
      </w:pPr>
      <w:rPr>
        <w:rFonts w:ascii="Symbol" w:hAnsi="Symbol" w:hint="default"/>
      </w:rPr>
    </w:lvl>
    <w:lvl w:ilvl="7" w:tplc="314EE8DE">
      <w:start w:val="1"/>
      <w:numFmt w:val="bullet"/>
      <w:lvlText w:val="o"/>
      <w:lvlJc w:val="left"/>
      <w:pPr>
        <w:ind w:left="5760" w:hanging="360"/>
      </w:pPr>
      <w:rPr>
        <w:rFonts w:ascii="Courier New" w:hAnsi="Courier New" w:hint="default"/>
      </w:rPr>
    </w:lvl>
    <w:lvl w:ilvl="8" w:tplc="2064E964">
      <w:start w:val="1"/>
      <w:numFmt w:val="bullet"/>
      <w:lvlText w:val=""/>
      <w:lvlJc w:val="left"/>
      <w:pPr>
        <w:ind w:left="6480" w:hanging="360"/>
      </w:pPr>
      <w:rPr>
        <w:rFonts w:ascii="Wingdings" w:hAnsi="Wingdings" w:hint="default"/>
      </w:rPr>
    </w:lvl>
  </w:abstractNum>
  <w:abstractNum w:abstractNumId="217" w15:restartNumberingAfterBreak="0">
    <w:nsid w:val="49FC89E2"/>
    <w:multiLevelType w:val="hybridMultilevel"/>
    <w:tmpl w:val="FFFFFFFF"/>
    <w:lvl w:ilvl="0" w:tplc="6C080CA6">
      <w:start w:val="1"/>
      <w:numFmt w:val="bullet"/>
      <w:lvlText w:val="-"/>
      <w:lvlJc w:val="left"/>
      <w:pPr>
        <w:ind w:left="720" w:hanging="360"/>
      </w:pPr>
      <w:rPr>
        <w:rFonts w:ascii="Symbol" w:hAnsi="Symbol" w:hint="default"/>
      </w:rPr>
    </w:lvl>
    <w:lvl w:ilvl="1" w:tplc="94CA9882">
      <w:start w:val="1"/>
      <w:numFmt w:val="bullet"/>
      <w:lvlText w:val="o"/>
      <w:lvlJc w:val="left"/>
      <w:pPr>
        <w:ind w:left="1440" w:hanging="360"/>
      </w:pPr>
      <w:rPr>
        <w:rFonts w:ascii="Courier New" w:hAnsi="Courier New" w:hint="default"/>
      </w:rPr>
    </w:lvl>
    <w:lvl w:ilvl="2" w:tplc="366ACCA2">
      <w:start w:val="1"/>
      <w:numFmt w:val="bullet"/>
      <w:lvlText w:val=""/>
      <w:lvlJc w:val="left"/>
      <w:pPr>
        <w:ind w:left="2160" w:hanging="360"/>
      </w:pPr>
      <w:rPr>
        <w:rFonts w:ascii="Wingdings" w:hAnsi="Wingdings" w:hint="default"/>
      </w:rPr>
    </w:lvl>
    <w:lvl w:ilvl="3" w:tplc="E37CA088">
      <w:start w:val="1"/>
      <w:numFmt w:val="bullet"/>
      <w:lvlText w:val=""/>
      <w:lvlJc w:val="left"/>
      <w:pPr>
        <w:ind w:left="2880" w:hanging="360"/>
      </w:pPr>
      <w:rPr>
        <w:rFonts w:ascii="Symbol" w:hAnsi="Symbol" w:hint="default"/>
      </w:rPr>
    </w:lvl>
    <w:lvl w:ilvl="4" w:tplc="2A242302">
      <w:start w:val="1"/>
      <w:numFmt w:val="bullet"/>
      <w:lvlText w:val="o"/>
      <w:lvlJc w:val="left"/>
      <w:pPr>
        <w:ind w:left="3600" w:hanging="360"/>
      </w:pPr>
      <w:rPr>
        <w:rFonts w:ascii="Courier New" w:hAnsi="Courier New" w:hint="default"/>
      </w:rPr>
    </w:lvl>
    <w:lvl w:ilvl="5" w:tplc="87845926">
      <w:start w:val="1"/>
      <w:numFmt w:val="bullet"/>
      <w:lvlText w:val=""/>
      <w:lvlJc w:val="left"/>
      <w:pPr>
        <w:ind w:left="4320" w:hanging="360"/>
      </w:pPr>
      <w:rPr>
        <w:rFonts w:ascii="Wingdings" w:hAnsi="Wingdings" w:hint="default"/>
      </w:rPr>
    </w:lvl>
    <w:lvl w:ilvl="6" w:tplc="777C6746">
      <w:start w:val="1"/>
      <w:numFmt w:val="bullet"/>
      <w:lvlText w:val=""/>
      <w:lvlJc w:val="left"/>
      <w:pPr>
        <w:ind w:left="5040" w:hanging="360"/>
      </w:pPr>
      <w:rPr>
        <w:rFonts w:ascii="Symbol" w:hAnsi="Symbol" w:hint="default"/>
      </w:rPr>
    </w:lvl>
    <w:lvl w:ilvl="7" w:tplc="64BABCE6">
      <w:start w:val="1"/>
      <w:numFmt w:val="bullet"/>
      <w:lvlText w:val="o"/>
      <w:lvlJc w:val="left"/>
      <w:pPr>
        <w:ind w:left="5760" w:hanging="360"/>
      </w:pPr>
      <w:rPr>
        <w:rFonts w:ascii="Courier New" w:hAnsi="Courier New" w:hint="default"/>
      </w:rPr>
    </w:lvl>
    <w:lvl w:ilvl="8" w:tplc="66CCFCEA">
      <w:start w:val="1"/>
      <w:numFmt w:val="bullet"/>
      <w:lvlText w:val=""/>
      <w:lvlJc w:val="left"/>
      <w:pPr>
        <w:ind w:left="6480" w:hanging="360"/>
      </w:pPr>
      <w:rPr>
        <w:rFonts w:ascii="Wingdings" w:hAnsi="Wingdings" w:hint="default"/>
      </w:rPr>
    </w:lvl>
  </w:abstractNum>
  <w:abstractNum w:abstractNumId="218" w15:restartNumberingAfterBreak="0">
    <w:nsid w:val="4AC332A7"/>
    <w:multiLevelType w:val="hybridMultilevel"/>
    <w:tmpl w:val="A37422E2"/>
    <w:lvl w:ilvl="0" w:tplc="B492D810">
      <w:start w:val="1"/>
      <w:numFmt w:val="bullet"/>
      <w:lvlText w:val="-"/>
      <w:lvlJc w:val="left"/>
      <w:pPr>
        <w:ind w:left="720" w:hanging="360"/>
      </w:pPr>
      <w:rPr>
        <w:rFonts w:ascii="Calibri" w:hAnsi="Calibri" w:hint="default"/>
      </w:rPr>
    </w:lvl>
    <w:lvl w:ilvl="1" w:tplc="8F3EC806">
      <w:start w:val="1"/>
      <w:numFmt w:val="bullet"/>
      <w:lvlText w:val="o"/>
      <w:lvlJc w:val="left"/>
      <w:pPr>
        <w:ind w:left="1440" w:hanging="360"/>
      </w:pPr>
      <w:rPr>
        <w:rFonts w:ascii="Courier New" w:hAnsi="Courier New" w:hint="default"/>
      </w:rPr>
    </w:lvl>
    <w:lvl w:ilvl="2" w:tplc="13146264">
      <w:start w:val="1"/>
      <w:numFmt w:val="bullet"/>
      <w:lvlText w:val=""/>
      <w:lvlJc w:val="left"/>
      <w:pPr>
        <w:ind w:left="2160" w:hanging="360"/>
      </w:pPr>
      <w:rPr>
        <w:rFonts w:ascii="Wingdings" w:hAnsi="Wingdings" w:hint="default"/>
      </w:rPr>
    </w:lvl>
    <w:lvl w:ilvl="3" w:tplc="2E26EFE0">
      <w:start w:val="1"/>
      <w:numFmt w:val="bullet"/>
      <w:lvlText w:val=""/>
      <w:lvlJc w:val="left"/>
      <w:pPr>
        <w:ind w:left="2880" w:hanging="360"/>
      </w:pPr>
      <w:rPr>
        <w:rFonts w:ascii="Symbol" w:hAnsi="Symbol" w:hint="default"/>
      </w:rPr>
    </w:lvl>
    <w:lvl w:ilvl="4" w:tplc="05749478">
      <w:start w:val="1"/>
      <w:numFmt w:val="bullet"/>
      <w:lvlText w:val="o"/>
      <w:lvlJc w:val="left"/>
      <w:pPr>
        <w:ind w:left="3600" w:hanging="360"/>
      </w:pPr>
      <w:rPr>
        <w:rFonts w:ascii="Courier New" w:hAnsi="Courier New" w:hint="default"/>
      </w:rPr>
    </w:lvl>
    <w:lvl w:ilvl="5" w:tplc="2C54EB44">
      <w:start w:val="1"/>
      <w:numFmt w:val="bullet"/>
      <w:lvlText w:val=""/>
      <w:lvlJc w:val="left"/>
      <w:pPr>
        <w:ind w:left="4320" w:hanging="360"/>
      </w:pPr>
      <w:rPr>
        <w:rFonts w:ascii="Wingdings" w:hAnsi="Wingdings" w:hint="default"/>
      </w:rPr>
    </w:lvl>
    <w:lvl w:ilvl="6" w:tplc="45620FEA">
      <w:start w:val="1"/>
      <w:numFmt w:val="bullet"/>
      <w:lvlText w:val=""/>
      <w:lvlJc w:val="left"/>
      <w:pPr>
        <w:ind w:left="5040" w:hanging="360"/>
      </w:pPr>
      <w:rPr>
        <w:rFonts w:ascii="Symbol" w:hAnsi="Symbol" w:hint="default"/>
      </w:rPr>
    </w:lvl>
    <w:lvl w:ilvl="7" w:tplc="0A142628">
      <w:start w:val="1"/>
      <w:numFmt w:val="bullet"/>
      <w:lvlText w:val="o"/>
      <w:lvlJc w:val="left"/>
      <w:pPr>
        <w:ind w:left="5760" w:hanging="360"/>
      </w:pPr>
      <w:rPr>
        <w:rFonts w:ascii="Courier New" w:hAnsi="Courier New" w:hint="default"/>
      </w:rPr>
    </w:lvl>
    <w:lvl w:ilvl="8" w:tplc="103E6ED8">
      <w:start w:val="1"/>
      <w:numFmt w:val="bullet"/>
      <w:lvlText w:val=""/>
      <w:lvlJc w:val="left"/>
      <w:pPr>
        <w:ind w:left="6480" w:hanging="360"/>
      </w:pPr>
      <w:rPr>
        <w:rFonts w:ascii="Wingdings" w:hAnsi="Wingdings" w:hint="default"/>
      </w:rPr>
    </w:lvl>
  </w:abstractNum>
  <w:abstractNum w:abstractNumId="219" w15:restartNumberingAfterBreak="0">
    <w:nsid w:val="4AD76898"/>
    <w:multiLevelType w:val="hybridMultilevel"/>
    <w:tmpl w:val="537E5D42"/>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0" w15:restartNumberingAfterBreak="0">
    <w:nsid w:val="4B95FFF8"/>
    <w:multiLevelType w:val="hybridMultilevel"/>
    <w:tmpl w:val="FFFFFFFF"/>
    <w:lvl w:ilvl="0" w:tplc="2B7A3CEC">
      <w:start w:val="1"/>
      <w:numFmt w:val="decimal"/>
      <w:lvlText w:val="%1."/>
      <w:lvlJc w:val="left"/>
      <w:pPr>
        <w:ind w:left="720" w:hanging="360"/>
      </w:pPr>
    </w:lvl>
    <w:lvl w:ilvl="1" w:tplc="AC9C6324">
      <w:start w:val="1"/>
      <w:numFmt w:val="lowerLetter"/>
      <w:lvlText w:val="%2."/>
      <w:lvlJc w:val="left"/>
      <w:pPr>
        <w:ind w:left="1440" w:hanging="360"/>
      </w:pPr>
    </w:lvl>
    <w:lvl w:ilvl="2" w:tplc="DAF81B40">
      <w:start w:val="1"/>
      <w:numFmt w:val="lowerRoman"/>
      <w:lvlText w:val="%3."/>
      <w:lvlJc w:val="right"/>
      <w:pPr>
        <w:ind w:left="2160" w:hanging="180"/>
      </w:pPr>
    </w:lvl>
    <w:lvl w:ilvl="3" w:tplc="D09ECDBA">
      <w:start w:val="1"/>
      <w:numFmt w:val="decimal"/>
      <w:lvlText w:val="%4."/>
      <w:lvlJc w:val="left"/>
      <w:pPr>
        <w:ind w:left="2880" w:hanging="360"/>
      </w:pPr>
    </w:lvl>
    <w:lvl w:ilvl="4" w:tplc="0F20B444">
      <w:start w:val="1"/>
      <w:numFmt w:val="lowerLetter"/>
      <w:lvlText w:val="%5."/>
      <w:lvlJc w:val="left"/>
      <w:pPr>
        <w:ind w:left="3600" w:hanging="360"/>
      </w:pPr>
    </w:lvl>
    <w:lvl w:ilvl="5" w:tplc="209C6006">
      <w:start w:val="1"/>
      <w:numFmt w:val="lowerRoman"/>
      <w:lvlText w:val="%6."/>
      <w:lvlJc w:val="right"/>
      <w:pPr>
        <w:ind w:left="4320" w:hanging="180"/>
      </w:pPr>
    </w:lvl>
    <w:lvl w:ilvl="6" w:tplc="28A6C392">
      <w:start w:val="1"/>
      <w:numFmt w:val="decimal"/>
      <w:lvlText w:val="%7."/>
      <w:lvlJc w:val="left"/>
      <w:pPr>
        <w:ind w:left="5040" w:hanging="360"/>
      </w:pPr>
    </w:lvl>
    <w:lvl w:ilvl="7" w:tplc="427AC780">
      <w:start w:val="1"/>
      <w:numFmt w:val="lowerLetter"/>
      <w:lvlText w:val="%8."/>
      <w:lvlJc w:val="left"/>
      <w:pPr>
        <w:ind w:left="5760" w:hanging="360"/>
      </w:pPr>
    </w:lvl>
    <w:lvl w:ilvl="8" w:tplc="3320C29C">
      <w:start w:val="1"/>
      <w:numFmt w:val="lowerRoman"/>
      <w:lvlText w:val="%9."/>
      <w:lvlJc w:val="right"/>
      <w:pPr>
        <w:ind w:left="6480" w:hanging="180"/>
      </w:pPr>
    </w:lvl>
  </w:abstractNum>
  <w:abstractNum w:abstractNumId="221" w15:restartNumberingAfterBreak="0">
    <w:nsid w:val="4BC44B6D"/>
    <w:multiLevelType w:val="hybridMultilevel"/>
    <w:tmpl w:val="FFFFFFFF"/>
    <w:lvl w:ilvl="0" w:tplc="7C6CD0C8">
      <w:start w:val="1"/>
      <w:numFmt w:val="decimal"/>
      <w:lvlText w:val="%1."/>
      <w:lvlJc w:val="left"/>
      <w:pPr>
        <w:ind w:left="720" w:hanging="360"/>
      </w:pPr>
    </w:lvl>
    <w:lvl w:ilvl="1" w:tplc="0A48CCC2">
      <w:start w:val="1"/>
      <w:numFmt w:val="lowerLetter"/>
      <w:lvlText w:val="%2."/>
      <w:lvlJc w:val="left"/>
      <w:pPr>
        <w:ind w:left="1440" w:hanging="360"/>
      </w:pPr>
    </w:lvl>
    <w:lvl w:ilvl="2" w:tplc="E7C289AC">
      <w:start w:val="1"/>
      <w:numFmt w:val="lowerRoman"/>
      <w:lvlText w:val="%3."/>
      <w:lvlJc w:val="right"/>
      <w:pPr>
        <w:ind w:left="2160" w:hanging="180"/>
      </w:pPr>
    </w:lvl>
    <w:lvl w:ilvl="3" w:tplc="33CA5E9E">
      <w:start w:val="1"/>
      <w:numFmt w:val="decimal"/>
      <w:lvlText w:val="%4."/>
      <w:lvlJc w:val="left"/>
      <w:pPr>
        <w:ind w:left="2880" w:hanging="360"/>
      </w:pPr>
    </w:lvl>
    <w:lvl w:ilvl="4" w:tplc="2B50EA48">
      <w:start w:val="1"/>
      <w:numFmt w:val="lowerLetter"/>
      <w:lvlText w:val="%5."/>
      <w:lvlJc w:val="left"/>
      <w:pPr>
        <w:ind w:left="3600" w:hanging="360"/>
      </w:pPr>
    </w:lvl>
    <w:lvl w:ilvl="5" w:tplc="5F469642">
      <w:start w:val="1"/>
      <w:numFmt w:val="lowerRoman"/>
      <w:lvlText w:val="%6."/>
      <w:lvlJc w:val="right"/>
      <w:pPr>
        <w:ind w:left="4320" w:hanging="180"/>
      </w:pPr>
    </w:lvl>
    <w:lvl w:ilvl="6" w:tplc="D256BDFE">
      <w:start w:val="1"/>
      <w:numFmt w:val="decimal"/>
      <w:lvlText w:val="%7."/>
      <w:lvlJc w:val="left"/>
      <w:pPr>
        <w:ind w:left="5040" w:hanging="360"/>
      </w:pPr>
    </w:lvl>
    <w:lvl w:ilvl="7" w:tplc="3860171A">
      <w:start w:val="1"/>
      <w:numFmt w:val="lowerLetter"/>
      <w:lvlText w:val="%8."/>
      <w:lvlJc w:val="left"/>
      <w:pPr>
        <w:ind w:left="5760" w:hanging="360"/>
      </w:pPr>
    </w:lvl>
    <w:lvl w:ilvl="8" w:tplc="BDE21580">
      <w:start w:val="1"/>
      <w:numFmt w:val="lowerRoman"/>
      <w:lvlText w:val="%9."/>
      <w:lvlJc w:val="right"/>
      <w:pPr>
        <w:ind w:left="6480" w:hanging="180"/>
      </w:pPr>
    </w:lvl>
  </w:abstractNum>
  <w:abstractNum w:abstractNumId="222" w15:restartNumberingAfterBreak="0">
    <w:nsid w:val="4BD5F6CB"/>
    <w:multiLevelType w:val="hybridMultilevel"/>
    <w:tmpl w:val="FFFFFFFF"/>
    <w:lvl w:ilvl="0" w:tplc="86C2409A">
      <w:start w:val="4"/>
      <w:numFmt w:val="lowerLetter"/>
      <w:lvlText w:val="%1)"/>
      <w:lvlJc w:val="left"/>
      <w:pPr>
        <w:ind w:left="720" w:hanging="360"/>
      </w:pPr>
    </w:lvl>
    <w:lvl w:ilvl="1" w:tplc="B78CE812">
      <w:start w:val="1"/>
      <w:numFmt w:val="lowerLetter"/>
      <w:lvlText w:val="%2."/>
      <w:lvlJc w:val="left"/>
      <w:pPr>
        <w:ind w:left="1440" w:hanging="360"/>
      </w:pPr>
    </w:lvl>
    <w:lvl w:ilvl="2" w:tplc="B232DC1C">
      <w:start w:val="1"/>
      <w:numFmt w:val="lowerRoman"/>
      <w:lvlText w:val="%3."/>
      <w:lvlJc w:val="right"/>
      <w:pPr>
        <w:ind w:left="2160" w:hanging="180"/>
      </w:pPr>
    </w:lvl>
    <w:lvl w:ilvl="3" w:tplc="9F307E8A">
      <w:start w:val="1"/>
      <w:numFmt w:val="decimal"/>
      <w:lvlText w:val="%4."/>
      <w:lvlJc w:val="left"/>
      <w:pPr>
        <w:ind w:left="2880" w:hanging="360"/>
      </w:pPr>
    </w:lvl>
    <w:lvl w:ilvl="4" w:tplc="0C684E74">
      <w:start w:val="1"/>
      <w:numFmt w:val="lowerLetter"/>
      <w:lvlText w:val="%5."/>
      <w:lvlJc w:val="left"/>
      <w:pPr>
        <w:ind w:left="3600" w:hanging="360"/>
      </w:pPr>
    </w:lvl>
    <w:lvl w:ilvl="5" w:tplc="159AFD58">
      <w:start w:val="1"/>
      <w:numFmt w:val="lowerRoman"/>
      <w:lvlText w:val="%6."/>
      <w:lvlJc w:val="right"/>
      <w:pPr>
        <w:ind w:left="4320" w:hanging="180"/>
      </w:pPr>
    </w:lvl>
    <w:lvl w:ilvl="6" w:tplc="9CB09554">
      <w:start w:val="1"/>
      <w:numFmt w:val="decimal"/>
      <w:lvlText w:val="%7."/>
      <w:lvlJc w:val="left"/>
      <w:pPr>
        <w:ind w:left="5040" w:hanging="360"/>
      </w:pPr>
    </w:lvl>
    <w:lvl w:ilvl="7" w:tplc="421A58C4">
      <w:start w:val="1"/>
      <w:numFmt w:val="lowerLetter"/>
      <w:lvlText w:val="%8."/>
      <w:lvlJc w:val="left"/>
      <w:pPr>
        <w:ind w:left="5760" w:hanging="360"/>
      </w:pPr>
    </w:lvl>
    <w:lvl w:ilvl="8" w:tplc="CB9E155E">
      <w:start w:val="1"/>
      <w:numFmt w:val="lowerRoman"/>
      <w:lvlText w:val="%9."/>
      <w:lvlJc w:val="right"/>
      <w:pPr>
        <w:ind w:left="6480" w:hanging="180"/>
      </w:pPr>
    </w:lvl>
  </w:abstractNum>
  <w:abstractNum w:abstractNumId="223" w15:restartNumberingAfterBreak="0">
    <w:nsid w:val="4CF7CE9B"/>
    <w:multiLevelType w:val="hybridMultilevel"/>
    <w:tmpl w:val="FFFFFFFF"/>
    <w:lvl w:ilvl="0" w:tplc="34A4E56A">
      <w:start w:val="3"/>
      <w:numFmt w:val="lowerLetter"/>
      <w:lvlText w:val="%1."/>
      <w:lvlJc w:val="left"/>
      <w:pPr>
        <w:ind w:left="720" w:hanging="360"/>
      </w:pPr>
    </w:lvl>
    <w:lvl w:ilvl="1" w:tplc="A95A7480">
      <w:start w:val="1"/>
      <w:numFmt w:val="lowerLetter"/>
      <w:lvlText w:val="%2."/>
      <w:lvlJc w:val="left"/>
      <w:pPr>
        <w:ind w:left="1440" w:hanging="360"/>
      </w:pPr>
    </w:lvl>
    <w:lvl w:ilvl="2" w:tplc="DB7A8740">
      <w:start w:val="1"/>
      <w:numFmt w:val="lowerRoman"/>
      <w:lvlText w:val="%3."/>
      <w:lvlJc w:val="right"/>
      <w:pPr>
        <w:ind w:left="2160" w:hanging="180"/>
      </w:pPr>
    </w:lvl>
    <w:lvl w:ilvl="3" w:tplc="095EBE78">
      <w:start w:val="1"/>
      <w:numFmt w:val="decimal"/>
      <w:lvlText w:val="%4."/>
      <w:lvlJc w:val="left"/>
      <w:pPr>
        <w:ind w:left="2880" w:hanging="360"/>
      </w:pPr>
    </w:lvl>
    <w:lvl w:ilvl="4" w:tplc="A7004E46">
      <w:start w:val="1"/>
      <w:numFmt w:val="lowerLetter"/>
      <w:lvlText w:val="%5."/>
      <w:lvlJc w:val="left"/>
      <w:pPr>
        <w:ind w:left="3600" w:hanging="360"/>
      </w:pPr>
    </w:lvl>
    <w:lvl w:ilvl="5" w:tplc="285839B8">
      <w:start w:val="1"/>
      <w:numFmt w:val="lowerRoman"/>
      <w:lvlText w:val="%6."/>
      <w:lvlJc w:val="right"/>
      <w:pPr>
        <w:ind w:left="4320" w:hanging="180"/>
      </w:pPr>
    </w:lvl>
    <w:lvl w:ilvl="6" w:tplc="BE0A1A5A">
      <w:start w:val="1"/>
      <w:numFmt w:val="decimal"/>
      <w:lvlText w:val="%7."/>
      <w:lvlJc w:val="left"/>
      <w:pPr>
        <w:ind w:left="5040" w:hanging="360"/>
      </w:pPr>
    </w:lvl>
    <w:lvl w:ilvl="7" w:tplc="44EC9376">
      <w:start w:val="1"/>
      <w:numFmt w:val="lowerLetter"/>
      <w:lvlText w:val="%8."/>
      <w:lvlJc w:val="left"/>
      <w:pPr>
        <w:ind w:left="5760" w:hanging="360"/>
      </w:pPr>
    </w:lvl>
    <w:lvl w:ilvl="8" w:tplc="B4FA5CF0">
      <w:start w:val="1"/>
      <w:numFmt w:val="lowerRoman"/>
      <w:lvlText w:val="%9."/>
      <w:lvlJc w:val="right"/>
      <w:pPr>
        <w:ind w:left="6480" w:hanging="180"/>
      </w:pPr>
    </w:lvl>
  </w:abstractNum>
  <w:abstractNum w:abstractNumId="224" w15:restartNumberingAfterBreak="0">
    <w:nsid w:val="4D197852"/>
    <w:multiLevelType w:val="hybridMultilevel"/>
    <w:tmpl w:val="FFFFFFFF"/>
    <w:lvl w:ilvl="0" w:tplc="B3CC390E">
      <w:start w:val="1"/>
      <w:numFmt w:val="decimal"/>
      <w:lvlText w:val="%1."/>
      <w:lvlJc w:val="left"/>
      <w:pPr>
        <w:ind w:left="720" w:hanging="360"/>
      </w:pPr>
    </w:lvl>
    <w:lvl w:ilvl="1" w:tplc="5C0E22E0">
      <w:start w:val="1"/>
      <w:numFmt w:val="lowerLetter"/>
      <w:lvlText w:val="%2."/>
      <w:lvlJc w:val="left"/>
      <w:pPr>
        <w:ind w:left="1440" w:hanging="360"/>
      </w:pPr>
    </w:lvl>
    <w:lvl w:ilvl="2" w:tplc="78A0EE02">
      <w:start w:val="1"/>
      <w:numFmt w:val="lowerRoman"/>
      <w:lvlText w:val="%3."/>
      <w:lvlJc w:val="right"/>
      <w:pPr>
        <w:ind w:left="2160" w:hanging="180"/>
      </w:pPr>
    </w:lvl>
    <w:lvl w:ilvl="3" w:tplc="51D49D9C">
      <w:start w:val="1"/>
      <w:numFmt w:val="decimal"/>
      <w:lvlText w:val="%4."/>
      <w:lvlJc w:val="left"/>
      <w:pPr>
        <w:ind w:left="2880" w:hanging="360"/>
      </w:pPr>
    </w:lvl>
    <w:lvl w:ilvl="4" w:tplc="1292D246">
      <w:start w:val="1"/>
      <w:numFmt w:val="lowerLetter"/>
      <w:lvlText w:val="%5."/>
      <w:lvlJc w:val="left"/>
      <w:pPr>
        <w:ind w:left="3600" w:hanging="360"/>
      </w:pPr>
    </w:lvl>
    <w:lvl w:ilvl="5" w:tplc="3F4EF75C">
      <w:start w:val="1"/>
      <w:numFmt w:val="lowerRoman"/>
      <w:lvlText w:val="%6."/>
      <w:lvlJc w:val="right"/>
      <w:pPr>
        <w:ind w:left="4320" w:hanging="180"/>
      </w:pPr>
    </w:lvl>
    <w:lvl w:ilvl="6" w:tplc="1E44971C">
      <w:start w:val="1"/>
      <w:numFmt w:val="decimal"/>
      <w:lvlText w:val="%7."/>
      <w:lvlJc w:val="left"/>
      <w:pPr>
        <w:ind w:left="5040" w:hanging="360"/>
      </w:pPr>
    </w:lvl>
    <w:lvl w:ilvl="7" w:tplc="7F789362">
      <w:start w:val="1"/>
      <w:numFmt w:val="lowerLetter"/>
      <w:lvlText w:val="%8."/>
      <w:lvlJc w:val="left"/>
      <w:pPr>
        <w:ind w:left="5760" w:hanging="360"/>
      </w:pPr>
    </w:lvl>
    <w:lvl w:ilvl="8" w:tplc="C25CB92A">
      <w:start w:val="1"/>
      <w:numFmt w:val="lowerRoman"/>
      <w:lvlText w:val="%9."/>
      <w:lvlJc w:val="right"/>
      <w:pPr>
        <w:ind w:left="6480" w:hanging="180"/>
      </w:pPr>
    </w:lvl>
  </w:abstractNum>
  <w:abstractNum w:abstractNumId="225" w15:restartNumberingAfterBreak="0">
    <w:nsid w:val="4D434A1F"/>
    <w:multiLevelType w:val="hybridMultilevel"/>
    <w:tmpl w:val="7B18C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6" w15:restartNumberingAfterBreak="0">
    <w:nsid w:val="4D56C284"/>
    <w:multiLevelType w:val="hybridMultilevel"/>
    <w:tmpl w:val="FFFFFFFF"/>
    <w:lvl w:ilvl="0" w:tplc="FFFFFFFF">
      <w:start w:val="1"/>
      <w:numFmt w:val="bullet"/>
      <w:lvlText w:val="-"/>
      <w:lvlJc w:val="left"/>
      <w:pPr>
        <w:ind w:left="720" w:hanging="360"/>
      </w:pPr>
      <w:rPr>
        <w:rFonts w:ascii="Symbol" w:hAnsi="Symbol" w:hint="default"/>
      </w:rPr>
    </w:lvl>
    <w:lvl w:ilvl="1" w:tplc="0F627744">
      <w:start w:val="1"/>
      <w:numFmt w:val="bullet"/>
      <w:lvlText w:val="o"/>
      <w:lvlJc w:val="left"/>
      <w:pPr>
        <w:ind w:left="1440" w:hanging="360"/>
      </w:pPr>
      <w:rPr>
        <w:rFonts w:ascii="Courier New" w:hAnsi="Courier New" w:hint="default"/>
      </w:rPr>
    </w:lvl>
    <w:lvl w:ilvl="2" w:tplc="DF8ED760">
      <w:start w:val="1"/>
      <w:numFmt w:val="bullet"/>
      <w:lvlText w:val=""/>
      <w:lvlJc w:val="left"/>
      <w:pPr>
        <w:ind w:left="2160" w:hanging="360"/>
      </w:pPr>
      <w:rPr>
        <w:rFonts w:ascii="Wingdings" w:hAnsi="Wingdings" w:hint="default"/>
      </w:rPr>
    </w:lvl>
    <w:lvl w:ilvl="3" w:tplc="024803B8">
      <w:start w:val="1"/>
      <w:numFmt w:val="bullet"/>
      <w:lvlText w:val=""/>
      <w:lvlJc w:val="left"/>
      <w:pPr>
        <w:ind w:left="2880" w:hanging="360"/>
      </w:pPr>
      <w:rPr>
        <w:rFonts w:ascii="Symbol" w:hAnsi="Symbol" w:hint="default"/>
      </w:rPr>
    </w:lvl>
    <w:lvl w:ilvl="4" w:tplc="0ADE5EFA">
      <w:start w:val="1"/>
      <w:numFmt w:val="bullet"/>
      <w:lvlText w:val="o"/>
      <w:lvlJc w:val="left"/>
      <w:pPr>
        <w:ind w:left="3600" w:hanging="360"/>
      </w:pPr>
      <w:rPr>
        <w:rFonts w:ascii="Courier New" w:hAnsi="Courier New" w:hint="default"/>
      </w:rPr>
    </w:lvl>
    <w:lvl w:ilvl="5" w:tplc="19DC67A6">
      <w:start w:val="1"/>
      <w:numFmt w:val="bullet"/>
      <w:lvlText w:val=""/>
      <w:lvlJc w:val="left"/>
      <w:pPr>
        <w:ind w:left="4320" w:hanging="360"/>
      </w:pPr>
      <w:rPr>
        <w:rFonts w:ascii="Wingdings" w:hAnsi="Wingdings" w:hint="default"/>
      </w:rPr>
    </w:lvl>
    <w:lvl w:ilvl="6" w:tplc="B50E5BBE">
      <w:start w:val="1"/>
      <w:numFmt w:val="bullet"/>
      <w:lvlText w:val=""/>
      <w:lvlJc w:val="left"/>
      <w:pPr>
        <w:ind w:left="5040" w:hanging="360"/>
      </w:pPr>
      <w:rPr>
        <w:rFonts w:ascii="Symbol" w:hAnsi="Symbol" w:hint="default"/>
      </w:rPr>
    </w:lvl>
    <w:lvl w:ilvl="7" w:tplc="098CA156">
      <w:start w:val="1"/>
      <w:numFmt w:val="bullet"/>
      <w:lvlText w:val="o"/>
      <w:lvlJc w:val="left"/>
      <w:pPr>
        <w:ind w:left="5760" w:hanging="360"/>
      </w:pPr>
      <w:rPr>
        <w:rFonts w:ascii="Courier New" w:hAnsi="Courier New" w:hint="default"/>
      </w:rPr>
    </w:lvl>
    <w:lvl w:ilvl="8" w:tplc="F67C870C">
      <w:start w:val="1"/>
      <w:numFmt w:val="bullet"/>
      <w:lvlText w:val=""/>
      <w:lvlJc w:val="left"/>
      <w:pPr>
        <w:ind w:left="6480" w:hanging="360"/>
      </w:pPr>
      <w:rPr>
        <w:rFonts w:ascii="Wingdings" w:hAnsi="Wingdings" w:hint="default"/>
      </w:rPr>
    </w:lvl>
  </w:abstractNum>
  <w:abstractNum w:abstractNumId="227" w15:restartNumberingAfterBreak="0">
    <w:nsid w:val="4F152007"/>
    <w:multiLevelType w:val="hybridMultilevel"/>
    <w:tmpl w:val="FFFFFFFF"/>
    <w:lvl w:ilvl="0" w:tplc="CA82725E">
      <w:start w:val="2"/>
      <w:numFmt w:val="decimal"/>
      <w:lvlText w:val="%1."/>
      <w:lvlJc w:val="left"/>
      <w:pPr>
        <w:ind w:left="720" w:hanging="360"/>
      </w:pPr>
    </w:lvl>
    <w:lvl w:ilvl="1" w:tplc="05EA1ED6">
      <w:start w:val="1"/>
      <w:numFmt w:val="lowerLetter"/>
      <w:lvlText w:val="%2."/>
      <w:lvlJc w:val="left"/>
      <w:pPr>
        <w:ind w:left="1440" w:hanging="360"/>
      </w:pPr>
    </w:lvl>
    <w:lvl w:ilvl="2" w:tplc="832A80CE">
      <w:start w:val="1"/>
      <w:numFmt w:val="lowerRoman"/>
      <w:lvlText w:val="%3."/>
      <w:lvlJc w:val="right"/>
      <w:pPr>
        <w:ind w:left="2160" w:hanging="180"/>
      </w:pPr>
    </w:lvl>
    <w:lvl w:ilvl="3" w:tplc="EBE06F68">
      <w:start w:val="1"/>
      <w:numFmt w:val="decimal"/>
      <w:lvlText w:val="%4."/>
      <w:lvlJc w:val="left"/>
      <w:pPr>
        <w:ind w:left="2880" w:hanging="360"/>
      </w:pPr>
    </w:lvl>
    <w:lvl w:ilvl="4" w:tplc="862A7BEE">
      <w:start w:val="1"/>
      <w:numFmt w:val="lowerLetter"/>
      <w:lvlText w:val="%5."/>
      <w:lvlJc w:val="left"/>
      <w:pPr>
        <w:ind w:left="3600" w:hanging="360"/>
      </w:pPr>
    </w:lvl>
    <w:lvl w:ilvl="5" w:tplc="EE16753E">
      <w:start w:val="1"/>
      <w:numFmt w:val="lowerRoman"/>
      <w:lvlText w:val="%6."/>
      <w:lvlJc w:val="right"/>
      <w:pPr>
        <w:ind w:left="4320" w:hanging="180"/>
      </w:pPr>
    </w:lvl>
    <w:lvl w:ilvl="6" w:tplc="39A4CC10">
      <w:start w:val="1"/>
      <w:numFmt w:val="decimal"/>
      <w:lvlText w:val="%7."/>
      <w:lvlJc w:val="left"/>
      <w:pPr>
        <w:ind w:left="5040" w:hanging="360"/>
      </w:pPr>
    </w:lvl>
    <w:lvl w:ilvl="7" w:tplc="0388B296">
      <w:start w:val="1"/>
      <w:numFmt w:val="lowerLetter"/>
      <w:lvlText w:val="%8."/>
      <w:lvlJc w:val="left"/>
      <w:pPr>
        <w:ind w:left="5760" w:hanging="360"/>
      </w:pPr>
    </w:lvl>
    <w:lvl w:ilvl="8" w:tplc="9CC0F6DE">
      <w:start w:val="1"/>
      <w:numFmt w:val="lowerRoman"/>
      <w:lvlText w:val="%9."/>
      <w:lvlJc w:val="right"/>
      <w:pPr>
        <w:ind w:left="6480" w:hanging="180"/>
      </w:pPr>
    </w:lvl>
  </w:abstractNum>
  <w:abstractNum w:abstractNumId="228" w15:restartNumberingAfterBreak="0">
    <w:nsid w:val="4F4BCD03"/>
    <w:multiLevelType w:val="hybridMultilevel"/>
    <w:tmpl w:val="FFFFFFFF"/>
    <w:lvl w:ilvl="0" w:tplc="AE661360">
      <w:start w:val="4"/>
      <w:numFmt w:val="decimal"/>
      <w:lvlText w:val="%1."/>
      <w:lvlJc w:val="left"/>
      <w:pPr>
        <w:ind w:left="720" w:hanging="360"/>
      </w:pPr>
    </w:lvl>
    <w:lvl w:ilvl="1" w:tplc="AB58D274">
      <w:start w:val="1"/>
      <w:numFmt w:val="lowerLetter"/>
      <w:lvlText w:val="%2."/>
      <w:lvlJc w:val="left"/>
      <w:pPr>
        <w:ind w:left="1440" w:hanging="360"/>
      </w:pPr>
    </w:lvl>
    <w:lvl w:ilvl="2" w:tplc="252445AA">
      <w:start w:val="1"/>
      <w:numFmt w:val="lowerRoman"/>
      <w:lvlText w:val="%3."/>
      <w:lvlJc w:val="right"/>
      <w:pPr>
        <w:ind w:left="2160" w:hanging="180"/>
      </w:pPr>
    </w:lvl>
    <w:lvl w:ilvl="3" w:tplc="DD6052F6">
      <w:start w:val="1"/>
      <w:numFmt w:val="decimal"/>
      <w:lvlText w:val="%4."/>
      <w:lvlJc w:val="left"/>
      <w:pPr>
        <w:ind w:left="2880" w:hanging="360"/>
      </w:pPr>
    </w:lvl>
    <w:lvl w:ilvl="4" w:tplc="12464D5A">
      <w:start w:val="1"/>
      <w:numFmt w:val="lowerLetter"/>
      <w:lvlText w:val="%5."/>
      <w:lvlJc w:val="left"/>
      <w:pPr>
        <w:ind w:left="3600" w:hanging="360"/>
      </w:pPr>
    </w:lvl>
    <w:lvl w:ilvl="5" w:tplc="0C0A5940">
      <w:start w:val="1"/>
      <w:numFmt w:val="lowerRoman"/>
      <w:lvlText w:val="%6."/>
      <w:lvlJc w:val="right"/>
      <w:pPr>
        <w:ind w:left="4320" w:hanging="180"/>
      </w:pPr>
    </w:lvl>
    <w:lvl w:ilvl="6" w:tplc="7FC40EA2">
      <w:start w:val="1"/>
      <w:numFmt w:val="decimal"/>
      <w:lvlText w:val="%7."/>
      <w:lvlJc w:val="left"/>
      <w:pPr>
        <w:ind w:left="5040" w:hanging="360"/>
      </w:pPr>
    </w:lvl>
    <w:lvl w:ilvl="7" w:tplc="B5142DC0">
      <w:start w:val="1"/>
      <w:numFmt w:val="lowerLetter"/>
      <w:lvlText w:val="%8."/>
      <w:lvlJc w:val="left"/>
      <w:pPr>
        <w:ind w:left="5760" w:hanging="360"/>
      </w:pPr>
    </w:lvl>
    <w:lvl w:ilvl="8" w:tplc="78DC1A2E">
      <w:start w:val="1"/>
      <w:numFmt w:val="lowerRoman"/>
      <w:lvlText w:val="%9."/>
      <w:lvlJc w:val="right"/>
      <w:pPr>
        <w:ind w:left="6480" w:hanging="180"/>
      </w:pPr>
    </w:lvl>
  </w:abstractNum>
  <w:abstractNum w:abstractNumId="229" w15:restartNumberingAfterBreak="0">
    <w:nsid w:val="4F6CC38F"/>
    <w:multiLevelType w:val="hybridMultilevel"/>
    <w:tmpl w:val="FFFFFFFF"/>
    <w:lvl w:ilvl="0" w:tplc="AEBC0822">
      <w:start w:val="5"/>
      <w:numFmt w:val="decimal"/>
      <w:lvlText w:val="%1."/>
      <w:lvlJc w:val="left"/>
      <w:pPr>
        <w:ind w:left="720" w:hanging="360"/>
      </w:pPr>
    </w:lvl>
    <w:lvl w:ilvl="1" w:tplc="6E32F122">
      <w:start w:val="1"/>
      <w:numFmt w:val="lowerLetter"/>
      <w:lvlText w:val="%2."/>
      <w:lvlJc w:val="left"/>
      <w:pPr>
        <w:ind w:left="1440" w:hanging="360"/>
      </w:pPr>
    </w:lvl>
    <w:lvl w:ilvl="2" w:tplc="4828B5EC">
      <w:start w:val="1"/>
      <w:numFmt w:val="lowerRoman"/>
      <w:lvlText w:val="%3."/>
      <w:lvlJc w:val="right"/>
      <w:pPr>
        <w:ind w:left="2160" w:hanging="180"/>
      </w:pPr>
    </w:lvl>
    <w:lvl w:ilvl="3" w:tplc="B344C146">
      <w:start w:val="1"/>
      <w:numFmt w:val="decimal"/>
      <w:lvlText w:val="%4."/>
      <w:lvlJc w:val="left"/>
      <w:pPr>
        <w:ind w:left="2880" w:hanging="360"/>
      </w:pPr>
    </w:lvl>
    <w:lvl w:ilvl="4" w:tplc="30CA1E62">
      <w:start w:val="1"/>
      <w:numFmt w:val="lowerLetter"/>
      <w:lvlText w:val="%5."/>
      <w:lvlJc w:val="left"/>
      <w:pPr>
        <w:ind w:left="3600" w:hanging="360"/>
      </w:pPr>
    </w:lvl>
    <w:lvl w:ilvl="5" w:tplc="0D420ED0">
      <w:start w:val="1"/>
      <w:numFmt w:val="lowerRoman"/>
      <w:lvlText w:val="%6."/>
      <w:lvlJc w:val="right"/>
      <w:pPr>
        <w:ind w:left="4320" w:hanging="180"/>
      </w:pPr>
    </w:lvl>
    <w:lvl w:ilvl="6" w:tplc="A330E562">
      <w:start w:val="1"/>
      <w:numFmt w:val="decimal"/>
      <w:lvlText w:val="%7."/>
      <w:lvlJc w:val="left"/>
      <w:pPr>
        <w:ind w:left="5040" w:hanging="360"/>
      </w:pPr>
    </w:lvl>
    <w:lvl w:ilvl="7" w:tplc="8020C7FA">
      <w:start w:val="1"/>
      <w:numFmt w:val="lowerLetter"/>
      <w:lvlText w:val="%8."/>
      <w:lvlJc w:val="left"/>
      <w:pPr>
        <w:ind w:left="5760" w:hanging="360"/>
      </w:pPr>
    </w:lvl>
    <w:lvl w:ilvl="8" w:tplc="4A90011A">
      <w:start w:val="1"/>
      <w:numFmt w:val="lowerRoman"/>
      <w:lvlText w:val="%9."/>
      <w:lvlJc w:val="right"/>
      <w:pPr>
        <w:ind w:left="6480" w:hanging="180"/>
      </w:pPr>
    </w:lvl>
  </w:abstractNum>
  <w:abstractNum w:abstractNumId="230" w15:restartNumberingAfterBreak="0">
    <w:nsid w:val="500BC0ED"/>
    <w:multiLevelType w:val="hybridMultilevel"/>
    <w:tmpl w:val="7E6C556C"/>
    <w:lvl w:ilvl="0" w:tplc="8B3E2FA6">
      <w:start w:val="1"/>
      <w:numFmt w:val="bullet"/>
      <w:lvlText w:val="-"/>
      <w:lvlJc w:val="left"/>
      <w:pPr>
        <w:ind w:left="720" w:hanging="360"/>
      </w:pPr>
      <w:rPr>
        <w:rFonts w:ascii="Calibri" w:hAnsi="Calibri" w:hint="default"/>
      </w:rPr>
    </w:lvl>
    <w:lvl w:ilvl="1" w:tplc="4678C744">
      <w:start w:val="1"/>
      <w:numFmt w:val="bullet"/>
      <w:lvlText w:val="o"/>
      <w:lvlJc w:val="left"/>
      <w:pPr>
        <w:ind w:left="1440" w:hanging="360"/>
      </w:pPr>
      <w:rPr>
        <w:rFonts w:ascii="Courier New" w:hAnsi="Courier New" w:hint="default"/>
      </w:rPr>
    </w:lvl>
    <w:lvl w:ilvl="2" w:tplc="F676D4E2">
      <w:start w:val="1"/>
      <w:numFmt w:val="bullet"/>
      <w:lvlText w:val=""/>
      <w:lvlJc w:val="left"/>
      <w:pPr>
        <w:ind w:left="2160" w:hanging="360"/>
      </w:pPr>
      <w:rPr>
        <w:rFonts w:ascii="Wingdings" w:hAnsi="Wingdings" w:hint="default"/>
      </w:rPr>
    </w:lvl>
    <w:lvl w:ilvl="3" w:tplc="5DE8E092">
      <w:start w:val="1"/>
      <w:numFmt w:val="bullet"/>
      <w:lvlText w:val=""/>
      <w:lvlJc w:val="left"/>
      <w:pPr>
        <w:ind w:left="2880" w:hanging="360"/>
      </w:pPr>
      <w:rPr>
        <w:rFonts w:ascii="Symbol" w:hAnsi="Symbol" w:hint="default"/>
      </w:rPr>
    </w:lvl>
    <w:lvl w:ilvl="4" w:tplc="070E21AE">
      <w:start w:val="1"/>
      <w:numFmt w:val="bullet"/>
      <w:lvlText w:val="o"/>
      <w:lvlJc w:val="left"/>
      <w:pPr>
        <w:ind w:left="3600" w:hanging="360"/>
      </w:pPr>
      <w:rPr>
        <w:rFonts w:ascii="Courier New" w:hAnsi="Courier New" w:hint="default"/>
      </w:rPr>
    </w:lvl>
    <w:lvl w:ilvl="5" w:tplc="6876E762">
      <w:start w:val="1"/>
      <w:numFmt w:val="bullet"/>
      <w:lvlText w:val=""/>
      <w:lvlJc w:val="left"/>
      <w:pPr>
        <w:ind w:left="4320" w:hanging="360"/>
      </w:pPr>
      <w:rPr>
        <w:rFonts w:ascii="Wingdings" w:hAnsi="Wingdings" w:hint="default"/>
      </w:rPr>
    </w:lvl>
    <w:lvl w:ilvl="6" w:tplc="24F4107E">
      <w:start w:val="1"/>
      <w:numFmt w:val="bullet"/>
      <w:lvlText w:val=""/>
      <w:lvlJc w:val="left"/>
      <w:pPr>
        <w:ind w:left="5040" w:hanging="360"/>
      </w:pPr>
      <w:rPr>
        <w:rFonts w:ascii="Symbol" w:hAnsi="Symbol" w:hint="default"/>
      </w:rPr>
    </w:lvl>
    <w:lvl w:ilvl="7" w:tplc="F3023E04">
      <w:start w:val="1"/>
      <w:numFmt w:val="bullet"/>
      <w:lvlText w:val="o"/>
      <w:lvlJc w:val="left"/>
      <w:pPr>
        <w:ind w:left="5760" w:hanging="360"/>
      </w:pPr>
      <w:rPr>
        <w:rFonts w:ascii="Courier New" w:hAnsi="Courier New" w:hint="default"/>
      </w:rPr>
    </w:lvl>
    <w:lvl w:ilvl="8" w:tplc="A8765FB6">
      <w:start w:val="1"/>
      <w:numFmt w:val="bullet"/>
      <w:lvlText w:val=""/>
      <w:lvlJc w:val="left"/>
      <w:pPr>
        <w:ind w:left="6480" w:hanging="360"/>
      </w:pPr>
      <w:rPr>
        <w:rFonts w:ascii="Wingdings" w:hAnsi="Wingdings" w:hint="default"/>
      </w:rPr>
    </w:lvl>
  </w:abstractNum>
  <w:abstractNum w:abstractNumId="231" w15:restartNumberingAfterBreak="0">
    <w:nsid w:val="50E5045C"/>
    <w:multiLevelType w:val="hybridMultilevel"/>
    <w:tmpl w:val="FFFFFFFF"/>
    <w:lvl w:ilvl="0" w:tplc="32485B0C">
      <w:start w:val="1"/>
      <w:numFmt w:val="decimal"/>
      <w:lvlText w:val="%1."/>
      <w:lvlJc w:val="left"/>
      <w:pPr>
        <w:ind w:left="720" w:hanging="360"/>
      </w:pPr>
    </w:lvl>
    <w:lvl w:ilvl="1" w:tplc="6AF4A950">
      <w:start w:val="1"/>
      <w:numFmt w:val="lowerLetter"/>
      <w:lvlText w:val="%2."/>
      <w:lvlJc w:val="left"/>
      <w:pPr>
        <w:ind w:left="1440" w:hanging="360"/>
      </w:pPr>
    </w:lvl>
    <w:lvl w:ilvl="2" w:tplc="FB0CACFE">
      <w:start w:val="1"/>
      <w:numFmt w:val="lowerRoman"/>
      <w:lvlText w:val="%3."/>
      <w:lvlJc w:val="right"/>
      <w:pPr>
        <w:ind w:left="2160" w:hanging="180"/>
      </w:pPr>
    </w:lvl>
    <w:lvl w:ilvl="3" w:tplc="FEAE1AD2">
      <w:start w:val="1"/>
      <w:numFmt w:val="decimal"/>
      <w:lvlText w:val="%4."/>
      <w:lvlJc w:val="left"/>
      <w:pPr>
        <w:ind w:left="2880" w:hanging="360"/>
      </w:pPr>
    </w:lvl>
    <w:lvl w:ilvl="4" w:tplc="6E621FA4">
      <w:start w:val="1"/>
      <w:numFmt w:val="lowerLetter"/>
      <w:lvlText w:val="%5."/>
      <w:lvlJc w:val="left"/>
      <w:pPr>
        <w:ind w:left="3600" w:hanging="360"/>
      </w:pPr>
    </w:lvl>
    <w:lvl w:ilvl="5" w:tplc="30FCC314">
      <w:start w:val="1"/>
      <w:numFmt w:val="lowerRoman"/>
      <w:lvlText w:val="%6."/>
      <w:lvlJc w:val="right"/>
      <w:pPr>
        <w:ind w:left="4320" w:hanging="180"/>
      </w:pPr>
    </w:lvl>
    <w:lvl w:ilvl="6" w:tplc="8B023546">
      <w:start w:val="1"/>
      <w:numFmt w:val="decimal"/>
      <w:lvlText w:val="%7."/>
      <w:lvlJc w:val="left"/>
      <w:pPr>
        <w:ind w:left="5040" w:hanging="360"/>
      </w:pPr>
    </w:lvl>
    <w:lvl w:ilvl="7" w:tplc="205E3E88">
      <w:start w:val="1"/>
      <w:numFmt w:val="lowerLetter"/>
      <w:lvlText w:val="%8."/>
      <w:lvlJc w:val="left"/>
      <w:pPr>
        <w:ind w:left="5760" w:hanging="360"/>
      </w:pPr>
    </w:lvl>
    <w:lvl w:ilvl="8" w:tplc="40321C88">
      <w:start w:val="1"/>
      <w:numFmt w:val="lowerRoman"/>
      <w:lvlText w:val="%9."/>
      <w:lvlJc w:val="right"/>
      <w:pPr>
        <w:ind w:left="6480" w:hanging="180"/>
      </w:pPr>
    </w:lvl>
  </w:abstractNum>
  <w:abstractNum w:abstractNumId="232" w15:restartNumberingAfterBreak="0">
    <w:nsid w:val="514B336C"/>
    <w:multiLevelType w:val="hybridMultilevel"/>
    <w:tmpl w:val="FFFFFFFF"/>
    <w:lvl w:ilvl="0" w:tplc="14681674">
      <w:start w:val="1"/>
      <w:numFmt w:val="decimal"/>
      <w:lvlText w:val="%1."/>
      <w:lvlJc w:val="left"/>
      <w:pPr>
        <w:ind w:left="720" w:hanging="360"/>
      </w:pPr>
    </w:lvl>
    <w:lvl w:ilvl="1" w:tplc="D1D444F8">
      <w:start w:val="7"/>
      <w:numFmt w:val="lowerRoman"/>
      <w:lvlText w:val="%2."/>
      <w:lvlJc w:val="right"/>
      <w:pPr>
        <w:ind w:left="1440" w:hanging="360"/>
      </w:pPr>
    </w:lvl>
    <w:lvl w:ilvl="2" w:tplc="393C1508">
      <w:start w:val="1"/>
      <w:numFmt w:val="lowerRoman"/>
      <w:lvlText w:val="%3."/>
      <w:lvlJc w:val="right"/>
      <w:pPr>
        <w:ind w:left="2160" w:hanging="180"/>
      </w:pPr>
    </w:lvl>
    <w:lvl w:ilvl="3" w:tplc="344CA522">
      <w:start w:val="1"/>
      <w:numFmt w:val="decimal"/>
      <w:lvlText w:val="%4."/>
      <w:lvlJc w:val="left"/>
      <w:pPr>
        <w:ind w:left="2880" w:hanging="360"/>
      </w:pPr>
    </w:lvl>
    <w:lvl w:ilvl="4" w:tplc="B5760C72">
      <w:start w:val="1"/>
      <w:numFmt w:val="lowerLetter"/>
      <w:lvlText w:val="%5."/>
      <w:lvlJc w:val="left"/>
      <w:pPr>
        <w:ind w:left="3600" w:hanging="360"/>
      </w:pPr>
    </w:lvl>
    <w:lvl w:ilvl="5" w:tplc="CFA8FC1A">
      <w:start w:val="1"/>
      <w:numFmt w:val="lowerRoman"/>
      <w:lvlText w:val="%6."/>
      <w:lvlJc w:val="right"/>
      <w:pPr>
        <w:ind w:left="4320" w:hanging="180"/>
      </w:pPr>
    </w:lvl>
    <w:lvl w:ilvl="6" w:tplc="09BE3E00">
      <w:start w:val="1"/>
      <w:numFmt w:val="decimal"/>
      <w:lvlText w:val="%7."/>
      <w:lvlJc w:val="left"/>
      <w:pPr>
        <w:ind w:left="5040" w:hanging="360"/>
      </w:pPr>
    </w:lvl>
    <w:lvl w:ilvl="7" w:tplc="F8C40C28">
      <w:start w:val="1"/>
      <w:numFmt w:val="lowerLetter"/>
      <w:lvlText w:val="%8."/>
      <w:lvlJc w:val="left"/>
      <w:pPr>
        <w:ind w:left="5760" w:hanging="360"/>
      </w:pPr>
    </w:lvl>
    <w:lvl w:ilvl="8" w:tplc="CA329D36">
      <w:start w:val="1"/>
      <w:numFmt w:val="lowerRoman"/>
      <w:lvlText w:val="%9."/>
      <w:lvlJc w:val="right"/>
      <w:pPr>
        <w:ind w:left="6480" w:hanging="180"/>
      </w:pPr>
    </w:lvl>
  </w:abstractNum>
  <w:abstractNum w:abstractNumId="233" w15:restartNumberingAfterBreak="0">
    <w:nsid w:val="5166116E"/>
    <w:multiLevelType w:val="hybridMultilevel"/>
    <w:tmpl w:val="FFFFFFFF"/>
    <w:lvl w:ilvl="0" w:tplc="AAF27232">
      <w:start w:val="6"/>
      <w:numFmt w:val="lowerRoman"/>
      <w:lvlText w:val="%1."/>
      <w:lvlJc w:val="right"/>
      <w:pPr>
        <w:ind w:left="1080" w:hanging="360"/>
      </w:pPr>
    </w:lvl>
    <w:lvl w:ilvl="1" w:tplc="6A547E80">
      <w:start w:val="1"/>
      <w:numFmt w:val="lowerLetter"/>
      <w:lvlText w:val="%2."/>
      <w:lvlJc w:val="left"/>
      <w:pPr>
        <w:ind w:left="1440" w:hanging="360"/>
      </w:pPr>
    </w:lvl>
    <w:lvl w:ilvl="2" w:tplc="93B872E8">
      <w:start w:val="1"/>
      <w:numFmt w:val="lowerRoman"/>
      <w:lvlText w:val="%3."/>
      <w:lvlJc w:val="right"/>
      <w:pPr>
        <w:ind w:left="2160" w:hanging="180"/>
      </w:pPr>
    </w:lvl>
    <w:lvl w:ilvl="3" w:tplc="9B32464E">
      <w:start w:val="1"/>
      <w:numFmt w:val="decimal"/>
      <w:lvlText w:val="%4."/>
      <w:lvlJc w:val="left"/>
      <w:pPr>
        <w:ind w:left="2880" w:hanging="360"/>
      </w:pPr>
    </w:lvl>
    <w:lvl w:ilvl="4" w:tplc="AC642A96">
      <w:start w:val="1"/>
      <w:numFmt w:val="lowerLetter"/>
      <w:lvlText w:val="%5."/>
      <w:lvlJc w:val="left"/>
      <w:pPr>
        <w:ind w:left="3600" w:hanging="360"/>
      </w:pPr>
    </w:lvl>
    <w:lvl w:ilvl="5" w:tplc="3AAC594A">
      <w:start w:val="1"/>
      <w:numFmt w:val="lowerRoman"/>
      <w:lvlText w:val="%6."/>
      <w:lvlJc w:val="right"/>
      <w:pPr>
        <w:ind w:left="4320" w:hanging="180"/>
      </w:pPr>
    </w:lvl>
    <w:lvl w:ilvl="6" w:tplc="F094EA5E">
      <w:start w:val="1"/>
      <w:numFmt w:val="decimal"/>
      <w:lvlText w:val="%7."/>
      <w:lvlJc w:val="left"/>
      <w:pPr>
        <w:ind w:left="5040" w:hanging="360"/>
      </w:pPr>
    </w:lvl>
    <w:lvl w:ilvl="7" w:tplc="9D32EC98">
      <w:start w:val="1"/>
      <w:numFmt w:val="lowerLetter"/>
      <w:lvlText w:val="%8."/>
      <w:lvlJc w:val="left"/>
      <w:pPr>
        <w:ind w:left="5760" w:hanging="360"/>
      </w:pPr>
    </w:lvl>
    <w:lvl w:ilvl="8" w:tplc="4874D846">
      <w:start w:val="1"/>
      <w:numFmt w:val="lowerRoman"/>
      <w:lvlText w:val="%9."/>
      <w:lvlJc w:val="right"/>
      <w:pPr>
        <w:ind w:left="6480" w:hanging="180"/>
      </w:pPr>
    </w:lvl>
  </w:abstractNum>
  <w:abstractNum w:abstractNumId="234" w15:restartNumberingAfterBreak="0">
    <w:nsid w:val="51C37177"/>
    <w:multiLevelType w:val="hybridMultilevel"/>
    <w:tmpl w:val="EC946832"/>
    <w:lvl w:ilvl="0" w:tplc="CAF6C82E">
      <w:start w:val="3"/>
      <w:numFmt w:val="lowerLetter"/>
      <w:lvlText w:val="%1)"/>
      <w:lvlJc w:val="left"/>
      <w:pPr>
        <w:ind w:left="720" w:hanging="360"/>
      </w:pPr>
    </w:lvl>
    <w:lvl w:ilvl="1" w:tplc="004A85F0">
      <w:start w:val="1"/>
      <w:numFmt w:val="lowerLetter"/>
      <w:lvlText w:val="%2."/>
      <w:lvlJc w:val="left"/>
      <w:pPr>
        <w:ind w:left="1440" w:hanging="360"/>
      </w:pPr>
    </w:lvl>
    <w:lvl w:ilvl="2" w:tplc="DC38EF76">
      <w:start w:val="1"/>
      <w:numFmt w:val="lowerRoman"/>
      <w:lvlText w:val="%3."/>
      <w:lvlJc w:val="right"/>
      <w:pPr>
        <w:ind w:left="2160" w:hanging="180"/>
      </w:pPr>
    </w:lvl>
    <w:lvl w:ilvl="3" w:tplc="11568B4E">
      <w:start w:val="1"/>
      <w:numFmt w:val="decimal"/>
      <w:lvlText w:val="%4."/>
      <w:lvlJc w:val="left"/>
      <w:pPr>
        <w:ind w:left="2880" w:hanging="360"/>
      </w:pPr>
    </w:lvl>
    <w:lvl w:ilvl="4" w:tplc="D0F0239E">
      <w:start w:val="1"/>
      <w:numFmt w:val="lowerLetter"/>
      <w:lvlText w:val="%5."/>
      <w:lvlJc w:val="left"/>
      <w:pPr>
        <w:ind w:left="3600" w:hanging="360"/>
      </w:pPr>
    </w:lvl>
    <w:lvl w:ilvl="5" w:tplc="D34A66F4">
      <w:start w:val="1"/>
      <w:numFmt w:val="lowerRoman"/>
      <w:lvlText w:val="%6."/>
      <w:lvlJc w:val="right"/>
      <w:pPr>
        <w:ind w:left="4320" w:hanging="180"/>
      </w:pPr>
    </w:lvl>
    <w:lvl w:ilvl="6" w:tplc="05F61EAA">
      <w:start w:val="1"/>
      <w:numFmt w:val="decimal"/>
      <w:lvlText w:val="%7."/>
      <w:lvlJc w:val="left"/>
      <w:pPr>
        <w:ind w:left="5040" w:hanging="360"/>
      </w:pPr>
    </w:lvl>
    <w:lvl w:ilvl="7" w:tplc="A1FE1BA8">
      <w:start w:val="1"/>
      <w:numFmt w:val="lowerLetter"/>
      <w:lvlText w:val="%8."/>
      <w:lvlJc w:val="left"/>
      <w:pPr>
        <w:ind w:left="5760" w:hanging="360"/>
      </w:pPr>
    </w:lvl>
    <w:lvl w:ilvl="8" w:tplc="61C66588">
      <w:start w:val="1"/>
      <w:numFmt w:val="lowerRoman"/>
      <w:lvlText w:val="%9."/>
      <w:lvlJc w:val="right"/>
      <w:pPr>
        <w:ind w:left="6480" w:hanging="180"/>
      </w:pPr>
    </w:lvl>
  </w:abstractNum>
  <w:abstractNum w:abstractNumId="235" w15:restartNumberingAfterBreak="0">
    <w:nsid w:val="51F44E1C"/>
    <w:multiLevelType w:val="hybridMultilevel"/>
    <w:tmpl w:val="FFFFFFFF"/>
    <w:lvl w:ilvl="0" w:tplc="695A3D84">
      <w:start w:val="3"/>
      <w:numFmt w:val="lowerLetter"/>
      <w:lvlText w:val="%1)"/>
      <w:lvlJc w:val="left"/>
      <w:pPr>
        <w:ind w:left="720" w:hanging="360"/>
      </w:pPr>
    </w:lvl>
    <w:lvl w:ilvl="1" w:tplc="60C4B6F0">
      <w:start w:val="1"/>
      <w:numFmt w:val="lowerLetter"/>
      <w:lvlText w:val="%2."/>
      <w:lvlJc w:val="left"/>
      <w:pPr>
        <w:ind w:left="1440" w:hanging="360"/>
      </w:pPr>
    </w:lvl>
    <w:lvl w:ilvl="2" w:tplc="8B442604">
      <w:start w:val="1"/>
      <w:numFmt w:val="lowerRoman"/>
      <w:lvlText w:val="%3."/>
      <w:lvlJc w:val="right"/>
      <w:pPr>
        <w:ind w:left="2160" w:hanging="180"/>
      </w:pPr>
    </w:lvl>
    <w:lvl w:ilvl="3" w:tplc="B9C2F266">
      <w:start w:val="1"/>
      <w:numFmt w:val="decimal"/>
      <w:lvlText w:val="%4."/>
      <w:lvlJc w:val="left"/>
      <w:pPr>
        <w:ind w:left="2880" w:hanging="360"/>
      </w:pPr>
    </w:lvl>
    <w:lvl w:ilvl="4" w:tplc="CA56BDFC">
      <w:start w:val="1"/>
      <w:numFmt w:val="lowerLetter"/>
      <w:lvlText w:val="%5."/>
      <w:lvlJc w:val="left"/>
      <w:pPr>
        <w:ind w:left="3600" w:hanging="360"/>
      </w:pPr>
    </w:lvl>
    <w:lvl w:ilvl="5" w:tplc="08E80E4C">
      <w:start w:val="1"/>
      <w:numFmt w:val="lowerRoman"/>
      <w:lvlText w:val="%6."/>
      <w:lvlJc w:val="right"/>
      <w:pPr>
        <w:ind w:left="4320" w:hanging="180"/>
      </w:pPr>
    </w:lvl>
    <w:lvl w:ilvl="6" w:tplc="E5324C10">
      <w:start w:val="1"/>
      <w:numFmt w:val="decimal"/>
      <w:lvlText w:val="%7."/>
      <w:lvlJc w:val="left"/>
      <w:pPr>
        <w:ind w:left="5040" w:hanging="360"/>
      </w:pPr>
    </w:lvl>
    <w:lvl w:ilvl="7" w:tplc="5F2697B8">
      <w:start w:val="1"/>
      <w:numFmt w:val="lowerLetter"/>
      <w:lvlText w:val="%8."/>
      <w:lvlJc w:val="left"/>
      <w:pPr>
        <w:ind w:left="5760" w:hanging="360"/>
      </w:pPr>
    </w:lvl>
    <w:lvl w:ilvl="8" w:tplc="D6484810">
      <w:start w:val="1"/>
      <w:numFmt w:val="lowerRoman"/>
      <w:lvlText w:val="%9."/>
      <w:lvlJc w:val="right"/>
      <w:pPr>
        <w:ind w:left="6480" w:hanging="180"/>
      </w:pPr>
    </w:lvl>
  </w:abstractNum>
  <w:abstractNum w:abstractNumId="236" w15:restartNumberingAfterBreak="0">
    <w:nsid w:val="520700EC"/>
    <w:multiLevelType w:val="hybridMultilevel"/>
    <w:tmpl w:val="FFFFFFFF"/>
    <w:lvl w:ilvl="0" w:tplc="1410FEF0">
      <w:start w:val="4"/>
      <w:numFmt w:val="decimal"/>
      <w:lvlText w:val="%1."/>
      <w:lvlJc w:val="left"/>
      <w:pPr>
        <w:ind w:left="720" w:hanging="360"/>
      </w:pPr>
    </w:lvl>
    <w:lvl w:ilvl="1" w:tplc="E3220BFE">
      <w:start w:val="1"/>
      <w:numFmt w:val="lowerLetter"/>
      <w:lvlText w:val="%2."/>
      <w:lvlJc w:val="left"/>
      <w:pPr>
        <w:ind w:left="1440" w:hanging="360"/>
      </w:pPr>
    </w:lvl>
    <w:lvl w:ilvl="2" w:tplc="495E1EDA">
      <w:start w:val="1"/>
      <w:numFmt w:val="lowerRoman"/>
      <w:lvlText w:val="%3."/>
      <w:lvlJc w:val="right"/>
      <w:pPr>
        <w:ind w:left="2160" w:hanging="180"/>
      </w:pPr>
    </w:lvl>
    <w:lvl w:ilvl="3" w:tplc="0B14532C">
      <w:start w:val="1"/>
      <w:numFmt w:val="decimal"/>
      <w:lvlText w:val="%4."/>
      <w:lvlJc w:val="left"/>
      <w:pPr>
        <w:ind w:left="2880" w:hanging="360"/>
      </w:pPr>
    </w:lvl>
    <w:lvl w:ilvl="4" w:tplc="3CC6E988">
      <w:start w:val="1"/>
      <w:numFmt w:val="lowerLetter"/>
      <w:lvlText w:val="%5."/>
      <w:lvlJc w:val="left"/>
      <w:pPr>
        <w:ind w:left="3600" w:hanging="360"/>
      </w:pPr>
    </w:lvl>
    <w:lvl w:ilvl="5" w:tplc="8C6448C4">
      <w:start w:val="1"/>
      <w:numFmt w:val="lowerRoman"/>
      <w:lvlText w:val="%6."/>
      <w:lvlJc w:val="right"/>
      <w:pPr>
        <w:ind w:left="4320" w:hanging="180"/>
      </w:pPr>
    </w:lvl>
    <w:lvl w:ilvl="6" w:tplc="1D1AB3F2">
      <w:start w:val="1"/>
      <w:numFmt w:val="decimal"/>
      <w:lvlText w:val="%7."/>
      <w:lvlJc w:val="left"/>
      <w:pPr>
        <w:ind w:left="5040" w:hanging="360"/>
      </w:pPr>
    </w:lvl>
    <w:lvl w:ilvl="7" w:tplc="F312AB2C">
      <w:start w:val="1"/>
      <w:numFmt w:val="lowerLetter"/>
      <w:lvlText w:val="%8."/>
      <w:lvlJc w:val="left"/>
      <w:pPr>
        <w:ind w:left="5760" w:hanging="360"/>
      </w:pPr>
    </w:lvl>
    <w:lvl w:ilvl="8" w:tplc="4590FCC4">
      <w:start w:val="1"/>
      <w:numFmt w:val="lowerRoman"/>
      <w:lvlText w:val="%9."/>
      <w:lvlJc w:val="right"/>
      <w:pPr>
        <w:ind w:left="6480" w:hanging="180"/>
      </w:pPr>
    </w:lvl>
  </w:abstractNum>
  <w:abstractNum w:abstractNumId="237" w15:restartNumberingAfterBreak="0">
    <w:nsid w:val="522438F0"/>
    <w:multiLevelType w:val="hybridMultilevel"/>
    <w:tmpl w:val="FFFFFFFF"/>
    <w:lvl w:ilvl="0" w:tplc="D20EEF50">
      <w:start w:val="1"/>
      <w:numFmt w:val="decimal"/>
      <w:lvlText w:val="%1."/>
      <w:lvlJc w:val="left"/>
      <w:pPr>
        <w:ind w:left="720" w:hanging="360"/>
      </w:pPr>
    </w:lvl>
    <w:lvl w:ilvl="1" w:tplc="742ACCF0">
      <w:start w:val="3"/>
      <w:numFmt w:val="lowerRoman"/>
      <w:lvlText w:val="%2."/>
      <w:lvlJc w:val="right"/>
      <w:pPr>
        <w:ind w:left="1080" w:hanging="360"/>
      </w:pPr>
    </w:lvl>
    <w:lvl w:ilvl="2" w:tplc="9C6692CA">
      <w:start w:val="1"/>
      <w:numFmt w:val="lowerRoman"/>
      <w:lvlText w:val="%3."/>
      <w:lvlJc w:val="right"/>
      <w:pPr>
        <w:ind w:left="2160" w:hanging="180"/>
      </w:pPr>
    </w:lvl>
    <w:lvl w:ilvl="3" w:tplc="E6C82408">
      <w:start w:val="1"/>
      <w:numFmt w:val="decimal"/>
      <w:lvlText w:val="%4."/>
      <w:lvlJc w:val="left"/>
      <w:pPr>
        <w:ind w:left="2880" w:hanging="360"/>
      </w:pPr>
    </w:lvl>
    <w:lvl w:ilvl="4" w:tplc="AC7CC2E2">
      <w:start w:val="1"/>
      <w:numFmt w:val="lowerLetter"/>
      <w:lvlText w:val="%5."/>
      <w:lvlJc w:val="left"/>
      <w:pPr>
        <w:ind w:left="3600" w:hanging="360"/>
      </w:pPr>
    </w:lvl>
    <w:lvl w:ilvl="5" w:tplc="FDE04324">
      <w:start w:val="1"/>
      <w:numFmt w:val="lowerRoman"/>
      <w:lvlText w:val="%6."/>
      <w:lvlJc w:val="right"/>
      <w:pPr>
        <w:ind w:left="4320" w:hanging="180"/>
      </w:pPr>
    </w:lvl>
    <w:lvl w:ilvl="6" w:tplc="4D341352">
      <w:start w:val="1"/>
      <w:numFmt w:val="decimal"/>
      <w:lvlText w:val="%7."/>
      <w:lvlJc w:val="left"/>
      <w:pPr>
        <w:ind w:left="5040" w:hanging="360"/>
      </w:pPr>
    </w:lvl>
    <w:lvl w:ilvl="7" w:tplc="8B12A0F4">
      <w:start w:val="1"/>
      <w:numFmt w:val="lowerLetter"/>
      <w:lvlText w:val="%8."/>
      <w:lvlJc w:val="left"/>
      <w:pPr>
        <w:ind w:left="5760" w:hanging="360"/>
      </w:pPr>
    </w:lvl>
    <w:lvl w:ilvl="8" w:tplc="32A2C406">
      <w:start w:val="1"/>
      <w:numFmt w:val="lowerRoman"/>
      <w:lvlText w:val="%9."/>
      <w:lvlJc w:val="right"/>
      <w:pPr>
        <w:ind w:left="6480" w:hanging="180"/>
      </w:pPr>
    </w:lvl>
  </w:abstractNum>
  <w:abstractNum w:abstractNumId="238" w15:restartNumberingAfterBreak="0">
    <w:nsid w:val="52837F1F"/>
    <w:multiLevelType w:val="hybridMultilevel"/>
    <w:tmpl w:val="FFFFFFFF"/>
    <w:lvl w:ilvl="0" w:tplc="AD809934">
      <w:start w:val="1"/>
      <w:numFmt w:val="bullet"/>
      <w:lvlText w:val="o"/>
      <w:lvlJc w:val="left"/>
      <w:pPr>
        <w:ind w:left="1080" w:hanging="360"/>
      </w:pPr>
      <w:rPr>
        <w:rFonts w:ascii="Courier New" w:hAnsi="Courier New" w:hint="default"/>
      </w:rPr>
    </w:lvl>
    <w:lvl w:ilvl="1" w:tplc="D308886A">
      <w:start w:val="1"/>
      <w:numFmt w:val="bullet"/>
      <w:lvlText w:val="o"/>
      <w:lvlJc w:val="left"/>
      <w:pPr>
        <w:ind w:left="1440" w:hanging="360"/>
      </w:pPr>
      <w:rPr>
        <w:rFonts w:ascii="Courier New" w:hAnsi="Courier New" w:hint="default"/>
      </w:rPr>
    </w:lvl>
    <w:lvl w:ilvl="2" w:tplc="F00EEDBA">
      <w:start w:val="1"/>
      <w:numFmt w:val="bullet"/>
      <w:lvlText w:val=""/>
      <w:lvlJc w:val="left"/>
      <w:pPr>
        <w:ind w:left="2160" w:hanging="360"/>
      </w:pPr>
      <w:rPr>
        <w:rFonts w:ascii="Wingdings" w:hAnsi="Wingdings" w:hint="default"/>
      </w:rPr>
    </w:lvl>
    <w:lvl w:ilvl="3" w:tplc="92A0A442">
      <w:start w:val="1"/>
      <w:numFmt w:val="bullet"/>
      <w:lvlText w:val=""/>
      <w:lvlJc w:val="left"/>
      <w:pPr>
        <w:ind w:left="2880" w:hanging="360"/>
      </w:pPr>
      <w:rPr>
        <w:rFonts w:ascii="Symbol" w:hAnsi="Symbol" w:hint="default"/>
      </w:rPr>
    </w:lvl>
    <w:lvl w:ilvl="4" w:tplc="EECEFA0A">
      <w:start w:val="1"/>
      <w:numFmt w:val="bullet"/>
      <w:lvlText w:val="o"/>
      <w:lvlJc w:val="left"/>
      <w:pPr>
        <w:ind w:left="3600" w:hanging="360"/>
      </w:pPr>
      <w:rPr>
        <w:rFonts w:ascii="Courier New" w:hAnsi="Courier New" w:hint="default"/>
      </w:rPr>
    </w:lvl>
    <w:lvl w:ilvl="5" w:tplc="F0A0B676">
      <w:start w:val="1"/>
      <w:numFmt w:val="bullet"/>
      <w:lvlText w:val=""/>
      <w:lvlJc w:val="left"/>
      <w:pPr>
        <w:ind w:left="4320" w:hanging="360"/>
      </w:pPr>
      <w:rPr>
        <w:rFonts w:ascii="Wingdings" w:hAnsi="Wingdings" w:hint="default"/>
      </w:rPr>
    </w:lvl>
    <w:lvl w:ilvl="6" w:tplc="5FCCAA3A">
      <w:start w:val="1"/>
      <w:numFmt w:val="bullet"/>
      <w:lvlText w:val=""/>
      <w:lvlJc w:val="left"/>
      <w:pPr>
        <w:ind w:left="5040" w:hanging="360"/>
      </w:pPr>
      <w:rPr>
        <w:rFonts w:ascii="Symbol" w:hAnsi="Symbol" w:hint="default"/>
      </w:rPr>
    </w:lvl>
    <w:lvl w:ilvl="7" w:tplc="F1F876E8">
      <w:start w:val="1"/>
      <w:numFmt w:val="bullet"/>
      <w:lvlText w:val="o"/>
      <w:lvlJc w:val="left"/>
      <w:pPr>
        <w:ind w:left="5760" w:hanging="360"/>
      </w:pPr>
      <w:rPr>
        <w:rFonts w:ascii="Courier New" w:hAnsi="Courier New" w:hint="default"/>
      </w:rPr>
    </w:lvl>
    <w:lvl w:ilvl="8" w:tplc="33B87B3C">
      <w:start w:val="1"/>
      <w:numFmt w:val="bullet"/>
      <w:lvlText w:val=""/>
      <w:lvlJc w:val="left"/>
      <w:pPr>
        <w:ind w:left="6480" w:hanging="360"/>
      </w:pPr>
      <w:rPr>
        <w:rFonts w:ascii="Wingdings" w:hAnsi="Wingdings" w:hint="default"/>
      </w:rPr>
    </w:lvl>
  </w:abstractNum>
  <w:abstractNum w:abstractNumId="239" w15:restartNumberingAfterBreak="0">
    <w:nsid w:val="530059C1"/>
    <w:multiLevelType w:val="hybridMultilevel"/>
    <w:tmpl w:val="FFFFFFFF"/>
    <w:lvl w:ilvl="0" w:tplc="B39C18AC">
      <w:start w:val="1"/>
      <w:numFmt w:val="bullet"/>
      <w:lvlText w:val=""/>
      <w:lvlJc w:val="left"/>
      <w:pPr>
        <w:ind w:left="720" w:hanging="360"/>
      </w:pPr>
      <w:rPr>
        <w:rFonts w:ascii="Symbol" w:hAnsi="Symbol" w:hint="default"/>
      </w:rPr>
    </w:lvl>
    <w:lvl w:ilvl="1" w:tplc="E6D8B07C">
      <w:start w:val="1"/>
      <w:numFmt w:val="bullet"/>
      <w:lvlText w:val="o"/>
      <w:lvlJc w:val="left"/>
      <w:pPr>
        <w:ind w:left="1440" w:hanging="360"/>
      </w:pPr>
      <w:rPr>
        <w:rFonts w:ascii="Courier New" w:hAnsi="Courier New" w:hint="default"/>
      </w:rPr>
    </w:lvl>
    <w:lvl w:ilvl="2" w:tplc="F230BE7A">
      <w:start w:val="1"/>
      <w:numFmt w:val="bullet"/>
      <w:lvlText w:val=""/>
      <w:lvlJc w:val="left"/>
      <w:pPr>
        <w:ind w:left="2160" w:hanging="360"/>
      </w:pPr>
      <w:rPr>
        <w:rFonts w:ascii="Wingdings" w:hAnsi="Wingdings" w:hint="default"/>
      </w:rPr>
    </w:lvl>
    <w:lvl w:ilvl="3" w:tplc="BFE406C6">
      <w:start w:val="1"/>
      <w:numFmt w:val="bullet"/>
      <w:lvlText w:val=""/>
      <w:lvlJc w:val="left"/>
      <w:pPr>
        <w:ind w:left="2880" w:hanging="360"/>
      </w:pPr>
      <w:rPr>
        <w:rFonts w:ascii="Symbol" w:hAnsi="Symbol" w:hint="default"/>
      </w:rPr>
    </w:lvl>
    <w:lvl w:ilvl="4" w:tplc="4FEA5500">
      <w:start w:val="1"/>
      <w:numFmt w:val="bullet"/>
      <w:lvlText w:val="o"/>
      <w:lvlJc w:val="left"/>
      <w:pPr>
        <w:ind w:left="3600" w:hanging="360"/>
      </w:pPr>
      <w:rPr>
        <w:rFonts w:ascii="Courier New" w:hAnsi="Courier New" w:hint="default"/>
      </w:rPr>
    </w:lvl>
    <w:lvl w:ilvl="5" w:tplc="58A670E4">
      <w:start w:val="1"/>
      <w:numFmt w:val="bullet"/>
      <w:lvlText w:val=""/>
      <w:lvlJc w:val="left"/>
      <w:pPr>
        <w:ind w:left="4320" w:hanging="360"/>
      </w:pPr>
      <w:rPr>
        <w:rFonts w:ascii="Wingdings" w:hAnsi="Wingdings" w:hint="default"/>
      </w:rPr>
    </w:lvl>
    <w:lvl w:ilvl="6" w:tplc="4E0C7C36">
      <w:start w:val="1"/>
      <w:numFmt w:val="bullet"/>
      <w:lvlText w:val=""/>
      <w:lvlJc w:val="left"/>
      <w:pPr>
        <w:ind w:left="5040" w:hanging="360"/>
      </w:pPr>
      <w:rPr>
        <w:rFonts w:ascii="Symbol" w:hAnsi="Symbol" w:hint="default"/>
      </w:rPr>
    </w:lvl>
    <w:lvl w:ilvl="7" w:tplc="87880672">
      <w:start w:val="1"/>
      <w:numFmt w:val="bullet"/>
      <w:lvlText w:val="o"/>
      <w:lvlJc w:val="left"/>
      <w:pPr>
        <w:ind w:left="5760" w:hanging="360"/>
      </w:pPr>
      <w:rPr>
        <w:rFonts w:ascii="Courier New" w:hAnsi="Courier New" w:hint="default"/>
      </w:rPr>
    </w:lvl>
    <w:lvl w:ilvl="8" w:tplc="83585046">
      <w:start w:val="1"/>
      <w:numFmt w:val="bullet"/>
      <w:lvlText w:val=""/>
      <w:lvlJc w:val="left"/>
      <w:pPr>
        <w:ind w:left="6480" w:hanging="360"/>
      </w:pPr>
      <w:rPr>
        <w:rFonts w:ascii="Wingdings" w:hAnsi="Wingdings" w:hint="default"/>
      </w:rPr>
    </w:lvl>
  </w:abstractNum>
  <w:abstractNum w:abstractNumId="240" w15:restartNumberingAfterBreak="0">
    <w:nsid w:val="5330E3E3"/>
    <w:multiLevelType w:val="hybridMultilevel"/>
    <w:tmpl w:val="FFFFFFFF"/>
    <w:lvl w:ilvl="0" w:tplc="A984972C">
      <w:start w:val="1"/>
      <w:numFmt w:val="decimal"/>
      <w:lvlText w:val="%1."/>
      <w:lvlJc w:val="left"/>
      <w:pPr>
        <w:ind w:left="720" w:hanging="360"/>
      </w:pPr>
    </w:lvl>
    <w:lvl w:ilvl="1" w:tplc="1D28E4E8">
      <w:start w:val="2"/>
      <w:numFmt w:val="lowerRoman"/>
      <w:lvlText w:val="%2."/>
      <w:lvlJc w:val="right"/>
      <w:pPr>
        <w:ind w:left="1080" w:hanging="360"/>
      </w:pPr>
    </w:lvl>
    <w:lvl w:ilvl="2" w:tplc="373ECC36">
      <w:start w:val="1"/>
      <w:numFmt w:val="lowerRoman"/>
      <w:lvlText w:val="%3."/>
      <w:lvlJc w:val="right"/>
      <w:pPr>
        <w:ind w:left="2160" w:hanging="180"/>
      </w:pPr>
    </w:lvl>
    <w:lvl w:ilvl="3" w:tplc="B5C01D92">
      <w:start w:val="1"/>
      <w:numFmt w:val="decimal"/>
      <w:lvlText w:val="%4."/>
      <w:lvlJc w:val="left"/>
      <w:pPr>
        <w:ind w:left="2880" w:hanging="360"/>
      </w:pPr>
    </w:lvl>
    <w:lvl w:ilvl="4" w:tplc="D3F870AA">
      <w:start w:val="1"/>
      <w:numFmt w:val="lowerLetter"/>
      <w:lvlText w:val="%5."/>
      <w:lvlJc w:val="left"/>
      <w:pPr>
        <w:ind w:left="3600" w:hanging="360"/>
      </w:pPr>
    </w:lvl>
    <w:lvl w:ilvl="5" w:tplc="C85E338C">
      <w:start w:val="1"/>
      <w:numFmt w:val="lowerRoman"/>
      <w:lvlText w:val="%6."/>
      <w:lvlJc w:val="right"/>
      <w:pPr>
        <w:ind w:left="4320" w:hanging="180"/>
      </w:pPr>
    </w:lvl>
    <w:lvl w:ilvl="6" w:tplc="EBB40FBE">
      <w:start w:val="1"/>
      <w:numFmt w:val="decimal"/>
      <w:lvlText w:val="%7."/>
      <w:lvlJc w:val="left"/>
      <w:pPr>
        <w:ind w:left="5040" w:hanging="360"/>
      </w:pPr>
    </w:lvl>
    <w:lvl w:ilvl="7" w:tplc="3A28A326">
      <w:start w:val="1"/>
      <w:numFmt w:val="lowerLetter"/>
      <w:lvlText w:val="%8."/>
      <w:lvlJc w:val="left"/>
      <w:pPr>
        <w:ind w:left="5760" w:hanging="360"/>
      </w:pPr>
    </w:lvl>
    <w:lvl w:ilvl="8" w:tplc="61A6A01C">
      <w:start w:val="1"/>
      <w:numFmt w:val="lowerRoman"/>
      <w:lvlText w:val="%9."/>
      <w:lvlJc w:val="right"/>
      <w:pPr>
        <w:ind w:left="6480" w:hanging="180"/>
      </w:pPr>
    </w:lvl>
  </w:abstractNum>
  <w:abstractNum w:abstractNumId="241" w15:restartNumberingAfterBreak="0">
    <w:nsid w:val="53B72021"/>
    <w:multiLevelType w:val="hybridMultilevel"/>
    <w:tmpl w:val="FFFFFFFF"/>
    <w:lvl w:ilvl="0" w:tplc="22AC8ED0">
      <w:start w:val="4"/>
      <w:numFmt w:val="decimal"/>
      <w:lvlText w:val="%1."/>
      <w:lvlJc w:val="left"/>
      <w:pPr>
        <w:ind w:left="720" w:hanging="360"/>
      </w:pPr>
    </w:lvl>
    <w:lvl w:ilvl="1" w:tplc="49B66352">
      <w:start w:val="1"/>
      <w:numFmt w:val="lowerLetter"/>
      <w:lvlText w:val="%2."/>
      <w:lvlJc w:val="left"/>
      <w:pPr>
        <w:ind w:left="1440" w:hanging="360"/>
      </w:pPr>
    </w:lvl>
    <w:lvl w:ilvl="2" w:tplc="CD6EA542">
      <w:start w:val="1"/>
      <w:numFmt w:val="lowerRoman"/>
      <w:lvlText w:val="%3."/>
      <w:lvlJc w:val="right"/>
      <w:pPr>
        <w:ind w:left="2160" w:hanging="180"/>
      </w:pPr>
    </w:lvl>
    <w:lvl w:ilvl="3" w:tplc="4F44561E">
      <w:start w:val="1"/>
      <w:numFmt w:val="decimal"/>
      <w:lvlText w:val="%4."/>
      <w:lvlJc w:val="left"/>
      <w:pPr>
        <w:ind w:left="2880" w:hanging="360"/>
      </w:pPr>
    </w:lvl>
    <w:lvl w:ilvl="4" w:tplc="1138141A">
      <w:start w:val="1"/>
      <w:numFmt w:val="lowerLetter"/>
      <w:lvlText w:val="%5."/>
      <w:lvlJc w:val="left"/>
      <w:pPr>
        <w:ind w:left="3600" w:hanging="360"/>
      </w:pPr>
    </w:lvl>
    <w:lvl w:ilvl="5" w:tplc="684204AA">
      <w:start w:val="1"/>
      <w:numFmt w:val="lowerRoman"/>
      <w:lvlText w:val="%6."/>
      <w:lvlJc w:val="right"/>
      <w:pPr>
        <w:ind w:left="4320" w:hanging="180"/>
      </w:pPr>
    </w:lvl>
    <w:lvl w:ilvl="6" w:tplc="484C132C">
      <w:start w:val="1"/>
      <w:numFmt w:val="decimal"/>
      <w:lvlText w:val="%7."/>
      <w:lvlJc w:val="left"/>
      <w:pPr>
        <w:ind w:left="5040" w:hanging="360"/>
      </w:pPr>
    </w:lvl>
    <w:lvl w:ilvl="7" w:tplc="E41E0AC4">
      <w:start w:val="1"/>
      <w:numFmt w:val="lowerLetter"/>
      <w:lvlText w:val="%8."/>
      <w:lvlJc w:val="left"/>
      <w:pPr>
        <w:ind w:left="5760" w:hanging="360"/>
      </w:pPr>
    </w:lvl>
    <w:lvl w:ilvl="8" w:tplc="59F8FC36">
      <w:start w:val="1"/>
      <w:numFmt w:val="lowerRoman"/>
      <w:lvlText w:val="%9."/>
      <w:lvlJc w:val="right"/>
      <w:pPr>
        <w:ind w:left="6480" w:hanging="180"/>
      </w:pPr>
    </w:lvl>
  </w:abstractNum>
  <w:abstractNum w:abstractNumId="242" w15:restartNumberingAfterBreak="0">
    <w:nsid w:val="53D96FC8"/>
    <w:multiLevelType w:val="multilevel"/>
    <w:tmpl w:val="576E83B0"/>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3" w15:restartNumberingAfterBreak="0">
    <w:nsid w:val="544F9FE1"/>
    <w:multiLevelType w:val="hybridMultilevel"/>
    <w:tmpl w:val="DEA0420E"/>
    <w:lvl w:ilvl="0" w:tplc="6D6C2392">
      <w:start w:val="1"/>
      <w:numFmt w:val="bullet"/>
      <w:lvlText w:val="-"/>
      <w:lvlJc w:val="left"/>
      <w:pPr>
        <w:ind w:left="720" w:hanging="360"/>
      </w:pPr>
      <w:rPr>
        <w:rFonts w:ascii="Calibri" w:hAnsi="Calibri" w:hint="default"/>
      </w:rPr>
    </w:lvl>
    <w:lvl w:ilvl="1" w:tplc="FCDAC12A">
      <w:start w:val="1"/>
      <w:numFmt w:val="bullet"/>
      <w:lvlText w:val="o"/>
      <w:lvlJc w:val="left"/>
      <w:pPr>
        <w:ind w:left="1440" w:hanging="360"/>
      </w:pPr>
      <w:rPr>
        <w:rFonts w:ascii="Courier New" w:hAnsi="Courier New" w:hint="default"/>
      </w:rPr>
    </w:lvl>
    <w:lvl w:ilvl="2" w:tplc="24A06382">
      <w:start w:val="1"/>
      <w:numFmt w:val="bullet"/>
      <w:lvlText w:val=""/>
      <w:lvlJc w:val="left"/>
      <w:pPr>
        <w:ind w:left="2160" w:hanging="360"/>
      </w:pPr>
      <w:rPr>
        <w:rFonts w:ascii="Wingdings" w:hAnsi="Wingdings" w:hint="default"/>
      </w:rPr>
    </w:lvl>
    <w:lvl w:ilvl="3" w:tplc="CB2012CC">
      <w:start w:val="1"/>
      <w:numFmt w:val="bullet"/>
      <w:lvlText w:val=""/>
      <w:lvlJc w:val="left"/>
      <w:pPr>
        <w:ind w:left="2880" w:hanging="360"/>
      </w:pPr>
      <w:rPr>
        <w:rFonts w:ascii="Symbol" w:hAnsi="Symbol" w:hint="default"/>
      </w:rPr>
    </w:lvl>
    <w:lvl w:ilvl="4" w:tplc="737604E2">
      <w:start w:val="1"/>
      <w:numFmt w:val="bullet"/>
      <w:lvlText w:val="o"/>
      <w:lvlJc w:val="left"/>
      <w:pPr>
        <w:ind w:left="3600" w:hanging="360"/>
      </w:pPr>
      <w:rPr>
        <w:rFonts w:ascii="Courier New" w:hAnsi="Courier New" w:hint="default"/>
      </w:rPr>
    </w:lvl>
    <w:lvl w:ilvl="5" w:tplc="C3C62038">
      <w:start w:val="1"/>
      <w:numFmt w:val="bullet"/>
      <w:lvlText w:val=""/>
      <w:lvlJc w:val="left"/>
      <w:pPr>
        <w:ind w:left="4320" w:hanging="360"/>
      </w:pPr>
      <w:rPr>
        <w:rFonts w:ascii="Wingdings" w:hAnsi="Wingdings" w:hint="default"/>
      </w:rPr>
    </w:lvl>
    <w:lvl w:ilvl="6" w:tplc="538ED028">
      <w:start w:val="1"/>
      <w:numFmt w:val="bullet"/>
      <w:lvlText w:val=""/>
      <w:lvlJc w:val="left"/>
      <w:pPr>
        <w:ind w:left="5040" w:hanging="360"/>
      </w:pPr>
      <w:rPr>
        <w:rFonts w:ascii="Symbol" w:hAnsi="Symbol" w:hint="default"/>
      </w:rPr>
    </w:lvl>
    <w:lvl w:ilvl="7" w:tplc="30E0836A">
      <w:start w:val="1"/>
      <w:numFmt w:val="bullet"/>
      <w:lvlText w:val="o"/>
      <w:lvlJc w:val="left"/>
      <w:pPr>
        <w:ind w:left="5760" w:hanging="360"/>
      </w:pPr>
      <w:rPr>
        <w:rFonts w:ascii="Courier New" w:hAnsi="Courier New" w:hint="default"/>
      </w:rPr>
    </w:lvl>
    <w:lvl w:ilvl="8" w:tplc="051A3A6C">
      <w:start w:val="1"/>
      <w:numFmt w:val="bullet"/>
      <w:lvlText w:val=""/>
      <w:lvlJc w:val="left"/>
      <w:pPr>
        <w:ind w:left="6480" w:hanging="360"/>
      </w:pPr>
      <w:rPr>
        <w:rFonts w:ascii="Wingdings" w:hAnsi="Wingdings" w:hint="default"/>
      </w:rPr>
    </w:lvl>
  </w:abstractNum>
  <w:abstractNum w:abstractNumId="244" w15:restartNumberingAfterBreak="0">
    <w:nsid w:val="545E34A1"/>
    <w:multiLevelType w:val="hybridMultilevel"/>
    <w:tmpl w:val="FFFFFFFF"/>
    <w:lvl w:ilvl="0" w:tplc="04C69228">
      <w:start w:val="1"/>
      <w:numFmt w:val="decimal"/>
      <w:lvlText w:val="%1."/>
      <w:lvlJc w:val="left"/>
      <w:pPr>
        <w:ind w:left="720" w:hanging="360"/>
      </w:pPr>
    </w:lvl>
    <w:lvl w:ilvl="1" w:tplc="A52632CC">
      <w:start w:val="1"/>
      <w:numFmt w:val="lowerLetter"/>
      <w:lvlText w:val="%2."/>
      <w:lvlJc w:val="left"/>
      <w:pPr>
        <w:ind w:left="1440" w:hanging="360"/>
      </w:pPr>
    </w:lvl>
    <w:lvl w:ilvl="2" w:tplc="12708F5E">
      <w:start w:val="1"/>
      <w:numFmt w:val="lowerRoman"/>
      <w:lvlText w:val="%3."/>
      <w:lvlJc w:val="right"/>
      <w:pPr>
        <w:ind w:left="2160" w:hanging="180"/>
      </w:pPr>
    </w:lvl>
    <w:lvl w:ilvl="3" w:tplc="8128656A">
      <w:start w:val="1"/>
      <w:numFmt w:val="decimal"/>
      <w:lvlText w:val="%4."/>
      <w:lvlJc w:val="left"/>
      <w:pPr>
        <w:ind w:left="2880" w:hanging="360"/>
      </w:pPr>
    </w:lvl>
    <w:lvl w:ilvl="4" w:tplc="1E82A13C">
      <w:start w:val="1"/>
      <w:numFmt w:val="lowerLetter"/>
      <w:lvlText w:val="%5."/>
      <w:lvlJc w:val="left"/>
      <w:pPr>
        <w:ind w:left="3600" w:hanging="360"/>
      </w:pPr>
    </w:lvl>
    <w:lvl w:ilvl="5" w:tplc="2D78D74A">
      <w:start w:val="1"/>
      <w:numFmt w:val="lowerRoman"/>
      <w:lvlText w:val="%6."/>
      <w:lvlJc w:val="right"/>
      <w:pPr>
        <w:ind w:left="4320" w:hanging="180"/>
      </w:pPr>
    </w:lvl>
    <w:lvl w:ilvl="6" w:tplc="C95EB238">
      <w:start w:val="1"/>
      <w:numFmt w:val="decimal"/>
      <w:lvlText w:val="%7."/>
      <w:lvlJc w:val="left"/>
      <w:pPr>
        <w:ind w:left="5040" w:hanging="360"/>
      </w:pPr>
    </w:lvl>
    <w:lvl w:ilvl="7" w:tplc="931C0BD4">
      <w:start w:val="1"/>
      <w:numFmt w:val="lowerLetter"/>
      <w:lvlText w:val="%8."/>
      <w:lvlJc w:val="left"/>
      <w:pPr>
        <w:ind w:left="5760" w:hanging="360"/>
      </w:pPr>
    </w:lvl>
    <w:lvl w:ilvl="8" w:tplc="39B2D0C0">
      <w:start w:val="1"/>
      <w:numFmt w:val="lowerRoman"/>
      <w:lvlText w:val="%9."/>
      <w:lvlJc w:val="right"/>
      <w:pPr>
        <w:ind w:left="6480" w:hanging="180"/>
      </w:pPr>
    </w:lvl>
  </w:abstractNum>
  <w:abstractNum w:abstractNumId="245" w15:restartNumberingAfterBreak="0">
    <w:nsid w:val="5496D1C4"/>
    <w:multiLevelType w:val="hybridMultilevel"/>
    <w:tmpl w:val="FFFFFFFF"/>
    <w:lvl w:ilvl="0" w:tplc="6234F376">
      <w:start w:val="1"/>
      <w:numFmt w:val="decimal"/>
      <w:lvlText w:val="%1."/>
      <w:lvlJc w:val="left"/>
      <w:pPr>
        <w:ind w:left="720" w:hanging="360"/>
      </w:pPr>
    </w:lvl>
    <w:lvl w:ilvl="1" w:tplc="A0403FE6">
      <w:start w:val="1"/>
      <w:numFmt w:val="lowerLetter"/>
      <w:lvlText w:val="%2."/>
      <w:lvlJc w:val="left"/>
      <w:pPr>
        <w:ind w:left="1440" w:hanging="360"/>
      </w:pPr>
    </w:lvl>
    <w:lvl w:ilvl="2" w:tplc="D6F87788">
      <w:start w:val="1"/>
      <w:numFmt w:val="lowerRoman"/>
      <w:lvlText w:val="%3."/>
      <w:lvlJc w:val="right"/>
      <w:pPr>
        <w:ind w:left="2160" w:hanging="180"/>
      </w:pPr>
    </w:lvl>
    <w:lvl w:ilvl="3" w:tplc="33F6BA42">
      <w:start w:val="1"/>
      <w:numFmt w:val="decimal"/>
      <w:lvlText w:val="%4."/>
      <w:lvlJc w:val="left"/>
      <w:pPr>
        <w:ind w:left="2880" w:hanging="360"/>
      </w:pPr>
    </w:lvl>
    <w:lvl w:ilvl="4" w:tplc="FF169BA8">
      <w:start w:val="1"/>
      <w:numFmt w:val="lowerLetter"/>
      <w:lvlText w:val="%5."/>
      <w:lvlJc w:val="left"/>
      <w:pPr>
        <w:ind w:left="3600" w:hanging="360"/>
      </w:pPr>
    </w:lvl>
    <w:lvl w:ilvl="5" w:tplc="11AE93C6">
      <w:start w:val="1"/>
      <w:numFmt w:val="lowerRoman"/>
      <w:lvlText w:val="%6."/>
      <w:lvlJc w:val="right"/>
      <w:pPr>
        <w:ind w:left="4320" w:hanging="180"/>
      </w:pPr>
    </w:lvl>
    <w:lvl w:ilvl="6" w:tplc="BE3223A8">
      <w:start w:val="1"/>
      <w:numFmt w:val="decimal"/>
      <w:lvlText w:val="%7."/>
      <w:lvlJc w:val="left"/>
      <w:pPr>
        <w:ind w:left="5040" w:hanging="360"/>
      </w:pPr>
    </w:lvl>
    <w:lvl w:ilvl="7" w:tplc="52EC86C2">
      <w:start w:val="1"/>
      <w:numFmt w:val="lowerLetter"/>
      <w:lvlText w:val="%8."/>
      <w:lvlJc w:val="left"/>
      <w:pPr>
        <w:ind w:left="5760" w:hanging="360"/>
      </w:pPr>
    </w:lvl>
    <w:lvl w:ilvl="8" w:tplc="6474392A">
      <w:start w:val="1"/>
      <w:numFmt w:val="lowerRoman"/>
      <w:lvlText w:val="%9."/>
      <w:lvlJc w:val="right"/>
      <w:pPr>
        <w:ind w:left="6480" w:hanging="180"/>
      </w:pPr>
    </w:lvl>
  </w:abstractNum>
  <w:abstractNum w:abstractNumId="246" w15:restartNumberingAfterBreak="0">
    <w:nsid w:val="54C8155E"/>
    <w:multiLevelType w:val="hybridMultilevel"/>
    <w:tmpl w:val="FFFFFFFF"/>
    <w:lvl w:ilvl="0" w:tplc="45D69E8A">
      <w:start w:val="1"/>
      <w:numFmt w:val="bullet"/>
      <w:lvlText w:val=""/>
      <w:lvlJc w:val="left"/>
      <w:pPr>
        <w:ind w:left="720" w:hanging="360"/>
      </w:pPr>
      <w:rPr>
        <w:rFonts w:ascii="Symbol" w:hAnsi="Symbol" w:hint="default"/>
      </w:rPr>
    </w:lvl>
    <w:lvl w:ilvl="1" w:tplc="8CA8702E">
      <w:start w:val="1"/>
      <w:numFmt w:val="bullet"/>
      <w:lvlText w:val="o"/>
      <w:lvlJc w:val="left"/>
      <w:pPr>
        <w:ind w:left="1440" w:hanging="360"/>
      </w:pPr>
      <w:rPr>
        <w:rFonts w:ascii="Courier New" w:hAnsi="Courier New" w:hint="default"/>
      </w:rPr>
    </w:lvl>
    <w:lvl w:ilvl="2" w:tplc="322C1404">
      <w:start w:val="1"/>
      <w:numFmt w:val="bullet"/>
      <w:lvlText w:val=""/>
      <w:lvlJc w:val="left"/>
      <w:pPr>
        <w:ind w:left="2160" w:hanging="360"/>
      </w:pPr>
      <w:rPr>
        <w:rFonts w:ascii="Wingdings" w:hAnsi="Wingdings" w:hint="default"/>
      </w:rPr>
    </w:lvl>
    <w:lvl w:ilvl="3" w:tplc="655E4736">
      <w:start w:val="1"/>
      <w:numFmt w:val="bullet"/>
      <w:lvlText w:val=""/>
      <w:lvlJc w:val="left"/>
      <w:pPr>
        <w:ind w:left="2880" w:hanging="360"/>
      </w:pPr>
      <w:rPr>
        <w:rFonts w:ascii="Symbol" w:hAnsi="Symbol" w:hint="default"/>
      </w:rPr>
    </w:lvl>
    <w:lvl w:ilvl="4" w:tplc="6B449CBC">
      <w:start w:val="1"/>
      <w:numFmt w:val="bullet"/>
      <w:lvlText w:val="o"/>
      <w:lvlJc w:val="left"/>
      <w:pPr>
        <w:ind w:left="3600" w:hanging="360"/>
      </w:pPr>
      <w:rPr>
        <w:rFonts w:ascii="Courier New" w:hAnsi="Courier New" w:hint="default"/>
      </w:rPr>
    </w:lvl>
    <w:lvl w:ilvl="5" w:tplc="716A8DFA">
      <w:start w:val="1"/>
      <w:numFmt w:val="bullet"/>
      <w:lvlText w:val=""/>
      <w:lvlJc w:val="left"/>
      <w:pPr>
        <w:ind w:left="4320" w:hanging="360"/>
      </w:pPr>
      <w:rPr>
        <w:rFonts w:ascii="Wingdings" w:hAnsi="Wingdings" w:hint="default"/>
      </w:rPr>
    </w:lvl>
    <w:lvl w:ilvl="6" w:tplc="45D8DFC2">
      <w:start w:val="1"/>
      <w:numFmt w:val="bullet"/>
      <w:lvlText w:val=""/>
      <w:lvlJc w:val="left"/>
      <w:pPr>
        <w:ind w:left="5040" w:hanging="360"/>
      </w:pPr>
      <w:rPr>
        <w:rFonts w:ascii="Symbol" w:hAnsi="Symbol" w:hint="default"/>
      </w:rPr>
    </w:lvl>
    <w:lvl w:ilvl="7" w:tplc="C13487C0">
      <w:start w:val="1"/>
      <w:numFmt w:val="bullet"/>
      <w:lvlText w:val="o"/>
      <w:lvlJc w:val="left"/>
      <w:pPr>
        <w:ind w:left="5760" w:hanging="360"/>
      </w:pPr>
      <w:rPr>
        <w:rFonts w:ascii="Courier New" w:hAnsi="Courier New" w:hint="default"/>
      </w:rPr>
    </w:lvl>
    <w:lvl w:ilvl="8" w:tplc="7224371A">
      <w:start w:val="1"/>
      <w:numFmt w:val="bullet"/>
      <w:lvlText w:val=""/>
      <w:lvlJc w:val="left"/>
      <w:pPr>
        <w:ind w:left="6480" w:hanging="360"/>
      </w:pPr>
      <w:rPr>
        <w:rFonts w:ascii="Wingdings" w:hAnsi="Wingdings" w:hint="default"/>
      </w:rPr>
    </w:lvl>
  </w:abstractNum>
  <w:abstractNum w:abstractNumId="247" w15:restartNumberingAfterBreak="0">
    <w:nsid w:val="54EC9ECF"/>
    <w:multiLevelType w:val="hybridMultilevel"/>
    <w:tmpl w:val="FFFFFFFF"/>
    <w:lvl w:ilvl="0" w:tplc="CDB2C608">
      <w:start w:val="1"/>
      <w:numFmt w:val="bullet"/>
      <w:lvlText w:val=""/>
      <w:lvlJc w:val="left"/>
      <w:pPr>
        <w:ind w:left="720" w:hanging="360"/>
      </w:pPr>
      <w:rPr>
        <w:rFonts w:ascii="Symbol" w:hAnsi="Symbol" w:hint="default"/>
      </w:rPr>
    </w:lvl>
    <w:lvl w:ilvl="1" w:tplc="B9884220">
      <w:start w:val="1"/>
      <w:numFmt w:val="bullet"/>
      <w:lvlText w:val="o"/>
      <w:lvlJc w:val="left"/>
      <w:pPr>
        <w:ind w:left="1440" w:hanging="360"/>
      </w:pPr>
      <w:rPr>
        <w:rFonts w:ascii="Courier New" w:hAnsi="Courier New" w:hint="default"/>
      </w:rPr>
    </w:lvl>
    <w:lvl w:ilvl="2" w:tplc="30AA416C">
      <w:start w:val="1"/>
      <w:numFmt w:val="bullet"/>
      <w:lvlText w:val=""/>
      <w:lvlJc w:val="left"/>
      <w:pPr>
        <w:ind w:left="2160" w:hanging="360"/>
      </w:pPr>
      <w:rPr>
        <w:rFonts w:ascii="Wingdings" w:hAnsi="Wingdings" w:hint="default"/>
      </w:rPr>
    </w:lvl>
    <w:lvl w:ilvl="3" w:tplc="29BC6BE2">
      <w:start w:val="1"/>
      <w:numFmt w:val="bullet"/>
      <w:lvlText w:val=""/>
      <w:lvlJc w:val="left"/>
      <w:pPr>
        <w:ind w:left="2880" w:hanging="360"/>
      </w:pPr>
      <w:rPr>
        <w:rFonts w:ascii="Symbol" w:hAnsi="Symbol" w:hint="default"/>
      </w:rPr>
    </w:lvl>
    <w:lvl w:ilvl="4" w:tplc="5A96C390">
      <w:start w:val="1"/>
      <w:numFmt w:val="bullet"/>
      <w:lvlText w:val="o"/>
      <w:lvlJc w:val="left"/>
      <w:pPr>
        <w:ind w:left="3600" w:hanging="360"/>
      </w:pPr>
      <w:rPr>
        <w:rFonts w:ascii="Courier New" w:hAnsi="Courier New" w:hint="default"/>
      </w:rPr>
    </w:lvl>
    <w:lvl w:ilvl="5" w:tplc="E18080E6">
      <w:start w:val="1"/>
      <w:numFmt w:val="bullet"/>
      <w:lvlText w:val=""/>
      <w:lvlJc w:val="left"/>
      <w:pPr>
        <w:ind w:left="4320" w:hanging="360"/>
      </w:pPr>
      <w:rPr>
        <w:rFonts w:ascii="Wingdings" w:hAnsi="Wingdings" w:hint="default"/>
      </w:rPr>
    </w:lvl>
    <w:lvl w:ilvl="6" w:tplc="977AC614">
      <w:start w:val="1"/>
      <w:numFmt w:val="bullet"/>
      <w:lvlText w:val=""/>
      <w:lvlJc w:val="left"/>
      <w:pPr>
        <w:ind w:left="5040" w:hanging="360"/>
      </w:pPr>
      <w:rPr>
        <w:rFonts w:ascii="Symbol" w:hAnsi="Symbol" w:hint="default"/>
      </w:rPr>
    </w:lvl>
    <w:lvl w:ilvl="7" w:tplc="9B3021E8">
      <w:start w:val="1"/>
      <w:numFmt w:val="bullet"/>
      <w:lvlText w:val="o"/>
      <w:lvlJc w:val="left"/>
      <w:pPr>
        <w:ind w:left="5760" w:hanging="360"/>
      </w:pPr>
      <w:rPr>
        <w:rFonts w:ascii="Courier New" w:hAnsi="Courier New" w:hint="default"/>
      </w:rPr>
    </w:lvl>
    <w:lvl w:ilvl="8" w:tplc="12CCA044">
      <w:start w:val="1"/>
      <w:numFmt w:val="bullet"/>
      <w:lvlText w:val=""/>
      <w:lvlJc w:val="left"/>
      <w:pPr>
        <w:ind w:left="6480" w:hanging="360"/>
      </w:pPr>
      <w:rPr>
        <w:rFonts w:ascii="Wingdings" w:hAnsi="Wingdings" w:hint="default"/>
      </w:rPr>
    </w:lvl>
  </w:abstractNum>
  <w:abstractNum w:abstractNumId="248" w15:restartNumberingAfterBreak="0">
    <w:nsid w:val="551842F8"/>
    <w:multiLevelType w:val="hybridMultilevel"/>
    <w:tmpl w:val="C6900E88"/>
    <w:lvl w:ilvl="0" w:tplc="E67840F6">
      <w:start w:val="1"/>
      <w:numFmt w:val="bullet"/>
      <w:lvlText w:val=""/>
      <w:lvlJc w:val="left"/>
      <w:pPr>
        <w:ind w:left="720" w:hanging="360"/>
      </w:pPr>
      <w:rPr>
        <w:rFonts w:ascii="Symbol" w:hAnsi="Symbol" w:hint="default"/>
        <w:color w:val="006100"/>
        <w:sz w:val="18"/>
        <w:szCs w:val="1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9" w15:restartNumberingAfterBreak="0">
    <w:nsid w:val="554D3821"/>
    <w:multiLevelType w:val="hybridMultilevel"/>
    <w:tmpl w:val="FD2E8DE2"/>
    <w:lvl w:ilvl="0" w:tplc="B56A136C">
      <w:start w:val="1"/>
      <w:numFmt w:val="bullet"/>
      <w:lvlText w:val=""/>
      <w:lvlJc w:val="left"/>
      <w:pPr>
        <w:ind w:left="720" w:hanging="360"/>
      </w:pPr>
      <w:rPr>
        <w:rFonts w:ascii="Symbol" w:hAnsi="Symbol" w:hint="default"/>
        <w:sz w:val="24"/>
        <w:szCs w:val="24"/>
      </w:rPr>
    </w:lvl>
    <w:lvl w:ilvl="1" w:tplc="EC32C5DA">
      <w:start w:val="1"/>
      <w:numFmt w:val="bullet"/>
      <w:lvlText w:val="o"/>
      <w:lvlJc w:val="left"/>
      <w:pPr>
        <w:ind w:left="1440" w:hanging="360"/>
      </w:pPr>
      <w:rPr>
        <w:rFonts w:ascii="Courier New" w:hAnsi="Courier New" w:hint="default"/>
      </w:rPr>
    </w:lvl>
    <w:lvl w:ilvl="2" w:tplc="F1DC3502">
      <w:start w:val="1"/>
      <w:numFmt w:val="bullet"/>
      <w:lvlText w:val=""/>
      <w:lvlJc w:val="left"/>
      <w:pPr>
        <w:ind w:left="2160" w:hanging="360"/>
      </w:pPr>
      <w:rPr>
        <w:rFonts w:ascii="Wingdings" w:hAnsi="Wingdings" w:hint="default"/>
      </w:rPr>
    </w:lvl>
    <w:lvl w:ilvl="3" w:tplc="02860F4E">
      <w:start w:val="1"/>
      <w:numFmt w:val="bullet"/>
      <w:lvlText w:val=""/>
      <w:lvlJc w:val="left"/>
      <w:pPr>
        <w:ind w:left="2880" w:hanging="360"/>
      </w:pPr>
      <w:rPr>
        <w:rFonts w:ascii="Symbol" w:hAnsi="Symbol" w:hint="default"/>
      </w:rPr>
    </w:lvl>
    <w:lvl w:ilvl="4" w:tplc="940406F6">
      <w:start w:val="1"/>
      <w:numFmt w:val="bullet"/>
      <w:lvlText w:val="o"/>
      <w:lvlJc w:val="left"/>
      <w:pPr>
        <w:ind w:left="3600" w:hanging="360"/>
      </w:pPr>
      <w:rPr>
        <w:rFonts w:ascii="Courier New" w:hAnsi="Courier New" w:hint="default"/>
      </w:rPr>
    </w:lvl>
    <w:lvl w:ilvl="5" w:tplc="7EBEC34A">
      <w:start w:val="1"/>
      <w:numFmt w:val="bullet"/>
      <w:lvlText w:val=""/>
      <w:lvlJc w:val="left"/>
      <w:pPr>
        <w:ind w:left="4320" w:hanging="360"/>
      </w:pPr>
      <w:rPr>
        <w:rFonts w:ascii="Wingdings" w:hAnsi="Wingdings" w:hint="default"/>
      </w:rPr>
    </w:lvl>
    <w:lvl w:ilvl="6" w:tplc="96EA20BA">
      <w:start w:val="1"/>
      <w:numFmt w:val="bullet"/>
      <w:lvlText w:val=""/>
      <w:lvlJc w:val="left"/>
      <w:pPr>
        <w:ind w:left="5040" w:hanging="360"/>
      </w:pPr>
      <w:rPr>
        <w:rFonts w:ascii="Symbol" w:hAnsi="Symbol" w:hint="default"/>
      </w:rPr>
    </w:lvl>
    <w:lvl w:ilvl="7" w:tplc="F3CA0CC6">
      <w:start w:val="1"/>
      <w:numFmt w:val="bullet"/>
      <w:lvlText w:val="o"/>
      <w:lvlJc w:val="left"/>
      <w:pPr>
        <w:ind w:left="5760" w:hanging="360"/>
      </w:pPr>
      <w:rPr>
        <w:rFonts w:ascii="Courier New" w:hAnsi="Courier New" w:hint="default"/>
      </w:rPr>
    </w:lvl>
    <w:lvl w:ilvl="8" w:tplc="72082F5C">
      <w:start w:val="1"/>
      <w:numFmt w:val="bullet"/>
      <w:lvlText w:val=""/>
      <w:lvlJc w:val="left"/>
      <w:pPr>
        <w:ind w:left="6480" w:hanging="360"/>
      </w:pPr>
      <w:rPr>
        <w:rFonts w:ascii="Wingdings" w:hAnsi="Wingdings" w:hint="default"/>
      </w:rPr>
    </w:lvl>
  </w:abstractNum>
  <w:abstractNum w:abstractNumId="25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1" w15:restartNumberingAfterBreak="0">
    <w:nsid w:val="55C10E65"/>
    <w:multiLevelType w:val="hybridMultilevel"/>
    <w:tmpl w:val="F1AA8FE2"/>
    <w:lvl w:ilvl="0" w:tplc="18090001">
      <w:start w:val="1"/>
      <w:numFmt w:val="bullet"/>
      <w:lvlText w:val=""/>
      <w:lvlJc w:val="left"/>
      <w:pPr>
        <w:ind w:left="720" w:hanging="360"/>
      </w:pPr>
      <w:rPr>
        <w:rFonts w:ascii="Symbol" w:hAnsi="Symbol" w:hint="default"/>
        <w:b/>
        <w:bCs/>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2" w15:restartNumberingAfterBreak="0">
    <w:nsid w:val="55DB6C5F"/>
    <w:multiLevelType w:val="hybridMultilevel"/>
    <w:tmpl w:val="FFFFFFFF"/>
    <w:lvl w:ilvl="0" w:tplc="BA62EC0A">
      <w:start w:val="2"/>
      <w:numFmt w:val="decimal"/>
      <w:lvlText w:val="%1."/>
      <w:lvlJc w:val="left"/>
      <w:pPr>
        <w:ind w:left="720" w:hanging="360"/>
      </w:pPr>
    </w:lvl>
    <w:lvl w:ilvl="1" w:tplc="CCE0449E">
      <w:start w:val="1"/>
      <w:numFmt w:val="lowerLetter"/>
      <w:lvlText w:val="%2."/>
      <w:lvlJc w:val="left"/>
      <w:pPr>
        <w:ind w:left="1440" w:hanging="360"/>
      </w:pPr>
    </w:lvl>
    <w:lvl w:ilvl="2" w:tplc="EB40AEFE">
      <w:start w:val="1"/>
      <w:numFmt w:val="lowerRoman"/>
      <w:lvlText w:val="%3."/>
      <w:lvlJc w:val="right"/>
      <w:pPr>
        <w:ind w:left="2160" w:hanging="180"/>
      </w:pPr>
    </w:lvl>
    <w:lvl w:ilvl="3" w:tplc="F95A97A6">
      <w:start w:val="1"/>
      <w:numFmt w:val="decimal"/>
      <w:lvlText w:val="%4."/>
      <w:lvlJc w:val="left"/>
      <w:pPr>
        <w:ind w:left="2880" w:hanging="360"/>
      </w:pPr>
    </w:lvl>
    <w:lvl w:ilvl="4" w:tplc="1F682BE4">
      <w:start w:val="1"/>
      <w:numFmt w:val="lowerLetter"/>
      <w:lvlText w:val="%5."/>
      <w:lvlJc w:val="left"/>
      <w:pPr>
        <w:ind w:left="3600" w:hanging="360"/>
      </w:pPr>
    </w:lvl>
    <w:lvl w:ilvl="5" w:tplc="16F032EE">
      <w:start w:val="1"/>
      <w:numFmt w:val="lowerRoman"/>
      <w:lvlText w:val="%6."/>
      <w:lvlJc w:val="right"/>
      <w:pPr>
        <w:ind w:left="4320" w:hanging="180"/>
      </w:pPr>
    </w:lvl>
    <w:lvl w:ilvl="6" w:tplc="619C20F8">
      <w:start w:val="1"/>
      <w:numFmt w:val="decimal"/>
      <w:lvlText w:val="%7."/>
      <w:lvlJc w:val="left"/>
      <w:pPr>
        <w:ind w:left="5040" w:hanging="360"/>
      </w:pPr>
    </w:lvl>
    <w:lvl w:ilvl="7" w:tplc="1A0222AA">
      <w:start w:val="1"/>
      <w:numFmt w:val="lowerLetter"/>
      <w:lvlText w:val="%8."/>
      <w:lvlJc w:val="left"/>
      <w:pPr>
        <w:ind w:left="5760" w:hanging="360"/>
      </w:pPr>
    </w:lvl>
    <w:lvl w:ilvl="8" w:tplc="14D817F4">
      <w:start w:val="1"/>
      <w:numFmt w:val="lowerRoman"/>
      <w:lvlText w:val="%9."/>
      <w:lvlJc w:val="right"/>
      <w:pPr>
        <w:ind w:left="6480" w:hanging="180"/>
      </w:pPr>
    </w:lvl>
  </w:abstractNum>
  <w:abstractNum w:abstractNumId="253" w15:restartNumberingAfterBreak="0">
    <w:nsid w:val="55E137CB"/>
    <w:multiLevelType w:val="hybridMultilevel"/>
    <w:tmpl w:val="FFFFFFFF"/>
    <w:lvl w:ilvl="0" w:tplc="9FF059E4">
      <w:start w:val="1"/>
      <w:numFmt w:val="bullet"/>
      <w:lvlText w:val="●"/>
      <w:lvlJc w:val="left"/>
      <w:pPr>
        <w:ind w:left="720" w:hanging="360"/>
      </w:pPr>
      <w:rPr>
        <w:rFonts w:ascii="Noto Sans Symbols" w:hAnsi="Noto Sans Symbols" w:hint="default"/>
      </w:rPr>
    </w:lvl>
    <w:lvl w:ilvl="1" w:tplc="E3C0CD3E">
      <w:start w:val="1"/>
      <w:numFmt w:val="bullet"/>
      <w:lvlText w:val="o"/>
      <w:lvlJc w:val="left"/>
      <w:pPr>
        <w:ind w:left="1440" w:hanging="360"/>
      </w:pPr>
      <w:rPr>
        <w:rFonts w:ascii="Courier New" w:hAnsi="Courier New" w:hint="default"/>
      </w:rPr>
    </w:lvl>
    <w:lvl w:ilvl="2" w:tplc="75AA6532">
      <w:start w:val="1"/>
      <w:numFmt w:val="bullet"/>
      <w:lvlText w:val=""/>
      <w:lvlJc w:val="left"/>
      <w:pPr>
        <w:ind w:left="2160" w:hanging="360"/>
      </w:pPr>
      <w:rPr>
        <w:rFonts w:ascii="Wingdings" w:hAnsi="Wingdings" w:hint="default"/>
      </w:rPr>
    </w:lvl>
    <w:lvl w:ilvl="3" w:tplc="C99851F8">
      <w:start w:val="1"/>
      <w:numFmt w:val="bullet"/>
      <w:lvlText w:val=""/>
      <w:lvlJc w:val="left"/>
      <w:pPr>
        <w:ind w:left="2880" w:hanging="360"/>
      </w:pPr>
      <w:rPr>
        <w:rFonts w:ascii="Symbol" w:hAnsi="Symbol" w:hint="default"/>
      </w:rPr>
    </w:lvl>
    <w:lvl w:ilvl="4" w:tplc="0D94448C">
      <w:start w:val="1"/>
      <w:numFmt w:val="bullet"/>
      <w:lvlText w:val="o"/>
      <w:lvlJc w:val="left"/>
      <w:pPr>
        <w:ind w:left="3600" w:hanging="360"/>
      </w:pPr>
      <w:rPr>
        <w:rFonts w:ascii="Courier New" w:hAnsi="Courier New" w:hint="default"/>
      </w:rPr>
    </w:lvl>
    <w:lvl w:ilvl="5" w:tplc="21C85524">
      <w:start w:val="1"/>
      <w:numFmt w:val="bullet"/>
      <w:lvlText w:val=""/>
      <w:lvlJc w:val="left"/>
      <w:pPr>
        <w:ind w:left="4320" w:hanging="360"/>
      </w:pPr>
      <w:rPr>
        <w:rFonts w:ascii="Wingdings" w:hAnsi="Wingdings" w:hint="default"/>
      </w:rPr>
    </w:lvl>
    <w:lvl w:ilvl="6" w:tplc="A7029B50">
      <w:start w:val="1"/>
      <w:numFmt w:val="bullet"/>
      <w:lvlText w:val=""/>
      <w:lvlJc w:val="left"/>
      <w:pPr>
        <w:ind w:left="5040" w:hanging="360"/>
      </w:pPr>
      <w:rPr>
        <w:rFonts w:ascii="Symbol" w:hAnsi="Symbol" w:hint="default"/>
      </w:rPr>
    </w:lvl>
    <w:lvl w:ilvl="7" w:tplc="BB34580A">
      <w:start w:val="1"/>
      <w:numFmt w:val="bullet"/>
      <w:lvlText w:val="o"/>
      <w:lvlJc w:val="left"/>
      <w:pPr>
        <w:ind w:left="5760" w:hanging="360"/>
      </w:pPr>
      <w:rPr>
        <w:rFonts w:ascii="Courier New" w:hAnsi="Courier New" w:hint="default"/>
      </w:rPr>
    </w:lvl>
    <w:lvl w:ilvl="8" w:tplc="FCC6001C">
      <w:start w:val="1"/>
      <w:numFmt w:val="bullet"/>
      <w:lvlText w:val=""/>
      <w:lvlJc w:val="left"/>
      <w:pPr>
        <w:ind w:left="6480" w:hanging="360"/>
      </w:pPr>
      <w:rPr>
        <w:rFonts w:ascii="Wingdings" w:hAnsi="Wingdings" w:hint="default"/>
      </w:rPr>
    </w:lvl>
  </w:abstractNum>
  <w:abstractNum w:abstractNumId="254" w15:restartNumberingAfterBreak="0">
    <w:nsid w:val="564028C6"/>
    <w:multiLevelType w:val="hybridMultilevel"/>
    <w:tmpl w:val="725E1AAA"/>
    <w:lvl w:ilvl="0" w:tplc="29E21340">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5" w15:restartNumberingAfterBreak="0">
    <w:nsid w:val="56B89F99"/>
    <w:multiLevelType w:val="hybridMultilevel"/>
    <w:tmpl w:val="FFFFFFFF"/>
    <w:lvl w:ilvl="0" w:tplc="A3101266">
      <w:start w:val="4"/>
      <w:numFmt w:val="lowerLetter"/>
      <w:lvlText w:val="%1)"/>
      <w:lvlJc w:val="left"/>
      <w:pPr>
        <w:ind w:left="720" w:hanging="360"/>
      </w:pPr>
    </w:lvl>
    <w:lvl w:ilvl="1" w:tplc="57D2986C">
      <w:start w:val="1"/>
      <w:numFmt w:val="lowerLetter"/>
      <w:lvlText w:val="%2."/>
      <w:lvlJc w:val="left"/>
      <w:pPr>
        <w:ind w:left="1440" w:hanging="360"/>
      </w:pPr>
    </w:lvl>
    <w:lvl w:ilvl="2" w:tplc="13560CFC">
      <w:start w:val="1"/>
      <w:numFmt w:val="lowerRoman"/>
      <w:lvlText w:val="%3."/>
      <w:lvlJc w:val="right"/>
      <w:pPr>
        <w:ind w:left="2160" w:hanging="180"/>
      </w:pPr>
    </w:lvl>
    <w:lvl w:ilvl="3" w:tplc="73F64586">
      <w:start w:val="1"/>
      <w:numFmt w:val="decimal"/>
      <w:lvlText w:val="%4."/>
      <w:lvlJc w:val="left"/>
      <w:pPr>
        <w:ind w:left="2880" w:hanging="360"/>
      </w:pPr>
    </w:lvl>
    <w:lvl w:ilvl="4" w:tplc="8940EAA8">
      <w:start w:val="1"/>
      <w:numFmt w:val="lowerLetter"/>
      <w:lvlText w:val="%5."/>
      <w:lvlJc w:val="left"/>
      <w:pPr>
        <w:ind w:left="3600" w:hanging="360"/>
      </w:pPr>
    </w:lvl>
    <w:lvl w:ilvl="5" w:tplc="CB700B60">
      <w:start w:val="1"/>
      <w:numFmt w:val="lowerRoman"/>
      <w:lvlText w:val="%6."/>
      <w:lvlJc w:val="right"/>
      <w:pPr>
        <w:ind w:left="4320" w:hanging="180"/>
      </w:pPr>
    </w:lvl>
    <w:lvl w:ilvl="6" w:tplc="CE5EAAC8">
      <w:start w:val="1"/>
      <w:numFmt w:val="decimal"/>
      <w:lvlText w:val="%7."/>
      <w:lvlJc w:val="left"/>
      <w:pPr>
        <w:ind w:left="5040" w:hanging="360"/>
      </w:pPr>
    </w:lvl>
    <w:lvl w:ilvl="7" w:tplc="4052D91E">
      <w:start w:val="1"/>
      <w:numFmt w:val="lowerLetter"/>
      <w:lvlText w:val="%8."/>
      <w:lvlJc w:val="left"/>
      <w:pPr>
        <w:ind w:left="5760" w:hanging="360"/>
      </w:pPr>
    </w:lvl>
    <w:lvl w:ilvl="8" w:tplc="E0FEFFE6">
      <w:start w:val="1"/>
      <w:numFmt w:val="lowerRoman"/>
      <w:lvlText w:val="%9."/>
      <w:lvlJc w:val="right"/>
      <w:pPr>
        <w:ind w:left="6480" w:hanging="180"/>
      </w:pPr>
    </w:lvl>
  </w:abstractNum>
  <w:abstractNum w:abstractNumId="256" w15:restartNumberingAfterBreak="0">
    <w:nsid w:val="56DB8632"/>
    <w:multiLevelType w:val="hybridMultilevel"/>
    <w:tmpl w:val="FFFFFFFF"/>
    <w:lvl w:ilvl="0" w:tplc="7EFE4C46">
      <w:start w:val="6"/>
      <w:numFmt w:val="lowerRoman"/>
      <w:lvlText w:val="%1."/>
      <w:lvlJc w:val="right"/>
      <w:pPr>
        <w:ind w:left="1080" w:hanging="360"/>
      </w:pPr>
    </w:lvl>
    <w:lvl w:ilvl="1" w:tplc="92DC7F90">
      <w:start w:val="1"/>
      <w:numFmt w:val="lowerLetter"/>
      <w:lvlText w:val="%2."/>
      <w:lvlJc w:val="left"/>
      <w:pPr>
        <w:ind w:left="1440" w:hanging="360"/>
      </w:pPr>
    </w:lvl>
    <w:lvl w:ilvl="2" w:tplc="27043DE8">
      <w:start w:val="1"/>
      <w:numFmt w:val="lowerRoman"/>
      <w:lvlText w:val="%3."/>
      <w:lvlJc w:val="right"/>
      <w:pPr>
        <w:ind w:left="2160" w:hanging="180"/>
      </w:pPr>
    </w:lvl>
    <w:lvl w:ilvl="3" w:tplc="469C65CC">
      <w:start w:val="1"/>
      <w:numFmt w:val="decimal"/>
      <w:lvlText w:val="%4."/>
      <w:lvlJc w:val="left"/>
      <w:pPr>
        <w:ind w:left="2880" w:hanging="360"/>
      </w:pPr>
    </w:lvl>
    <w:lvl w:ilvl="4" w:tplc="B5FE5C80">
      <w:start w:val="1"/>
      <w:numFmt w:val="lowerLetter"/>
      <w:lvlText w:val="%5."/>
      <w:lvlJc w:val="left"/>
      <w:pPr>
        <w:ind w:left="3600" w:hanging="360"/>
      </w:pPr>
    </w:lvl>
    <w:lvl w:ilvl="5" w:tplc="2366871C">
      <w:start w:val="1"/>
      <w:numFmt w:val="lowerRoman"/>
      <w:lvlText w:val="%6."/>
      <w:lvlJc w:val="right"/>
      <w:pPr>
        <w:ind w:left="4320" w:hanging="180"/>
      </w:pPr>
    </w:lvl>
    <w:lvl w:ilvl="6" w:tplc="C53AEBAE">
      <w:start w:val="1"/>
      <w:numFmt w:val="decimal"/>
      <w:lvlText w:val="%7."/>
      <w:lvlJc w:val="left"/>
      <w:pPr>
        <w:ind w:left="5040" w:hanging="360"/>
      </w:pPr>
    </w:lvl>
    <w:lvl w:ilvl="7" w:tplc="177081DA">
      <w:start w:val="1"/>
      <w:numFmt w:val="lowerLetter"/>
      <w:lvlText w:val="%8."/>
      <w:lvlJc w:val="left"/>
      <w:pPr>
        <w:ind w:left="5760" w:hanging="360"/>
      </w:pPr>
    </w:lvl>
    <w:lvl w:ilvl="8" w:tplc="0D40CDE6">
      <w:start w:val="1"/>
      <w:numFmt w:val="lowerRoman"/>
      <w:lvlText w:val="%9."/>
      <w:lvlJc w:val="right"/>
      <w:pPr>
        <w:ind w:left="6480" w:hanging="180"/>
      </w:pPr>
    </w:lvl>
  </w:abstractNum>
  <w:abstractNum w:abstractNumId="257" w15:restartNumberingAfterBreak="0">
    <w:nsid w:val="5706508B"/>
    <w:multiLevelType w:val="hybridMultilevel"/>
    <w:tmpl w:val="FFFFFFFF"/>
    <w:lvl w:ilvl="0" w:tplc="5036763A">
      <w:start w:val="1"/>
      <w:numFmt w:val="bullet"/>
      <w:lvlText w:val=""/>
      <w:lvlJc w:val="left"/>
      <w:pPr>
        <w:ind w:left="720" w:hanging="360"/>
      </w:pPr>
      <w:rPr>
        <w:rFonts w:ascii="Symbol" w:hAnsi="Symbol" w:hint="default"/>
      </w:rPr>
    </w:lvl>
    <w:lvl w:ilvl="1" w:tplc="3126E3D0">
      <w:start w:val="1"/>
      <w:numFmt w:val="bullet"/>
      <w:lvlText w:val="-"/>
      <w:lvlJc w:val="left"/>
      <w:pPr>
        <w:ind w:left="1440" w:hanging="360"/>
      </w:pPr>
      <w:rPr>
        <w:rFonts w:ascii="&quot;Times New Roman&quot;,serif" w:hAnsi="&quot;Times New Roman&quot;,serif" w:hint="default"/>
      </w:rPr>
    </w:lvl>
    <w:lvl w:ilvl="2" w:tplc="51989B88">
      <w:start w:val="1"/>
      <w:numFmt w:val="bullet"/>
      <w:lvlText w:val=""/>
      <w:lvlJc w:val="left"/>
      <w:pPr>
        <w:ind w:left="2160" w:hanging="360"/>
      </w:pPr>
      <w:rPr>
        <w:rFonts w:ascii="Wingdings" w:hAnsi="Wingdings" w:hint="default"/>
      </w:rPr>
    </w:lvl>
    <w:lvl w:ilvl="3" w:tplc="5F4C712E">
      <w:start w:val="1"/>
      <w:numFmt w:val="bullet"/>
      <w:lvlText w:val=""/>
      <w:lvlJc w:val="left"/>
      <w:pPr>
        <w:ind w:left="2880" w:hanging="360"/>
      </w:pPr>
      <w:rPr>
        <w:rFonts w:ascii="Symbol" w:hAnsi="Symbol" w:hint="default"/>
      </w:rPr>
    </w:lvl>
    <w:lvl w:ilvl="4" w:tplc="728A7252">
      <w:start w:val="1"/>
      <w:numFmt w:val="bullet"/>
      <w:lvlText w:val="o"/>
      <w:lvlJc w:val="left"/>
      <w:pPr>
        <w:ind w:left="3600" w:hanging="360"/>
      </w:pPr>
      <w:rPr>
        <w:rFonts w:ascii="Courier New" w:hAnsi="Courier New" w:hint="default"/>
      </w:rPr>
    </w:lvl>
    <w:lvl w:ilvl="5" w:tplc="4C26BFC0">
      <w:start w:val="1"/>
      <w:numFmt w:val="bullet"/>
      <w:lvlText w:val=""/>
      <w:lvlJc w:val="left"/>
      <w:pPr>
        <w:ind w:left="4320" w:hanging="360"/>
      </w:pPr>
      <w:rPr>
        <w:rFonts w:ascii="Wingdings" w:hAnsi="Wingdings" w:hint="default"/>
      </w:rPr>
    </w:lvl>
    <w:lvl w:ilvl="6" w:tplc="9C1C431E">
      <w:start w:val="1"/>
      <w:numFmt w:val="bullet"/>
      <w:lvlText w:val=""/>
      <w:lvlJc w:val="left"/>
      <w:pPr>
        <w:ind w:left="5040" w:hanging="360"/>
      </w:pPr>
      <w:rPr>
        <w:rFonts w:ascii="Symbol" w:hAnsi="Symbol" w:hint="default"/>
      </w:rPr>
    </w:lvl>
    <w:lvl w:ilvl="7" w:tplc="64964220">
      <w:start w:val="1"/>
      <w:numFmt w:val="bullet"/>
      <w:lvlText w:val="o"/>
      <w:lvlJc w:val="left"/>
      <w:pPr>
        <w:ind w:left="5760" w:hanging="360"/>
      </w:pPr>
      <w:rPr>
        <w:rFonts w:ascii="Courier New" w:hAnsi="Courier New" w:hint="default"/>
      </w:rPr>
    </w:lvl>
    <w:lvl w:ilvl="8" w:tplc="4BB84B02">
      <w:start w:val="1"/>
      <w:numFmt w:val="bullet"/>
      <w:lvlText w:val=""/>
      <w:lvlJc w:val="left"/>
      <w:pPr>
        <w:ind w:left="6480" w:hanging="360"/>
      </w:pPr>
      <w:rPr>
        <w:rFonts w:ascii="Wingdings" w:hAnsi="Wingdings" w:hint="default"/>
      </w:rPr>
    </w:lvl>
  </w:abstractNum>
  <w:abstractNum w:abstractNumId="258" w15:restartNumberingAfterBreak="0">
    <w:nsid w:val="572C1BAE"/>
    <w:multiLevelType w:val="hybridMultilevel"/>
    <w:tmpl w:val="FFFFFFFF"/>
    <w:lvl w:ilvl="0" w:tplc="FDC65522">
      <w:start w:val="1"/>
      <w:numFmt w:val="bullet"/>
      <w:lvlText w:val=""/>
      <w:lvlJc w:val="left"/>
      <w:pPr>
        <w:ind w:left="720" w:hanging="360"/>
      </w:pPr>
      <w:rPr>
        <w:rFonts w:ascii="Symbol" w:hAnsi="Symbol" w:hint="default"/>
      </w:rPr>
    </w:lvl>
    <w:lvl w:ilvl="1" w:tplc="86D04790">
      <w:start w:val="1"/>
      <w:numFmt w:val="bullet"/>
      <w:lvlText w:val="o"/>
      <w:lvlJc w:val="left"/>
      <w:pPr>
        <w:ind w:left="1440" w:hanging="360"/>
      </w:pPr>
      <w:rPr>
        <w:rFonts w:ascii="Courier New" w:hAnsi="Courier New" w:hint="default"/>
      </w:rPr>
    </w:lvl>
    <w:lvl w:ilvl="2" w:tplc="F746E4A8">
      <w:start w:val="1"/>
      <w:numFmt w:val="bullet"/>
      <w:lvlText w:val=""/>
      <w:lvlJc w:val="left"/>
      <w:pPr>
        <w:ind w:left="2160" w:hanging="360"/>
      </w:pPr>
      <w:rPr>
        <w:rFonts w:ascii="Wingdings" w:hAnsi="Wingdings" w:hint="default"/>
      </w:rPr>
    </w:lvl>
    <w:lvl w:ilvl="3" w:tplc="C7FA78D2">
      <w:start w:val="1"/>
      <w:numFmt w:val="bullet"/>
      <w:lvlText w:val=""/>
      <w:lvlJc w:val="left"/>
      <w:pPr>
        <w:ind w:left="2880" w:hanging="360"/>
      </w:pPr>
      <w:rPr>
        <w:rFonts w:ascii="Symbol" w:hAnsi="Symbol" w:hint="default"/>
      </w:rPr>
    </w:lvl>
    <w:lvl w:ilvl="4" w:tplc="A712F2DA">
      <w:start w:val="1"/>
      <w:numFmt w:val="bullet"/>
      <w:lvlText w:val="o"/>
      <w:lvlJc w:val="left"/>
      <w:pPr>
        <w:ind w:left="3600" w:hanging="360"/>
      </w:pPr>
      <w:rPr>
        <w:rFonts w:ascii="Courier New" w:hAnsi="Courier New" w:hint="default"/>
      </w:rPr>
    </w:lvl>
    <w:lvl w:ilvl="5" w:tplc="5D5CE512">
      <w:start w:val="1"/>
      <w:numFmt w:val="bullet"/>
      <w:lvlText w:val=""/>
      <w:lvlJc w:val="left"/>
      <w:pPr>
        <w:ind w:left="4320" w:hanging="360"/>
      </w:pPr>
      <w:rPr>
        <w:rFonts w:ascii="Wingdings" w:hAnsi="Wingdings" w:hint="default"/>
      </w:rPr>
    </w:lvl>
    <w:lvl w:ilvl="6" w:tplc="70E0E014">
      <w:start w:val="1"/>
      <w:numFmt w:val="bullet"/>
      <w:lvlText w:val=""/>
      <w:lvlJc w:val="left"/>
      <w:pPr>
        <w:ind w:left="5040" w:hanging="360"/>
      </w:pPr>
      <w:rPr>
        <w:rFonts w:ascii="Symbol" w:hAnsi="Symbol" w:hint="default"/>
      </w:rPr>
    </w:lvl>
    <w:lvl w:ilvl="7" w:tplc="DC10081E">
      <w:start w:val="1"/>
      <w:numFmt w:val="bullet"/>
      <w:lvlText w:val="o"/>
      <w:lvlJc w:val="left"/>
      <w:pPr>
        <w:ind w:left="5760" w:hanging="360"/>
      </w:pPr>
      <w:rPr>
        <w:rFonts w:ascii="Courier New" w:hAnsi="Courier New" w:hint="default"/>
      </w:rPr>
    </w:lvl>
    <w:lvl w:ilvl="8" w:tplc="DC1EF628">
      <w:start w:val="1"/>
      <w:numFmt w:val="bullet"/>
      <w:lvlText w:val=""/>
      <w:lvlJc w:val="left"/>
      <w:pPr>
        <w:ind w:left="6480" w:hanging="360"/>
      </w:pPr>
      <w:rPr>
        <w:rFonts w:ascii="Wingdings" w:hAnsi="Wingdings" w:hint="default"/>
      </w:rPr>
    </w:lvl>
  </w:abstractNum>
  <w:abstractNum w:abstractNumId="259" w15:restartNumberingAfterBreak="0">
    <w:nsid w:val="5757531F"/>
    <w:multiLevelType w:val="hybridMultilevel"/>
    <w:tmpl w:val="FFFFFFFF"/>
    <w:lvl w:ilvl="0" w:tplc="D3CE01CC">
      <w:start w:val="7"/>
      <w:numFmt w:val="lowerRoman"/>
      <w:lvlText w:val="%1."/>
      <w:lvlJc w:val="right"/>
      <w:pPr>
        <w:ind w:left="1080" w:hanging="360"/>
      </w:pPr>
    </w:lvl>
    <w:lvl w:ilvl="1" w:tplc="2F52BBF4">
      <w:start w:val="1"/>
      <w:numFmt w:val="lowerLetter"/>
      <w:lvlText w:val="%2."/>
      <w:lvlJc w:val="left"/>
      <w:pPr>
        <w:ind w:left="1440" w:hanging="360"/>
      </w:pPr>
    </w:lvl>
    <w:lvl w:ilvl="2" w:tplc="F8F43066">
      <w:start w:val="1"/>
      <w:numFmt w:val="lowerRoman"/>
      <w:lvlText w:val="%3."/>
      <w:lvlJc w:val="right"/>
      <w:pPr>
        <w:ind w:left="2160" w:hanging="180"/>
      </w:pPr>
    </w:lvl>
    <w:lvl w:ilvl="3" w:tplc="26D299C8">
      <w:start w:val="1"/>
      <w:numFmt w:val="decimal"/>
      <w:lvlText w:val="%4."/>
      <w:lvlJc w:val="left"/>
      <w:pPr>
        <w:ind w:left="2880" w:hanging="360"/>
      </w:pPr>
    </w:lvl>
    <w:lvl w:ilvl="4" w:tplc="22800494">
      <w:start w:val="1"/>
      <w:numFmt w:val="lowerLetter"/>
      <w:lvlText w:val="%5."/>
      <w:lvlJc w:val="left"/>
      <w:pPr>
        <w:ind w:left="3600" w:hanging="360"/>
      </w:pPr>
    </w:lvl>
    <w:lvl w:ilvl="5" w:tplc="093C836C">
      <w:start w:val="1"/>
      <w:numFmt w:val="lowerRoman"/>
      <w:lvlText w:val="%6."/>
      <w:lvlJc w:val="right"/>
      <w:pPr>
        <w:ind w:left="4320" w:hanging="180"/>
      </w:pPr>
    </w:lvl>
    <w:lvl w:ilvl="6" w:tplc="60F62536">
      <w:start w:val="1"/>
      <w:numFmt w:val="decimal"/>
      <w:lvlText w:val="%7."/>
      <w:lvlJc w:val="left"/>
      <w:pPr>
        <w:ind w:left="5040" w:hanging="360"/>
      </w:pPr>
    </w:lvl>
    <w:lvl w:ilvl="7" w:tplc="CD44492A">
      <w:start w:val="1"/>
      <w:numFmt w:val="lowerLetter"/>
      <w:lvlText w:val="%8."/>
      <w:lvlJc w:val="left"/>
      <w:pPr>
        <w:ind w:left="5760" w:hanging="360"/>
      </w:pPr>
    </w:lvl>
    <w:lvl w:ilvl="8" w:tplc="31A885BE">
      <w:start w:val="1"/>
      <w:numFmt w:val="lowerRoman"/>
      <w:lvlText w:val="%9."/>
      <w:lvlJc w:val="right"/>
      <w:pPr>
        <w:ind w:left="6480" w:hanging="180"/>
      </w:pPr>
    </w:lvl>
  </w:abstractNum>
  <w:abstractNum w:abstractNumId="260" w15:restartNumberingAfterBreak="0">
    <w:nsid w:val="577DF267"/>
    <w:multiLevelType w:val="hybridMultilevel"/>
    <w:tmpl w:val="FFFFFFFF"/>
    <w:lvl w:ilvl="0" w:tplc="184A42BA">
      <w:start w:val="1"/>
      <w:numFmt w:val="bullet"/>
      <w:lvlText w:val=""/>
      <w:lvlJc w:val="left"/>
      <w:pPr>
        <w:ind w:left="720" w:hanging="360"/>
      </w:pPr>
      <w:rPr>
        <w:rFonts w:ascii="Symbol" w:hAnsi="Symbol" w:hint="default"/>
      </w:rPr>
    </w:lvl>
    <w:lvl w:ilvl="1" w:tplc="5246CFE2">
      <w:start w:val="1"/>
      <w:numFmt w:val="bullet"/>
      <w:lvlText w:val="o"/>
      <w:lvlJc w:val="left"/>
      <w:pPr>
        <w:ind w:left="1440" w:hanging="360"/>
      </w:pPr>
      <w:rPr>
        <w:rFonts w:ascii="&quot;Courier New&quot;" w:hAnsi="&quot;Courier New&quot;" w:hint="default"/>
      </w:rPr>
    </w:lvl>
    <w:lvl w:ilvl="2" w:tplc="CF626BC4">
      <w:start w:val="1"/>
      <w:numFmt w:val="bullet"/>
      <w:lvlText w:val=""/>
      <w:lvlJc w:val="left"/>
      <w:pPr>
        <w:ind w:left="2160" w:hanging="360"/>
      </w:pPr>
      <w:rPr>
        <w:rFonts w:ascii="Wingdings" w:hAnsi="Wingdings" w:hint="default"/>
      </w:rPr>
    </w:lvl>
    <w:lvl w:ilvl="3" w:tplc="B148BD2C">
      <w:start w:val="1"/>
      <w:numFmt w:val="bullet"/>
      <w:lvlText w:val=""/>
      <w:lvlJc w:val="left"/>
      <w:pPr>
        <w:ind w:left="2880" w:hanging="360"/>
      </w:pPr>
      <w:rPr>
        <w:rFonts w:ascii="Symbol" w:hAnsi="Symbol" w:hint="default"/>
      </w:rPr>
    </w:lvl>
    <w:lvl w:ilvl="4" w:tplc="DCDEC20E">
      <w:start w:val="1"/>
      <w:numFmt w:val="bullet"/>
      <w:lvlText w:val="o"/>
      <w:lvlJc w:val="left"/>
      <w:pPr>
        <w:ind w:left="3600" w:hanging="360"/>
      </w:pPr>
      <w:rPr>
        <w:rFonts w:ascii="Courier New" w:hAnsi="Courier New" w:hint="default"/>
      </w:rPr>
    </w:lvl>
    <w:lvl w:ilvl="5" w:tplc="49104984">
      <w:start w:val="1"/>
      <w:numFmt w:val="bullet"/>
      <w:lvlText w:val=""/>
      <w:lvlJc w:val="left"/>
      <w:pPr>
        <w:ind w:left="4320" w:hanging="360"/>
      </w:pPr>
      <w:rPr>
        <w:rFonts w:ascii="Wingdings" w:hAnsi="Wingdings" w:hint="default"/>
      </w:rPr>
    </w:lvl>
    <w:lvl w:ilvl="6" w:tplc="B1B4D7D6">
      <w:start w:val="1"/>
      <w:numFmt w:val="bullet"/>
      <w:lvlText w:val=""/>
      <w:lvlJc w:val="left"/>
      <w:pPr>
        <w:ind w:left="5040" w:hanging="360"/>
      </w:pPr>
      <w:rPr>
        <w:rFonts w:ascii="Symbol" w:hAnsi="Symbol" w:hint="default"/>
      </w:rPr>
    </w:lvl>
    <w:lvl w:ilvl="7" w:tplc="CD780ABE">
      <w:start w:val="1"/>
      <w:numFmt w:val="bullet"/>
      <w:lvlText w:val="o"/>
      <w:lvlJc w:val="left"/>
      <w:pPr>
        <w:ind w:left="5760" w:hanging="360"/>
      </w:pPr>
      <w:rPr>
        <w:rFonts w:ascii="Courier New" w:hAnsi="Courier New" w:hint="default"/>
      </w:rPr>
    </w:lvl>
    <w:lvl w:ilvl="8" w:tplc="7CBA8138">
      <w:start w:val="1"/>
      <w:numFmt w:val="bullet"/>
      <w:lvlText w:val=""/>
      <w:lvlJc w:val="left"/>
      <w:pPr>
        <w:ind w:left="6480" w:hanging="360"/>
      </w:pPr>
      <w:rPr>
        <w:rFonts w:ascii="Wingdings" w:hAnsi="Wingdings" w:hint="default"/>
      </w:rPr>
    </w:lvl>
  </w:abstractNum>
  <w:abstractNum w:abstractNumId="261" w15:restartNumberingAfterBreak="0">
    <w:nsid w:val="57CFA851"/>
    <w:multiLevelType w:val="hybridMultilevel"/>
    <w:tmpl w:val="FFFFFFFF"/>
    <w:lvl w:ilvl="0" w:tplc="A63E49A4">
      <w:start w:val="7"/>
      <w:numFmt w:val="lowerRoman"/>
      <w:lvlText w:val="%1."/>
      <w:lvlJc w:val="right"/>
      <w:pPr>
        <w:ind w:left="1080" w:hanging="360"/>
      </w:pPr>
    </w:lvl>
    <w:lvl w:ilvl="1" w:tplc="86782962">
      <w:start w:val="1"/>
      <w:numFmt w:val="lowerLetter"/>
      <w:lvlText w:val="%2."/>
      <w:lvlJc w:val="left"/>
      <w:pPr>
        <w:ind w:left="1440" w:hanging="360"/>
      </w:pPr>
    </w:lvl>
    <w:lvl w:ilvl="2" w:tplc="0DA6EDA0">
      <w:start w:val="1"/>
      <w:numFmt w:val="lowerRoman"/>
      <w:lvlText w:val="%3."/>
      <w:lvlJc w:val="right"/>
      <w:pPr>
        <w:ind w:left="2160" w:hanging="180"/>
      </w:pPr>
    </w:lvl>
    <w:lvl w:ilvl="3" w:tplc="D960FB86">
      <w:start w:val="1"/>
      <w:numFmt w:val="decimal"/>
      <w:lvlText w:val="%4."/>
      <w:lvlJc w:val="left"/>
      <w:pPr>
        <w:ind w:left="2880" w:hanging="360"/>
      </w:pPr>
    </w:lvl>
    <w:lvl w:ilvl="4" w:tplc="06E49708">
      <w:start w:val="1"/>
      <w:numFmt w:val="lowerLetter"/>
      <w:lvlText w:val="%5."/>
      <w:lvlJc w:val="left"/>
      <w:pPr>
        <w:ind w:left="3600" w:hanging="360"/>
      </w:pPr>
    </w:lvl>
    <w:lvl w:ilvl="5" w:tplc="A42A5600">
      <w:start w:val="1"/>
      <w:numFmt w:val="lowerRoman"/>
      <w:lvlText w:val="%6."/>
      <w:lvlJc w:val="right"/>
      <w:pPr>
        <w:ind w:left="4320" w:hanging="180"/>
      </w:pPr>
    </w:lvl>
    <w:lvl w:ilvl="6" w:tplc="992EF45A">
      <w:start w:val="1"/>
      <w:numFmt w:val="decimal"/>
      <w:lvlText w:val="%7."/>
      <w:lvlJc w:val="left"/>
      <w:pPr>
        <w:ind w:left="5040" w:hanging="360"/>
      </w:pPr>
    </w:lvl>
    <w:lvl w:ilvl="7" w:tplc="ACE2F194">
      <w:start w:val="1"/>
      <w:numFmt w:val="lowerLetter"/>
      <w:lvlText w:val="%8."/>
      <w:lvlJc w:val="left"/>
      <w:pPr>
        <w:ind w:left="5760" w:hanging="360"/>
      </w:pPr>
    </w:lvl>
    <w:lvl w:ilvl="8" w:tplc="41CC8A8A">
      <w:start w:val="1"/>
      <w:numFmt w:val="lowerRoman"/>
      <w:lvlText w:val="%9."/>
      <w:lvlJc w:val="right"/>
      <w:pPr>
        <w:ind w:left="6480" w:hanging="180"/>
      </w:pPr>
    </w:lvl>
  </w:abstractNum>
  <w:abstractNum w:abstractNumId="262" w15:restartNumberingAfterBreak="0">
    <w:nsid w:val="5883F25B"/>
    <w:multiLevelType w:val="hybridMultilevel"/>
    <w:tmpl w:val="FFFFFFFF"/>
    <w:lvl w:ilvl="0" w:tplc="5AAE2FD2">
      <w:start w:val="1"/>
      <w:numFmt w:val="bullet"/>
      <w:lvlText w:val=""/>
      <w:lvlJc w:val="left"/>
      <w:pPr>
        <w:ind w:left="720" w:hanging="360"/>
      </w:pPr>
      <w:rPr>
        <w:rFonts w:ascii="Symbol" w:hAnsi="Symbol" w:hint="default"/>
      </w:rPr>
    </w:lvl>
    <w:lvl w:ilvl="1" w:tplc="F9724B8C">
      <w:start w:val="1"/>
      <w:numFmt w:val="bullet"/>
      <w:lvlText w:val="o"/>
      <w:lvlJc w:val="left"/>
      <w:pPr>
        <w:ind w:left="1440" w:hanging="360"/>
      </w:pPr>
      <w:rPr>
        <w:rFonts w:ascii="Courier New" w:hAnsi="Courier New" w:hint="default"/>
      </w:rPr>
    </w:lvl>
    <w:lvl w:ilvl="2" w:tplc="93EE76DE">
      <w:start w:val="1"/>
      <w:numFmt w:val="bullet"/>
      <w:lvlText w:val=""/>
      <w:lvlJc w:val="left"/>
      <w:pPr>
        <w:ind w:left="2160" w:hanging="360"/>
      </w:pPr>
      <w:rPr>
        <w:rFonts w:ascii="Wingdings" w:hAnsi="Wingdings" w:hint="default"/>
      </w:rPr>
    </w:lvl>
    <w:lvl w:ilvl="3" w:tplc="84309D70">
      <w:start w:val="1"/>
      <w:numFmt w:val="bullet"/>
      <w:lvlText w:val=""/>
      <w:lvlJc w:val="left"/>
      <w:pPr>
        <w:ind w:left="2880" w:hanging="360"/>
      </w:pPr>
      <w:rPr>
        <w:rFonts w:ascii="Symbol" w:hAnsi="Symbol" w:hint="default"/>
      </w:rPr>
    </w:lvl>
    <w:lvl w:ilvl="4" w:tplc="48B8515A">
      <w:start w:val="1"/>
      <w:numFmt w:val="bullet"/>
      <w:lvlText w:val="o"/>
      <w:lvlJc w:val="left"/>
      <w:pPr>
        <w:ind w:left="3600" w:hanging="360"/>
      </w:pPr>
      <w:rPr>
        <w:rFonts w:ascii="Courier New" w:hAnsi="Courier New" w:hint="default"/>
      </w:rPr>
    </w:lvl>
    <w:lvl w:ilvl="5" w:tplc="5544A7E8">
      <w:start w:val="1"/>
      <w:numFmt w:val="bullet"/>
      <w:lvlText w:val=""/>
      <w:lvlJc w:val="left"/>
      <w:pPr>
        <w:ind w:left="4320" w:hanging="360"/>
      </w:pPr>
      <w:rPr>
        <w:rFonts w:ascii="Wingdings" w:hAnsi="Wingdings" w:hint="default"/>
      </w:rPr>
    </w:lvl>
    <w:lvl w:ilvl="6" w:tplc="179C3AA4">
      <w:start w:val="1"/>
      <w:numFmt w:val="bullet"/>
      <w:lvlText w:val=""/>
      <w:lvlJc w:val="left"/>
      <w:pPr>
        <w:ind w:left="5040" w:hanging="360"/>
      </w:pPr>
      <w:rPr>
        <w:rFonts w:ascii="Symbol" w:hAnsi="Symbol" w:hint="default"/>
      </w:rPr>
    </w:lvl>
    <w:lvl w:ilvl="7" w:tplc="1116BCC0">
      <w:start w:val="1"/>
      <w:numFmt w:val="bullet"/>
      <w:lvlText w:val="o"/>
      <w:lvlJc w:val="left"/>
      <w:pPr>
        <w:ind w:left="5760" w:hanging="360"/>
      </w:pPr>
      <w:rPr>
        <w:rFonts w:ascii="Courier New" w:hAnsi="Courier New" w:hint="default"/>
      </w:rPr>
    </w:lvl>
    <w:lvl w:ilvl="8" w:tplc="C68C998A">
      <w:start w:val="1"/>
      <w:numFmt w:val="bullet"/>
      <w:lvlText w:val=""/>
      <w:lvlJc w:val="left"/>
      <w:pPr>
        <w:ind w:left="6480" w:hanging="360"/>
      </w:pPr>
      <w:rPr>
        <w:rFonts w:ascii="Wingdings" w:hAnsi="Wingdings" w:hint="default"/>
      </w:rPr>
    </w:lvl>
  </w:abstractNum>
  <w:abstractNum w:abstractNumId="263" w15:restartNumberingAfterBreak="0">
    <w:nsid w:val="59215FDB"/>
    <w:multiLevelType w:val="hybridMultilevel"/>
    <w:tmpl w:val="FAD6A38A"/>
    <w:lvl w:ilvl="0" w:tplc="5C12B38A">
      <w:start w:val="1"/>
      <w:numFmt w:val="decimal"/>
      <w:lvlText w:val="%1."/>
      <w:lvlJc w:val="left"/>
      <w:pPr>
        <w:ind w:left="720" w:hanging="360"/>
      </w:pPr>
    </w:lvl>
    <w:lvl w:ilvl="1" w:tplc="6D1AF9AE">
      <w:start w:val="1"/>
      <w:numFmt w:val="lowerLetter"/>
      <w:lvlText w:val="%2."/>
      <w:lvlJc w:val="left"/>
      <w:pPr>
        <w:ind w:left="1440" w:hanging="360"/>
      </w:pPr>
    </w:lvl>
    <w:lvl w:ilvl="2" w:tplc="4B462ADC">
      <w:start w:val="1"/>
      <w:numFmt w:val="lowerRoman"/>
      <w:lvlText w:val="%3."/>
      <w:lvlJc w:val="right"/>
      <w:pPr>
        <w:ind w:left="2160" w:hanging="180"/>
      </w:pPr>
    </w:lvl>
    <w:lvl w:ilvl="3" w:tplc="B9DC9E86">
      <w:start w:val="1"/>
      <w:numFmt w:val="decimal"/>
      <w:lvlText w:val="%4."/>
      <w:lvlJc w:val="left"/>
      <w:pPr>
        <w:ind w:left="2880" w:hanging="360"/>
      </w:pPr>
    </w:lvl>
    <w:lvl w:ilvl="4" w:tplc="EBAA63DA">
      <w:start w:val="1"/>
      <w:numFmt w:val="lowerLetter"/>
      <w:lvlText w:val="%5."/>
      <w:lvlJc w:val="left"/>
      <w:pPr>
        <w:ind w:left="3600" w:hanging="360"/>
      </w:pPr>
    </w:lvl>
    <w:lvl w:ilvl="5" w:tplc="FE9661E4">
      <w:start w:val="1"/>
      <w:numFmt w:val="lowerRoman"/>
      <w:lvlText w:val="%6."/>
      <w:lvlJc w:val="right"/>
      <w:pPr>
        <w:ind w:left="4320" w:hanging="180"/>
      </w:pPr>
    </w:lvl>
    <w:lvl w:ilvl="6" w:tplc="05329FBE">
      <w:start w:val="1"/>
      <w:numFmt w:val="decimal"/>
      <w:lvlText w:val="%7."/>
      <w:lvlJc w:val="left"/>
      <w:pPr>
        <w:ind w:left="5040" w:hanging="360"/>
      </w:pPr>
    </w:lvl>
    <w:lvl w:ilvl="7" w:tplc="B058C48A">
      <w:start w:val="1"/>
      <w:numFmt w:val="lowerLetter"/>
      <w:lvlText w:val="%8."/>
      <w:lvlJc w:val="left"/>
      <w:pPr>
        <w:ind w:left="5760" w:hanging="360"/>
      </w:pPr>
    </w:lvl>
    <w:lvl w:ilvl="8" w:tplc="6FC2EDAC">
      <w:start w:val="1"/>
      <w:numFmt w:val="lowerRoman"/>
      <w:lvlText w:val="%9."/>
      <w:lvlJc w:val="right"/>
      <w:pPr>
        <w:ind w:left="6480" w:hanging="180"/>
      </w:pPr>
    </w:lvl>
  </w:abstractNum>
  <w:abstractNum w:abstractNumId="264" w15:restartNumberingAfterBreak="0">
    <w:nsid w:val="5928B343"/>
    <w:multiLevelType w:val="hybridMultilevel"/>
    <w:tmpl w:val="B6D2047E"/>
    <w:lvl w:ilvl="0" w:tplc="A120C2CC">
      <w:start w:val="1"/>
      <w:numFmt w:val="lowerLetter"/>
      <w:lvlText w:val="%1."/>
      <w:lvlJc w:val="left"/>
      <w:pPr>
        <w:ind w:left="720" w:hanging="360"/>
      </w:pPr>
      <w:rPr>
        <w:rFonts w:ascii="Times New Roman" w:hAnsi="Times New Roman" w:cs="Times New Roman" w:hint="default"/>
        <w:sz w:val="24"/>
        <w:szCs w:val="24"/>
      </w:rPr>
    </w:lvl>
    <w:lvl w:ilvl="1" w:tplc="FA485C10">
      <w:start w:val="1"/>
      <w:numFmt w:val="lowerLetter"/>
      <w:lvlText w:val="%2."/>
      <w:lvlJc w:val="left"/>
      <w:pPr>
        <w:ind w:left="1440" w:hanging="360"/>
      </w:pPr>
    </w:lvl>
    <w:lvl w:ilvl="2" w:tplc="374008F6">
      <w:start w:val="1"/>
      <w:numFmt w:val="lowerRoman"/>
      <w:lvlText w:val="%3."/>
      <w:lvlJc w:val="right"/>
      <w:pPr>
        <w:ind w:left="2160" w:hanging="180"/>
      </w:pPr>
    </w:lvl>
    <w:lvl w:ilvl="3" w:tplc="169CC654">
      <w:start w:val="1"/>
      <w:numFmt w:val="decimal"/>
      <w:lvlText w:val="%4."/>
      <w:lvlJc w:val="left"/>
      <w:pPr>
        <w:ind w:left="2880" w:hanging="360"/>
      </w:pPr>
    </w:lvl>
    <w:lvl w:ilvl="4" w:tplc="1218A7F6">
      <w:start w:val="1"/>
      <w:numFmt w:val="lowerLetter"/>
      <w:lvlText w:val="%5."/>
      <w:lvlJc w:val="left"/>
      <w:pPr>
        <w:ind w:left="3600" w:hanging="360"/>
      </w:pPr>
    </w:lvl>
    <w:lvl w:ilvl="5" w:tplc="27069814">
      <w:start w:val="1"/>
      <w:numFmt w:val="lowerRoman"/>
      <w:lvlText w:val="%6."/>
      <w:lvlJc w:val="right"/>
      <w:pPr>
        <w:ind w:left="4320" w:hanging="180"/>
      </w:pPr>
    </w:lvl>
    <w:lvl w:ilvl="6" w:tplc="BDE81146">
      <w:start w:val="1"/>
      <w:numFmt w:val="decimal"/>
      <w:lvlText w:val="%7."/>
      <w:lvlJc w:val="left"/>
      <w:pPr>
        <w:ind w:left="5040" w:hanging="360"/>
      </w:pPr>
    </w:lvl>
    <w:lvl w:ilvl="7" w:tplc="2220A1B2">
      <w:start w:val="1"/>
      <w:numFmt w:val="lowerLetter"/>
      <w:lvlText w:val="%8."/>
      <w:lvlJc w:val="left"/>
      <w:pPr>
        <w:ind w:left="5760" w:hanging="360"/>
      </w:pPr>
    </w:lvl>
    <w:lvl w:ilvl="8" w:tplc="C5F4D83C">
      <w:start w:val="1"/>
      <w:numFmt w:val="lowerRoman"/>
      <w:lvlText w:val="%9."/>
      <w:lvlJc w:val="right"/>
      <w:pPr>
        <w:ind w:left="6480" w:hanging="180"/>
      </w:pPr>
    </w:lvl>
  </w:abstractNum>
  <w:abstractNum w:abstractNumId="265" w15:restartNumberingAfterBreak="0">
    <w:nsid w:val="5A810A42"/>
    <w:multiLevelType w:val="hybridMultilevel"/>
    <w:tmpl w:val="FFFFFFFF"/>
    <w:lvl w:ilvl="0" w:tplc="D9E25F4E">
      <w:start w:val="1"/>
      <w:numFmt w:val="lowerLetter"/>
      <w:lvlText w:val="%1."/>
      <w:lvlJc w:val="left"/>
      <w:pPr>
        <w:ind w:left="720" w:hanging="360"/>
      </w:pPr>
    </w:lvl>
    <w:lvl w:ilvl="1" w:tplc="A86CE628">
      <w:start w:val="1"/>
      <w:numFmt w:val="lowerLetter"/>
      <w:lvlText w:val="%2."/>
      <w:lvlJc w:val="left"/>
      <w:pPr>
        <w:ind w:left="1440" w:hanging="360"/>
      </w:pPr>
    </w:lvl>
    <w:lvl w:ilvl="2" w:tplc="42CCEF40">
      <w:start w:val="1"/>
      <w:numFmt w:val="lowerRoman"/>
      <w:lvlText w:val="%3."/>
      <w:lvlJc w:val="right"/>
      <w:pPr>
        <w:ind w:left="2160" w:hanging="180"/>
      </w:pPr>
    </w:lvl>
    <w:lvl w:ilvl="3" w:tplc="F852F962">
      <w:start w:val="1"/>
      <w:numFmt w:val="decimal"/>
      <w:lvlText w:val="%4."/>
      <w:lvlJc w:val="left"/>
      <w:pPr>
        <w:ind w:left="2880" w:hanging="360"/>
      </w:pPr>
    </w:lvl>
    <w:lvl w:ilvl="4" w:tplc="C158D81C">
      <w:start w:val="1"/>
      <w:numFmt w:val="lowerLetter"/>
      <w:lvlText w:val="%5."/>
      <w:lvlJc w:val="left"/>
      <w:pPr>
        <w:ind w:left="3600" w:hanging="360"/>
      </w:pPr>
    </w:lvl>
    <w:lvl w:ilvl="5" w:tplc="58FE8658">
      <w:start w:val="1"/>
      <w:numFmt w:val="lowerRoman"/>
      <w:lvlText w:val="%6."/>
      <w:lvlJc w:val="right"/>
      <w:pPr>
        <w:ind w:left="4320" w:hanging="180"/>
      </w:pPr>
    </w:lvl>
    <w:lvl w:ilvl="6" w:tplc="63D687B0">
      <w:start w:val="1"/>
      <w:numFmt w:val="decimal"/>
      <w:lvlText w:val="%7."/>
      <w:lvlJc w:val="left"/>
      <w:pPr>
        <w:ind w:left="5040" w:hanging="360"/>
      </w:pPr>
    </w:lvl>
    <w:lvl w:ilvl="7" w:tplc="FC18B1D2">
      <w:start w:val="1"/>
      <w:numFmt w:val="lowerLetter"/>
      <w:lvlText w:val="%8."/>
      <w:lvlJc w:val="left"/>
      <w:pPr>
        <w:ind w:left="5760" w:hanging="360"/>
      </w:pPr>
    </w:lvl>
    <w:lvl w:ilvl="8" w:tplc="72B4D2AA">
      <w:start w:val="1"/>
      <w:numFmt w:val="lowerRoman"/>
      <w:lvlText w:val="%9."/>
      <w:lvlJc w:val="right"/>
      <w:pPr>
        <w:ind w:left="6480" w:hanging="180"/>
      </w:pPr>
    </w:lvl>
  </w:abstractNum>
  <w:abstractNum w:abstractNumId="26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7" w15:restartNumberingAfterBreak="0">
    <w:nsid w:val="5B4534F9"/>
    <w:multiLevelType w:val="hybridMultilevel"/>
    <w:tmpl w:val="FFFFFFFF"/>
    <w:lvl w:ilvl="0" w:tplc="63D43A3E">
      <w:start w:val="1"/>
      <w:numFmt w:val="lowerLetter"/>
      <w:lvlText w:val="%1)"/>
      <w:lvlJc w:val="left"/>
      <w:pPr>
        <w:ind w:left="720" w:hanging="360"/>
      </w:pPr>
    </w:lvl>
    <w:lvl w:ilvl="1" w:tplc="C7D84186">
      <w:start w:val="1"/>
      <w:numFmt w:val="lowerLetter"/>
      <w:lvlText w:val="%2."/>
      <w:lvlJc w:val="left"/>
      <w:pPr>
        <w:ind w:left="1440" w:hanging="360"/>
      </w:pPr>
    </w:lvl>
    <w:lvl w:ilvl="2" w:tplc="257A24CA">
      <w:start w:val="1"/>
      <w:numFmt w:val="lowerRoman"/>
      <w:lvlText w:val="%3."/>
      <w:lvlJc w:val="right"/>
      <w:pPr>
        <w:ind w:left="2160" w:hanging="180"/>
      </w:pPr>
    </w:lvl>
    <w:lvl w:ilvl="3" w:tplc="D0DC3A28">
      <w:start w:val="1"/>
      <w:numFmt w:val="decimal"/>
      <w:lvlText w:val="%4."/>
      <w:lvlJc w:val="left"/>
      <w:pPr>
        <w:ind w:left="2880" w:hanging="360"/>
      </w:pPr>
    </w:lvl>
    <w:lvl w:ilvl="4" w:tplc="987417CA">
      <w:start w:val="1"/>
      <w:numFmt w:val="lowerLetter"/>
      <w:lvlText w:val="%5."/>
      <w:lvlJc w:val="left"/>
      <w:pPr>
        <w:ind w:left="3600" w:hanging="360"/>
      </w:pPr>
    </w:lvl>
    <w:lvl w:ilvl="5" w:tplc="12467EF2">
      <w:start w:val="1"/>
      <w:numFmt w:val="lowerRoman"/>
      <w:lvlText w:val="%6."/>
      <w:lvlJc w:val="right"/>
      <w:pPr>
        <w:ind w:left="4320" w:hanging="180"/>
      </w:pPr>
    </w:lvl>
    <w:lvl w:ilvl="6" w:tplc="8ABE2B1C">
      <w:start w:val="1"/>
      <w:numFmt w:val="decimal"/>
      <w:lvlText w:val="%7."/>
      <w:lvlJc w:val="left"/>
      <w:pPr>
        <w:ind w:left="5040" w:hanging="360"/>
      </w:pPr>
    </w:lvl>
    <w:lvl w:ilvl="7" w:tplc="593CAFA4">
      <w:start w:val="1"/>
      <w:numFmt w:val="lowerLetter"/>
      <w:lvlText w:val="%8."/>
      <w:lvlJc w:val="left"/>
      <w:pPr>
        <w:ind w:left="5760" w:hanging="360"/>
      </w:pPr>
    </w:lvl>
    <w:lvl w:ilvl="8" w:tplc="925658AA">
      <w:start w:val="1"/>
      <w:numFmt w:val="lowerRoman"/>
      <w:lvlText w:val="%9."/>
      <w:lvlJc w:val="right"/>
      <w:pPr>
        <w:ind w:left="6480" w:hanging="180"/>
      </w:pPr>
    </w:lvl>
  </w:abstractNum>
  <w:abstractNum w:abstractNumId="268" w15:restartNumberingAfterBreak="0">
    <w:nsid w:val="5BB56BF9"/>
    <w:multiLevelType w:val="hybridMultilevel"/>
    <w:tmpl w:val="34F4C30C"/>
    <w:lvl w:ilvl="0" w:tplc="3E50CE14">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0" w15:restartNumberingAfterBreak="0">
    <w:nsid w:val="5C4FB70A"/>
    <w:multiLevelType w:val="hybridMultilevel"/>
    <w:tmpl w:val="37CE42DA"/>
    <w:lvl w:ilvl="0" w:tplc="2CB4600A">
      <w:start w:val="1"/>
      <w:numFmt w:val="lowerRoman"/>
      <w:lvlText w:val="%1."/>
      <w:lvlJc w:val="right"/>
      <w:pPr>
        <w:ind w:left="1440" w:hanging="360"/>
      </w:pPr>
      <w:rPr>
        <w:rFonts w:ascii="Times New Roman" w:hAnsi="Times New Roman" w:cs="Times New Roman" w:hint="default"/>
        <w:sz w:val="24"/>
        <w:szCs w:val="28"/>
      </w:rPr>
    </w:lvl>
    <w:lvl w:ilvl="1" w:tplc="4328A2E6">
      <w:start w:val="1"/>
      <w:numFmt w:val="lowerLetter"/>
      <w:lvlText w:val="%2."/>
      <w:lvlJc w:val="left"/>
      <w:pPr>
        <w:ind w:left="1800" w:hanging="360"/>
      </w:pPr>
    </w:lvl>
    <w:lvl w:ilvl="2" w:tplc="D76E444A">
      <w:start w:val="1"/>
      <w:numFmt w:val="lowerRoman"/>
      <w:lvlText w:val="%3."/>
      <w:lvlJc w:val="right"/>
      <w:pPr>
        <w:ind w:left="2520" w:hanging="180"/>
      </w:pPr>
    </w:lvl>
    <w:lvl w:ilvl="3" w:tplc="5A8E6422">
      <w:start w:val="1"/>
      <w:numFmt w:val="decimal"/>
      <w:lvlText w:val="%4."/>
      <w:lvlJc w:val="left"/>
      <w:pPr>
        <w:ind w:left="3240" w:hanging="360"/>
      </w:pPr>
    </w:lvl>
    <w:lvl w:ilvl="4" w:tplc="E73EBEC4">
      <w:start w:val="1"/>
      <w:numFmt w:val="lowerLetter"/>
      <w:lvlText w:val="%5."/>
      <w:lvlJc w:val="left"/>
      <w:pPr>
        <w:ind w:left="3960" w:hanging="360"/>
      </w:pPr>
    </w:lvl>
    <w:lvl w:ilvl="5" w:tplc="EFFACFC6">
      <w:start w:val="1"/>
      <w:numFmt w:val="lowerRoman"/>
      <w:lvlText w:val="%6."/>
      <w:lvlJc w:val="right"/>
      <w:pPr>
        <w:ind w:left="4680" w:hanging="180"/>
      </w:pPr>
    </w:lvl>
    <w:lvl w:ilvl="6" w:tplc="60284686">
      <w:start w:val="1"/>
      <w:numFmt w:val="decimal"/>
      <w:lvlText w:val="%7."/>
      <w:lvlJc w:val="left"/>
      <w:pPr>
        <w:ind w:left="5400" w:hanging="360"/>
      </w:pPr>
    </w:lvl>
    <w:lvl w:ilvl="7" w:tplc="D14AAB8C">
      <w:start w:val="1"/>
      <w:numFmt w:val="lowerLetter"/>
      <w:lvlText w:val="%8."/>
      <w:lvlJc w:val="left"/>
      <w:pPr>
        <w:ind w:left="6120" w:hanging="360"/>
      </w:pPr>
    </w:lvl>
    <w:lvl w:ilvl="8" w:tplc="B85A035C">
      <w:start w:val="1"/>
      <w:numFmt w:val="lowerRoman"/>
      <w:lvlText w:val="%9."/>
      <w:lvlJc w:val="right"/>
      <w:pPr>
        <w:ind w:left="6840" w:hanging="180"/>
      </w:pPr>
    </w:lvl>
  </w:abstractNum>
  <w:abstractNum w:abstractNumId="271" w15:restartNumberingAfterBreak="0">
    <w:nsid w:val="5C53A6D9"/>
    <w:multiLevelType w:val="hybridMultilevel"/>
    <w:tmpl w:val="FFFFFFFF"/>
    <w:lvl w:ilvl="0" w:tplc="55C4995E">
      <w:start w:val="1"/>
      <w:numFmt w:val="lowerLetter"/>
      <w:lvlText w:val="%1."/>
      <w:lvlJc w:val="left"/>
      <w:pPr>
        <w:ind w:left="720" w:hanging="360"/>
      </w:pPr>
    </w:lvl>
    <w:lvl w:ilvl="1" w:tplc="47A857BA">
      <w:start w:val="1"/>
      <w:numFmt w:val="lowerLetter"/>
      <w:lvlText w:val="%2."/>
      <w:lvlJc w:val="left"/>
      <w:pPr>
        <w:ind w:left="1440" w:hanging="360"/>
      </w:pPr>
    </w:lvl>
    <w:lvl w:ilvl="2" w:tplc="D39ECDD2">
      <w:start w:val="1"/>
      <w:numFmt w:val="lowerRoman"/>
      <w:lvlText w:val="%3."/>
      <w:lvlJc w:val="right"/>
      <w:pPr>
        <w:ind w:left="2160" w:hanging="180"/>
      </w:pPr>
    </w:lvl>
    <w:lvl w:ilvl="3" w:tplc="A1DAA7A8">
      <w:start w:val="1"/>
      <w:numFmt w:val="decimal"/>
      <w:lvlText w:val="%4."/>
      <w:lvlJc w:val="left"/>
      <w:pPr>
        <w:ind w:left="2880" w:hanging="360"/>
      </w:pPr>
    </w:lvl>
    <w:lvl w:ilvl="4" w:tplc="89B6B346">
      <w:start w:val="1"/>
      <w:numFmt w:val="lowerLetter"/>
      <w:lvlText w:val="%5."/>
      <w:lvlJc w:val="left"/>
      <w:pPr>
        <w:ind w:left="3600" w:hanging="360"/>
      </w:pPr>
    </w:lvl>
    <w:lvl w:ilvl="5" w:tplc="37701FF2">
      <w:start w:val="1"/>
      <w:numFmt w:val="lowerRoman"/>
      <w:lvlText w:val="%6."/>
      <w:lvlJc w:val="right"/>
      <w:pPr>
        <w:ind w:left="4320" w:hanging="180"/>
      </w:pPr>
    </w:lvl>
    <w:lvl w:ilvl="6" w:tplc="F022C776">
      <w:start w:val="1"/>
      <w:numFmt w:val="decimal"/>
      <w:lvlText w:val="%7."/>
      <w:lvlJc w:val="left"/>
      <w:pPr>
        <w:ind w:left="5040" w:hanging="360"/>
      </w:pPr>
    </w:lvl>
    <w:lvl w:ilvl="7" w:tplc="AF2A7A0C">
      <w:start w:val="1"/>
      <w:numFmt w:val="lowerLetter"/>
      <w:lvlText w:val="%8."/>
      <w:lvlJc w:val="left"/>
      <w:pPr>
        <w:ind w:left="5760" w:hanging="360"/>
      </w:pPr>
    </w:lvl>
    <w:lvl w:ilvl="8" w:tplc="992A4740">
      <w:start w:val="1"/>
      <w:numFmt w:val="lowerRoman"/>
      <w:lvlText w:val="%9."/>
      <w:lvlJc w:val="right"/>
      <w:pPr>
        <w:ind w:left="6480" w:hanging="180"/>
      </w:pPr>
    </w:lvl>
  </w:abstractNum>
  <w:abstractNum w:abstractNumId="272" w15:restartNumberingAfterBreak="0">
    <w:nsid w:val="5C6F2341"/>
    <w:multiLevelType w:val="hybridMultilevel"/>
    <w:tmpl w:val="FFFFFFFF"/>
    <w:lvl w:ilvl="0" w:tplc="1BF264FC">
      <w:start w:val="1"/>
      <w:numFmt w:val="bullet"/>
      <w:lvlText w:val="-"/>
      <w:lvlJc w:val="left"/>
      <w:pPr>
        <w:ind w:left="1080" w:hanging="360"/>
      </w:pPr>
      <w:rPr>
        <w:rFonts w:ascii="MS Gothic" w:hAnsi="MS Gothic" w:hint="default"/>
      </w:rPr>
    </w:lvl>
    <w:lvl w:ilvl="1" w:tplc="849A8F9E">
      <w:start w:val="1"/>
      <w:numFmt w:val="bullet"/>
      <w:lvlText w:val="o"/>
      <w:lvlJc w:val="left"/>
      <w:pPr>
        <w:ind w:left="1440" w:hanging="360"/>
      </w:pPr>
      <w:rPr>
        <w:rFonts w:ascii="Courier New" w:hAnsi="Courier New" w:hint="default"/>
      </w:rPr>
    </w:lvl>
    <w:lvl w:ilvl="2" w:tplc="49B62036">
      <w:start w:val="1"/>
      <w:numFmt w:val="bullet"/>
      <w:lvlText w:val=""/>
      <w:lvlJc w:val="left"/>
      <w:pPr>
        <w:ind w:left="2160" w:hanging="360"/>
      </w:pPr>
      <w:rPr>
        <w:rFonts w:ascii="Wingdings" w:hAnsi="Wingdings" w:hint="default"/>
      </w:rPr>
    </w:lvl>
    <w:lvl w:ilvl="3" w:tplc="2A264EBA">
      <w:start w:val="1"/>
      <w:numFmt w:val="bullet"/>
      <w:lvlText w:val=""/>
      <w:lvlJc w:val="left"/>
      <w:pPr>
        <w:ind w:left="2880" w:hanging="360"/>
      </w:pPr>
      <w:rPr>
        <w:rFonts w:ascii="Symbol" w:hAnsi="Symbol" w:hint="default"/>
      </w:rPr>
    </w:lvl>
    <w:lvl w:ilvl="4" w:tplc="BEF66FA4">
      <w:start w:val="1"/>
      <w:numFmt w:val="bullet"/>
      <w:lvlText w:val="o"/>
      <w:lvlJc w:val="left"/>
      <w:pPr>
        <w:ind w:left="3600" w:hanging="360"/>
      </w:pPr>
      <w:rPr>
        <w:rFonts w:ascii="Courier New" w:hAnsi="Courier New" w:hint="default"/>
      </w:rPr>
    </w:lvl>
    <w:lvl w:ilvl="5" w:tplc="40381A80">
      <w:start w:val="1"/>
      <w:numFmt w:val="bullet"/>
      <w:lvlText w:val=""/>
      <w:lvlJc w:val="left"/>
      <w:pPr>
        <w:ind w:left="4320" w:hanging="360"/>
      </w:pPr>
      <w:rPr>
        <w:rFonts w:ascii="Wingdings" w:hAnsi="Wingdings" w:hint="default"/>
      </w:rPr>
    </w:lvl>
    <w:lvl w:ilvl="6" w:tplc="22DE1E84">
      <w:start w:val="1"/>
      <w:numFmt w:val="bullet"/>
      <w:lvlText w:val=""/>
      <w:lvlJc w:val="left"/>
      <w:pPr>
        <w:ind w:left="5040" w:hanging="360"/>
      </w:pPr>
      <w:rPr>
        <w:rFonts w:ascii="Symbol" w:hAnsi="Symbol" w:hint="default"/>
      </w:rPr>
    </w:lvl>
    <w:lvl w:ilvl="7" w:tplc="2A08CCD4">
      <w:start w:val="1"/>
      <w:numFmt w:val="bullet"/>
      <w:lvlText w:val="o"/>
      <w:lvlJc w:val="left"/>
      <w:pPr>
        <w:ind w:left="5760" w:hanging="360"/>
      </w:pPr>
      <w:rPr>
        <w:rFonts w:ascii="Courier New" w:hAnsi="Courier New" w:hint="default"/>
      </w:rPr>
    </w:lvl>
    <w:lvl w:ilvl="8" w:tplc="62D4E7A6">
      <w:start w:val="1"/>
      <w:numFmt w:val="bullet"/>
      <w:lvlText w:val=""/>
      <w:lvlJc w:val="left"/>
      <w:pPr>
        <w:ind w:left="6480" w:hanging="360"/>
      </w:pPr>
      <w:rPr>
        <w:rFonts w:ascii="Wingdings" w:hAnsi="Wingdings" w:hint="default"/>
      </w:rPr>
    </w:lvl>
  </w:abstractNum>
  <w:abstractNum w:abstractNumId="273" w15:restartNumberingAfterBreak="0">
    <w:nsid w:val="5C7C41A4"/>
    <w:multiLevelType w:val="hybridMultilevel"/>
    <w:tmpl w:val="ACAEFDCE"/>
    <w:lvl w:ilvl="0" w:tplc="92A2B4A6">
      <w:start w:val="1"/>
      <w:numFmt w:val="bullet"/>
      <w:lvlText w:val=""/>
      <w:lvlJc w:val="left"/>
      <w:pPr>
        <w:ind w:left="720" w:hanging="360"/>
      </w:pPr>
      <w:rPr>
        <w:rFonts w:ascii="Symbol" w:hAnsi="Symbol"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4" w15:restartNumberingAfterBreak="0">
    <w:nsid w:val="5C934CA5"/>
    <w:multiLevelType w:val="hybridMultilevel"/>
    <w:tmpl w:val="860ACD02"/>
    <w:lvl w:ilvl="0" w:tplc="FFFFFFFF">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6" w15:restartNumberingAfterBreak="0">
    <w:nsid w:val="5CD8ACAC"/>
    <w:multiLevelType w:val="hybridMultilevel"/>
    <w:tmpl w:val="FFFFFFFF"/>
    <w:lvl w:ilvl="0" w:tplc="8AF429EA">
      <w:start w:val="6"/>
      <w:numFmt w:val="lowerRoman"/>
      <w:lvlText w:val="%1."/>
      <w:lvlJc w:val="right"/>
      <w:pPr>
        <w:ind w:left="1080" w:hanging="360"/>
      </w:pPr>
    </w:lvl>
    <w:lvl w:ilvl="1" w:tplc="4D7C193C">
      <w:start w:val="1"/>
      <w:numFmt w:val="lowerLetter"/>
      <w:lvlText w:val="%2."/>
      <w:lvlJc w:val="left"/>
      <w:pPr>
        <w:ind w:left="1440" w:hanging="360"/>
      </w:pPr>
    </w:lvl>
    <w:lvl w:ilvl="2" w:tplc="656C357E">
      <w:start w:val="1"/>
      <w:numFmt w:val="lowerRoman"/>
      <w:lvlText w:val="%3."/>
      <w:lvlJc w:val="right"/>
      <w:pPr>
        <w:ind w:left="2160" w:hanging="180"/>
      </w:pPr>
    </w:lvl>
    <w:lvl w:ilvl="3" w:tplc="B33EEC2A">
      <w:start w:val="1"/>
      <w:numFmt w:val="decimal"/>
      <w:lvlText w:val="%4."/>
      <w:lvlJc w:val="left"/>
      <w:pPr>
        <w:ind w:left="2880" w:hanging="360"/>
      </w:pPr>
    </w:lvl>
    <w:lvl w:ilvl="4" w:tplc="A7DC2FF8">
      <w:start w:val="1"/>
      <w:numFmt w:val="lowerLetter"/>
      <w:lvlText w:val="%5."/>
      <w:lvlJc w:val="left"/>
      <w:pPr>
        <w:ind w:left="3600" w:hanging="360"/>
      </w:pPr>
    </w:lvl>
    <w:lvl w:ilvl="5" w:tplc="876E0E0E">
      <w:start w:val="1"/>
      <w:numFmt w:val="lowerRoman"/>
      <w:lvlText w:val="%6."/>
      <w:lvlJc w:val="right"/>
      <w:pPr>
        <w:ind w:left="4320" w:hanging="180"/>
      </w:pPr>
    </w:lvl>
    <w:lvl w:ilvl="6" w:tplc="924AC696">
      <w:start w:val="1"/>
      <w:numFmt w:val="decimal"/>
      <w:lvlText w:val="%7."/>
      <w:lvlJc w:val="left"/>
      <w:pPr>
        <w:ind w:left="5040" w:hanging="360"/>
      </w:pPr>
    </w:lvl>
    <w:lvl w:ilvl="7" w:tplc="DC72A140">
      <w:start w:val="1"/>
      <w:numFmt w:val="lowerLetter"/>
      <w:lvlText w:val="%8."/>
      <w:lvlJc w:val="left"/>
      <w:pPr>
        <w:ind w:left="5760" w:hanging="360"/>
      </w:pPr>
    </w:lvl>
    <w:lvl w:ilvl="8" w:tplc="A2E80DF4">
      <w:start w:val="1"/>
      <w:numFmt w:val="lowerRoman"/>
      <w:lvlText w:val="%9."/>
      <w:lvlJc w:val="right"/>
      <w:pPr>
        <w:ind w:left="6480" w:hanging="180"/>
      </w:pPr>
    </w:lvl>
  </w:abstractNum>
  <w:abstractNum w:abstractNumId="277" w15:restartNumberingAfterBreak="0">
    <w:nsid w:val="5D564D80"/>
    <w:multiLevelType w:val="hybridMultilevel"/>
    <w:tmpl w:val="FFFFFFFF"/>
    <w:lvl w:ilvl="0" w:tplc="D9B0CCCE">
      <w:start w:val="9"/>
      <w:numFmt w:val="decimal"/>
      <w:lvlText w:val="%1."/>
      <w:lvlJc w:val="left"/>
      <w:pPr>
        <w:ind w:left="720" w:hanging="360"/>
      </w:pPr>
    </w:lvl>
    <w:lvl w:ilvl="1" w:tplc="B8307FF8">
      <w:start w:val="1"/>
      <w:numFmt w:val="lowerLetter"/>
      <w:lvlText w:val="%2."/>
      <w:lvlJc w:val="left"/>
      <w:pPr>
        <w:ind w:left="1440" w:hanging="360"/>
      </w:pPr>
    </w:lvl>
    <w:lvl w:ilvl="2" w:tplc="E1BED1F6">
      <w:start w:val="1"/>
      <w:numFmt w:val="lowerRoman"/>
      <w:lvlText w:val="%3."/>
      <w:lvlJc w:val="right"/>
      <w:pPr>
        <w:ind w:left="2160" w:hanging="180"/>
      </w:pPr>
    </w:lvl>
    <w:lvl w:ilvl="3" w:tplc="796A7A66">
      <w:start w:val="1"/>
      <w:numFmt w:val="decimal"/>
      <w:lvlText w:val="%4."/>
      <w:lvlJc w:val="left"/>
      <w:pPr>
        <w:ind w:left="2880" w:hanging="360"/>
      </w:pPr>
    </w:lvl>
    <w:lvl w:ilvl="4" w:tplc="2054B72E">
      <w:start w:val="1"/>
      <w:numFmt w:val="lowerLetter"/>
      <w:lvlText w:val="%5."/>
      <w:lvlJc w:val="left"/>
      <w:pPr>
        <w:ind w:left="3600" w:hanging="360"/>
      </w:pPr>
    </w:lvl>
    <w:lvl w:ilvl="5" w:tplc="04F8014E">
      <w:start w:val="1"/>
      <w:numFmt w:val="lowerRoman"/>
      <w:lvlText w:val="%6."/>
      <w:lvlJc w:val="right"/>
      <w:pPr>
        <w:ind w:left="4320" w:hanging="180"/>
      </w:pPr>
    </w:lvl>
    <w:lvl w:ilvl="6" w:tplc="74485D30">
      <w:start w:val="1"/>
      <w:numFmt w:val="decimal"/>
      <w:lvlText w:val="%7."/>
      <w:lvlJc w:val="left"/>
      <w:pPr>
        <w:ind w:left="5040" w:hanging="360"/>
      </w:pPr>
    </w:lvl>
    <w:lvl w:ilvl="7" w:tplc="6A04B2C8">
      <w:start w:val="1"/>
      <w:numFmt w:val="lowerLetter"/>
      <w:lvlText w:val="%8."/>
      <w:lvlJc w:val="left"/>
      <w:pPr>
        <w:ind w:left="5760" w:hanging="360"/>
      </w:pPr>
    </w:lvl>
    <w:lvl w:ilvl="8" w:tplc="3ACE7538">
      <w:start w:val="1"/>
      <w:numFmt w:val="lowerRoman"/>
      <w:lvlText w:val="%9."/>
      <w:lvlJc w:val="right"/>
      <w:pPr>
        <w:ind w:left="6480" w:hanging="180"/>
      </w:pPr>
    </w:lvl>
  </w:abstractNum>
  <w:abstractNum w:abstractNumId="278" w15:restartNumberingAfterBreak="0">
    <w:nsid w:val="5D8C7DF9"/>
    <w:multiLevelType w:val="hybridMultilevel"/>
    <w:tmpl w:val="FFFFFFFF"/>
    <w:lvl w:ilvl="0" w:tplc="CFD83BFA">
      <w:start w:val="1"/>
      <w:numFmt w:val="lowerLetter"/>
      <w:lvlText w:val="%1."/>
      <w:lvlJc w:val="left"/>
      <w:pPr>
        <w:ind w:left="720" w:hanging="360"/>
      </w:pPr>
    </w:lvl>
    <w:lvl w:ilvl="1" w:tplc="2F4A7102">
      <w:start w:val="1"/>
      <w:numFmt w:val="lowerLetter"/>
      <w:lvlText w:val="%2."/>
      <w:lvlJc w:val="left"/>
      <w:pPr>
        <w:ind w:left="1440" w:hanging="360"/>
      </w:pPr>
    </w:lvl>
    <w:lvl w:ilvl="2" w:tplc="DB94467C">
      <w:start w:val="1"/>
      <w:numFmt w:val="lowerRoman"/>
      <w:lvlText w:val="%3."/>
      <w:lvlJc w:val="right"/>
      <w:pPr>
        <w:ind w:left="2160" w:hanging="180"/>
      </w:pPr>
    </w:lvl>
    <w:lvl w:ilvl="3" w:tplc="713ED284">
      <w:start w:val="1"/>
      <w:numFmt w:val="decimal"/>
      <w:lvlText w:val="%4."/>
      <w:lvlJc w:val="left"/>
      <w:pPr>
        <w:ind w:left="2880" w:hanging="360"/>
      </w:pPr>
    </w:lvl>
    <w:lvl w:ilvl="4" w:tplc="B4BC1088">
      <w:start w:val="1"/>
      <w:numFmt w:val="lowerLetter"/>
      <w:lvlText w:val="%5."/>
      <w:lvlJc w:val="left"/>
      <w:pPr>
        <w:ind w:left="3600" w:hanging="360"/>
      </w:pPr>
    </w:lvl>
    <w:lvl w:ilvl="5" w:tplc="8438F7B8">
      <w:start w:val="1"/>
      <w:numFmt w:val="lowerRoman"/>
      <w:lvlText w:val="%6."/>
      <w:lvlJc w:val="right"/>
      <w:pPr>
        <w:ind w:left="4320" w:hanging="180"/>
      </w:pPr>
    </w:lvl>
    <w:lvl w:ilvl="6" w:tplc="07443E46">
      <w:start w:val="1"/>
      <w:numFmt w:val="decimal"/>
      <w:lvlText w:val="%7."/>
      <w:lvlJc w:val="left"/>
      <w:pPr>
        <w:ind w:left="5040" w:hanging="360"/>
      </w:pPr>
    </w:lvl>
    <w:lvl w:ilvl="7" w:tplc="7DA0D5BE">
      <w:start w:val="1"/>
      <w:numFmt w:val="lowerLetter"/>
      <w:lvlText w:val="%8."/>
      <w:lvlJc w:val="left"/>
      <w:pPr>
        <w:ind w:left="5760" w:hanging="360"/>
      </w:pPr>
    </w:lvl>
    <w:lvl w:ilvl="8" w:tplc="516E7238">
      <w:start w:val="1"/>
      <w:numFmt w:val="lowerRoman"/>
      <w:lvlText w:val="%9."/>
      <w:lvlJc w:val="right"/>
      <w:pPr>
        <w:ind w:left="6480" w:hanging="180"/>
      </w:pPr>
    </w:lvl>
  </w:abstractNum>
  <w:abstractNum w:abstractNumId="279" w15:restartNumberingAfterBreak="0">
    <w:nsid w:val="5E5C4E95"/>
    <w:multiLevelType w:val="hybridMultilevel"/>
    <w:tmpl w:val="FFFFFFFF"/>
    <w:lvl w:ilvl="0" w:tplc="8B081A5A">
      <w:start w:val="2"/>
      <w:numFmt w:val="decimal"/>
      <w:lvlText w:val="%1."/>
      <w:lvlJc w:val="left"/>
      <w:pPr>
        <w:ind w:left="720" w:hanging="360"/>
      </w:pPr>
    </w:lvl>
    <w:lvl w:ilvl="1" w:tplc="75A25C5A">
      <w:start w:val="1"/>
      <w:numFmt w:val="lowerLetter"/>
      <w:lvlText w:val="%2."/>
      <w:lvlJc w:val="left"/>
      <w:pPr>
        <w:ind w:left="1440" w:hanging="360"/>
      </w:pPr>
    </w:lvl>
    <w:lvl w:ilvl="2" w:tplc="6ACCA666">
      <w:start w:val="1"/>
      <w:numFmt w:val="lowerRoman"/>
      <w:lvlText w:val="%3."/>
      <w:lvlJc w:val="right"/>
      <w:pPr>
        <w:ind w:left="2160" w:hanging="180"/>
      </w:pPr>
    </w:lvl>
    <w:lvl w:ilvl="3" w:tplc="27CC45FE">
      <w:start w:val="1"/>
      <w:numFmt w:val="decimal"/>
      <w:lvlText w:val="%4."/>
      <w:lvlJc w:val="left"/>
      <w:pPr>
        <w:ind w:left="2880" w:hanging="360"/>
      </w:pPr>
    </w:lvl>
    <w:lvl w:ilvl="4" w:tplc="878C7FAE">
      <w:start w:val="1"/>
      <w:numFmt w:val="lowerLetter"/>
      <w:lvlText w:val="%5."/>
      <w:lvlJc w:val="left"/>
      <w:pPr>
        <w:ind w:left="3600" w:hanging="360"/>
      </w:pPr>
    </w:lvl>
    <w:lvl w:ilvl="5" w:tplc="CA76AC0A">
      <w:start w:val="1"/>
      <w:numFmt w:val="lowerRoman"/>
      <w:lvlText w:val="%6."/>
      <w:lvlJc w:val="right"/>
      <w:pPr>
        <w:ind w:left="4320" w:hanging="180"/>
      </w:pPr>
    </w:lvl>
    <w:lvl w:ilvl="6" w:tplc="6ADCE012">
      <w:start w:val="1"/>
      <w:numFmt w:val="decimal"/>
      <w:lvlText w:val="%7."/>
      <w:lvlJc w:val="left"/>
      <w:pPr>
        <w:ind w:left="5040" w:hanging="360"/>
      </w:pPr>
    </w:lvl>
    <w:lvl w:ilvl="7" w:tplc="A31A9BEE">
      <w:start w:val="1"/>
      <w:numFmt w:val="lowerLetter"/>
      <w:lvlText w:val="%8."/>
      <w:lvlJc w:val="left"/>
      <w:pPr>
        <w:ind w:left="5760" w:hanging="360"/>
      </w:pPr>
    </w:lvl>
    <w:lvl w:ilvl="8" w:tplc="A57E3D7E">
      <w:start w:val="1"/>
      <w:numFmt w:val="lowerRoman"/>
      <w:lvlText w:val="%9."/>
      <w:lvlJc w:val="right"/>
      <w:pPr>
        <w:ind w:left="6480" w:hanging="180"/>
      </w:pPr>
    </w:lvl>
  </w:abstractNum>
  <w:abstractNum w:abstractNumId="280" w15:restartNumberingAfterBreak="0">
    <w:nsid w:val="5E71C1BC"/>
    <w:multiLevelType w:val="hybridMultilevel"/>
    <w:tmpl w:val="FFFFFFFF"/>
    <w:lvl w:ilvl="0" w:tplc="AE7A1EDE">
      <w:start w:val="1"/>
      <w:numFmt w:val="bullet"/>
      <w:lvlText w:val="o"/>
      <w:lvlJc w:val="left"/>
      <w:pPr>
        <w:ind w:left="1080" w:hanging="360"/>
      </w:pPr>
      <w:rPr>
        <w:rFonts w:ascii="Courier New" w:hAnsi="Courier New" w:hint="default"/>
      </w:rPr>
    </w:lvl>
    <w:lvl w:ilvl="1" w:tplc="AA204262">
      <w:start w:val="1"/>
      <w:numFmt w:val="bullet"/>
      <w:lvlText w:val="o"/>
      <w:lvlJc w:val="left"/>
      <w:pPr>
        <w:ind w:left="1440" w:hanging="360"/>
      </w:pPr>
      <w:rPr>
        <w:rFonts w:ascii="Courier New" w:hAnsi="Courier New" w:hint="default"/>
      </w:rPr>
    </w:lvl>
    <w:lvl w:ilvl="2" w:tplc="169A7B32">
      <w:start w:val="1"/>
      <w:numFmt w:val="bullet"/>
      <w:lvlText w:val=""/>
      <w:lvlJc w:val="left"/>
      <w:pPr>
        <w:ind w:left="2160" w:hanging="360"/>
      </w:pPr>
      <w:rPr>
        <w:rFonts w:ascii="Wingdings" w:hAnsi="Wingdings" w:hint="default"/>
      </w:rPr>
    </w:lvl>
    <w:lvl w:ilvl="3" w:tplc="BAF4C5F8">
      <w:start w:val="1"/>
      <w:numFmt w:val="bullet"/>
      <w:lvlText w:val=""/>
      <w:lvlJc w:val="left"/>
      <w:pPr>
        <w:ind w:left="2880" w:hanging="360"/>
      </w:pPr>
      <w:rPr>
        <w:rFonts w:ascii="Symbol" w:hAnsi="Symbol" w:hint="default"/>
      </w:rPr>
    </w:lvl>
    <w:lvl w:ilvl="4" w:tplc="6ABA0044">
      <w:start w:val="1"/>
      <w:numFmt w:val="bullet"/>
      <w:lvlText w:val="o"/>
      <w:lvlJc w:val="left"/>
      <w:pPr>
        <w:ind w:left="3600" w:hanging="360"/>
      </w:pPr>
      <w:rPr>
        <w:rFonts w:ascii="Courier New" w:hAnsi="Courier New" w:hint="default"/>
      </w:rPr>
    </w:lvl>
    <w:lvl w:ilvl="5" w:tplc="878C6BFA">
      <w:start w:val="1"/>
      <w:numFmt w:val="bullet"/>
      <w:lvlText w:val=""/>
      <w:lvlJc w:val="left"/>
      <w:pPr>
        <w:ind w:left="4320" w:hanging="360"/>
      </w:pPr>
      <w:rPr>
        <w:rFonts w:ascii="Wingdings" w:hAnsi="Wingdings" w:hint="default"/>
      </w:rPr>
    </w:lvl>
    <w:lvl w:ilvl="6" w:tplc="F64432DA">
      <w:start w:val="1"/>
      <w:numFmt w:val="bullet"/>
      <w:lvlText w:val=""/>
      <w:lvlJc w:val="left"/>
      <w:pPr>
        <w:ind w:left="5040" w:hanging="360"/>
      </w:pPr>
      <w:rPr>
        <w:rFonts w:ascii="Symbol" w:hAnsi="Symbol" w:hint="default"/>
      </w:rPr>
    </w:lvl>
    <w:lvl w:ilvl="7" w:tplc="62ACEEFA">
      <w:start w:val="1"/>
      <w:numFmt w:val="bullet"/>
      <w:lvlText w:val="o"/>
      <w:lvlJc w:val="left"/>
      <w:pPr>
        <w:ind w:left="5760" w:hanging="360"/>
      </w:pPr>
      <w:rPr>
        <w:rFonts w:ascii="Courier New" w:hAnsi="Courier New" w:hint="default"/>
      </w:rPr>
    </w:lvl>
    <w:lvl w:ilvl="8" w:tplc="76C04866">
      <w:start w:val="1"/>
      <w:numFmt w:val="bullet"/>
      <w:lvlText w:val=""/>
      <w:lvlJc w:val="left"/>
      <w:pPr>
        <w:ind w:left="6480" w:hanging="360"/>
      </w:pPr>
      <w:rPr>
        <w:rFonts w:ascii="Wingdings" w:hAnsi="Wingdings" w:hint="default"/>
      </w:rPr>
    </w:lvl>
  </w:abstractNum>
  <w:abstractNum w:abstractNumId="281" w15:restartNumberingAfterBreak="0">
    <w:nsid w:val="5E91424F"/>
    <w:multiLevelType w:val="hybridMultilevel"/>
    <w:tmpl w:val="FFFFFFFF"/>
    <w:lvl w:ilvl="0" w:tplc="FFFFFFFF">
      <w:start w:val="1"/>
      <w:numFmt w:val="lowerRoman"/>
      <w:lvlText w:val="(%1)"/>
      <w:lvlJc w:val="right"/>
      <w:pPr>
        <w:ind w:left="720" w:hanging="360"/>
      </w:pPr>
    </w:lvl>
    <w:lvl w:ilvl="1" w:tplc="EE3E544E">
      <w:start w:val="1"/>
      <w:numFmt w:val="lowerLetter"/>
      <w:lvlText w:val="%2."/>
      <w:lvlJc w:val="left"/>
      <w:pPr>
        <w:ind w:left="1440" w:hanging="360"/>
      </w:pPr>
    </w:lvl>
    <w:lvl w:ilvl="2" w:tplc="86BAEF28">
      <w:start w:val="1"/>
      <w:numFmt w:val="lowerRoman"/>
      <w:lvlText w:val="%3."/>
      <w:lvlJc w:val="right"/>
      <w:pPr>
        <w:ind w:left="2160" w:hanging="180"/>
      </w:pPr>
    </w:lvl>
    <w:lvl w:ilvl="3" w:tplc="6BCA881E">
      <w:start w:val="1"/>
      <w:numFmt w:val="decimal"/>
      <w:lvlText w:val="%4."/>
      <w:lvlJc w:val="left"/>
      <w:pPr>
        <w:ind w:left="2880" w:hanging="360"/>
      </w:pPr>
    </w:lvl>
    <w:lvl w:ilvl="4" w:tplc="493CF880">
      <w:start w:val="1"/>
      <w:numFmt w:val="lowerLetter"/>
      <w:lvlText w:val="%5."/>
      <w:lvlJc w:val="left"/>
      <w:pPr>
        <w:ind w:left="3600" w:hanging="360"/>
      </w:pPr>
    </w:lvl>
    <w:lvl w:ilvl="5" w:tplc="C722EE78">
      <w:start w:val="1"/>
      <w:numFmt w:val="lowerRoman"/>
      <w:lvlText w:val="%6."/>
      <w:lvlJc w:val="right"/>
      <w:pPr>
        <w:ind w:left="4320" w:hanging="180"/>
      </w:pPr>
    </w:lvl>
    <w:lvl w:ilvl="6" w:tplc="34203FB2">
      <w:start w:val="1"/>
      <w:numFmt w:val="decimal"/>
      <w:lvlText w:val="%7."/>
      <w:lvlJc w:val="left"/>
      <w:pPr>
        <w:ind w:left="5040" w:hanging="360"/>
      </w:pPr>
    </w:lvl>
    <w:lvl w:ilvl="7" w:tplc="E82EEB18">
      <w:start w:val="1"/>
      <w:numFmt w:val="lowerLetter"/>
      <w:lvlText w:val="%8."/>
      <w:lvlJc w:val="left"/>
      <w:pPr>
        <w:ind w:left="5760" w:hanging="360"/>
      </w:pPr>
    </w:lvl>
    <w:lvl w:ilvl="8" w:tplc="AD60AA16">
      <w:start w:val="1"/>
      <w:numFmt w:val="lowerRoman"/>
      <w:lvlText w:val="%9."/>
      <w:lvlJc w:val="right"/>
      <w:pPr>
        <w:ind w:left="6480" w:hanging="180"/>
      </w:pPr>
    </w:lvl>
  </w:abstractNum>
  <w:abstractNum w:abstractNumId="282" w15:restartNumberingAfterBreak="0">
    <w:nsid w:val="5E9BE941"/>
    <w:multiLevelType w:val="hybridMultilevel"/>
    <w:tmpl w:val="FFFFFFFF"/>
    <w:lvl w:ilvl="0" w:tplc="86D66428">
      <w:start w:val="2"/>
      <w:numFmt w:val="decimal"/>
      <w:lvlText w:val="%1."/>
      <w:lvlJc w:val="left"/>
      <w:pPr>
        <w:ind w:left="720" w:hanging="360"/>
      </w:pPr>
    </w:lvl>
    <w:lvl w:ilvl="1" w:tplc="C7E09996">
      <w:start w:val="1"/>
      <w:numFmt w:val="lowerLetter"/>
      <w:lvlText w:val="%2."/>
      <w:lvlJc w:val="left"/>
      <w:pPr>
        <w:ind w:left="1440" w:hanging="360"/>
      </w:pPr>
    </w:lvl>
    <w:lvl w:ilvl="2" w:tplc="B0541A80">
      <w:start w:val="1"/>
      <w:numFmt w:val="lowerRoman"/>
      <w:lvlText w:val="%3."/>
      <w:lvlJc w:val="right"/>
      <w:pPr>
        <w:ind w:left="2160" w:hanging="180"/>
      </w:pPr>
    </w:lvl>
    <w:lvl w:ilvl="3" w:tplc="F9560E84">
      <w:start w:val="1"/>
      <w:numFmt w:val="decimal"/>
      <w:lvlText w:val="%4."/>
      <w:lvlJc w:val="left"/>
      <w:pPr>
        <w:ind w:left="2880" w:hanging="360"/>
      </w:pPr>
    </w:lvl>
    <w:lvl w:ilvl="4" w:tplc="23BC3C60">
      <w:start w:val="1"/>
      <w:numFmt w:val="lowerLetter"/>
      <w:lvlText w:val="%5."/>
      <w:lvlJc w:val="left"/>
      <w:pPr>
        <w:ind w:left="3600" w:hanging="360"/>
      </w:pPr>
    </w:lvl>
    <w:lvl w:ilvl="5" w:tplc="9EC67A66">
      <w:start w:val="1"/>
      <w:numFmt w:val="lowerRoman"/>
      <w:lvlText w:val="%6."/>
      <w:lvlJc w:val="right"/>
      <w:pPr>
        <w:ind w:left="4320" w:hanging="180"/>
      </w:pPr>
    </w:lvl>
    <w:lvl w:ilvl="6" w:tplc="3626971A">
      <w:start w:val="1"/>
      <w:numFmt w:val="decimal"/>
      <w:lvlText w:val="%7."/>
      <w:lvlJc w:val="left"/>
      <w:pPr>
        <w:ind w:left="5040" w:hanging="360"/>
      </w:pPr>
    </w:lvl>
    <w:lvl w:ilvl="7" w:tplc="32BCB050">
      <w:start w:val="1"/>
      <w:numFmt w:val="lowerLetter"/>
      <w:lvlText w:val="%8."/>
      <w:lvlJc w:val="left"/>
      <w:pPr>
        <w:ind w:left="5760" w:hanging="360"/>
      </w:pPr>
    </w:lvl>
    <w:lvl w:ilvl="8" w:tplc="6EE027AA">
      <w:start w:val="1"/>
      <w:numFmt w:val="lowerRoman"/>
      <w:lvlText w:val="%9."/>
      <w:lvlJc w:val="right"/>
      <w:pPr>
        <w:ind w:left="6480" w:hanging="180"/>
      </w:pPr>
    </w:lvl>
  </w:abstractNum>
  <w:abstractNum w:abstractNumId="283" w15:restartNumberingAfterBreak="0">
    <w:nsid w:val="5ECE5608"/>
    <w:multiLevelType w:val="hybridMultilevel"/>
    <w:tmpl w:val="9B684C1C"/>
    <w:lvl w:ilvl="0" w:tplc="DABC079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4" w15:restartNumberingAfterBreak="0">
    <w:nsid w:val="5FAF6BC9"/>
    <w:multiLevelType w:val="hybridMultilevel"/>
    <w:tmpl w:val="FFFFFFFF"/>
    <w:lvl w:ilvl="0" w:tplc="8C16B2F0">
      <w:start w:val="3"/>
      <w:numFmt w:val="decimal"/>
      <w:lvlText w:val="%1."/>
      <w:lvlJc w:val="left"/>
      <w:pPr>
        <w:ind w:left="720" w:hanging="360"/>
      </w:pPr>
    </w:lvl>
    <w:lvl w:ilvl="1" w:tplc="3D4E3678">
      <w:start w:val="1"/>
      <w:numFmt w:val="lowerLetter"/>
      <w:lvlText w:val="%2."/>
      <w:lvlJc w:val="left"/>
      <w:pPr>
        <w:ind w:left="1440" w:hanging="360"/>
      </w:pPr>
    </w:lvl>
    <w:lvl w:ilvl="2" w:tplc="0E10CF9E">
      <w:start w:val="1"/>
      <w:numFmt w:val="lowerRoman"/>
      <w:lvlText w:val="%3."/>
      <w:lvlJc w:val="right"/>
      <w:pPr>
        <w:ind w:left="2160" w:hanging="180"/>
      </w:pPr>
    </w:lvl>
    <w:lvl w:ilvl="3" w:tplc="727A4CE2">
      <w:start w:val="1"/>
      <w:numFmt w:val="decimal"/>
      <w:lvlText w:val="%4."/>
      <w:lvlJc w:val="left"/>
      <w:pPr>
        <w:ind w:left="2880" w:hanging="360"/>
      </w:pPr>
    </w:lvl>
    <w:lvl w:ilvl="4" w:tplc="F042B17E">
      <w:start w:val="1"/>
      <w:numFmt w:val="lowerLetter"/>
      <w:lvlText w:val="%5."/>
      <w:lvlJc w:val="left"/>
      <w:pPr>
        <w:ind w:left="3600" w:hanging="360"/>
      </w:pPr>
    </w:lvl>
    <w:lvl w:ilvl="5" w:tplc="C2EA0DA6">
      <w:start w:val="1"/>
      <w:numFmt w:val="lowerRoman"/>
      <w:lvlText w:val="%6."/>
      <w:lvlJc w:val="right"/>
      <w:pPr>
        <w:ind w:left="4320" w:hanging="180"/>
      </w:pPr>
    </w:lvl>
    <w:lvl w:ilvl="6" w:tplc="D5F49BEA">
      <w:start w:val="1"/>
      <w:numFmt w:val="decimal"/>
      <w:lvlText w:val="%7."/>
      <w:lvlJc w:val="left"/>
      <w:pPr>
        <w:ind w:left="5040" w:hanging="360"/>
      </w:pPr>
    </w:lvl>
    <w:lvl w:ilvl="7" w:tplc="FEDA7A3E">
      <w:start w:val="1"/>
      <w:numFmt w:val="lowerLetter"/>
      <w:lvlText w:val="%8."/>
      <w:lvlJc w:val="left"/>
      <w:pPr>
        <w:ind w:left="5760" w:hanging="360"/>
      </w:pPr>
    </w:lvl>
    <w:lvl w:ilvl="8" w:tplc="1220ABC4">
      <w:start w:val="1"/>
      <w:numFmt w:val="lowerRoman"/>
      <w:lvlText w:val="%9."/>
      <w:lvlJc w:val="right"/>
      <w:pPr>
        <w:ind w:left="6480" w:hanging="180"/>
      </w:pPr>
    </w:lvl>
  </w:abstractNum>
  <w:abstractNum w:abstractNumId="285" w15:restartNumberingAfterBreak="0">
    <w:nsid w:val="5FB2F917"/>
    <w:multiLevelType w:val="hybridMultilevel"/>
    <w:tmpl w:val="FFFFFFFF"/>
    <w:lvl w:ilvl="0" w:tplc="B79ECFEC">
      <w:start w:val="1"/>
      <w:numFmt w:val="bullet"/>
      <w:lvlText w:val=""/>
      <w:lvlJc w:val="left"/>
      <w:pPr>
        <w:ind w:left="720" w:hanging="360"/>
      </w:pPr>
      <w:rPr>
        <w:rFonts w:ascii="Symbol" w:hAnsi="Symbol" w:hint="default"/>
      </w:rPr>
    </w:lvl>
    <w:lvl w:ilvl="1" w:tplc="3B56A480">
      <w:start w:val="1"/>
      <w:numFmt w:val="bullet"/>
      <w:lvlText w:val="o"/>
      <w:lvlJc w:val="left"/>
      <w:pPr>
        <w:ind w:left="1440" w:hanging="360"/>
      </w:pPr>
      <w:rPr>
        <w:rFonts w:ascii="Courier New" w:hAnsi="Courier New" w:hint="default"/>
      </w:rPr>
    </w:lvl>
    <w:lvl w:ilvl="2" w:tplc="66DC7720">
      <w:start w:val="1"/>
      <w:numFmt w:val="bullet"/>
      <w:lvlText w:val=""/>
      <w:lvlJc w:val="left"/>
      <w:pPr>
        <w:ind w:left="2160" w:hanging="360"/>
      </w:pPr>
      <w:rPr>
        <w:rFonts w:ascii="Wingdings" w:hAnsi="Wingdings" w:hint="default"/>
      </w:rPr>
    </w:lvl>
    <w:lvl w:ilvl="3" w:tplc="67CA4F2A">
      <w:start w:val="1"/>
      <w:numFmt w:val="bullet"/>
      <w:lvlText w:val=""/>
      <w:lvlJc w:val="left"/>
      <w:pPr>
        <w:ind w:left="2880" w:hanging="360"/>
      </w:pPr>
      <w:rPr>
        <w:rFonts w:ascii="Symbol" w:hAnsi="Symbol" w:hint="default"/>
      </w:rPr>
    </w:lvl>
    <w:lvl w:ilvl="4" w:tplc="603AF83E">
      <w:start w:val="1"/>
      <w:numFmt w:val="bullet"/>
      <w:lvlText w:val="o"/>
      <w:lvlJc w:val="left"/>
      <w:pPr>
        <w:ind w:left="3600" w:hanging="360"/>
      </w:pPr>
      <w:rPr>
        <w:rFonts w:ascii="Courier New" w:hAnsi="Courier New" w:hint="default"/>
      </w:rPr>
    </w:lvl>
    <w:lvl w:ilvl="5" w:tplc="22580620">
      <w:start w:val="1"/>
      <w:numFmt w:val="bullet"/>
      <w:lvlText w:val=""/>
      <w:lvlJc w:val="left"/>
      <w:pPr>
        <w:ind w:left="4320" w:hanging="360"/>
      </w:pPr>
      <w:rPr>
        <w:rFonts w:ascii="Wingdings" w:hAnsi="Wingdings" w:hint="default"/>
      </w:rPr>
    </w:lvl>
    <w:lvl w:ilvl="6" w:tplc="64CC3C5A">
      <w:start w:val="1"/>
      <w:numFmt w:val="bullet"/>
      <w:lvlText w:val=""/>
      <w:lvlJc w:val="left"/>
      <w:pPr>
        <w:ind w:left="5040" w:hanging="360"/>
      </w:pPr>
      <w:rPr>
        <w:rFonts w:ascii="Symbol" w:hAnsi="Symbol" w:hint="default"/>
      </w:rPr>
    </w:lvl>
    <w:lvl w:ilvl="7" w:tplc="BE5C6792">
      <w:start w:val="1"/>
      <w:numFmt w:val="bullet"/>
      <w:lvlText w:val="o"/>
      <w:lvlJc w:val="left"/>
      <w:pPr>
        <w:ind w:left="5760" w:hanging="360"/>
      </w:pPr>
      <w:rPr>
        <w:rFonts w:ascii="Courier New" w:hAnsi="Courier New" w:hint="default"/>
      </w:rPr>
    </w:lvl>
    <w:lvl w:ilvl="8" w:tplc="B88E90F2">
      <w:start w:val="1"/>
      <w:numFmt w:val="bullet"/>
      <w:lvlText w:val=""/>
      <w:lvlJc w:val="left"/>
      <w:pPr>
        <w:ind w:left="6480" w:hanging="360"/>
      </w:pPr>
      <w:rPr>
        <w:rFonts w:ascii="Wingdings" w:hAnsi="Wingdings" w:hint="default"/>
      </w:rPr>
    </w:lvl>
  </w:abstractNum>
  <w:abstractNum w:abstractNumId="286" w15:restartNumberingAfterBreak="0">
    <w:nsid w:val="60403AF1"/>
    <w:multiLevelType w:val="hybridMultilevel"/>
    <w:tmpl w:val="F678F30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7" w15:restartNumberingAfterBreak="0">
    <w:nsid w:val="60404647"/>
    <w:multiLevelType w:val="hybridMultilevel"/>
    <w:tmpl w:val="FFFFFFFF"/>
    <w:lvl w:ilvl="0" w:tplc="7E8C24AE">
      <w:start w:val="1"/>
      <w:numFmt w:val="decimal"/>
      <w:lvlText w:val="%1."/>
      <w:lvlJc w:val="left"/>
      <w:pPr>
        <w:ind w:left="720" w:hanging="360"/>
      </w:pPr>
    </w:lvl>
    <w:lvl w:ilvl="1" w:tplc="933024F0">
      <w:start w:val="3"/>
      <w:numFmt w:val="lowerRoman"/>
      <w:lvlText w:val="%2."/>
      <w:lvlJc w:val="right"/>
      <w:pPr>
        <w:ind w:left="1080" w:hanging="360"/>
      </w:pPr>
    </w:lvl>
    <w:lvl w:ilvl="2" w:tplc="942E28EA">
      <w:start w:val="1"/>
      <w:numFmt w:val="lowerRoman"/>
      <w:lvlText w:val="%3."/>
      <w:lvlJc w:val="right"/>
      <w:pPr>
        <w:ind w:left="2160" w:hanging="180"/>
      </w:pPr>
    </w:lvl>
    <w:lvl w:ilvl="3" w:tplc="097428CA">
      <w:start w:val="1"/>
      <w:numFmt w:val="decimal"/>
      <w:lvlText w:val="%4."/>
      <w:lvlJc w:val="left"/>
      <w:pPr>
        <w:ind w:left="2880" w:hanging="360"/>
      </w:pPr>
    </w:lvl>
    <w:lvl w:ilvl="4" w:tplc="2E1673EA">
      <w:start w:val="1"/>
      <w:numFmt w:val="lowerLetter"/>
      <w:lvlText w:val="%5."/>
      <w:lvlJc w:val="left"/>
      <w:pPr>
        <w:ind w:left="3600" w:hanging="360"/>
      </w:pPr>
    </w:lvl>
    <w:lvl w:ilvl="5" w:tplc="3782F7EA">
      <w:start w:val="1"/>
      <w:numFmt w:val="lowerRoman"/>
      <w:lvlText w:val="%6."/>
      <w:lvlJc w:val="right"/>
      <w:pPr>
        <w:ind w:left="4320" w:hanging="180"/>
      </w:pPr>
    </w:lvl>
    <w:lvl w:ilvl="6" w:tplc="87761EA4">
      <w:start w:val="1"/>
      <w:numFmt w:val="decimal"/>
      <w:lvlText w:val="%7."/>
      <w:lvlJc w:val="left"/>
      <w:pPr>
        <w:ind w:left="5040" w:hanging="360"/>
      </w:pPr>
    </w:lvl>
    <w:lvl w:ilvl="7" w:tplc="BD0E7BD2">
      <w:start w:val="1"/>
      <w:numFmt w:val="lowerLetter"/>
      <w:lvlText w:val="%8."/>
      <w:lvlJc w:val="left"/>
      <w:pPr>
        <w:ind w:left="5760" w:hanging="360"/>
      </w:pPr>
    </w:lvl>
    <w:lvl w:ilvl="8" w:tplc="A0568ACC">
      <w:start w:val="1"/>
      <w:numFmt w:val="lowerRoman"/>
      <w:lvlText w:val="%9."/>
      <w:lvlJc w:val="right"/>
      <w:pPr>
        <w:ind w:left="6480" w:hanging="180"/>
      </w:pPr>
    </w:lvl>
  </w:abstractNum>
  <w:abstractNum w:abstractNumId="288" w15:restartNumberingAfterBreak="0">
    <w:nsid w:val="61092903"/>
    <w:multiLevelType w:val="hybridMultilevel"/>
    <w:tmpl w:val="77BCF5B0"/>
    <w:lvl w:ilvl="0" w:tplc="E46C7E4C">
      <w:start w:val="3"/>
      <w:numFmt w:val="decimal"/>
      <w:lvlText w:val="%1."/>
      <w:lvlJc w:val="left"/>
      <w:pPr>
        <w:ind w:left="720" w:hanging="360"/>
      </w:pPr>
    </w:lvl>
    <w:lvl w:ilvl="1" w:tplc="BC080F32">
      <w:start w:val="1"/>
      <w:numFmt w:val="lowerLetter"/>
      <w:lvlText w:val="%2."/>
      <w:lvlJc w:val="left"/>
      <w:pPr>
        <w:ind w:left="1440" w:hanging="360"/>
      </w:pPr>
    </w:lvl>
    <w:lvl w:ilvl="2" w:tplc="73C6FF78">
      <w:start w:val="1"/>
      <w:numFmt w:val="lowerRoman"/>
      <w:lvlText w:val="%3."/>
      <w:lvlJc w:val="right"/>
      <w:pPr>
        <w:ind w:left="2160" w:hanging="180"/>
      </w:pPr>
    </w:lvl>
    <w:lvl w:ilvl="3" w:tplc="344CC4AC">
      <w:start w:val="1"/>
      <w:numFmt w:val="decimal"/>
      <w:lvlText w:val="%4."/>
      <w:lvlJc w:val="left"/>
      <w:pPr>
        <w:ind w:left="2880" w:hanging="360"/>
      </w:pPr>
    </w:lvl>
    <w:lvl w:ilvl="4" w:tplc="7E3A0574">
      <w:start w:val="1"/>
      <w:numFmt w:val="lowerLetter"/>
      <w:lvlText w:val="%5."/>
      <w:lvlJc w:val="left"/>
      <w:pPr>
        <w:ind w:left="3600" w:hanging="360"/>
      </w:pPr>
    </w:lvl>
    <w:lvl w:ilvl="5" w:tplc="A76AFA9E">
      <w:start w:val="1"/>
      <w:numFmt w:val="lowerRoman"/>
      <w:lvlText w:val="%6."/>
      <w:lvlJc w:val="right"/>
      <w:pPr>
        <w:ind w:left="4320" w:hanging="180"/>
      </w:pPr>
    </w:lvl>
    <w:lvl w:ilvl="6" w:tplc="3E06E734">
      <w:start w:val="1"/>
      <w:numFmt w:val="decimal"/>
      <w:lvlText w:val="%7."/>
      <w:lvlJc w:val="left"/>
      <w:pPr>
        <w:ind w:left="5040" w:hanging="360"/>
      </w:pPr>
    </w:lvl>
    <w:lvl w:ilvl="7" w:tplc="627A6296">
      <w:start w:val="1"/>
      <w:numFmt w:val="lowerLetter"/>
      <w:lvlText w:val="%8."/>
      <w:lvlJc w:val="left"/>
      <w:pPr>
        <w:ind w:left="5760" w:hanging="360"/>
      </w:pPr>
    </w:lvl>
    <w:lvl w:ilvl="8" w:tplc="8DAEBA52">
      <w:start w:val="1"/>
      <w:numFmt w:val="lowerRoman"/>
      <w:lvlText w:val="%9."/>
      <w:lvlJc w:val="right"/>
      <w:pPr>
        <w:ind w:left="6480" w:hanging="180"/>
      </w:pPr>
    </w:lvl>
  </w:abstractNum>
  <w:abstractNum w:abstractNumId="289" w15:restartNumberingAfterBreak="0">
    <w:nsid w:val="617C0C14"/>
    <w:multiLevelType w:val="hybridMultilevel"/>
    <w:tmpl w:val="FFFFFFFF"/>
    <w:lvl w:ilvl="0" w:tplc="F1C4799C">
      <w:start w:val="6"/>
      <w:numFmt w:val="decimal"/>
      <w:lvlText w:val="%1."/>
      <w:lvlJc w:val="left"/>
      <w:pPr>
        <w:ind w:left="720" w:hanging="360"/>
      </w:pPr>
    </w:lvl>
    <w:lvl w:ilvl="1" w:tplc="CB2E21DA">
      <w:start w:val="1"/>
      <w:numFmt w:val="lowerLetter"/>
      <w:lvlText w:val="%2."/>
      <w:lvlJc w:val="left"/>
      <w:pPr>
        <w:ind w:left="1440" w:hanging="360"/>
      </w:pPr>
    </w:lvl>
    <w:lvl w:ilvl="2" w:tplc="2FF2A010">
      <w:start w:val="1"/>
      <w:numFmt w:val="lowerRoman"/>
      <w:lvlText w:val="%3."/>
      <w:lvlJc w:val="right"/>
      <w:pPr>
        <w:ind w:left="2160" w:hanging="180"/>
      </w:pPr>
    </w:lvl>
    <w:lvl w:ilvl="3" w:tplc="F9D64C2A">
      <w:start w:val="1"/>
      <w:numFmt w:val="decimal"/>
      <w:lvlText w:val="%4."/>
      <w:lvlJc w:val="left"/>
      <w:pPr>
        <w:ind w:left="2880" w:hanging="360"/>
      </w:pPr>
    </w:lvl>
    <w:lvl w:ilvl="4" w:tplc="62641D0C">
      <w:start w:val="1"/>
      <w:numFmt w:val="lowerLetter"/>
      <w:lvlText w:val="%5."/>
      <w:lvlJc w:val="left"/>
      <w:pPr>
        <w:ind w:left="3600" w:hanging="360"/>
      </w:pPr>
    </w:lvl>
    <w:lvl w:ilvl="5" w:tplc="AA809934">
      <w:start w:val="1"/>
      <w:numFmt w:val="lowerRoman"/>
      <w:lvlText w:val="%6."/>
      <w:lvlJc w:val="right"/>
      <w:pPr>
        <w:ind w:left="4320" w:hanging="180"/>
      </w:pPr>
    </w:lvl>
    <w:lvl w:ilvl="6" w:tplc="DB723E42">
      <w:start w:val="1"/>
      <w:numFmt w:val="decimal"/>
      <w:lvlText w:val="%7."/>
      <w:lvlJc w:val="left"/>
      <w:pPr>
        <w:ind w:left="5040" w:hanging="360"/>
      </w:pPr>
    </w:lvl>
    <w:lvl w:ilvl="7" w:tplc="B4D84472">
      <w:start w:val="1"/>
      <w:numFmt w:val="lowerLetter"/>
      <w:lvlText w:val="%8."/>
      <w:lvlJc w:val="left"/>
      <w:pPr>
        <w:ind w:left="5760" w:hanging="360"/>
      </w:pPr>
    </w:lvl>
    <w:lvl w:ilvl="8" w:tplc="36049F0E">
      <w:start w:val="1"/>
      <w:numFmt w:val="lowerRoman"/>
      <w:lvlText w:val="%9."/>
      <w:lvlJc w:val="right"/>
      <w:pPr>
        <w:ind w:left="6480" w:hanging="180"/>
      </w:pPr>
    </w:lvl>
  </w:abstractNum>
  <w:abstractNum w:abstractNumId="290" w15:restartNumberingAfterBreak="0">
    <w:nsid w:val="618F851A"/>
    <w:multiLevelType w:val="hybridMultilevel"/>
    <w:tmpl w:val="FFFFFFFF"/>
    <w:lvl w:ilvl="0" w:tplc="BBAC3D22">
      <w:start w:val="1"/>
      <w:numFmt w:val="lowerLetter"/>
      <w:lvlText w:val="%1."/>
      <w:lvlJc w:val="left"/>
      <w:pPr>
        <w:ind w:left="720" w:hanging="360"/>
      </w:pPr>
    </w:lvl>
    <w:lvl w:ilvl="1" w:tplc="B978E83C">
      <w:start w:val="1"/>
      <w:numFmt w:val="lowerLetter"/>
      <w:lvlText w:val="%2."/>
      <w:lvlJc w:val="left"/>
      <w:pPr>
        <w:ind w:left="1440" w:hanging="360"/>
      </w:pPr>
    </w:lvl>
    <w:lvl w:ilvl="2" w:tplc="D52452A2">
      <w:start w:val="1"/>
      <w:numFmt w:val="lowerRoman"/>
      <w:lvlText w:val="%3."/>
      <w:lvlJc w:val="right"/>
      <w:pPr>
        <w:ind w:left="2160" w:hanging="180"/>
      </w:pPr>
    </w:lvl>
    <w:lvl w:ilvl="3" w:tplc="6D32916A">
      <w:start w:val="1"/>
      <w:numFmt w:val="decimal"/>
      <w:lvlText w:val="%4."/>
      <w:lvlJc w:val="left"/>
      <w:pPr>
        <w:ind w:left="2880" w:hanging="360"/>
      </w:pPr>
    </w:lvl>
    <w:lvl w:ilvl="4" w:tplc="0F14E9CC">
      <w:start w:val="1"/>
      <w:numFmt w:val="lowerLetter"/>
      <w:lvlText w:val="%5."/>
      <w:lvlJc w:val="left"/>
      <w:pPr>
        <w:ind w:left="3600" w:hanging="360"/>
      </w:pPr>
    </w:lvl>
    <w:lvl w:ilvl="5" w:tplc="CD8E7BC4">
      <w:start w:val="1"/>
      <w:numFmt w:val="lowerRoman"/>
      <w:lvlText w:val="%6."/>
      <w:lvlJc w:val="right"/>
      <w:pPr>
        <w:ind w:left="4320" w:hanging="180"/>
      </w:pPr>
    </w:lvl>
    <w:lvl w:ilvl="6" w:tplc="7F6A6FB0">
      <w:start w:val="1"/>
      <w:numFmt w:val="decimal"/>
      <w:lvlText w:val="%7."/>
      <w:lvlJc w:val="left"/>
      <w:pPr>
        <w:ind w:left="5040" w:hanging="360"/>
      </w:pPr>
    </w:lvl>
    <w:lvl w:ilvl="7" w:tplc="440029EA">
      <w:start w:val="1"/>
      <w:numFmt w:val="lowerLetter"/>
      <w:lvlText w:val="%8."/>
      <w:lvlJc w:val="left"/>
      <w:pPr>
        <w:ind w:left="5760" w:hanging="360"/>
      </w:pPr>
    </w:lvl>
    <w:lvl w:ilvl="8" w:tplc="68A03744">
      <w:start w:val="1"/>
      <w:numFmt w:val="lowerRoman"/>
      <w:lvlText w:val="%9."/>
      <w:lvlJc w:val="right"/>
      <w:pPr>
        <w:ind w:left="6480" w:hanging="180"/>
      </w:pPr>
    </w:lvl>
  </w:abstractNum>
  <w:abstractNum w:abstractNumId="291" w15:restartNumberingAfterBreak="0">
    <w:nsid w:val="619B483D"/>
    <w:multiLevelType w:val="hybridMultilevel"/>
    <w:tmpl w:val="43C06952"/>
    <w:lvl w:ilvl="0" w:tplc="E1EC9FA6">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2" w15:restartNumberingAfterBreak="0">
    <w:nsid w:val="61D3B181"/>
    <w:multiLevelType w:val="hybridMultilevel"/>
    <w:tmpl w:val="FFFFFFFF"/>
    <w:lvl w:ilvl="0" w:tplc="521A25F8">
      <w:start w:val="1"/>
      <w:numFmt w:val="bullet"/>
      <w:lvlText w:val=""/>
      <w:lvlJc w:val="left"/>
      <w:pPr>
        <w:ind w:left="720" w:hanging="360"/>
      </w:pPr>
      <w:rPr>
        <w:rFonts w:ascii="Symbol" w:hAnsi="Symbol" w:hint="default"/>
      </w:rPr>
    </w:lvl>
    <w:lvl w:ilvl="1" w:tplc="E87455C8">
      <w:start w:val="1"/>
      <w:numFmt w:val="bullet"/>
      <w:lvlText w:val="o"/>
      <w:lvlJc w:val="left"/>
      <w:pPr>
        <w:ind w:left="1440" w:hanging="360"/>
      </w:pPr>
      <w:rPr>
        <w:rFonts w:ascii="Courier New" w:hAnsi="Courier New" w:hint="default"/>
      </w:rPr>
    </w:lvl>
    <w:lvl w:ilvl="2" w:tplc="73EC81FC">
      <w:start w:val="1"/>
      <w:numFmt w:val="bullet"/>
      <w:lvlText w:val=""/>
      <w:lvlJc w:val="left"/>
      <w:pPr>
        <w:ind w:left="2160" w:hanging="360"/>
      </w:pPr>
      <w:rPr>
        <w:rFonts w:ascii="Wingdings" w:hAnsi="Wingdings" w:hint="default"/>
      </w:rPr>
    </w:lvl>
    <w:lvl w:ilvl="3" w:tplc="2312DD7A">
      <w:start w:val="1"/>
      <w:numFmt w:val="bullet"/>
      <w:lvlText w:val=""/>
      <w:lvlJc w:val="left"/>
      <w:pPr>
        <w:ind w:left="2880" w:hanging="360"/>
      </w:pPr>
      <w:rPr>
        <w:rFonts w:ascii="Symbol" w:hAnsi="Symbol" w:hint="default"/>
      </w:rPr>
    </w:lvl>
    <w:lvl w:ilvl="4" w:tplc="3D3A29DC">
      <w:start w:val="1"/>
      <w:numFmt w:val="bullet"/>
      <w:lvlText w:val="o"/>
      <w:lvlJc w:val="left"/>
      <w:pPr>
        <w:ind w:left="3600" w:hanging="360"/>
      </w:pPr>
      <w:rPr>
        <w:rFonts w:ascii="Courier New" w:hAnsi="Courier New" w:hint="default"/>
      </w:rPr>
    </w:lvl>
    <w:lvl w:ilvl="5" w:tplc="398646AC">
      <w:start w:val="1"/>
      <w:numFmt w:val="bullet"/>
      <w:lvlText w:val=""/>
      <w:lvlJc w:val="left"/>
      <w:pPr>
        <w:ind w:left="4320" w:hanging="360"/>
      </w:pPr>
      <w:rPr>
        <w:rFonts w:ascii="Wingdings" w:hAnsi="Wingdings" w:hint="default"/>
      </w:rPr>
    </w:lvl>
    <w:lvl w:ilvl="6" w:tplc="C5BC36FA">
      <w:start w:val="1"/>
      <w:numFmt w:val="bullet"/>
      <w:lvlText w:val=""/>
      <w:lvlJc w:val="left"/>
      <w:pPr>
        <w:ind w:left="5040" w:hanging="360"/>
      </w:pPr>
      <w:rPr>
        <w:rFonts w:ascii="Symbol" w:hAnsi="Symbol" w:hint="default"/>
      </w:rPr>
    </w:lvl>
    <w:lvl w:ilvl="7" w:tplc="739A3E2C">
      <w:start w:val="1"/>
      <w:numFmt w:val="bullet"/>
      <w:lvlText w:val="o"/>
      <w:lvlJc w:val="left"/>
      <w:pPr>
        <w:ind w:left="5760" w:hanging="360"/>
      </w:pPr>
      <w:rPr>
        <w:rFonts w:ascii="Courier New" w:hAnsi="Courier New" w:hint="default"/>
      </w:rPr>
    </w:lvl>
    <w:lvl w:ilvl="8" w:tplc="8AF0C4A8">
      <w:start w:val="1"/>
      <w:numFmt w:val="bullet"/>
      <w:lvlText w:val=""/>
      <w:lvlJc w:val="left"/>
      <w:pPr>
        <w:ind w:left="6480" w:hanging="360"/>
      </w:pPr>
      <w:rPr>
        <w:rFonts w:ascii="Wingdings" w:hAnsi="Wingdings" w:hint="default"/>
      </w:rPr>
    </w:lvl>
  </w:abstractNum>
  <w:abstractNum w:abstractNumId="293" w15:restartNumberingAfterBreak="0">
    <w:nsid w:val="61ED061C"/>
    <w:multiLevelType w:val="multilevel"/>
    <w:tmpl w:val="28B058E6"/>
    <w:lvl w:ilvl="0">
      <w:start w:val="1"/>
      <w:numFmt w:val="decimal"/>
      <w:lvlText w:val="%1)"/>
      <w:lvlJc w:val="left"/>
      <w:pPr>
        <w:ind w:left="360" w:hanging="360"/>
      </w:pPr>
      <w:rPr>
        <w:b w:val="0"/>
        <w:lang w:val="en-G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4" w15:restartNumberingAfterBreak="0">
    <w:nsid w:val="62BD4FC3"/>
    <w:multiLevelType w:val="hybridMultilevel"/>
    <w:tmpl w:val="FFFFFFFF"/>
    <w:lvl w:ilvl="0" w:tplc="7B722F62">
      <w:start w:val="1"/>
      <w:numFmt w:val="bullet"/>
      <w:lvlText w:val=""/>
      <w:lvlJc w:val="left"/>
      <w:pPr>
        <w:ind w:left="720" w:hanging="360"/>
      </w:pPr>
      <w:rPr>
        <w:rFonts w:ascii="Symbol" w:hAnsi="Symbol" w:hint="default"/>
      </w:rPr>
    </w:lvl>
    <w:lvl w:ilvl="1" w:tplc="0FD0E0C0">
      <w:start w:val="1"/>
      <w:numFmt w:val="bullet"/>
      <w:lvlText w:val="o"/>
      <w:lvlJc w:val="left"/>
      <w:pPr>
        <w:ind w:left="1440" w:hanging="360"/>
      </w:pPr>
      <w:rPr>
        <w:rFonts w:ascii="Courier New" w:hAnsi="Courier New" w:hint="default"/>
      </w:rPr>
    </w:lvl>
    <w:lvl w:ilvl="2" w:tplc="E9863798">
      <w:start w:val="1"/>
      <w:numFmt w:val="bullet"/>
      <w:lvlText w:val=""/>
      <w:lvlJc w:val="left"/>
      <w:pPr>
        <w:ind w:left="2160" w:hanging="360"/>
      </w:pPr>
      <w:rPr>
        <w:rFonts w:ascii="Wingdings" w:hAnsi="Wingdings" w:hint="default"/>
      </w:rPr>
    </w:lvl>
    <w:lvl w:ilvl="3" w:tplc="2268516A">
      <w:start w:val="1"/>
      <w:numFmt w:val="bullet"/>
      <w:lvlText w:val=""/>
      <w:lvlJc w:val="left"/>
      <w:pPr>
        <w:ind w:left="2880" w:hanging="360"/>
      </w:pPr>
      <w:rPr>
        <w:rFonts w:ascii="Symbol" w:hAnsi="Symbol" w:hint="default"/>
      </w:rPr>
    </w:lvl>
    <w:lvl w:ilvl="4" w:tplc="A7E209B0">
      <w:start w:val="1"/>
      <w:numFmt w:val="bullet"/>
      <w:lvlText w:val="o"/>
      <w:lvlJc w:val="left"/>
      <w:pPr>
        <w:ind w:left="3600" w:hanging="360"/>
      </w:pPr>
      <w:rPr>
        <w:rFonts w:ascii="Courier New" w:hAnsi="Courier New" w:hint="default"/>
      </w:rPr>
    </w:lvl>
    <w:lvl w:ilvl="5" w:tplc="0114A4FC">
      <w:start w:val="1"/>
      <w:numFmt w:val="bullet"/>
      <w:lvlText w:val=""/>
      <w:lvlJc w:val="left"/>
      <w:pPr>
        <w:ind w:left="4320" w:hanging="360"/>
      </w:pPr>
      <w:rPr>
        <w:rFonts w:ascii="Wingdings" w:hAnsi="Wingdings" w:hint="default"/>
      </w:rPr>
    </w:lvl>
    <w:lvl w:ilvl="6" w:tplc="064E4C30">
      <w:start w:val="1"/>
      <w:numFmt w:val="bullet"/>
      <w:lvlText w:val=""/>
      <w:lvlJc w:val="left"/>
      <w:pPr>
        <w:ind w:left="5040" w:hanging="360"/>
      </w:pPr>
      <w:rPr>
        <w:rFonts w:ascii="Symbol" w:hAnsi="Symbol" w:hint="default"/>
      </w:rPr>
    </w:lvl>
    <w:lvl w:ilvl="7" w:tplc="5A5E2150">
      <w:start w:val="1"/>
      <w:numFmt w:val="bullet"/>
      <w:lvlText w:val="o"/>
      <w:lvlJc w:val="left"/>
      <w:pPr>
        <w:ind w:left="5760" w:hanging="360"/>
      </w:pPr>
      <w:rPr>
        <w:rFonts w:ascii="Courier New" w:hAnsi="Courier New" w:hint="default"/>
      </w:rPr>
    </w:lvl>
    <w:lvl w:ilvl="8" w:tplc="494084B6">
      <w:start w:val="1"/>
      <w:numFmt w:val="bullet"/>
      <w:lvlText w:val=""/>
      <w:lvlJc w:val="left"/>
      <w:pPr>
        <w:ind w:left="6480" w:hanging="360"/>
      </w:pPr>
      <w:rPr>
        <w:rFonts w:ascii="Wingdings" w:hAnsi="Wingdings" w:hint="default"/>
      </w:rPr>
    </w:lvl>
  </w:abstractNum>
  <w:abstractNum w:abstractNumId="295" w15:restartNumberingAfterBreak="0">
    <w:nsid w:val="632FFDB5"/>
    <w:multiLevelType w:val="hybridMultilevel"/>
    <w:tmpl w:val="FFFFFFFF"/>
    <w:lvl w:ilvl="0" w:tplc="B39CFD28">
      <w:start w:val="4"/>
      <w:numFmt w:val="lowerLetter"/>
      <w:lvlText w:val="%1)"/>
      <w:lvlJc w:val="left"/>
      <w:pPr>
        <w:ind w:left="720" w:hanging="360"/>
      </w:pPr>
    </w:lvl>
    <w:lvl w:ilvl="1" w:tplc="9460C798">
      <w:start w:val="1"/>
      <w:numFmt w:val="lowerLetter"/>
      <w:lvlText w:val="%2."/>
      <w:lvlJc w:val="left"/>
      <w:pPr>
        <w:ind w:left="1440" w:hanging="360"/>
      </w:pPr>
    </w:lvl>
    <w:lvl w:ilvl="2" w:tplc="99C806AC">
      <w:start w:val="1"/>
      <w:numFmt w:val="lowerRoman"/>
      <w:lvlText w:val="%3."/>
      <w:lvlJc w:val="right"/>
      <w:pPr>
        <w:ind w:left="2160" w:hanging="180"/>
      </w:pPr>
    </w:lvl>
    <w:lvl w:ilvl="3" w:tplc="53322BC6">
      <w:start w:val="1"/>
      <w:numFmt w:val="decimal"/>
      <w:lvlText w:val="%4."/>
      <w:lvlJc w:val="left"/>
      <w:pPr>
        <w:ind w:left="2880" w:hanging="360"/>
      </w:pPr>
    </w:lvl>
    <w:lvl w:ilvl="4" w:tplc="909C3D82">
      <w:start w:val="1"/>
      <w:numFmt w:val="lowerLetter"/>
      <w:lvlText w:val="%5."/>
      <w:lvlJc w:val="left"/>
      <w:pPr>
        <w:ind w:left="3600" w:hanging="360"/>
      </w:pPr>
    </w:lvl>
    <w:lvl w:ilvl="5" w:tplc="1F86DECE">
      <w:start w:val="1"/>
      <w:numFmt w:val="lowerRoman"/>
      <w:lvlText w:val="%6."/>
      <w:lvlJc w:val="right"/>
      <w:pPr>
        <w:ind w:left="4320" w:hanging="180"/>
      </w:pPr>
    </w:lvl>
    <w:lvl w:ilvl="6" w:tplc="1CB8375C">
      <w:start w:val="1"/>
      <w:numFmt w:val="decimal"/>
      <w:lvlText w:val="%7."/>
      <w:lvlJc w:val="left"/>
      <w:pPr>
        <w:ind w:left="5040" w:hanging="360"/>
      </w:pPr>
    </w:lvl>
    <w:lvl w:ilvl="7" w:tplc="425C37B6">
      <w:start w:val="1"/>
      <w:numFmt w:val="lowerLetter"/>
      <w:lvlText w:val="%8."/>
      <w:lvlJc w:val="left"/>
      <w:pPr>
        <w:ind w:left="5760" w:hanging="360"/>
      </w:pPr>
    </w:lvl>
    <w:lvl w:ilvl="8" w:tplc="B5809BAA">
      <w:start w:val="1"/>
      <w:numFmt w:val="lowerRoman"/>
      <w:lvlText w:val="%9."/>
      <w:lvlJc w:val="right"/>
      <w:pPr>
        <w:ind w:left="6480" w:hanging="180"/>
      </w:pPr>
    </w:lvl>
  </w:abstractNum>
  <w:abstractNum w:abstractNumId="296" w15:restartNumberingAfterBreak="0">
    <w:nsid w:val="63882512"/>
    <w:multiLevelType w:val="hybridMultilevel"/>
    <w:tmpl w:val="FFFFFFFF"/>
    <w:lvl w:ilvl="0" w:tplc="DA56943A">
      <w:start w:val="3"/>
      <w:numFmt w:val="decimal"/>
      <w:lvlText w:val="%1."/>
      <w:lvlJc w:val="left"/>
      <w:pPr>
        <w:ind w:left="720" w:hanging="360"/>
      </w:pPr>
    </w:lvl>
    <w:lvl w:ilvl="1" w:tplc="E06E79FC">
      <w:start w:val="1"/>
      <w:numFmt w:val="lowerLetter"/>
      <w:lvlText w:val="%2."/>
      <w:lvlJc w:val="left"/>
      <w:pPr>
        <w:ind w:left="1440" w:hanging="360"/>
      </w:pPr>
    </w:lvl>
    <w:lvl w:ilvl="2" w:tplc="5B3204F6">
      <w:start w:val="1"/>
      <w:numFmt w:val="lowerRoman"/>
      <w:lvlText w:val="%3."/>
      <w:lvlJc w:val="right"/>
      <w:pPr>
        <w:ind w:left="2160" w:hanging="180"/>
      </w:pPr>
    </w:lvl>
    <w:lvl w:ilvl="3" w:tplc="9370B82C">
      <w:start w:val="1"/>
      <w:numFmt w:val="decimal"/>
      <w:lvlText w:val="%4."/>
      <w:lvlJc w:val="left"/>
      <w:pPr>
        <w:ind w:left="2880" w:hanging="360"/>
      </w:pPr>
    </w:lvl>
    <w:lvl w:ilvl="4" w:tplc="08A610D0">
      <w:start w:val="1"/>
      <w:numFmt w:val="lowerLetter"/>
      <w:lvlText w:val="%5."/>
      <w:lvlJc w:val="left"/>
      <w:pPr>
        <w:ind w:left="3600" w:hanging="360"/>
      </w:pPr>
    </w:lvl>
    <w:lvl w:ilvl="5" w:tplc="3E76C1A6">
      <w:start w:val="1"/>
      <w:numFmt w:val="lowerRoman"/>
      <w:lvlText w:val="%6."/>
      <w:lvlJc w:val="right"/>
      <w:pPr>
        <w:ind w:left="4320" w:hanging="180"/>
      </w:pPr>
    </w:lvl>
    <w:lvl w:ilvl="6" w:tplc="9B8CE7AE">
      <w:start w:val="1"/>
      <w:numFmt w:val="decimal"/>
      <w:lvlText w:val="%7."/>
      <w:lvlJc w:val="left"/>
      <w:pPr>
        <w:ind w:left="5040" w:hanging="360"/>
      </w:pPr>
    </w:lvl>
    <w:lvl w:ilvl="7" w:tplc="9EB86138">
      <w:start w:val="1"/>
      <w:numFmt w:val="lowerLetter"/>
      <w:lvlText w:val="%8."/>
      <w:lvlJc w:val="left"/>
      <w:pPr>
        <w:ind w:left="5760" w:hanging="360"/>
      </w:pPr>
    </w:lvl>
    <w:lvl w:ilvl="8" w:tplc="14DE07BA">
      <w:start w:val="1"/>
      <w:numFmt w:val="lowerRoman"/>
      <w:lvlText w:val="%9."/>
      <w:lvlJc w:val="right"/>
      <w:pPr>
        <w:ind w:left="6480" w:hanging="180"/>
      </w:pPr>
    </w:lvl>
  </w:abstractNum>
  <w:abstractNum w:abstractNumId="297" w15:restartNumberingAfterBreak="0">
    <w:nsid w:val="63A2F5E5"/>
    <w:multiLevelType w:val="hybridMultilevel"/>
    <w:tmpl w:val="FFFFFFFF"/>
    <w:lvl w:ilvl="0" w:tplc="7F403FBE">
      <w:start w:val="1"/>
      <w:numFmt w:val="lowerLetter"/>
      <w:lvlText w:val="%1."/>
      <w:lvlJc w:val="left"/>
      <w:pPr>
        <w:ind w:left="720" w:hanging="360"/>
      </w:pPr>
    </w:lvl>
    <w:lvl w:ilvl="1" w:tplc="BA7824CE">
      <w:start w:val="1"/>
      <w:numFmt w:val="lowerLetter"/>
      <w:lvlText w:val="%2."/>
      <w:lvlJc w:val="left"/>
      <w:pPr>
        <w:ind w:left="1440" w:hanging="360"/>
      </w:pPr>
    </w:lvl>
    <w:lvl w:ilvl="2" w:tplc="59EAFD18">
      <w:start w:val="1"/>
      <w:numFmt w:val="lowerRoman"/>
      <w:lvlText w:val="%3."/>
      <w:lvlJc w:val="right"/>
      <w:pPr>
        <w:ind w:left="2160" w:hanging="180"/>
      </w:pPr>
    </w:lvl>
    <w:lvl w:ilvl="3" w:tplc="114E4A98">
      <w:start w:val="1"/>
      <w:numFmt w:val="decimal"/>
      <w:lvlText w:val="%4."/>
      <w:lvlJc w:val="left"/>
      <w:pPr>
        <w:ind w:left="2880" w:hanging="360"/>
      </w:pPr>
    </w:lvl>
    <w:lvl w:ilvl="4" w:tplc="0B341ABE">
      <w:start w:val="1"/>
      <w:numFmt w:val="lowerLetter"/>
      <w:lvlText w:val="%5."/>
      <w:lvlJc w:val="left"/>
      <w:pPr>
        <w:ind w:left="3600" w:hanging="360"/>
      </w:pPr>
    </w:lvl>
    <w:lvl w:ilvl="5" w:tplc="6B900022">
      <w:start w:val="1"/>
      <w:numFmt w:val="lowerRoman"/>
      <w:lvlText w:val="%6."/>
      <w:lvlJc w:val="right"/>
      <w:pPr>
        <w:ind w:left="4320" w:hanging="180"/>
      </w:pPr>
    </w:lvl>
    <w:lvl w:ilvl="6" w:tplc="4EBCF66A">
      <w:start w:val="1"/>
      <w:numFmt w:val="decimal"/>
      <w:lvlText w:val="%7."/>
      <w:lvlJc w:val="left"/>
      <w:pPr>
        <w:ind w:left="5040" w:hanging="360"/>
      </w:pPr>
    </w:lvl>
    <w:lvl w:ilvl="7" w:tplc="E65E5CC2">
      <w:start w:val="1"/>
      <w:numFmt w:val="lowerLetter"/>
      <w:lvlText w:val="%8."/>
      <w:lvlJc w:val="left"/>
      <w:pPr>
        <w:ind w:left="5760" w:hanging="360"/>
      </w:pPr>
    </w:lvl>
    <w:lvl w:ilvl="8" w:tplc="E96EB100">
      <w:start w:val="1"/>
      <w:numFmt w:val="lowerRoman"/>
      <w:lvlText w:val="%9."/>
      <w:lvlJc w:val="right"/>
      <w:pPr>
        <w:ind w:left="6480" w:hanging="180"/>
      </w:pPr>
    </w:lvl>
  </w:abstractNum>
  <w:abstractNum w:abstractNumId="298" w15:restartNumberingAfterBreak="0">
    <w:nsid w:val="63C85AF6"/>
    <w:multiLevelType w:val="hybridMultilevel"/>
    <w:tmpl w:val="FFFFFFFF"/>
    <w:lvl w:ilvl="0" w:tplc="02A28138">
      <w:start w:val="1"/>
      <w:numFmt w:val="bullet"/>
      <w:lvlText w:val=""/>
      <w:lvlJc w:val="left"/>
      <w:pPr>
        <w:ind w:left="720" w:hanging="360"/>
      </w:pPr>
      <w:rPr>
        <w:rFonts w:ascii="Symbol" w:hAnsi="Symbol" w:hint="default"/>
      </w:rPr>
    </w:lvl>
    <w:lvl w:ilvl="1" w:tplc="DA660D3E">
      <w:start w:val="1"/>
      <w:numFmt w:val="bullet"/>
      <w:lvlText w:val="o"/>
      <w:lvlJc w:val="left"/>
      <w:pPr>
        <w:ind w:left="1440" w:hanging="360"/>
      </w:pPr>
      <w:rPr>
        <w:rFonts w:ascii="Courier New" w:hAnsi="Courier New" w:hint="default"/>
      </w:rPr>
    </w:lvl>
    <w:lvl w:ilvl="2" w:tplc="56BCBF32">
      <w:start w:val="1"/>
      <w:numFmt w:val="bullet"/>
      <w:lvlText w:val=""/>
      <w:lvlJc w:val="left"/>
      <w:pPr>
        <w:ind w:left="2160" w:hanging="360"/>
      </w:pPr>
      <w:rPr>
        <w:rFonts w:ascii="Wingdings" w:hAnsi="Wingdings" w:hint="default"/>
      </w:rPr>
    </w:lvl>
    <w:lvl w:ilvl="3" w:tplc="6C8808EA">
      <w:start w:val="1"/>
      <w:numFmt w:val="bullet"/>
      <w:lvlText w:val=""/>
      <w:lvlJc w:val="left"/>
      <w:pPr>
        <w:ind w:left="2880" w:hanging="360"/>
      </w:pPr>
      <w:rPr>
        <w:rFonts w:ascii="Symbol" w:hAnsi="Symbol" w:hint="default"/>
      </w:rPr>
    </w:lvl>
    <w:lvl w:ilvl="4" w:tplc="740A15D2">
      <w:start w:val="1"/>
      <w:numFmt w:val="bullet"/>
      <w:lvlText w:val="o"/>
      <w:lvlJc w:val="left"/>
      <w:pPr>
        <w:ind w:left="3600" w:hanging="360"/>
      </w:pPr>
      <w:rPr>
        <w:rFonts w:ascii="Courier New" w:hAnsi="Courier New" w:hint="default"/>
      </w:rPr>
    </w:lvl>
    <w:lvl w:ilvl="5" w:tplc="79ECF450">
      <w:start w:val="1"/>
      <w:numFmt w:val="bullet"/>
      <w:lvlText w:val=""/>
      <w:lvlJc w:val="left"/>
      <w:pPr>
        <w:ind w:left="4320" w:hanging="360"/>
      </w:pPr>
      <w:rPr>
        <w:rFonts w:ascii="Wingdings" w:hAnsi="Wingdings" w:hint="default"/>
      </w:rPr>
    </w:lvl>
    <w:lvl w:ilvl="6" w:tplc="40C4161C">
      <w:start w:val="1"/>
      <w:numFmt w:val="bullet"/>
      <w:lvlText w:val=""/>
      <w:lvlJc w:val="left"/>
      <w:pPr>
        <w:ind w:left="5040" w:hanging="360"/>
      </w:pPr>
      <w:rPr>
        <w:rFonts w:ascii="Symbol" w:hAnsi="Symbol" w:hint="default"/>
      </w:rPr>
    </w:lvl>
    <w:lvl w:ilvl="7" w:tplc="6FFC9A60">
      <w:start w:val="1"/>
      <w:numFmt w:val="bullet"/>
      <w:lvlText w:val="o"/>
      <w:lvlJc w:val="left"/>
      <w:pPr>
        <w:ind w:left="5760" w:hanging="360"/>
      </w:pPr>
      <w:rPr>
        <w:rFonts w:ascii="Courier New" w:hAnsi="Courier New" w:hint="default"/>
      </w:rPr>
    </w:lvl>
    <w:lvl w:ilvl="8" w:tplc="CA6C4E36">
      <w:start w:val="1"/>
      <w:numFmt w:val="bullet"/>
      <w:lvlText w:val=""/>
      <w:lvlJc w:val="left"/>
      <w:pPr>
        <w:ind w:left="6480" w:hanging="360"/>
      </w:pPr>
      <w:rPr>
        <w:rFonts w:ascii="Wingdings" w:hAnsi="Wingdings" w:hint="default"/>
      </w:rPr>
    </w:lvl>
  </w:abstractNum>
  <w:abstractNum w:abstractNumId="299" w15:restartNumberingAfterBreak="0">
    <w:nsid w:val="64252A22"/>
    <w:multiLevelType w:val="hybridMultilevel"/>
    <w:tmpl w:val="FFFFFFFF"/>
    <w:lvl w:ilvl="0" w:tplc="740C5A50">
      <w:start w:val="1"/>
      <w:numFmt w:val="bullet"/>
      <w:lvlText w:val="o"/>
      <w:lvlJc w:val="left"/>
      <w:pPr>
        <w:ind w:left="1080" w:hanging="360"/>
      </w:pPr>
      <w:rPr>
        <w:rFonts w:ascii="Courier New" w:hAnsi="Courier New" w:hint="default"/>
      </w:rPr>
    </w:lvl>
    <w:lvl w:ilvl="1" w:tplc="40460746">
      <w:start w:val="1"/>
      <w:numFmt w:val="bullet"/>
      <w:lvlText w:val="o"/>
      <w:lvlJc w:val="left"/>
      <w:pPr>
        <w:ind w:left="1440" w:hanging="360"/>
      </w:pPr>
      <w:rPr>
        <w:rFonts w:ascii="Courier New" w:hAnsi="Courier New" w:hint="default"/>
      </w:rPr>
    </w:lvl>
    <w:lvl w:ilvl="2" w:tplc="809A3652">
      <w:start w:val="1"/>
      <w:numFmt w:val="bullet"/>
      <w:lvlText w:val=""/>
      <w:lvlJc w:val="left"/>
      <w:pPr>
        <w:ind w:left="2160" w:hanging="360"/>
      </w:pPr>
      <w:rPr>
        <w:rFonts w:ascii="Wingdings" w:hAnsi="Wingdings" w:hint="default"/>
      </w:rPr>
    </w:lvl>
    <w:lvl w:ilvl="3" w:tplc="3F3EAA14">
      <w:start w:val="1"/>
      <w:numFmt w:val="bullet"/>
      <w:lvlText w:val=""/>
      <w:lvlJc w:val="left"/>
      <w:pPr>
        <w:ind w:left="2880" w:hanging="360"/>
      </w:pPr>
      <w:rPr>
        <w:rFonts w:ascii="Symbol" w:hAnsi="Symbol" w:hint="default"/>
      </w:rPr>
    </w:lvl>
    <w:lvl w:ilvl="4" w:tplc="6ABC4D40">
      <w:start w:val="1"/>
      <w:numFmt w:val="bullet"/>
      <w:lvlText w:val="o"/>
      <w:lvlJc w:val="left"/>
      <w:pPr>
        <w:ind w:left="3600" w:hanging="360"/>
      </w:pPr>
      <w:rPr>
        <w:rFonts w:ascii="Courier New" w:hAnsi="Courier New" w:hint="default"/>
      </w:rPr>
    </w:lvl>
    <w:lvl w:ilvl="5" w:tplc="11A2CD54">
      <w:start w:val="1"/>
      <w:numFmt w:val="bullet"/>
      <w:lvlText w:val=""/>
      <w:lvlJc w:val="left"/>
      <w:pPr>
        <w:ind w:left="4320" w:hanging="360"/>
      </w:pPr>
      <w:rPr>
        <w:rFonts w:ascii="Wingdings" w:hAnsi="Wingdings" w:hint="default"/>
      </w:rPr>
    </w:lvl>
    <w:lvl w:ilvl="6" w:tplc="AF303862">
      <w:start w:val="1"/>
      <w:numFmt w:val="bullet"/>
      <w:lvlText w:val=""/>
      <w:lvlJc w:val="left"/>
      <w:pPr>
        <w:ind w:left="5040" w:hanging="360"/>
      </w:pPr>
      <w:rPr>
        <w:rFonts w:ascii="Symbol" w:hAnsi="Symbol" w:hint="default"/>
      </w:rPr>
    </w:lvl>
    <w:lvl w:ilvl="7" w:tplc="7EACFFC0">
      <w:start w:val="1"/>
      <w:numFmt w:val="bullet"/>
      <w:lvlText w:val="o"/>
      <w:lvlJc w:val="left"/>
      <w:pPr>
        <w:ind w:left="5760" w:hanging="360"/>
      </w:pPr>
      <w:rPr>
        <w:rFonts w:ascii="Courier New" w:hAnsi="Courier New" w:hint="default"/>
      </w:rPr>
    </w:lvl>
    <w:lvl w:ilvl="8" w:tplc="1A5A42E4">
      <w:start w:val="1"/>
      <w:numFmt w:val="bullet"/>
      <w:lvlText w:val=""/>
      <w:lvlJc w:val="left"/>
      <w:pPr>
        <w:ind w:left="6480" w:hanging="360"/>
      </w:pPr>
      <w:rPr>
        <w:rFonts w:ascii="Wingdings" w:hAnsi="Wingdings" w:hint="default"/>
      </w:rPr>
    </w:lvl>
  </w:abstractNum>
  <w:abstractNum w:abstractNumId="300" w15:restartNumberingAfterBreak="0">
    <w:nsid w:val="646C51D4"/>
    <w:multiLevelType w:val="hybridMultilevel"/>
    <w:tmpl w:val="FFFFFFFF"/>
    <w:lvl w:ilvl="0" w:tplc="A58C6272">
      <w:start w:val="1"/>
      <w:numFmt w:val="bullet"/>
      <w:lvlText w:val="·"/>
      <w:lvlJc w:val="left"/>
      <w:pPr>
        <w:ind w:left="720" w:hanging="360"/>
      </w:pPr>
      <w:rPr>
        <w:rFonts w:ascii="Symbol" w:hAnsi="Symbol" w:hint="default"/>
      </w:rPr>
    </w:lvl>
    <w:lvl w:ilvl="1" w:tplc="2CE4784C">
      <w:start w:val="1"/>
      <w:numFmt w:val="bullet"/>
      <w:lvlText w:val="o"/>
      <w:lvlJc w:val="left"/>
      <w:pPr>
        <w:ind w:left="1440" w:hanging="360"/>
      </w:pPr>
      <w:rPr>
        <w:rFonts w:ascii="Courier New" w:hAnsi="Courier New" w:hint="default"/>
      </w:rPr>
    </w:lvl>
    <w:lvl w:ilvl="2" w:tplc="65CCB502">
      <w:start w:val="1"/>
      <w:numFmt w:val="bullet"/>
      <w:lvlText w:val=""/>
      <w:lvlJc w:val="left"/>
      <w:pPr>
        <w:ind w:left="2160" w:hanging="360"/>
      </w:pPr>
      <w:rPr>
        <w:rFonts w:ascii="Wingdings" w:hAnsi="Wingdings" w:hint="default"/>
      </w:rPr>
    </w:lvl>
    <w:lvl w:ilvl="3" w:tplc="9E7ECED0">
      <w:start w:val="1"/>
      <w:numFmt w:val="bullet"/>
      <w:lvlText w:val=""/>
      <w:lvlJc w:val="left"/>
      <w:pPr>
        <w:ind w:left="2880" w:hanging="360"/>
      </w:pPr>
      <w:rPr>
        <w:rFonts w:ascii="Symbol" w:hAnsi="Symbol" w:hint="default"/>
      </w:rPr>
    </w:lvl>
    <w:lvl w:ilvl="4" w:tplc="AA142F2E">
      <w:start w:val="1"/>
      <w:numFmt w:val="bullet"/>
      <w:lvlText w:val="o"/>
      <w:lvlJc w:val="left"/>
      <w:pPr>
        <w:ind w:left="3600" w:hanging="360"/>
      </w:pPr>
      <w:rPr>
        <w:rFonts w:ascii="Courier New" w:hAnsi="Courier New" w:hint="default"/>
      </w:rPr>
    </w:lvl>
    <w:lvl w:ilvl="5" w:tplc="69B814AA">
      <w:start w:val="1"/>
      <w:numFmt w:val="bullet"/>
      <w:lvlText w:val=""/>
      <w:lvlJc w:val="left"/>
      <w:pPr>
        <w:ind w:left="4320" w:hanging="360"/>
      </w:pPr>
      <w:rPr>
        <w:rFonts w:ascii="Wingdings" w:hAnsi="Wingdings" w:hint="default"/>
      </w:rPr>
    </w:lvl>
    <w:lvl w:ilvl="6" w:tplc="02085D68">
      <w:start w:val="1"/>
      <w:numFmt w:val="bullet"/>
      <w:lvlText w:val=""/>
      <w:lvlJc w:val="left"/>
      <w:pPr>
        <w:ind w:left="5040" w:hanging="360"/>
      </w:pPr>
      <w:rPr>
        <w:rFonts w:ascii="Symbol" w:hAnsi="Symbol" w:hint="default"/>
      </w:rPr>
    </w:lvl>
    <w:lvl w:ilvl="7" w:tplc="B8D4322E">
      <w:start w:val="1"/>
      <w:numFmt w:val="bullet"/>
      <w:lvlText w:val="o"/>
      <w:lvlJc w:val="left"/>
      <w:pPr>
        <w:ind w:left="5760" w:hanging="360"/>
      </w:pPr>
      <w:rPr>
        <w:rFonts w:ascii="Courier New" w:hAnsi="Courier New" w:hint="default"/>
      </w:rPr>
    </w:lvl>
    <w:lvl w:ilvl="8" w:tplc="986AA796">
      <w:start w:val="1"/>
      <w:numFmt w:val="bullet"/>
      <w:lvlText w:val=""/>
      <w:lvlJc w:val="left"/>
      <w:pPr>
        <w:ind w:left="6480" w:hanging="360"/>
      </w:pPr>
      <w:rPr>
        <w:rFonts w:ascii="Wingdings" w:hAnsi="Wingdings" w:hint="default"/>
      </w:rPr>
    </w:lvl>
  </w:abstractNum>
  <w:abstractNum w:abstractNumId="301" w15:restartNumberingAfterBreak="0">
    <w:nsid w:val="648C0B8D"/>
    <w:multiLevelType w:val="multilevel"/>
    <w:tmpl w:val="E9920ED6"/>
    <w:lvl w:ilvl="0">
      <w:start w:val="1"/>
      <w:numFmt w:val="bullet"/>
      <w:lvlText w:val=""/>
      <w:lvlJc w:val="left"/>
      <w:pPr>
        <w:ind w:left="720" w:hanging="360"/>
      </w:pPr>
      <w:rPr>
        <w:rFonts w:ascii="Symbol" w:hAnsi="Symbol" w:hint="default"/>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2"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3" w15:restartNumberingAfterBreak="0">
    <w:nsid w:val="65A408F9"/>
    <w:multiLevelType w:val="multilevel"/>
    <w:tmpl w:val="D27C93F8"/>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4" w15:restartNumberingAfterBreak="0">
    <w:nsid w:val="65E801D8"/>
    <w:multiLevelType w:val="hybridMultilevel"/>
    <w:tmpl w:val="FFFFFFFF"/>
    <w:lvl w:ilvl="0" w:tplc="DBF6F5FC">
      <w:start w:val="2"/>
      <w:numFmt w:val="lowerRoman"/>
      <w:lvlText w:val="%1."/>
      <w:lvlJc w:val="right"/>
      <w:pPr>
        <w:ind w:left="1080" w:hanging="360"/>
      </w:pPr>
    </w:lvl>
    <w:lvl w:ilvl="1" w:tplc="8C5C4A66">
      <w:start w:val="1"/>
      <w:numFmt w:val="lowerLetter"/>
      <w:lvlText w:val="%2."/>
      <w:lvlJc w:val="left"/>
      <w:pPr>
        <w:ind w:left="1440" w:hanging="360"/>
      </w:pPr>
    </w:lvl>
    <w:lvl w:ilvl="2" w:tplc="B406ED74">
      <w:start w:val="1"/>
      <w:numFmt w:val="lowerRoman"/>
      <w:lvlText w:val="%3."/>
      <w:lvlJc w:val="right"/>
      <w:pPr>
        <w:ind w:left="2160" w:hanging="180"/>
      </w:pPr>
    </w:lvl>
    <w:lvl w:ilvl="3" w:tplc="09705C5C">
      <w:start w:val="1"/>
      <w:numFmt w:val="decimal"/>
      <w:lvlText w:val="%4."/>
      <w:lvlJc w:val="left"/>
      <w:pPr>
        <w:ind w:left="2880" w:hanging="360"/>
      </w:pPr>
    </w:lvl>
    <w:lvl w:ilvl="4" w:tplc="9F3ADF72">
      <w:start w:val="1"/>
      <w:numFmt w:val="lowerLetter"/>
      <w:lvlText w:val="%5."/>
      <w:lvlJc w:val="left"/>
      <w:pPr>
        <w:ind w:left="3600" w:hanging="360"/>
      </w:pPr>
    </w:lvl>
    <w:lvl w:ilvl="5" w:tplc="93BE4F28">
      <w:start w:val="1"/>
      <w:numFmt w:val="lowerRoman"/>
      <w:lvlText w:val="%6."/>
      <w:lvlJc w:val="right"/>
      <w:pPr>
        <w:ind w:left="4320" w:hanging="180"/>
      </w:pPr>
    </w:lvl>
    <w:lvl w:ilvl="6" w:tplc="40A69732">
      <w:start w:val="1"/>
      <w:numFmt w:val="decimal"/>
      <w:lvlText w:val="%7."/>
      <w:lvlJc w:val="left"/>
      <w:pPr>
        <w:ind w:left="5040" w:hanging="360"/>
      </w:pPr>
    </w:lvl>
    <w:lvl w:ilvl="7" w:tplc="CBD8B8E6">
      <w:start w:val="1"/>
      <w:numFmt w:val="lowerLetter"/>
      <w:lvlText w:val="%8."/>
      <w:lvlJc w:val="left"/>
      <w:pPr>
        <w:ind w:left="5760" w:hanging="360"/>
      </w:pPr>
    </w:lvl>
    <w:lvl w:ilvl="8" w:tplc="EC809E6A">
      <w:start w:val="1"/>
      <w:numFmt w:val="lowerRoman"/>
      <w:lvlText w:val="%9."/>
      <w:lvlJc w:val="right"/>
      <w:pPr>
        <w:ind w:left="6480" w:hanging="180"/>
      </w:pPr>
    </w:lvl>
  </w:abstractNum>
  <w:abstractNum w:abstractNumId="305" w15:restartNumberingAfterBreak="0">
    <w:nsid w:val="66827E1C"/>
    <w:multiLevelType w:val="hybridMultilevel"/>
    <w:tmpl w:val="FFFFFFFF"/>
    <w:lvl w:ilvl="0" w:tplc="B2B8F0C4">
      <w:start w:val="1"/>
      <w:numFmt w:val="bullet"/>
      <w:lvlText w:val="·"/>
      <w:lvlJc w:val="left"/>
      <w:pPr>
        <w:ind w:left="720" w:hanging="360"/>
      </w:pPr>
      <w:rPr>
        <w:rFonts w:ascii="Symbol" w:hAnsi="Symbol" w:hint="default"/>
      </w:rPr>
    </w:lvl>
    <w:lvl w:ilvl="1" w:tplc="578AC5B4">
      <w:start w:val="1"/>
      <w:numFmt w:val="bullet"/>
      <w:lvlText w:val="o"/>
      <w:lvlJc w:val="left"/>
      <w:pPr>
        <w:ind w:left="1440" w:hanging="360"/>
      </w:pPr>
      <w:rPr>
        <w:rFonts w:ascii="Courier New" w:hAnsi="Courier New" w:hint="default"/>
      </w:rPr>
    </w:lvl>
    <w:lvl w:ilvl="2" w:tplc="1E42286A">
      <w:start w:val="1"/>
      <w:numFmt w:val="bullet"/>
      <w:lvlText w:val=""/>
      <w:lvlJc w:val="left"/>
      <w:pPr>
        <w:ind w:left="2160" w:hanging="360"/>
      </w:pPr>
      <w:rPr>
        <w:rFonts w:ascii="Wingdings" w:hAnsi="Wingdings" w:hint="default"/>
      </w:rPr>
    </w:lvl>
    <w:lvl w:ilvl="3" w:tplc="C1F42108">
      <w:start w:val="1"/>
      <w:numFmt w:val="bullet"/>
      <w:lvlText w:val=""/>
      <w:lvlJc w:val="left"/>
      <w:pPr>
        <w:ind w:left="2880" w:hanging="360"/>
      </w:pPr>
      <w:rPr>
        <w:rFonts w:ascii="Symbol" w:hAnsi="Symbol" w:hint="default"/>
      </w:rPr>
    </w:lvl>
    <w:lvl w:ilvl="4" w:tplc="910C0C64">
      <w:start w:val="1"/>
      <w:numFmt w:val="bullet"/>
      <w:lvlText w:val="o"/>
      <w:lvlJc w:val="left"/>
      <w:pPr>
        <w:ind w:left="3600" w:hanging="360"/>
      </w:pPr>
      <w:rPr>
        <w:rFonts w:ascii="Courier New" w:hAnsi="Courier New" w:hint="default"/>
      </w:rPr>
    </w:lvl>
    <w:lvl w:ilvl="5" w:tplc="BF7471D2">
      <w:start w:val="1"/>
      <w:numFmt w:val="bullet"/>
      <w:lvlText w:val=""/>
      <w:lvlJc w:val="left"/>
      <w:pPr>
        <w:ind w:left="4320" w:hanging="360"/>
      </w:pPr>
      <w:rPr>
        <w:rFonts w:ascii="Wingdings" w:hAnsi="Wingdings" w:hint="default"/>
      </w:rPr>
    </w:lvl>
    <w:lvl w:ilvl="6" w:tplc="F110AF0C">
      <w:start w:val="1"/>
      <w:numFmt w:val="bullet"/>
      <w:lvlText w:val=""/>
      <w:lvlJc w:val="left"/>
      <w:pPr>
        <w:ind w:left="5040" w:hanging="360"/>
      </w:pPr>
      <w:rPr>
        <w:rFonts w:ascii="Symbol" w:hAnsi="Symbol" w:hint="default"/>
      </w:rPr>
    </w:lvl>
    <w:lvl w:ilvl="7" w:tplc="EC58856A">
      <w:start w:val="1"/>
      <w:numFmt w:val="bullet"/>
      <w:lvlText w:val="o"/>
      <w:lvlJc w:val="left"/>
      <w:pPr>
        <w:ind w:left="5760" w:hanging="360"/>
      </w:pPr>
      <w:rPr>
        <w:rFonts w:ascii="Courier New" w:hAnsi="Courier New" w:hint="default"/>
      </w:rPr>
    </w:lvl>
    <w:lvl w:ilvl="8" w:tplc="CFF44104">
      <w:start w:val="1"/>
      <w:numFmt w:val="bullet"/>
      <w:lvlText w:val=""/>
      <w:lvlJc w:val="left"/>
      <w:pPr>
        <w:ind w:left="6480" w:hanging="360"/>
      </w:pPr>
      <w:rPr>
        <w:rFonts w:ascii="Wingdings" w:hAnsi="Wingdings" w:hint="default"/>
      </w:rPr>
    </w:lvl>
  </w:abstractNum>
  <w:abstractNum w:abstractNumId="306" w15:restartNumberingAfterBreak="0">
    <w:nsid w:val="66D349B4"/>
    <w:multiLevelType w:val="hybridMultilevel"/>
    <w:tmpl w:val="FFFFFFFF"/>
    <w:lvl w:ilvl="0" w:tplc="7F88F9D4">
      <w:start w:val="1"/>
      <w:numFmt w:val="decimal"/>
      <w:lvlText w:val="%1."/>
      <w:lvlJc w:val="left"/>
      <w:pPr>
        <w:ind w:left="720" w:hanging="360"/>
      </w:pPr>
    </w:lvl>
    <w:lvl w:ilvl="1" w:tplc="C40CA274">
      <w:start w:val="1"/>
      <w:numFmt w:val="lowerLetter"/>
      <w:lvlText w:val="%2."/>
      <w:lvlJc w:val="left"/>
      <w:pPr>
        <w:ind w:left="1440" w:hanging="360"/>
      </w:pPr>
    </w:lvl>
    <w:lvl w:ilvl="2" w:tplc="B0D8E618">
      <w:start w:val="1"/>
      <w:numFmt w:val="lowerRoman"/>
      <w:lvlText w:val="%3."/>
      <w:lvlJc w:val="right"/>
      <w:pPr>
        <w:ind w:left="2160" w:hanging="180"/>
      </w:pPr>
    </w:lvl>
    <w:lvl w:ilvl="3" w:tplc="B48AAB32">
      <w:start w:val="1"/>
      <w:numFmt w:val="decimal"/>
      <w:lvlText w:val="%4."/>
      <w:lvlJc w:val="left"/>
      <w:pPr>
        <w:ind w:left="2880" w:hanging="360"/>
      </w:pPr>
    </w:lvl>
    <w:lvl w:ilvl="4" w:tplc="0F962936">
      <w:start w:val="1"/>
      <w:numFmt w:val="lowerLetter"/>
      <w:lvlText w:val="%5."/>
      <w:lvlJc w:val="left"/>
      <w:pPr>
        <w:ind w:left="3600" w:hanging="360"/>
      </w:pPr>
    </w:lvl>
    <w:lvl w:ilvl="5" w:tplc="688A0556">
      <w:start w:val="1"/>
      <w:numFmt w:val="lowerRoman"/>
      <w:lvlText w:val="%6."/>
      <w:lvlJc w:val="right"/>
      <w:pPr>
        <w:ind w:left="4320" w:hanging="180"/>
      </w:pPr>
    </w:lvl>
    <w:lvl w:ilvl="6" w:tplc="188270D4">
      <w:start w:val="1"/>
      <w:numFmt w:val="decimal"/>
      <w:lvlText w:val="%7."/>
      <w:lvlJc w:val="left"/>
      <w:pPr>
        <w:ind w:left="5040" w:hanging="360"/>
      </w:pPr>
    </w:lvl>
    <w:lvl w:ilvl="7" w:tplc="DDF49DEE">
      <w:start w:val="1"/>
      <w:numFmt w:val="lowerLetter"/>
      <w:lvlText w:val="%8."/>
      <w:lvlJc w:val="left"/>
      <w:pPr>
        <w:ind w:left="5760" w:hanging="360"/>
      </w:pPr>
    </w:lvl>
    <w:lvl w:ilvl="8" w:tplc="5CE2A8D2">
      <w:start w:val="1"/>
      <w:numFmt w:val="lowerRoman"/>
      <w:lvlText w:val="%9."/>
      <w:lvlJc w:val="right"/>
      <w:pPr>
        <w:ind w:left="6480" w:hanging="180"/>
      </w:pPr>
    </w:lvl>
  </w:abstractNum>
  <w:abstractNum w:abstractNumId="307" w15:restartNumberingAfterBreak="0">
    <w:nsid w:val="67032357"/>
    <w:multiLevelType w:val="hybridMultilevel"/>
    <w:tmpl w:val="FFFFFFFF"/>
    <w:lvl w:ilvl="0" w:tplc="59464898">
      <w:start w:val="1"/>
      <w:numFmt w:val="bullet"/>
      <w:lvlText w:val="o"/>
      <w:lvlJc w:val="left"/>
      <w:pPr>
        <w:ind w:left="1440" w:hanging="360"/>
      </w:pPr>
      <w:rPr>
        <w:rFonts w:ascii="Courier New" w:hAnsi="Courier New" w:hint="default"/>
      </w:rPr>
    </w:lvl>
    <w:lvl w:ilvl="1" w:tplc="641A98E4">
      <w:start w:val="1"/>
      <w:numFmt w:val="bullet"/>
      <w:lvlText w:val="o"/>
      <w:lvlJc w:val="left"/>
      <w:pPr>
        <w:ind w:left="1800" w:hanging="360"/>
      </w:pPr>
      <w:rPr>
        <w:rFonts w:ascii="Courier New" w:hAnsi="Courier New" w:hint="default"/>
      </w:rPr>
    </w:lvl>
    <w:lvl w:ilvl="2" w:tplc="CF58194C">
      <w:start w:val="1"/>
      <w:numFmt w:val="bullet"/>
      <w:lvlText w:val=""/>
      <w:lvlJc w:val="left"/>
      <w:pPr>
        <w:ind w:left="2520" w:hanging="360"/>
      </w:pPr>
      <w:rPr>
        <w:rFonts w:ascii="Wingdings" w:hAnsi="Wingdings" w:hint="default"/>
      </w:rPr>
    </w:lvl>
    <w:lvl w:ilvl="3" w:tplc="FEF21052">
      <w:start w:val="1"/>
      <w:numFmt w:val="bullet"/>
      <w:lvlText w:val=""/>
      <w:lvlJc w:val="left"/>
      <w:pPr>
        <w:ind w:left="3240" w:hanging="360"/>
      </w:pPr>
      <w:rPr>
        <w:rFonts w:ascii="Symbol" w:hAnsi="Symbol" w:hint="default"/>
      </w:rPr>
    </w:lvl>
    <w:lvl w:ilvl="4" w:tplc="7322671C">
      <w:start w:val="1"/>
      <w:numFmt w:val="bullet"/>
      <w:lvlText w:val="o"/>
      <w:lvlJc w:val="left"/>
      <w:pPr>
        <w:ind w:left="3960" w:hanging="360"/>
      </w:pPr>
      <w:rPr>
        <w:rFonts w:ascii="Courier New" w:hAnsi="Courier New" w:hint="default"/>
      </w:rPr>
    </w:lvl>
    <w:lvl w:ilvl="5" w:tplc="24AC3B10">
      <w:start w:val="1"/>
      <w:numFmt w:val="bullet"/>
      <w:lvlText w:val=""/>
      <w:lvlJc w:val="left"/>
      <w:pPr>
        <w:ind w:left="4680" w:hanging="360"/>
      </w:pPr>
      <w:rPr>
        <w:rFonts w:ascii="Wingdings" w:hAnsi="Wingdings" w:hint="default"/>
      </w:rPr>
    </w:lvl>
    <w:lvl w:ilvl="6" w:tplc="32323400">
      <w:start w:val="1"/>
      <w:numFmt w:val="bullet"/>
      <w:lvlText w:val=""/>
      <w:lvlJc w:val="left"/>
      <w:pPr>
        <w:ind w:left="5400" w:hanging="360"/>
      </w:pPr>
      <w:rPr>
        <w:rFonts w:ascii="Symbol" w:hAnsi="Symbol" w:hint="default"/>
      </w:rPr>
    </w:lvl>
    <w:lvl w:ilvl="7" w:tplc="70C48F62">
      <w:start w:val="1"/>
      <w:numFmt w:val="bullet"/>
      <w:lvlText w:val="o"/>
      <w:lvlJc w:val="left"/>
      <w:pPr>
        <w:ind w:left="6120" w:hanging="360"/>
      </w:pPr>
      <w:rPr>
        <w:rFonts w:ascii="Courier New" w:hAnsi="Courier New" w:hint="default"/>
      </w:rPr>
    </w:lvl>
    <w:lvl w:ilvl="8" w:tplc="23EA0A42">
      <w:start w:val="1"/>
      <w:numFmt w:val="bullet"/>
      <w:lvlText w:val=""/>
      <w:lvlJc w:val="left"/>
      <w:pPr>
        <w:ind w:left="6840" w:hanging="360"/>
      </w:pPr>
      <w:rPr>
        <w:rFonts w:ascii="Wingdings" w:hAnsi="Wingdings" w:hint="default"/>
      </w:rPr>
    </w:lvl>
  </w:abstractNum>
  <w:abstractNum w:abstractNumId="308" w15:restartNumberingAfterBreak="0">
    <w:nsid w:val="6776C3AD"/>
    <w:multiLevelType w:val="hybridMultilevel"/>
    <w:tmpl w:val="FFFFFFFF"/>
    <w:lvl w:ilvl="0" w:tplc="1B7A6B68">
      <w:start w:val="1"/>
      <w:numFmt w:val="bullet"/>
      <w:lvlText w:val="-"/>
      <w:lvlJc w:val="left"/>
      <w:pPr>
        <w:ind w:left="1080" w:hanging="360"/>
      </w:pPr>
      <w:rPr>
        <w:rFonts w:ascii="MS Gothic" w:hAnsi="MS Gothic" w:hint="default"/>
      </w:rPr>
    </w:lvl>
    <w:lvl w:ilvl="1" w:tplc="D58274D2">
      <w:start w:val="1"/>
      <w:numFmt w:val="bullet"/>
      <w:lvlText w:val="o"/>
      <w:lvlJc w:val="left"/>
      <w:pPr>
        <w:ind w:left="1440" w:hanging="360"/>
      </w:pPr>
      <w:rPr>
        <w:rFonts w:ascii="Courier New" w:hAnsi="Courier New" w:hint="default"/>
      </w:rPr>
    </w:lvl>
    <w:lvl w:ilvl="2" w:tplc="1E786698">
      <w:start w:val="1"/>
      <w:numFmt w:val="bullet"/>
      <w:lvlText w:val=""/>
      <w:lvlJc w:val="left"/>
      <w:pPr>
        <w:ind w:left="2160" w:hanging="360"/>
      </w:pPr>
      <w:rPr>
        <w:rFonts w:ascii="Wingdings" w:hAnsi="Wingdings" w:hint="default"/>
      </w:rPr>
    </w:lvl>
    <w:lvl w:ilvl="3" w:tplc="2F6C9CB2">
      <w:start w:val="1"/>
      <w:numFmt w:val="bullet"/>
      <w:lvlText w:val=""/>
      <w:lvlJc w:val="left"/>
      <w:pPr>
        <w:ind w:left="2880" w:hanging="360"/>
      </w:pPr>
      <w:rPr>
        <w:rFonts w:ascii="Symbol" w:hAnsi="Symbol" w:hint="default"/>
      </w:rPr>
    </w:lvl>
    <w:lvl w:ilvl="4" w:tplc="E2CE8A3C">
      <w:start w:val="1"/>
      <w:numFmt w:val="bullet"/>
      <w:lvlText w:val="o"/>
      <w:lvlJc w:val="left"/>
      <w:pPr>
        <w:ind w:left="3600" w:hanging="360"/>
      </w:pPr>
      <w:rPr>
        <w:rFonts w:ascii="Courier New" w:hAnsi="Courier New" w:hint="default"/>
      </w:rPr>
    </w:lvl>
    <w:lvl w:ilvl="5" w:tplc="9B20A328">
      <w:start w:val="1"/>
      <w:numFmt w:val="bullet"/>
      <w:lvlText w:val=""/>
      <w:lvlJc w:val="left"/>
      <w:pPr>
        <w:ind w:left="4320" w:hanging="360"/>
      </w:pPr>
      <w:rPr>
        <w:rFonts w:ascii="Wingdings" w:hAnsi="Wingdings" w:hint="default"/>
      </w:rPr>
    </w:lvl>
    <w:lvl w:ilvl="6" w:tplc="C8C27068">
      <w:start w:val="1"/>
      <w:numFmt w:val="bullet"/>
      <w:lvlText w:val=""/>
      <w:lvlJc w:val="left"/>
      <w:pPr>
        <w:ind w:left="5040" w:hanging="360"/>
      </w:pPr>
      <w:rPr>
        <w:rFonts w:ascii="Symbol" w:hAnsi="Symbol" w:hint="default"/>
      </w:rPr>
    </w:lvl>
    <w:lvl w:ilvl="7" w:tplc="D2083E34">
      <w:start w:val="1"/>
      <w:numFmt w:val="bullet"/>
      <w:lvlText w:val="o"/>
      <w:lvlJc w:val="left"/>
      <w:pPr>
        <w:ind w:left="5760" w:hanging="360"/>
      </w:pPr>
      <w:rPr>
        <w:rFonts w:ascii="Courier New" w:hAnsi="Courier New" w:hint="default"/>
      </w:rPr>
    </w:lvl>
    <w:lvl w:ilvl="8" w:tplc="CE6CB3F6">
      <w:start w:val="1"/>
      <w:numFmt w:val="bullet"/>
      <w:lvlText w:val=""/>
      <w:lvlJc w:val="left"/>
      <w:pPr>
        <w:ind w:left="6480" w:hanging="360"/>
      </w:pPr>
      <w:rPr>
        <w:rFonts w:ascii="Wingdings" w:hAnsi="Wingdings" w:hint="default"/>
      </w:rPr>
    </w:lvl>
  </w:abstractNum>
  <w:abstractNum w:abstractNumId="309" w15:restartNumberingAfterBreak="0">
    <w:nsid w:val="678362F2"/>
    <w:multiLevelType w:val="hybridMultilevel"/>
    <w:tmpl w:val="5194FE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0" w15:restartNumberingAfterBreak="0">
    <w:nsid w:val="679476C8"/>
    <w:multiLevelType w:val="hybridMultilevel"/>
    <w:tmpl w:val="72E2C310"/>
    <w:lvl w:ilvl="0" w:tplc="8A00CC74">
      <w:start w:val="16"/>
      <w:numFmt w:val="bullet"/>
      <w:lvlText w:val="-"/>
      <w:lvlJc w:val="left"/>
      <w:pPr>
        <w:ind w:left="720" w:hanging="360"/>
      </w:pPr>
      <w:rPr>
        <w:rFonts w:ascii="Times New Roman" w:eastAsia="Times New Roman" w:hAnsi="Times New Roman" w:cs="Times New Roman" w:hint="default"/>
        <w:color w:val="006100"/>
        <w:sz w:val="1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1" w15:restartNumberingAfterBreak="0">
    <w:nsid w:val="679DFAD7"/>
    <w:multiLevelType w:val="hybridMultilevel"/>
    <w:tmpl w:val="FFFFFFFF"/>
    <w:lvl w:ilvl="0" w:tplc="FFFFFFFF">
      <w:start w:val="1"/>
      <w:numFmt w:val="lowerRoman"/>
      <w:lvlText w:val="(%1)"/>
      <w:lvlJc w:val="right"/>
      <w:pPr>
        <w:ind w:left="720" w:hanging="360"/>
      </w:pPr>
    </w:lvl>
    <w:lvl w:ilvl="1" w:tplc="968ADB06">
      <w:start w:val="1"/>
      <w:numFmt w:val="lowerLetter"/>
      <w:lvlText w:val="%2."/>
      <w:lvlJc w:val="left"/>
      <w:pPr>
        <w:ind w:left="1440" w:hanging="360"/>
      </w:pPr>
    </w:lvl>
    <w:lvl w:ilvl="2" w:tplc="EF38D4B2">
      <w:start w:val="1"/>
      <w:numFmt w:val="lowerRoman"/>
      <w:lvlText w:val="%3."/>
      <w:lvlJc w:val="right"/>
      <w:pPr>
        <w:ind w:left="2160" w:hanging="180"/>
      </w:pPr>
    </w:lvl>
    <w:lvl w:ilvl="3" w:tplc="362EE4BA">
      <w:start w:val="1"/>
      <w:numFmt w:val="decimal"/>
      <w:lvlText w:val="%4."/>
      <w:lvlJc w:val="left"/>
      <w:pPr>
        <w:ind w:left="2880" w:hanging="360"/>
      </w:pPr>
    </w:lvl>
    <w:lvl w:ilvl="4" w:tplc="7A162DD0">
      <w:start w:val="1"/>
      <w:numFmt w:val="lowerLetter"/>
      <w:lvlText w:val="%5."/>
      <w:lvlJc w:val="left"/>
      <w:pPr>
        <w:ind w:left="3600" w:hanging="360"/>
      </w:pPr>
    </w:lvl>
    <w:lvl w:ilvl="5" w:tplc="D35271EA">
      <w:start w:val="1"/>
      <w:numFmt w:val="lowerRoman"/>
      <w:lvlText w:val="%6."/>
      <w:lvlJc w:val="right"/>
      <w:pPr>
        <w:ind w:left="4320" w:hanging="180"/>
      </w:pPr>
    </w:lvl>
    <w:lvl w:ilvl="6" w:tplc="7EFC05DE">
      <w:start w:val="1"/>
      <w:numFmt w:val="decimal"/>
      <w:lvlText w:val="%7."/>
      <w:lvlJc w:val="left"/>
      <w:pPr>
        <w:ind w:left="5040" w:hanging="360"/>
      </w:pPr>
    </w:lvl>
    <w:lvl w:ilvl="7" w:tplc="6A20A4FC">
      <w:start w:val="1"/>
      <w:numFmt w:val="lowerLetter"/>
      <w:lvlText w:val="%8."/>
      <w:lvlJc w:val="left"/>
      <w:pPr>
        <w:ind w:left="5760" w:hanging="360"/>
      </w:pPr>
    </w:lvl>
    <w:lvl w:ilvl="8" w:tplc="0614AAD2">
      <w:start w:val="1"/>
      <w:numFmt w:val="lowerRoman"/>
      <w:lvlText w:val="%9."/>
      <w:lvlJc w:val="right"/>
      <w:pPr>
        <w:ind w:left="6480" w:hanging="180"/>
      </w:pPr>
    </w:lvl>
  </w:abstractNum>
  <w:abstractNum w:abstractNumId="31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3" w15:restartNumberingAfterBreak="0">
    <w:nsid w:val="67E33BDB"/>
    <w:multiLevelType w:val="hybridMultilevel"/>
    <w:tmpl w:val="FFFFFFFF"/>
    <w:lvl w:ilvl="0" w:tplc="8596727A">
      <w:start w:val="1"/>
      <w:numFmt w:val="bullet"/>
      <w:lvlText w:val=""/>
      <w:lvlJc w:val="left"/>
      <w:pPr>
        <w:ind w:left="720" w:hanging="360"/>
      </w:pPr>
      <w:rPr>
        <w:rFonts w:ascii="Symbol" w:hAnsi="Symbol" w:hint="default"/>
      </w:rPr>
    </w:lvl>
    <w:lvl w:ilvl="1" w:tplc="0D2A5782">
      <w:start w:val="1"/>
      <w:numFmt w:val="bullet"/>
      <w:lvlText w:val="o"/>
      <w:lvlJc w:val="left"/>
      <w:pPr>
        <w:ind w:left="1440" w:hanging="360"/>
      </w:pPr>
      <w:rPr>
        <w:rFonts w:ascii="Courier New" w:hAnsi="Courier New" w:hint="default"/>
      </w:rPr>
    </w:lvl>
    <w:lvl w:ilvl="2" w:tplc="8408A3AC">
      <w:start w:val="1"/>
      <w:numFmt w:val="bullet"/>
      <w:lvlText w:val=""/>
      <w:lvlJc w:val="left"/>
      <w:pPr>
        <w:ind w:left="2160" w:hanging="360"/>
      </w:pPr>
      <w:rPr>
        <w:rFonts w:ascii="Wingdings" w:hAnsi="Wingdings" w:hint="default"/>
      </w:rPr>
    </w:lvl>
    <w:lvl w:ilvl="3" w:tplc="AA9CBD16">
      <w:start w:val="1"/>
      <w:numFmt w:val="bullet"/>
      <w:lvlText w:val=""/>
      <w:lvlJc w:val="left"/>
      <w:pPr>
        <w:ind w:left="2880" w:hanging="360"/>
      </w:pPr>
      <w:rPr>
        <w:rFonts w:ascii="Symbol" w:hAnsi="Symbol" w:hint="default"/>
      </w:rPr>
    </w:lvl>
    <w:lvl w:ilvl="4" w:tplc="99C23178">
      <w:start w:val="1"/>
      <w:numFmt w:val="bullet"/>
      <w:lvlText w:val="o"/>
      <w:lvlJc w:val="left"/>
      <w:pPr>
        <w:ind w:left="3600" w:hanging="360"/>
      </w:pPr>
      <w:rPr>
        <w:rFonts w:ascii="Courier New" w:hAnsi="Courier New" w:hint="default"/>
      </w:rPr>
    </w:lvl>
    <w:lvl w:ilvl="5" w:tplc="1B9EEA12">
      <w:start w:val="1"/>
      <w:numFmt w:val="bullet"/>
      <w:lvlText w:val=""/>
      <w:lvlJc w:val="left"/>
      <w:pPr>
        <w:ind w:left="4320" w:hanging="360"/>
      </w:pPr>
      <w:rPr>
        <w:rFonts w:ascii="Wingdings" w:hAnsi="Wingdings" w:hint="default"/>
      </w:rPr>
    </w:lvl>
    <w:lvl w:ilvl="6" w:tplc="78CC92DC">
      <w:start w:val="1"/>
      <w:numFmt w:val="bullet"/>
      <w:lvlText w:val=""/>
      <w:lvlJc w:val="left"/>
      <w:pPr>
        <w:ind w:left="5040" w:hanging="360"/>
      </w:pPr>
      <w:rPr>
        <w:rFonts w:ascii="Symbol" w:hAnsi="Symbol" w:hint="default"/>
      </w:rPr>
    </w:lvl>
    <w:lvl w:ilvl="7" w:tplc="8F4CDB1A">
      <w:start w:val="1"/>
      <w:numFmt w:val="bullet"/>
      <w:lvlText w:val="o"/>
      <w:lvlJc w:val="left"/>
      <w:pPr>
        <w:ind w:left="5760" w:hanging="360"/>
      </w:pPr>
      <w:rPr>
        <w:rFonts w:ascii="Courier New" w:hAnsi="Courier New" w:hint="default"/>
      </w:rPr>
    </w:lvl>
    <w:lvl w:ilvl="8" w:tplc="14789002">
      <w:start w:val="1"/>
      <w:numFmt w:val="bullet"/>
      <w:lvlText w:val=""/>
      <w:lvlJc w:val="left"/>
      <w:pPr>
        <w:ind w:left="6480" w:hanging="360"/>
      </w:pPr>
      <w:rPr>
        <w:rFonts w:ascii="Wingdings" w:hAnsi="Wingdings" w:hint="default"/>
      </w:rPr>
    </w:lvl>
  </w:abstractNum>
  <w:abstractNum w:abstractNumId="314" w15:restartNumberingAfterBreak="0">
    <w:nsid w:val="68926540"/>
    <w:multiLevelType w:val="hybridMultilevel"/>
    <w:tmpl w:val="FFFFFFFF"/>
    <w:lvl w:ilvl="0" w:tplc="4612A9A0">
      <w:start w:val="2"/>
      <w:numFmt w:val="decimal"/>
      <w:lvlText w:val="%1."/>
      <w:lvlJc w:val="left"/>
      <w:pPr>
        <w:ind w:left="720" w:hanging="360"/>
      </w:pPr>
    </w:lvl>
    <w:lvl w:ilvl="1" w:tplc="0050710A">
      <w:start w:val="1"/>
      <w:numFmt w:val="lowerLetter"/>
      <w:lvlText w:val="%2."/>
      <w:lvlJc w:val="left"/>
      <w:pPr>
        <w:ind w:left="1440" w:hanging="360"/>
      </w:pPr>
    </w:lvl>
    <w:lvl w:ilvl="2" w:tplc="22DEF6AE">
      <w:start w:val="1"/>
      <w:numFmt w:val="lowerRoman"/>
      <w:lvlText w:val="%3."/>
      <w:lvlJc w:val="right"/>
      <w:pPr>
        <w:ind w:left="2160" w:hanging="180"/>
      </w:pPr>
    </w:lvl>
    <w:lvl w:ilvl="3" w:tplc="1CF2D394">
      <w:start w:val="1"/>
      <w:numFmt w:val="decimal"/>
      <w:lvlText w:val="%4."/>
      <w:lvlJc w:val="left"/>
      <w:pPr>
        <w:ind w:left="2880" w:hanging="360"/>
      </w:pPr>
    </w:lvl>
    <w:lvl w:ilvl="4" w:tplc="59A0D892">
      <w:start w:val="1"/>
      <w:numFmt w:val="lowerLetter"/>
      <w:lvlText w:val="%5."/>
      <w:lvlJc w:val="left"/>
      <w:pPr>
        <w:ind w:left="3600" w:hanging="360"/>
      </w:pPr>
    </w:lvl>
    <w:lvl w:ilvl="5" w:tplc="D0AA9D82">
      <w:start w:val="1"/>
      <w:numFmt w:val="lowerRoman"/>
      <w:lvlText w:val="%6."/>
      <w:lvlJc w:val="right"/>
      <w:pPr>
        <w:ind w:left="4320" w:hanging="180"/>
      </w:pPr>
    </w:lvl>
    <w:lvl w:ilvl="6" w:tplc="1714B84C">
      <w:start w:val="1"/>
      <w:numFmt w:val="decimal"/>
      <w:lvlText w:val="%7."/>
      <w:lvlJc w:val="left"/>
      <w:pPr>
        <w:ind w:left="5040" w:hanging="360"/>
      </w:pPr>
    </w:lvl>
    <w:lvl w:ilvl="7" w:tplc="B0DC618C">
      <w:start w:val="1"/>
      <w:numFmt w:val="lowerLetter"/>
      <w:lvlText w:val="%8."/>
      <w:lvlJc w:val="left"/>
      <w:pPr>
        <w:ind w:left="5760" w:hanging="360"/>
      </w:pPr>
    </w:lvl>
    <w:lvl w:ilvl="8" w:tplc="A76453D4">
      <w:start w:val="1"/>
      <w:numFmt w:val="lowerRoman"/>
      <w:lvlText w:val="%9."/>
      <w:lvlJc w:val="right"/>
      <w:pPr>
        <w:ind w:left="6480" w:hanging="180"/>
      </w:pPr>
    </w:lvl>
  </w:abstractNum>
  <w:abstractNum w:abstractNumId="315" w15:restartNumberingAfterBreak="0">
    <w:nsid w:val="694964E1"/>
    <w:multiLevelType w:val="hybridMultilevel"/>
    <w:tmpl w:val="FFFFFFFF"/>
    <w:lvl w:ilvl="0" w:tplc="58A8C0C0">
      <w:start w:val="4"/>
      <w:numFmt w:val="decimal"/>
      <w:lvlText w:val="%1."/>
      <w:lvlJc w:val="left"/>
      <w:pPr>
        <w:ind w:left="720" w:hanging="360"/>
      </w:pPr>
    </w:lvl>
    <w:lvl w:ilvl="1" w:tplc="40E64B8A">
      <w:start w:val="1"/>
      <w:numFmt w:val="lowerLetter"/>
      <w:lvlText w:val="%2."/>
      <w:lvlJc w:val="left"/>
      <w:pPr>
        <w:ind w:left="1440" w:hanging="360"/>
      </w:pPr>
    </w:lvl>
    <w:lvl w:ilvl="2" w:tplc="4D7AB118">
      <w:start w:val="1"/>
      <w:numFmt w:val="lowerRoman"/>
      <w:lvlText w:val="%3."/>
      <w:lvlJc w:val="right"/>
      <w:pPr>
        <w:ind w:left="2160" w:hanging="180"/>
      </w:pPr>
    </w:lvl>
    <w:lvl w:ilvl="3" w:tplc="840E973C">
      <w:start w:val="1"/>
      <w:numFmt w:val="decimal"/>
      <w:lvlText w:val="%4."/>
      <w:lvlJc w:val="left"/>
      <w:pPr>
        <w:ind w:left="2880" w:hanging="360"/>
      </w:pPr>
    </w:lvl>
    <w:lvl w:ilvl="4" w:tplc="47DE8E86">
      <w:start w:val="1"/>
      <w:numFmt w:val="lowerLetter"/>
      <w:lvlText w:val="%5."/>
      <w:lvlJc w:val="left"/>
      <w:pPr>
        <w:ind w:left="3600" w:hanging="360"/>
      </w:pPr>
    </w:lvl>
    <w:lvl w:ilvl="5" w:tplc="2EDE70CC">
      <w:start w:val="1"/>
      <w:numFmt w:val="lowerRoman"/>
      <w:lvlText w:val="%6."/>
      <w:lvlJc w:val="right"/>
      <w:pPr>
        <w:ind w:left="4320" w:hanging="180"/>
      </w:pPr>
    </w:lvl>
    <w:lvl w:ilvl="6" w:tplc="A6269566">
      <w:start w:val="1"/>
      <w:numFmt w:val="decimal"/>
      <w:lvlText w:val="%7."/>
      <w:lvlJc w:val="left"/>
      <w:pPr>
        <w:ind w:left="5040" w:hanging="360"/>
      </w:pPr>
    </w:lvl>
    <w:lvl w:ilvl="7" w:tplc="F57ACA6C">
      <w:start w:val="1"/>
      <w:numFmt w:val="lowerLetter"/>
      <w:lvlText w:val="%8."/>
      <w:lvlJc w:val="left"/>
      <w:pPr>
        <w:ind w:left="5760" w:hanging="360"/>
      </w:pPr>
    </w:lvl>
    <w:lvl w:ilvl="8" w:tplc="409AE678">
      <w:start w:val="1"/>
      <w:numFmt w:val="lowerRoman"/>
      <w:lvlText w:val="%9."/>
      <w:lvlJc w:val="right"/>
      <w:pPr>
        <w:ind w:left="6480" w:hanging="180"/>
      </w:pPr>
    </w:lvl>
  </w:abstractNum>
  <w:abstractNum w:abstractNumId="316" w15:restartNumberingAfterBreak="0">
    <w:nsid w:val="697A2E4A"/>
    <w:multiLevelType w:val="hybridMultilevel"/>
    <w:tmpl w:val="FFFFFFFF"/>
    <w:lvl w:ilvl="0" w:tplc="D354DBE8">
      <w:start w:val="3"/>
      <w:numFmt w:val="lowerLetter"/>
      <w:lvlText w:val="%1)"/>
      <w:lvlJc w:val="left"/>
      <w:pPr>
        <w:ind w:left="720" w:hanging="360"/>
      </w:pPr>
    </w:lvl>
    <w:lvl w:ilvl="1" w:tplc="0220C242">
      <w:start w:val="1"/>
      <w:numFmt w:val="lowerLetter"/>
      <w:lvlText w:val="%2."/>
      <w:lvlJc w:val="left"/>
      <w:pPr>
        <w:ind w:left="1440" w:hanging="360"/>
      </w:pPr>
    </w:lvl>
    <w:lvl w:ilvl="2" w:tplc="FA66BAF0">
      <w:start w:val="1"/>
      <w:numFmt w:val="lowerRoman"/>
      <w:lvlText w:val="%3."/>
      <w:lvlJc w:val="right"/>
      <w:pPr>
        <w:ind w:left="2160" w:hanging="180"/>
      </w:pPr>
    </w:lvl>
    <w:lvl w:ilvl="3" w:tplc="359C05D0">
      <w:start w:val="1"/>
      <w:numFmt w:val="decimal"/>
      <w:lvlText w:val="%4."/>
      <w:lvlJc w:val="left"/>
      <w:pPr>
        <w:ind w:left="2880" w:hanging="360"/>
      </w:pPr>
    </w:lvl>
    <w:lvl w:ilvl="4" w:tplc="760641CA">
      <w:start w:val="1"/>
      <w:numFmt w:val="lowerLetter"/>
      <w:lvlText w:val="%5."/>
      <w:lvlJc w:val="left"/>
      <w:pPr>
        <w:ind w:left="3600" w:hanging="360"/>
      </w:pPr>
    </w:lvl>
    <w:lvl w:ilvl="5" w:tplc="4FEA5D80">
      <w:start w:val="1"/>
      <w:numFmt w:val="lowerRoman"/>
      <w:lvlText w:val="%6."/>
      <w:lvlJc w:val="right"/>
      <w:pPr>
        <w:ind w:left="4320" w:hanging="180"/>
      </w:pPr>
    </w:lvl>
    <w:lvl w:ilvl="6" w:tplc="7F50C280">
      <w:start w:val="1"/>
      <w:numFmt w:val="decimal"/>
      <w:lvlText w:val="%7."/>
      <w:lvlJc w:val="left"/>
      <w:pPr>
        <w:ind w:left="5040" w:hanging="360"/>
      </w:pPr>
    </w:lvl>
    <w:lvl w:ilvl="7" w:tplc="4760810A">
      <w:start w:val="1"/>
      <w:numFmt w:val="lowerLetter"/>
      <w:lvlText w:val="%8."/>
      <w:lvlJc w:val="left"/>
      <w:pPr>
        <w:ind w:left="5760" w:hanging="360"/>
      </w:pPr>
    </w:lvl>
    <w:lvl w:ilvl="8" w:tplc="CD1AD58A">
      <w:start w:val="1"/>
      <w:numFmt w:val="lowerRoman"/>
      <w:lvlText w:val="%9."/>
      <w:lvlJc w:val="right"/>
      <w:pPr>
        <w:ind w:left="6480" w:hanging="180"/>
      </w:pPr>
    </w:lvl>
  </w:abstractNum>
  <w:abstractNum w:abstractNumId="317" w15:restartNumberingAfterBreak="0">
    <w:nsid w:val="69D971E6"/>
    <w:multiLevelType w:val="hybridMultilevel"/>
    <w:tmpl w:val="CBA2AAAC"/>
    <w:lvl w:ilvl="0" w:tplc="358CABF6">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8" w15:restartNumberingAfterBreak="0">
    <w:nsid w:val="69EA1709"/>
    <w:multiLevelType w:val="hybridMultilevel"/>
    <w:tmpl w:val="7CCAE6F6"/>
    <w:lvl w:ilvl="0" w:tplc="0B8C5D0E">
      <w:start w:val="1"/>
      <w:numFmt w:val="bullet"/>
      <w:lvlText w:val="-"/>
      <w:lvlJc w:val="left"/>
      <w:pPr>
        <w:ind w:left="720" w:hanging="360"/>
      </w:pPr>
      <w:rPr>
        <w:rFonts w:ascii="Calibri" w:hAnsi="Calibri" w:hint="default"/>
      </w:rPr>
    </w:lvl>
    <w:lvl w:ilvl="1" w:tplc="37900F38">
      <w:start w:val="1"/>
      <w:numFmt w:val="bullet"/>
      <w:lvlText w:val="o"/>
      <w:lvlJc w:val="left"/>
      <w:pPr>
        <w:ind w:left="1440" w:hanging="360"/>
      </w:pPr>
      <w:rPr>
        <w:rFonts w:ascii="Courier New" w:hAnsi="Courier New" w:hint="default"/>
      </w:rPr>
    </w:lvl>
    <w:lvl w:ilvl="2" w:tplc="324CEE5E">
      <w:start w:val="1"/>
      <w:numFmt w:val="bullet"/>
      <w:lvlText w:val=""/>
      <w:lvlJc w:val="left"/>
      <w:pPr>
        <w:ind w:left="2160" w:hanging="360"/>
      </w:pPr>
      <w:rPr>
        <w:rFonts w:ascii="Wingdings" w:hAnsi="Wingdings" w:hint="default"/>
      </w:rPr>
    </w:lvl>
    <w:lvl w:ilvl="3" w:tplc="0F9A0508">
      <w:start w:val="1"/>
      <w:numFmt w:val="bullet"/>
      <w:lvlText w:val=""/>
      <w:lvlJc w:val="left"/>
      <w:pPr>
        <w:ind w:left="2880" w:hanging="360"/>
      </w:pPr>
      <w:rPr>
        <w:rFonts w:ascii="Symbol" w:hAnsi="Symbol" w:hint="default"/>
      </w:rPr>
    </w:lvl>
    <w:lvl w:ilvl="4" w:tplc="63646B7C">
      <w:start w:val="1"/>
      <w:numFmt w:val="bullet"/>
      <w:lvlText w:val="o"/>
      <w:lvlJc w:val="left"/>
      <w:pPr>
        <w:ind w:left="3600" w:hanging="360"/>
      </w:pPr>
      <w:rPr>
        <w:rFonts w:ascii="Courier New" w:hAnsi="Courier New" w:hint="default"/>
      </w:rPr>
    </w:lvl>
    <w:lvl w:ilvl="5" w:tplc="DC5EADD2">
      <w:start w:val="1"/>
      <w:numFmt w:val="bullet"/>
      <w:lvlText w:val=""/>
      <w:lvlJc w:val="left"/>
      <w:pPr>
        <w:ind w:left="4320" w:hanging="360"/>
      </w:pPr>
      <w:rPr>
        <w:rFonts w:ascii="Wingdings" w:hAnsi="Wingdings" w:hint="default"/>
      </w:rPr>
    </w:lvl>
    <w:lvl w:ilvl="6" w:tplc="C278F130">
      <w:start w:val="1"/>
      <w:numFmt w:val="bullet"/>
      <w:lvlText w:val=""/>
      <w:lvlJc w:val="left"/>
      <w:pPr>
        <w:ind w:left="5040" w:hanging="360"/>
      </w:pPr>
      <w:rPr>
        <w:rFonts w:ascii="Symbol" w:hAnsi="Symbol" w:hint="default"/>
      </w:rPr>
    </w:lvl>
    <w:lvl w:ilvl="7" w:tplc="46DA81C2">
      <w:start w:val="1"/>
      <w:numFmt w:val="bullet"/>
      <w:lvlText w:val="o"/>
      <w:lvlJc w:val="left"/>
      <w:pPr>
        <w:ind w:left="5760" w:hanging="360"/>
      </w:pPr>
      <w:rPr>
        <w:rFonts w:ascii="Courier New" w:hAnsi="Courier New" w:hint="default"/>
      </w:rPr>
    </w:lvl>
    <w:lvl w:ilvl="8" w:tplc="7D22EC58">
      <w:start w:val="1"/>
      <w:numFmt w:val="bullet"/>
      <w:lvlText w:val=""/>
      <w:lvlJc w:val="left"/>
      <w:pPr>
        <w:ind w:left="6480" w:hanging="360"/>
      </w:pPr>
      <w:rPr>
        <w:rFonts w:ascii="Wingdings" w:hAnsi="Wingdings" w:hint="default"/>
      </w:rPr>
    </w:lvl>
  </w:abstractNum>
  <w:abstractNum w:abstractNumId="319" w15:restartNumberingAfterBreak="0">
    <w:nsid w:val="6A51364D"/>
    <w:multiLevelType w:val="hybridMultilevel"/>
    <w:tmpl w:val="FFFFFFFF"/>
    <w:lvl w:ilvl="0" w:tplc="22F46A88">
      <w:start w:val="1"/>
      <w:numFmt w:val="decimal"/>
      <w:lvlText w:val="%1."/>
      <w:lvlJc w:val="left"/>
      <w:pPr>
        <w:ind w:left="720" w:hanging="360"/>
      </w:pPr>
    </w:lvl>
    <w:lvl w:ilvl="1" w:tplc="74D2155A">
      <w:start w:val="1"/>
      <w:numFmt w:val="lowerLetter"/>
      <w:lvlText w:val="%2."/>
      <w:lvlJc w:val="left"/>
      <w:pPr>
        <w:ind w:left="1440" w:hanging="360"/>
      </w:pPr>
    </w:lvl>
    <w:lvl w:ilvl="2" w:tplc="611606AC">
      <w:start w:val="1"/>
      <w:numFmt w:val="lowerRoman"/>
      <w:lvlText w:val="%3."/>
      <w:lvlJc w:val="right"/>
      <w:pPr>
        <w:ind w:left="2160" w:hanging="180"/>
      </w:pPr>
    </w:lvl>
    <w:lvl w:ilvl="3" w:tplc="4442E840">
      <w:start w:val="1"/>
      <w:numFmt w:val="decimal"/>
      <w:lvlText w:val="%4."/>
      <w:lvlJc w:val="left"/>
      <w:pPr>
        <w:ind w:left="2880" w:hanging="360"/>
      </w:pPr>
    </w:lvl>
    <w:lvl w:ilvl="4" w:tplc="8104E4AC">
      <w:start w:val="1"/>
      <w:numFmt w:val="lowerLetter"/>
      <w:lvlText w:val="%5."/>
      <w:lvlJc w:val="left"/>
      <w:pPr>
        <w:ind w:left="3600" w:hanging="360"/>
      </w:pPr>
    </w:lvl>
    <w:lvl w:ilvl="5" w:tplc="298432AE">
      <w:start w:val="1"/>
      <w:numFmt w:val="lowerRoman"/>
      <w:lvlText w:val="%6."/>
      <w:lvlJc w:val="right"/>
      <w:pPr>
        <w:ind w:left="4320" w:hanging="180"/>
      </w:pPr>
    </w:lvl>
    <w:lvl w:ilvl="6" w:tplc="A8648CDC">
      <w:start w:val="1"/>
      <w:numFmt w:val="decimal"/>
      <w:lvlText w:val="%7."/>
      <w:lvlJc w:val="left"/>
      <w:pPr>
        <w:ind w:left="5040" w:hanging="360"/>
      </w:pPr>
    </w:lvl>
    <w:lvl w:ilvl="7" w:tplc="548A9EB2">
      <w:start w:val="1"/>
      <w:numFmt w:val="lowerLetter"/>
      <w:lvlText w:val="%8."/>
      <w:lvlJc w:val="left"/>
      <w:pPr>
        <w:ind w:left="5760" w:hanging="360"/>
      </w:pPr>
    </w:lvl>
    <w:lvl w:ilvl="8" w:tplc="A64E8874">
      <w:start w:val="1"/>
      <w:numFmt w:val="lowerRoman"/>
      <w:lvlText w:val="%9."/>
      <w:lvlJc w:val="right"/>
      <w:pPr>
        <w:ind w:left="6480" w:hanging="180"/>
      </w:pPr>
    </w:lvl>
  </w:abstractNum>
  <w:abstractNum w:abstractNumId="320" w15:restartNumberingAfterBreak="0">
    <w:nsid w:val="6B0B4C1A"/>
    <w:multiLevelType w:val="multilevel"/>
    <w:tmpl w:val="1C4CDAD8"/>
    <w:lvl w:ilvl="0">
      <w:start w:val="1"/>
      <w:numFmt w:val="bullet"/>
      <w:lvlText w:val=""/>
      <w:lvlJc w:val="left"/>
      <w:pPr>
        <w:ind w:left="720" w:hanging="360"/>
      </w:pPr>
      <w:rPr>
        <w:rFonts w:ascii="Symbol" w:hAnsi="Symbol" w:hint="default"/>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1" w15:restartNumberingAfterBreak="0">
    <w:nsid w:val="6B45112B"/>
    <w:multiLevelType w:val="hybridMultilevel"/>
    <w:tmpl w:val="80387E72"/>
    <w:lvl w:ilvl="0" w:tplc="FFFFFFFF">
      <w:start w:val="1"/>
      <w:numFmt w:val="lowerRoman"/>
      <w:lvlText w:val="%1."/>
      <w:lvlJc w:val="right"/>
      <w:pPr>
        <w:ind w:left="1230" w:hanging="360"/>
      </w:pPr>
    </w:lvl>
    <w:lvl w:ilvl="1" w:tplc="080C0019" w:tentative="1">
      <w:start w:val="1"/>
      <w:numFmt w:val="lowerLetter"/>
      <w:lvlText w:val="%2."/>
      <w:lvlJc w:val="left"/>
      <w:pPr>
        <w:ind w:left="1950" w:hanging="360"/>
      </w:pPr>
    </w:lvl>
    <w:lvl w:ilvl="2" w:tplc="080C001B" w:tentative="1">
      <w:start w:val="1"/>
      <w:numFmt w:val="lowerRoman"/>
      <w:lvlText w:val="%3."/>
      <w:lvlJc w:val="right"/>
      <w:pPr>
        <w:ind w:left="2670" w:hanging="180"/>
      </w:pPr>
    </w:lvl>
    <w:lvl w:ilvl="3" w:tplc="080C000F" w:tentative="1">
      <w:start w:val="1"/>
      <w:numFmt w:val="decimal"/>
      <w:lvlText w:val="%4."/>
      <w:lvlJc w:val="left"/>
      <w:pPr>
        <w:ind w:left="3390" w:hanging="360"/>
      </w:pPr>
    </w:lvl>
    <w:lvl w:ilvl="4" w:tplc="080C0019" w:tentative="1">
      <w:start w:val="1"/>
      <w:numFmt w:val="lowerLetter"/>
      <w:lvlText w:val="%5."/>
      <w:lvlJc w:val="left"/>
      <w:pPr>
        <w:ind w:left="4110" w:hanging="360"/>
      </w:pPr>
    </w:lvl>
    <w:lvl w:ilvl="5" w:tplc="080C001B" w:tentative="1">
      <w:start w:val="1"/>
      <w:numFmt w:val="lowerRoman"/>
      <w:lvlText w:val="%6."/>
      <w:lvlJc w:val="right"/>
      <w:pPr>
        <w:ind w:left="4830" w:hanging="180"/>
      </w:pPr>
    </w:lvl>
    <w:lvl w:ilvl="6" w:tplc="080C000F" w:tentative="1">
      <w:start w:val="1"/>
      <w:numFmt w:val="decimal"/>
      <w:lvlText w:val="%7."/>
      <w:lvlJc w:val="left"/>
      <w:pPr>
        <w:ind w:left="5550" w:hanging="360"/>
      </w:pPr>
    </w:lvl>
    <w:lvl w:ilvl="7" w:tplc="080C0019" w:tentative="1">
      <w:start w:val="1"/>
      <w:numFmt w:val="lowerLetter"/>
      <w:lvlText w:val="%8."/>
      <w:lvlJc w:val="left"/>
      <w:pPr>
        <w:ind w:left="6270" w:hanging="360"/>
      </w:pPr>
    </w:lvl>
    <w:lvl w:ilvl="8" w:tplc="080C001B" w:tentative="1">
      <w:start w:val="1"/>
      <w:numFmt w:val="lowerRoman"/>
      <w:lvlText w:val="%9."/>
      <w:lvlJc w:val="right"/>
      <w:pPr>
        <w:ind w:left="6990" w:hanging="180"/>
      </w:pPr>
    </w:lvl>
  </w:abstractNum>
  <w:abstractNum w:abstractNumId="322" w15:restartNumberingAfterBreak="0">
    <w:nsid w:val="6B7798F1"/>
    <w:multiLevelType w:val="hybridMultilevel"/>
    <w:tmpl w:val="FFFFFFFF"/>
    <w:lvl w:ilvl="0" w:tplc="BCF6A016">
      <w:start w:val="3"/>
      <w:numFmt w:val="decimal"/>
      <w:lvlText w:val="%1."/>
      <w:lvlJc w:val="left"/>
      <w:pPr>
        <w:ind w:left="720" w:hanging="360"/>
      </w:pPr>
    </w:lvl>
    <w:lvl w:ilvl="1" w:tplc="05609D8A">
      <w:start w:val="1"/>
      <w:numFmt w:val="lowerLetter"/>
      <w:lvlText w:val="%2."/>
      <w:lvlJc w:val="left"/>
      <w:pPr>
        <w:ind w:left="1440" w:hanging="360"/>
      </w:pPr>
    </w:lvl>
    <w:lvl w:ilvl="2" w:tplc="43E05F46">
      <w:start w:val="1"/>
      <w:numFmt w:val="lowerRoman"/>
      <w:lvlText w:val="%3."/>
      <w:lvlJc w:val="right"/>
      <w:pPr>
        <w:ind w:left="2160" w:hanging="180"/>
      </w:pPr>
    </w:lvl>
    <w:lvl w:ilvl="3" w:tplc="9CB6778C">
      <w:start w:val="1"/>
      <w:numFmt w:val="decimal"/>
      <w:lvlText w:val="%4."/>
      <w:lvlJc w:val="left"/>
      <w:pPr>
        <w:ind w:left="2880" w:hanging="360"/>
      </w:pPr>
    </w:lvl>
    <w:lvl w:ilvl="4" w:tplc="A8380BFE">
      <w:start w:val="1"/>
      <w:numFmt w:val="lowerLetter"/>
      <w:lvlText w:val="%5."/>
      <w:lvlJc w:val="left"/>
      <w:pPr>
        <w:ind w:left="3600" w:hanging="360"/>
      </w:pPr>
    </w:lvl>
    <w:lvl w:ilvl="5" w:tplc="76367406">
      <w:start w:val="1"/>
      <w:numFmt w:val="lowerRoman"/>
      <w:lvlText w:val="%6."/>
      <w:lvlJc w:val="right"/>
      <w:pPr>
        <w:ind w:left="4320" w:hanging="180"/>
      </w:pPr>
    </w:lvl>
    <w:lvl w:ilvl="6" w:tplc="69AC6C00">
      <w:start w:val="1"/>
      <w:numFmt w:val="decimal"/>
      <w:lvlText w:val="%7."/>
      <w:lvlJc w:val="left"/>
      <w:pPr>
        <w:ind w:left="5040" w:hanging="360"/>
      </w:pPr>
    </w:lvl>
    <w:lvl w:ilvl="7" w:tplc="C7AE174A">
      <w:start w:val="1"/>
      <w:numFmt w:val="lowerLetter"/>
      <w:lvlText w:val="%8."/>
      <w:lvlJc w:val="left"/>
      <w:pPr>
        <w:ind w:left="5760" w:hanging="360"/>
      </w:pPr>
    </w:lvl>
    <w:lvl w:ilvl="8" w:tplc="C3E26204">
      <w:start w:val="1"/>
      <w:numFmt w:val="lowerRoman"/>
      <w:lvlText w:val="%9."/>
      <w:lvlJc w:val="right"/>
      <w:pPr>
        <w:ind w:left="6480" w:hanging="180"/>
      </w:pPr>
    </w:lvl>
  </w:abstractNum>
  <w:abstractNum w:abstractNumId="323" w15:restartNumberingAfterBreak="0">
    <w:nsid w:val="6C449142"/>
    <w:multiLevelType w:val="hybridMultilevel"/>
    <w:tmpl w:val="FFFFFFFF"/>
    <w:lvl w:ilvl="0" w:tplc="F7B22E04">
      <w:start w:val="1"/>
      <w:numFmt w:val="bullet"/>
      <w:lvlText w:val="·"/>
      <w:lvlJc w:val="left"/>
      <w:pPr>
        <w:ind w:left="720" w:hanging="360"/>
      </w:pPr>
      <w:rPr>
        <w:rFonts w:ascii="Symbol" w:hAnsi="Symbol" w:hint="default"/>
      </w:rPr>
    </w:lvl>
    <w:lvl w:ilvl="1" w:tplc="A77A7216">
      <w:start w:val="1"/>
      <w:numFmt w:val="bullet"/>
      <w:lvlText w:val="o"/>
      <w:lvlJc w:val="left"/>
      <w:pPr>
        <w:ind w:left="1440" w:hanging="360"/>
      </w:pPr>
      <w:rPr>
        <w:rFonts w:ascii="Courier New" w:hAnsi="Courier New" w:hint="default"/>
      </w:rPr>
    </w:lvl>
    <w:lvl w:ilvl="2" w:tplc="224C1CD6">
      <w:start w:val="1"/>
      <w:numFmt w:val="bullet"/>
      <w:lvlText w:val=""/>
      <w:lvlJc w:val="left"/>
      <w:pPr>
        <w:ind w:left="2160" w:hanging="360"/>
      </w:pPr>
      <w:rPr>
        <w:rFonts w:ascii="Wingdings" w:hAnsi="Wingdings" w:hint="default"/>
      </w:rPr>
    </w:lvl>
    <w:lvl w:ilvl="3" w:tplc="98D4A772">
      <w:start w:val="1"/>
      <w:numFmt w:val="bullet"/>
      <w:lvlText w:val=""/>
      <w:lvlJc w:val="left"/>
      <w:pPr>
        <w:ind w:left="2880" w:hanging="360"/>
      </w:pPr>
      <w:rPr>
        <w:rFonts w:ascii="Symbol" w:hAnsi="Symbol" w:hint="default"/>
      </w:rPr>
    </w:lvl>
    <w:lvl w:ilvl="4" w:tplc="73E0CF7E">
      <w:start w:val="1"/>
      <w:numFmt w:val="bullet"/>
      <w:lvlText w:val="o"/>
      <w:lvlJc w:val="left"/>
      <w:pPr>
        <w:ind w:left="3600" w:hanging="360"/>
      </w:pPr>
      <w:rPr>
        <w:rFonts w:ascii="Courier New" w:hAnsi="Courier New" w:hint="default"/>
      </w:rPr>
    </w:lvl>
    <w:lvl w:ilvl="5" w:tplc="9DAE96BE">
      <w:start w:val="1"/>
      <w:numFmt w:val="bullet"/>
      <w:lvlText w:val=""/>
      <w:lvlJc w:val="left"/>
      <w:pPr>
        <w:ind w:left="4320" w:hanging="360"/>
      </w:pPr>
      <w:rPr>
        <w:rFonts w:ascii="Wingdings" w:hAnsi="Wingdings" w:hint="default"/>
      </w:rPr>
    </w:lvl>
    <w:lvl w:ilvl="6" w:tplc="8CF2A994">
      <w:start w:val="1"/>
      <w:numFmt w:val="bullet"/>
      <w:lvlText w:val=""/>
      <w:lvlJc w:val="left"/>
      <w:pPr>
        <w:ind w:left="5040" w:hanging="360"/>
      </w:pPr>
      <w:rPr>
        <w:rFonts w:ascii="Symbol" w:hAnsi="Symbol" w:hint="default"/>
      </w:rPr>
    </w:lvl>
    <w:lvl w:ilvl="7" w:tplc="212038C4">
      <w:start w:val="1"/>
      <w:numFmt w:val="bullet"/>
      <w:lvlText w:val="o"/>
      <w:lvlJc w:val="left"/>
      <w:pPr>
        <w:ind w:left="5760" w:hanging="360"/>
      </w:pPr>
      <w:rPr>
        <w:rFonts w:ascii="Courier New" w:hAnsi="Courier New" w:hint="default"/>
      </w:rPr>
    </w:lvl>
    <w:lvl w:ilvl="8" w:tplc="FF90FFC4">
      <w:start w:val="1"/>
      <w:numFmt w:val="bullet"/>
      <w:lvlText w:val=""/>
      <w:lvlJc w:val="left"/>
      <w:pPr>
        <w:ind w:left="6480" w:hanging="360"/>
      </w:pPr>
      <w:rPr>
        <w:rFonts w:ascii="Wingdings" w:hAnsi="Wingdings" w:hint="default"/>
      </w:rPr>
    </w:lvl>
  </w:abstractNum>
  <w:abstractNum w:abstractNumId="324" w15:restartNumberingAfterBreak="0">
    <w:nsid w:val="6D1D278B"/>
    <w:multiLevelType w:val="hybridMultilevel"/>
    <w:tmpl w:val="FFFFFFFF"/>
    <w:lvl w:ilvl="0" w:tplc="FF749FD8">
      <w:start w:val="4"/>
      <w:numFmt w:val="decimal"/>
      <w:lvlText w:val="%1."/>
      <w:lvlJc w:val="left"/>
      <w:pPr>
        <w:ind w:left="720" w:hanging="360"/>
      </w:pPr>
    </w:lvl>
    <w:lvl w:ilvl="1" w:tplc="CD26A04E">
      <w:start w:val="1"/>
      <w:numFmt w:val="lowerLetter"/>
      <w:lvlText w:val="%2."/>
      <w:lvlJc w:val="left"/>
      <w:pPr>
        <w:ind w:left="1440" w:hanging="360"/>
      </w:pPr>
    </w:lvl>
    <w:lvl w:ilvl="2" w:tplc="4FDC3808">
      <w:start w:val="1"/>
      <w:numFmt w:val="lowerRoman"/>
      <w:lvlText w:val="%3."/>
      <w:lvlJc w:val="right"/>
      <w:pPr>
        <w:ind w:left="2160" w:hanging="180"/>
      </w:pPr>
    </w:lvl>
    <w:lvl w:ilvl="3" w:tplc="E77AECCC">
      <w:start w:val="1"/>
      <w:numFmt w:val="decimal"/>
      <w:lvlText w:val="%4."/>
      <w:lvlJc w:val="left"/>
      <w:pPr>
        <w:ind w:left="2880" w:hanging="360"/>
      </w:pPr>
    </w:lvl>
    <w:lvl w:ilvl="4" w:tplc="EC46C0DC">
      <w:start w:val="1"/>
      <w:numFmt w:val="lowerLetter"/>
      <w:lvlText w:val="%5."/>
      <w:lvlJc w:val="left"/>
      <w:pPr>
        <w:ind w:left="3600" w:hanging="360"/>
      </w:pPr>
    </w:lvl>
    <w:lvl w:ilvl="5" w:tplc="6316BBB8">
      <w:start w:val="1"/>
      <w:numFmt w:val="lowerRoman"/>
      <w:lvlText w:val="%6."/>
      <w:lvlJc w:val="right"/>
      <w:pPr>
        <w:ind w:left="4320" w:hanging="180"/>
      </w:pPr>
    </w:lvl>
    <w:lvl w:ilvl="6" w:tplc="F55445FA">
      <w:start w:val="1"/>
      <w:numFmt w:val="decimal"/>
      <w:lvlText w:val="%7."/>
      <w:lvlJc w:val="left"/>
      <w:pPr>
        <w:ind w:left="5040" w:hanging="360"/>
      </w:pPr>
    </w:lvl>
    <w:lvl w:ilvl="7" w:tplc="E50CA0B0">
      <w:start w:val="1"/>
      <w:numFmt w:val="lowerLetter"/>
      <w:lvlText w:val="%8."/>
      <w:lvlJc w:val="left"/>
      <w:pPr>
        <w:ind w:left="5760" w:hanging="360"/>
      </w:pPr>
    </w:lvl>
    <w:lvl w:ilvl="8" w:tplc="F8DEE6B6">
      <w:start w:val="1"/>
      <w:numFmt w:val="lowerRoman"/>
      <w:lvlText w:val="%9."/>
      <w:lvlJc w:val="right"/>
      <w:pPr>
        <w:ind w:left="6480" w:hanging="180"/>
      </w:pPr>
    </w:lvl>
  </w:abstractNum>
  <w:abstractNum w:abstractNumId="325" w15:restartNumberingAfterBreak="0">
    <w:nsid w:val="6D5C4971"/>
    <w:multiLevelType w:val="hybridMultilevel"/>
    <w:tmpl w:val="FFFFFFFF"/>
    <w:lvl w:ilvl="0" w:tplc="FEF47260">
      <w:start w:val="3"/>
      <w:numFmt w:val="lowerLetter"/>
      <w:lvlText w:val="%1."/>
      <w:lvlJc w:val="left"/>
      <w:pPr>
        <w:ind w:left="720" w:hanging="360"/>
      </w:pPr>
    </w:lvl>
    <w:lvl w:ilvl="1" w:tplc="6EEA86E6">
      <w:start w:val="1"/>
      <w:numFmt w:val="lowerLetter"/>
      <w:lvlText w:val="%2."/>
      <w:lvlJc w:val="left"/>
      <w:pPr>
        <w:ind w:left="1440" w:hanging="360"/>
      </w:pPr>
    </w:lvl>
    <w:lvl w:ilvl="2" w:tplc="C3566D5E">
      <w:start w:val="1"/>
      <w:numFmt w:val="lowerRoman"/>
      <w:lvlText w:val="%3."/>
      <w:lvlJc w:val="right"/>
      <w:pPr>
        <w:ind w:left="2160" w:hanging="180"/>
      </w:pPr>
    </w:lvl>
    <w:lvl w:ilvl="3" w:tplc="148CA0C0">
      <w:start w:val="1"/>
      <w:numFmt w:val="decimal"/>
      <w:lvlText w:val="%4."/>
      <w:lvlJc w:val="left"/>
      <w:pPr>
        <w:ind w:left="2880" w:hanging="360"/>
      </w:pPr>
    </w:lvl>
    <w:lvl w:ilvl="4" w:tplc="51B63B7E">
      <w:start w:val="1"/>
      <w:numFmt w:val="lowerLetter"/>
      <w:lvlText w:val="%5."/>
      <w:lvlJc w:val="left"/>
      <w:pPr>
        <w:ind w:left="3600" w:hanging="360"/>
      </w:pPr>
    </w:lvl>
    <w:lvl w:ilvl="5" w:tplc="C06EE416">
      <w:start w:val="1"/>
      <w:numFmt w:val="lowerRoman"/>
      <w:lvlText w:val="%6."/>
      <w:lvlJc w:val="right"/>
      <w:pPr>
        <w:ind w:left="4320" w:hanging="180"/>
      </w:pPr>
    </w:lvl>
    <w:lvl w:ilvl="6" w:tplc="C0BEF08A">
      <w:start w:val="1"/>
      <w:numFmt w:val="decimal"/>
      <w:lvlText w:val="%7."/>
      <w:lvlJc w:val="left"/>
      <w:pPr>
        <w:ind w:left="5040" w:hanging="360"/>
      </w:pPr>
    </w:lvl>
    <w:lvl w:ilvl="7" w:tplc="9208A672">
      <w:start w:val="1"/>
      <w:numFmt w:val="lowerLetter"/>
      <w:lvlText w:val="%8."/>
      <w:lvlJc w:val="left"/>
      <w:pPr>
        <w:ind w:left="5760" w:hanging="360"/>
      </w:pPr>
    </w:lvl>
    <w:lvl w:ilvl="8" w:tplc="EE42F038">
      <w:start w:val="1"/>
      <w:numFmt w:val="lowerRoman"/>
      <w:lvlText w:val="%9."/>
      <w:lvlJc w:val="right"/>
      <w:pPr>
        <w:ind w:left="6480" w:hanging="180"/>
      </w:pPr>
    </w:lvl>
  </w:abstractNum>
  <w:abstractNum w:abstractNumId="326" w15:restartNumberingAfterBreak="0">
    <w:nsid w:val="6DBF9D66"/>
    <w:multiLevelType w:val="hybridMultilevel"/>
    <w:tmpl w:val="FFFFFFFF"/>
    <w:lvl w:ilvl="0" w:tplc="9550BEDE">
      <w:start w:val="4"/>
      <w:numFmt w:val="lowerRoman"/>
      <w:lvlText w:val="%1."/>
      <w:lvlJc w:val="right"/>
      <w:pPr>
        <w:ind w:left="1080" w:hanging="360"/>
      </w:pPr>
    </w:lvl>
    <w:lvl w:ilvl="1" w:tplc="FA424ADA">
      <w:start w:val="1"/>
      <w:numFmt w:val="lowerLetter"/>
      <w:lvlText w:val="%2."/>
      <w:lvlJc w:val="left"/>
      <w:pPr>
        <w:ind w:left="1440" w:hanging="360"/>
      </w:pPr>
    </w:lvl>
    <w:lvl w:ilvl="2" w:tplc="F90CCC36">
      <w:start w:val="1"/>
      <w:numFmt w:val="lowerRoman"/>
      <w:lvlText w:val="%3."/>
      <w:lvlJc w:val="right"/>
      <w:pPr>
        <w:ind w:left="2160" w:hanging="180"/>
      </w:pPr>
    </w:lvl>
    <w:lvl w:ilvl="3" w:tplc="BEC29992">
      <w:start w:val="1"/>
      <w:numFmt w:val="decimal"/>
      <w:lvlText w:val="%4."/>
      <w:lvlJc w:val="left"/>
      <w:pPr>
        <w:ind w:left="2880" w:hanging="360"/>
      </w:pPr>
    </w:lvl>
    <w:lvl w:ilvl="4" w:tplc="1CAA1F2E">
      <w:start w:val="1"/>
      <w:numFmt w:val="lowerLetter"/>
      <w:lvlText w:val="%5."/>
      <w:lvlJc w:val="left"/>
      <w:pPr>
        <w:ind w:left="3600" w:hanging="360"/>
      </w:pPr>
    </w:lvl>
    <w:lvl w:ilvl="5" w:tplc="77BCC3FC">
      <w:start w:val="1"/>
      <w:numFmt w:val="lowerRoman"/>
      <w:lvlText w:val="%6."/>
      <w:lvlJc w:val="right"/>
      <w:pPr>
        <w:ind w:left="4320" w:hanging="180"/>
      </w:pPr>
    </w:lvl>
    <w:lvl w:ilvl="6" w:tplc="3B768562">
      <w:start w:val="1"/>
      <w:numFmt w:val="decimal"/>
      <w:lvlText w:val="%7."/>
      <w:lvlJc w:val="left"/>
      <w:pPr>
        <w:ind w:left="5040" w:hanging="360"/>
      </w:pPr>
    </w:lvl>
    <w:lvl w:ilvl="7" w:tplc="7F100700">
      <w:start w:val="1"/>
      <w:numFmt w:val="lowerLetter"/>
      <w:lvlText w:val="%8."/>
      <w:lvlJc w:val="left"/>
      <w:pPr>
        <w:ind w:left="5760" w:hanging="360"/>
      </w:pPr>
    </w:lvl>
    <w:lvl w:ilvl="8" w:tplc="00365246">
      <w:start w:val="1"/>
      <w:numFmt w:val="lowerRoman"/>
      <w:lvlText w:val="%9."/>
      <w:lvlJc w:val="right"/>
      <w:pPr>
        <w:ind w:left="6480" w:hanging="180"/>
      </w:pPr>
    </w:lvl>
  </w:abstractNum>
  <w:abstractNum w:abstractNumId="327" w15:restartNumberingAfterBreak="0">
    <w:nsid w:val="6DE23A40"/>
    <w:multiLevelType w:val="hybridMultilevel"/>
    <w:tmpl w:val="1C7869A2"/>
    <w:lvl w:ilvl="0" w:tplc="0B680D42">
      <w:start w:val="1"/>
      <w:numFmt w:val="lowerRoman"/>
      <w:lvlText w:val="(%1)"/>
      <w:lvlJc w:val="left"/>
      <w:pPr>
        <w:ind w:left="1440" w:hanging="720"/>
      </w:pPr>
      <w:rPr>
        <w:rFonts w:eastAsia="Times New Roman" w:hint="default"/>
        <w:sz w:val="18"/>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28" w15:restartNumberingAfterBreak="0">
    <w:nsid w:val="6E1747B2"/>
    <w:multiLevelType w:val="hybridMultilevel"/>
    <w:tmpl w:val="52E237AA"/>
    <w:lvl w:ilvl="0" w:tplc="FA425BA6">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9" w15:restartNumberingAfterBreak="0">
    <w:nsid w:val="6EBAE0AE"/>
    <w:multiLevelType w:val="hybridMultilevel"/>
    <w:tmpl w:val="E9727F48"/>
    <w:lvl w:ilvl="0" w:tplc="5DD67700">
      <w:start w:val="1"/>
      <w:numFmt w:val="bullet"/>
      <w:lvlText w:val="·"/>
      <w:lvlJc w:val="left"/>
      <w:pPr>
        <w:ind w:left="720" w:hanging="360"/>
      </w:pPr>
      <w:rPr>
        <w:rFonts w:ascii="Symbol" w:hAnsi="Symbol" w:hint="default"/>
      </w:rPr>
    </w:lvl>
    <w:lvl w:ilvl="1" w:tplc="AE9E5236">
      <w:start w:val="1"/>
      <w:numFmt w:val="bullet"/>
      <w:lvlText w:val="o"/>
      <w:lvlJc w:val="left"/>
      <w:pPr>
        <w:ind w:left="1440" w:hanging="360"/>
      </w:pPr>
      <w:rPr>
        <w:rFonts w:ascii="Courier New" w:hAnsi="Courier New" w:hint="default"/>
      </w:rPr>
    </w:lvl>
    <w:lvl w:ilvl="2" w:tplc="45BE0932">
      <w:start w:val="1"/>
      <w:numFmt w:val="bullet"/>
      <w:lvlText w:val=""/>
      <w:lvlJc w:val="left"/>
      <w:pPr>
        <w:ind w:left="2160" w:hanging="360"/>
      </w:pPr>
      <w:rPr>
        <w:rFonts w:ascii="Wingdings" w:hAnsi="Wingdings" w:hint="default"/>
      </w:rPr>
    </w:lvl>
    <w:lvl w:ilvl="3" w:tplc="29A61B42">
      <w:start w:val="1"/>
      <w:numFmt w:val="bullet"/>
      <w:lvlText w:val=""/>
      <w:lvlJc w:val="left"/>
      <w:pPr>
        <w:ind w:left="2880" w:hanging="360"/>
      </w:pPr>
      <w:rPr>
        <w:rFonts w:ascii="Symbol" w:hAnsi="Symbol" w:hint="default"/>
      </w:rPr>
    </w:lvl>
    <w:lvl w:ilvl="4" w:tplc="3A30B566">
      <w:start w:val="1"/>
      <w:numFmt w:val="bullet"/>
      <w:lvlText w:val="o"/>
      <w:lvlJc w:val="left"/>
      <w:pPr>
        <w:ind w:left="3600" w:hanging="360"/>
      </w:pPr>
      <w:rPr>
        <w:rFonts w:ascii="Courier New" w:hAnsi="Courier New" w:hint="default"/>
      </w:rPr>
    </w:lvl>
    <w:lvl w:ilvl="5" w:tplc="8B8E46C2">
      <w:start w:val="1"/>
      <w:numFmt w:val="bullet"/>
      <w:lvlText w:val=""/>
      <w:lvlJc w:val="left"/>
      <w:pPr>
        <w:ind w:left="4320" w:hanging="360"/>
      </w:pPr>
      <w:rPr>
        <w:rFonts w:ascii="Wingdings" w:hAnsi="Wingdings" w:hint="default"/>
      </w:rPr>
    </w:lvl>
    <w:lvl w:ilvl="6" w:tplc="0C2C6F30">
      <w:start w:val="1"/>
      <w:numFmt w:val="bullet"/>
      <w:lvlText w:val=""/>
      <w:lvlJc w:val="left"/>
      <w:pPr>
        <w:ind w:left="5040" w:hanging="360"/>
      </w:pPr>
      <w:rPr>
        <w:rFonts w:ascii="Symbol" w:hAnsi="Symbol" w:hint="default"/>
      </w:rPr>
    </w:lvl>
    <w:lvl w:ilvl="7" w:tplc="E5021BB0">
      <w:start w:val="1"/>
      <w:numFmt w:val="bullet"/>
      <w:lvlText w:val="o"/>
      <w:lvlJc w:val="left"/>
      <w:pPr>
        <w:ind w:left="5760" w:hanging="360"/>
      </w:pPr>
      <w:rPr>
        <w:rFonts w:ascii="Courier New" w:hAnsi="Courier New" w:hint="default"/>
      </w:rPr>
    </w:lvl>
    <w:lvl w:ilvl="8" w:tplc="B2F871FE">
      <w:start w:val="1"/>
      <w:numFmt w:val="bullet"/>
      <w:lvlText w:val=""/>
      <w:lvlJc w:val="left"/>
      <w:pPr>
        <w:ind w:left="6480" w:hanging="360"/>
      </w:pPr>
      <w:rPr>
        <w:rFonts w:ascii="Wingdings" w:hAnsi="Wingdings" w:hint="default"/>
      </w:rPr>
    </w:lvl>
  </w:abstractNum>
  <w:abstractNum w:abstractNumId="330" w15:restartNumberingAfterBreak="0">
    <w:nsid w:val="6ED063DF"/>
    <w:multiLevelType w:val="hybridMultilevel"/>
    <w:tmpl w:val="D88ABD3A"/>
    <w:lvl w:ilvl="0" w:tplc="08EED532">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1" w15:restartNumberingAfterBreak="0">
    <w:nsid w:val="6F3CDBE5"/>
    <w:multiLevelType w:val="hybridMultilevel"/>
    <w:tmpl w:val="FFFFFFFF"/>
    <w:lvl w:ilvl="0" w:tplc="4C20E102">
      <w:start w:val="5"/>
      <w:numFmt w:val="lowerLetter"/>
      <w:lvlText w:val="%1)"/>
      <w:lvlJc w:val="left"/>
      <w:pPr>
        <w:ind w:left="720" w:hanging="360"/>
      </w:pPr>
    </w:lvl>
    <w:lvl w:ilvl="1" w:tplc="AF943654">
      <w:start w:val="1"/>
      <w:numFmt w:val="lowerLetter"/>
      <w:lvlText w:val="%2."/>
      <w:lvlJc w:val="left"/>
      <w:pPr>
        <w:ind w:left="1440" w:hanging="360"/>
      </w:pPr>
    </w:lvl>
    <w:lvl w:ilvl="2" w:tplc="C4AA2352">
      <w:start w:val="1"/>
      <w:numFmt w:val="lowerRoman"/>
      <w:lvlText w:val="%3."/>
      <w:lvlJc w:val="right"/>
      <w:pPr>
        <w:ind w:left="2160" w:hanging="180"/>
      </w:pPr>
    </w:lvl>
    <w:lvl w:ilvl="3" w:tplc="5C580C66">
      <w:start w:val="1"/>
      <w:numFmt w:val="decimal"/>
      <w:lvlText w:val="%4."/>
      <w:lvlJc w:val="left"/>
      <w:pPr>
        <w:ind w:left="2880" w:hanging="360"/>
      </w:pPr>
    </w:lvl>
    <w:lvl w:ilvl="4" w:tplc="150272E0">
      <w:start w:val="1"/>
      <w:numFmt w:val="lowerLetter"/>
      <w:lvlText w:val="%5."/>
      <w:lvlJc w:val="left"/>
      <w:pPr>
        <w:ind w:left="3600" w:hanging="360"/>
      </w:pPr>
    </w:lvl>
    <w:lvl w:ilvl="5" w:tplc="5518F800">
      <w:start w:val="1"/>
      <w:numFmt w:val="lowerRoman"/>
      <w:lvlText w:val="%6."/>
      <w:lvlJc w:val="right"/>
      <w:pPr>
        <w:ind w:left="4320" w:hanging="180"/>
      </w:pPr>
    </w:lvl>
    <w:lvl w:ilvl="6" w:tplc="C51E9002">
      <w:start w:val="1"/>
      <w:numFmt w:val="decimal"/>
      <w:lvlText w:val="%7."/>
      <w:lvlJc w:val="left"/>
      <w:pPr>
        <w:ind w:left="5040" w:hanging="360"/>
      </w:pPr>
    </w:lvl>
    <w:lvl w:ilvl="7" w:tplc="338E57CA">
      <w:start w:val="1"/>
      <w:numFmt w:val="lowerLetter"/>
      <w:lvlText w:val="%8."/>
      <w:lvlJc w:val="left"/>
      <w:pPr>
        <w:ind w:left="5760" w:hanging="360"/>
      </w:pPr>
    </w:lvl>
    <w:lvl w:ilvl="8" w:tplc="556C6F5E">
      <w:start w:val="1"/>
      <w:numFmt w:val="lowerRoman"/>
      <w:lvlText w:val="%9."/>
      <w:lvlJc w:val="right"/>
      <w:pPr>
        <w:ind w:left="6480" w:hanging="180"/>
      </w:pPr>
    </w:lvl>
  </w:abstractNum>
  <w:abstractNum w:abstractNumId="332" w15:restartNumberingAfterBreak="0">
    <w:nsid w:val="6F625F53"/>
    <w:multiLevelType w:val="hybridMultilevel"/>
    <w:tmpl w:val="6DEED73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33" w15:restartNumberingAfterBreak="0">
    <w:nsid w:val="703169D0"/>
    <w:multiLevelType w:val="hybridMultilevel"/>
    <w:tmpl w:val="32704F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4" w15:restartNumberingAfterBreak="0">
    <w:nsid w:val="709B8187"/>
    <w:multiLevelType w:val="hybridMultilevel"/>
    <w:tmpl w:val="FFFFFFFF"/>
    <w:lvl w:ilvl="0" w:tplc="00E6B9DA">
      <w:start w:val="3"/>
      <w:numFmt w:val="lowerLetter"/>
      <w:lvlText w:val="%1)"/>
      <w:lvlJc w:val="left"/>
      <w:pPr>
        <w:ind w:left="720" w:hanging="360"/>
      </w:pPr>
    </w:lvl>
    <w:lvl w:ilvl="1" w:tplc="699E488A">
      <w:start w:val="1"/>
      <w:numFmt w:val="lowerLetter"/>
      <w:lvlText w:val="%2."/>
      <w:lvlJc w:val="left"/>
      <w:pPr>
        <w:ind w:left="1440" w:hanging="360"/>
      </w:pPr>
    </w:lvl>
    <w:lvl w:ilvl="2" w:tplc="572EFE2C">
      <w:start w:val="1"/>
      <w:numFmt w:val="lowerRoman"/>
      <w:lvlText w:val="%3."/>
      <w:lvlJc w:val="right"/>
      <w:pPr>
        <w:ind w:left="2160" w:hanging="180"/>
      </w:pPr>
    </w:lvl>
    <w:lvl w:ilvl="3" w:tplc="6B4E23F6">
      <w:start w:val="1"/>
      <w:numFmt w:val="decimal"/>
      <w:lvlText w:val="%4."/>
      <w:lvlJc w:val="left"/>
      <w:pPr>
        <w:ind w:left="2880" w:hanging="360"/>
      </w:pPr>
    </w:lvl>
    <w:lvl w:ilvl="4" w:tplc="0BA8A1BA">
      <w:start w:val="1"/>
      <w:numFmt w:val="lowerLetter"/>
      <w:lvlText w:val="%5."/>
      <w:lvlJc w:val="left"/>
      <w:pPr>
        <w:ind w:left="3600" w:hanging="360"/>
      </w:pPr>
    </w:lvl>
    <w:lvl w:ilvl="5" w:tplc="0D98DC58">
      <w:start w:val="1"/>
      <w:numFmt w:val="lowerRoman"/>
      <w:lvlText w:val="%6."/>
      <w:lvlJc w:val="right"/>
      <w:pPr>
        <w:ind w:left="4320" w:hanging="180"/>
      </w:pPr>
    </w:lvl>
    <w:lvl w:ilvl="6" w:tplc="DDDA7AC8">
      <w:start w:val="1"/>
      <w:numFmt w:val="decimal"/>
      <w:lvlText w:val="%7."/>
      <w:lvlJc w:val="left"/>
      <w:pPr>
        <w:ind w:left="5040" w:hanging="360"/>
      </w:pPr>
    </w:lvl>
    <w:lvl w:ilvl="7" w:tplc="C74E96E2">
      <w:start w:val="1"/>
      <w:numFmt w:val="lowerLetter"/>
      <w:lvlText w:val="%8."/>
      <w:lvlJc w:val="left"/>
      <w:pPr>
        <w:ind w:left="5760" w:hanging="360"/>
      </w:pPr>
    </w:lvl>
    <w:lvl w:ilvl="8" w:tplc="BFB29F28">
      <w:start w:val="1"/>
      <w:numFmt w:val="lowerRoman"/>
      <w:lvlText w:val="%9."/>
      <w:lvlJc w:val="right"/>
      <w:pPr>
        <w:ind w:left="6480" w:hanging="180"/>
      </w:pPr>
    </w:lvl>
  </w:abstractNum>
  <w:abstractNum w:abstractNumId="335" w15:restartNumberingAfterBreak="0">
    <w:nsid w:val="70ABFC03"/>
    <w:multiLevelType w:val="hybridMultilevel"/>
    <w:tmpl w:val="FFFFFFFF"/>
    <w:lvl w:ilvl="0" w:tplc="DA907AFA">
      <w:start w:val="1"/>
      <w:numFmt w:val="decimal"/>
      <w:lvlText w:val="%1."/>
      <w:lvlJc w:val="left"/>
      <w:pPr>
        <w:ind w:left="720" w:hanging="360"/>
      </w:pPr>
    </w:lvl>
    <w:lvl w:ilvl="1" w:tplc="6CBABC94">
      <w:start w:val="1"/>
      <w:numFmt w:val="lowerRoman"/>
      <w:lvlText w:val="%2."/>
      <w:lvlJc w:val="right"/>
      <w:pPr>
        <w:ind w:left="1080" w:hanging="360"/>
      </w:pPr>
    </w:lvl>
    <w:lvl w:ilvl="2" w:tplc="F09667C4">
      <w:start w:val="1"/>
      <w:numFmt w:val="lowerRoman"/>
      <w:lvlText w:val="%3."/>
      <w:lvlJc w:val="right"/>
      <w:pPr>
        <w:ind w:left="2160" w:hanging="180"/>
      </w:pPr>
    </w:lvl>
    <w:lvl w:ilvl="3" w:tplc="343A234E">
      <w:start w:val="1"/>
      <w:numFmt w:val="decimal"/>
      <w:lvlText w:val="%4."/>
      <w:lvlJc w:val="left"/>
      <w:pPr>
        <w:ind w:left="2880" w:hanging="360"/>
      </w:pPr>
    </w:lvl>
    <w:lvl w:ilvl="4" w:tplc="D07A659C">
      <w:start w:val="1"/>
      <w:numFmt w:val="lowerLetter"/>
      <w:lvlText w:val="%5."/>
      <w:lvlJc w:val="left"/>
      <w:pPr>
        <w:ind w:left="3600" w:hanging="360"/>
      </w:pPr>
    </w:lvl>
    <w:lvl w:ilvl="5" w:tplc="6C2428A6">
      <w:start w:val="1"/>
      <w:numFmt w:val="lowerRoman"/>
      <w:lvlText w:val="%6."/>
      <w:lvlJc w:val="right"/>
      <w:pPr>
        <w:ind w:left="4320" w:hanging="180"/>
      </w:pPr>
    </w:lvl>
    <w:lvl w:ilvl="6" w:tplc="D99E3CF6">
      <w:start w:val="1"/>
      <w:numFmt w:val="decimal"/>
      <w:lvlText w:val="%7."/>
      <w:lvlJc w:val="left"/>
      <w:pPr>
        <w:ind w:left="5040" w:hanging="360"/>
      </w:pPr>
    </w:lvl>
    <w:lvl w:ilvl="7" w:tplc="0AC8E4EC">
      <w:start w:val="1"/>
      <w:numFmt w:val="lowerLetter"/>
      <w:lvlText w:val="%8."/>
      <w:lvlJc w:val="left"/>
      <w:pPr>
        <w:ind w:left="5760" w:hanging="360"/>
      </w:pPr>
    </w:lvl>
    <w:lvl w:ilvl="8" w:tplc="C70CB158">
      <w:start w:val="1"/>
      <w:numFmt w:val="lowerRoman"/>
      <w:lvlText w:val="%9."/>
      <w:lvlJc w:val="right"/>
      <w:pPr>
        <w:ind w:left="6480" w:hanging="180"/>
      </w:pPr>
    </w:lvl>
  </w:abstractNum>
  <w:abstractNum w:abstractNumId="336" w15:restartNumberingAfterBreak="0">
    <w:nsid w:val="70FF39A6"/>
    <w:multiLevelType w:val="hybridMultilevel"/>
    <w:tmpl w:val="FFFFFFFF"/>
    <w:lvl w:ilvl="0" w:tplc="FFFFFFFF">
      <w:start w:val="1"/>
      <w:numFmt w:val="lowerLetter"/>
      <w:lvlText w:val="%1."/>
      <w:lvlJc w:val="left"/>
      <w:pPr>
        <w:ind w:left="720" w:hanging="360"/>
      </w:pPr>
    </w:lvl>
    <w:lvl w:ilvl="1" w:tplc="A96E5A28">
      <w:start w:val="1"/>
      <w:numFmt w:val="lowerLetter"/>
      <w:lvlText w:val="%2."/>
      <w:lvlJc w:val="left"/>
      <w:pPr>
        <w:ind w:left="1440" w:hanging="360"/>
      </w:pPr>
    </w:lvl>
    <w:lvl w:ilvl="2" w:tplc="1004B92E">
      <w:start w:val="1"/>
      <w:numFmt w:val="lowerRoman"/>
      <w:lvlText w:val="%3."/>
      <w:lvlJc w:val="right"/>
      <w:pPr>
        <w:ind w:left="2160" w:hanging="180"/>
      </w:pPr>
    </w:lvl>
    <w:lvl w:ilvl="3" w:tplc="C7CEA4E4">
      <w:start w:val="1"/>
      <w:numFmt w:val="decimal"/>
      <w:lvlText w:val="%4."/>
      <w:lvlJc w:val="left"/>
      <w:pPr>
        <w:ind w:left="2880" w:hanging="360"/>
      </w:pPr>
    </w:lvl>
    <w:lvl w:ilvl="4" w:tplc="5E623A30">
      <w:start w:val="1"/>
      <w:numFmt w:val="lowerLetter"/>
      <w:lvlText w:val="%5."/>
      <w:lvlJc w:val="left"/>
      <w:pPr>
        <w:ind w:left="3600" w:hanging="360"/>
      </w:pPr>
    </w:lvl>
    <w:lvl w:ilvl="5" w:tplc="AFCCCBFC">
      <w:start w:val="1"/>
      <w:numFmt w:val="lowerRoman"/>
      <w:lvlText w:val="%6."/>
      <w:lvlJc w:val="right"/>
      <w:pPr>
        <w:ind w:left="4320" w:hanging="180"/>
      </w:pPr>
    </w:lvl>
    <w:lvl w:ilvl="6" w:tplc="2514EDCE">
      <w:start w:val="1"/>
      <w:numFmt w:val="decimal"/>
      <w:lvlText w:val="%7."/>
      <w:lvlJc w:val="left"/>
      <w:pPr>
        <w:ind w:left="5040" w:hanging="360"/>
      </w:pPr>
    </w:lvl>
    <w:lvl w:ilvl="7" w:tplc="7DDCC244">
      <w:start w:val="1"/>
      <w:numFmt w:val="lowerLetter"/>
      <w:lvlText w:val="%8."/>
      <w:lvlJc w:val="left"/>
      <w:pPr>
        <w:ind w:left="5760" w:hanging="360"/>
      </w:pPr>
    </w:lvl>
    <w:lvl w:ilvl="8" w:tplc="5A3E58C0">
      <w:start w:val="1"/>
      <w:numFmt w:val="lowerRoman"/>
      <w:lvlText w:val="%9."/>
      <w:lvlJc w:val="right"/>
      <w:pPr>
        <w:ind w:left="6480" w:hanging="180"/>
      </w:pPr>
    </w:lvl>
  </w:abstractNum>
  <w:abstractNum w:abstractNumId="337" w15:restartNumberingAfterBreak="0">
    <w:nsid w:val="7223FF7C"/>
    <w:multiLevelType w:val="hybridMultilevel"/>
    <w:tmpl w:val="FFFFFFFF"/>
    <w:lvl w:ilvl="0" w:tplc="841E0DDC">
      <w:start w:val="1"/>
      <w:numFmt w:val="decimal"/>
      <w:lvlText w:val="%1."/>
      <w:lvlJc w:val="left"/>
      <w:pPr>
        <w:ind w:left="720" w:hanging="360"/>
      </w:pPr>
    </w:lvl>
    <w:lvl w:ilvl="1" w:tplc="172C4A16">
      <w:start w:val="1"/>
      <w:numFmt w:val="lowerLetter"/>
      <w:lvlText w:val="%2."/>
      <w:lvlJc w:val="left"/>
      <w:pPr>
        <w:ind w:left="1440" w:hanging="360"/>
      </w:pPr>
    </w:lvl>
    <w:lvl w:ilvl="2" w:tplc="98BE3988">
      <w:start w:val="1"/>
      <w:numFmt w:val="lowerRoman"/>
      <w:lvlText w:val="%3."/>
      <w:lvlJc w:val="right"/>
      <w:pPr>
        <w:ind w:left="2160" w:hanging="180"/>
      </w:pPr>
    </w:lvl>
    <w:lvl w:ilvl="3" w:tplc="A4DAB4BA">
      <w:start w:val="1"/>
      <w:numFmt w:val="decimal"/>
      <w:lvlText w:val="%4."/>
      <w:lvlJc w:val="left"/>
      <w:pPr>
        <w:ind w:left="2880" w:hanging="360"/>
      </w:pPr>
    </w:lvl>
    <w:lvl w:ilvl="4" w:tplc="DA0241F6">
      <w:start w:val="1"/>
      <w:numFmt w:val="lowerLetter"/>
      <w:lvlText w:val="%5."/>
      <w:lvlJc w:val="left"/>
      <w:pPr>
        <w:ind w:left="3600" w:hanging="360"/>
      </w:pPr>
    </w:lvl>
    <w:lvl w:ilvl="5" w:tplc="DBCA59BE">
      <w:start w:val="1"/>
      <w:numFmt w:val="lowerRoman"/>
      <w:lvlText w:val="%6."/>
      <w:lvlJc w:val="right"/>
      <w:pPr>
        <w:ind w:left="4320" w:hanging="180"/>
      </w:pPr>
    </w:lvl>
    <w:lvl w:ilvl="6" w:tplc="5F189C32">
      <w:start w:val="1"/>
      <w:numFmt w:val="decimal"/>
      <w:lvlText w:val="%7."/>
      <w:lvlJc w:val="left"/>
      <w:pPr>
        <w:ind w:left="5040" w:hanging="360"/>
      </w:pPr>
    </w:lvl>
    <w:lvl w:ilvl="7" w:tplc="A928161E">
      <w:start w:val="1"/>
      <w:numFmt w:val="lowerLetter"/>
      <w:lvlText w:val="%8."/>
      <w:lvlJc w:val="left"/>
      <w:pPr>
        <w:ind w:left="5760" w:hanging="360"/>
      </w:pPr>
    </w:lvl>
    <w:lvl w:ilvl="8" w:tplc="DB5C0702">
      <w:start w:val="1"/>
      <w:numFmt w:val="lowerRoman"/>
      <w:lvlText w:val="%9."/>
      <w:lvlJc w:val="right"/>
      <w:pPr>
        <w:ind w:left="6480" w:hanging="180"/>
      </w:pPr>
    </w:lvl>
  </w:abstractNum>
  <w:abstractNum w:abstractNumId="338" w15:restartNumberingAfterBreak="0">
    <w:nsid w:val="72390835"/>
    <w:multiLevelType w:val="hybridMultilevel"/>
    <w:tmpl w:val="FFFFFFFF"/>
    <w:lvl w:ilvl="0" w:tplc="55087700">
      <w:start w:val="6"/>
      <w:numFmt w:val="decimal"/>
      <w:lvlText w:val="%1."/>
      <w:lvlJc w:val="left"/>
      <w:pPr>
        <w:ind w:left="720" w:hanging="360"/>
      </w:pPr>
    </w:lvl>
    <w:lvl w:ilvl="1" w:tplc="9E76A7D2">
      <w:start w:val="1"/>
      <w:numFmt w:val="lowerLetter"/>
      <w:lvlText w:val="%2."/>
      <w:lvlJc w:val="left"/>
      <w:pPr>
        <w:ind w:left="1440" w:hanging="360"/>
      </w:pPr>
    </w:lvl>
    <w:lvl w:ilvl="2" w:tplc="B13E4516">
      <w:start w:val="1"/>
      <w:numFmt w:val="lowerRoman"/>
      <w:lvlText w:val="%3."/>
      <w:lvlJc w:val="right"/>
      <w:pPr>
        <w:ind w:left="2160" w:hanging="180"/>
      </w:pPr>
    </w:lvl>
    <w:lvl w:ilvl="3" w:tplc="C1BE3EBE">
      <w:start w:val="1"/>
      <w:numFmt w:val="decimal"/>
      <w:lvlText w:val="%4."/>
      <w:lvlJc w:val="left"/>
      <w:pPr>
        <w:ind w:left="2880" w:hanging="360"/>
      </w:pPr>
    </w:lvl>
    <w:lvl w:ilvl="4" w:tplc="513CDC98">
      <w:start w:val="1"/>
      <w:numFmt w:val="lowerLetter"/>
      <w:lvlText w:val="%5."/>
      <w:lvlJc w:val="left"/>
      <w:pPr>
        <w:ind w:left="3600" w:hanging="360"/>
      </w:pPr>
    </w:lvl>
    <w:lvl w:ilvl="5" w:tplc="40AED19A">
      <w:start w:val="1"/>
      <w:numFmt w:val="lowerRoman"/>
      <w:lvlText w:val="%6."/>
      <w:lvlJc w:val="right"/>
      <w:pPr>
        <w:ind w:left="4320" w:hanging="180"/>
      </w:pPr>
    </w:lvl>
    <w:lvl w:ilvl="6" w:tplc="B62EA1C6">
      <w:start w:val="1"/>
      <w:numFmt w:val="decimal"/>
      <w:lvlText w:val="%7."/>
      <w:lvlJc w:val="left"/>
      <w:pPr>
        <w:ind w:left="5040" w:hanging="360"/>
      </w:pPr>
    </w:lvl>
    <w:lvl w:ilvl="7" w:tplc="AC1E87D0">
      <w:start w:val="1"/>
      <w:numFmt w:val="lowerLetter"/>
      <w:lvlText w:val="%8."/>
      <w:lvlJc w:val="left"/>
      <w:pPr>
        <w:ind w:left="5760" w:hanging="360"/>
      </w:pPr>
    </w:lvl>
    <w:lvl w:ilvl="8" w:tplc="B0DEE314">
      <w:start w:val="1"/>
      <w:numFmt w:val="lowerRoman"/>
      <w:lvlText w:val="%9."/>
      <w:lvlJc w:val="right"/>
      <w:pPr>
        <w:ind w:left="6480" w:hanging="180"/>
      </w:pPr>
    </w:lvl>
  </w:abstractNum>
  <w:abstractNum w:abstractNumId="339" w15:restartNumberingAfterBreak="0">
    <w:nsid w:val="726F8993"/>
    <w:multiLevelType w:val="hybridMultilevel"/>
    <w:tmpl w:val="FFFFFFFF"/>
    <w:lvl w:ilvl="0" w:tplc="471C7CAC">
      <w:start w:val="1"/>
      <w:numFmt w:val="lowerRoman"/>
      <w:lvlText w:val="%1."/>
      <w:lvlJc w:val="right"/>
      <w:pPr>
        <w:ind w:left="1080" w:hanging="360"/>
      </w:pPr>
    </w:lvl>
    <w:lvl w:ilvl="1" w:tplc="4D540FAE">
      <w:start w:val="1"/>
      <w:numFmt w:val="lowerLetter"/>
      <w:lvlText w:val="%2."/>
      <w:lvlJc w:val="left"/>
      <w:pPr>
        <w:ind w:left="1440" w:hanging="360"/>
      </w:pPr>
    </w:lvl>
    <w:lvl w:ilvl="2" w:tplc="EF3EBF86">
      <w:start w:val="1"/>
      <w:numFmt w:val="lowerRoman"/>
      <w:lvlText w:val="%3."/>
      <w:lvlJc w:val="right"/>
      <w:pPr>
        <w:ind w:left="2160" w:hanging="180"/>
      </w:pPr>
    </w:lvl>
    <w:lvl w:ilvl="3" w:tplc="F4840F70">
      <w:start w:val="1"/>
      <w:numFmt w:val="decimal"/>
      <w:lvlText w:val="%4."/>
      <w:lvlJc w:val="left"/>
      <w:pPr>
        <w:ind w:left="2880" w:hanging="360"/>
      </w:pPr>
    </w:lvl>
    <w:lvl w:ilvl="4" w:tplc="BDC81A62">
      <w:start w:val="1"/>
      <w:numFmt w:val="lowerLetter"/>
      <w:lvlText w:val="%5."/>
      <w:lvlJc w:val="left"/>
      <w:pPr>
        <w:ind w:left="3600" w:hanging="360"/>
      </w:pPr>
    </w:lvl>
    <w:lvl w:ilvl="5" w:tplc="997EF744">
      <w:start w:val="1"/>
      <w:numFmt w:val="lowerRoman"/>
      <w:lvlText w:val="%6."/>
      <w:lvlJc w:val="right"/>
      <w:pPr>
        <w:ind w:left="4320" w:hanging="180"/>
      </w:pPr>
    </w:lvl>
    <w:lvl w:ilvl="6" w:tplc="9B3A75C4">
      <w:start w:val="1"/>
      <w:numFmt w:val="decimal"/>
      <w:lvlText w:val="%7."/>
      <w:lvlJc w:val="left"/>
      <w:pPr>
        <w:ind w:left="5040" w:hanging="360"/>
      </w:pPr>
    </w:lvl>
    <w:lvl w:ilvl="7" w:tplc="50DC9998">
      <w:start w:val="1"/>
      <w:numFmt w:val="lowerLetter"/>
      <w:lvlText w:val="%8."/>
      <w:lvlJc w:val="left"/>
      <w:pPr>
        <w:ind w:left="5760" w:hanging="360"/>
      </w:pPr>
    </w:lvl>
    <w:lvl w:ilvl="8" w:tplc="F958339C">
      <w:start w:val="1"/>
      <w:numFmt w:val="lowerRoman"/>
      <w:lvlText w:val="%9."/>
      <w:lvlJc w:val="right"/>
      <w:pPr>
        <w:ind w:left="6480" w:hanging="180"/>
      </w:pPr>
    </w:lvl>
  </w:abstractNum>
  <w:abstractNum w:abstractNumId="340" w15:restartNumberingAfterBreak="0">
    <w:nsid w:val="72937A75"/>
    <w:multiLevelType w:val="hybridMultilevel"/>
    <w:tmpl w:val="FFFFFFFF"/>
    <w:lvl w:ilvl="0" w:tplc="6FB4A5CE">
      <w:start w:val="1"/>
      <w:numFmt w:val="bullet"/>
      <w:lvlText w:val="-"/>
      <w:lvlJc w:val="left"/>
      <w:pPr>
        <w:ind w:left="720" w:hanging="360"/>
      </w:pPr>
      <w:rPr>
        <w:rFonts w:ascii="Symbol" w:hAnsi="Symbol" w:hint="default"/>
      </w:rPr>
    </w:lvl>
    <w:lvl w:ilvl="1" w:tplc="79845406">
      <w:start w:val="1"/>
      <w:numFmt w:val="bullet"/>
      <w:lvlText w:val="o"/>
      <w:lvlJc w:val="left"/>
      <w:pPr>
        <w:ind w:left="1440" w:hanging="360"/>
      </w:pPr>
      <w:rPr>
        <w:rFonts w:ascii="Courier New" w:hAnsi="Courier New" w:hint="default"/>
      </w:rPr>
    </w:lvl>
    <w:lvl w:ilvl="2" w:tplc="C16600F4">
      <w:start w:val="1"/>
      <w:numFmt w:val="bullet"/>
      <w:lvlText w:val=""/>
      <w:lvlJc w:val="left"/>
      <w:pPr>
        <w:ind w:left="2160" w:hanging="360"/>
      </w:pPr>
      <w:rPr>
        <w:rFonts w:ascii="Wingdings" w:hAnsi="Wingdings" w:hint="default"/>
      </w:rPr>
    </w:lvl>
    <w:lvl w:ilvl="3" w:tplc="11A2C79A">
      <w:start w:val="1"/>
      <w:numFmt w:val="bullet"/>
      <w:lvlText w:val=""/>
      <w:lvlJc w:val="left"/>
      <w:pPr>
        <w:ind w:left="2880" w:hanging="360"/>
      </w:pPr>
      <w:rPr>
        <w:rFonts w:ascii="Symbol" w:hAnsi="Symbol" w:hint="default"/>
      </w:rPr>
    </w:lvl>
    <w:lvl w:ilvl="4" w:tplc="02BC1F52">
      <w:start w:val="1"/>
      <w:numFmt w:val="bullet"/>
      <w:lvlText w:val="o"/>
      <w:lvlJc w:val="left"/>
      <w:pPr>
        <w:ind w:left="3600" w:hanging="360"/>
      </w:pPr>
      <w:rPr>
        <w:rFonts w:ascii="Courier New" w:hAnsi="Courier New" w:hint="default"/>
      </w:rPr>
    </w:lvl>
    <w:lvl w:ilvl="5" w:tplc="EA0697E4">
      <w:start w:val="1"/>
      <w:numFmt w:val="bullet"/>
      <w:lvlText w:val=""/>
      <w:lvlJc w:val="left"/>
      <w:pPr>
        <w:ind w:left="4320" w:hanging="360"/>
      </w:pPr>
      <w:rPr>
        <w:rFonts w:ascii="Wingdings" w:hAnsi="Wingdings" w:hint="default"/>
      </w:rPr>
    </w:lvl>
    <w:lvl w:ilvl="6" w:tplc="81DC3BAE">
      <w:start w:val="1"/>
      <w:numFmt w:val="bullet"/>
      <w:lvlText w:val=""/>
      <w:lvlJc w:val="left"/>
      <w:pPr>
        <w:ind w:left="5040" w:hanging="360"/>
      </w:pPr>
      <w:rPr>
        <w:rFonts w:ascii="Symbol" w:hAnsi="Symbol" w:hint="default"/>
      </w:rPr>
    </w:lvl>
    <w:lvl w:ilvl="7" w:tplc="FC227110">
      <w:start w:val="1"/>
      <w:numFmt w:val="bullet"/>
      <w:lvlText w:val="o"/>
      <w:lvlJc w:val="left"/>
      <w:pPr>
        <w:ind w:left="5760" w:hanging="360"/>
      </w:pPr>
      <w:rPr>
        <w:rFonts w:ascii="Courier New" w:hAnsi="Courier New" w:hint="default"/>
      </w:rPr>
    </w:lvl>
    <w:lvl w:ilvl="8" w:tplc="11346036">
      <w:start w:val="1"/>
      <w:numFmt w:val="bullet"/>
      <w:lvlText w:val=""/>
      <w:lvlJc w:val="left"/>
      <w:pPr>
        <w:ind w:left="6480" w:hanging="360"/>
      </w:pPr>
      <w:rPr>
        <w:rFonts w:ascii="Wingdings" w:hAnsi="Wingdings" w:hint="default"/>
      </w:rPr>
    </w:lvl>
  </w:abstractNum>
  <w:abstractNum w:abstractNumId="341" w15:restartNumberingAfterBreak="0">
    <w:nsid w:val="734A237E"/>
    <w:multiLevelType w:val="multilevel"/>
    <w:tmpl w:val="B75C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2" w15:restartNumberingAfterBreak="0">
    <w:nsid w:val="73EAD0BB"/>
    <w:multiLevelType w:val="hybridMultilevel"/>
    <w:tmpl w:val="FFFFFFFF"/>
    <w:lvl w:ilvl="0" w:tplc="5532F52C">
      <w:start w:val="5"/>
      <w:numFmt w:val="lowerRoman"/>
      <w:lvlText w:val="%1."/>
      <w:lvlJc w:val="right"/>
      <w:pPr>
        <w:ind w:left="1080" w:hanging="360"/>
      </w:pPr>
    </w:lvl>
    <w:lvl w:ilvl="1" w:tplc="1F50C214">
      <w:start w:val="1"/>
      <w:numFmt w:val="lowerLetter"/>
      <w:lvlText w:val="%2."/>
      <w:lvlJc w:val="left"/>
      <w:pPr>
        <w:ind w:left="1440" w:hanging="360"/>
      </w:pPr>
    </w:lvl>
    <w:lvl w:ilvl="2" w:tplc="EB90B098">
      <w:start w:val="1"/>
      <w:numFmt w:val="lowerRoman"/>
      <w:lvlText w:val="%3."/>
      <w:lvlJc w:val="right"/>
      <w:pPr>
        <w:ind w:left="2160" w:hanging="180"/>
      </w:pPr>
    </w:lvl>
    <w:lvl w:ilvl="3" w:tplc="58F2C22E">
      <w:start w:val="1"/>
      <w:numFmt w:val="decimal"/>
      <w:lvlText w:val="%4."/>
      <w:lvlJc w:val="left"/>
      <w:pPr>
        <w:ind w:left="2880" w:hanging="360"/>
      </w:pPr>
    </w:lvl>
    <w:lvl w:ilvl="4" w:tplc="1AE8BBA8">
      <w:start w:val="1"/>
      <w:numFmt w:val="lowerLetter"/>
      <w:lvlText w:val="%5."/>
      <w:lvlJc w:val="left"/>
      <w:pPr>
        <w:ind w:left="3600" w:hanging="360"/>
      </w:pPr>
    </w:lvl>
    <w:lvl w:ilvl="5" w:tplc="9306D7F0">
      <w:start w:val="1"/>
      <w:numFmt w:val="lowerRoman"/>
      <w:lvlText w:val="%6."/>
      <w:lvlJc w:val="right"/>
      <w:pPr>
        <w:ind w:left="4320" w:hanging="180"/>
      </w:pPr>
    </w:lvl>
    <w:lvl w:ilvl="6" w:tplc="AF3036FA">
      <w:start w:val="1"/>
      <w:numFmt w:val="decimal"/>
      <w:lvlText w:val="%7."/>
      <w:lvlJc w:val="left"/>
      <w:pPr>
        <w:ind w:left="5040" w:hanging="360"/>
      </w:pPr>
    </w:lvl>
    <w:lvl w:ilvl="7" w:tplc="7E4238EE">
      <w:start w:val="1"/>
      <w:numFmt w:val="lowerLetter"/>
      <w:lvlText w:val="%8."/>
      <w:lvlJc w:val="left"/>
      <w:pPr>
        <w:ind w:left="5760" w:hanging="360"/>
      </w:pPr>
    </w:lvl>
    <w:lvl w:ilvl="8" w:tplc="70169B1E">
      <w:start w:val="1"/>
      <w:numFmt w:val="lowerRoman"/>
      <w:lvlText w:val="%9."/>
      <w:lvlJc w:val="right"/>
      <w:pPr>
        <w:ind w:left="6480" w:hanging="180"/>
      </w:pPr>
    </w:lvl>
  </w:abstractNum>
  <w:abstractNum w:abstractNumId="343" w15:restartNumberingAfterBreak="0">
    <w:nsid w:val="7418F053"/>
    <w:multiLevelType w:val="hybridMultilevel"/>
    <w:tmpl w:val="FFFFFFFF"/>
    <w:lvl w:ilvl="0" w:tplc="324255A0">
      <w:start w:val="6"/>
      <w:numFmt w:val="lowerLetter"/>
      <w:lvlText w:val="%1)"/>
      <w:lvlJc w:val="left"/>
      <w:pPr>
        <w:ind w:left="720" w:hanging="360"/>
      </w:pPr>
    </w:lvl>
    <w:lvl w:ilvl="1" w:tplc="6ED424A6">
      <w:start w:val="1"/>
      <w:numFmt w:val="lowerLetter"/>
      <w:lvlText w:val="%2."/>
      <w:lvlJc w:val="left"/>
      <w:pPr>
        <w:ind w:left="1440" w:hanging="360"/>
      </w:pPr>
    </w:lvl>
    <w:lvl w:ilvl="2" w:tplc="5E78B99E">
      <w:start w:val="1"/>
      <w:numFmt w:val="lowerRoman"/>
      <w:lvlText w:val="%3."/>
      <w:lvlJc w:val="right"/>
      <w:pPr>
        <w:ind w:left="2160" w:hanging="180"/>
      </w:pPr>
    </w:lvl>
    <w:lvl w:ilvl="3" w:tplc="8BBE5F9C">
      <w:start w:val="1"/>
      <w:numFmt w:val="decimal"/>
      <w:lvlText w:val="%4."/>
      <w:lvlJc w:val="left"/>
      <w:pPr>
        <w:ind w:left="2880" w:hanging="360"/>
      </w:pPr>
    </w:lvl>
    <w:lvl w:ilvl="4" w:tplc="7730F3A0">
      <w:start w:val="1"/>
      <w:numFmt w:val="lowerLetter"/>
      <w:lvlText w:val="%5."/>
      <w:lvlJc w:val="left"/>
      <w:pPr>
        <w:ind w:left="3600" w:hanging="360"/>
      </w:pPr>
    </w:lvl>
    <w:lvl w:ilvl="5" w:tplc="F8B261F2">
      <w:start w:val="1"/>
      <w:numFmt w:val="lowerRoman"/>
      <w:lvlText w:val="%6."/>
      <w:lvlJc w:val="right"/>
      <w:pPr>
        <w:ind w:left="4320" w:hanging="180"/>
      </w:pPr>
    </w:lvl>
    <w:lvl w:ilvl="6" w:tplc="DB40AF08">
      <w:start w:val="1"/>
      <w:numFmt w:val="decimal"/>
      <w:lvlText w:val="%7."/>
      <w:lvlJc w:val="left"/>
      <w:pPr>
        <w:ind w:left="5040" w:hanging="360"/>
      </w:pPr>
    </w:lvl>
    <w:lvl w:ilvl="7" w:tplc="75B8AD0E">
      <w:start w:val="1"/>
      <w:numFmt w:val="lowerLetter"/>
      <w:lvlText w:val="%8."/>
      <w:lvlJc w:val="left"/>
      <w:pPr>
        <w:ind w:left="5760" w:hanging="360"/>
      </w:pPr>
    </w:lvl>
    <w:lvl w:ilvl="8" w:tplc="A31A9EF8">
      <w:start w:val="1"/>
      <w:numFmt w:val="lowerRoman"/>
      <w:lvlText w:val="%9."/>
      <w:lvlJc w:val="right"/>
      <w:pPr>
        <w:ind w:left="6480" w:hanging="180"/>
      </w:pPr>
    </w:lvl>
  </w:abstractNum>
  <w:abstractNum w:abstractNumId="344" w15:restartNumberingAfterBreak="0">
    <w:nsid w:val="74419238"/>
    <w:multiLevelType w:val="hybridMultilevel"/>
    <w:tmpl w:val="6CAEEFBA"/>
    <w:lvl w:ilvl="0" w:tplc="3E48AEE6">
      <w:start w:val="1"/>
      <w:numFmt w:val="bullet"/>
      <w:lvlText w:val="-"/>
      <w:lvlJc w:val="left"/>
      <w:pPr>
        <w:ind w:left="720" w:hanging="360"/>
      </w:pPr>
      <w:rPr>
        <w:rFonts w:ascii="Calibri" w:hAnsi="Calibri" w:hint="default"/>
      </w:rPr>
    </w:lvl>
    <w:lvl w:ilvl="1" w:tplc="2FC61D26">
      <w:start w:val="1"/>
      <w:numFmt w:val="bullet"/>
      <w:lvlText w:val="o"/>
      <w:lvlJc w:val="left"/>
      <w:pPr>
        <w:ind w:left="1440" w:hanging="360"/>
      </w:pPr>
      <w:rPr>
        <w:rFonts w:ascii="Courier New" w:hAnsi="Courier New" w:hint="default"/>
      </w:rPr>
    </w:lvl>
    <w:lvl w:ilvl="2" w:tplc="813EBE3C">
      <w:start w:val="1"/>
      <w:numFmt w:val="bullet"/>
      <w:lvlText w:val=""/>
      <w:lvlJc w:val="left"/>
      <w:pPr>
        <w:ind w:left="2160" w:hanging="360"/>
      </w:pPr>
      <w:rPr>
        <w:rFonts w:ascii="Wingdings" w:hAnsi="Wingdings" w:hint="default"/>
      </w:rPr>
    </w:lvl>
    <w:lvl w:ilvl="3" w:tplc="8740225C">
      <w:start w:val="1"/>
      <w:numFmt w:val="bullet"/>
      <w:lvlText w:val=""/>
      <w:lvlJc w:val="left"/>
      <w:pPr>
        <w:ind w:left="2880" w:hanging="360"/>
      </w:pPr>
      <w:rPr>
        <w:rFonts w:ascii="Symbol" w:hAnsi="Symbol" w:hint="default"/>
      </w:rPr>
    </w:lvl>
    <w:lvl w:ilvl="4" w:tplc="6C300A48">
      <w:start w:val="1"/>
      <w:numFmt w:val="bullet"/>
      <w:lvlText w:val="o"/>
      <w:lvlJc w:val="left"/>
      <w:pPr>
        <w:ind w:left="3600" w:hanging="360"/>
      </w:pPr>
      <w:rPr>
        <w:rFonts w:ascii="Courier New" w:hAnsi="Courier New" w:hint="default"/>
      </w:rPr>
    </w:lvl>
    <w:lvl w:ilvl="5" w:tplc="F0CA2100">
      <w:start w:val="1"/>
      <w:numFmt w:val="bullet"/>
      <w:lvlText w:val=""/>
      <w:lvlJc w:val="left"/>
      <w:pPr>
        <w:ind w:left="4320" w:hanging="360"/>
      </w:pPr>
      <w:rPr>
        <w:rFonts w:ascii="Wingdings" w:hAnsi="Wingdings" w:hint="default"/>
      </w:rPr>
    </w:lvl>
    <w:lvl w:ilvl="6" w:tplc="3DCAED72">
      <w:start w:val="1"/>
      <w:numFmt w:val="bullet"/>
      <w:lvlText w:val=""/>
      <w:lvlJc w:val="left"/>
      <w:pPr>
        <w:ind w:left="5040" w:hanging="360"/>
      </w:pPr>
      <w:rPr>
        <w:rFonts w:ascii="Symbol" w:hAnsi="Symbol" w:hint="default"/>
      </w:rPr>
    </w:lvl>
    <w:lvl w:ilvl="7" w:tplc="C900A70C">
      <w:start w:val="1"/>
      <w:numFmt w:val="bullet"/>
      <w:lvlText w:val="o"/>
      <w:lvlJc w:val="left"/>
      <w:pPr>
        <w:ind w:left="5760" w:hanging="360"/>
      </w:pPr>
      <w:rPr>
        <w:rFonts w:ascii="Courier New" w:hAnsi="Courier New" w:hint="default"/>
      </w:rPr>
    </w:lvl>
    <w:lvl w:ilvl="8" w:tplc="E1DC3FEE">
      <w:start w:val="1"/>
      <w:numFmt w:val="bullet"/>
      <w:lvlText w:val=""/>
      <w:lvlJc w:val="left"/>
      <w:pPr>
        <w:ind w:left="6480" w:hanging="360"/>
      </w:pPr>
      <w:rPr>
        <w:rFonts w:ascii="Wingdings" w:hAnsi="Wingdings" w:hint="default"/>
      </w:rPr>
    </w:lvl>
  </w:abstractNum>
  <w:abstractNum w:abstractNumId="345" w15:restartNumberingAfterBreak="0">
    <w:nsid w:val="74606597"/>
    <w:multiLevelType w:val="hybridMultilevel"/>
    <w:tmpl w:val="F1503F72"/>
    <w:lvl w:ilvl="0" w:tplc="42B8E8C2">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6" w15:restartNumberingAfterBreak="0">
    <w:nsid w:val="74785DB5"/>
    <w:multiLevelType w:val="hybridMultilevel"/>
    <w:tmpl w:val="FFFFFFFF"/>
    <w:lvl w:ilvl="0" w:tplc="7AEC5758">
      <w:start w:val="3"/>
      <w:numFmt w:val="decimal"/>
      <w:lvlText w:val="%1."/>
      <w:lvlJc w:val="left"/>
      <w:pPr>
        <w:ind w:left="720" w:hanging="360"/>
      </w:pPr>
    </w:lvl>
    <w:lvl w:ilvl="1" w:tplc="62F6D7A4">
      <w:start w:val="1"/>
      <w:numFmt w:val="lowerLetter"/>
      <w:lvlText w:val="%2."/>
      <w:lvlJc w:val="left"/>
      <w:pPr>
        <w:ind w:left="1440" w:hanging="360"/>
      </w:pPr>
    </w:lvl>
    <w:lvl w:ilvl="2" w:tplc="4030CE66">
      <w:start w:val="1"/>
      <w:numFmt w:val="lowerRoman"/>
      <w:lvlText w:val="%3."/>
      <w:lvlJc w:val="right"/>
      <w:pPr>
        <w:ind w:left="2160" w:hanging="180"/>
      </w:pPr>
    </w:lvl>
    <w:lvl w:ilvl="3" w:tplc="ADD2D572">
      <w:start w:val="1"/>
      <w:numFmt w:val="decimal"/>
      <w:lvlText w:val="%4."/>
      <w:lvlJc w:val="left"/>
      <w:pPr>
        <w:ind w:left="2880" w:hanging="360"/>
      </w:pPr>
    </w:lvl>
    <w:lvl w:ilvl="4" w:tplc="2BF24548">
      <w:start w:val="1"/>
      <w:numFmt w:val="lowerLetter"/>
      <w:lvlText w:val="%5."/>
      <w:lvlJc w:val="left"/>
      <w:pPr>
        <w:ind w:left="3600" w:hanging="360"/>
      </w:pPr>
    </w:lvl>
    <w:lvl w:ilvl="5" w:tplc="4D483490">
      <w:start w:val="1"/>
      <w:numFmt w:val="lowerRoman"/>
      <w:lvlText w:val="%6."/>
      <w:lvlJc w:val="right"/>
      <w:pPr>
        <w:ind w:left="4320" w:hanging="180"/>
      </w:pPr>
    </w:lvl>
    <w:lvl w:ilvl="6" w:tplc="0166FFDE">
      <w:start w:val="1"/>
      <w:numFmt w:val="decimal"/>
      <w:lvlText w:val="%7."/>
      <w:lvlJc w:val="left"/>
      <w:pPr>
        <w:ind w:left="5040" w:hanging="360"/>
      </w:pPr>
    </w:lvl>
    <w:lvl w:ilvl="7" w:tplc="9D44A704">
      <w:start w:val="1"/>
      <w:numFmt w:val="lowerLetter"/>
      <w:lvlText w:val="%8."/>
      <w:lvlJc w:val="left"/>
      <w:pPr>
        <w:ind w:left="5760" w:hanging="360"/>
      </w:pPr>
    </w:lvl>
    <w:lvl w:ilvl="8" w:tplc="BB66E4B0">
      <w:start w:val="1"/>
      <w:numFmt w:val="lowerRoman"/>
      <w:lvlText w:val="%9."/>
      <w:lvlJc w:val="right"/>
      <w:pPr>
        <w:ind w:left="6480" w:hanging="180"/>
      </w:pPr>
    </w:lvl>
  </w:abstractNum>
  <w:abstractNum w:abstractNumId="347" w15:restartNumberingAfterBreak="0">
    <w:nsid w:val="76C1C95E"/>
    <w:multiLevelType w:val="hybridMultilevel"/>
    <w:tmpl w:val="FFFFFFFF"/>
    <w:lvl w:ilvl="0" w:tplc="B6CAF5BA">
      <w:start w:val="1"/>
      <w:numFmt w:val="decimal"/>
      <w:lvlText w:val="%1."/>
      <w:lvlJc w:val="left"/>
      <w:pPr>
        <w:ind w:left="720" w:hanging="360"/>
      </w:pPr>
    </w:lvl>
    <w:lvl w:ilvl="1" w:tplc="6BF65B60">
      <w:start w:val="2"/>
      <w:numFmt w:val="lowerRoman"/>
      <w:lvlText w:val="%2."/>
      <w:lvlJc w:val="right"/>
      <w:pPr>
        <w:ind w:left="1080" w:hanging="360"/>
      </w:pPr>
    </w:lvl>
    <w:lvl w:ilvl="2" w:tplc="DCB83C0E">
      <w:start w:val="1"/>
      <w:numFmt w:val="lowerRoman"/>
      <w:lvlText w:val="%3."/>
      <w:lvlJc w:val="right"/>
      <w:pPr>
        <w:ind w:left="2160" w:hanging="180"/>
      </w:pPr>
    </w:lvl>
    <w:lvl w:ilvl="3" w:tplc="683676F2">
      <w:start w:val="1"/>
      <w:numFmt w:val="decimal"/>
      <w:lvlText w:val="%4."/>
      <w:lvlJc w:val="left"/>
      <w:pPr>
        <w:ind w:left="2880" w:hanging="360"/>
      </w:pPr>
    </w:lvl>
    <w:lvl w:ilvl="4" w:tplc="AB767EA2">
      <w:start w:val="1"/>
      <w:numFmt w:val="lowerLetter"/>
      <w:lvlText w:val="%5."/>
      <w:lvlJc w:val="left"/>
      <w:pPr>
        <w:ind w:left="3600" w:hanging="360"/>
      </w:pPr>
    </w:lvl>
    <w:lvl w:ilvl="5" w:tplc="691E026A">
      <w:start w:val="1"/>
      <w:numFmt w:val="lowerRoman"/>
      <w:lvlText w:val="%6."/>
      <w:lvlJc w:val="right"/>
      <w:pPr>
        <w:ind w:left="4320" w:hanging="180"/>
      </w:pPr>
    </w:lvl>
    <w:lvl w:ilvl="6" w:tplc="1CC2ADCE">
      <w:start w:val="1"/>
      <w:numFmt w:val="decimal"/>
      <w:lvlText w:val="%7."/>
      <w:lvlJc w:val="left"/>
      <w:pPr>
        <w:ind w:left="5040" w:hanging="360"/>
      </w:pPr>
    </w:lvl>
    <w:lvl w:ilvl="7" w:tplc="59A440C2">
      <w:start w:val="1"/>
      <w:numFmt w:val="lowerLetter"/>
      <w:lvlText w:val="%8."/>
      <w:lvlJc w:val="left"/>
      <w:pPr>
        <w:ind w:left="5760" w:hanging="360"/>
      </w:pPr>
    </w:lvl>
    <w:lvl w:ilvl="8" w:tplc="C8D09002">
      <w:start w:val="1"/>
      <w:numFmt w:val="lowerRoman"/>
      <w:lvlText w:val="%9."/>
      <w:lvlJc w:val="right"/>
      <w:pPr>
        <w:ind w:left="6480" w:hanging="180"/>
      </w:pPr>
    </w:lvl>
  </w:abstractNum>
  <w:abstractNum w:abstractNumId="348" w15:restartNumberingAfterBreak="0">
    <w:nsid w:val="76E971E5"/>
    <w:multiLevelType w:val="hybridMultilevel"/>
    <w:tmpl w:val="FFFFFFFF"/>
    <w:lvl w:ilvl="0" w:tplc="CF36D26E">
      <w:start w:val="1"/>
      <w:numFmt w:val="decimal"/>
      <w:lvlText w:val="%1."/>
      <w:lvlJc w:val="left"/>
      <w:pPr>
        <w:ind w:left="720" w:hanging="360"/>
      </w:pPr>
    </w:lvl>
    <w:lvl w:ilvl="1" w:tplc="3F724488">
      <w:start w:val="4"/>
      <w:numFmt w:val="lowerRoman"/>
      <w:lvlText w:val="%2."/>
      <w:lvlJc w:val="right"/>
      <w:pPr>
        <w:ind w:left="1080" w:hanging="360"/>
      </w:pPr>
    </w:lvl>
    <w:lvl w:ilvl="2" w:tplc="9128469C">
      <w:start w:val="1"/>
      <w:numFmt w:val="lowerRoman"/>
      <w:lvlText w:val="%3."/>
      <w:lvlJc w:val="right"/>
      <w:pPr>
        <w:ind w:left="2160" w:hanging="180"/>
      </w:pPr>
    </w:lvl>
    <w:lvl w:ilvl="3" w:tplc="1F1830FC">
      <w:start w:val="1"/>
      <w:numFmt w:val="decimal"/>
      <w:lvlText w:val="%4."/>
      <w:lvlJc w:val="left"/>
      <w:pPr>
        <w:ind w:left="2880" w:hanging="360"/>
      </w:pPr>
    </w:lvl>
    <w:lvl w:ilvl="4" w:tplc="B8EE287E">
      <w:start w:val="1"/>
      <w:numFmt w:val="lowerLetter"/>
      <w:lvlText w:val="%5."/>
      <w:lvlJc w:val="left"/>
      <w:pPr>
        <w:ind w:left="3600" w:hanging="360"/>
      </w:pPr>
    </w:lvl>
    <w:lvl w:ilvl="5" w:tplc="C1F8C128">
      <w:start w:val="1"/>
      <w:numFmt w:val="lowerRoman"/>
      <w:lvlText w:val="%6."/>
      <w:lvlJc w:val="right"/>
      <w:pPr>
        <w:ind w:left="4320" w:hanging="180"/>
      </w:pPr>
    </w:lvl>
    <w:lvl w:ilvl="6" w:tplc="B8760906">
      <w:start w:val="1"/>
      <w:numFmt w:val="decimal"/>
      <w:lvlText w:val="%7."/>
      <w:lvlJc w:val="left"/>
      <w:pPr>
        <w:ind w:left="5040" w:hanging="360"/>
      </w:pPr>
    </w:lvl>
    <w:lvl w:ilvl="7" w:tplc="8F6EE8F8">
      <w:start w:val="1"/>
      <w:numFmt w:val="lowerLetter"/>
      <w:lvlText w:val="%8."/>
      <w:lvlJc w:val="left"/>
      <w:pPr>
        <w:ind w:left="5760" w:hanging="360"/>
      </w:pPr>
    </w:lvl>
    <w:lvl w:ilvl="8" w:tplc="254EA9AE">
      <w:start w:val="1"/>
      <w:numFmt w:val="lowerRoman"/>
      <w:lvlText w:val="%9."/>
      <w:lvlJc w:val="right"/>
      <w:pPr>
        <w:ind w:left="6480" w:hanging="180"/>
      </w:pPr>
    </w:lvl>
  </w:abstractNum>
  <w:abstractNum w:abstractNumId="349" w15:restartNumberingAfterBreak="0">
    <w:nsid w:val="76F1B429"/>
    <w:multiLevelType w:val="hybridMultilevel"/>
    <w:tmpl w:val="625256E0"/>
    <w:lvl w:ilvl="0" w:tplc="64FCAB3A">
      <w:start w:val="1"/>
      <w:numFmt w:val="decimal"/>
      <w:lvlText w:val="%1."/>
      <w:lvlJc w:val="left"/>
      <w:pPr>
        <w:ind w:left="720" w:hanging="360"/>
      </w:pPr>
    </w:lvl>
    <w:lvl w:ilvl="1" w:tplc="6360E9AC">
      <w:start w:val="1"/>
      <w:numFmt w:val="lowerLetter"/>
      <w:lvlText w:val="%2."/>
      <w:lvlJc w:val="left"/>
      <w:pPr>
        <w:ind w:left="1440" w:hanging="360"/>
      </w:pPr>
    </w:lvl>
    <w:lvl w:ilvl="2" w:tplc="FF3EA83E">
      <w:start w:val="1"/>
      <w:numFmt w:val="lowerRoman"/>
      <w:lvlText w:val="%3."/>
      <w:lvlJc w:val="right"/>
      <w:pPr>
        <w:ind w:left="2160" w:hanging="180"/>
      </w:pPr>
    </w:lvl>
    <w:lvl w:ilvl="3" w:tplc="CD828D86">
      <w:start w:val="1"/>
      <w:numFmt w:val="decimal"/>
      <w:lvlText w:val="%4."/>
      <w:lvlJc w:val="left"/>
      <w:pPr>
        <w:ind w:left="2880" w:hanging="360"/>
      </w:pPr>
    </w:lvl>
    <w:lvl w:ilvl="4" w:tplc="BFAA806C">
      <w:start w:val="1"/>
      <w:numFmt w:val="lowerLetter"/>
      <w:lvlText w:val="%5."/>
      <w:lvlJc w:val="left"/>
      <w:pPr>
        <w:ind w:left="3600" w:hanging="360"/>
      </w:pPr>
    </w:lvl>
    <w:lvl w:ilvl="5" w:tplc="16BEFB38">
      <w:start w:val="1"/>
      <w:numFmt w:val="lowerRoman"/>
      <w:lvlText w:val="%6."/>
      <w:lvlJc w:val="right"/>
      <w:pPr>
        <w:ind w:left="4320" w:hanging="180"/>
      </w:pPr>
    </w:lvl>
    <w:lvl w:ilvl="6" w:tplc="48ECD474">
      <w:start w:val="1"/>
      <w:numFmt w:val="decimal"/>
      <w:lvlText w:val="%7."/>
      <w:lvlJc w:val="left"/>
      <w:pPr>
        <w:ind w:left="5040" w:hanging="360"/>
      </w:pPr>
    </w:lvl>
    <w:lvl w:ilvl="7" w:tplc="22043C24">
      <w:start w:val="1"/>
      <w:numFmt w:val="lowerLetter"/>
      <w:lvlText w:val="%8."/>
      <w:lvlJc w:val="left"/>
      <w:pPr>
        <w:ind w:left="5760" w:hanging="360"/>
      </w:pPr>
    </w:lvl>
    <w:lvl w:ilvl="8" w:tplc="A888EC34">
      <w:start w:val="1"/>
      <w:numFmt w:val="lowerRoman"/>
      <w:lvlText w:val="%9."/>
      <w:lvlJc w:val="right"/>
      <w:pPr>
        <w:ind w:left="6480" w:hanging="180"/>
      </w:pPr>
    </w:lvl>
  </w:abstractNum>
  <w:abstractNum w:abstractNumId="350" w15:restartNumberingAfterBreak="0">
    <w:nsid w:val="77181A2A"/>
    <w:multiLevelType w:val="hybridMultilevel"/>
    <w:tmpl w:val="AEB87440"/>
    <w:lvl w:ilvl="0" w:tplc="FFFFFFFF">
      <w:start w:val="1"/>
      <w:numFmt w:val="bullet"/>
      <w:lvlText w:val=""/>
      <w:lvlJc w:val="left"/>
      <w:pPr>
        <w:ind w:left="720" w:hanging="360"/>
      </w:pPr>
      <w:rPr>
        <w:rFonts w:ascii="Symbol" w:hAnsi="Symbol" w:hint="default"/>
        <w:b/>
        <w:bCs/>
      </w:rPr>
    </w:lvl>
    <w:lvl w:ilvl="1" w:tplc="18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1" w15:restartNumberingAfterBreak="0">
    <w:nsid w:val="7764CFFB"/>
    <w:multiLevelType w:val="hybridMultilevel"/>
    <w:tmpl w:val="FFFFFFFF"/>
    <w:lvl w:ilvl="0" w:tplc="9C366E6E">
      <w:start w:val="1"/>
      <w:numFmt w:val="decimal"/>
      <w:lvlText w:val="%1."/>
      <w:lvlJc w:val="left"/>
      <w:pPr>
        <w:ind w:left="720" w:hanging="360"/>
      </w:pPr>
    </w:lvl>
    <w:lvl w:ilvl="1" w:tplc="D8F23E48">
      <w:start w:val="1"/>
      <w:numFmt w:val="lowerLetter"/>
      <w:lvlText w:val="%2."/>
      <w:lvlJc w:val="left"/>
      <w:pPr>
        <w:ind w:left="1440" w:hanging="360"/>
      </w:pPr>
    </w:lvl>
    <w:lvl w:ilvl="2" w:tplc="B3DC986C">
      <w:start w:val="1"/>
      <w:numFmt w:val="lowerRoman"/>
      <w:lvlText w:val="%3."/>
      <w:lvlJc w:val="right"/>
      <w:pPr>
        <w:ind w:left="2160" w:hanging="180"/>
      </w:pPr>
    </w:lvl>
    <w:lvl w:ilvl="3" w:tplc="D6447AA0">
      <w:start w:val="1"/>
      <w:numFmt w:val="decimal"/>
      <w:lvlText w:val="%4."/>
      <w:lvlJc w:val="left"/>
      <w:pPr>
        <w:ind w:left="2880" w:hanging="360"/>
      </w:pPr>
    </w:lvl>
    <w:lvl w:ilvl="4" w:tplc="D6F28688">
      <w:start w:val="1"/>
      <w:numFmt w:val="lowerLetter"/>
      <w:lvlText w:val="%5."/>
      <w:lvlJc w:val="left"/>
      <w:pPr>
        <w:ind w:left="3600" w:hanging="360"/>
      </w:pPr>
    </w:lvl>
    <w:lvl w:ilvl="5" w:tplc="77A0D368">
      <w:start w:val="1"/>
      <w:numFmt w:val="lowerRoman"/>
      <w:lvlText w:val="%6."/>
      <w:lvlJc w:val="right"/>
      <w:pPr>
        <w:ind w:left="4320" w:hanging="180"/>
      </w:pPr>
    </w:lvl>
    <w:lvl w:ilvl="6" w:tplc="C04E0DE6">
      <w:start w:val="1"/>
      <w:numFmt w:val="decimal"/>
      <w:lvlText w:val="%7."/>
      <w:lvlJc w:val="left"/>
      <w:pPr>
        <w:ind w:left="5040" w:hanging="360"/>
      </w:pPr>
    </w:lvl>
    <w:lvl w:ilvl="7" w:tplc="87041FE6">
      <w:start w:val="1"/>
      <w:numFmt w:val="lowerLetter"/>
      <w:lvlText w:val="%8."/>
      <w:lvlJc w:val="left"/>
      <w:pPr>
        <w:ind w:left="5760" w:hanging="360"/>
      </w:pPr>
    </w:lvl>
    <w:lvl w:ilvl="8" w:tplc="1580505E">
      <w:start w:val="1"/>
      <w:numFmt w:val="lowerRoman"/>
      <w:lvlText w:val="%9."/>
      <w:lvlJc w:val="right"/>
      <w:pPr>
        <w:ind w:left="6480" w:hanging="180"/>
      </w:pPr>
    </w:lvl>
  </w:abstractNum>
  <w:abstractNum w:abstractNumId="352" w15:restartNumberingAfterBreak="0">
    <w:nsid w:val="77BCB891"/>
    <w:multiLevelType w:val="hybridMultilevel"/>
    <w:tmpl w:val="FFFFFFFF"/>
    <w:lvl w:ilvl="0" w:tplc="9DAEC050">
      <w:start w:val="1"/>
      <w:numFmt w:val="lowerLetter"/>
      <w:lvlText w:val="%1)"/>
      <w:lvlJc w:val="left"/>
      <w:pPr>
        <w:ind w:left="720" w:hanging="360"/>
      </w:pPr>
    </w:lvl>
    <w:lvl w:ilvl="1" w:tplc="2D00DF78">
      <w:start w:val="1"/>
      <w:numFmt w:val="lowerLetter"/>
      <w:lvlText w:val="%2."/>
      <w:lvlJc w:val="left"/>
      <w:pPr>
        <w:ind w:left="1440" w:hanging="360"/>
      </w:pPr>
    </w:lvl>
    <w:lvl w:ilvl="2" w:tplc="B23E7566">
      <w:start w:val="1"/>
      <w:numFmt w:val="lowerRoman"/>
      <w:lvlText w:val="%3."/>
      <w:lvlJc w:val="right"/>
      <w:pPr>
        <w:ind w:left="2160" w:hanging="180"/>
      </w:pPr>
    </w:lvl>
    <w:lvl w:ilvl="3" w:tplc="64C6771A">
      <w:start w:val="1"/>
      <w:numFmt w:val="decimal"/>
      <w:lvlText w:val="%4."/>
      <w:lvlJc w:val="left"/>
      <w:pPr>
        <w:ind w:left="2880" w:hanging="360"/>
      </w:pPr>
    </w:lvl>
    <w:lvl w:ilvl="4" w:tplc="8ABCEDCA">
      <w:start w:val="1"/>
      <w:numFmt w:val="lowerLetter"/>
      <w:lvlText w:val="%5."/>
      <w:lvlJc w:val="left"/>
      <w:pPr>
        <w:ind w:left="3600" w:hanging="360"/>
      </w:pPr>
    </w:lvl>
    <w:lvl w:ilvl="5" w:tplc="DEC275FE">
      <w:start w:val="1"/>
      <w:numFmt w:val="lowerRoman"/>
      <w:lvlText w:val="%6."/>
      <w:lvlJc w:val="right"/>
      <w:pPr>
        <w:ind w:left="4320" w:hanging="180"/>
      </w:pPr>
    </w:lvl>
    <w:lvl w:ilvl="6" w:tplc="F998FCE8">
      <w:start w:val="1"/>
      <w:numFmt w:val="decimal"/>
      <w:lvlText w:val="%7."/>
      <w:lvlJc w:val="left"/>
      <w:pPr>
        <w:ind w:left="5040" w:hanging="360"/>
      </w:pPr>
    </w:lvl>
    <w:lvl w:ilvl="7" w:tplc="E9E8F15C">
      <w:start w:val="1"/>
      <w:numFmt w:val="lowerLetter"/>
      <w:lvlText w:val="%8."/>
      <w:lvlJc w:val="left"/>
      <w:pPr>
        <w:ind w:left="5760" w:hanging="360"/>
      </w:pPr>
    </w:lvl>
    <w:lvl w:ilvl="8" w:tplc="F16070D0">
      <w:start w:val="1"/>
      <w:numFmt w:val="lowerRoman"/>
      <w:lvlText w:val="%9."/>
      <w:lvlJc w:val="right"/>
      <w:pPr>
        <w:ind w:left="6480" w:hanging="180"/>
      </w:pPr>
    </w:lvl>
  </w:abstractNum>
  <w:abstractNum w:abstractNumId="353" w15:restartNumberingAfterBreak="0">
    <w:nsid w:val="78602C90"/>
    <w:multiLevelType w:val="hybridMultilevel"/>
    <w:tmpl w:val="FFFFFFFF"/>
    <w:lvl w:ilvl="0" w:tplc="3120FD8E">
      <w:start w:val="6"/>
      <w:numFmt w:val="lowerRoman"/>
      <w:lvlText w:val="%1."/>
      <w:lvlJc w:val="right"/>
      <w:pPr>
        <w:ind w:left="1080" w:hanging="360"/>
      </w:pPr>
    </w:lvl>
    <w:lvl w:ilvl="1" w:tplc="E45AE08C">
      <w:start w:val="1"/>
      <w:numFmt w:val="lowerLetter"/>
      <w:lvlText w:val="%2."/>
      <w:lvlJc w:val="left"/>
      <w:pPr>
        <w:ind w:left="1440" w:hanging="360"/>
      </w:pPr>
    </w:lvl>
    <w:lvl w:ilvl="2" w:tplc="0A8A9146">
      <w:start w:val="1"/>
      <w:numFmt w:val="lowerRoman"/>
      <w:lvlText w:val="%3."/>
      <w:lvlJc w:val="right"/>
      <w:pPr>
        <w:ind w:left="2160" w:hanging="180"/>
      </w:pPr>
    </w:lvl>
    <w:lvl w:ilvl="3" w:tplc="CDE665A6">
      <w:start w:val="1"/>
      <w:numFmt w:val="decimal"/>
      <w:lvlText w:val="%4."/>
      <w:lvlJc w:val="left"/>
      <w:pPr>
        <w:ind w:left="2880" w:hanging="360"/>
      </w:pPr>
    </w:lvl>
    <w:lvl w:ilvl="4" w:tplc="1CBEEDC2">
      <w:start w:val="1"/>
      <w:numFmt w:val="lowerLetter"/>
      <w:lvlText w:val="%5."/>
      <w:lvlJc w:val="left"/>
      <w:pPr>
        <w:ind w:left="3600" w:hanging="360"/>
      </w:pPr>
    </w:lvl>
    <w:lvl w:ilvl="5" w:tplc="AFF60E16">
      <w:start w:val="1"/>
      <w:numFmt w:val="lowerRoman"/>
      <w:lvlText w:val="%6."/>
      <w:lvlJc w:val="right"/>
      <w:pPr>
        <w:ind w:left="4320" w:hanging="180"/>
      </w:pPr>
    </w:lvl>
    <w:lvl w:ilvl="6" w:tplc="E488DFEA">
      <w:start w:val="1"/>
      <w:numFmt w:val="decimal"/>
      <w:lvlText w:val="%7."/>
      <w:lvlJc w:val="left"/>
      <w:pPr>
        <w:ind w:left="5040" w:hanging="360"/>
      </w:pPr>
    </w:lvl>
    <w:lvl w:ilvl="7" w:tplc="955EADAE">
      <w:start w:val="1"/>
      <w:numFmt w:val="lowerLetter"/>
      <w:lvlText w:val="%8."/>
      <w:lvlJc w:val="left"/>
      <w:pPr>
        <w:ind w:left="5760" w:hanging="360"/>
      </w:pPr>
    </w:lvl>
    <w:lvl w:ilvl="8" w:tplc="8DC6742C">
      <w:start w:val="1"/>
      <w:numFmt w:val="lowerRoman"/>
      <w:lvlText w:val="%9."/>
      <w:lvlJc w:val="right"/>
      <w:pPr>
        <w:ind w:left="6480" w:hanging="180"/>
      </w:pPr>
    </w:lvl>
  </w:abstractNum>
  <w:abstractNum w:abstractNumId="354" w15:restartNumberingAfterBreak="0">
    <w:nsid w:val="78A5A11B"/>
    <w:multiLevelType w:val="hybridMultilevel"/>
    <w:tmpl w:val="FFFFFFFF"/>
    <w:lvl w:ilvl="0" w:tplc="E9E807AC">
      <w:start w:val="1"/>
      <w:numFmt w:val="bullet"/>
      <w:lvlText w:val="·"/>
      <w:lvlJc w:val="left"/>
      <w:pPr>
        <w:ind w:left="720" w:hanging="360"/>
      </w:pPr>
      <w:rPr>
        <w:rFonts w:ascii="Symbol" w:hAnsi="Symbol" w:hint="default"/>
      </w:rPr>
    </w:lvl>
    <w:lvl w:ilvl="1" w:tplc="B4BAEF82">
      <w:start w:val="1"/>
      <w:numFmt w:val="bullet"/>
      <w:lvlText w:val="o"/>
      <w:lvlJc w:val="left"/>
      <w:pPr>
        <w:ind w:left="1440" w:hanging="360"/>
      </w:pPr>
      <w:rPr>
        <w:rFonts w:ascii="Courier New" w:hAnsi="Courier New" w:hint="default"/>
      </w:rPr>
    </w:lvl>
    <w:lvl w:ilvl="2" w:tplc="16F051D4">
      <w:start w:val="1"/>
      <w:numFmt w:val="bullet"/>
      <w:lvlText w:val=""/>
      <w:lvlJc w:val="left"/>
      <w:pPr>
        <w:ind w:left="2160" w:hanging="360"/>
      </w:pPr>
      <w:rPr>
        <w:rFonts w:ascii="Wingdings" w:hAnsi="Wingdings" w:hint="default"/>
      </w:rPr>
    </w:lvl>
    <w:lvl w:ilvl="3" w:tplc="C58E68E6">
      <w:start w:val="1"/>
      <w:numFmt w:val="bullet"/>
      <w:lvlText w:val=""/>
      <w:lvlJc w:val="left"/>
      <w:pPr>
        <w:ind w:left="2880" w:hanging="360"/>
      </w:pPr>
      <w:rPr>
        <w:rFonts w:ascii="Symbol" w:hAnsi="Symbol" w:hint="default"/>
      </w:rPr>
    </w:lvl>
    <w:lvl w:ilvl="4" w:tplc="D9BA3ABE">
      <w:start w:val="1"/>
      <w:numFmt w:val="bullet"/>
      <w:lvlText w:val="o"/>
      <w:lvlJc w:val="left"/>
      <w:pPr>
        <w:ind w:left="3600" w:hanging="360"/>
      </w:pPr>
      <w:rPr>
        <w:rFonts w:ascii="Courier New" w:hAnsi="Courier New" w:hint="default"/>
      </w:rPr>
    </w:lvl>
    <w:lvl w:ilvl="5" w:tplc="072217C4">
      <w:start w:val="1"/>
      <w:numFmt w:val="bullet"/>
      <w:lvlText w:val=""/>
      <w:lvlJc w:val="left"/>
      <w:pPr>
        <w:ind w:left="4320" w:hanging="360"/>
      </w:pPr>
      <w:rPr>
        <w:rFonts w:ascii="Wingdings" w:hAnsi="Wingdings" w:hint="default"/>
      </w:rPr>
    </w:lvl>
    <w:lvl w:ilvl="6" w:tplc="1BCE1B38">
      <w:start w:val="1"/>
      <w:numFmt w:val="bullet"/>
      <w:lvlText w:val=""/>
      <w:lvlJc w:val="left"/>
      <w:pPr>
        <w:ind w:left="5040" w:hanging="360"/>
      </w:pPr>
      <w:rPr>
        <w:rFonts w:ascii="Symbol" w:hAnsi="Symbol" w:hint="default"/>
      </w:rPr>
    </w:lvl>
    <w:lvl w:ilvl="7" w:tplc="A5124CFE">
      <w:start w:val="1"/>
      <w:numFmt w:val="bullet"/>
      <w:lvlText w:val="o"/>
      <w:lvlJc w:val="left"/>
      <w:pPr>
        <w:ind w:left="5760" w:hanging="360"/>
      </w:pPr>
      <w:rPr>
        <w:rFonts w:ascii="Courier New" w:hAnsi="Courier New" w:hint="default"/>
      </w:rPr>
    </w:lvl>
    <w:lvl w:ilvl="8" w:tplc="19BED146">
      <w:start w:val="1"/>
      <w:numFmt w:val="bullet"/>
      <w:lvlText w:val=""/>
      <w:lvlJc w:val="left"/>
      <w:pPr>
        <w:ind w:left="6480" w:hanging="360"/>
      </w:pPr>
      <w:rPr>
        <w:rFonts w:ascii="Wingdings" w:hAnsi="Wingdings" w:hint="default"/>
      </w:rPr>
    </w:lvl>
  </w:abstractNum>
  <w:abstractNum w:abstractNumId="355" w15:restartNumberingAfterBreak="0">
    <w:nsid w:val="798445FD"/>
    <w:multiLevelType w:val="hybridMultilevel"/>
    <w:tmpl w:val="FFFFFFFF"/>
    <w:lvl w:ilvl="0" w:tplc="E6FE53F0">
      <w:start w:val="1"/>
      <w:numFmt w:val="lowerRoman"/>
      <w:lvlText w:val="%1."/>
      <w:lvlJc w:val="right"/>
      <w:pPr>
        <w:ind w:left="1080" w:hanging="360"/>
      </w:pPr>
    </w:lvl>
    <w:lvl w:ilvl="1" w:tplc="B0788A3A">
      <w:start w:val="1"/>
      <w:numFmt w:val="lowerLetter"/>
      <w:lvlText w:val="%2."/>
      <w:lvlJc w:val="left"/>
      <w:pPr>
        <w:ind w:left="1440" w:hanging="360"/>
      </w:pPr>
    </w:lvl>
    <w:lvl w:ilvl="2" w:tplc="687E41C8">
      <w:start w:val="1"/>
      <w:numFmt w:val="lowerRoman"/>
      <w:lvlText w:val="%3."/>
      <w:lvlJc w:val="right"/>
      <w:pPr>
        <w:ind w:left="2160" w:hanging="180"/>
      </w:pPr>
    </w:lvl>
    <w:lvl w:ilvl="3" w:tplc="E21E339C">
      <w:start w:val="1"/>
      <w:numFmt w:val="decimal"/>
      <w:lvlText w:val="%4."/>
      <w:lvlJc w:val="left"/>
      <w:pPr>
        <w:ind w:left="2880" w:hanging="360"/>
      </w:pPr>
    </w:lvl>
    <w:lvl w:ilvl="4" w:tplc="6E669FE2">
      <w:start w:val="1"/>
      <w:numFmt w:val="lowerLetter"/>
      <w:lvlText w:val="%5."/>
      <w:lvlJc w:val="left"/>
      <w:pPr>
        <w:ind w:left="3600" w:hanging="360"/>
      </w:pPr>
    </w:lvl>
    <w:lvl w:ilvl="5" w:tplc="4112A366">
      <w:start w:val="1"/>
      <w:numFmt w:val="lowerRoman"/>
      <w:lvlText w:val="%6."/>
      <w:lvlJc w:val="right"/>
      <w:pPr>
        <w:ind w:left="4320" w:hanging="180"/>
      </w:pPr>
    </w:lvl>
    <w:lvl w:ilvl="6" w:tplc="EE387CA6">
      <w:start w:val="1"/>
      <w:numFmt w:val="decimal"/>
      <w:lvlText w:val="%7."/>
      <w:lvlJc w:val="left"/>
      <w:pPr>
        <w:ind w:left="5040" w:hanging="360"/>
      </w:pPr>
    </w:lvl>
    <w:lvl w:ilvl="7" w:tplc="6A3C0952">
      <w:start w:val="1"/>
      <w:numFmt w:val="lowerLetter"/>
      <w:lvlText w:val="%8."/>
      <w:lvlJc w:val="left"/>
      <w:pPr>
        <w:ind w:left="5760" w:hanging="360"/>
      </w:pPr>
    </w:lvl>
    <w:lvl w:ilvl="8" w:tplc="0CA447E0">
      <w:start w:val="1"/>
      <w:numFmt w:val="lowerRoman"/>
      <w:lvlText w:val="%9."/>
      <w:lvlJc w:val="right"/>
      <w:pPr>
        <w:ind w:left="6480" w:hanging="180"/>
      </w:pPr>
    </w:lvl>
  </w:abstractNum>
  <w:abstractNum w:abstractNumId="356" w15:restartNumberingAfterBreak="0">
    <w:nsid w:val="79E0F9EE"/>
    <w:multiLevelType w:val="hybridMultilevel"/>
    <w:tmpl w:val="FFFFFFFF"/>
    <w:lvl w:ilvl="0" w:tplc="258CB564">
      <w:start w:val="5"/>
      <w:numFmt w:val="decimal"/>
      <w:lvlText w:val="%1."/>
      <w:lvlJc w:val="left"/>
      <w:pPr>
        <w:ind w:left="720" w:hanging="360"/>
      </w:pPr>
    </w:lvl>
    <w:lvl w:ilvl="1" w:tplc="3E886A12">
      <w:start w:val="1"/>
      <w:numFmt w:val="lowerLetter"/>
      <w:lvlText w:val="%2."/>
      <w:lvlJc w:val="left"/>
      <w:pPr>
        <w:ind w:left="1440" w:hanging="360"/>
      </w:pPr>
    </w:lvl>
    <w:lvl w:ilvl="2" w:tplc="9C5034CE">
      <w:start w:val="1"/>
      <w:numFmt w:val="lowerRoman"/>
      <w:lvlText w:val="%3."/>
      <w:lvlJc w:val="right"/>
      <w:pPr>
        <w:ind w:left="2160" w:hanging="180"/>
      </w:pPr>
    </w:lvl>
    <w:lvl w:ilvl="3" w:tplc="10922802">
      <w:start w:val="1"/>
      <w:numFmt w:val="decimal"/>
      <w:lvlText w:val="%4."/>
      <w:lvlJc w:val="left"/>
      <w:pPr>
        <w:ind w:left="2880" w:hanging="360"/>
      </w:pPr>
    </w:lvl>
    <w:lvl w:ilvl="4" w:tplc="1F5EE29C">
      <w:start w:val="1"/>
      <w:numFmt w:val="lowerLetter"/>
      <w:lvlText w:val="%5."/>
      <w:lvlJc w:val="left"/>
      <w:pPr>
        <w:ind w:left="3600" w:hanging="360"/>
      </w:pPr>
    </w:lvl>
    <w:lvl w:ilvl="5" w:tplc="04D8537C">
      <w:start w:val="1"/>
      <w:numFmt w:val="lowerRoman"/>
      <w:lvlText w:val="%6."/>
      <w:lvlJc w:val="right"/>
      <w:pPr>
        <w:ind w:left="4320" w:hanging="180"/>
      </w:pPr>
    </w:lvl>
    <w:lvl w:ilvl="6" w:tplc="517210BC">
      <w:start w:val="1"/>
      <w:numFmt w:val="decimal"/>
      <w:lvlText w:val="%7."/>
      <w:lvlJc w:val="left"/>
      <w:pPr>
        <w:ind w:left="5040" w:hanging="360"/>
      </w:pPr>
    </w:lvl>
    <w:lvl w:ilvl="7" w:tplc="779E5764">
      <w:start w:val="1"/>
      <w:numFmt w:val="lowerLetter"/>
      <w:lvlText w:val="%8."/>
      <w:lvlJc w:val="left"/>
      <w:pPr>
        <w:ind w:left="5760" w:hanging="360"/>
      </w:pPr>
    </w:lvl>
    <w:lvl w:ilvl="8" w:tplc="081467D2">
      <w:start w:val="1"/>
      <w:numFmt w:val="lowerRoman"/>
      <w:lvlText w:val="%9."/>
      <w:lvlJc w:val="right"/>
      <w:pPr>
        <w:ind w:left="6480" w:hanging="180"/>
      </w:pPr>
    </w:lvl>
  </w:abstractNum>
  <w:abstractNum w:abstractNumId="357" w15:restartNumberingAfterBreak="0">
    <w:nsid w:val="7A0CBA42"/>
    <w:multiLevelType w:val="hybridMultilevel"/>
    <w:tmpl w:val="FFFFFFFF"/>
    <w:lvl w:ilvl="0" w:tplc="0586597E">
      <w:start w:val="1"/>
      <w:numFmt w:val="bullet"/>
      <w:lvlText w:val="o"/>
      <w:lvlJc w:val="left"/>
      <w:pPr>
        <w:ind w:left="1080" w:hanging="360"/>
      </w:pPr>
      <w:rPr>
        <w:rFonts w:ascii="Courier New" w:hAnsi="Courier New" w:hint="default"/>
      </w:rPr>
    </w:lvl>
    <w:lvl w:ilvl="1" w:tplc="C2FA89CC">
      <w:start w:val="1"/>
      <w:numFmt w:val="bullet"/>
      <w:lvlText w:val="o"/>
      <w:lvlJc w:val="left"/>
      <w:pPr>
        <w:ind w:left="1440" w:hanging="360"/>
      </w:pPr>
      <w:rPr>
        <w:rFonts w:ascii="Courier New" w:hAnsi="Courier New" w:hint="default"/>
      </w:rPr>
    </w:lvl>
    <w:lvl w:ilvl="2" w:tplc="E620DF94">
      <w:start w:val="1"/>
      <w:numFmt w:val="bullet"/>
      <w:lvlText w:val=""/>
      <w:lvlJc w:val="left"/>
      <w:pPr>
        <w:ind w:left="2160" w:hanging="360"/>
      </w:pPr>
      <w:rPr>
        <w:rFonts w:ascii="Wingdings" w:hAnsi="Wingdings" w:hint="default"/>
      </w:rPr>
    </w:lvl>
    <w:lvl w:ilvl="3" w:tplc="B4A46E20">
      <w:start w:val="1"/>
      <w:numFmt w:val="bullet"/>
      <w:lvlText w:val=""/>
      <w:lvlJc w:val="left"/>
      <w:pPr>
        <w:ind w:left="2880" w:hanging="360"/>
      </w:pPr>
      <w:rPr>
        <w:rFonts w:ascii="Symbol" w:hAnsi="Symbol" w:hint="default"/>
      </w:rPr>
    </w:lvl>
    <w:lvl w:ilvl="4" w:tplc="6198605E">
      <w:start w:val="1"/>
      <w:numFmt w:val="bullet"/>
      <w:lvlText w:val="o"/>
      <w:lvlJc w:val="left"/>
      <w:pPr>
        <w:ind w:left="3600" w:hanging="360"/>
      </w:pPr>
      <w:rPr>
        <w:rFonts w:ascii="Courier New" w:hAnsi="Courier New" w:hint="default"/>
      </w:rPr>
    </w:lvl>
    <w:lvl w:ilvl="5" w:tplc="4C6C5144">
      <w:start w:val="1"/>
      <w:numFmt w:val="bullet"/>
      <w:lvlText w:val=""/>
      <w:lvlJc w:val="left"/>
      <w:pPr>
        <w:ind w:left="4320" w:hanging="360"/>
      </w:pPr>
      <w:rPr>
        <w:rFonts w:ascii="Wingdings" w:hAnsi="Wingdings" w:hint="default"/>
      </w:rPr>
    </w:lvl>
    <w:lvl w:ilvl="6" w:tplc="FD4E4422">
      <w:start w:val="1"/>
      <w:numFmt w:val="bullet"/>
      <w:lvlText w:val=""/>
      <w:lvlJc w:val="left"/>
      <w:pPr>
        <w:ind w:left="5040" w:hanging="360"/>
      </w:pPr>
      <w:rPr>
        <w:rFonts w:ascii="Symbol" w:hAnsi="Symbol" w:hint="default"/>
      </w:rPr>
    </w:lvl>
    <w:lvl w:ilvl="7" w:tplc="3272A2E2">
      <w:start w:val="1"/>
      <w:numFmt w:val="bullet"/>
      <w:lvlText w:val="o"/>
      <w:lvlJc w:val="left"/>
      <w:pPr>
        <w:ind w:left="5760" w:hanging="360"/>
      </w:pPr>
      <w:rPr>
        <w:rFonts w:ascii="Courier New" w:hAnsi="Courier New" w:hint="default"/>
      </w:rPr>
    </w:lvl>
    <w:lvl w:ilvl="8" w:tplc="655839D0">
      <w:start w:val="1"/>
      <w:numFmt w:val="bullet"/>
      <w:lvlText w:val=""/>
      <w:lvlJc w:val="left"/>
      <w:pPr>
        <w:ind w:left="6480" w:hanging="360"/>
      </w:pPr>
      <w:rPr>
        <w:rFonts w:ascii="Wingdings" w:hAnsi="Wingdings" w:hint="default"/>
      </w:rPr>
    </w:lvl>
  </w:abstractNum>
  <w:abstractNum w:abstractNumId="358" w15:restartNumberingAfterBreak="0">
    <w:nsid w:val="7A2B0634"/>
    <w:multiLevelType w:val="hybridMultilevel"/>
    <w:tmpl w:val="FFFFFFFF"/>
    <w:lvl w:ilvl="0" w:tplc="80526A1E">
      <w:start w:val="2"/>
      <w:numFmt w:val="decimal"/>
      <w:lvlText w:val="%1."/>
      <w:lvlJc w:val="left"/>
      <w:pPr>
        <w:ind w:left="720" w:hanging="360"/>
      </w:pPr>
    </w:lvl>
    <w:lvl w:ilvl="1" w:tplc="6F50AB94">
      <w:start w:val="1"/>
      <w:numFmt w:val="lowerLetter"/>
      <w:lvlText w:val="%2."/>
      <w:lvlJc w:val="left"/>
      <w:pPr>
        <w:ind w:left="1440" w:hanging="360"/>
      </w:pPr>
    </w:lvl>
    <w:lvl w:ilvl="2" w:tplc="C996272A">
      <w:start w:val="1"/>
      <w:numFmt w:val="lowerRoman"/>
      <w:lvlText w:val="%3."/>
      <w:lvlJc w:val="right"/>
      <w:pPr>
        <w:ind w:left="2160" w:hanging="180"/>
      </w:pPr>
    </w:lvl>
    <w:lvl w:ilvl="3" w:tplc="BD7E2ED8">
      <w:start w:val="1"/>
      <w:numFmt w:val="decimal"/>
      <w:lvlText w:val="%4."/>
      <w:lvlJc w:val="left"/>
      <w:pPr>
        <w:ind w:left="2880" w:hanging="360"/>
      </w:pPr>
    </w:lvl>
    <w:lvl w:ilvl="4" w:tplc="7CEAA90C">
      <w:start w:val="1"/>
      <w:numFmt w:val="lowerLetter"/>
      <w:lvlText w:val="%5."/>
      <w:lvlJc w:val="left"/>
      <w:pPr>
        <w:ind w:left="3600" w:hanging="360"/>
      </w:pPr>
    </w:lvl>
    <w:lvl w:ilvl="5" w:tplc="A04AB0F2">
      <w:start w:val="1"/>
      <w:numFmt w:val="lowerRoman"/>
      <w:lvlText w:val="%6."/>
      <w:lvlJc w:val="right"/>
      <w:pPr>
        <w:ind w:left="4320" w:hanging="180"/>
      </w:pPr>
    </w:lvl>
    <w:lvl w:ilvl="6" w:tplc="CF348C76">
      <w:start w:val="1"/>
      <w:numFmt w:val="decimal"/>
      <w:lvlText w:val="%7."/>
      <w:lvlJc w:val="left"/>
      <w:pPr>
        <w:ind w:left="5040" w:hanging="360"/>
      </w:pPr>
    </w:lvl>
    <w:lvl w:ilvl="7" w:tplc="2CDA2B2A">
      <w:start w:val="1"/>
      <w:numFmt w:val="lowerLetter"/>
      <w:lvlText w:val="%8."/>
      <w:lvlJc w:val="left"/>
      <w:pPr>
        <w:ind w:left="5760" w:hanging="360"/>
      </w:pPr>
    </w:lvl>
    <w:lvl w:ilvl="8" w:tplc="30FE0294">
      <w:start w:val="1"/>
      <w:numFmt w:val="lowerRoman"/>
      <w:lvlText w:val="%9."/>
      <w:lvlJc w:val="right"/>
      <w:pPr>
        <w:ind w:left="6480" w:hanging="180"/>
      </w:pPr>
    </w:lvl>
  </w:abstractNum>
  <w:abstractNum w:abstractNumId="359" w15:restartNumberingAfterBreak="0">
    <w:nsid w:val="7ABE1AA0"/>
    <w:multiLevelType w:val="hybridMultilevel"/>
    <w:tmpl w:val="20E0B4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0" w15:restartNumberingAfterBreak="0">
    <w:nsid w:val="7AE359E7"/>
    <w:multiLevelType w:val="hybridMultilevel"/>
    <w:tmpl w:val="FFFFFFFF"/>
    <w:lvl w:ilvl="0" w:tplc="60167FE8">
      <w:start w:val="2"/>
      <w:numFmt w:val="decimal"/>
      <w:lvlText w:val="%1."/>
      <w:lvlJc w:val="left"/>
      <w:pPr>
        <w:ind w:left="720" w:hanging="360"/>
      </w:pPr>
    </w:lvl>
    <w:lvl w:ilvl="1" w:tplc="52E811EA">
      <w:start w:val="1"/>
      <w:numFmt w:val="lowerLetter"/>
      <w:lvlText w:val="%2."/>
      <w:lvlJc w:val="left"/>
      <w:pPr>
        <w:ind w:left="1440" w:hanging="360"/>
      </w:pPr>
    </w:lvl>
    <w:lvl w:ilvl="2" w:tplc="A9CA4A2E">
      <w:start w:val="1"/>
      <w:numFmt w:val="lowerRoman"/>
      <w:lvlText w:val="%3."/>
      <w:lvlJc w:val="right"/>
      <w:pPr>
        <w:ind w:left="2160" w:hanging="180"/>
      </w:pPr>
    </w:lvl>
    <w:lvl w:ilvl="3" w:tplc="138C46D0">
      <w:start w:val="1"/>
      <w:numFmt w:val="decimal"/>
      <w:lvlText w:val="%4."/>
      <w:lvlJc w:val="left"/>
      <w:pPr>
        <w:ind w:left="2880" w:hanging="360"/>
      </w:pPr>
    </w:lvl>
    <w:lvl w:ilvl="4" w:tplc="1F427270">
      <w:start w:val="1"/>
      <w:numFmt w:val="lowerLetter"/>
      <w:lvlText w:val="%5."/>
      <w:lvlJc w:val="left"/>
      <w:pPr>
        <w:ind w:left="3600" w:hanging="360"/>
      </w:pPr>
    </w:lvl>
    <w:lvl w:ilvl="5" w:tplc="944A4B86">
      <w:start w:val="1"/>
      <w:numFmt w:val="lowerRoman"/>
      <w:lvlText w:val="%6."/>
      <w:lvlJc w:val="right"/>
      <w:pPr>
        <w:ind w:left="4320" w:hanging="180"/>
      </w:pPr>
    </w:lvl>
    <w:lvl w:ilvl="6" w:tplc="B63243DC">
      <w:start w:val="1"/>
      <w:numFmt w:val="decimal"/>
      <w:lvlText w:val="%7."/>
      <w:lvlJc w:val="left"/>
      <w:pPr>
        <w:ind w:left="5040" w:hanging="360"/>
      </w:pPr>
    </w:lvl>
    <w:lvl w:ilvl="7" w:tplc="DD2C6FEA">
      <w:start w:val="1"/>
      <w:numFmt w:val="lowerLetter"/>
      <w:lvlText w:val="%8."/>
      <w:lvlJc w:val="left"/>
      <w:pPr>
        <w:ind w:left="5760" w:hanging="360"/>
      </w:pPr>
    </w:lvl>
    <w:lvl w:ilvl="8" w:tplc="007ACAA4">
      <w:start w:val="1"/>
      <w:numFmt w:val="lowerRoman"/>
      <w:lvlText w:val="%9."/>
      <w:lvlJc w:val="right"/>
      <w:pPr>
        <w:ind w:left="6480" w:hanging="180"/>
      </w:pPr>
    </w:lvl>
  </w:abstractNum>
  <w:abstractNum w:abstractNumId="361" w15:restartNumberingAfterBreak="0">
    <w:nsid w:val="7C1AF896"/>
    <w:multiLevelType w:val="hybridMultilevel"/>
    <w:tmpl w:val="FFFFFFFF"/>
    <w:lvl w:ilvl="0" w:tplc="FFFFFFFF">
      <w:start w:val="1"/>
      <w:numFmt w:val="lowerLetter"/>
      <w:lvlText w:val="%1)"/>
      <w:lvlJc w:val="left"/>
      <w:pPr>
        <w:ind w:left="720" w:hanging="360"/>
      </w:pPr>
    </w:lvl>
    <w:lvl w:ilvl="1" w:tplc="C8A889F0">
      <w:start w:val="1"/>
      <w:numFmt w:val="lowerLetter"/>
      <w:lvlText w:val="%2."/>
      <w:lvlJc w:val="left"/>
      <w:pPr>
        <w:ind w:left="1440" w:hanging="360"/>
      </w:pPr>
    </w:lvl>
    <w:lvl w:ilvl="2" w:tplc="399EC8B2">
      <w:start w:val="1"/>
      <w:numFmt w:val="lowerRoman"/>
      <w:lvlText w:val="%3."/>
      <w:lvlJc w:val="right"/>
      <w:pPr>
        <w:ind w:left="2160" w:hanging="180"/>
      </w:pPr>
    </w:lvl>
    <w:lvl w:ilvl="3" w:tplc="DC92581A">
      <w:start w:val="1"/>
      <w:numFmt w:val="decimal"/>
      <w:lvlText w:val="%4."/>
      <w:lvlJc w:val="left"/>
      <w:pPr>
        <w:ind w:left="2880" w:hanging="360"/>
      </w:pPr>
    </w:lvl>
    <w:lvl w:ilvl="4" w:tplc="3482B5BE">
      <w:start w:val="1"/>
      <w:numFmt w:val="lowerLetter"/>
      <w:lvlText w:val="%5."/>
      <w:lvlJc w:val="left"/>
      <w:pPr>
        <w:ind w:left="3600" w:hanging="360"/>
      </w:pPr>
    </w:lvl>
    <w:lvl w:ilvl="5" w:tplc="C9100724">
      <w:start w:val="1"/>
      <w:numFmt w:val="lowerRoman"/>
      <w:lvlText w:val="%6."/>
      <w:lvlJc w:val="right"/>
      <w:pPr>
        <w:ind w:left="4320" w:hanging="180"/>
      </w:pPr>
    </w:lvl>
    <w:lvl w:ilvl="6" w:tplc="52DE718A">
      <w:start w:val="1"/>
      <w:numFmt w:val="decimal"/>
      <w:lvlText w:val="%7."/>
      <w:lvlJc w:val="left"/>
      <w:pPr>
        <w:ind w:left="5040" w:hanging="360"/>
      </w:pPr>
    </w:lvl>
    <w:lvl w:ilvl="7" w:tplc="24066710">
      <w:start w:val="1"/>
      <w:numFmt w:val="lowerLetter"/>
      <w:lvlText w:val="%8."/>
      <w:lvlJc w:val="left"/>
      <w:pPr>
        <w:ind w:left="5760" w:hanging="360"/>
      </w:pPr>
    </w:lvl>
    <w:lvl w:ilvl="8" w:tplc="61D0EC70">
      <w:start w:val="1"/>
      <w:numFmt w:val="lowerRoman"/>
      <w:lvlText w:val="%9."/>
      <w:lvlJc w:val="right"/>
      <w:pPr>
        <w:ind w:left="6480" w:hanging="180"/>
      </w:pPr>
    </w:lvl>
  </w:abstractNum>
  <w:abstractNum w:abstractNumId="362" w15:restartNumberingAfterBreak="0">
    <w:nsid w:val="7C438A15"/>
    <w:multiLevelType w:val="hybridMultilevel"/>
    <w:tmpl w:val="FFFFFFFF"/>
    <w:lvl w:ilvl="0" w:tplc="0F58142C">
      <w:start w:val="1"/>
      <w:numFmt w:val="decimal"/>
      <w:lvlText w:val="%1."/>
      <w:lvlJc w:val="left"/>
      <w:pPr>
        <w:ind w:left="720" w:hanging="360"/>
      </w:pPr>
    </w:lvl>
    <w:lvl w:ilvl="1" w:tplc="5E6487BE">
      <w:start w:val="1"/>
      <w:numFmt w:val="lowerLetter"/>
      <w:lvlText w:val="%2."/>
      <w:lvlJc w:val="left"/>
      <w:pPr>
        <w:ind w:left="1440" w:hanging="360"/>
      </w:pPr>
    </w:lvl>
    <w:lvl w:ilvl="2" w:tplc="F3D4A6C6">
      <w:start w:val="1"/>
      <w:numFmt w:val="lowerRoman"/>
      <w:lvlText w:val="%3."/>
      <w:lvlJc w:val="right"/>
      <w:pPr>
        <w:ind w:left="2160" w:hanging="180"/>
      </w:pPr>
    </w:lvl>
    <w:lvl w:ilvl="3" w:tplc="74DA3C3A">
      <w:start w:val="1"/>
      <w:numFmt w:val="decimal"/>
      <w:lvlText w:val="%4."/>
      <w:lvlJc w:val="left"/>
      <w:pPr>
        <w:ind w:left="2880" w:hanging="360"/>
      </w:pPr>
    </w:lvl>
    <w:lvl w:ilvl="4" w:tplc="E000F678">
      <w:start w:val="1"/>
      <w:numFmt w:val="lowerLetter"/>
      <w:lvlText w:val="%5."/>
      <w:lvlJc w:val="left"/>
      <w:pPr>
        <w:ind w:left="3600" w:hanging="360"/>
      </w:pPr>
    </w:lvl>
    <w:lvl w:ilvl="5" w:tplc="240C630C">
      <w:start w:val="1"/>
      <w:numFmt w:val="lowerRoman"/>
      <w:lvlText w:val="%6."/>
      <w:lvlJc w:val="right"/>
      <w:pPr>
        <w:ind w:left="4320" w:hanging="180"/>
      </w:pPr>
    </w:lvl>
    <w:lvl w:ilvl="6" w:tplc="43822FD6">
      <w:start w:val="1"/>
      <w:numFmt w:val="decimal"/>
      <w:lvlText w:val="%7."/>
      <w:lvlJc w:val="left"/>
      <w:pPr>
        <w:ind w:left="5040" w:hanging="360"/>
      </w:pPr>
    </w:lvl>
    <w:lvl w:ilvl="7" w:tplc="9D3C8A74">
      <w:start w:val="1"/>
      <w:numFmt w:val="lowerLetter"/>
      <w:lvlText w:val="%8."/>
      <w:lvlJc w:val="left"/>
      <w:pPr>
        <w:ind w:left="5760" w:hanging="360"/>
      </w:pPr>
    </w:lvl>
    <w:lvl w:ilvl="8" w:tplc="18FCDA00">
      <w:start w:val="1"/>
      <w:numFmt w:val="lowerRoman"/>
      <w:lvlText w:val="%9."/>
      <w:lvlJc w:val="right"/>
      <w:pPr>
        <w:ind w:left="6480" w:hanging="180"/>
      </w:pPr>
    </w:lvl>
  </w:abstractNum>
  <w:abstractNum w:abstractNumId="363" w15:restartNumberingAfterBreak="0">
    <w:nsid w:val="7C646E26"/>
    <w:multiLevelType w:val="hybridMultilevel"/>
    <w:tmpl w:val="0A3A8FC8"/>
    <w:lvl w:ilvl="0" w:tplc="5002CCC6">
      <w:start w:val="1"/>
      <w:numFmt w:val="bullet"/>
      <w:lvlText w:val=""/>
      <w:lvlJc w:val="left"/>
      <w:pPr>
        <w:ind w:left="720" w:hanging="360"/>
      </w:pPr>
      <w:rPr>
        <w:rFonts w:ascii="Symbol" w:hAnsi="Symbol" w:hint="default"/>
        <w:sz w:val="24"/>
        <w:szCs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4" w15:restartNumberingAfterBreak="0">
    <w:nsid w:val="7C7052CE"/>
    <w:multiLevelType w:val="hybridMultilevel"/>
    <w:tmpl w:val="FFFFFFFF"/>
    <w:lvl w:ilvl="0" w:tplc="210E9B78">
      <w:start w:val="2"/>
      <w:numFmt w:val="lowerRoman"/>
      <w:lvlText w:val="%1."/>
      <w:lvlJc w:val="right"/>
      <w:pPr>
        <w:ind w:left="1080" w:hanging="360"/>
      </w:pPr>
    </w:lvl>
    <w:lvl w:ilvl="1" w:tplc="F3905E62">
      <w:start w:val="1"/>
      <w:numFmt w:val="lowerLetter"/>
      <w:lvlText w:val="%2."/>
      <w:lvlJc w:val="left"/>
      <w:pPr>
        <w:ind w:left="1440" w:hanging="360"/>
      </w:pPr>
    </w:lvl>
    <w:lvl w:ilvl="2" w:tplc="5DF6F9C6">
      <w:start w:val="1"/>
      <w:numFmt w:val="lowerRoman"/>
      <w:lvlText w:val="%3."/>
      <w:lvlJc w:val="right"/>
      <w:pPr>
        <w:ind w:left="2160" w:hanging="180"/>
      </w:pPr>
    </w:lvl>
    <w:lvl w:ilvl="3" w:tplc="EC88D356">
      <w:start w:val="1"/>
      <w:numFmt w:val="decimal"/>
      <w:lvlText w:val="%4."/>
      <w:lvlJc w:val="left"/>
      <w:pPr>
        <w:ind w:left="2880" w:hanging="360"/>
      </w:pPr>
    </w:lvl>
    <w:lvl w:ilvl="4" w:tplc="00E0FB56">
      <w:start w:val="1"/>
      <w:numFmt w:val="lowerLetter"/>
      <w:lvlText w:val="%5."/>
      <w:lvlJc w:val="left"/>
      <w:pPr>
        <w:ind w:left="3600" w:hanging="360"/>
      </w:pPr>
    </w:lvl>
    <w:lvl w:ilvl="5" w:tplc="B97C62C8">
      <w:start w:val="1"/>
      <w:numFmt w:val="lowerRoman"/>
      <w:lvlText w:val="%6."/>
      <w:lvlJc w:val="right"/>
      <w:pPr>
        <w:ind w:left="4320" w:hanging="180"/>
      </w:pPr>
    </w:lvl>
    <w:lvl w:ilvl="6" w:tplc="1B3E8E40">
      <w:start w:val="1"/>
      <w:numFmt w:val="decimal"/>
      <w:lvlText w:val="%7."/>
      <w:lvlJc w:val="left"/>
      <w:pPr>
        <w:ind w:left="5040" w:hanging="360"/>
      </w:pPr>
    </w:lvl>
    <w:lvl w:ilvl="7" w:tplc="D7FEA738">
      <w:start w:val="1"/>
      <w:numFmt w:val="lowerLetter"/>
      <w:lvlText w:val="%8."/>
      <w:lvlJc w:val="left"/>
      <w:pPr>
        <w:ind w:left="5760" w:hanging="360"/>
      </w:pPr>
    </w:lvl>
    <w:lvl w:ilvl="8" w:tplc="968013D2">
      <w:start w:val="1"/>
      <w:numFmt w:val="lowerRoman"/>
      <w:lvlText w:val="%9."/>
      <w:lvlJc w:val="right"/>
      <w:pPr>
        <w:ind w:left="6480" w:hanging="180"/>
      </w:pPr>
    </w:lvl>
  </w:abstractNum>
  <w:abstractNum w:abstractNumId="365" w15:restartNumberingAfterBreak="0">
    <w:nsid w:val="7CB04BFE"/>
    <w:multiLevelType w:val="multilevel"/>
    <w:tmpl w:val="1BA4D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6" w15:restartNumberingAfterBreak="0">
    <w:nsid w:val="7CBE4812"/>
    <w:multiLevelType w:val="singleLevel"/>
    <w:tmpl w:val="23C821E4"/>
    <w:name w:val="Considérant"/>
    <w:lvl w:ilvl="0">
      <w:start w:val="1"/>
      <w:numFmt w:val="decimal"/>
      <w:lvlRestart w:val="0"/>
      <w:lvlText w:val="(%1)"/>
      <w:lvlJc w:val="left"/>
      <w:pPr>
        <w:tabs>
          <w:tab w:val="num" w:pos="709"/>
        </w:tabs>
        <w:ind w:left="709" w:hanging="709"/>
      </w:pPr>
    </w:lvl>
  </w:abstractNum>
  <w:abstractNum w:abstractNumId="367" w15:restartNumberingAfterBreak="0">
    <w:nsid w:val="7CC26E77"/>
    <w:multiLevelType w:val="multilevel"/>
    <w:tmpl w:val="1436D01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8" w15:restartNumberingAfterBreak="0">
    <w:nsid w:val="7CDFDFCB"/>
    <w:multiLevelType w:val="hybridMultilevel"/>
    <w:tmpl w:val="FFFFFFFF"/>
    <w:lvl w:ilvl="0" w:tplc="D592C080">
      <w:start w:val="1"/>
      <w:numFmt w:val="bullet"/>
      <w:lvlText w:val=""/>
      <w:lvlJc w:val="left"/>
      <w:pPr>
        <w:ind w:left="720" w:hanging="360"/>
      </w:pPr>
      <w:rPr>
        <w:rFonts w:ascii="Symbol" w:hAnsi="Symbol" w:hint="default"/>
      </w:rPr>
    </w:lvl>
    <w:lvl w:ilvl="1" w:tplc="9B82581E">
      <w:start w:val="1"/>
      <w:numFmt w:val="bullet"/>
      <w:lvlText w:val="o"/>
      <w:lvlJc w:val="left"/>
      <w:pPr>
        <w:ind w:left="1440" w:hanging="360"/>
      </w:pPr>
      <w:rPr>
        <w:rFonts w:ascii="Courier New" w:hAnsi="Courier New" w:hint="default"/>
      </w:rPr>
    </w:lvl>
    <w:lvl w:ilvl="2" w:tplc="D2882556">
      <w:start w:val="1"/>
      <w:numFmt w:val="bullet"/>
      <w:lvlText w:val=""/>
      <w:lvlJc w:val="left"/>
      <w:pPr>
        <w:ind w:left="2160" w:hanging="360"/>
      </w:pPr>
      <w:rPr>
        <w:rFonts w:ascii="Wingdings" w:hAnsi="Wingdings" w:hint="default"/>
      </w:rPr>
    </w:lvl>
    <w:lvl w:ilvl="3" w:tplc="BCA0DD4C">
      <w:start w:val="1"/>
      <w:numFmt w:val="bullet"/>
      <w:lvlText w:val=""/>
      <w:lvlJc w:val="left"/>
      <w:pPr>
        <w:ind w:left="2880" w:hanging="360"/>
      </w:pPr>
      <w:rPr>
        <w:rFonts w:ascii="Symbol" w:hAnsi="Symbol" w:hint="default"/>
      </w:rPr>
    </w:lvl>
    <w:lvl w:ilvl="4" w:tplc="298A21AA">
      <w:start w:val="1"/>
      <w:numFmt w:val="bullet"/>
      <w:lvlText w:val="o"/>
      <w:lvlJc w:val="left"/>
      <w:pPr>
        <w:ind w:left="3600" w:hanging="360"/>
      </w:pPr>
      <w:rPr>
        <w:rFonts w:ascii="Courier New" w:hAnsi="Courier New" w:hint="default"/>
      </w:rPr>
    </w:lvl>
    <w:lvl w:ilvl="5" w:tplc="D33C4ACA">
      <w:start w:val="1"/>
      <w:numFmt w:val="bullet"/>
      <w:lvlText w:val=""/>
      <w:lvlJc w:val="left"/>
      <w:pPr>
        <w:ind w:left="4320" w:hanging="360"/>
      </w:pPr>
      <w:rPr>
        <w:rFonts w:ascii="Wingdings" w:hAnsi="Wingdings" w:hint="default"/>
      </w:rPr>
    </w:lvl>
    <w:lvl w:ilvl="6" w:tplc="A120E912">
      <w:start w:val="1"/>
      <w:numFmt w:val="bullet"/>
      <w:lvlText w:val=""/>
      <w:lvlJc w:val="left"/>
      <w:pPr>
        <w:ind w:left="5040" w:hanging="360"/>
      </w:pPr>
      <w:rPr>
        <w:rFonts w:ascii="Symbol" w:hAnsi="Symbol" w:hint="default"/>
      </w:rPr>
    </w:lvl>
    <w:lvl w:ilvl="7" w:tplc="E8046A86">
      <w:start w:val="1"/>
      <w:numFmt w:val="bullet"/>
      <w:lvlText w:val="o"/>
      <w:lvlJc w:val="left"/>
      <w:pPr>
        <w:ind w:left="5760" w:hanging="360"/>
      </w:pPr>
      <w:rPr>
        <w:rFonts w:ascii="Courier New" w:hAnsi="Courier New" w:hint="default"/>
      </w:rPr>
    </w:lvl>
    <w:lvl w:ilvl="8" w:tplc="0ABC3634">
      <w:start w:val="1"/>
      <w:numFmt w:val="bullet"/>
      <w:lvlText w:val=""/>
      <w:lvlJc w:val="left"/>
      <w:pPr>
        <w:ind w:left="6480" w:hanging="360"/>
      </w:pPr>
      <w:rPr>
        <w:rFonts w:ascii="Wingdings" w:hAnsi="Wingdings" w:hint="default"/>
      </w:rPr>
    </w:lvl>
  </w:abstractNum>
  <w:abstractNum w:abstractNumId="369" w15:restartNumberingAfterBreak="0">
    <w:nsid w:val="7D38EE84"/>
    <w:multiLevelType w:val="hybridMultilevel"/>
    <w:tmpl w:val="FFFFFFFF"/>
    <w:lvl w:ilvl="0" w:tplc="A3CC45FC">
      <w:start w:val="2"/>
      <w:numFmt w:val="lowerLetter"/>
      <w:lvlText w:val="%1)"/>
      <w:lvlJc w:val="left"/>
      <w:pPr>
        <w:ind w:left="720" w:hanging="360"/>
      </w:pPr>
    </w:lvl>
    <w:lvl w:ilvl="1" w:tplc="5D72414C">
      <w:start w:val="1"/>
      <w:numFmt w:val="lowerLetter"/>
      <w:lvlText w:val="%2."/>
      <w:lvlJc w:val="left"/>
      <w:pPr>
        <w:ind w:left="1440" w:hanging="360"/>
      </w:pPr>
    </w:lvl>
    <w:lvl w:ilvl="2" w:tplc="4A6EEB70">
      <w:start w:val="1"/>
      <w:numFmt w:val="lowerRoman"/>
      <w:lvlText w:val="%3."/>
      <w:lvlJc w:val="right"/>
      <w:pPr>
        <w:ind w:left="2160" w:hanging="180"/>
      </w:pPr>
    </w:lvl>
    <w:lvl w:ilvl="3" w:tplc="E2E4D7E8">
      <w:start w:val="1"/>
      <w:numFmt w:val="decimal"/>
      <w:lvlText w:val="%4."/>
      <w:lvlJc w:val="left"/>
      <w:pPr>
        <w:ind w:left="2880" w:hanging="360"/>
      </w:pPr>
    </w:lvl>
    <w:lvl w:ilvl="4" w:tplc="61486A2C">
      <w:start w:val="1"/>
      <w:numFmt w:val="lowerLetter"/>
      <w:lvlText w:val="%5."/>
      <w:lvlJc w:val="left"/>
      <w:pPr>
        <w:ind w:left="3600" w:hanging="360"/>
      </w:pPr>
    </w:lvl>
    <w:lvl w:ilvl="5" w:tplc="8E1675C2">
      <w:start w:val="1"/>
      <w:numFmt w:val="lowerRoman"/>
      <w:lvlText w:val="%6."/>
      <w:lvlJc w:val="right"/>
      <w:pPr>
        <w:ind w:left="4320" w:hanging="180"/>
      </w:pPr>
    </w:lvl>
    <w:lvl w:ilvl="6" w:tplc="3398BF64">
      <w:start w:val="1"/>
      <w:numFmt w:val="decimal"/>
      <w:lvlText w:val="%7."/>
      <w:lvlJc w:val="left"/>
      <w:pPr>
        <w:ind w:left="5040" w:hanging="360"/>
      </w:pPr>
    </w:lvl>
    <w:lvl w:ilvl="7" w:tplc="14347F52">
      <w:start w:val="1"/>
      <w:numFmt w:val="lowerLetter"/>
      <w:lvlText w:val="%8."/>
      <w:lvlJc w:val="left"/>
      <w:pPr>
        <w:ind w:left="5760" w:hanging="360"/>
      </w:pPr>
    </w:lvl>
    <w:lvl w:ilvl="8" w:tplc="121AE538">
      <w:start w:val="1"/>
      <w:numFmt w:val="lowerRoman"/>
      <w:lvlText w:val="%9."/>
      <w:lvlJc w:val="right"/>
      <w:pPr>
        <w:ind w:left="6480" w:hanging="180"/>
      </w:pPr>
    </w:lvl>
  </w:abstractNum>
  <w:abstractNum w:abstractNumId="370" w15:restartNumberingAfterBreak="0">
    <w:nsid w:val="7D906003"/>
    <w:multiLevelType w:val="hybridMultilevel"/>
    <w:tmpl w:val="210AFE5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1" w15:restartNumberingAfterBreak="0">
    <w:nsid w:val="7F18012B"/>
    <w:multiLevelType w:val="hybridMultilevel"/>
    <w:tmpl w:val="64EA0186"/>
    <w:lvl w:ilvl="0" w:tplc="CBFC3D0A">
      <w:start w:val="1"/>
      <w:numFmt w:val="decimal"/>
      <w:lvlText w:val="%1."/>
      <w:lvlJc w:val="left"/>
      <w:pPr>
        <w:ind w:left="720" w:hanging="360"/>
      </w:pPr>
    </w:lvl>
    <w:lvl w:ilvl="1" w:tplc="2B3E6A08">
      <w:start w:val="1"/>
      <w:numFmt w:val="lowerLetter"/>
      <w:lvlText w:val="%2."/>
      <w:lvlJc w:val="left"/>
      <w:pPr>
        <w:ind w:left="1440" w:hanging="360"/>
      </w:pPr>
    </w:lvl>
    <w:lvl w:ilvl="2" w:tplc="12AA4A74">
      <w:start w:val="1"/>
      <w:numFmt w:val="lowerRoman"/>
      <w:lvlText w:val="%3."/>
      <w:lvlJc w:val="right"/>
      <w:pPr>
        <w:ind w:left="2160" w:hanging="180"/>
      </w:pPr>
    </w:lvl>
    <w:lvl w:ilvl="3" w:tplc="CDA6F6C6">
      <w:start w:val="1"/>
      <w:numFmt w:val="decimal"/>
      <w:lvlText w:val="%4."/>
      <w:lvlJc w:val="left"/>
      <w:pPr>
        <w:ind w:left="2880" w:hanging="360"/>
      </w:pPr>
    </w:lvl>
    <w:lvl w:ilvl="4" w:tplc="A4A4B092">
      <w:start w:val="1"/>
      <w:numFmt w:val="lowerLetter"/>
      <w:lvlText w:val="%5."/>
      <w:lvlJc w:val="left"/>
      <w:pPr>
        <w:ind w:left="3600" w:hanging="360"/>
      </w:pPr>
    </w:lvl>
    <w:lvl w:ilvl="5" w:tplc="4AB473E4">
      <w:start w:val="1"/>
      <w:numFmt w:val="lowerRoman"/>
      <w:lvlText w:val="%6."/>
      <w:lvlJc w:val="right"/>
      <w:pPr>
        <w:ind w:left="4320" w:hanging="180"/>
      </w:pPr>
    </w:lvl>
    <w:lvl w:ilvl="6" w:tplc="57408610">
      <w:start w:val="1"/>
      <w:numFmt w:val="decimal"/>
      <w:lvlText w:val="%7."/>
      <w:lvlJc w:val="left"/>
      <w:pPr>
        <w:ind w:left="5040" w:hanging="360"/>
      </w:pPr>
    </w:lvl>
    <w:lvl w:ilvl="7" w:tplc="94006C1A">
      <w:start w:val="1"/>
      <w:numFmt w:val="lowerLetter"/>
      <w:lvlText w:val="%8."/>
      <w:lvlJc w:val="left"/>
      <w:pPr>
        <w:ind w:left="5760" w:hanging="360"/>
      </w:pPr>
    </w:lvl>
    <w:lvl w:ilvl="8" w:tplc="827C5F28">
      <w:start w:val="1"/>
      <w:numFmt w:val="lowerRoman"/>
      <w:lvlText w:val="%9."/>
      <w:lvlJc w:val="right"/>
      <w:pPr>
        <w:ind w:left="6480" w:hanging="180"/>
      </w:pPr>
    </w:lvl>
  </w:abstractNum>
  <w:abstractNum w:abstractNumId="372" w15:restartNumberingAfterBreak="0">
    <w:nsid w:val="7F6D59BA"/>
    <w:multiLevelType w:val="hybridMultilevel"/>
    <w:tmpl w:val="FFFFFFFF"/>
    <w:lvl w:ilvl="0" w:tplc="3E8A7FAC">
      <w:start w:val="2"/>
      <w:numFmt w:val="decimal"/>
      <w:lvlText w:val="%1."/>
      <w:lvlJc w:val="left"/>
      <w:pPr>
        <w:ind w:left="720" w:hanging="360"/>
      </w:pPr>
    </w:lvl>
    <w:lvl w:ilvl="1" w:tplc="81C4CA60">
      <w:start w:val="1"/>
      <w:numFmt w:val="lowerLetter"/>
      <w:lvlText w:val="%2."/>
      <w:lvlJc w:val="left"/>
      <w:pPr>
        <w:ind w:left="1440" w:hanging="360"/>
      </w:pPr>
    </w:lvl>
    <w:lvl w:ilvl="2" w:tplc="4B686D54">
      <w:start w:val="1"/>
      <w:numFmt w:val="lowerRoman"/>
      <w:lvlText w:val="%3."/>
      <w:lvlJc w:val="right"/>
      <w:pPr>
        <w:ind w:left="2160" w:hanging="180"/>
      </w:pPr>
    </w:lvl>
    <w:lvl w:ilvl="3" w:tplc="B45CAC5C">
      <w:start w:val="1"/>
      <w:numFmt w:val="decimal"/>
      <w:lvlText w:val="%4."/>
      <w:lvlJc w:val="left"/>
      <w:pPr>
        <w:ind w:left="2880" w:hanging="360"/>
      </w:pPr>
    </w:lvl>
    <w:lvl w:ilvl="4" w:tplc="D516446C">
      <w:start w:val="1"/>
      <w:numFmt w:val="lowerLetter"/>
      <w:lvlText w:val="%5."/>
      <w:lvlJc w:val="left"/>
      <w:pPr>
        <w:ind w:left="3600" w:hanging="360"/>
      </w:pPr>
    </w:lvl>
    <w:lvl w:ilvl="5" w:tplc="5B8C6A0E">
      <w:start w:val="1"/>
      <w:numFmt w:val="lowerRoman"/>
      <w:lvlText w:val="%6."/>
      <w:lvlJc w:val="right"/>
      <w:pPr>
        <w:ind w:left="4320" w:hanging="180"/>
      </w:pPr>
    </w:lvl>
    <w:lvl w:ilvl="6" w:tplc="12D48CAA">
      <w:start w:val="1"/>
      <w:numFmt w:val="decimal"/>
      <w:lvlText w:val="%7."/>
      <w:lvlJc w:val="left"/>
      <w:pPr>
        <w:ind w:left="5040" w:hanging="360"/>
      </w:pPr>
    </w:lvl>
    <w:lvl w:ilvl="7" w:tplc="F5C06024">
      <w:start w:val="1"/>
      <w:numFmt w:val="lowerLetter"/>
      <w:lvlText w:val="%8."/>
      <w:lvlJc w:val="left"/>
      <w:pPr>
        <w:ind w:left="5760" w:hanging="360"/>
      </w:pPr>
    </w:lvl>
    <w:lvl w:ilvl="8" w:tplc="B3DA24D4">
      <w:start w:val="1"/>
      <w:numFmt w:val="lowerRoman"/>
      <w:lvlText w:val="%9."/>
      <w:lvlJc w:val="right"/>
      <w:pPr>
        <w:ind w:left="6480" w:hanging="180"/>
      </w:pPr>
    </w:lvl>
  </w:abstractNum>
  <w:abstractNum w:abstractNumId="373" w15:restartNumberingAfterBreak="0">
    <w:nsid w:val="7FF10D26"/>
    <w:multiLevelType w:val="hybridMultilevel"/>
    <w:tmpl w:val="FFFFFFFF"/>
    <w:lvl w:ilvl="0" w:tplc="5EC4FF2A">
      <w:start w:val="2"/>
      <w:numFmt w:val="decimal"/>
      <w:lvlText w:val="%1."/>
      <w:lvlJc w:val="left"/>
      <w:pPr>
        <w:ind w:left="720" w:hanging="360"/>
      </w:pPr>
    </w:lvl>
    <w:lvl w:ilvl="1" w:tplc="7D04685C">
      <w:start w:val="1"/>
      <w:numFmt w:val="lowerLetter"/>
      <w:lvlText w:val="%2."/>
      <w:lvlJc w:val="left"/>
      <w:pPr>
        <w:ind w:left="1440" w:hanging="360"/>
      </w:pPr>
    </w:lvl>
    <w:lvl w:ilvl="2" w:tplc="F31AEA1C">
      <w:start w:val="1"/>
      <w:numFmt w:val="lowerRoman"/>
      <w:lvlText w:val="%3."/>
      <w:lvlJc w:val="right"/>
      <w:pPr>
        <w:ind w:left="2160" w:hanging="180"/>
      </w:pPr>
    </w:lvl>
    <w:lvl w:ilvl="3" w:tplc="BD9CB432">
      <w:start w:val="1"/>
      <w:numFmt w:val="decimal"/>
      <w:lvlText w:val="%4."/>
      <w:lvlJc w:val="left"/>
      <w:pPr>
        <w:ind w:left="2880" w:hanging="360"/>
      </w:pPr>
    </w:lvl>
    <w:lvl w:ilvl="4" w:tplc="8F542B30">
      <w:start w:val="1"/>
      <w:numFmt w:val="lowerLetter"/>
      <w:lvlText w:val="%5."/>
      <w:lvlJc w:val="left"/>
      <w:pPr>
        <w:ind w:left="3600" w:hanging="360"/>
      </w:pPr>
    </w:lvl>
    <w:lvl w:ilvl="5" w:tplc="4B881648">
      <w:start w:val="1"/>
      <w:numFmt w:val="lowerRoman"/>
      <w:lvlText w:val="%6."/>
      <w:lvlJc w:val="right"/>
      <w:pPr>
        <w:ind w:left="4320" w:hanging="180"/>
      </w:pPr>
    </w:lvl>
    <w:lvl w:ilvl="6" w:tplc="2792991C">
      <w:start w:val="1"/>
      <w:numFmt w:val="decimal"/>
      <w:lvlText w:val="%7."/>
      <w:lvlJc w:val="left"/>
      <w:pPr>
        <w:ind w:left="5040" w:hanging="360"/>
      </w:pPr>
    </w:lvl>
    <w:lvl w:ilvl="7" w:tplc="478C2EC2">
      <w:start w:val="1"/>
      <w:numFmt w:val="lowerLetter"/>
      <w:lvlText w:val="%8."/>
      <w:lvlJc w:val="left"/>
      <w:pPr>
        <w:ind w:left="5760" w:hanging="360"/>
      </w:pPr>
    </w:lvl>
    <w:lvl w:ilvl="8" w:tplc="295C0944">
      <w:start w:val="1"/>
      <w:numFmt w:val="lowerRoman"/>
      <w:lvlText w:val="%9."/>
      <w:lvlJc w:val="right"/>
      <w:pPr>
        <w:ind w:left="6480" w:hanging="180"/>
      </w:pPr>
    </w:lvl>
  </w:abstractNum>
  <w:num w:numId="1">
    <w:abstractNumId w:val="30"/>
  </w:num>
  <w:num w:numId="2">
    <w:abstractNumId w:val="241"/>
  </w:num>
  <w:num w:numId="3">
    <w:abstractNumId w:val="106"/>
  </w:num>
  <w:num w:numId="4">
    <w:abstractNumId w:val="314"/>
  </w:num>
  <w:num w:numId="5">
    <w:abstractNumId w:val="245"/>
  </w:num>
  <w:num w:numId="6">
    <w:abstractNumId w:val="313"/>
  </w:num>
  <w:num w:numId="7">
    <w:abstractNumId w:val="129"/>
  </w:num>
  <w:num w:numId="8">
    <w:abstractNumId w:val="262"/>
  </w:num>
  <w:num w:numId="9">
    <w:abstractNumId w:val="25"/>
  </w:num>
  <w:num w:numId="10">
    <w:abstractNumId w:val="174"/>
  </w:num>
  <w:num w:numId="11">
    <w:abstractNumId w:val="151"/>
  </w:num>
  <w:num w:numId="12">
    <w:abstractNumId w:val="340"/>
  </w:num>
  <w:num w:numId="13">
    <w:abstractNumId w:val="297"/>
  </w:num>
  <w:num w:numId="14">
    <w:abstractNumId w:val="130"/>
  </w:num>
  <w:num w:numId="15">
    <w:abstractNumId w:val="278"/>
  </w:num>
  <w:num w:numId="16">
    <w:abstractNumId w:val="271"/>
  </w:num>
  <w:num w:numId="17">
    <w:abstractNumId w:val="19"/>
  </w:num>
  <w:num w:numId="18">
    <w:abstractNumId w:val="132"/>
  </w:num>
  <w:num w:numId="19">
    <w:abstractNumId w:val="200"/>
  </w:num>
  <w:num w:numId="20">
    <w:abstractNumId w:val="300"/>
  </w:num>
  <w:num w:numId="21">
    <w:abstractNumId w:val="305"/>
  </w:num>
  <w:num w:numId="22">
    <w:abstractNumId w:val="66"/>
  </w:num>
  <w:num w:numId="23">
    <w:abstractNumId w:val="119"/>
  </w:num>
  <w:num w:numId="24">
    <w:abstractNumId w:val="65"/>
  </w:num>
  <w:num w:numId="25">
    <w:abstractNumId w:val="12"/>
  </w:num>
  <w:num w:numId="26">
    <w:abstractNumId w:val="102"/>
  </w:num>
  <w:num w:numId="27">
    <w:abstractNumId w:val="334"/>
  </w:num>
  <w:num w:numId="28">
    <w:abstractNumId w:val="39"/>
  </w:num>
  <w:num w:numId="29">
    <w:abstractNumId w:val="198"/>
  </w:num>
  <w:num w:numId="30">
    <w:abstractNumId w:val="111"/>
  </w:num>
  <w:num w:numId="31">
    <w:abstractNumId w:val="348"/>
  </w:num>
  <w:num w:numId="32">
    <w:abstractNumId w:val="237"/>
  </w:num>
  <w:num w:numId="33">
    <w:abstractNumId w:val="240"/>
  </w:num>
  <w:num w:numId="34">
    <w:abstractNumId w:val="335"/>
  </w:num>
  <w:num w:numId="35">
    <w:abstractNumId w:val="199"/>
  </w:num>
  <w:num w:numId="36">
    <w:abstractNumId w:val="136"/>
  </w:num>
  <w:num w:numId="37">
    <w:abstractNumId w:val="120"/>
  </w:num>
  <w:num w:numId="38">
    <w:abstractNumId w:val="201"/>
  </w:num>
  <w:num w:numId="39">
    <w:abstractNumId w:val="295"/>
  </w:num>
  <w:num w:numId="40">
    <w:abstractNumId w:val="18"/>
  </w:num>
  <w:num w:numId="41">
    <w:abstractNumId w:val="280"/>
  </w:num>
  <w:num w:numId="42">
    <w:abstractNumId w:val="299"/>
  </w:num>
  <w:num w:numId="43">
    <w:abstractNumId w:val="165"/>
  </w:num>
  <w:num w:numId="44">
    <w:abstractNumId w:val="139"/>
  </w:num>
  <w:num w:numId="45">
    <w:abstractNumId w:val="180"/>
  </w:num>
  <w:num w:numId="46">
    <w:abstractNumId w:val="160"/>
  </w:num>
  <w:num w:numId="47">
    <w:abstractNumId w:val="163"/>
  </w:num>
  <w:num w:numId="48">
    <w:abstractNumId w:val="287"/>
  </w:num>
  <w:num w:numId="49">
    <w:abstractNumId w:val="347"/>
  </w:num>
  <w:num w:numId="50">
    <w:abstractNumId w:val="59"/>
  </w:num>
  <w:num w:numId="51">
    <w:abstractNumId w:val="369"/>
  </w:num>
  <w:num w:numId="52">
    <w:abstractNumId w:val="267"/>
  </w:num>
  <w:num w:numId="53">
    <w:abstractNumId w:val="343"/>
  </w:num>
  <w:num w:numId="54">
    <w:abstractNumId w:val="72"/>
  </w:num>
  <w:num w:numId="55">
    <w:abstractNumId w:val="255"/>
  </w:num>
  <w:num w:numId="56">
    <w:abstractNumId w:val="357"/>
  </w:num>
  <w:num w:numId="57">
    <w:abstractNumId w:val="238"/>
  </w:num>
  <w:num w:numId="58">
    <w:abstractNumId w:val="21"/>
  </w:num>
  <w:num w:numId="59">
    <w:abstractNumId w:val="316"/>
  </w:num>
  <w:num w:numId="60">
    <w:abstractNumId w:val="122"/>
  </w:num>
  <w:num w:numId="61">
    <w:abstractNumId w:val="232"/>
  </w:num>
  <w:num w:numId="62">
    <w:abstractNumId w:val="34"/>
  </w:num>
  <w:num w:numId="63">
    <w:abstractNumId w:val="211"/>
  </w:num>
  <w:num w:numId="64">
    <w:abstractNumId w:val="95"/>
  </w:num>
  <w:num w:numId="65">
    <w:abstractNumId w:val="147"/>
  </w:num>
  <w:num w:numId="66">
    <w:abstractNumId w:val="156"/>
  </w:num>
  <w:num w:numId="67">
    <w:abstractNumId w:val="185"/>
  </w:num>
  <w:num w:numId="68">
    <w:abstractNumId w:val="159"/>
  </w:num>
  <w:num w:numId="69">
    <w:abstractNumId w:val="352"/>
  </w:num>
  <w:num w:numId="70">
    <w:abstractNumId w:val="70"/>
  </w:num>
  <w:num w:numId="71">
    <w:abstractNumId w:val="239"/>
  </w:num>
  <w:num w:numId="72">
    <w:abstractNumId w:val="100"/>
  </w:num>
  <w:num w:numId="73">
    <w:abstractNumId w:val="41"/>
  </w:num>
  <w:num w:numId="74">
    <w:abstractNumId w:val="331"/>
  </w:num>
  <w:num w:numId="75">
    <w:abstractNumId w:val="222"/>
  </w:num>
  <w:num w:numId="76">
    <w:abstractNumId w:val="235"/>
  </w:num>
  <w:num w:numId="77">
    <w:abstractNumId w:val="115"/>
  </w:num>
  <w:num w:numId="78">
    <w:abstractNumId w:val="44"/>
  </w:num>
  <w:num w:numId="79">
    <w:abstractNumId w:val="307"/>
  </w:num>
  <w:num w:numId="80">
    <w:abstractNumId w:val="161"/>
  </w:num>
  <w:num w:numId="81">
    <w:abstractNumId w:val="158"/>
  </w:num>
  <w:num w:numId="82">
    <w:abstractNumId w:val="353"/>
  </w:num>
  <w:num w:numId="83">
    <w:abstractNumId w:val="342"/>
  </w:num>
  <w:num w:numId="84">
    <w:abstractNumId w:val="326"/>
  </w:num>
  <w:num w:numId="85">
    <w:abstractNumId w:val="179"/>
  </w:num>
  <w:num w:numId="86">
    <w:abstractNumId w:val="209"/>
  </w:num>
  <w:num w:numId="87">
    <w:abstractNumId w:val="355"/>
  </w:num>
  <w:num w:numId="88">
    <w:abstractNumId w:val="48"/>
  </w:num>
  <w:num w:numId="89">
    <w:abstractNumId w:val="148"/>
  </w:num>
  <w:num w:numId="90">
    <w:abstractNumId w:val="85"/>
  </w:num>
  <w:num w:numId="91">
    <w:abstractNumId w:val="368"/>
  </w:num>
  <w:num w:numId="92">
    <w:abstractNumId w:val="247"/>
  </w:num>
  <w:num w:numId="93">
    <w:abstractNumId w:val="164"/>
  </w:num>
  <w:num w:numId="94">
    <w:abstractNumId w:val="133"/>
  </w:num>
  <w:num w:numId="95">
    <w:abstractNumId w:val="217"/>
  </w:num>
  <w:num w:numId="96">
    <w:abstractNumId w:val="226"/>
  </w:num>
  <w:num w:numId="97">
    <w:abstractNumId w:val="61"/>
  </w:num>
  <w:num w:numId="98">
    <w:abstractNumId w:val="288"/>
  </w:num>
  <w:num w:numId="99">
    <w:abstractNumId w:val="141"/>
  </w:num>
  <w:num w:numId="100">
    <w:abstractNumId w:val="73"/>
  </w:num>
  <w:num w:numId="101">
    <w:abstractNumId w:val="181"/>
  </w:num>
  <w:num w:numId="102">
    <w:abstractNumId w:val="137"/>
  </w:num>
  <w:num w:numId="103">
    <w:abstractNumId w:val="362"/>
  </w:num>
  <w:num w:numId="104">
    <w:abstractNumId w:val="281"/>
  </w:num>
  <w:num w:numId="105">
    <w:abstractNumId w:val="135"/>
  </w:num>
  <w:num w:numId="106">
    <w:abstractNumId w:val="126"/>
  </w:num>
  <w:num w:numId="107">
    <w:abstractNumId w:val="162"/>
  </w:num>
  <w:num w:numId="108">
    <w:abstractNumId w:val="311"/>
  </w:num>
  <w:num w:numId="109">
    <w:abstractNumId w:val="54"/>
  </w:num>
  <w:num w:numId="110">
    <w:abstractNumId w:val="224"/>
  </w:num>
  <w:num w:numId="111">
    <w:abstractNumId w:val="337"/>
  </w:num>
  <w:num w:numId="112">
    <w:abstractNumId w:val="306"/>
  </w:num>
  <w:num w:numId="113">
    <w:abstractNumId w:val="103"/>
  </w:num>
  <w:num w:numId="114">
    <w:abstractNumId w:val="96"/>
  </w:num>
  <w:num w:numId="115">
    <w:abstractNumId w:val="361"/>
  </w:num>
  <w:num w:numId="116">
    <w:abstractNumId w:val="234"/>
  </w:num>
  <w:num w:numId="117">
    <w:abstractNumId w:val="37"/>
  </w:num>
  <w:num w:numId="118">
    <w:abstractNumId w:val="56"/>
  </w:num>
  <w:num w:numId="119">
    <w:abstractNumId w:val="15"/>
  </w:num>
  <w:num w:numId="120">
    <w:abstractNumId w:val="344"/>
  </w:num>
  <w:num w:numId="121">
    <w:abstractNumId w:val="218"/>
  </w:num>
  <w:num w:numId="122">
    <w:abstractNumId w:val="27"/>
  </w:num>
  <w:num w:numId="123">
    <w:abstractNumId w:val="92"/>
  </w:num>
  <w:num w:numId="124">
    <w:abstractNumId w:val="243"/>
  </w:num>
  <w:num w:numId="125">
    <w:abstractNumId w:val="318"/>
  </w:num>
  <w:num w:numId="126">
    <w:abstractNumId w:val="145"/>
  </w:num>
  <w:num w:numId="127">
    <w:abstractNumId w:val="196"/>
  </w:num>
  <w:num w:numId="128">
    <w:abstractNumId w:val="80"/>
  </w:num>
  <w:num w:numId="129">
    <w:abstractNumId w:val="109"/>
  </w:num>
  <w:num w:numId="130">
    <w:abstractNumId w:val="87"/>
  </w:num>
  <w:num w:numId="131">
    <w:abstractNumId w:val="7"/>
  </w:num>
  <w:num w:numId="132">
    <w:abstractNumId w:val="5"/>
  </w:num>
  <w:num w:numId="133">
    <w:abstractNumId w:val="4"/>
  </w:num>
  <w:num w:numId="134">
    <w:abstractNumId w:val="3"/>
  </w:num>
  <w:num w:numId="13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6"/>
  </w:num>
  <w:num w:numId="137">
    <w:abstractNumId w:val="2"/>
  </w:num>
  <w:num w:numId="138">
    <w:abstractNumId w:val="1"/>
  </w:num>
  <w:num w:numId="139">
    <w:abstractNumId w:val="0"/>
  </w:num>
  <w:num w:numId="140">
    <w:abstractNumId w:val="275"/>
  </w:num>
  <w:num w:numId="141">
    <w:abstractNumId w:val="195"/>
  </w:num>
  <w:num w:numId="142">
    <w:abstractNumId w:val="312"/>
  </w:num>
  <w:num w:numId="143">
    <w:abstractNumId w:val="127"/>
  </w:num>
  <w:num w:numId="144">
    <w:abstractNumId w:val="197"/>
  </w:num>
  <w:num w:numId="145">
    <w:abstractNumId w:val="302"/>
  </w:num>
  <w:num w:numId="146">
    <w:abstractNumId w:val="79"/>
  </w:num>
  <w:num w:numId="147">
    <w:abstractNumId w:val="203"/>
  </w:num>
  <w:num w:numId="148">
    <w:abstractNumId w:val="266"/>
  </w:num>
  <w:num w:numId="149">
    <w:abstractNumId w:val="269"/>
  </w:num>
  <w:num w:numId="150">
    <w:abstractNumId w:val="125"/>
  </w:num>
  <w:num w:numId="151">
    <w:abstractNumId w:val="250"/>
  </w:num>
  <w:num w:numId="152">
    <w:abstractNumId w:val="365"/>
  </w:num>
  <w:num w:numId="153">
    <w:abstractNumId w:val="60"/>
  </w:num>
  <w:num w:numId="154">
    <w:abstractNumId w:val="273"/>
  </w:num>
  <w:num w:numId="155">
    <w:abstractNumId w:val="204"/>
  </w:num>
  <w:num w:numId="156">
    <w:abstractNumId w:val="317"/>
  </w:num>
  <w:num w:numId="157">
    <w:abstractNumId w:val="188"/>
  </w:num>
  <w:num w:numId="158">
    <w:abstractNumId w:val="26"/>
  </w:num>
  <w:num w:numId="159">
    <w:abstractNumId w:val="97"/>
  </w:num>
  <w:num w:numId="160">
    <w:abstractNumId w:val="31"/>
  </w:num>
  <w:num w:numId="161">
    <w:abstractNumId w:val="69"/>
  </w:num>
  <w:num w:numId="162">
    <w:abstractNumId w:val="134"/>
  </w:num>
  <w:num w:numId="163">
    <w:abstractNumId w:val="249"/>
  </w:num>
  <w:num w:numId="164">
    <w:abstractNumId w:val="320"/>
  </w:num>
  <w:num w:numId="165">
    <w:abstractNumId w:val="32"/>
  </w:num>
  <w:num w:numId="166">
    <w:abstractNumId w:val="225"/>
  </w:num>
  <w:num w:numId="167">
    <w:abstractNumId w:val="332"/>
  </w:num>
  <w:num w:numId="168">
    <w:abstractNumId w:val="153"/>
  </w:num>
  <w:num w:numId="169">
    <w:abstractNumId w:val="177"/>
  </w:num>
  <w:num w:numId="170">
    <w:abstractNumId w:val="303"/>
  </w:num>
  <w:num w:numId="171">
    <w:abstractNumId w:val="33"/>
  </w:num>
  <w:num w:numId="172">
    <w:abstractNumId w:val="114"/>
  </w:num>
  <w:num w:numId="173">
    <w:abstractNumId w:val="187"/>
  </w:num>
  <w:num w:numId="174">
    <w:abstractNumId w:val="38"/>
  </w:num>
  <w:num w:numId="175">
    <w:abstractNumId w:val="131"/>
  </w:num>
  <w:num w:numId="176">
    <w:abstractNumId w:val="291"/>
  </w:num>
  <w:num w:numId="177">
    <w:abstractNumId w:val="301"/>
  </w:num>
  <w:num w:numId="178">
    <w:abstractNumId w:val="254"/>
  </w:num>
  <w:num w:numId="179">
    <w:abstractNumId w:val="169"/>
  </w:num>
  <w:num w:numId="180">
    <w:abstractNumId w:val="128"/>
  </w:num>
  <w:num w:numId="181">
    <w:abstractNumId w:val="328"/>
  </w:num>
  <w:num w:numId="182">
    <w:abstractNumId w:val="157"/>
  </w:num>
  <w:num w:numId="183">
    <w:abstractNumId w:val="274"/>
  </w:num>
  <w:num w:numId="184">
    <w:abstractNumId w:val="49"/>
  </w:num>
  <w:num w:numId="185">
    <w:abstractNumId w:val="268"/>
  </w:num>
  <w:num w:numId="186">
    <w:abstractNumId w:val="138"/>
  </w:num>
  <w:num w:numId="187">
    <w:abstractNumId w:val="345"/>
  </w:num>
  <w:num w:numId="188">
    <w:abstractNumId w:val="67"/>
  </w:num>
  <w:num w:numId="189">
    <w:abstractNumId w:val="99"/>
  </w:num>
  <w:num w:numId="190">
    <w:abstractNumId w:val="28"/>
  </w:num>
  <w:num w:numId="191">
    <w:abstractNumId w:val="330"/>
  </w:num>
  <w:num w:numId="192">
    <w:abstractNumId w:val="205"/>
  </w:num>
  <w:num w:numId="193">
    <w:abstractNumId w:val="46"/>
  </w:num>
  <w:num w:numId="194">
    <w:abstractNumId w:val="363"/>
  </w:num>
  <w:num w:numId="195">
    <w:abstractNumId w:val="183"/>
  </w:num>
  <w:num w:numId="196">
    <w:abstractNumId w:val="108"/>
  </w:num>
  <w:num w:numId="197">
    <w:abstractNumId w:val="23"/>
  </w:num>
  <w:num w:numId="198">
    <w:abstractNumId w:val="101"/>
  </w:num>
  <w:num w:numId="199">
    <w:abstractNumId w:val="321"/>
  </w:num>
  <w:num w:numId="200">
    <w:abstractNumId w:val="215"/>
  </w:num>
  <w:num w:numId="201">
    <w:abstractNumId w:val="22"/>
  </w:num>
  <w:num w:numId="202">
    <w:abstractNumId w:val="190"/>
  </w:num>
  <w:num w:numId="20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02"/>
  </w:num>
  <w:num w:numId="205">
    <w:abstractNumId w:val="258"/>
  </w:num>
  <w:num w:numId="206">
    <w:abstractNumId w:val="10"/>
  </w:num>
  <w:num w:numId="207">
    <w:abstractNumId w:val="257"/>
  </w:num>
  <w:num w:numId="208">
    <w:abstractNumId w:val="323"/>
  </w:num>
  <w:num w:numId="209">
    <w:abstractNumId w:val="354"/>
  </w:num>
  <w:num w:numId="210">
    <w:abstractNumId w:val="294"/>
  </w:num>
  <w:num w:numId="211">
    <w:abstractNumId w:val="309"/>
  </w:num>
  <w:num w:numId="212">
    <w:abstractNumId w:val="286"/>
  </w:num>
  <w:num w:numId="213">
    <w:abstractNumId w:val="90"/>
  </w:num>
  <w:num w:numId="214">
    <w:abstractNumId w:val="53"/>
  </w:num>
  <w:num w:numId="215">
    <w:abstractNumId w:val="166"/>
  </w:num>
  <w:num w:numId="216">
    <w:abstractNumId w:val="324"/>
  </w:num>
  <w:num w:numId="217">
    <w:abstractNumId w:val="284"/>
  </w:num>
  <w:num w:numId="218">
    <w:abstractNumId w:val="360"/>
  </w:num>
  <w:num w:numId="219">
    <w:abstractNumId w:val="63"/>
  </w:num>
  <w:num w:numId="220">
    <w:abstractNumId w:val="358"/>
  </w:num>
  <w:num w:numId="221">
    <w:abstractNumId w:val="89"/>
  </w:num>
  <w:num w:numId="222">
    <w:abstractNumId w:val="253"/>
  </w:num>
  <w:num w:numId="223">
    <w:abstractNumId w:val="24"/>
  </w:num>
  <w:num w:numId="224">
    <w:abstractNumId w:val="91"/>
  </w:num>
  <w:num w:numId="225">
    <w:abstractNumId w:val="223"/>
  </w:num>
  <w:num w:numId="226">
    <w:abstractNumId w:val="189"/>
  </w:num>
  <w:num w:numId="227">
    <w:abstractNumId w:val="261"/>
  </w:num>
  <w:num w:numId="228">
    <w:abstractNumId w:val="276"/>
  </w:num>
  <w:num w:numId="229">
    <w:abstractNumId w:val="86"/>
  </w:num>
  <w:num w:numId="230">
    <w:abstractNumId w:val="29"/>
  </w:num>
  <w:num w:numId="231">
    <w:abstractNumId w:val="155"/>
  </w:num>
  <w:num w:numId="232">
    <w:abstractNumId w:val="214"/>
  </w:num>
  <w:num w:numId="233">
    <w:abstractNumId w:val="270"/>
  </w:num>
  <w:num w:numId="234">
    <w:abstractNumId w:val="68"/>
  </w:num>
  <w:num w:numId="235">
    <w:abstractNumId w:val="264"/>
  </w:num>
  <w:num w:numId="236">
    <w:abstractNumId w:val="88"/>
  </w:num>
  <w:num w:numId="237">
    <w:abstractNumId w:val="167"/>
  </w:num>
  <w:num w:numId="238">
    <w:abstractNumId w:val="272"/>
  </w:num>
  <w:num w:numId="239">
    <w:abstractNumId w:val="259"/>
  </w:num>
  <w:num w:numId="240">
    <w:abstractNumId w:val="233"/>
  </w:num>
  <w:num w:numId="241">
    <w:abstractNumId w:val="154"/>
  </w:num>
  <w:num w:numId="242">
    <w:abstractNumId w:val="40"/>
  </w:num>
  <w:num w:numId="243">
    <w:abstractNumId w:val="146"/>
  </w:num>
  <w:num w:numId="244">
    <w:abstractNumId w:val="364"/>
  </w:num>
  <w:num w:numId="245">
    <w:abstractNumId w:val="339"/>
  </w:num>
  <w:num w:numId="246">
    <w:abstractNumId w:val="82"/>
  </w:num>
  <w:num w:numId="247">
    <w:abstractNumId w:val="336"/>
  </w:num>
  <w:num w:numId="248">
    <w:abstractNumId w:val="325"/>
  </w:num>
  <w:num w:numId="249">
    <w:abstractNumId w:val="308"/>
  </w:num>
  <w:num w:numId="250">
    <w:abstractNumId w:val="9"/>
  </w:num>
  <w:num w:numId="251">
    <w:abstractNumId w:val="124"/>
  </w:num>
  <w:num w:numId="252">
    <w:abstractNumId w:val="150"/>
  </w:num>
  <w:num w:numId="253">
    <w:abstractNumId w:val="256"/>
  </w:num>
  <w:num w:numId="254">
    <w:abstractNumId w:val="172"/>
  </w:num>
  <w:num w:numId="255">
    <w:abstractNumId w:val="84"/>
  </w:num>
  <w:num w:numId="256">
    <w:abstractNumId w:val="8"/>
  </w:num>
  <w:num w:numId="257">
    <w:abstractNumId w:val="304"/>
  </w:num>
  <w:num w:numId="258">
    <w:abstractNumId w:val="11"/>
  </w:num>
  <w:num w:numId="259">
    <w:abstractNumId w:val="116"/>
  </w:num>
  <w:num w:numId="260">
    <w:abstractNumId w:val="75"/>
  </w:num>
  <w:num w:numId="261">
    <w:abstractNumId w:val="356"/>
  </w:num>
  <w:num w:numId="262">
    <w:abstractNumId w:val="315"/>
  </w:num>
  <w:num w:numId="263">
    <w:abstractNumId w:val="170"/>
  </w:num>
  <w:num w:numId="264">
    <w:abstractNumId w:val="62"/>
  </w:num>
  <w:num w:numId="265">
    <w:abstractNumId w:val="221"/>
  </w:num>
  <w:num w:numId="266">
    <w:abstractNumId w:val="333"/>
  </w:num>
  <w:num w:numId="267">
    <w:abstractNumId w:val="123"/>
  </w:num>
  <w:num w:numId="268">
    <w:abstractNumId w:val="263"/>
  </w:num>
  <w:num w:numId="269">
    <w:abstractNumId w:val="371"/>
  </w:num>
  <w:num w:numId="270">
    <w:abstractNumId w:val="329"/>
  </w:num>
  <w:num w:numId="271">
    <w:abstractNumId w:val="50"/>
  </w:num>
  <w:num w:numId="272">
    <w:abstractNumId w:val="349"/>
  </w:num>
  <w:num w:numId="273">
    <w:abstractNumId w:val="13"/>
  </w:num>
  <w:num w:numId="274">
    <w:abstractNumId w:val="230"/>
  </w:num>
  <w:num w:numId="275">
    <w:abstractNumId w:val="35"/>
  </w:num>
  <w:num w:numId="276">
    <w:abstractNumId w:val="76"/>
  </w:num>
  <w:num w:numId="277">
    <w:abstractNumId w:val="219"/>
  </w:num>
  <w:num w:numId="278">
    <w:abstractNumId w:val="105"/>
  </w:num>
  <w:num w:numId="279">
    <w:abstractNumId w:val="246"/>
  </w:num>
  <w:num w:numId="280">
    <w:abstractNumId w:val="36"/>
  </w:num>
  <w:num w:numId="281">
    <w:abstractNumId w:val="292"/>
  </w:num>
  <w:num w:numId="282">
    <w:abstractNumId w:val="298"/>
  </w:num>
  <w:num w:numId="283">
    <w:abstractNumId w:val="110"/>
  </w:num>
  <w:num w:numId="284">
    <w:abstractNumId w:val="93"/>
  </w:num>
  <w:num w:numId="285">
    <w:abstractNumId w:val="45"/>
  </w:num>
  <w:num w:numId="286">
    <w:abstractNumId w:val="55"/>
  </w:num>
  <w:num w:numId="287">
    <w:abstractNumId w:val="143"/>
  </w:num>
  <w:num w:numId="288">
    <w:abstractNumId w:val="186"/>
  </w:num>
  <w:num w:numId="289">
    <w:abstractNumId w:val="81"/>
  </w:num>
  <w:num w:numId="290">
    <w:abstractNumId w:val="113"/>
  </w:num>
  <w:num w:numId="291">
    <w:abstractNumId w:val="77"/>
  </w:num>
  <w:num w:numId="292">
    <w:abstractNumId w:val="182"/>
  </w:num>
  <w:num w:numId="293">
    <w:abstractNumId w:val="210"/>
  </w:num>
  <w:num w:numId="294">
    <w:abstractNumId w:val="277"/>
  </w:num>
  <w:num w:numId="295">
    <w:abstractNumId w:val="213"/>
  </w:num>
  <w:num w:numId="296">
    <w:abstractNumId w:val="64"/>
  </w:num>
  <w:num w:numId="297">
    <w:abstractNumId w:val="338"/>
  </w:num>
  <w:num w:numId="298">
    <w:abstractNumId w:val="229"/>
  </w:num>
  <w:num w:numId="299">
    <w:abstractNumId w:val="178"/>
  </w:num>
  <w:num w:numId="300">
    <w:abstractNumId w:val="208"/>
  </w:num>
  <w:num w:numId="301">
    <w:abstractNumId w:val="227"/>
  </w:num>
  <w:num w:numId="302">
    <w:abstractNumId w:val="118"/>
  </w:num>
  <w:num w:numId="303">
    <w:abstractNumId w:val="322"/>
  </w:num>
  <w:num w:numId="304">
    <w:abstractNumId w:val="373"/>
  </w:num>
  <w:num w:numId="305">
    <w:abstractNumId w:val="231"/>
  </w:num>
  <w:num w:numId="306">
    <w:abstractNumId w:val="351"/>
  </w:num>
  <w:num w:numId="307">
    <w:abstractNumId w:val="285"/>
  </w:num>
  <w:num w:numId="308">
    <w:abstractNumId w:val="168"/>
  </w:num>
  <w:num w:numId="309">
    <w:abstractNumId w:val="372"/>
  </w:num>
  <w:num w:numId="310">
    <w:abstractNumId w:val="175"/>
  </w:num>
  <w:num w:numId="311">
    <w:abstractNumId w:val="192"/>
  </w:num>
  <w:num w:numId="312">
    <w:abstractNumId w:val="212"/>
  </w:num>
  <w:num w:numId="313">
    <w:abstractNumId w:val="191"/>
  </w:num>
  <w:num w:numId="314">
    <w:abstractNumId w:val="220"/>
  </w:num>
  <w:num w:numId="315">
    <w:abstractNumId w:val="228"/>
  </w:num>
  <w:num w:numId="316">
    <w:abstractNumId w:val="346"/>
  </w:num>
  <w:num w:numId="317">
    <w:abstractNumId w:val="282"/>
  </w:num>
  <w:num w:numId="318">
    <w:abstractNumId w:val="244"/>
  </w:num>
  <w:num w:numId="319">
    <w:abstractNumId w:val="236"/>
  </w:num>
  <w:num w:numId="320">
    <w:abstractNumId w:val="296"/>
  </w:num>
  <w:num w:numId="321">
    <w:abstractNumId w:val="279"/>
  </w:num>
  <w:num w:numId="322">
    <w:abstractNumId w:val="319"/>
  </w:num>
  <w:num w:numId="323">
    <w:abstractNumId w:val="289"/>
  </w:num>
  <w:num w:numId="324">
    <w:abstractNumId w:val="104"/>
  </w:num>
  <w:num w:numId="325">
    <w:abstractNumId w:val="149"/>
  </w:num>
  <w:num w:numId="326">
    <w:abstractNumId w:val="194"/>
  </w:num>
  <w:num w:numId="327">
    <w:abstractNumId w:val="252"/>
  </w:num>
  <w:num w:numId="328">
    <w:abstractNumId w:val="121"/>
  </w:num>
  <w:num w:numId="329">
    <w:abstractNumId w:val="17"/>
  </w:num>
  <w:num w:numId="330">
    <w:abstractNumId w:val="216"/>
  </w:num>
  <w:num w:numId="331">
    <w:abstractNumId w:val="51"/>
  </w:num>
  <w:num w:numId="332">
    <w:abstractNumId w:val="265"/>
  </w:num>
  <w:num w:numId="333">
    <w:abstractNumId w:val="142"/>
  </w:num>
  <w:num w:numId="334">
    <w:abstractNumId w:val="290"/>
  </w:num>
  <w:num w:numId="335">
    <w:abstractNumId w:val="94"/>
  </w:num>
  <w:num w:numId="336">
    <w:abstractNumId w:val="341"/>
  </w:num>
  <w:num w:numId="337">
    <w:abstractNumId w:val="78"/>
  </w:num>
  <w:num w:numId="338">
    <w:abstractNumId w:val="47"/>
  </w:num>
  <w:num w:numId="339">
    <w:abstractNumId w:val="370"/>
  </w:num>
  <w:num w:numId="340">
    <w:abstractNumId w:val="173"/>
  </w:num>
  <w:num w:numId="341">
    <w:abstractNumId w:val="74"/>
  </w:num>
  <w:num w:numId="342">
    <w:abstractNumId w:val="193"/>
  </w:num>
  <w:num w:numId="343">
    <w:abstractNumId w:val="43"/>
  </w:num>
  <w:num w:numId="344">
    <w:abstractNumId w:val="42"/>
  </w:num>
  <w:num w:numId="345">
    <w:abstractNumId w:val="260"/>
  </w:num>
  <w:num w:numId="346">
    <w:abstractNumId w:val="140"/>
  </w:num>
  <w:num w:numId="347">
    <w:abstractNumId w:val="310"/>
  </w:num>
  <w:num w:numId="348">
    <w:abstractNumId w:val="283"/>
  </w:num>
  <w:num w:numId="349">
    <w:abstractNumId w:val="248"/>
  </w:num>
  <w:num w:numId="350">
    <w:abstractNumId w:val="359"/>
  </w:num>
  <w:num w:numId="351">
    <w:abstractNumId w:val="251"/>
  </w:num>
  <w:num w:numId="352">
    <w:abstractNumId w:val="117"/>
  </w:num>
  <w:num w:numId="353">
    <w:abstractNumId w:val="367"/>
  </w:num>
  <w:num w:numId="354">
    <w:abstractNumId w:val="107"/>
  </w:num>
  <w:num w:numId="355">
    <w:abstractNumId w:val="242"/>
  </w:num>
  <w:num w:numId="356">
    <w:abstractNumId w:val="176"/>
  </w:num>
  <w:num w:numId="357">
    <w:abstractNumId w:val="20"/>
  </w:num>
  <w:num w:numId="358">
    <w:abstractNumId w:val="14"/>
  </w:num>
  <w:num w:numId="359">
    <w:abstractNumId w:val="327"/>
  </w:num>
  <w:num w:numId="360">
    <w:abstractNumId w:val="171"/>
  </w:num>
  <w:num w:numId="361">
    <w:abstractNumId w:val="152"/>
  </w:num>
  <w:num w:numId="362">
    <w:abstractNumId w:val="184"/>
  </w:num>
  <w:num w:numId="363">
    <w:abstractNumId w:val="52"/>
  </w:num>
  <w:num w:numId="364">
    <w:abstractNumId w:val="144"/>
  </w:num>
  <w:num w:numId="365">
    <w:abstractNumId w:val="350"/>
  </w:num>
  <w:num w:numId="366">
    <w:abstractNumId w:val="71"/>
  </w:num>
  <w:num w:numId="367">
    <w:abstractNumId w:val="83"/>
  </w:num>
  <w:num w:numId="368">
    <w:abstractNumId w:val="207"/>
  </w:num>
  <w:num w:numId="369">
    <w:abstractNumId w:val="206"/>
  </w:num>
  <w:num w:numId="370">
    <w:abstractNumId w:val="16"/>
  </w:num>
  <w:num w:numId="371">
    <w:abstractNumId w:val="58"/>
  </w:num>
  <w:num w:numId="372">
    <w:abstractNumId w:val="98"/>
  </w:num>
  <w:num w:numId="373">
    <w:abstractNumId w:val="293"/>
  </w:num>
  <w:num w:numId="374">
    <w:abstractNumId w:val="57"/>
  </w:num>
  <w:numIdMacAtCleanup w:val="3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activeWritingStyle w:appName="MSWord" w:lang="en-GB" w:vendorID="64" w:dllVersion="6" w:nlCheck="1" w:checkStyle="1"/>
  <w:activeWritingStyle w:appName="MSWord" w:lang="fr-FR" w:vendorID="64" w:dllVersion="0" w:nlCheck="1" w:checkStyle="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list_Path" w:val="\\at100\user\wk\SEILEG\DocuWrite\Copylist\Template"/>
    <w:docVar w:name="Council" w:val="true"/>
    <w:docVar w:name="DocStatus" w:val="Green"/>
    <w:docVar w:name="DocuWriteMetaData" w:val="&lt;metadataset docuwriteversion=&quot;4.6.7&quot; technicalblockguid=&quot;5710894743792309450&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26&quot; text=&quot;LEGISLATIVE ACTS AND OTHER INSTRUMENTS: CORRIGENDUM/RECTIFICATIF&quot; /&gt;_x000d__x000a_    &lt;/basicdatatype&gt;_x000d__x000a_  &lt;/metadata&gt;_x000d__x000a_  &lt;metadata key=&quot;md_HeadingText&quot;&gt;_x000d__x000a_    &lt;headingtext text=&quot;LEGISLATIVE ACTS AND OTHER INSTRUMENTS: CORRIGENDUM/RECTIFICATIF&quot;&gt;_x000d__x000a_      &lt;formattedtext&gt;_x000d__x000a_        &lt;xaml text=&quot;LEGISLATIVE ACTS AND OTHER INSTRUMENTS: CORRIGENDUM/RECTIFICATIF&quot;&gt;&amp;lt;FlowDocument xmlns=&quot;http://schemas.microsoft.com/winfx/2006/xaml/presentation&quot;&amp;gt;&amp;lt;Paragraph&amp;gt;LEGISLATIVE ACTS AND OTHER INSTRUMENTS: CORRIGENDUM/RECTIFICATIF&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GName&quot; /&gt;_x000d__x000a_  &lt;metadata key=&quot;md_ContributingService&quot;&gt;_x000d__x000a_    &lt;text&gt;&lt;/text&gt;_x000d__x000a_  &lt;/metadata&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2-06-09&lt;/text&gt;_x000d__x000a_  &lt;/metadata&gt;_x000d__x000a_  &lt;metadata key=&quot;md_Prefix&quot;&gt;_x000d__x000a_    &lt;text&gt;&lt;/text&gt;_x000d__x000a_  &lt;/metadata&gt;_x000d__x000a_  &lt;metadata key=&quot;md_DocumentNumber&quot;&gt;_x000d__x000a_    &lt;text&gt;8391&lt;/text&gt;_x000d__x000a_  &lt;/metadata&gt;_x000d__x000a_  &lt;metadata key=&quot;md_YearDocumentNumber&quot;&gt;_x000d__x000a_    &lt;text&gt;2022&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JUR 253&lt;/text&gt;_x000d__x000a_      &lt;text&gt;ECOFIN 367&lt;/text&gt;_x000d__x000a_      &lt;text&gt;CADREFIN 57&lt;/text&gt;_x000d__x000a_      &lt;text&gt;UEM 79&lt;/text&gt;_x000d__x000a_      &lt;text&gt;FIN 46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21/0245 (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Annex to the Council Implementing Decision on the approval of the assessment of the recovery and resilience plan for Czechia&quot;&gt;&amp;lt;FlowDocument FontFamily=&quot;Segoe UI&quot; FontSize=&quot;12&quot; LineHeight=&quot;6&quot; PageWidth=&quot;329&quot; PagePadding=&quot;5,0,5,0&quot; AllowDrop=&quot;False&quot; xmlns=&quot;http://schemas.microsoft.com/winfx/2006/xaml/presentation&quot;&amp;gt;&amp;lt;Paragraph LineHeight=&quot;6&quot; FontFamily=&quot;Arial Unicode MS&quot; FontSize=&quot;12&quot;&amp;gt;A&amp;lt;Run xml:lang=&quot;fr-be&quot;&amp;gt;nnex&amp;lt;/Run&amp;gt; to the Council Implementing Decision on the approval of the assessment of the recovery and resilience plan for Czechia&amp;lt;/Paragraph&amp;gt;&amp;lt;/FlowDocument&amp;gt;&lt;/xaml&gt;_x000d__x000a_  &lt;/metadata&gt;_x000d__x000a_  &lt;metadata key=&quot;md_SubjectFootnote&quot; /&gt;_x000d__x000a_  &lt;metadata key=&quot;md_DG&quot;&gt;_x000d__x000a_    &lt;text&gt;JUR.7&lt;/text&gt;_x000d__x000a_  &lt;/metadata&gt;_x000d__x000a_  &lt;metadata key=&quot;md_Initials&quot;&gt;_x000d__x000a_    &lt;text&gt;&lt;/text&gt;_x000d__x000a_  &lt;/metadata&gt;_x000d__x000a_  &lt;metadata key=&quot;md_RectifProcedureType&quot;&gt;_x000d__x000a_    &lt;basicdatatype&gt;_x000d__x000a_      &lt;rectifprocedure key=&quot;rect_proc_2c&quot; text=&quot;Procedure 2c)&quot; /&gt;_x000d__x000a_    &lt;/basicdatatype&gt;_x000d__x000a_  &lt;/metadata&gt;_x000d__x000a_  &lt;metadata key=&quot;md_RectifLanguagesBase&quot;&gt;_x000d__x000a_    &lt;text&gt;24&lt;/text&gt;_x000d__x000a_  &lt;/metadata&gt;_x000d__x000a_  &lt;metadata key=&quot;md_RectifLanguagesConcerned&quot;&gt;_x000d__x000a_    &lt;text&gt;;BG;ES;CS;DA;DE;ET;EL;EN;FR;HR;IT;LV;LT;HU;MT;NL;PL;PT;RO;SK;SL;FI;SV;&lt;/text&gt;_x000d__x000a_  &lt;/metadata&gt;_x000d__x000a_  &lt;metadata key=&quot;md_RectifIsLangSpec&quot;&gt;_x000d__x000a_    &lt;text&gt;true&lt;/text&gt;_x000d__x000a_  &lt;/metadata&gt;_x000d__x000a_  &lt;metadata key=&quot;md_RectifLangSpecValue&quot;&gt;_x000d__x000a_    &lt;text&gt;EN&lt;/text&gt;_x000d__x000a_  &lt;/metadata&gt;_x000d__x000a_  &lt;metadata key=&quot;md_RectifNumberOfMistakes&quot;&gt;_x000d__x000a_    &lt;text&gt;Num_More&lt;/text&gt;_x000d__x000a_  &lt;/metadata&gt;_x000d__x000a_  &lt;metadata key=&quot;md_RectifHasRemarks&quot;&gt;_x000d__x000a_    &lt;text&gt;False&lt;/text&gt;_x000d__x000a_  &lt;/metadata&gt;_x000d__x000a_  &lt;metadata key=&quot;md_RectifUseDocRef&quot;&gt;_x000d__x000a_    &lt;text&gt;True&lt;/text&gt;_x000d__x000a_  &lt;/metadata&gt;_x000d__x000a_  &lt;metadata key=&quot;md_RectifDocRefNumber&quot;&gt;_x000d__x000a_    &lt;text&gt;ST 11047/21 ADD 1&lt;/text&gt;_x000d__x000a_  &lt;/metadata&gt;_x000d__x000a_  &lt;metadata key=&quot;md_RectifDocRefDate&quot;&gt;_x000d__x000a_    &lt;text&gt;2021-08-31T00:00:00&lt;/text&gt;_x000d__x000a_  &lt;/metadata&gt;_x000d__x000a_  &lt;metadata key=&quot;md_RectifUseOJRef&quot;&gt;_x000d__x000a_    &lt;text&gt;False&lt;/text&gt;_x000d__x000a_  &lt;/metadata&gt;_x000d__x000a_  &lt;metadata key=&quot;md_RectifOJRefType&quot;&gt;_x000d__x000a_    &lt;text&gt;&lt;/text&gt;_x000d__x000a_  &lt;/metadata&gt;_x000d__x000a_  &lt;metadata key=&quot;md_RectifOJLRefNumber&quot; /&gt;_x000d__x000a_  &lt;metadata key=&quot;md_RectifOJCRefNumber&quot;&gt;_x000d__x000a_    &lt;text&gt;&lt;/text&gt;_x000d__x000a_  &lt;/metadata&gt;_x000d__x000a_  &lt;metadata key=&quot;md_RectifOJLRefDate&quot; /&gt;_x000d__x000a_  &lt;metadata key=&quot;md_RectifOJCRefDate&quot;&gt;_x000d__x000a_    &lt;text&gt;&lt;/text&gt;_x000d__x000a_  &lt;/metadata&gt;_x000d__x000a_  &lt;metadata key=&quot;md_RectifOJLRefPage&quot; /&gt;_x000d__x000a_  &lt;metadata key=&quot;md_RectifOJCRefPage&quot;&gt;_x000d__x000a_    &lt;text&gt;&lt;/text&gt;_x000d__x000a_  &lt;/metadata&gt;_x000d__x000a_  &lt;metadata key=&quot;md_RectifUseOJCorRef&quot;&gt;_x000d__x000a_    &lt;text&gt;False&lt;/text&gt;_x000d__x000a_  &lt;/metadata&gt;_x000d__x000a_  &lt;metadata key=&quot;md_RectifOJCorRefNumber&quot;&gt;_x000d__x000a_    &lt;text&gt;&lt;/text&gt;_x000d__x000a_  &lt;/metadata&gt;_x000d__x000a_  &lt;metadata key=&quot;md_RectifOJCorRefDate&quot;&gt;_x000d__x000a_    &lt;text&gt;&lt;/text&gt;_x000d__x000a_  &lt;/metadata&gt;_x000d__x000a_  &lt;metadata key=&quot;md_RectifOJCorRefPage&quot;&gt;_x000d__x000a_    &lt;text&gt;&lt;/text&gt;_x000d__x000a_  &lt;/metadata&gt;_x000d__x000a_  &lt;metadata key=&quot;md_RectifTimeLimit&quot;&gt;_x000d__x000a_    &lt;text&gt;8&lt;/text&gt;_x000d__x000a_  &lt;/metadata&gt;_x000d__x000a_  &lt;metadata key=&quot;md_RectifCodecision&quot;&gt;_x000d__x000a_    &lt;text&gt;False&lt;/text&gt;_x000d__x000a_  &lt;/metadata&gt;_x000d__x000a_  &lt;metadata key=&quot;md_RectifCorrectionNewLang&quot;&gt;_x000d__x000a_    &lt;text&gt;False&lt;/text&gt;_x000d__x000a_  &lt;/metadata&gt;_x000d__x000a_  &lt;metadata key=&quot;md_RectifAgreement&quot;&gt;_x000d__x000a_    &lt;text&gt;False&lt;/text&gt;_x000d__x000a_  &lt;/metadata&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2&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22&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NB5&quot; /&gt;_x000d__x000a_  &lt;metadata key=&quot;md_CustomNB&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Segoe UI&quot; FontSize=&quot;12&quot; PagePadding=&quot;2,2,2,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W_AutoOpen" w:val="True"/>
    <w:docVar w:name="DW_DocType" w:val="DW_RECTIF"/>
    <w:docVar w:name="LW_ACCOMPAGNANT.CP" w:val="de la "/>
    <w:docVar w:name="LW_ANNEX_NBR_FIRST" w:val="1"/>
    <w:docVar w:name="LW_ANNEX_NBR_LAST" w:val="1"/>
    <w:docVar w:name="LW_ANNEX_UNIQUE" w:val="1"/>
    <w:docVar w:name="LW_CORRIGENDUM" w:val="&lt;UNUSED&gt;"/>
    <w:docVar w:name="LW_COVERPAGE_EXISTS" w:val="True"/>
    <w:docVar w:name="LW_COVERPAGE_GUID" w:val="A2CECD4F-3C49-498B-A3AD-E2382AD7B2EA"/>
    <w:docVar w:name="LW_COVERPAGE_TYPE" w:val="1"/>
    <w:docVar w:name="LW_CROSSREFERENCE" w:val="{SWD(2023) 319 final}"/>
    <w:docVar w:name="LW_DocType" w:val="NORMAL"/>
    <w:docVar w:name="LW_EMISSION" w:val="26.9.2023"/>
    <w:docVar w:name="LW_EMISSION_ISODATE" w:val="2023-09-26"/>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modifiant la décision d’exécution (UE) (ST 11047/21 INIT; ST 11047/21 ADD 1; ST 11047/21 COR 1) du 8 septembre 2021 relative à l’approbation de l’évaluation du plan pour la reprise et la résilience pour la Tchéquie_x000d__x000d__x000d__x000d__x000b_"/>
    <w:docVar w:name="LW_PART_NBR" w:val="1"/>
    <w:docVar w:name="LW_PART_NBR_TOTAL" w:val="1"/>
    <w:docVar w:name="LW_REF.INST.NEW" w:val="COM"/>
    <w:docVar w:name="LW_REF.INST.NEW_ADOPTED" w:val="final"/>
    <w:docVar w:name="LW_REF.INST.NEW_TEXT" w:val="(2023) 5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_x000b_"/>
    <w:docVar w:name="LW_TYPEACTEPRINCIPAL.CP" w:val="proposition de DÉCISION D'EXÉCUTION DU CONSEIL_x000b_"/>
    <w:docVar w:name="LwApiVersions" w:val="LW4CoDe 1.23.2.0; LW 8.0, Build 20211117"/>
    <w:docVar w:name="VSSDB_IniPath" w:val="\\at100\user\wovo\SEILEG\vss\srcsafe.ini"/>
    <w:docVar w:name="VSSDB_ProjectPath" w:val="$/DocuWrite/DOT/DW_RECTIF"/>
  </w:docVars>
  <w:rsids>
    <w:rsidRoot w:val="00121F22"/>
    <w:rsid w:val="0000014D"/>
    <w:rsid w:val="00000247"/>
    <w:rsid w:val="00001085"/>
    <w:rsid w:val="000016BB"/>
    <w:rsid w:val="0000208B"/>
    <w:rsid w:val="000023F9"/>
    <w:rsid w:val="000025C7"/>
    <w:rsid w:val="00002B93"/>
    <w:rsid w:val="00002C3D"/>
    <w:rsid w:val="00002EBE"/>
    <w:rsid w:val="00002FD3"/>
    <w:rsid w:val="000035F1"/>
    <w:rsid w:val="0000362F"/>
    <w:rsid w:val="00003754"/>
    <w:rsid w:val="00003964"/>
    <w:rsid w:val="00004497"/>
    <w:rsid w:val="0000451F"/>
    <w:rsid w:val="00004606"/>
    <w:rsid w:val="000046C7"/>
    <w:rsid w:val="00004874"/>
    <w:rsid w:val="00004B28"/>
    <w:rsid w:val="00004E35"/>
    <w:rsid w:val="000050AD"/>
    <w:rsid w:val="00005353"/>
    <w:rsid w:val="0000542D"/>
    <w:rsid w:val="00005545"/>
    <w:rsid w:val="0000569D"/>
    <w:rsid w:val="00005AA7"/>
    <w:rsid w:val="00005B63"/>
    <w:rsid w:val="00005C86"/>
    <w:rsid w:val="00005CAF"/>
    <w:rsid w:val="00005EE8"/>
    <w:rsid w:val="00005F02"/>
    <w:rsid w:val="000060BC"/>
    <w:rsid w:val="00006269"/>
    <w:rsid w:val="00006327"/>
    <w:rsid w:val="00006433"/>
    <w:rsid w:val="000064B2"/>
    <w:rsid w:val="00006579"/>
    <w:rsid w:val="000068AD"/>
    <w:rsid w:val="000070BF"/>
    <w:rsid w:val="00007574"/>
    <w:rsid w:val="0000780C"/>
    <w:rsid w:val="0000E2A8"/>
    <w:rsid w:val="000107A0"/>
    <w:rsid w:val="0001178E"/>
    <w:rsid w:val="0001209F"/>
    <w:rsid w:val="0001235D"/>
    <w:rsid w:val="00012490"/>
    <w:rsid w:val="000126B2"/>
    <w:rsid w:val="000127F3"/>
    <w:rsid w:val="00012B1E"/>
    <w:rsid w:val="00012EBA"/>
    <w:rsid w:val="00012ECF"/>
    <w:rsid w:val="00013011"/>
    <w:rsid w:val="00013164"/>
    <w:rsid w:val="000139E8"/>
    <w:rsid w:val="0001407A"/>
    <w:rsid w:val="00014122"/>
    <w:rsid w:val="000143F7"/>
    <w:rsid w:val="000145B6"/>
    <w:rsid w:val="00014623"/>
    <w:rsid w:val="000147EC"/>
    <w:rsid w:val="000149A5"/>
    <w:rsid w:val="00014A8F"/>
    <w:rsid w:val="00014AEC"/>
    <w:rsid w:val="00014B90"/>
    <w:rsid w:val="00014C06"/>
    <w:rsid w:val="0001502E"/>
    <w:rsid w:val="000150A6"/>
    <w:rsid w:val="000151BC"/>
    <w:rsid w:val="00015994"/>
    <w:rsid w:val="00015DD6"/>
    <w:rsid w:val="0001615B"/>
    <w:rsid w:val="000165F1"/>
    <w:rsid w:val="00016A48"/>
    <w:rsid w:val="00016B79"/>
    <w:rsid w:val="00016D12"/>
    <w:rsid w:val="00016D30"/>
    <w:rsid w:val="000170E0"/>
    <w:rsid w:val="00017316"/>
    <w:rsid w:val="0001739D"/>
    <w:rsid w:val="000173C5"/>
    <w:rsid w:val="00017862"/>
    <w:rsid w:val="000179E4"/>
    <w:rsid w:val="00017C8E"/>
    <w:rsid w:val="00020216"/>
    <w:rsid w:val="000207B5"/>
    <w:rsid w:val="0002080A"/>
    <w:rsid w:val="00020CA6"/>
    <w:rsid w:val="00020D23"/>
    <w:rsid w:val="00020D7F"/>
    <w:rsid w:val="00021077"/>
    <w:rsid w:val="00021178"/>
    <w:rsid w:val="000212E2"/>
    <w:rsid w:val="0002188F"/>
    <w:rsid w:val="00021A6C"/>
    <w:rsid w:val="00021B99"/>
    <w:rsid w:val="00021FCA"/>
    <w:rsid w:val="00022523"/>
    <w:rsid w:val="00022789"/>
    <w:rsid w:val="000227C2"/>
    <w:rsid w:val="00022D6E"/>
    <w:rsid w:val="00022F54"/>
    <w:rsid w:val="00022F56"/>
    <w:rsid w:val="00022FA7"/>
    <w:rsid w:val="00022FE5"/>
    <w:rsid w:val="000230A9"/>
    <w:rsid w:val="0002369F"/>
    <w:rsid w:val="00023809"/>
    <w:rsid w:val="00023A77"/>
    <w:rsid w:val="00023A85"/>
    <w:rsid w:val="00023E0A"/>
    <w:rsid w:val="00023F80"/>
    <w:rsid w:val="000242A1"/>
    <w:rsid w:val="000245CE"/>
    <w:rsid w:val="00024615"/>
    <w:rsid w:val="00024B3A"/>
    <w:rsid w:val="00024C3D"/>
    <w:rsid w:val="00024EF3"/>
    <w:rsid w:val="00024F05"/>
    <w:rsid w:val="00024FB2"/>
    <w:rsid w:val="00025414"/>
    <w:rsid w:val="000254C9"/>
    <w:rsid w:val="00025543"/>
    <w:rsid w:val="000256E1"/>
    <w:rsid w:val="00025D66"/>
    <w:rsid w:val="00025F49"/>
    <w:rsid w:val="00025F72"/>
    <w:rsid w:val="0002600F"/>
    <w:rsid w:val="00026101"/>
    <w:rsid w:val="000261BA"/>
    <w:rsid w:val="00026674"/>
    <w:rsid w:val="000266B3"/>
    <w:rsid w:val="00026746"/>
    <w:rsid w:val="000267DF"/>
    <w:rsid w:val="00026AF7"/>
    <w:rsid w:val="00026BFE"/>
    <w:rsid w:val="00026FF7"/>
    <w:rsid w:val="000272CE"/>
    <w:rsid w:val="00027908"/>
    <w:rsid w:val="000307CF"/>
    <w:rsid w:val="00030816"/>
    <w:rsid w:val="00030AAD"/>
    <w:rsid w:val="00030AF7"/>
    <w:rsid w:val="00030CFA"/>
    <w:rsid w:val="000310FE"/>
    <w:rsid w:val="000312AE"/>
    <w:rsid w:val="000313B2"/>
    <w:rsid w:val="00031AEE"/>
    <w:rsid w:val="00031D15"/>
    <w:rsid w:val="00032215"/>
    <w:rsid w:val="00032291"/>
    <w:rsid w:val="000325A0"/>
    <w:rsid w:val="0003274E"/>
    <w:rsid w:val="000328FC"/>
    <w:rsid w:val="00032C56"/>
    <w:rsid w:val="0003300E"/>
    <w:rsid w:val="000330EF"/>
    <w:rsid w:val="00033594"/>
    <w:rsid w:val="000337AC"/>
    <w:rsid w:val="00033981"/>
    <w:rsid w:val="00033BDC"/>
    <w:rsid w:val="00033D05"/>
    <w:rsid w:val="00033E10"/>
    <w:rsid w:val="00033F33"/>
    <w:rsid w:val="000341C7"/>
    <w:rsid w:val="000342B5"/>
    <w:rsid w:val="00034447"/>
    <w:rsid w:val="00034526"/>
    <w:rsid w:val="0003455C"/>
    <w:rsid w:val="00034D47"/>
    <w:rsid w:val="00034FA0"/>
    <w:rsid w:val="00034FA2"/>
    <w:rsid w:val="000354EC"/>
    <w:rsid w:val="000355DE"/>
    <w:rsid w:val="000357B1"/>
    <w:rsid w:val="00035A89"/>
    <w:rsid w:val="00036063"/>
    <w:rsid w:val="00036066"/>
    <w:rsid w:val="000366F2"/>
    <w:rsid w:val="000367AA"/>
    <w:rsid w:val="00036889"/>
    <w:rsid w:val="000368DA"/>
    <w:rsid w:val="00036C3B"/>
    <w:rsid w:val="00036F58"/>
    <w:rsid w:val="00036FC6"/>
    <w:rsid w:val="00037544"/>
    <w:rsid w:val="00037BD7"/>
    <w:rsid w:val="00037D00"/>
    <w:rsid w:val="00037D07"/>
    <w:rsid w:val="00037ED5"/>
    <w:rsid w:val="00040084"/>
    <w:rsid w:val="00040248"/>
    <w:rsid w:val="000403D2"/>
    <w:rsid w:val="00040503"/>
    <w:rsid w:val="00040525"/>
    <w:rsid w:val="000405CE"/>
    <w:rsid w:val="00040AF6"/>
    <w:rsid w:val="00040B33"/>
    <w:rsid w:val="00041399"/>
    <w:rsid w:val="0004144E"/>
    <w:rsid w:val="000415DD"/>
    <w:rsid w:val="00041701"/>
    <w:rsid w:val="0004175B"/>
    <w:rsid w:val="0004191B"/>
    <w:rsid w:val="00041BDF"/>
    <w:rsid w:val="000421DE"/>
    <w:rsid w:val="0004236C"/>
    <w:rsid w:val="000423C9"/>
    <w:rsid w:val="00042CE5"/>
    <w:rsid w:val="00043134"/>
    <w:rsid w:val="000432E6"/>
    <w:rsid w:val="000436FC"/>
    <w:rsid w:val="0004374D"/>
    <w:rsid w:val="000438E4"/>
    <w:rsid w:val="00043B29"/>
    <w:rsid w:val="00043B91"/>
    <w:rsid w:val="0004421E"/>
    <w:rsid w:val="000442BD"/>
    <w:rsid w:val="000445E9"/>
    <w:rsid w:val="000449E8"/>
    <w:rsid w:val="00044A6B"/>
    <w:rsid w:val="00044C0B"/>
    <w:rsid w:val="00044CE3"/>
    <w:rsid w:val="00044E62"/>
    <w:rsid w:val="00044F9D"/>
    <w:rsid w:val="00045443"/>
    <w:rsid w:val="00045881"/>
    <w:rsid w:val="00045F60"/>
    <w:rsid w:val="00046082"/>
    <w:rsid w:val="00046150"/>
    <w:rsid w:val="0004656B"/>
    <w:rsid w:val="0004668D"/>
    <w:rsid w:val="000466F3"/>
    <w:rsid w:val="00046766"/>
    <w:rsid w:val="00046A98"/>
    <w:rsid w:val="00046AC9"/>
    <w:rsid w:val="000472B3"/>
    <w:rsid w:val="000472C6"/>
    <w:rsid w:val="0004732F"/>
    <w:rsid w:val="000473F3"/>
    <w:rsid w:val="0004743E"/>
    <w:rsid w:val="00047558"/>
    <w:rsid w:val="000477DF"/>
    <w:rsid w:val="00047FF3"/>
    <w:rsid w:val="000501D3"/>
    <w:rsid w:val="000504A4"/>
    <w:rsid w:val="000506B5"/>
    <w:rsid w:val="0005089A"/>
    <w:rsid w:val="00050BE6"/>
    <w:rsid w:val="00050EAE"/>
    <w:rsid w:val="00051341"/>
    <w:rsid w:val="00051486"/>
    <w:rsid w:val="00051501"/>
    <w:rsid w:val="000518CC"/>
    <w:rsid w:val="00051F7D"/>
    <w:rsid w:val="00052422"/>
    <w:rsid w:val="00052690"/>
    <w:rsid w:val="00052831"/>
    <w:rsid w:val="0005288A"/>
    <w:rsid w:val="000528E8"/>
    <w:rsid w:val="00052A2C"/>
    <w:rsid w:val="00052AB5"/>
    <w:rsid w:val="00052B9B"/>
    <w:rsid w:val="00052D27"/>
    <w:rsid w:val="000531ED"/>
    <w:rsid w:val="00053588"/>
    <w:rsid w:val="000535EF"/>
    <w:rsid w:val="00053BAC"/>
    <w:rsid w:val="000542CC"/>
    <w:rsid w:val="000543E1"/>
    <w:rsid w:val="00054496"/>
    <w:rsid w:val="00054709"/>
    <w:rsid w:val="000548E4"/>
    <w:rsid w:val="00054B5E"/>
    <w:rsid w:val="00054C3D"/>
    <w:rsid w:val="00054C3E"/>
    <w:rsid w:val="0005503F"/>
    <w:rsid w:val="00055218"/>
    <w:rsid w:val="00055271"/>
    <w:rsid w:val="000554EA"/>
    <w:rsid w:val="000557AF"/>
    <w:rsid w:val="000558A4"/>
    <w:rsid w:val="000558D1"/>
    <w:rsid w:val="000560A0"/>
    <w:rsid w:val="00056190"/>
    <w:rsid w:val="000561F0"/>
    <w:rsid w:val="000562A6"/>
    <w:rsid w:val="00056BF1"/>
    <w:rsid w:val="00056E60"/>
    <w:rsid w:val="00056EAE"/>
    <w:rsid w:val="00056F5B"/>
    <w:rsid w:val="000570A7"/>
    <w:rsid w:val="00057309"/>
    <w:rsid w:val="00057380"/>
    <w:rsid w:val="000575FD"/>
    <w:rsid w:val="000579BE"/>
    <w:rsid w:val="00057CEC"/>
    <w:rsid w:val="00057D4D"/>
    <w:rsid w:val="00060137"/>
    <w:rsid w:val="000604EB"/>
    <w:rsid w:val="00060651"/>
    <w:rsid w:val="00060B30"/>
    <w:rsid w:val="00060B94"/>
    <w:rsid w:val="00060CBF"/>
    <w:rsid w:val="00061108"/>
    <w:rsid w:val="00061124"/>
    <w:rsid w:val="000612C9"/>
    <w:rsid w:val="000612EE"/>
    <w:rsid w:val="0006132C"/>
    <w:rsid w:val="000613C4"/>
    <w:rsid w:val="00061454"/>
    <w:rsid w:val="00061815"/>
    <w:rsid w:val="00061833"/>
    <w:rsid w:val="00061B99"/>
    <w:rsid w:val="000621FB"/>
    <w:rsid w:val="00062385"/>
    <w:rsid w:val="0006260A"/>
    <w:rsid w:val="00062734"/>
    <w:rsid w:val="00062D40"/>
    <w:rsid w:val="00062F38"/>
    <w:rsid w:val="00062F74"/>
    <w:rsid w:val="000634DD"/>
    <w:rsid w:val="0006390C"/>
    <w:rsid w:val="00063A0A"/>
    <w:rsid w:val="00063A1D"/>
    <w:rsid w:val="00063DDA"/>
    <w:rsid w:val="000640CD"/>
    <w:rsid w:val="00064331"/>
    <w:rsid w:val="00064595"/>
    <w:rsid w:val="000645B4"/>
    <w:rsid w:val="000647A6"/>
    <w:rsid w:val="000648FA"/>
    <w:rsid w:val="000649B6"/>
    <w:rsid w:val="00064AD2"/>
    <w:rsid w:val="00064BDF"/>
    <w:rsid w:val="00064BF1"/>
    <w:rsid w:val="0006518D"/>
    <w:rsid w:val="000652E5"/>
    <w:rsid w:val="000655EE"/>
    <w:rsid w:val="0006569F"/>
    <w:rsid w:val="00065728"/>
    <w:rsid w:val="000658C3"/>
    <w:rsid w:val="00065928"/>
    <w:rsid w:val="00065AC7"/>
    <w:rsid w:val="00065ACC"/>
    <w:rsid w:val="00065BCD"/>
    <w:rsid w:val="00065C0E"/>
    <w:rsid w:val="00065D12"/>
    <w:rsid w:val="00066579"/>
    <w:rsid w:val="00066653"/>
    <w:rsid w:val="000666E4"/>
    <w:rsid w:val="0006687C"/>
    <w:rsid w:val="000669D7"/>
    <w:rsid w:val="00066A45"/>
    <w:rsid w:val="00066CD5"/>
    <w:rsid w:val="0006706A"/>
    <w:rsid w:val="0006740B"/>
    <w:rsid w:val="00067711"/>
    <w:rsid w:val="00067954"/>
    <w:rsid w:val="00067B05"/>
    <w:rsid w:val="00067E29"/>
    <w:rsid w:val="00067EFE"/>
    <w:rsid w:val="000704DA"/>
    <w:rsid w:val="00070692"/>
    <w:rsid w:val="00070C09"/>
    <w:rsid w:val="0007104D"/>
    <w:rsid w:val="00071147"/>
    <w:rsid w:val="000711E6"/>
    <w:rsid w:val="0007132C"/>
    <w:rsid w:val="00071346"/>
    <w:rsid w:val="0007152B"/>
    <w:rsid w:val="000716C6"/>
    <w:rsid w:val="00071B83"/>
    <w:rsid w:val="00071CAD"/>
    <w:rsid w:val="00071E14"/>
    <w:rsid w:val="00072123"/>
    <w:rsid w:val="000723F8"/>
    <w:rsid w:val="00072999"/>
    <w:rsid w:val="00072DB7"/>
    <w:rsid w:val="000731CE"/>
    <w:rsid w:val="00073241"/>
    <w:rsid w:val="000732A6"/>
    <w:rsid w:val="000732D4"/>
    <w:rsid w:val="00073550"/>
    <w:rsid w:val="000737B6"/>
    <w:rsid w:val="000738CE"/>
    <w:rsid w:val="000739E7"/>
    <w:rsid w:val="00073A93"/>
    <w:rsid w:val="00073E27"/>
    <w:rsid w:val="000741E3"/>
    <w:rsid w:val="00074362"/>
    <w:rsid w:val="0007438B"/>
    <w:rsid w:val="00075B1A"/>
    <w:rsid w:val="00075B43"/>
    <w:rsid w:val="00075F93"/>
    <w:rsid w:val="00076245"/>
    <w:rsid w:val="00076278"/>
    <w:rsid w:val="0007628F"/>
    <w:rsid w:val="00076310"/>
    <w:rsid w:val="00076394"/>
    <w:rsid w:val="0007660D"/>
    <w:rsid w:val="000766F1"/>
    <w:rsid w:val="00076ADD"/>
    <w:rsid w:val="00076D05"/>
    <w:rsid w:val="0007731B"/>
    <w:rsid w:val="00077856"/>
    <w:rsid w:val="00077B20"/>
    <w:rsid w:val="00080448"/>
    <w:rsid w:val="000805A8"/>
    <w:rsid w:val="00080709"/>
    <w:rsid w:val="0008096E"/>
    <w:rsid w:val="0008096F"/>
    <w:rsid w:val="00080A91"/>
    <w:rsid w:val="00080D7B"/>
    <w:rsid w:val="00081020"/>
    <w:rsid w:val="0008114C"/>
    <w:rsid w:val="000818AA"/>
    <w:rsid w:val="00081902"/>
    <w:rsid w:val="000819FF"/>
    <w:rsid w:val="00081B17"/>
    <w:rsid w:val="00081C7C"/>
    <w:rsid w:val="000821FF"/>
    <w:rsid w:val="000824B0"/>
    <w:rsid w:val="000824E1"/>
    <w:rsid w:val="00082763"/>
    <w:rsid w:val="000828E5"/>
    <w:rsid w:val="0008297F"/>
    <w:rsid w:val="00082CF1"/>
    <w:rsid w:val="00082D24"/>
    <w:rsid w:val="00082E75"/>
    <w:rsid w:val="00082F6D"/>
    <w:rsid w:val="000832E4"/>
    <w:rsid w:val="00083674"/>
    <w:rsid w:val="000839ED"/>
    <w:rsid w:val="00083A0A"/>
    <w:rsid w:val="00083C22"/>
    <w:rsid w:val="0008430C"/>
    <w:rsid w:val="00084460"/>
    <w:rsid w:val="00084732"/>
    <w:rsid w:val="000849CD"/>
    <w:rsid w:val="00084B37"/>
    <w:rsid w:val="00084F7D"/>
    <w:rsid w:val="00084F96"/>
    <w:rsid w:val="0008509F"/>
    <w:rsid w:val="000853E4"/>
    <w:rsid w:val="00085AC8"/>
    <w:rsid w:val="00085CD8"/>
    <w:rsid w:val="00085DC7"/>
    <w:rsid w:val="00085E23"/>
    <w:rsid w:val="00085E80"/>
    <w:rsid w:val="000861C1"/>
    <w:rsid w:val="00086A02"/>
    <w:rsid w:val="00086AEA"/>
    <w:rsid w:val="00086AF0"/>
    <w:rsid w:val="00086CB9"/>
    <w:rsid w:val="00086EFB"/>
    <w:rsid w:val="00087549"/>
    <w:rsid w:val="00087B64"/>
    <w:rsid w:val="0009000D"/>
    <w:rsid w:val="0009033F"/>
    <w:rsid w:val="000903FC"/>
    <w:rsid w:val="00090B03"/>
    <w:rsid w:val="00090C01"/>
    <w:rsid w:val="00090E5B"/>
    <w:rsid w:val="000911E4"/>
    <w:rsid w:val="0009129D"/>
    <w:rsid w:val="00091305"/>
    <w:rsid w:val="00091677"/>
    <w:rsid w:val="00091CD3"/>
    <w:rsid w:val="00091D29"/>
    <w:rsid w:val="00091E19"/>
    <w:rsid w:val="00092007"/>
    <w:rsid w:val="00092128"/>
    <w:rsid w:val="0009233C"/>
    <w:rsid w:val="000923E4"/>
    <w:rsid w:val="00092B63"/>
    <w:rsid w:val="00092D08"/>
    <w:rsid w:val="00092D80"/>
    <w:rsid w:val="00092DF9"/>
    <w:rsid w:val="00092E99"/>
    <w:rsid w:val="00093534"/>
    <w:rsid w:val="0009386F"/>
    <w:rsid w:val="000938AD"/>
    <w:rsid w:val="000940D6"/>
    <w:rsid w:val="000943F0"/>
    <w:rsid w:val="000949E6"/>
    <w:rsid w:val="00094A18"/>
    <w:rsid w:val="00094CEB"/>
    <w:rsid w:val="00094F64"/>
    <w:rsid w:val="0009500D"/>
    <w:rsid w:val="000952B5"/>
    <w:rsid w:val="00095900"/>
    <w:rsid w:val="00095DA6"/>
    <w:rsid w:val="00095F88"/>
    <w:rsid w:val="00096403"/>
    <w:rsid w:val="00096A4F"/>
    <w:rsid w:val="00096AA7"/>
    <w:rsid w:val="00096CF5"/>
    <w:rsid w:val="00096D8D"/>
    <w:rsid w:val="00096E98"/>
    <w:rsid w:val="00096EE8"/>
    <w:rsid w:val="00096F0F"/>
    <w:rsid w:val="000972C3"/>
    <w:rsid w:val="000972EA"/>
    <w:rsid w:val="000974AB"/>
    <w:rsid w:val="00097653"/>
    <w:rsid w:val="00097A53"/>
    <w:rsid w:val="00097E96"/>
    <w:rsid w:val="000A0425"/>
    <w:rsid w:val="000A04D0"/>
    <w:rsid w:val="000A0BEC"/>
    <w:rsid w:val="000A0C73"/>
    <w:rsid w:val="000A0D34"/>
    <w:rsid w:val="000A0DA3"/>
    <w:rsid w:val="000A0E66"/>
    <w:rsid w:val="000A12CE"/>
    <w:rsid w:val="000A152A"/>
    <w:rsid w:val="000A164D"/>
    <w:rsid w:val="000A17AD"/>
    <w:rsid w:val="000A1872"/>
    <w:rsid w:val="000A1B2A"/>
    <w:rsid w:val="000A1CE3"/>
    <w:rsid w:val="000A1E82"/>
    <w:rsid w:val="000A239E"/>
    <w:rsid w:val="000A2F34"/>
    <w:rsid w:val="000A3373"/>
    <w:rsid w:val="000A338F"/>
    <w:rsid w:val="000A37EE"/>
    <w:rsid w:val="000A3918"/>
    <w:rsid w:val="000A3CAA"/>
    <w:rsid w:val="000A4092"/>
    <w:rsid w:val="000A43E7"/>
    <w:rsid w:val="000A4904"/>
    <w:rsid w:val="000A493C"/>
    <w:rsid w:val="000A4B7F"/>
    <w:rsid w:val="000A4CBB"/>
    <w:rsid w:val="000A4EE8"/>
    <w:rsid w:val="000A4F1D"/>
    <w:rsid w:val="000A51FA"/>
    <w:rsid w:val="000A537E"/>
    <w:rsid w:val="000A53B8"/>
    <w:rsid w:val="000A55A5"/>
    <w:rsid w:val="000A55E6"/>
    <w:rsid w:val="000A56B3"/>
    <w:rsid w:val="000A5752"/>
    <w:rsid w:val="000A58F7"/>
    <w:rsid w:val="000A5FB8"/>
    <w:rsid w:val="000A61C9"/>
    <w:rsid w:val="000A62B3"/>
    <w:rsid w:val="000A6497"/>
    <w:rsid w:val="000A67C9"/>
    <w:rsid w:val="000A6A91"/>
    <w:rsid w:val="000A6AB0"/>
    <w:rsid w:val="000A70C2"/>
    <w:rsid w:val="000A754F"/>
    <w:rsid w:val="000A7F96"/>
    <w:rsid w:val="000B0ACE"/>
    <w:rsid w:val="000B0CBA"/>
    <w:rsid w:val="000B0D6F"/>
    <w:rsid w:val="000B187A"/>
    <w:rsid w:val="000B1C62"/>
    <w:rsid w:val="000B1DA2"/>
    <w:rsid w:val="000B209A"/>
    <w:rsid w:val="000B2341"/>
    <w:rsid w:val="000B2469"/>
    <w:rsid w:val="000B27C2"/>
    <w:rsid w:val="000B2CA1"/>
    <w:rsid w:val="000B2D15"/>
    <w:rsid w:val="000B2E01"/>
    <w:rsid w:val="000B322F"/>
    <w:rsid w:val="000B328D"/>
    <w:rsid w:val="000B383F"/>
    <w:rsid w:val="000B391F"/>
    <w:rsid w:val="000B3AC9"/>
    <w:rsid w:val="000B3AEA"/>
    <w:rsid w:val="000B3AF7"/>
    <w:rsid w:val="000B3B9C"/>
    <w:rsid w:val="000B41AC"/>
    <w:rsid w:val="000B434B"/>
    <w:rsid w:val="000B4833"/>
    <w:rsid w:val="000B4CF4"/>
    <w:rsid w:val="000B4F89"/>
    <w:rsid w:val="000B51AC"/>
    <w:rsid w:val="000B57C8"/>
    <w:rsid w:val="000B58BA"/>
    <w:rsid w:val="000B59FA"/>
    <w:rsid w:val="000B5D37"/>
    <w:rsid w:val="000B5DBE"/>
    <w:rsid w:val="000B5E53"/>
    <w:rsid w:val="000B5F72"/>
    <w:rsid w:val="000B5F90"/>
    <w:rsid w:val="000B60D0"/>
    <w:rsid w:val="000B6195"/>
    <w:rsid w:val="000B6944"/>
    <w:rsid w:val="000B69CB"/>
    <w:rsid w:val="000B6A19"/>
    <w:rsid w:val="000B6BBB"/>
    <w:rsid w:val="000B6E80"/>
    <w:rsid w:val="000B7073"/>
    <w:rsid w:val="000B7290"/>
    <w:rsid w:val="000B7464"/>
    <w:rsid w:val="000B7D20"/>
    <w:rsid w:val="000B7EFC"/>
    <w:rsid w:val="000C02AD"/>
    <w:rsid w:val="000C0313"/>
    <w:rsid w:val="000C03C5"/>
    <w:rsid w:val="000C0F0F"/>
    <w:rsid w:val="000C0FC8"/>
    <w:rsid w:val="000C117E"/>
    <w:rsid w:val="000C1382"/>
    <w:rsid w:val="000C1482"/>
    <w:rsid w:val="000C163F"/>
    <w:rsid w:val="000C16E2"/>
    <w:rsid w:val="000C1895"/>
    <w:rsid w:val="000C1DC5"/>
    <w:rsid w:val="000C204A"/>
    <w:rsid w:val="000C21F7"/>
    <w:rsid w:val="000C2426"/>
    <w:rsid w:val="000C33F8"/>
    <w:rsid w:val="000C3601"/>
    <w:rsid w:val="000C3618"/>
    <w:rsid w:val="000C3682"/>
    <w:rsid w:val="000C3797"/>
    <w:rsid w:val="000C3952"/>
    <w:rsid w:val="000C3B90"/>
    <w:rsid w:val="000C40DA"/>
    <w:rsid w:val="000C47EA"/>
    <w:rsid w:val="000C4B93"/>
    <w:rsid w:val="000C4F3E"/>
    <w:rsid w:val="000C4FC1"/>
    <w:rsid w:val="000C5004"/>
    <w:rsid w:val="000C50A6"/>
    <w:rsid w:val="000C523B"/>
    <w:rsid w:val="000C5639"/>
    <w:rsid w:val="000C575B"/>
    <w:rsid w:val="000C57AA"/>
    <w:rsid w:val="000C5B52"/>
    <w:rsid w:val="000C5D6E"/>
    <w:rsid w:val="000C5DE7"/>
    <w:rsid w:val="000C5E61"/>
    <w:rsid w:val="000C5EC6"/>
    <w:rsid w:val="000C5F0A"/>
    <w:rsid w:val="000C5F56"/>
    <w:rsid w:val="000C608C"/>
    <w:rsid w:val="000C63EB"/>
    <w:rsid w:val="000C6441"/>
    <w:rsid w:val="000C645D"/>
    <w:rsid w:val="000C65D2"/>
    <w:rsid w:val="000C6600"/>
    <w:rsid w:val="000C671D"/>
    <w:rsid w:val="000C695F"/>
    <w:rsid w:val="000C69F0"/>
    <w:rsid w:val="000C6CD1"/>
    <w:rsid w:val="000C6F30"/>
    <w:rsid w:val="000C70FA"/>
    <w:rsid w:val="000C71CB"/>
    <w:rsid w:val="000C77B2"/>
    <w:rsid w:val="000C794C"/>
    <w:rsid w:val="000C7ECF"/>
    <w:rsid w:val="000C7F2F"/>
    <w:rsid w:val="000D030F"/>
    <w:rsid w:val="000D03E1"/>
    <w:rsid w:val="000D0409"/>
    <w:rsid w:val="000D04E7"/>
    <w:rsid w:val="000D0943"/>
    <w:rsid w:val="000D0AC3"/>
    <w:rsid w:val="000D0E98"/>
    <w:rsid w:val="000D1257"/>
    <w:rsid w:val="000D1540"/>
    <w:rsid w:val="000D1A87"/>
    <w:rsid w:val="000D1BB5"/>
    <w:rsid w:val="000D1F6D"/>
    <w:rsid w:val="000D2140"/>
    <w:rsid w:val="000D2673"/>
    <w:rsid w:val="000D2848"/>
    <w:rsid w:val="000D2997"/>
    <w:rsid w:val="000D2A2F"/>
    <w:rsid w:val="000D2C1A"/>
    <w:rsid w:val="000D2C70"/>
    <w:rsid w:val="000D3711"/>
    <w:rsid w:val="000D3BC8"/>
    <w:rsid w:val="000D3CF2"/>
    <w:rsid w:val="000D3DDB"/>
    <w:rsid w:val="000D44A3"/>
    <w:rsid w:val="000D4573"/>
    <w:rsid w:val="000D46A1"/>
    <w:rsid w:val="000D49E8"/>
    <w:rsid w:val="000D4CCB"/>
    <w:rsid w:val="000D4F6B"/>
    <w:rsid w:val="000D5105"/>
    <w:rsid w:val="000D5234"/>
    <w:rsid w:val="000D545A"/>
    <w:rsid w:val="000D5AA1"/>
    <w:rsid w:val="000D5F4D"/>
    <w:rsid w:val="000D6197"/>
    <w:rsid w:val="000D6AFE"/>
    <w:rsid w:val="000D6E6C"/>
    <w:rsid w:val="000D736F"/>
    <w:rsid w:val="000D749E"/>
    <w:rsid w:val="000D7780"/>
    <w:rsid w:val="000D7A9E"/>
    <w:rsid w:val="000D7C42"/>
    <w:rsid w:val="000D7C88"/>
    <w:rsid w:val="000D7CD5"/>
    <w:rsid w:val="000D7FD7"/>
    <w:rsid w:val="000D8B6A"/>
    <w:rsid w:val="000DCEAB"/>
    <w:rsid w:val="000E006E"/>
    <w:rsid w:val="000E0070"/>
    <w:rsid w:val="000E0131"/>
    <w:rsid w:val="000E02EA"/>
    <w:rsid w:val="000E056E"/>
    <w:rsid w:val="000E0759"/>
    <w:rsid w:val="000E0A18"/>
    <w:rsid w:val="000E0A35"/>
    <w:rsid w:val="000E0AE8"/>
    <w:rsid w:val="000E0DF9"/>
    <w:rsid w:val="000E148A"/>
    <w:rsid w:val="000E1554"/>
    <w:rsid w:val="000E1583"/>
    <w:rsid w:val="000E1606"/>
    <w:rsid w:val="000E1613"/>
    <w:rsid w:val="000E1CF3"/>
    <w:rsid w:val="000E2209"/>
    <w:rsid w:val="000E254C"/>
    <w:rsid w:val="000E2601"/>
    <w:rsid w:val="000E2AC3"/>
    <w:rsid w:val="000E2E63"/>
    <w:rsid w:val="000E31BB"/>
    <w:rsid w:val="000E31F9"/>
    <w:rsid w:val="000E332E"/>
    <w:rsid w:val="000E33CE"/>
    <w:rsid w:val="000E33F3"/>
    <w:rsid w:val="000E399B"/>
    <w:rsid w:val="000E3CB2"/>
    <w:rsid w:val="000E3F9C"/>
    <w:rsid w:val="000E49E1"/>
    <w:rsid w:val="000E4AF8"/>
    <w:rsid w:val="000E4F0D"/>
    <w:rsid w:val="000E52CA"/>
    <w:rsid w:val="000E561C"/>
    <w:rsid w:val="000E57D3"/>
    <w:rsid w:val="000E5B7D"/>
    <w:rsid w:val="000E6066"/>
    <w:rsid w:val="000E653A"/>
    <w:rsid w:val="000E676D"/>
    <w:rsid w:val="000E67CD"/>
    <w:rsid w:val="000E68CF"/>
    <w:rsid w:val="000E6B60"/>
    <w:rsid w:val="000E6E6B"/>
    <w:rsid w:val="000E6F8D"/>
    <w:rsid w:val="000E71A5"/>
    <w:rsid w:val="000E7454"/>
    <w:rsid w:val="000E75B2"/>
    <w:rsid w:val="000E7753"/>
    <w:rsid w:val="000E7979"/>
    <w:rsid w:val="000E7A46"/>
    <w:rsid w:val="000E7C82"/>
    <w:rsid w:val="000E7E3A"/>
    <w:rsid w:val="000E7EE6"/>
    <w:rsid w:val="000F0406"/>
    <w:rsid w:val="000F0505"/>
    <w:rsid w:val="000F09C7"/>
    <w:rsid w:val="000F0B57"/>
    <w:rsid w:val="000F0E03"/>
    <w:rsid w:val="000F0E7E"/>
    <w:rsid w:val="000F1478"/>
    <w:rsid w:val="000F1499"/>
    <w:rsid w:val="000F154C"/>
    <w:rsid w:val="000F1650"/>
    <w:rsid w:val="000F1675"/>
    <w:rsid w:val="000F16EB"/>
    <w:rsid w:val="000F17DB"/>
    <w:rsid w:val="000F197B"/>
    <w:rsid w:val="000F1A2E"/>
    <w:rsid w:val="000F1AAD"/>
    <w:rsid w:val="000F1B6B"/>
    <w:rsid w:val="000F1C61"/>
    <w:rsid w:val="000F1FF2"/>
    <w:rsid w:val="000F2135"/>
    <w:rsid w:val="000F220A"/>
    <w:rsid w:val="000F246D"/>
    <w:rsid w:val="000F3072"/>
    <w:rsid w:val="000F3CB0"/>
    <w:rsid w:val="000F4063"/>
    <w:rsid w:val="000F43E5"/>
    <w:rsid w:val="000F44FF"/>
    <w:rsid w:val="000F45F6"/>
    <w:rsid w:val="000F4A5D"/>
    <w:rsid w:val="000F50B4"/>
    <w:rsid w:val="000F52C1"/>
    <w:rsid w:val="000F52FF"/>
    <w:rsid w:val="000F5D59"/>
    <w:rsid w:val="000F5F84"/>
    <w:rsid w:val="000F5FF3"/>
    <w:rsid w:val="000F6008"/>
    <w:rsid w:val="000F68B2"/>
    <w:rsid w:val="000F6941"/>
    <w:rsid w:val="000F6A9A"/>
    <w:rsid w:val="000F6A9C"/>
    <w:rsid w:val="000F6CF6"/>
    <w:rsid w:val="000F71E3"/>
    <w:rsid w:val="000F74D3"/>
    <w:rsid w:val="000F7522"/>
    <w:rsid w:val="000F7667"/>
    <w:rsid w:val="000F7857"/>
    <w:rsid w:val="000F786F"/>
    <w:rsid w:val="000F7992"/>
    <w:rsid w:val="000F7C4B"/>
    <w:rsid w:val="000F7C84"/>
    <w:rsid w:val="000F7CD8"/>
    <w:rsid w:val="001002E6"/>
    <w:rsid w:val="0010045E"/>
    <w:rsid w:val="00100728"/>
    <w:rsid w:val="001008CB"/>
    <w:rsid w:val="00100C92"/>
    <w:rsid w:val="00100CD7"/>
    <w:rsid w:val="00101579"/>
    <w:rsid w:val="00101AB6"/>
    <w:rsid w:val="00101C6F"/>
    <w:rsid w:val="00101CF1"/>
    <w:rsid w:val="00101F8F"/>
    <w:rsid w:val="00101FFB"/>
    <w:rsid w:val="0010212D"/>
    <w:rsid w:val="001021E3"/>
    <w:rsid w:val="00102235"/>
    <w:rsid w:val="001022A0"/>
    <w:rsid w:val="001027B4"/>
    <w:rsid w:val="00102985"/>
    <w:rsid w:val="00102BDC"/>
    <w:rsid w:val="00102E0D"/>
    <w:rsid w:val="00102E28"/>
    <w:rsid w:val="00102F16"/>
    <w:rsid w:val="00103582"/>
    <w:rsid w:val="0010367D"/>
    <w:rsid w:val="001039CF"/>
    <w:rsid w:val="001046CB"/>
    <w:rsid w:val="0010475F"/>
    <w:rsid w:val="00105409"/>
    <w:rsid w:val="001054F3"/>
    <w:rsid w:val="00105632"/>
    <w:rsid w:val="001056CF"/>
    <w:rsid w:val="0010591D"/>
    <w:rsid w:val="00105A6C"/>
    <w:rsid w:val="00106792"/>
    <w:rsid w:val="00106C58"/>
    <w:rsid w:val="00106D5C"/>
    <w:rsid w:val="001072F1"/>
    <w:rsid w:val="00107461"/>
    <w:rsid w:val="00107560"/>
    <w:rsid w:val="00110159"/>
    <w:rsid w:val="001102E7"/>
    <w:rsid w:val="00110323"/>
    <w:rsid w:val="0011033E"/>
    <w:rsid w:val="00110407"/>
    <w:rsid w:val="00110722"/>
    <w:rsid w:val="00110919"/>
    <w:rsid w:val="00110CD5"/>
    <w:rsid w:val="00110E41"/>
    <w:rsid w:val="00111342"/>
    <w:rsid w:val="001114A5"/>
    <w:rsid w:val="0011158F"/>
    <w:rsid w:val="001115AA"/>
    <w:rsid w:val="00111A3D"/>
    <w:rsid w:val="00111C19"/>
    <w:rsid w:val="00111CB9"/>
    <w:rsid w:val="00111D35"/>
    <w:rsid w:val="00111F30"/>
    <w:rsid w:val="001120B8"/>
    <w:rsid w:val="0011222F"/>
    <w:rsid w:val="00112596"/>
    <w:rsid w:val="001125CD"/>
    <w:rsid w:val="001127C3"/>
    <w:rsid w:val="00112A31"/>
    <w:rsid w:val="00112A59"/>
    <w:rsid w:val="00112AFA"/>
    <w:rsid w:val="00112CD0"/>
    <w:rsid w:val="00112FE9"/>
    <w:rsid w:val="001131AC"/>
    <w:rsid w:val="0011349F"/>
    <w:rsid w:val="001134FD"/>
    <w:rsid w:val="0011376A"/>
    <w:rsid w:val="00113AE1"/>
    <w:rsid w:val="00113FD6"/>
    <w:rsid w:val="0011436F"/>
    <w:rsid w:val="001146E6"/>
    <w:rsid w:val="00114E41"/>
    <w:rsid w:val="00115063"/>
    <w:rsid w:val="0011556D"/>
    <w:rsid w:val="00115AF3"/>
    <w:rsid w:val="00115DAD"/>
    <w:rsid w:val="001160AB"/>
    <w:rsid w:val="0011614F"/>
    <w:rsid w:val="00116333"/>
    <w:rsid w:val="001163C5"/>
    <w:rsid w:val="00116865"/>
    <w:rsid w:val="00116B2E"/>
    <w:rsid w:val="00116D88"/>
    <w:rsid w:val="00116DF3"/>
    <w:rsid w:val="00116E02"/>
    <w:rsid w:val="00117483"/>
    <w:rsid w:val="0011750B"/>
    <w:rsid w:val="00117725"/>
    <w:rsid w:val="00117814"/>
    <w:rsid w:val="00117BC9"/>
    <w:rsid w:val="001200E9"/>
    <w:rsid w:val="001204C3"/>
    <w:rsid w:val="0012054A"/>
    <w:rsid w:val="00120B26"/>
    <w:rsid w:val="00120CB9"/>
    <w:rsid w:val="00120E4E"/>
    <w:rsid w:val="00120E6E"/>
    <w:rsid w:val="00120F03"/>
    <w:rsid w:val="0012145A"/>
    <w:rsid w:val="00121542"/>
    <w:rsid w:val="00121A63"/>
    <w:rsid w:val="00121F22"/>
    <w:rsid w:val="0012239D"/>
    <w:rsid w:val="001225F6"/>
    <w:rsid w:val="00122753"/>
    <w:rsid w:val="00122782"/>
    <w:rsid w:val="001227BB"/>
    <w:rsid w:val="00122EF6"/>
    <w:rsid w:val="0012351B"/>
    <w:rsid w:val="00123532"/>
    <w:rsid w:val="0012384D"/>
    <w:rsid w:val="00123931"/>
    <w:rsid w:val="001239EB"/>
    <w:rsid w:val="00123AD4"/>
    <w:rsid w:val="00123F34"/>
    <w:rsid w:val="00123FC5"/>
    <w:rsid w:val="00124175"/>
    <w:rsid w:val="00124477"/>
    <w:rsid w:val="00124781"/>
    <w:rsid w:val="001248B7"/>
    <w:rsid w:val="00124D1D"/>
    <w:rsid w:val="0012504F"/>
    <w:rsid w:val="001252AA"/>
    <w:rsid w:val="001256BE"/>
    <w:rsid w:val="00125717"/>
    <w:rsid w:val="00125CF7"/>
    <w:rsid w:val="001261F5"/>
    <w:rsid w:val="00126BA8"/>
    <w:rsid w:val="00126BB9"/>
    <w:rsid w:val="00126BF9"/>
    <w:rsid w:val="00126F92"/>
    <w:rsid w:val="00127049"/>
    <w:rsid w:val="00127393"/>
    <w:rsid w:val="00127455"/>
    <w:rsid w:val="00127C1F"/>
    <w:rsid w:val="00127CA4"/>
    <w:rsid w:val="00127DC3"/>
    <w:rsid w:val="00127E89"/>
    <w:rsid w:val="0013012F"/>
    <w:rsid w:val="00130447"/>
    <w:rsid w:val="001304D6"/>
    <w:rsid w:val="00130F43"/>
    <w:rsid w:val="00130F63"/>
    <w:rsid w:val="001312B5"/>
    <w:rsid w:val="00131E5C"/>
    <w:rsid w:val="0013205C"/>
    <w:rsid w:val="0013240E"/>
    <w:rsid w:val="00132A78"/>
    <w:rsid w:val="00132ACA"/>
    <w:rsid w:val="00132FF3"/>
    <w:rsid w:val="0013314F"/>
    <w:rsid w:val="001331EE"/>
    <w:rsid w:val="001337BC"/>
    <w:rsid w:val="001338FA"/>
    <w:rsid w:val="00133941"/>
    <w:rsid w:val="00133DEA"/>
    <w:rsid w:val="001340C1"/>
    <w:rsid w:val="001340DE"/>
    <w:rsid w:val="001344E8"/>
    <w:rsid w:val="00134832"/>
    <w:rsid w:val="0013496C"/>
    <w:rsid w:val="00134B93"/>
    <w:rsid w:val="00134DE5"/>
    <w:rsid w:val="00134F25"/>
    <w:rsid w:val="00134F62"/>
    <w:rsid w:val="00135003"/>
    <w:rsid w:val="001352AC"/>
    <w:rsid w:val="00135981"/>
    <w:rsid w:val="00135A6B"/>
    <w:rsid w:val="00135CD5"/>
    <w:rsid w:val="00136339"/>
    <w:rsid w:val="001364CA"/>
    <w:rsid w:val="001365DB"/>
    <w:rsid w:val="00136B64"/>
    <w:rsid w:val="00136C2E"/>
    <w:rsid w:val="001372D0"/>
    <w:rsid w:val="00137D95"/>
    <w:rsid w:val="00140052"/>
    <w:rsid w:val="001401E1"/>
    <w:rsid w:val="001403CD"/>
    <w:rsid w:val="00140649"/>
    <w:rsid w:val="00140F12"/>
    <w:rsid w:val="00141389"/>
    <w:rsid w:val="0014142E"/>
    <w:rsid w:val="00141A87"/>
    <w:rsid w:val="00141AF4"/>
    <w:rsid w:val="00141D0B"/>
    <w:rsid w:val="00142133"/>
    <w:rsid w:val="00142239"/>
    <w:rsid w:val="001422FE"/>
    <w:rsid w:val="0014272B"/>
    <w:rsid w:val="00142813"/>
    <w:rsid w:val="00142830"/>
    <w:rsid w:val="00142ADA"/>
    <w:rsid w:val="00142DE4"/>
    <w:rsid w:val="00143371"/>
    <w:rsid w:val="0014376C"/>
    <w:rsid w:val="00143960"/>
    <w:rsid w:val="00143E50"/>
    <w:rsid w:val="001444C1"/>
    <w:rsid w:val="001444F4"/>
    <w:rsid w:val="00144628"/>
    <w:rsid w:val="001447B5"/>
    <w:rsid w:val="0014487F"/>
    <w:rsid w:val="00144B2B"/>
    <w:rsid w:val="00144CD8"/>
    <w:rsid w:val="00144E8D"/>
    <w:rsid w:val="00144F74"/>
    <w:rsid w:val="0014510C"/>
    <w:rsid w:val="00145B36"/>
    <w:rsid w:val="00145B83"/>
    <w:rsid w:val="00145E62"/>
    <w:rsid w:val="00146A94"/>
    <w:rsid w:val="00146BC6"/>
    <w:rsid w:val="00146CDB"/>
    <w:rsid w:val="00146DCB"/>
    <w:rsid w:val="00146F1F"/>
    <w:rsid w:val="00147239"/>
    <w:rsid w:val="001475B8"/>
    <w:rsid w:val="0014762A"/>
    <w:rsid w:val="00147956"/>
    <w:rsid w:val="00150005"/>
    <w:rsid w:val="00150026"/>
    <w:rsid w:val="0015016A"/>
    <w:rsid w:val="00150401"/>
    <w:rsid w:val="00150571"/>
    <w:rsid w:val="00150596"/>
    <w:rsid w:val="00150706"/>
    <w:rsid w:val="00150753"/>
    <w:rsid w:val="001509F0"/>
    <w:rsid w:val="00150A7F"/>
    <w:rsid w:val="00150BCE"/>
    <w:rsid w:val="00150E4A"/>
    <w:rsid w:val="00151001"/>
    <w:rsid w:val="0015130D"/>
    <w:rsid w:val="00151456"/>
    <w:rsid w:val="00151974"/>
    <w:rsid w:val="001519AA"/>
    <w:rsid w:val="00151A02"/>
    <w:rsid w:val="00151D01"/>
    <w:rsid w:val="00151F8E"/>
    <w:rsid w:val="00152163"/>
    <w:rsid w:val="00152173"/>
    <w:rsid w:val="001522BC"/>
    <w:rsid w:val="001523AC"/>
    <w:rsid w:val="00152473"/>
    <w:rsid w:val="001524F0"/>
    <w:rsid w:val="001526C0"/>
    <w:rsid w:val="001526C9"/>
    <w:rsid w:val="00152EAE"/>
    <w:rsid w:val="00153114"/>
    <w:rsid w:val="0015322D"/>
    <w:rsid w:val="00153317"/>
    <w:rsid w:val="0015352A"/>
    <w:rsid w:val="001539CF"/>
    <w:rsid w:val="00154123"/>
    <w:rsid w:val="00154193"/>
    <w:rsid w:val="0015420A"/>
    <w:rsid w:val="00154A50"/>
    <w:rsid w:val="00154DCC"/>
    <w:rsid w:val="00154DE3"/>
    <w:rsid w:val="0015537E"/>
    <w:rsid w:val="001555C6"/>
    <w:rsid w:val="0015566D"/>
    <w:rsid w:val="001557AE"/>
    <w:rsid w:val="0015629B"/>
    <w:rsid w:val="0015629D"/>
    <w:rsid w:val="0015664F"/>
    <w:rsid w:val="001568EE"/>
    <w:rsid w:val="00156939"/>
    <w:rsid w:val="00156D05"/>
    <w:rsid w:val="00156D13"/>
    <w:rsid w:val="00156EE9"/>
    <w:rsid w:val="00157200"/>
    <w:rsid w:val="00157448"/>
    <w:rsid w:val="0015749A"/>
    <w:rsid w:val="00157609"/>
    <w:rsid w:val="001576D8"/>
    <w:rsid w:val="00157A2E"/>
    <w:rsid w:val="00157CD8"/>
    <w:rsid w:val="00157EA7"/>
    <w:rsid w:val="001600BA"/>
    <w:rsid w:val="001600C5"/>
    <w:rsid w:val="0016030B"/>
    <w:rsid w:val="001606A6"/>
    <w:rsid w:val="00160CD5"/>
    <w:rsid w:val="00161010"/>
    <w:rsid w:val="001610BC"/>
    <w:rsid w:val="00161773"/>
    <w:rsid w:val="001618D8"/>
    <w:rsid w:val="00161930"/>
    <w:rsid w:val="00161D85"/>
    <w:rsid w:val="00161DFD"/>
    <w:rsid w:val="001621F5"/>
    <w:rsid w:val="001623F0"/>
    <w:rsid w:val="00162591"/>
    <w:rsid w:val="001628DA"/>
    <w:rsid w:val="00163432"/>
    <w:rsid w:val="0016366E"/>
    <w:rsid w:val="00163670"/>
    <w:rsid w:val="0016381A"/>
    <w:rsid w:val="0016386E"/>
    <w:rsid w:val="00163900"/>
    <w:rsid w:val="00163A1A"/>
    <w:rsid w:val="001649FF"/>
    <w:rsid w:val="00164B2C"/>
    <w:rsid w:val="00164E10"/>
    <w:rsid w:val="00165178"/>
    <w:rsid w:val="0016563B"/>
    <w:rsid w:val="001656A0"/>
    <w:rsid w:val="001658A6"/>
    <w:rsid w:val="00165987"/>
    <w:rsid w:val="00165A1B"/>
    <w:rsid w:val="00165E26"/>
    <w:rsid w:val="00165FE5"/>
    <w:rsid w:val="00165FEE"/>
    <w:rsid w:val="0016604E"/>
    <w:rsid w:val="00166233"/>
    <w:rsid w:val="00167012"/>
    <w:rsid w:val="0016705D"/>
    <w:rsid w:val="001670FB"/>
    <w:rsid w:val="00167475"/>
    <w:rsid w:val="00167516"/>
    <w:rsid w:val="00167A35"/>
    <w:rsid w:val="00167B3E"/>
    <w:rsid w:val="00167B78"/>
    <w:rsid w:val="00167C43"/>
    <w:rsid w:val="00167EDC"/>
    <w:rsid w:val="00167EDD"/>
    <w:rsid w:val="00167F7B"/>
    <w:rsid w:val="00170523"/>
    <w:rsid w:val="00170A62"/>
    <w:rsid w:val="00170BEE"/>
    <w:rsid w:val="00170CE6"/>
    <w:rsid w:val="00170EA6"/>
    <w:rsid w:val="00171250"/>
    <w:rsid w:val="0017147F"/>
    <w:rsid w:val="00171481"/>
    <w:rsid w:val="00171A90"/>
    <w:rsid w:val="0017221A"/>
    <w:rsid w:val="00172545"/>
    <w:rsid w:val="001726A4"/>
    <w:rsid w:val="0017289A"/>
    <w:rsid w:val="00172A5D"/>
    <w:rsid w:val="00172C70"/>
    <w:rsid w:val="00172DFF"/>
    <w:rsid w:val="00173101"/>
    <w:rsid w:val="00173301"/>
    <w:rsid w:val="0017338F"/>
    <w:rsid w:val="00173445"/>
    <w:rsid w:val="00173483"/>
    <w:rsid w:val="001739D3"/>
    <w:rsid w:val="00173B26"/>
    <w:rsid w:val="00173F4C"/>
    <w:rsid w:val="00174138"/>
    <w:rsid w:val="001741D0"/>
    <w:rsid w:val="0017426E"/>
    <w:rsid w:val="001743DC"/>
    <w:rsid w:val="00174567"/>
    <w:rsid w:val="00174800"/>
    <w:rsid w:val="00174E4B"/>
    <w:rsid w:val="001754B8"/>
    <w:rsid w:val="0017583D"/>
    <w:rsid w:val="00175CBB"/>
    <w:rsid w:val="00175D48"/>
    <w:rsid w:val="00175F55"/>
    <w:rsid w:val="00175F9F"/>
    <w:rsid w:val="0017601C"/>
    <w:rsid w:val="0017638B"/>
    <w:rsid w:val="001765D1"/>
    <w:rsid w:val="0017690A"/>
    <w:rsid w:val="00176A89"/>
    <w:rsid w:val="00176DB4"/>
    <w:rsid w:val="001771A8"/>
    <w:rsid w:val="00177381"/>
    <w:rsid w:val="00177FBA"/>
    <w:rsid w:val="00177FC1"/>
    <w:rsid w:val="00177FC2"/>
    <w:rsid w:val="001806B9"/>
    <w:rsid w:val="001808CC"/>
    <w:rsid w:val="0018090B"/>
    <w:rsid w:val="001810BA"/>
    <w:rsid w:val="001816F9"/>
    <w:rsid w:val="00181775"/>
    <w:rsid w:val="0018179F"/>
    <w:rsid w:val="00181AF7"/>
    <w:rsid w:val="00181B3E"/>
    <w:rsid w:val="00181B40"/>
    <w:rsid w:val="00181CB9"/>
    <w:rsid w:val="00181D6D"/>
    <w:rsid w:val="001820CE"/>
    <w:rsid w:val="00182106"/>
    <w:rsid w:val="00182406"/>
    <w:rsid w:val="0018259E"/>
    <w:rsid w:val="0018292F"/>
    <w:rsid w:val="00182EC1"/>
    <w:rsid w:val="00182F07"/>
    <w:rsid w:val="001833CB"/>
    <w:rsid w:val="0018355D"/>
    <w:rsid w:val="00183967"/>
    <w:rsid w:val="00183A73"/>
    <w:rsid w:val="00184171"/>
    <w:rsid w:val="001843F6"/>
    <w:rsid w:val="0018459D"/>
    <w:rsid w:val="00184F79"/>
    <w:rsid w:val="00185106"/>
    <w:rsid w:val="0018513B"/>
    <w:rsid w:val="00185569"/>
    <w:rsid w:val="00185B19"/>
    <w:rsid w:val="0018665A"/>
    <w:rsid w:val="001868B6"/>
    <w:rsid w:val="00186C83"/>
    <w:rsid w:val="001873D8"/>
    <w:rsid w:val="00187468"/>
    <w:rsid w:val="00187489"/>
    <w:rsid w:val="001875F9"/>
    <w:rsid w:val="0018772E"/>
    <w:rsid w:val="00187A30"/>
    <w:rsid w:val="00187C86"/>
    <w:rsid w:val="00187E3F"/>
    <w:rsid w:val="00187E89"/>
    <w:rsid w:val="00187EAE"/>
    <w:rsid w:val="00189603"/>
    <w:rsid w:val="00190AD5"/>
    <w:rsid w:val="00190B6E"/>
    <w:rsid w:val="00190BB4"/>
    <w:rsid w:val="00190CC1"/>
    <w:rsid w:val="00190D0F"/>
    <w:rsid w:val="00191072"/>
    <w:rsid w:val="001910B2"/>
    <w:rsid w:val="001911C4"/>
    <w:rsid w:val="00191258"/>
    <w:rsid w:val="0019129B"/>
    <w:rsid w:val="0019140B"/>
    <w:rsid w:val="00191446"/>
    <w:rsid w:val="001914CA"/>
    <w:rsid w:val="00191505"/>
    <w:rsid w:val="00191BCF"/>
    <w:rsid w:val="0019234B"/>
    <w:rsid w:val="001929CA"/>
    <w:rsid w:val="00193281"/>
    <w:rsid w:val="001932BF"/>
    <w:rsid w:val="001932DE"/>
    <w:rsid w:val="00193302"/>
    <w:rsid w:val="00193327"/>
    <w:rsid w:val="0019369E"/>
    <w:rsid w:val="00193880"/>
    <w:rsid w:val="001939EA"/>
    <w:rsid w:val="00193DAE"/>
    <w:rsid w:val="00193F58"/>
    <w:rsid w:val="00193F60"/>
    <w:rsid w:val="0019442C"/>
    <w:rsid w:val="00194545"/>
    <w:rsid w:val="00194568"/>
    <w:rsid w:val="0019464D"/>
    <w:rsid w:val="00194BE6"/>
    <w:rsid w:val="00194C6B"/>
    <w:rsid w:val="00194CD7"/>
    <w:rsid w:val="00194D4E"/>
    <w:rsid w:val="0019561E"/>
    <w:rsid w:val="0019564D"/>
    <w:rsid w:val="0019579D"/>
    <w:rsid w:val="001957A5"/>
    <w:rsid w:val="001957EA"/>
    <w:rsid w:val="00195C4D"/>
    <w:rsid w:val="00195D8A"/>
    <w:rsid w:val="00196761"/>
    <w:rsid w:val="00196A43"/>
    <w:rsid w:val="00196C70"/>
    <w:rsid w:val="00197123"/>
    <w:rsid w:val="0019770F"/>
    <w:rsid w:val="001978BD"/>
    <w:rsid w:val="00197DB3"/>
    <w:rsid w:val="00197FD4"/>
    <w:rsid w:val="001A0731"/>
    <w:rsid w:val="001A08C2"/>
    <w:rsid w:val="001A0ACB"/>
    <w:rsid w:val="001A0C58"/>
    <w:rsid w:val="001A0F45"/>
    <w:rsid w:val="001A0F79"/>
    <w:rsid w:val="001A1001"/>
    <w:rsid w:val="001A11B1"/>
    <w:rsid w:val="001A157A"/>
    <w:rsid w:val="001A164B"/>
    <w:rsid w:val="001A1A0E"/>
    <w:rsid w:val="001A1E73"/>
    <w:rsid w:val="001A210C"/>
    <w:rsid w:val="001A2139"/>
    <w:rsid w:val="001A2383"/>
    <w:rsid w:val="001A2712"/>
    <w:rsid w:val="001A282A"/>
    <w:rsid w:val="001A2978"/>
    <w:rsid w:val="001A2AA7"/>
    <w:rsid w:val="001A2EBE"/>
    <w:rsid w:val="001A31DD"/>
    <w:rsid w:val="001A33A1"/>
    <w:rsid w:val="001A3A7A"/>
    <w:rsid w:val="001A3E87"/>
    <w:rsid w:val="001A46E2"/>
    <w:rsid w:val="001A4818"/>
    <w:rsid w:val="001A4F63"/>
    <w:rsid w:val="001A511A"/>
    <w:rsid w:val="001A5183"/>
    <w:rsid w:val="001A53B7"/>
    <w:rsid w:val="001A56CE"/>
    <w:rsid w:val="001A57D7"/>
    <w:rsid w:val="001A5848"/>
    <w:rsid w:val="001A5DC8"/>
    <w:rsid w:val="001A6165"/>
    <w:rsid w:val="001A6232"/>
    <w:rsid w:val="001A6B5D"/>
    <w:rsid w:val="001A6D84"/>
    <w:rsid w:val="001A6FB7"/>
    <w:rsid w:val="001A70EA"/>
    <w:rsid w:val="001A711F"/>
    <w:rsid w:val="001A72BB"/>
    <w:rsid w:val="001A7456"/>
    <w:rsid w:val="001A74B5"/>
    <w:rsid w:val="001A7767"/>
    <w:rsid w:val="001A7D08"/>
    <w:rsid w:val="001A7EFD"/>
    <w:rsid w:val="001B0338"/>
    <w:rsid w:val="001B03C7"/>
    <w:rsid w:val="001B0609"/>
    <w:rsid w:val="001B060F"/>
    <w:rsid w:val="001B07A5"/>
    <w:rsid w:val="001B0943"/>
    <w:rsid w:val="001B0A6C"/>
    <w:rsid w:val="001B0B2C"/>
    <w:rsid w:val="001B0B8B"/>
    <w:rsid w:val="001B0D4B"/>
    <w:rsid w:val="001B0F90"/>
    <w:rsid w:val="001B1005"/>
    <w:rsid w:val="001B10CA"/>
    <w:rsid w:val="001B1626"/>
    <w:rsid w:val="001B16F6"/>
    <w:rsid w:val="001B19B1"/>
    <w:rsid w:val="001B1B9C"/>
    <w:rsid w:val="001B1CAC"/>
    <w:rsid w:val="001B2162"/>
    <w:rsid w:val="001B27BB"/>
    <w:rsid w:val="001B2AED"/>
    <w:rsid w:val="001B2C5F"/>
    <w:rsid w:val="001B2FA7"/>
    <w:rsid w:val="001B31E9"/>
    <w:rsid w:val="001B3A62"/>
    <w:rsid w:val="001B3BE5"/>
    <w:rsid w:val="001B3D94"/>
    <w:rsid w:val="001B40CA"/>
    <w:rsid w:val="001B41A1"/>
    <w:rsid w:val="001B42DE"/>
    <w:rsid w:val="001B43D4"/>
    <w:rsid w:val="001B4407"/>
    <w:rsid w:val="001B4768"/>
    <w:rsid w:val="001B4822"/>
    <w:rsid w:val="001B5041"/>
    <w:rsid w:val="001B52FA"/>
    <w:rsid w:val="001B54D2"/>
    <w:rsid w:val="001B56F2"/>
    <w:rsid w:val="001B581E"/>
    <w:rsid w:val="001B594F"/>
    <w:rsid w:val="001B5A51"/>
    <w:rsid w:val="001B5ACB"/>
    <w:rsid w:val="001B5B41"/>
    <w:rsid w:val="001B650C"/>
    <w:rsid w:val="001B67E2"/>
    <w:rsid w:val="001B691F"/>
    <w:rsid w:val="001B69DE"/>
    <w:rsid w:val="001B6AB9"/>
    <w:rsid w:val="001B6D29"/>
    <w:rsid w:val="001B6D73"/>
    <w:rsid w:val="001B70F9"/>
    <w:rsid w:val="001B7440"/>
    <w:rsid w:val="001B751C"/>
    <w:rsid w:val="001B7723"/>
    <w:rsid w:val="001B776D"/>
    <w:rsid w:val="001B7B96"/>
    <w:rsid w:val="001B7D37"/>
    <w:rsid w:val="001B7FF4"/>
    <w:rsid w:val="001C02B3"/>
    <w:rsid w:val="001C0345"/>
    <w:rsid w:val="001C077C"/>
    <w:rsid w:val="001C0A08"/>
    <w:rsid w:val="001C0A37"/>
    <w:rsid w:val="001C0B54"/>
    <w:rsid w:val="001C11D4"/>
    <w:rsid w:val="001C120C"/>
    <w:rsid w:val="001C1598"/>
    <w:rsid w:val="001C1803"/>
    <w:rsid w:val="001C1911"/>
    <w:rsid w:val="001C191B"/>
    <w:rsid w:val="001C1991"/>
    <w:rsid w:val="001C1C5C"/>
    <w:rsid w:val="001C1CAF"/>
    <w:rsid w:val="001C2373"/>
    <w:rsid w:val="001C2A4E"/>
    <w:rsid w:val="001C2D24"/>
    <w:rsid w:val="001C2FA0"/>
    <w:rsid w:val="001C31E6"/>
    <w:rsid w:val="001C335C"/>
    <w:rsid w:val="001C33F8"/>
    <w:rsid w:val="001C3A27"/>
    <w:rsid w:val="001C3E04"/>
    <w:rsid w:val="001C44F8"/>
    <w:rsid w:val="001C4500"/>
    <w:rsid w:val="001C45B1"/>
    <w:rsid w:val="001C487F"/>
    <w:rsid w:val="001C48B4"/>
    <w:rsid w:val="001C4C30"/>
    <w:rsid w:val="001C502A"/>
    <w:rsid w:val="001C5264"/>
    <w:rsid w:val="001C5311"/>
    <w:rsid w:val="001C54C3"/>
    <w:rsid w:val="001C5B99"/>
    <w:rsid w:val="001C5DDC"/>
    <w:rsid w:val="001C6668"/>
    <w:rsid w:val="001C6A89"/>
    <w:rsid w:val="001C6C8E"/>
    <w:rsid w:val="001C6D80"/>
    <w:rsid w:val="001C6DCA"/>
    <w:rsid w:val="001C6FD9"/>
    <w:rsid w:val="001C73AF"/>
    <w:rsid w:val="001C762F"/>
    <w:rsid w:val="001C7939"/>
    <w:rsid w:val="001C79DD"/>
    <w:rsid w:val="001C7BCF"/>
    <w:rsid w:val="001C7C17"/>
    <w:rsid w:val="001D040F"/>
    <w:rsid w:val="001D04E4"/>
    <w:rsid w:val="001D06DD"/>
    <w:rsid w:val="001D074E"/>
    <w:rsid w:val="001D0C64"/>
    <w:rsid w:val="001D0E4C"/>
    <w:rsid w:val="001D11E5"/>
    <w:rsid w:val="001D1343"/>
    <w:rsid w:val="001D17C7"/>
    <w:rsid w:val="001D185A"/>
    <w:rsid w:val="001D1FAA"/>
    <w:rsid w:val="001D214C"/>
    <w:rsid w:val="001D25A2"/>
    <w:rsid w:val="001D26FC"/>
    <w:rsid w:val="001D27EF"/>
    <w:rsid w:val="001D3543"/>
    <w:rsid w:val="001D384A"/>
    <w:rsid w:val="001D3A5A"/>
    <w:rsid w:val="001D3B7F"/>
    <w:rsid w:val="001D411C"/>
    <w:rsid w:val="001D4DA9"/>
    <w:rsid w:val="001D506F"/>
    <w:rsid w:val="001D631D"/>
    <w:rsid w:val="001D63C3"/>
    <w:rsid w:val="001D6568"/>
    <w:rsid w:val="001D6793"/>
    <w:rsid w:val="001D6A02"/>
    <w:rsid w:val="001D710F"/>
    <w:rsid w:val="001D71C6"/>
    <w:rsid w:val="001D7276"/>
    <w:rsid w:val="001D789A"/>
    <w:rsid w:val="001D7946"/>
    <w:rsid w:val="001D7B32"/>
    <w:rsid w:val="001D7D5B"/>
    <w:rsid w:val="001D7FED"/>
    <w:rsid w:val="001E009A"/>
    <w:rsid w:val="001E06C5"/>
    <w:rsid w:val="001E087E"/>
    <w:rsid w:val="001E0888"/>
    <w:rsid w:val="001E08A2"/>
    <w:rsid w:val="001E0999"/>
    <w:rsid w:val="001E0A91"/>
    <w:rsid w:val="001E0DFA"/>
    <w:rsid w:val="001E100E"/>
    <w:rsid w:val="001E169F"/>
    <w:rsid w:val="001E1F14"/>
    <w:rsid w:val="001E1F3E"/>
    <w:rsid w:val="001E229E"/>
    <w:rsid w:val="001E3218"/>
    <w:rsid w:val="001E32F8"/>
    <w:rsid w:val="001E3357"/>
    <w:rsid w:val="001E335C"/>
    <w:rsid w:val="001E35C0"/>
    <w:rsid w:val="001E36B8"/>
    <w:rsid w:val="001E38F6"/>
    <w:rsid w:val="001E3B62"/>
    <w:rsid w:val="001E3D34"/>
    <w:rsid w:val="001E3DD6"/>
    <w:rsid w:val="001E3DD8"/>
    <w:rsid w:val="001E42F3"/>
    <w:rsid w:val="001E44AB"/>
    <w:rsid w:val="001E4568"/>
    <w:rsid w:val="001E4923"/>
    <w:rsid w:val="001E4C7A"/>
    <w:rsid w:val="001E4C81"/>
    <w:rsid w:val="001E5561"/>
    <w:rsid w:val="001E59B5"/>
    <w:rsid w:val="001E5A7F"/>
    <w:rsid w:val="001E5B17"/>
    <w:rsid w:val="001E609B"/>
    <w:rsid w:val="001E6458"/>
    <w:rsid w:val="001E64C4"/>
    <w:rsid w:val="001E67E1"/>
    <w:rsid w:val="001E6803"/>
    <w:rsid w:val="001E732F"/>
    <w:rsid w:val="001E739E"/>
    <w:rsid w:val="001E767D"/>
    <w:rsid w:val="001E7859"/>
    <w:rsid w:val="001E78E5"/>
    <w:rsid w:val="001E790D"/>
    <w:rsid w:val="001E7D39"/>
    <w:rsid w:val="001F014D"/>
    <w:rsid w:val="001F01F8"/>
    <w:rsid w:val="001F030C"/>
    <w:rsid w:val="001F0440"/>
    <w:rsid w:val="001F05C8"/>
    <w:rsid w:val="001F07F4"/>
    <w:rsid w:val="001F07FB"/>
    <w:rsid w:val="001F0CDB"/>
    <w:rsid w:val="001F0DCD"/>
    <w:rsid w:val="001F0FA0"/>
    <w:rsid w:val="001F0FA8"/>
    <w:rsid w:val="001F12FF"/>
    <w:rsid w:val="001F142C"/>
    <w:rsid w:val="001F17AE"/>
    <w:rsid w:val="001F1856"/>
    <w:rsid w:val="001F1956"/>
    <w:rsid w:val="001F1C11"/>
    <w:rsid w:val="001F1C47"/>
    <w:rsid w:val="001F1D60"/>
    <w:rsid w:val="001F1D9E"/>
    <w:rsid w:val="001F21CB"/>
    <w:rsid w:val="001F2367"/>
    <w:rsid w:val="001F261E"/>
    <w:rsid w:val="001F28BF"/>
    <w:rsid w:val="001F2964"/>
    <w:rsid w:val="001F2966"/>
    <w:rsid w:val="001F29F0"/>
    <w:rsid w:val="001F2E20"/>
    <w:rsid w:val="001F2E2E"/>
    <w:rsid w:val="001F2F60"/>
    <w:rsid w:val="001F32BB"/>
    <w:rsid w:val="001F3B3F"/>
    <w:rsid w:val="001F4024"/>
    <w:rsid w:val="001F417C"/>
    <w:rsid w:val="001F435B"/>
    <w:rsid w:val="001F4386"/>
    <w:rsid w:val="001F4392"/>
    <w:rsid w:val="001F4606"/>
    <w:rsid w:val="001F4910"/>
    <w:rsid w:val="001F4958"/>
    <w:rsid w:val="001F49B7"/>
    <w:rsid w:val="001F4FEF"/>
    <w:rsid w:val="001F50F0"/>
    <w:rsid w:val="001F5327"/>
    <w:rsid w:val="001F555B"/>
    <w:rsid w:val="001F55AE"/>
    <w:rsid w:val="001F5A23"/>
    <w:rsid w:val="001F5A7D"/>
    <w:rsid w:val="001F5CCF"/>
    <w:rsid w:val="001F5D0A"/>
    <w:rsid w:val="001F5D2C"/>
    <w:rsid w:val="001F609F"/>
    <w:rsid w:val="001F6138"/>
    <w:rsid w:val="001F6267"/>
    <w:rsid w:val="001F63E8"/>
    <w:rsid w:val="001F6600"/>
    <w:rsid w:val="001F692B"/>
    <w:rsid w:val="001F6AC3"/>
    <w:rsid w:val="001F6AE9"/>
    <w:rsid w:val="001F7158"/>
    <w:rsid w:val="001F7196"/>
    <w:rsid w:val="001F7599"/>
    <w:rsid w:val="001F7929"/>
    <w:rsid w:val="001F7C3B"/>
    <w:rsid w:val="001F7E70"/>
    <w:rsid w:val="00200015"/>
    <w:rsid w:val="0020072E"/>
    <w:rsid w:val="00200804"/>
    <w:rsid w:val="00200AFA"/>
    <w:rsid w:val="00200B20"/>
    <w:rsid w:val="00200D55"/>
    <w:rsid w:val="00201109"/>
    <w:rsid w:val="002014F2"/>
    <w:rsid w:val="00201598"/>
    <w:rsid w:val="00201756"/>
    <w:rsid w:val="0020184E"/>
    <w:rsid w:val="0020191A"/>
    <w:rsid w:val="00201E07"/>
    <w:rsid w:val="00201FE1"/>
    <w:rsid w:val="00202461"/>
    <w:rsid w:val="00202756"/>
    <w:rsid w:val="00202866"/>
    <w:rsid w:val="002028B8"/>
    <w:rsid w:val="00202F20"/>
    <w:rsid w:val="0020344B"/>
    <w:rsid w:val="002035ED"/>
    <w:rsid w:val="00203880"/>
    <w:rsid w:val="00203DBF"/>
    <w:rsid w:val="00203F15"/>
    <w:rsid w:val="0020400F"/>
    <w:rsid w:val="0020423A"/>
    <w:rsid w:val="00204319"/>
    <w:rsid w:val="00204530"/>
    <w:rsid w:val="0020470D"/>
    <w:rsid w:val="00204AE0"/>
    <w:rsid w:val="00204B94"/>
    <w:rsid w:val="00204F84"/>
    <w:rsid w:val="002056BA"/>
    <w:rsid w:val="00205AFA"/>
    <w:rsid w:val="002064DE"/>
    <w:rsid w:val="00206866"/>
    <w:rsid w:val="002069BA"/>
    <w:rsid w:val="00206B0E"/>
    <w:rsid w:val="0020700E"/>
    <w:rsid w:val="00207763"/>
    <w:rsid w:val="002077BD"/>
    <w:rsid w:val="00207B04"/>
    <w:rsid w:val="00207BBD"/>
    <w:rsid w:val="00207D27"/>
    <w:rsid w:val="00210570"/>
    <w:rsid w:val="002107A2"/>
    <w:rsid w:val="00210F44"/>
    <w:rsid w:val="00211378"/>
    <w:rsid w:val="00211653"/>
    <w:rsid w:val="00211695"/>
    <w:rsid w:val="00211885"/>
    <w:rsid w:val="00211938"/>
    <w:rsid w:val="00211ADD"/>
    <w:rsid w:val="00211B9E"/>
    <w:rsid w:val="00211D96"/>
    <w:rsid w:val="002121BB"/>
    <w:rsid w:val="00212351"/>
    <w:rsid w:val="0021248C"/>
    <w:rsid w:val="002124ED"/>
    <w:rsid w:val="002126C1"/>
    <w:rsid w:val="002126E1"/>
    <w:rsid w:val="00212F4C"/>
    <w:rsid w:val="00213710"/>
    <w:rsid w:val="00213C98"/>
    <w:rsid w:val="002141FC"/>
    <w:rsid w:val="002147C4"/>
    <w:rsid w:val="00214827"/>
    <w:rsid w:val="00214878"/>
    <w:rsid w:val="002148B7"/>
    <w:rsid w:val="002151E2"/>
    <w:rsid w:val="00215753"/>
    <w:rsid w:val="00215A07"/>
    <w:rsid w:val="00215B4B"/>
    <w:rsid w:val="00215B7F"/>
    <w:rsid w:val="00215FDB"/>
    <w:rsid w:val="002160BA"/>
    <w:rsid w:val="0021678F"/>
    <w:rsid w:val="00216B94"/>
    <w:rsid w:val="00217202"/>
    <w:rsid w:val="00217255"/>
    <w:rsid w:val="002172FB"/>
    <w:rsid w:val="0021741C"/>
    <w:rsid w:val="0021747E"/>
    <w:rsid w:val="00217569"/>
    <w:rsid w:val="00217D17"/>
    <w:rsid w:val="00220103"/>
    <w:rsid w:val="002202FA"/>
    <w:rsid w:val="0022088D"/>
    <w:rsid w:val="00220B46"/>
    <w:rsid w:val="00220E4E"/>
    <w:rsid w:val="00220EC2"/>
    <w:rsid w:val="00221083"/>
    <w:rsid w:val="00221581"/>
    <w:rsid w:val="00221831"/>
    <w:rsid w:val="002218F3"/>
    <w:rsid w:val="00221AC4"/>
    <w:rsid w:val="002221E4"/>
    <w:rsid w:val="00222209"/>
    <w:rsid w:val="002223FA"/>
    <w:rsid w:val="0022241A"/>
    <w:rsid w:val="00222918"/>
    <w:rsid w:val="00222B95"/>
    <w:rsid w:val="00222E3F"/>
    <w:rsid w:val="00222E7B"/>
    <w:rsid w:val="00223049"/>
    <w:rsid w:val="0022308A"/>
    <w:rsid w:val="002231F4"/>
    <w:rsid w:val="00223A96"/>
    <w:rsid w:val="0022412C"/>
    <w:rsid w:val="0022415E"/>
    <w:rsid w:val="00224B0F"/>
    <w:rsid w:val="002253F5"/>
    <w:rsid w:val="00225457"/>
    <w:rsid w:val="00225470"/>
    <w:rsid w:val="0022555E"/>
    <w:rsid w:val="002258DC"/>
    <w:rsid w:val="00225926"/>
    <w:rsid w:val="00225A31"/>
    <w:rsid w:val="002267D6"/>
    <w:rsid w:val="0022719E"/>
    <w:rsid w:val="002272D4"/>
    <w:rsid w:val="0022737D"/>
    <w:rsid w:val="002273A7"/>
    <w:rsid w:val="002273E1"/>
    <w:rsid w:val="00227744"/>
    <w:rsid w:val="00227B88"/>
    <w:rsid w:val="00227F76"/>
    <w:rsid w:val="00227F8F"/>
    <w:rsid w:val="002301F3"/>
    <w:rsid w:val="002302DD"/>
    <w:rsid w:val="00230324"/>
    <w:rsid w:val="002303FE"/>
    <w:rsid w:val="0023057A"/>
    <w:rsid w:val="00230618"/>
    <w:rsid w:val="0023061A"/>
    <w:rsid w:val="0023098F"/>
    <w:rsid w:val="00230A88"/>
    <w:rsid w:val="00230B9E"/>
    <w:rsid w:val="00231498"/>
    <w:rsid w:val="00231696"/>
    <w:rsid w:val="00231703"/>
    <w:rsid w:val="00231B38"/>
    <w:rsid w:val="00231CA3"/>
    <w:rsid w:val="00231DF5"/>
    <w:rsid w:val="00231EE4"/>
    <w:rsid w:val="00232043"/>
    <w:rsid w:val="00232289"/>
    <w:rsid w:val="00232AF5"/>
    <w:rsid w:val="00232B59"/>
    <w:rsid w:val="00232F5E"/>
    <w:rsid w:val="00232F69"/>
    <w:rsid w:val="002333F0"/>
    <w:rsid w:val="002338CA"/>
    <w:rsid w:val="00233959"/>
    <w:rsid w:val="00233BC6"/>
    <w:rsid w:val="00233EB8"/>
    <w:rsid w:val="00233EBE"/>
    <w:rsid w:val="00234175"/>
    <w:rsid w:val="00234265"/>
    <w:rsid w:val="00234684"/>
    <w:rsid w:val="0023475C"/>
    <w:rsid w:val="0023492C"/>
    <w:rsid w:val="00234F77"/>
    <w:rsid w:val="00234F9B"/>
    <w:rsid w:val="00235959"/>
    <w:rsid w:val="00235960"/>
    <w:rsid w:val="00235A29"/>
    <w:rsid w:val="00235D9B"/>
    <w:rsid w:val="00236112"/>
    <w:rsid w:val="002361E1"/>
    <w:rsid w:val="00236448"/>
    <w:rsid w:val="00236624"/>
    <w:rsid w:val="002366F2"/>
    <w:rsid w:val="00236708"/>
    <w:rsid w:val="00236980"/>
    <w:rsid w:val="00236B10"/>
    <w:rsid w:val="00236CDB"/>
    <w:rsid w:val="00236DFE"/>
    <w:rsid w:val="00236F51"/>
    <w:rsid w:val="00236FB1"/>
    <w:rsid w:val="002370C6"/>
    <w:rsid w:val="00237331"/>
    <w:rsid w:val="00237576"/>
    <w:rsid w:val="00237B54"/>
    <w:rsid w:val="00237F44"/>
    <w:rsid w:val="002400FF"/>
    <w:rsid w:val="0024043A"/>
    <w:rsid w:val="0024077E"/>
    <w:rsid w:val="00240BBB"/>
    <w:rsid w:val="00240C51"/>
    <w:rsid w:val="00241170"/>
    <w:rsid w:val="002415F5"/>
    <w:rsid w:val="002415FF"/>
    <w:rsid w:val="002417BE"/>
    <w:rsid w:val="002418E5"/>
    <w:rsid w:val="002418FC"/>
    <w:rsid w:val="00241B97"/>
    <w:rsid w:val="00241C61"/>
    <w:rsid w:val="00241E16"/>
    <w:rsid w:val="00241F09"/>
    <w:rsid w:val="00241F4B"/>
    <w:rsid w:val="00242111"/>
    <w:rsid w:val="00242333"/>
    <w:rsid w:val="00242339"/>
    <w:rsid w:val="00242A28"/>
    <w:rsid w:val="00242EC9"/>
    <w:rsid w:val="002430EB"/>
    <w:rsid w:val="00243588"/>
    <w:rsid w:val="00243959"/>
    <w:rsid w:val="00243A79"/>
    <w:rsid w:val="00243AA9"/>
    <w:rsid w:val="00243D07"/>
    <w:rsid w:val="00244297"/>
    <w:rsid w:val="00244491"/>
    <w:rsid w:val="00244777"/>
    <w:rsid w:val="00244A24"/>
    <w:rsid w:val="00244A3C"/>
    <w:rsid w:val="00244E05"/>
    <w:rsid w:val="00244E4C"/>
    <w:rsid w:val="002450A7"/>
    <w:rsid w:val="002450F0"/>
    <w:rsid w:val="0024522B"/>
    <w:rsid w:val="002452F4"/>
    <w:rsid w:val="00245387"/>
    <w:rsid w:val="0024542A"/>
    <w:rsid w:val="002458A4"/>
    <w:rsid w:val="00245BF1"/>
    <w:rsid w:val="00245DA9"/>
    <w:rsid w:val="00246042"/>
    <w:rsid w:val="002460B2"/>
    <w:rsid w:val="00246CB1"/>
    <w:rsid w:val="00246E5A"/>
    <w:rsid w:val="0024716B"/>
    <w:rsid w:val="0024760B"/>
    <w:rsid w:val="00247667"/>
    <w:rsid w:val="0024794F"/>
    <w:rsid w:val="00247CAB"/>
    <w:rsid w:val="00247DA5"/>
    <w:rsid w:val="00247FE9"/>
    <w:rsid w:val="002502B0"/>
    <w:rsid w:val="002503E5"/>
    <w:rsid w:val="00250957"/>
    <w:rsid w:val="00250A4C"/>
    <w:rsid w:val="00250C34"/>
    <w:rsid w:val="002510EE"/>
    <w:rsid w:val="0025147C"/>
    <w:rsid w:val="00251789"/>
    <w:rsid w:val="002517DA"/>
    <w:rsid w:val="002517EE"/>
    <w:rsid w:val="00251BBF"/>
    <w:rsid w:val="00252129"/>
    <w:rsid w:val="00252280"/>
    <w:rsid w:val="00252322"/>
    <w:rsid w:val="00252DFE"/>
    <w:rsid w:val="0025323F"/>
    <w:rsid w:val="002532D4"/>
    <w:rsid w:val="00253544"/>
    <w:rsid w:val="0025365B"/>
    <w:rsid w:val="00253740"/>
    <w:rsid w:val="002538D6"/>
    <w:rsid w:val="00253B01"/>
    <w:rsid w:val="00253B5F"/>
    <w:rsid w:val="00253C20"/>
    <w:rsid w:val="00253D7E"/>
    <w:rsid w:val="00253FC5"/>
    <w:rsid w:val="002540F6"/>
    <w:rsid w:val="0025432E"/>
    <w:rsid w:val="00254CF1"/>
    <w:rsid w:val="00254F0D"/>
    <w:rsid w:val="00255084"/>
    <w:rsid w:val="00255C2A"/>
    <w:rsid w:val="00255C39"/>
    <w:rsid w:val="00255F89"/>
    <w:rsid w:val="00256382"/>
    <w:rsid w:val="002565E2"/>
    <w:rsid w:val="00256704"/>
    <w:rsid w:val="00256830"/>
    <w:rsid w:val="002569AF"/>
    <w:rsid w:val="00256DB7"/>
    <w:rsid w:val="00256E8C"/>
    <w:rsid w:val="00257560"/>
    <w:rsid w:val="00257564"/>
    <w:rsid w:val="0025765E"/>
    <w:rsid w:val="00257DA2"/>
    <w:rsid w:val="00257F14"/>
    <w:rsid w:val="00260298"/>
    <w:rsid w:val="00260583"/>
    <w:rsid w:val="00260646"/>
    <w:rsid w:val="002607D8"/>
    <w:rsid w:val="00260D4C"/>
    <w:rsid w:val="0026161D"/>
    <w:rsid w:val="002618EA"/>
    <w:rsid w:val="0026191E"/>
    <w:rsid w:val="00261985"/>
    <w:rsid w:val="0026206A"/>
    <w:rsid w:val="0026221B"/>
    <w:rsid w:val="0026228F"/>
    <w:rsid w:val="002624EA"/>
    <w:rsid w:val="00262B3F"/>
    <w:rsid w:val="00262B62"/>
    <w:rsid w:val="00262B78"/>
    <w:rsid w:val="00262EE3"/>
    <w:rsid w:val="00263394"/>
    <w:rsid w:val="0026365E"/>
    <w:rsid w:val="002636E7"/>
    <w:rsid w:val="00263765"/>
    <w:rsid w:val="002637B3"/>
    <w:rsid w:val="00263A6C"/>
    <w:rsid w:val="00263B6D"/>
    <w:rsid w:val="00263C71"/>
    <w:rsid w:val="00263D11"/>
    <w:rsid w:val="00263F14"/>
    <w:rsid w:val="002642FD"/>
    <w:rsid w:val="0026436D"/>
    <w:rsid w:val="002645D7"/>
    <w:rsid w:val="002647DF"/>
    <w:rsid w:val="0026480B"/>
    <w:rsid w:val="002653A7"/>
    <w:rsid w:val="00265564"/>
    <w:rsid w:val="00265C60"/>
    <w:rsid w:val="00265D2C"/>
    <w:rsid w:val="00265F9E"/>
    <w:rsid w:val="0026626F"/>
    <w:rsid w:val="002662B6"/>
    <w:rsid w:val="002664C5"/>
    <w:rsid w:val="0026652B"/>
    <w:rsid w:val="002667EF"/>
    <w:rsid w:val="002668E6"/>
    <w:rsid w:val="00266B8F"/>
    <w:rsid w:val="00267484"/>
    <w:rsid w:val="0026756A"/>
    <w:rsid w:val="0026759E"/>
    <w:rsid w:val="0026763F"/>
    <w:rsid w:val="002676A7"/>
    <w:rsid w:val="00267712"/>
    <w:rsid w:val="002679CD"/>
    <w:rsid w:val="00267A47"/>
    <w:rsid w:val="00267B2C"/>
    <w:rsid w:val="00267BA8"/>
    <w:rsid w:val="00267E16"/>
    <w:rsid w:val="00267FB8"/>
    <w:rsid w:val="0027022A"/>
    <w:rsid w:val="002703A5"/>
    <w:rsid w:val="002706DA"/>
    <w:rsid w:val="002706F0"/>
    <w:rsid w:val="00270A44"/>
    <w:rsid w:val="00270B37"/>
    <w:rsid w:val="00270BF9"/>
    <w:rsid w:val="00270EC4"/>
    <w:rsid w:val="00270F5A"/>
    <w:rsid w:val="00271199"/>
    <w:rsid w:val="0027174A"/>
    <w:rsid w:val="00271916"/>
    <w:rsid w:val="00272421"/>
    <w:rsid w:val="002724DE"/>
    <w:rsid w:val="0027270F"/>
    <w:rsid w:val="00272DB5"/>
    <w:rsid w:val="00272F33"/>
    <w:rsid w:val="00272F4C"/>
    <w:rsid w:val="00273052"/>
    <w:rsid w:val="002730C4"/>
    <w:rsid w:val="002730E6"/>
    <w:rsid w:val="00273213"/>
    <w:rsid w:val="00273248"/>
    <w:rsid w:val="0027341A"/>
    <w:rsid w:val="00273783"/>
    <w:rsid w:val="00273870"/>
    <w:rsid w:val="0027389A"/>
    <w:rsid w:val="00273A21"/>
    <w:rsid w:val="00273D06"/>
    <w:rsid w:val="00274044"/>
    <w:rsid w:val="002741C8"/>
    <w:rsid w:val="00274376"/>
    <w:rsid w:val="0027452C"/>
    <w:rsid w:val="00274A1D"/>
    <w:rsid w:val="00274A5C"/>
    <w:rsid w:val="00274A7F"/>
    <w:rsid w:val="00274C41"/>
    <w:rsid w:val="00274DA4"/>
    <w:rsid w:val="00274E7F"/>
    <w:rsid w:val="0027522A"/>
    <w:rsid w:val="00275265"/>
    <w:rsid w:val="00275352"/>
    <w:rsid w:val="00275B24"/>
    <w:rsid w:val="00275E81"/>
    <w:rsid w:val="002762C9"/>
    <w:rsid w:val="0027671D"/>
    <w:rsid w:val="00276DBA"/>
    <w:rsid w:val="00276E13"/>
    <w:rsid w:val="00276FEA"/>
    <w:rsid w:val="0027733C"/>
    <w:rsid w:val="00277551"/>
    <w:rsid w:val="002775E3"/>
    <w:rsid w:val="002778E1"/>
    <w:rsid w:val="00280248"/>
    <w:rsid w:val="002807F4"/>
    <w:rsid w:val="00280B0C"/>
    <w:rsid w:val="00280CDD"/>
    <w:rsid w:val="00280D29"/>
    <w:rsid w:val="00280F61"/>
    <w:rsid w:val="00281214"/>
    <w:rsid w:val="00281218"/>
    <w:rsid w:val="00281245"/>
    <w:rsid w:val="00281319"/>
    <w:rsid w:val="002819E1"/>
    <w:rsid w:val="00281D13"/>
    <w:rsid w:val="00281D7C"/>
    <w:rsid w:val="0028202F"/>
    <w:rsid w:val="00282477"/>
    <w:rsid w:val="0028267B"/>
    <w:rsid w:val="00282895"/>
    <w:rsid w:val="00282C6F"/>
    <w:rsid w:val="00282CBB"/>
    <w:rsid w:val="00282E5D"/>
    <w:rsid w:val="00282F1E"/>
    <w:rsid w:val="00282F4D"/>
    <w:rsid w:val="002830DA"/>
    <w:rsid w:val="00283465"/>
    <w:rsid w:val="00283501"/>
    <w:rsid w:val="00283525"/>
    <w:rsid w:val="002836CE"/>
    <w:rsid w:val="00283AE5"/>
    <w:rsid w:val="0028400A"/>
    <w:rsid w:val="0028414D"/>
    <w:rsid w:val="0028428E"/>
    <w:rsid w:val="00284497"/>
    <w:rsid w:val="002845DA"/>
    <w:rsid w:val="00284626"/>
    <w:rsid w:val="00284725"/>
    <w:rsid w:val="00284842"/>
    <w:rsid w:val="00284861"/>
    <w:rsid w:val="0028491E"/>
    <w:rsid w:val="00284929"/>
    <w:rsid w:val="0028508F"/>
    <w:rsid w:val="00285355"/>
    <w:rsid w:val="00285364"/>
    <w:rsid w:val="00285614"/>
    <w:rsid w:val="00285A65"/>
    <w:rsid w:val="00285B13"/>
    <w:rsid w:val="002864A8"/>
    <w:rsid w:val="00286741"/>
    <w:rsid w:val="002868EA"/>
    <w:rsid w:val="00286A05"/>
    <w:rsid w:val="00286A9E"/>
    <w:rsid w:val="00286AE1"/>
    <w:rsid w:val="00286B63"/>
    <w:rsid w:val="00286E7D"/>
    <w:rsid w:val="00287175"/>
    <w:rsid w:val="00287462"/>
    <w:rsid w:val="002876AD"/>
    <w:rsid w:val="002879C4"/>
    <w:rsid w:val="002879DE"/>
    <w:rsid w:val="00287A45"/>
    <w:rsid w:val="00287A9A"/>
    <w:rsid w:val="00290298"/>
    <w:rsid w:val="002904FA"/>
    <w:rsid w:val="00290523"/>
    <w:rsid w:val="0029061C"/>
    <w:rsid w:val="0029074C"/>
    <w:rsid w:val="00290CF7"/>
    <w:rsid w:val="00290DB6"/>
    <w:rsid w:val="002914E8"/>
    <w:rsid w:val="00291653"/>
    <w:rsid w:val="0029182E"/>
    <w:rsid w:val="002918E3"/>
    <w:rsid w:val="00291CB3"/>
    <w:rsid w:val="0029202A"/>
    <w:rsid w:val="0029291F"/>
    <w:rsid w:val="00292ED0"/>
    <w:rsid w:val="00293120"/>
    <w:rsid w:val="00293302"/>
    <w:rsid w:val="00293C68"/>
    <w:rsid w:val="00294AD9"/>
    <w:rsid w:val="00294D06"/>
    <w:rsid w:val="00295471"/>
    <w:rsid w:val="00295F89"/>
    <w:rsid w:val="0029633A"/>
    <w:rsid w:val="00296931"/>
    <w:rsid w:val="00296A5D"/>
    <w:rsid w:val="00296AEA"/>
    <w:rsid w:val="00296B37"/>
    <w:rsid w:val="00296BB0"/>
    <w:rsid w:val="0029728D"/>
    <w:rsid w:val="002978D8"/>
    <w:rsid w:val="00297C15"/>
    <w:rsid w:val="00297FDC"/>
    <w:rsid w:val="002A0380"/>
    <w:rsid w:val="002A0529"/>
    <w:rsid w:val="002A07EC"/>
    <w:rsid w:val="002A0D6E"/>
    <w:rsid w:val="002A0FA0"/>
    <w:rsid w:val="002A19F2"/>
    <w:rsid w:val="002A21EA"/>
    <w:rsid w:val="002A2562"/>
    <w:rsid w:val="002A2616"/>
    <w:rsid w:val="002A28D5"/>
    <w:rsid w:val="002A28ED"/>
    <w:rsid w:val="002A2F19"/>
    <w:rsid w:val="002A34E2"/>
    <w:rsid w:val="002A37BE"/>
    <w:rsid w:val="002A3D65"/>
    <w:rsid w:val="002A40C7"/>
    <w:rsid w:val="002A42D3"/>
    <w:rsid w:val="002A4319"/>
    <w:rsid w:val="002A4669"/>
    <w:rsid w:val="002A487D"/>
    <w:rsid w:val="002A499A"/>
    <w:rsid w:val="002A4A94"/>
    <w:rsid w:val="002A4BE4"/>
    <w:rsid w:val="002A4EA9"/>
    <w:rsid w:val="002A4F20"/>
    <w:rsid w:val="002A530A"/>
    <w:rsid w:val="002A5311"/>
    <w:rsid w:val="002A5374"/>
    <w:rsid w:val="002A5409"/>
    <w:rsid w:val="002A5602"/>
    <w:rsid w:val="002A5893"/>
    <w:rsid w:val="002A589A"/>
    <w:rsid w:val="002A5908"/>
    <w:rsid w:val="002A5AA2"/>
    <w:rsid w:val="002A5B04"/>
    <w:rsid w:val="002A5BAD"/>
    <w:rsid w:val="002A5CAF"/>
    <w:rsid w:val="002A5ED5"/>
    <w:rsid w:val="002A6115"/>
    <w:rsid w:val="002A6210"/>
    <w:rsid w:val="002A64FE"/>
    <w:rsid w:val="002A66A7"/>
    <w:rsid w:val="002A67E1"/>
    <w:rsid w:val="002A68AF"/>
    <w:rsid w:val="002A6932"/>
    <w:rsid w:val="002A6A05"/>
    <w:rsid w:val="002A6E99"/>
    <w:rsid w:val="002A7D01"/>
    <w:rsid w:val="002A7E6B"/>
    <w:rsid w:val="002A7F57"/>
    <w:rsid w:val="002B0347"/>
    <w:rsid w:val="002B0517"/>
    <w:rsid w:val="002B0595"/>
    <w:rsid w:val="002B06F5"/>
    <w:rsid w:val="002B0AD1"/>
    <w:rsid w:val="002B0AF9"/>
    <w:rsid w:val="002B0C53"/>
    <w:rsid w:val="002B0C61"/>
    <w:rsid w:val="002B0CE7"/>
    <w:rsid w:val="002B0E68"/>
    <w:rsid w:val="002B1128"/>
    <w:rsid w:val="002B119F"/>
    <w:rsid w:val="002B160A"/>
    <w:rsid w:val="002B176A"/>
    <w:rsid w:val="002B1D27"/>
    <w:rsid w:val="002B1ECC"/>
    <w:rsid w:val="002B1ECD"/>
    <w:rsid w:val="002B1FB1"/>
    <w:rsid w:val="002B20B1"/>
    <w:rsid w:val="002B2223"/>
    <w:rsid w:val="002B2745"/>
    <w:rsid w:val="002B2B1C"/>
    <w:rsid w:val="002B2BAC"/>
    <w:rsid w:val="002B2F4D"/>
    <w:rsid w:val="002B3053"/>
    <w:rsid w:val="002B31FF"/>
    <w:rsid w:val="002B36AB"/>
    <w:rsid w:val="002B36C2"/>
    <w:rsid w:val="002B386D"/>
    <w:rsid w:val="002B3B74"/>
    <w:rsid w:val="002B3F8D"/>
    <w:rsid w:val="002B41DD"/>
    <w:rsid w:val="002B48AE"/>
    <w:rsid w:val="002B48B6"/>
    <w:rsid w:val="002B4979"/>
    <w:rsid w:val="002B4A5E"/>
    <w:rsid w:val="002B4CAB"/>
    <w:rsid w:val="002B5067"/>
    <w:rsid w:val="002B54F5"/>
    <w:rsid w:val="002B5A13"/>
    <w:rsid w:val="002B5D13"/>
    <w:rsid w:val="002B5E9C"/>
    <w:rsid w:val="002B5EE2"/>
    <w:rsid w:val="002B5F4C"/>
    <w:rsid w:val="002B5F98"/>
    <w:rsid w:val="002B6085"/>
    <w:rsid w:val="002B60C7"/>
    <w:rsid w:val="002B6492"/>
    <w:rsid w:val="002B6543"/>
    <w:rsid w:val="002B68FF"/>
    <w:rsid w:val="002B6BF9"/>
    <w:rsid w:val="002B6CB4"/>
    <w:rsid w:val="002B6D72"/>
    <w:rsid w:val="002B6EAA"/>
    <w:rsid w:val="002B6F96"/>
    <w:rsid w:val="002B74B0"/>
    <w:rsid w:val="002B7869"/>
    <w:rsid w:val="002B7958"/>
    <w:rsid w:val="002B7999"/>
    <w:rsid w:val="002B7F90"/>
    <w:rsid w:val="002B7F95"/>
    <w:rsid w:val="002C00A7"/>
    <w:rsid w:val="002C0706"/>
    <w:rsid w:val="002C08C9"/>
    <w:rsid w:val="002C0B1B"/>
    <w:rsid w:val="002C1095"/>
    <w:rsid w:val="002C17C0"/>
    <w:rsid w:val="002C18E2"/>
    <w:rsid w:val="002C1999"/>
    <w:rsid w:val="002C1B99"/>
    <w:rsid w:val="002C1CD1"/>
    <w:rsid w:val="002C1E43"/>
    <w:rsid w:val="002C1F20"/>
    <w:rsid w:val="002C21ED"/>
    <w:rsid w:val="002C2542"/>
    <w:rsid w:val="002C25A3"/>
    <w:rsid w:val="002C28A6"/>
    <w:rsid w:val="002C299E"/>
    <w:rsid w:val="002C3A6D"/>
    <w:rsid w:val="002C3C0F"/>
    <w:rsid w:val="002C3C17"/>
    <w:rsid w:val="002C3C62"/>
    <w:rsid w:val="002C4089"/>
    <w:rsid w:val="002C4171"/>
    <w:rsid w:val="002C4542"/>
    <w:rsid w:val="002C45BC"/>
    <w:rsid w:val="002C470E"/>
    <w:rsid w:val="002C4A0D"/>
    <w:rsid w:val="002C4DA7"/>
    <w:rsid w:val="002C5545"/>
    <w:rsid w:val="002C5610"/>
    <w:rsid w:val="002C5BA5"/>
    <w:rsid w:val="002C6544"/>
    <w:rsid w:val="002C67D1"/>
    <w:rsid w:val="002C68E6"/>
    <w:rsid w:val="002C69BA"/>
    <w:rsid w:val="002C6BEE"/>
    <w:rsid w:val="002C6DCA"/>
    <w:rsid w:val="002C7032"/>
    <w:rsid w:val="002C73C0"/>
    <w:rsid w:val="002C7927"/>
    <w:rsid w:val="002C7C67"/>
    <w:rsid w:val="002D081D"/>
    <w:rsid w:val="002D0855"/>
    <w:rsid w:val="002D08A0"/>
    <w:rsid w:val="002D0A93"/>
    <w:rsid w:val="002D0BDB"/>
    <w:rsid w:val="002D0D7C"/>
    <w:rsid w:val="002D11DB"/>
    <w:rsid w:val="002D1494"/>
    <w:rsid w:val="002D1750"/>
    <w:rsid w:val="002D17C8"/>
    <w:rsid w:val="002D1EA7"/>
    <w:rsid w:val="002D1FD9"/>
    <w:rsid w:val="002D202E"/>
    <w:rsid w:val="002D21AB"/>
    <w:rsid w:val="002D27A2"/>
    <w:rsid w:val="002D2B38"/>
    <w:rsid w:val="002D2C9C"/>
    <w:rsid w:val="002D2F41"/>
    <w:rsid w:val="002D2F56"/>
    <w:rsid w:val="002D2FB5"/>
    <w:rsid w:val="002D3574"/>
    <w:rsid w:val="002D35AB"/>
    <w:rsid w:val="002D408F"/>
    <w:rsid w:val="002D43A2"/>
    <w:rsid w:val="002D44E6"/>
    <w:rsid w:val="002D4640"/>
    <w:rsid w:val="002D4652"/>
    <w:rsid w:val="002D4903"/>
    <w:rsid w:val="002D4B46"/>
    <w:rsid w:val="002D4B92"/>
    <w:rsid w:val="002D4C1F"/>
    <w:rsid w:val="002D4CE5"/>
    <w:rsid w:val="002D4DEA"/>
    <w:rsid w:val="002D4F63"/>
    <w:rsid w:val="002D5081"/>
    <w:rsid w:val="002D5309"/>
    <w:rsid w:val="002D5500"/>
    <w:rsid w:val="002D56A6"/>
    <w:rsid w:val="002D56E9"/>
    <w:rsid w:val="002D574A"/>
    <w:rsid w:val="002D5884"/>
    <w:rsid w:val="002D589B"/>
    <w:rsid w:val="002D5964"/>
    <w:rsid w:val="002D5D13"/>
    <w:rsid w:val="002D5E1F"/>
    <w:rsid w:val="002D5F6D"/>
    <w:rsid w:val="002D6B1F"/>
    <w:rsid w:val="002D6F01"/>
    <w:rsid w:val="002D70F3"/>
    <w:rsid w:val="002D733B"/>
    <w:rsid w:val="002D76D7"/>
    <w:rsid w:val="002D7A64"/>
    <w:rsid w:val="002D7ABE"/>
    <w:rsid w:val="002D7B4C"/>
    <w:rsid w:val="002E00A8"/>
    <w:rsid w:val="002E00C1"/>
    <w:rsid w:val="002E05EC"/>
    <w:rsid w:val="002E0892"/>
    <w:rsid w:val="002E0924"/>
    <w:rsid w:val="002E0A09"/>
    <w:rsid w:val="002E0B2D"/>
    <w:rsid w:val="002E0CD8"/>
    <w:rsid w:val="002E0E8F"/>
    <w:rsid w:val="002E1072"/>
    <w:rsid w:val="002E1305"/>
    <w:rsid w:val="002E182C"/>
    <w:rsid w:val="002E185A"/>
    <w:rsid w:val="002E19D4"/>
    <w:rsid w:val="002E19D7"/>
    <w:rsid w:val="002E1BAA"/>
    <w:rsid w:val="002E1F5B"/>
    <w:rsid w:val="002E1F6C"/>
    <w:rsid w:val="002E1FF2"/>
    <w:rsid w:val="002E23E0"/>
    <w:rsid w:val="002E28B8"/>
    <w:rsid w:val="002E2905"/>
    <w:rsid w:val="002E2A94"/>
    <w:rsid w:val="002E2D11"/>
    <w:rsid w:val="002E3329"/>
    <w:rsid w:val="002E3AFE"/>
    <w:rsid w:val="002E401B"/>
    <w:rsid w:val="002E46D3"/>
    <w:rsid w:val="002E4AAD"/>
    <w:rsid w:val="002E5071"/>
    <w:rsid w:val="002E528C"/>
    <w:rsid w:val="002E5853"/>
    <w:rsid w:val="002E58C3"/>
    <w:rsid w:val="002E5A39"/>
    <w:rsid w:val="002E5BE9"/>
    <w:rsid w:val="002E5CD2"/>
    <w:rsid w:val="002E5D52"/>
    <w:rsid w:val="002E5EEF"/>
    <w:rsid w:val="002E6B8F"/>
    <w:rsid w:val="002E7165"/>
    <w:rsid w:val="002E7178"/>
    <w:rsid w:val="002E77E4"/>
    <w:rsid w:val="002E7968"/>
    <w:rsid w:val="002E7A2E"/>
    <w:rsid w:val="002E7C01"/>
    <w:rsid w:val="002F0412"/>
    <w:rsid w:val="002F05B7"/>
    <w:rsid w:val="002F06D8"/>
    <w:rsid w:val="002F100C"/>
    <w:rsid w:val="002F10F5"/>
    <w:rsid w:val="002F11AB"/>
    <w:rsid w:val="002F11FE"/>
    <w:rsid w:val="002F12F6"/>
    <w:rsid w:val="002F1302"/>
    <w:rsid w:val="002F1C40"/>
    <w:rsid w:val="002F2575"/>
    <w:rsid w:val="002F278D"/>
    <w:rsid w:val="002F2883"/>
    <w:rsid w:val="002F2A1A"/>
    <w:rsid w:val="002F2ABF"/>
    <w:rsid w:val="002F300D"/>
    <w:rsid w:val="002F307C"/>
    <w:rsid w:val="002F343D"/>
    <w:rsid w:val="002F379A"/>
    <w:rsid w:val="002F380D"/>
    <w:rsid w:val="002F3936"/>
    <w:rsid w:val="002F3BF7"/>
    <w:rsid w:val="002F3DAA"/>
    <w:rsid w:val="002F3DE6"/>
    <w:rsid w:val="002F447F"/>
    <w:rsid w:val="002F44FE"/>
    <w:rsid w:val="002F4CB5"/>
    <w:rsid w:val="002F5D91"/>
    <w:rsid w:val="002F626C"/>
    <w:rsid w:val="002F65B6"/>
    <w:rsid w:val="002F668A"/>
    <w:rsid w:val="002F69BA"/>
    <w:rsid w:val="002F6F67"/>
    <w:rsid w:val="002F6F80"/>
    <w:rsid w:val="002F735B"/>
    <w:rsid w:val="002F7637"/>
    <w:rsid w:val="002F76E8"/>
    <w:rsid w:val="002F77BC"/>
    <w:rsid w:val="002F7C26"/>
    <w:rsid w:val="002F7C86"/>
    <w:rsid w:val="002FB1D4"/>
    <w:rsid w:val="0030038E"/>
    <w:rsid w:val="0030047D"/>
    <w:rsid w:val="003011A9"/>
    <w:rsid w:val="003017DC"/>
    <w:rsid w:val="00301A2B"/>
    <w:rsid w:val="00301AA2"/>
    <w:rsid w:val="00301B57"/>
    <w:rsid w:val="00301BC7"/>
    <w:rsid w:val="00301BD2"/>
    <w:rsid w:val="00301D9F"/>
    <w:rsid w:val="00301F31"/>
    <w:rsid w:val="00301F5E"/>
    <w:rsid w:val="003022C6"/>
    <w:rsid w:val="003022EE"/>
    <w:rsid w:val="0030272C"/>
    <w:rsid w:val="00302BDD"/>
    <w:rsid w:val="00302C31"/>
    <w:rsid w:val="0030331C"/>
    <w:rsid w:val="003033DA"/>
    <w:rsid w:val="003034B7"/>
    <w:rsid w:val="003036C5"/>
    <w:rsid w:val="00303748"/>
    <w:rsid w:val="003038C7"/>
    <w:rsid w:val="0030391B"/>
    <w:rsid w:val="00303FBB"/>
    <w:rsid w:val="0030428F"/>
    <w:rsid w:val="00304322"/>
    <w:rsid w:val="00304BB5"/>
    <w:rsid w:val="00304D5C"/>
    <w:rsid w:val="003050D6"/>
    <w:rsid w:val="0030525F"/>
    <w:rsid w:val="00305632"/>
    <w:rsid w:val="0030568A"/>
    <w:rsid w:val="00306130"/>
    <w:rsid w:val="00306883"/>
    <w:rsid w:val="00306B0E"/>
    <w:rsid w:val="00306D19"/>
    <w:rsid w:val="00306D3E"/>
    <w:rsid w:val="00306EEE"/>
    <w:rsid w:val="00306F58"/>
    <w:rsid w:val="00307019"/>
    <w:rsid w:val="003078A5"/>
    <w:rsid w:val="00307B6A"/>
    <w:rsid w:val="00307C66"/>
    <w:rsid w:val="00310079"/>
    <w:rsid w:val="003108CE"/>
    <w:rsid w:val="00310B3C"/>
    <w:rsid w:val="00310CBF"/>
    <w:rsid w:val="0031137C"/>
    <w:rsid w:val="00311BC7"/>
    <w:rsid w:val="00311C68"/>
    <w:rsid w:val="0031215D"/>
    <w:rsid w:val="003121D2"/>
    <w:rsid w:val="00312415"/>
    <w:rsid w:val="00312708"/>
    <w:rsid w:val="00312750"/>
    <w:rsid w:val="0031275A"/>
    <w:rsid w:val="003127F6"/>
    <w:rsid w:val="003128F8"/>
    <w:rsid w:val="00312A24"/>
    <w:rsid w:val="00312A54"/>
    <w:rsid w:val="00312EDC"/>
    <w:rsid w:val="00313302"/>
    <w:rsid w:val="00313565"/>
    <w:rsid w:val="00313AF2"/>
    <w:rsid w:val="00313E38"/>
    <w:rsid w:val="003140E3"/>
    <w:rsid w:val="003145B9"/>
    <w:rsid w:val="00314A15"/>
    <w:rsid w:val="00314D37"/>
    <w:rsid w:val="00314F12"/>
    <w:rsid w:val="0031513A"/>
    <w:rsid w:val="003153BD"/>
    <w:rsid w:val="003155FD"/>
    <w:rsid w:val="003158CD"/>
    <w:rsid w:val="00315B38"/>
    <w:rsid w:val="00315EE3"/>
    <w:rsid w:val="00315FCB"/>
    <w:rsid w:val="0031637B"/>
    <w:rsid w:val="00316406"/>
    <w:rsid w:val="003168CD"/>
    <w:rsid w:val="003172FA"/>
    <w:rsid w:val="003178E6"/>
    <w:rsid w:val="003179AB"/>
    <w:rsid w:val="00317FF4"/>
    <w:rsid w:val="00320486"/>
    <w:rsid w:val="0032068C"/>
    <w:rsid w:val="003206D8"/>
    <w:rsid w:val="00320A4F"/>
    <w:rsid w:val="00320AF0"/>
    <w:rsid w:val="00320B42"/>
    <w:rsid w:val="00320C6C"/>
    <w:rsid w:val="00321186"/>
    <w:rsid w:val="003213C5"/>
    <w:rsid w:val="003215D3"/>
    <w:rsid w:val="003216EF"/>
    <w:rsid w:val="00321AD8"/>
    <w:rsid w:val="00321AEF"/>
    <w:rsid w:val="00321D9D"/>
    <w:rsid w:val="00321DA9"/>
    <w:rsid w:val="00321E2B"/>
    <w:rsid w:val="003223FF"/>
    <w:rsid w:val="00322489"/>
    <w:rsid w:val="00322539"/>
    <w:rsid w:val="00322614"/>
    <w:rsid w:val="00322623"/>
    <w:rsid w:val="00322687"/>
    <w:rsid w:val="0032286C"/>
    <w:rsid w:val="00322AC8"/>
    <w:rsid w:val="00322F25"/>
    <w:rsid w:val="00323355"/>
    <w:rsid w:val="00323460"/>
    <w:rsid w:val="00323924"/>
    <w:rsid w:val="003239BD"/>
    <w:rsid w:val="003239E4"/>
    <w:rsid w:val="00323B75"/>
    <w:rsid w:val="00323B9C"/>
    <w:rsid w:val="00323BCB"/>
    <w:rsid w:val="00323E14"/>
    <w:rsid w:val="00323EC3"/>
    <w:rsid w:val="00323EDD"/>
    <w:rsid w:val="00323F03"/>
    <w:rsid w:val="00323F34"/>
    <w:rsid w:val="00324185"/>
    <w:rsid w:val="00324B78"/>
    <w:rsid w:val="00324C17"/>
    <w:rsid w:val="00324D14"/>
    <w:rsid w:val="0032503E"/>
    <w:rsid w:val="0032567F"/>
    <w:rsid w:val="003258A1"/>
    <w:rsid w:val="00325B98"/>
    <w:rsid w:val="00325BBE"/>
    <w:rsid w:val="003260C4"/>
    <w:rsid w:val="003260FC"/>
    <w:rsid w:val="003261FF"/>
    <w:rsid w:val="003264C1"/>
    <w:rsid w:val="0032656C"/>
    <w:rsid w:val="0032658E"/>
    <w:rsid w:val="00326637"/>
    <w:rsid w:val="00326795"/>
    <w:rsid w:val="00326A45"/>
    <w:rsid w:val="00326E43"/>
    <w:rsid w:val="00326ECC"/>
    <w:rsid w:val="0032727C"/>
    <w:rsid w:val="00327978"/>
    <w:rsid w:val="00330206"/>
    <w:rsid w:val="003302F0"/>
    <w:rsid w:val="00330B17"/>
    <w:rsid w:val="00330C08"/>
    <w:rsid w:val="00330CAE"/>
    <w:rsid w:val="00330CEA"/>
    <w:rsid w:val="00330EE3"/>
    <w:rsid w:val="003310C1"/>
    <w:rsid w:val="00331240"/>
    <w:rsid w:val="003313D6"/>
    <w:rsid w:val="00331499"/>
    <w:rsid w:val="00331661"/>
    <w:rsid w:val="00331733"/>
    <w:rsid w:val="003322B0"/>
    <w:rsid w:val="00332450"/>
    <w:rsid w:val="00332C42"/>
    <w:rsid w:val="00332F00"/>
    <w:rsid w:val="003335F1"/>
    <w:rsid w:val="00333898"/>
    <w:rsid w:val="00333A8A"/>
    <w:rsid w:val="00333CDD"/>
    <w:rsid w:val="00333F74"/>
    <w:rsid w:val="0033416E"/>
    <w:rsid w:val="003342AA"/>
    <w:rsid w:val="00334363"/>
    <w:rsid w:val="003345E7"/>
    <w:rsid w:val="00334DEA"/>
    <w:rsid w:val="00335044"/>
    <w:rsid w:val="003351FB"/>
    <w:rsid w:val="003352A5"/>
    <w:rsid w:val="0033587E"/>
    <w:rsid w:val="00335A9F"/>
    <w:rsid w:val="00335C08"/>
    <w:rsid w:val="00335E12"/>
    <w:rsid w:val="003361D2"/>
    <w:rsid w:val="00336992"/>
    <w:rsid w:val="00336BEB"/>
    <w:rsid w:val="00337269"/>
    <w:rsid w:val="003374AF"/>
    <w:rsid w:val="003375E6"/>
    <w:rsid w:val="0033787D"/>
    <w:rsid w:val="00337A5B"/>
    <w:rsid w:val="00337D0A"/>
    <w:rsid w:val="00337FCD"/>
    <w:rsid w:val="00337FE1"/>
    <w:rsid w:val="00340146"/>
    <w:rsid w:val="00340671"/>
    <w:rsid w:val="00340734"/>
    <w:rsid w:val="00340AC4"/>
    <w:rsid w:val="0034140B"/>
    <w:rsid w:val="00341470"/>
    <w:rsid w:val="00341600"/>
    <w:rsid w:val="003416AE"/>
    <w:rsid w:val="00341E2B"/>
    <w:rsid w:val="003422D8"/>
    <w:rsid w:val="0034288B"/>
    <w:rsid w:val="003428FA"/>
    <w:rsid w:val="003429F6"/>
    <w:rsid w:val="00342A66"/>
    <w:rsid w:val="00342BDE"/>
    <w:rsid w:val="00342EF0"/>
    <w:rsid w:val="00342FA1"/>
    <w:rsid w:val="0034320F"/>
    <w:rsid w:val="0034325A"/>
    <w:rsid w:val="00343843"/>
    <w:rsid w:val="003438D8"/>
    <w:rsid w:val="00343AFE"/>
    <w:rsid w:val="00343D34"/>
    <w:rsid w:val="00343EC8"/>
    <w:rsid w:val="0034420A"/>
    <w:rsid w:val="0034423A"/>
    <w:rsid w:val="0034449F"/>
    <w:rsid w:val="003444D9"/>
    <w:rsid w:val="0034451E"/>
    <w:rsid w:val="0034454E"/>
    <w:rsid w:val="00344632"/>
    <w:rsid w:val="003447C4"/>
    <w:rsid w:val="00344C29"/>
    <w:rsid w:val="00344F8A"/>
    <w:rsid w:val="003456F7"/>
    <w:rsid w:val="00345B29"/>
    <w:rsid w:val="003460D2"/>
    <w:rsid w:val="00346315"/>
    <w:rsid w:val="00346829"/>
    <w:rsid w:val="00346A99"/>
    <w:rsid w:val="00346D03"/>
    <w:rsid w:val="00346DA4"/>
    <w:rsid w:val="00346DB1"/>
    <w:rsid w:val="003470F9"/>
    <w:rsid w:val="0034723E"/>
    <w:rsid w:val="003476DD"/>
    <w:rsid w:val="0034779A"/>
    <w:rsid w:val="00347896"/>
    <w:rsid w:val="00347B2C"/>
    <w:rsid w:val="00347DAD"/>
    <w:rsid w:val="00347DED"/>
    <w:rsid w:val="003501D4"/>
    <w:rsid w:val="00350923"/>
    <w:rsid w:val="00350B4D"/>
    <w:rsid w:val="00350BD6"/>
    <w:rsid w:val="00351093"/>
    <w:rsid w:val="003513CB"/>
    <w:rsid w:val="0035189E"/>
    <w:rsid w:val="00351961"/>
    <w:rsid w:val="00352327"/>
    <w:rsid w:val="003523F0"/>
    <w:rsid w:val="003523FB"/>
    <w:rsid w:val="003525E6"/>
    <w:rsid w:val="003527A5"/>
    <w:rsid w:val="00352991"/>
    <w:rsid w:val="00352B25"/>
    <w:rsid w:val="00353351"/>
    <w:rsid w:val="0035397C"/>
    <w:rsid w:val="00353BB1"/>
    <w:rsid w:val="00354087"/>
    <w:rsid w:val="0035423A"/>
    <w:rsid w:val="003545C1"/>
    <w:rsid w:val="00354720"/>
    <w:rsid w:val="003547B2"/>
    <w:rsid w:val="0035481B"/>
    <w:rsid w:val="003548C8"/>
    <w:rsid w:val="003548E8"/>
    <w:rsid w:val="00354C03"/>
    <w:rsid w:val="003551DA"/>
    <w:rsid w:val="00355F62"/>
    <w:rsid w:val="00356277"/>
    <w:rsid w:val="003562B4"/>
    <w:rsid w:val="003564C5"/>
    <w:rsid w:val="003565DC"/>
    <w:rsid w:val="003566D2"/>
    <w:rsid w:val="00356B22"/>
    <w:rsid w:val="00356BCE"/>
    <w:rsid w:val="00357145"/>
    <w:rsid w:val="00357194"/>
    <w:rsid w:val="003573CA"/>
    <w:rsid w:val="00357659"/>
    <w:rsid w:val="0035773D"/>
    <w:rsid w:val="003578DE"/>
    <w:rsid w:val="00357957"/>
    <w:rsid w:val="00357B17"/>
    <w:rsid w:val="00357B69"/>
    <w:rsid w:val="00357DD5"/>
    <w:rsid w:val="00360014"/>
    <w:rsid w:val="0036005E"/>
    <w:rsid w:val="00360202"/>
    <w:rsid w:val="00360491"/>
    <w:rsid w:val="00360540"/>
    <w:rsid w:val="00360FCA"/>
    <w:rsid w:val="00361130"/>
    <w:rsid w:val="00361376"/>
    <w:rsid w:val="003613C3"/>
    <w:rsid w:val="003613EC"/>
    <w:rsid w:val="00361DEC"/>
    <w:rsid w:val="00361F6B"/>
    <w:rsid w:val="00362947"/>
    <w:rsid w:val="003629C4"/>
    <w:rsid w:val="00362AA1"/>
    <w:rsid w:val="00362D73"/>
    <w:rsid w:val="00362DE0"/>
    <w:rsid w:val="00363290"/>
    <w:rsid w:val="00363619"/>
    <w:rsid w:val="00363A10"/>
    <w:rsid w:val="00363E45"/>
    <w:rsid w:val="003640E0"/>
    <w:rsid w:val="00364564"/>
    <w:rsid w:val="00364701"/>
    <w:rsid w:val="00364A3D"/>
    <w:rsid w:val="00364B74"/>
    <w:rsid w:val="00364D6F"/>
    <w:rsid w:val="00364E15"/>
    <w:rsid w:val="00364F44"/>
    <w:rsid w:val="00364F63"/>
    <w:rsid w:val="00364FD5"/>
    <w:rsid w:val="00365400"/>
    <w:rsid w:val="00365702"/>
    <w:rsid w:val="00365776"/>
    <w:rsid w:val="00365B5B"/>
    <w:rsid w:val="003662FB"/>
    <w:rsid w:val="00366807"/>
    <w:rsid w:val="0036699F"/>
    <w:rsid w:val="00367559"/>
    <w:rsid w:val="003675CF"/>
    <w:rsid w:val="00367629"/>
    <w:rsid w:val="003677BF"/>
    <w:rsid w:val="00367A1F"/>
    <w:rsid w:val="00367BA7"/>
    <w:rsid w:val="00367C16"/>
    <w:rsid w:val="00367D49"/>
    <w:rsid w:val="003703D6"/>
    <w:rsid w:val="003703E5"/>
    <w:rsid w:val="00370521"/>
    <w:rsid w:val="003706FA"/>
    <w:rsid w:val="00370711"/>
    <w:rsid w:val="00370785"/>
    <w:rsid w:val="003709E2"/>
    <w:rsid w:val="003713F6"/>
    <w:rsid w:val="00371961"/>
    <w:rsid w:val="00371C46"/>
    <w:rsid w:val="00371DCD"/>
    <w:rsid w:val="003721FB"/>
    <w:rsid w:val="003728F6"/>
    <w:rsid w:val="00372B59"/>
    <w:rsid w:val="00372E9B"/>
    <w:rsid w:val="00373210"/>
    <w:rsid w:val="00373862"/>
    <w:rsid w:val="00373929"/>
    <w:rsid w:val="00373938"/>
    <w:rsid w:val="00373D77"/>
    <w:rsid w:val="00373E5C"/>
    <w:rsid w:val="003742B2"/>
    <w:rsid w:val="00374725"/>
    <w:rsid w:val="00374732"/>
    <w:rsid w:val="0037479E"/>
    <w:rsid w:val="00374B20"/>
    <w:rsid w:val="0037512B"/>
    <w:rsid w:val="00375204"/>
    <w:rsid w:val="00375677"/>
    <w:rsid w:val="003756B0"/>
    <w:rsid w:val="00375E3F"/>
    <w:rsid w:val="003761FE"/>
    <w:rsid w:val="00376625"/>
    <w:rsid w:val="003768A2"/>
    <w:rsid w:val="003769AA"/>
    <w:rsid w:val="00376E24"/>
    <w:rsid w:val="00377075"/>
    <w:rsid w:val="003773F0"/>
    <w:rsid w:val="003777E3"/>
    <w:rsid w:val="0037784A"/>
    <w:rsid w:val="003779AD"/>
    <w:rsid w:val="00377A8F"/>
    <w:rsid w:val="00377BE2"/>
    <w:rsid w:val="00377CC9"/>
    <w:rsid w:val="00377D1E"/>
    <w:rsid w:val="00377E3D"/>
    <w:rsid w:val="00377EAE"/>
    <w:rsid w:val="00377F26"/>
    <w:rsid w:val="00377F33"/>
    <w:rsid w:val="00380560"/>
    <w:rsid w:val="003805EB"/>
    <w:rsid w:val="003807E0"/>
    <w:rsid w:val="003809AE"/>
    <w:rsid w:val="00380A54"/>
    <w:rsid w:val="00380B33"/>
    <w:rsid w:val="00380C29"/>
    <w:rsid w:val="003810A0"/>
    <w:rsid w:val="003813DF"/>
    <w:rsid w:val="0038158B"/>
    <w:rsid w:val="00381722"/>
    <w:rsid w:val="00381812"/>
    <w:rsid w:val="0038182B"/>
    <w:rsid w:val="00381A1B"/>
    <w:rsid w:val="00382082"/>
    <w:rsid w:val="003820C8"/>
    <w:rsid w:val="0038278A"/>
    <w:rsid w:val="00382985"/>
    <w:rsid w:val="00382E5B"/>
    <w:rsid w:val="00382ED7"/>
    <w:rsid w:val="00383038"/>
    <w:rsid w:val="00383192"/>
    <w:rsid w:val="003834DF"/>
    <w:rsid w:val="00383C6E"/>
    <w:rsid w:val="00383DCC"/>
    <w:rsid w:val="00383EE6"/>
    <w:rsid w:val="00384042"/>
    <w:rsid w:val="0038404F"/>
    <w:rsid w:val="003841D1"/>
    <w:rsid w:val="00384280"/>
    <w:rsid w:val="003848B1"/>
    <w:rsid w:val="00384B95"/>
    <w:rsid w:val="00385070"/>
    <w:rsid w:val="0038515C"/>
    <w:rsid w:val="003851B9"/>
    <w:rsid w:val="00385244"/>
    <w:rsid w:val="003853EC"/>
    <w:rsid w:val="0038551C"/>
    <w:rsid w:val="0038553B"/>
    <w:rsid w:val="00385BB8"/>
    <w:rsid w:val="00385D4B"/>
    <w:rsid w:val="00385E31"/>
    <w:rsid w:val="00385EDD"/>
    <w:rsid w:val="00386131"/>
    <w:rsid w:val="00386163"/>
    <w:rsid w:val="003862E8"/>
    <w:rsid w:val="00386A09"/>
    <w:rsid w:val="00386B1D"/>
    <w:rsid w:val="00386DE6"/>
    <w:rsid w:val="00386E06"/>
    <w:rsid w:val="00386EDF"/>
    <w:rsid w:val="00387056"/>
    <w:rsid w:val="00387215"/>
    <w:rsid w:val="00387438"/>
    <w:rsid w:val="003876C8"/>
    <w:rsid w:val="003878AC"/>
    <w:rsid w:val="0038792D"/>
    <w:rsid w:val="00387AA0"/>
    <w:rsid w:val="00387FF6"/>
    <w:rsid w:val="0039088C"/>
    <w:rsid w:val="003908B4"/>
    <w:rsid w:val="003909F3"/>
    <w:rsid w:val="00390B22"/>
    <w:rsid w:val="00390E0B"/>
    <w:rsid w:val="00390E61"/>
    <w:rsid w:val="0039115F"/>
    <w:rsid w:val="003919AF"/>
    <w:rsid w:val="00391EB2"/>
    <w:rsid w:val="00392520"/>
    <w:rsid w:val="0039301A"/>
    <w:rsid w:val="00393200"/>
    <w:rsid w:val="003939F3"/>
    <w:rsid w:val="00393B45"/>
    <w:rsid w:val="00393C77"/>
    <w:rsid w:val="00394086"/>
    <w:rsid w:val="003941D3"/>
    <w:rsid w:val="00394262"/>
    <w:rsid w:val="003947E5"/>
    <w:rsid w:val="0039483B"/>
    <w:rsid w:val="00394E06"/>
    <w:rsid w:val="00394E3C"/>
    <w:rsid w:val="00394EB1"/>
    <w:rsid w:val="00395E8F"/>
    <w:rsid w:val="00395F36"/>
    <w:rsid w:val="0039634E"/>
    <w:rsid w:val="00396463"/>
    <w:rsid w:val="0039662A"/>
    <w:rsid w:val="00396696"/>
    <w:rsid w:val="00396DDF"/>
    <w:rsid w:val="00397563"/>
    <w:rsid w:val="0039786A"/>
    <w:rsid w:val="003979D3"/>
    <w:rsid w:val="00397B43"/>
    <w:rsid w:val="00397E64"/>
    <w:rsid w:val="003A005E"/>
    <w:rsid w:val="003A01E8"/>
    <w:rsid w:val="003A0312"/>
    <w:rsid w:val="003A05E3"/>
    <w:rsid w:val="003A05F1"/>
    <w:rsid w:val="003A07A0"/>
    <w:rsid w:val="003A0FFE"/>
    <w:rsid w:val="003A10B3"/>
    <w:rsid w:val="003A1280"/>
    <w:rsid w:val="003A1507"/>
    <w:rsid w:val="003A1928"/>
    <w:rsid w:val="003A1AB2"/>
    <w:rsid w:val="003A1AC1"/>
    <w:rsid w:val="003A1D95"/>
    <w:rsid w:val="003A2091"/>
    <w:rsid w:val="003A21EC"/>
    <w:rsid w:val="003A23C6"/>
    <w:rsid w:val="003A250F"/>
    <w:rsid w:val="003A2701"/>
    <w:rsid w:val="003A2AD3"/>
    <w:rsid w:val="003A2B35"/>
    <w:rsid w:val="003A2DB9"/>
    <w:rsid w:val="003A2FFA"/>
    <w:rsid w:val="003A3036"/>
    <w:rsid w:val="003A350A"/>
    <w:rsid w:val="003A35A3"/>
    <w:rsid w:val="003A392E"/>
    <w:rsid w:val="003A3ECA"/>
    <w:rsid w:val="003A4482"/>
    <w:rsid w:val="003A44AF"/>
    <w:rsid w:val="003A4630"/>
    <w:rsid w:val="003A46DD"/>
    <w:rsid w:val="003A4757"/>
    <w:rsid w:val="003A4864"/>
    <w:rsid w:val="003A4C91"/>
    <w:rsid w:val="003A4CA8"/>
    <w:rsid w:val="003A4E42"/>
    <w:rsid w:val="003A4FB3"/>
    <w:rsid w:val="003A51FB"/>
    <w:rsid w:val="003A59C8"/>
    <w:rsid w:val="003A600E"/>
    <w:rsid w:val="003A607D"/>
    <w:rsid w:val="003A6708"/>
    <w:rsid w:val="003A672F"/>
    <w:rsid w:val="003A67B9"/>
    <w:rsid w:val="003A6979"/>
    <w:rsid w:val="003A6A4C"/>
    <w:rsid w:val="003A6F8E"/>
    <w:rsid w:val="003A6FF0"/>
    <w:rsid w:val="003A702A"/>
    <w:rsid w:val="003A707A"/>
    <w:rsid w:val="003A75EF"/>
    <w:rsid w:val="003A7655"/>
    <w:rsid w:val="003A76FD"/>
    <w:rsid w:val="003A7D0F"/>
    <w:rsid w:val="003A7D2D"/>
    <w:rsid w:val="003A7EAE"/>
    <w:rsid w:val="003ACF60"/>
    <w:rsid w:val="003B0120"/>
    <w:rsid w:val="003B046E"/>
    <w:rsid w:val="003B08AB"/>
    <w:rsid w:val="003B09DF"/>
    <w:rsid w:val="003B1317"/>
    <w:rsid w:val="003B1478"/>
    <w:rsid w:val="003B155B"/>
    <w:rsid w:val="003B161A"/>
    <w:rsid w:val="003B1A72"/>
    <w:rsid w:val="003B1F2E"/>
    <w:rsid w:val="003B1F67"/>
    <w:rsid w:val="003B20B2"/>
    <w:rsid w:val="003B23F1"/>
    <w:rsid w:val="003B2451"/>
    <w:rsid w:val="003B2712"/>
    <w:rsid w:val="003B2A4C"/>
    <w:rsid w:val="003B2D73"/>
    <w:rsid w:val="003B33D6"/>
    <w:rsid w:val="003B33F4"/>
    <w:rsid w:val="003B3403"/>
    <w:rsid w:val="003B345B"/>
    <w:rsid w:val="003B3849"/>
    <w:rsid w:val="003B3897"/>
    <w:rsid w:val="003B38BF"/>
    <w:rsid w:val="003B3924"/>
    <w:rsid w:val="003B39EE"/>
    <w:rsid w:val="003B3AD0"/>
    <w:rsid w:val="003B4487"/>
    <w:rsid w:val="003B45F5"/>
    <w:rsid w:val="003B4667"/>
    <w:rsid w:val="003B47A8"/>
    <w:rsid w:val="003B4898"/>
    <w:rsid w:val="003B4BAE"/>
    <w:rsid w:val="003B4F35"/>
    <w:rsid w:val="003B4F75"/>
    <w:rsid w:val="003B5C5D"/>
    <w:rsid w:val="003B5DCE"/>
    <w:rsid w:val="003B6159"/>
    <w:rsid w:val="003B6234"/>
    <w:rsid w:val="003B6373"/>
    <w:rsid w:val="003B6378"/>
    <w:rsid w:val="003B67CD"/>
    <w:rsid w:val="003B682E"/>
    <w:rsid w:val="003B6869"/>
    <w:rsid w:val="003B6C12"/>
    <w:rsid w:val="003B7326"/>
    <w:rsid w:val="003B750B"/>
    <w:rsid w:val="003B75C8"/>
    <w:rsid w:val="003B7A56"/>
    <w:rsid w:val="003B7AAF"/>
    <w:rsid w:val="003B7AC6"/>
    <w:rsid w:val="003B7C01"/>
    <w:rsid w:val="003B7D6E"/>
    <w:rsid w:val="003B7DB3"/>
    <w:rsid w:val="003B7E17"/>
    <w:rsid w:val="003B7E57"/>
    <w:rsid w:val="003B7ED2"/>
    <w:rsid w:val="003B7F88"/>
    <w:rsid w:val="003C0062"/>
    <w:rsid w:val="003C021C"/>
    <w:rsid w:val="003C05F6"/>
    <w:rsid w:val="003C0863"/>
    <w:rsid w:val="003C086A"/>
    <w:rsid w:val="003C08B3"/>
    <w:rsid w:val="003C0BF3"/>
    <w:rsid w:val="003C0D96"/>
    <w:rsid w:val="003C0E96"/>
    <w:rsid w:val="003C10B9"/>
    <w:rsid w:val="003C1150"/>
    <w:rsid w:val="003C165E"/>
    <w:rsid w:val="003C17DC"/>
    <w:rsid w:val="003C183F"/>
    <w:rsid w:val="003C197C"/>
    <w:rsid w:val="003C1D7D"/>
    <w:rsid w:val="003C2274"/>
    <w:rsid w:val="003C2559"/>
    <w:rsid w:val="003C2A34"/>
    <w:rsid w:val="003C2AE2"/>
    <w:rsid w:val="003C2EEF"/>
    <w:rsid w:val="003C2F3E"/>
    <w:rsid w:val="003C3BEF"/>
    <w:rsid w:val="003C3E2D"/>
    <w:rsid w:val="003C3F81"/>
    <w:rsid w:val="003C437F"/>
    <w:rsid w:val="003C4734"/>
    <w:rsid w:val="003C49B9"/>
    <w:rsid w:val="003C4A73"/>
    <w:rsid w:val="003C4E3F"/>
    <w:rsid w:val="003C4F6E"/>
    <w:rsid w:val="003C509E"/>
    <w:rsid w:val="003C515D"/>
    <w:rsid w:val="003C5226"/>
    <w:rsid w:val="003C532E"/>
    <w:rsid w:val="003C54BD"/>
    <w:rsid w:val="003C54F2"/>
    <w:rsid w:val="003C589C"/>
    <w:rsid w:val="003C60CA"/>
    <w:rsid w:val="003C6CAA"/>
    <w:rsid w:val="003C6F42"/>
    <w:rsid w:val="003C702F"/>
    <w:rsid w:val="003C7173"/>
    <w:rsid w:val="003C71B2"/>
    <w:rsid w:val="003C7297"/>
    <w:rsid w:val="003C75C3"/>
    <w:rsid w:val="003C7939"/>
    <w:rsid w:val="003C7A89"/>
    <w:rsid w:val="003C7A9D"/>
    <w:rsid w:val="003C7C8F"/>
    <w:rsid w:val="003C7CA0"/>
    <w:rsid w:val="003D0266"/>
    <w:rsid w:val="003D08D6"/>
    <w:rsid w:val="003D0B86"/>
    <w:rsid w:val="003D0D2A"/>
    <w:rsid w:val="003D1408"/>
    <w:rsid w:val="003D143B"/>
    <w:rsid w:val="003D15E3"/>
    <w:rsid w:val="003D1C81"/>
    <w:rsid w:val="003D1DE7"/>
    <w:rsid w:val="003D1FC9"/>
    <w:rsid w:val="003D28D3"/>
    <w:rsid w:val="003D2B22"/>
    <w:rsid w:val="003D2C92"/>
    <w:rsid w:val="003D2D74"/>
    <w:rsid w:val="003D3112"/>
    <w:rsid w:val="003D31E3"/>
    <w:rsid w:val="003D32EF"/>
    <w:rsid w:val="003D36FA"/>
    <w:rsid w:val="003D3774"/>
    <w:rsid w:val="003D377A"/>
    <w:rsid w:val="003D3890"/>
    <w:rsid w:val="003D3C15"/>
    <w:rsid w:val="003D3D4F"/>
    <w:rsid w:val="003D3D84"/>
    <w:rsid w:val="003D41A8"/>
    <w:rsid w:val="003D42FD"/>
    <w:rsid w:val="003D4ACC"/>
    <w:rsid w:val="003D5239"/>
    <w:rsid w:val="003D52DA"/>
    <w:rsid w:val="003D5740"/>
    <w:rsid w:val="003D58BA"/>
    <w:rsid w:val="003D5B01"/>
    <w:rsid w:val="003D5B2E"/>
    <w:rsid w:val="003D5BED"/>
    <w:rsid w:val="003D5D1B"/>
    <w:rsid w:val="003D5DCB"/>
    <w:rsid w:val="003D617D"/>
    <w:rsid w:val="003D6250"/>
    <w:rsid w:val="003D679D"/>
    <w:rsid w:val="003D6F3A"/>
    <w:rsid w:val="003D701A"/>
    <w:rsid w:val="003D70D8"/>
    <w:rsid w:val="003D7692"/>
    <w:rsid w:val="003D77C7"/>
    <w:rsid w:val="003D7C21"/>
    <w:rsid w:val="003D7ED2"/>
    <w:rsid w:val="003E0039"/>
    <w:rsid w:val="003E0C15"/>
    <w:rsid w:val="003E0D06"/>
    <w:rsid w:val="003E0E77"/>
    <w:rsid w:val="003E1128"/>
    <w:rsid w:val="003E1212"/>
    <w:rsid w:val="003E1ADD"/>
    <w:rsid w:val="003E1BEC"/>
    <w:rsid w:val="003E1D08"/>
    <w:rsid w:val="003E1F20"/>
    <w:rsid w:val="003E1F99"/>
    <w:rsid w:val="003E2A52"/>
    <w:rsid w:val="003E3358"/>
    <w:rsid w:val="003E3679"/>
    <w:rsid w:val="003E36A1"/>
    <w:rsid w:val="003E3848"/>
    <w:rsid w:val="003E41C7"/>
    <w:rsid w:val="003E43CA"/>
    <w:rsid w:val="003E4B59"/>
    <w:rsid w:val="003E51AE"/>
    <w:rsid w:val="003E54D6"/>
    <w:rsid w:val="003E565D"/>
    <w:rsid w:val="003E570A"/>
    <w:rsid w:val="003E59A1"/>
    <w:rsid w:val="003E5BB9"/>
    <w:rsid w:val="003E5D7E"/>
    <w:rsid w:val="003E5D81"/>
    <w:rsid w:val="003E5F6C"/>
    <w:rsid w:val="003E61B9"/>
    <w:rsid w:val="003E6572"/>
    <w:rsid w:val="003E6829"/>
    <w:rsid w:val="003E6AB4"/>
    <w:rsid w:val="003E6B65"/>
    <w:rsid w:val="003E6F93"/>
    <w:rsid w:val="003E720F"/>
    <w:rsid w:val="003E7935"/>
    <w:rsid w:val="003E79DB"/>
    <w:rsid w:val="003E7A75"/>
    <w:rsid w:val="003E7BF7"/>
    <w:rsid w:val="003E7E11"/>
    <w:rsid w:val="003ECD42"/>
    <w:rsid w:val="003F047F"/>
    <w:rsid w:val="003F06D6"/>
    <w:rsid w:val="003F074B"/>
    <w:rsid w:val="003F08A2"/>
    <w:rsid w:val="003F0AD5"/>
    <w:rsid w:val="003F0C6B"/>
    <w:rsid w:val="003F0EB9"/>
    <w:rsid w:val="003F112E"/>
    <w:rsid w:val="003F114C"/>
    <w:rsid w:val="003F1269"/>
    <w:rsid w:val="003F14C8"/>
    <w:rsid w:val="003F1D71"/>
    <w:rsid w:val="003F1F25"/>
    <w:rsid w:val="003F201C"/>
    <w:rsid w:val="003F2071"/>
    <w:rsid w:val="003F220C"/>
    <w:rsid w:val="003F2572"/>
    <w:rsid w:val="003F264F"/>
    <w:rsid w:val="003F2BE3"/>
    <w:rsid w:val="003F2E49"/>
    <w:rsid w:val="003F2F11"/>
    <w:rsid w:val="003F2FCD"/>
    <w:rsid w:val="003F3052"/>
    <w:rsid w:val="003F35F3"/>
    <w:rsid w:val="003F381C"/>
    <w:rsid w:val="003F3A38"/>
    <w:rsid w:val="003F3EA2"/>
    <w:rsid w:val="003F4049"/>
    <w:rsid w:val="003F40A4"/>
    <w:rsid w:val="003F4198"/>
    <w:rsid w:val="003F448C"/>
    <w:rsid w:val="003F4646"/>
    <w:rsid w:val="003F4774"/>
    <w:rsid w:val="003F4C55"/>
    <w:rsid w:val="003F4FAD"/>
    <w:rsid w:val="003F51FF"/>
    <w:rsid w:val="003F5664"/>
    <w:rsid w:val="003F5811"/>
    <w:rsid w:val="003F598E"/>
    <w:rsid w:val="003F5AC6"/>
    <w:rsid w:val="003F6085"/>
    <w:rsid w:val="003F6125"/>
    <w:rsid w:val="003F612C"/>
    <w:rsid w:val="003F6640"/>
    <w:rsid w:val="003F68A5"/>
    <w:rsid w:val="003F69AA"/>
    <w:rsid w:val="003F701C"/>
    <w:rsid w:val="003F7201"/>
    <w:rsid w:val="003F72F0"/>
    <w:rsid w:val="003F7960"/>
    <w:rsid w:val="003F7BD2"/>
    <w:rsid w:val="004003E1"/>
    <w:rsid w:val="00400980"/>
    <w:rsid w:val="00400AC1"/>
    <w:rsid w:val="00400D79"/>
    <w:rsid w:val="00400D8C"/>
    <w:rsid w:val="00401514"/>
    <w:rsid w:val="00401B2D"/>
    <w:rsid w:val="00402116"/>
    <w:rsid w:val="00402381"/>
    <w:rsid w:val="0040243B"/>
    <w:rsid w:val="004024FC"/>
    <w:rsid w:val="004027B5"/>
    <w:rsid w:val="0040287E"/>
    <w:rsid w:val="0040310D"/>
    <w:rsid w:val="004034FE"/>
    <w:rsid w:val="00403664"/>
    <w:rsid w:val="0040391A"/>
    <w:rsid w:val="00403B74"/>
    <w:rsid w:val="0040403A"/>
    <w:rsid w:val="00404499"/>
    <w:rsid w:val="0040450A"/>
    <w:rsid w:val="00404773"/>
    <w:rsid w:val="004047ED"/>
    <w:rsid w:val="00404A55"/>
    <w:rsid w:val="00404B78"/>
    <w:rsid w:val="00404D51"/>
    <w:rsid w:val="00405027"/>
    <w:rsid w:val="0040517A"/>
    <w:rsid w:val="00405286"/>
    <w:rsid w:val="004052DB"/>
    <w:rsid w:val="004054C7"/>
    <w:rsid w:val="004054E1"/>
    <w:rsid w:val="00405E1E"/>
    <w:rsid w:val="00405F4F"/>
    <w:rsid w:val="004064DE"/>
    <w:rsid w:val="0040694A"/>
    <w:rsid w:val="00406AD1"/>
    <w:rsid w:val="00406D52"/>
    <w:rsid w:val="00406FE8"/>
    <w:rsid w:val="004074ED"/>
    <w:rsid w:val="00407B39"/>
    <w:rsid w:val="00407CEA"/>
    <w:rsid w:val="00410140"/>
    <w:rsid w:val="00410241"/>
    <w:rsid w:val="004104F2"/>
    <w:rsid w:val="0041060A"/>
    <w:rsid w:val="00410661"/>
    <w:rsid w:val="00410A88"/>
    <w:rsid w:val="00410BBC"/>
    <w:rsid w:val="00410F18"/>
    <w:rsid w:val="004113DE"/>
    <w:rsid w:val="00411964"/>
    <w:rsid w:val="00411969"/>
    <w:rsid w:val="00411B6E"/>
    <w:rsid w:val="00411C7C"/>
    <w:rsid w:val="00412163"/>
    <w:rsid w:val="004122F9"/>
    <w:rsid w:val="0041256D"/>
    <w:rsid w:val="00412582"/>
    <w:rsid w:val="00412678"/>
    <w:rsid w:val="004126B9"/>
    <w:rsid w:val="0041280C"/>
    <w:rsid w:val="00412829"/>
    <w:rsid w:val="00412BF0"/>
    <w:rsid w:val="00413122"/>
    <w:rsid w:val="0041313A"/>
    <w:rsid w:val="004131B3"/>
    <w:rsid w:val="0041344E"/>
    <w:rsid w:val="00413848"/>
    <w:rsid w:val="00413A0A"/>
    <w:rsid w:val="00413ED9"/>
    <w:rsid w:val="00414140"/>
    <w:rsid w:val="0041416E"/>
    <w:rsid w:val="0041431F"/>
    <w:rsid w:val="00414410"/>
    <w:rsid w:val="0041474C"/>
    <w:rsid w:val="00414CA5"/>
    <w:rsid w:val="00414D67"/>
    <w:rsid w:val="00414DE8"/>
    <w:rsid w:val="00414E74"/>
    <w:rsid w:val="00414FE3"/>
    <w:rsid w:val="004154F0"/>
    <w:rsid w:val="004155A0"/>
    <w:rsid w:val="00415780"/>
    <w:rsid w:val="004158FF"/>
    <w:rsid w:val="00415A1E"/>
    <w:rsid w:val="00415AE5"/>
    <w:rsid w:val="00415C6B"/>
    <w:rsid w:val="00415F24"/>
    <w:rsid w:val="0041616B"/>
    <w:rsid w:val="00416644"/>
    <w:rsid w:val="00416754"/>
    <w:rsid w:val="00416B19"/>
    <w:rsid w:val="004173DA"/>
    <w:rsid w:val="0041762B"/>
    <w:rsid w:val="004190D5"/>
    <w:rsid w:val="004201A6"/>
    <w:rsid w:val="004201BD"/>
    <w:rsid w:val="00420252"/>
    <w:rsid w:val="00420423"/>
    <w:rsid w:val="00420439"/>
    <w:rsid w:val="004204B0"/>
    <w:rsid w:val="00420973"/>
    <w:rsid w:val="0042098A"/>
    <w:rsid w:val="00420C06"/>
    <w:rsid w:val="00420CE0"/>
    <w:rsid w:val="00420E55"/>
    <w:rsid w:val="004210C2"/>
    <w:rsid w:val="00421B1A"/>
    <w:rsid w:val="00421B2A"/>
    <w:rsid w:val="00421D76"/>
    <w:rsid w:val="00421F51"/>
    <w:rsid w:val="0042265C"/>
    <w:rsid w:val="0042274A"/>
    <w:rsid w:val="004228E0"/>
    <w:rsid w:val="00422C02"/>
    <w:rsid w:val="00422DEC"/>
    <w:rsid w:val="00422F9B"/>
    <w:rsid w:val="00422FBC"/>
    <w:rsid w:val="00423CA4"/>
    <w:rsid w:val="00423EB6"/>
    <w:rsid w:val="00424221"/>
    <w:rsid w:val="004243F7"/>
    <w:rsid w:val="00425128"/>
    <w:rsid w:val="0042555E"/>
    <w:rsid w:val="0042578A"/>
    <w:rsid w:val="004259D2"/>
    <w:rsid w:val="00425C25"/>
    <w:rsid w:val="00426025"/>
    <w:rsid w:val="00426775"/>
    <w:rsid w:val="0042698D"/>
    <w:rsid w:val="00426B51"/>
    <w:rsid w:val="00426F13"/>
    <w:rsid w:val="00427426"/>
    <w:rsid w:val="00427715"/>
    <w:rsid w:val="00427B4B"/>
    <w:rsid w:val="0043008A"/>
    <w:rsid w:val="004303F7"/>
    <w:rsid w:val="004305B1"/>
    <w:rsid w:val="00430B8B"/>
    <w:rsid w:val="00430E96"/>
    <w:rsid w:val="0043116A"/>
    <w:rsid w:val="00431204"/>
    <w:rsid w:val="004312F5"/>
    <w:rsid w:val="00431342"/>
    <w:rsid w:val="0043134D"/>
    <w:rsid w:val="0043170C"/>
    <w:rsid w:val="0043175D"/>
    <w:rsid w:val="00431936"/>
    <w:rsid w:val="004319A7"/>
    <w:rsid w:val="00431C5B"/>
    <w:rsid w:val="00431D51"/>
    <w:rsid w:val="00431FFE"/>
    <w:rsid w:val="00432078"/>
    <w:rsid w:val="00432149"/>
    <w:rsid w:val="004328C6"/>
    <w:rsid w:val="004329BD"/>
    <w:rsid w:val="00432CC8"/>
    <w:rsid w:val="00432D39"/>
    <w:rsid w:val="004332B5"/>
    <w:rsid w:val="004336CA"/>
    <w:rsid w:val="00433B46"/>
    <w:rsid w:val="00433E95"/>
    <w:rsid w:val="004344BE"/>
    <w:rsid w:val="004345E1"/>
    <w:rsid w:val="004346B8"/>
    <w:rsid w:val="00434A2A"/>
    <w:rsid w:val="00434B28"/>
    <w:rsid w:val="00434BF8"/>
    <w:rsid w:val="00435191"/>
    <w:rsid w:val="00435242"/>
    <w:rsid w:val="00435246"/>
    <w:rsid w:val="004354DC"/>
    <w:rsid w:val="0043566D"/>
    <w:rsid w:val="00435AC8"/>
    <w:rsid w:val="004360EB"/>
    <w:rsid w:val="00436298"/>
    <w:rsid w:val="004364CE"/>
    <w:rsid w:val="0043668F"/>
    <w:rsid w:val="004366A9"/>
    <w:rsid w:val="00436D6A"/>
    <w:rsid w:val="00436E8D"/>
    <w:rsid w:val="004375FF"/>
    <w:rsid w:val="00437955"/>
    <w:rsid w:val="00437D4B"/>
    <w:rsid w:val="00437DDF"/>
    <w:rsid w:val="00440249"/>
    <w:rsid w:val="004406F5"/>
    <w:rsid w:val="00440806"/>
    <w:rsid w:val="0044093B"/>
    <w:rsid w:val="00440B53"/>
    <w:rsid w:val="004410F1"/>
    <w:rsid w:val="004415CA"/>
    <w:rsid w:val="00441702"/>
    <w:rsid w:val="0044183B"/>
    <w:rsid w:val="00441AC2"/>
    <w:rsid w:val="00441B10"/>
    <w:rsid w:val="00442149"/>
    <w:rsid w:val="004425A7"/>
    <w:rsid w:val="004426FC"/>
    <w:rsid w:val="0044297D"/>
    <w:rsid w:val="00442BA9"/>
    <w:rsid w:val="00442BE3"/>
    <w:rsid w:val="00443180"/>
    <w:rsid w:val="004431BB"/>
    <w:rsid w:val="004435BE"/>
    <w:rsid w:val="00443623"/>
    <w:rsid w:val="0044379F"/>
    <w:rsid w:val="00443ADD"/>
    <w:rsid w:val="00443FD0"/>
    <w:rsid w:val="004440CE"/>
    <w:rsid w:val="00444186"/>
    <w:rsid w:val="00444200"/>
    <w:rsid w:val="00444709"/>
    <w:rsid w:val="0044484A"/>
    <w:rsid w:val="00444CB0"/>
    <w:rsid w:val="00444D03"/>
    <w:rsid w:val="004450B0"/>
    <w:rsid w:val="0044520D"/>
    <w:rsid w:val="0044522E"/>
    <w:rsid w:val="00445973"/>
    <w:rsid w:val="00445A27"/>
    <w:rsid w:val="00445A98"/>
    <w:rsid w:val="00445AF4"/>
    <w:rsid w:val="00445C9B"/>
    <w:rsid w:val="00445EED"/>
    <w:rsid w:val="00446955"/>
    <w:rsid w:val="00446998"/>
    <w:rsid w:val="004469FE"/>
    <w:rsid w:val="00446D8F"/>
    <w:rsid w:val="00446DF8"/>
    <w:rsid w:val="00446E5B"/>
    <w:rsid w:val="00446FE0"/>
    <w:rsid w:val="004470ED"/>
    <w:rsid w:val="00450100"/>
    <w:rsid w:val="004502B3"/>
    <w:rsid w:val="00450300"/>
    <w:rsid w:val="00450CF6"/>
    <w:rsid w:val="00450D4F"/>
    <w:rsid w:val="004511A1"/>
    <w:rsid w:val="00451227"/>
    <w:rsid w:val="00451979"/>
    <w:rsid w:val="00451D03"/>
    <w:rsid w:val="00451D5F"/>
    <w:rsid w:val="00451DA4"/>
    <w:rsid w:val="00452087"/>
    <w:rsid w:val="00452093"/>
    <w:rsid w:val="00452131"/>
    <w:rsid w:val="004522F6"/>
    <w:rsid w:val="004524F3"/>
    <w:rsid w:val="00452565"/>
    <w:rsid w:val="004526B0"/>
    <w:rsid w:val="00452BBE"/>
    <w:rsid w:val="00452BFA"/>
    <w:rsid w:val="0045316A"/>
    <w:rsid w:val="004531AA"/>
    <w:rsid w:val="0045329E"/>
    <w:rsid w:val="00454039"/>
    <w:rsid w:val="004540FD"/>
    <w:rsid w:val="004543E6"/>
    <w:rsid w:val="004549CC"/>
    <w:rsid w:val="00454F5B"/>
    <w:rsid w:val="004550AF"/>
    <w:rsid w:val="004551B8"/>
    <w:rsid w:val="004551F2"/>
    <w:rsid w:val="004556FF"/>
    <w:rsid w:val="00456527"/>
    <w:rsid w:val="0045690D"/>
    <w:rsid w:val="00456A39"/>
    <w:rsid w:val="00456A7C"/>
    <w:rsid w:val="00456D9E"/>
    <w:rsid w:val="00456DC0"/>
    <w:rsid w:val="00456F03"/>
    <w:rsid w:val="004572F8"/>
    <w:rsid w:val="00457987"/>
    <w:rsid w:val="00457D64"/>
    <w:rsid w:val="00457F68"/>
    <w:rsid w:val="00460162"/>
    <w:rsid w:val="004604A5"/>
    <w:rsid w:val="004604D8"/>
    <w:rsid w:val="004604DF"/>
    <w:rsid w:val="00460CB3"/>
    <w:rsid w:val="00460E99"/>
    <w:rsid w:val="00460ED1"/>
    <w:rsid w:val="00460F76"/>
    <w:rsid w:val="0046173B"/>
    <w:rsid w:val="00461855"/>
    <w:rsid w:val="004618F7"/>
    <w:rsid w:val="00461B69"/>
    <w:rsid w:val="00461B8C"/>
    <w:rsid w:val="00461C93"/>
    <w:rsid w:val="00461CA0"/>
    <w:rsid w:val="00461D85"/>
    <w:rsid w:val="00461F4C"/>
    <w:rsid w:val="00461FE6"/>
    <w:rsid w:val="00462107"/>
    <w:rsid w:val="00462260"/>
    <w:rsid w:val="004627B5"/>
    <w:rsid w:val="00462D79"/>
    <w:rsid w:val="004631C6"/>
    <w:rsid w:val="0046330E"/>
    <w:rsid w:val="004633AA"/>
    <w:rsid w:val="00463414"/>
    <w:rsid w:val="0046380F"/>
    <w:rsid w:val="0046385C"/>
    <w:rsid w:val="00463AF6"/>
    <w:rsid w:val="00463E51"/>
    <w:rsid w:val="00463EC6"/>
    <w:rsid w:val="00464221"/>
    <w:rsid w:val="0046480B"/>
    <w:rsid w:val="004649E8"/>
    <w:rsid w:val="00464BF3"/>
    <w:rsid w:val="004650F0"/>
    <w:rsid w:val="004654C9"/>
    <w:rsid w:val="00465FEB"/>
    <w:rsid w:val="00466055"/>
    <w:rsid w:val="004664B3"/>
    <w:rsid w:val="0046696F"/>
    <w:rsid w:val="00466A94"/>
    <w:rsid w:val="004671AF"/>
    <w:rsid w:val="00467321"/>
    <w:rsid w:val="00467469"/>
    <w:rsid w:val="0046755F"/>
    <w:rsid w:val="0046768C"/>
    <w:rsid w:val="00467E5D"/>
    <w:rsid w:val="0047019A"/>
    <w:rsid w:val="004701BA"/>
    <w:rsid w:val="004702D6"/>
    <w:rsid w:val="004703CC"/>
    <w:rsid w:val="00470664"/>
    <w:rsid w:val="004706DA"/>
    <w:rsid w:val="00470815"/>
    <w:rsid w:val="00470A9F"/>
    <w:rsid w:val="00470EF3"/>
    <w:rsid w:val="00470F9B"/>
    <w:rsid w:val="00471268"/>
    <w:rsid w:val="0047218F"/>
    <w:rsid w:val="0047221E"/>
    <w:rsid w:val="00472C9B"/>
    <w:rsid w:val="00472E91"/>
    <w:rsid w:val="004735C9"/>
    <w:rsid w:val="004736B4"/>
    <w:rsid w:val="00473967"/>
    <w:rsid w:val="00473A4D"/>
    <w:rsid w:val="00473B99"/>
    <w:rsid w:val="00473BA6"/>
    <w:rsid w:val="00473C04"/>
    <w:rsid w:val="00473E77"/>
    <w:rsid w:val="00473F09"/>
    <w:rsid w:val="00474259"/>
    <w:rsid w:val="004744B1"/>
    <w:rsid w:val="0047479A"/>
    <w:rsid w:val="0047479C"/>
    <w:rsid w:val="00474CFC"/>
    <w:rsid w:val="004751B9"/>
    <w:rsid w:val="00475234"/>
    <w:rsid w:val="00475277"/>
    <w:rsid w:val="004754CB"/>
    <w:rsid w:val="00475A1A"/>
    <w:rsid w:val="00475BEC"/>
    <w:rsid w:val="00475FCE"/>
    <w:rsid w:val="00476115"/>
    <w:rsid w:val="004763A0"/>
    <w:rsid w:val="0047668E"/>
    <w:rsid w:val="00476C50"/>
    <w:rsid w:val="00476D14"/>
    <w:rsid w:val="00477435"/>
    <w:rsid w:val="004778EB"/>
    <w:rsid w:val="004778F2"/>
    <w:rsid w:val="00477CDA"/>
    <w:rsid w:val="00477D96"/>
    <w:rsid w:val="00477DB0"/>
    <w:rsid w:val="00477FDE"/>
    <w:rsid w:val="00480257"/>
    <w:rsid w:val="004802DD"/>
    <w:rsid w:val="00480707"/>
    <w:rsid w:val="00480773"/>
    <w:rsid w:val="00480F1C"/>
    <w:rsid w:val="00480FAC"/>
    <w:rsid w:val="0048101B"/>
    <w:rsid w:val="00481347"/>
    <w:rsid w:val="004813C4"/>
    <w:rsid w:val="0048150A"/>
    <w:rsid w:val="00482063"/>
    <w:rsid w:val="00482333"/>
    <w:rsid w:val="0048260C"/>
    <w:rsid w:val="00482680"/>
    <w:rsid w:val="00482A33"/>
    <w:rsid w:val="00482A47"/>
    <w:rsid w:val="00482CBE"/>
    <w:rsid w:val="00482D29"/>
    <w:rsid w:val="00482EFB"/>
    <w:rsid w:val="00483217"/>
    <w:rsid w:val="00483291"/>
    <w:rsid w:val="00483828"/>
    <w:rsid w:val="00483977"/>
    <w:rsid w:val="00484088"/>
    <w:rsid w:val="004841DD"/>
    <w:rsid w:val="00484317"/>
    <w:rsid w:val="004844FF"/>
    <w:rsid w:val="00484986"/>
    <w:rsid w:val="00484A07"/>
    <w:rsid w:val="00484E4D"/>
    <w:rsid w:val="0048510F"/>
    <w:rsid w:val="0048557F"/>
    <w:rsid w:val="004858D9"/>
    <w:rsid w:val="00485D1C"/>
    <w:rsid w:val="00485D3F"/>
    <w:rsid w:val="00485D5A"/>
    <w:rsid w:val="0048622A"/>
    <w:rsid w:val="00486260"/>
    <w:rsid w:val="0048635B"/>
    <w:rsid w:val="00486380"/>
    <w:rsid w:val="004864AB"/>
    <w:rsid w:val="00486665"/>
    <w:rsid w:val="00486C45"/>
    <w:rsid w:val="00486D82"/>
    <w:rsid w:val="00486E46"/>
    <w:rsid w:val="00486FBC"/>
    <w:rsid w:val="004873EB"/>
    <w:rsid w:val="004873F1"/>
    <w:rsid w:val="00487431"/>
    <w:rsid w:val="0048745E"/>
    <w:rsid w:val="00487505"/>
    <w:rsid w:val="0048758F"/>
    <w:rsid w:val="00487755"/>
    <w:rsid w:val="00487B21"/>
    <w:rsid w:val="00487B4A"/>
    <w:rsid w:val="00487DEA"/>
    <w:rsid w:val="0049010B"/>
    <w:rsid w:val="0049075D"/>
    <w:rsid w:val="004909CE"/>
    <w:rsid w:val="004909E1"/>
    <w:rsid w:val="00490A42"/>
    <w:rsid w:val="00490D04"/>
    <w:rsid w:val="00490E6B"/>
    <w:rsid w:val="00490F4B"/>
    <w:rsid w:val="00490FFC"/>
    <w:rsid w:val="004910FF"/>
    <w:rsid w:val="00491552"/>
    <w:rsid w:val="00491882"/>
    <w:rsid w:val="00491903"/>
    <w:rsid w:val="00491CF1"/>
    <w:rsid w:val="00492479"/>
    <w:rsid w:val="0049286B"/>
    <w:rsid w:val="004928A9"/>
    <w:rsid w:val="004928E9"/>
    <w:rsid w:val="00492BDD"/>
    <w:rsid w:val="00492C8D"/>
    <w:rsid w:val="00492E28"/>
    <w:rsid w:val="00492FD7"/>
    <w:rsid w:val="00493151"/>
    <w:rsid w:val="00493441"/>
    <w:rsid w:val="00493561"/>
    <w:rsid w:val="00493638"/>
    <w:rsid w:val="004938AA"/>
    <w:rsid w:val="00493D08"/>
    <w:rsid w:val="00494251"/>
    <w:rsid w:val="004942B1"/>
    <w:rsid w:val="0049485A"/>
    <w:rsid w:val="00495403"/>
    <w:rsid w:val="00495419"/>
    <w:rsid w:val="0049567F"/>
    <w:rsid w:val="00495A14"/>
    <w:rsid w:val="0049602C"/>
    <w:rsid w:val="00496377"/>
    <w:rsid w:val="004964EF"/>
    <w:rsid w:val="0049664D"/>
    <w:rsid w:val="004968D0"/>
    <w:rsid w:val="004974ED"/>
    <w:rsid w:val="00497B0B"/>
    <w:rsid w:val="00497D51"/>
    <w:rsid w:val="00497DCC"/>
    <w:rsid w:val="00497FFC"/>
    <w:rsid w:val="004A0058"/>
    <w:rsid w:val="004A015A"/>
    <w:rsid w:val="004A02AA"/>
    <w:rsid w:val="004A0380"/>
    <w:rsid w:val="004A0493"/>
    <w:rsid w:val="004A0951"/>
    <w:rsid w:val="004A0D27"/>
    <w:rsid w:val="004A1004"/>
    <w:rsid w:val="004A11F9"/>
    <w:rsid w:val="004A1570"/>
    <w:rsid w:val="004A1A85"/>
    <w:rsid w:val="004A1A91"/>
    <w:rsid w:val="004A1B03"/>
    <w:rsid w:val="004A1C08"/>
    <w:rsid w:val="004A1CC3"/>
    <w:rsid w:val="004A25ED"/>
    <w:rsid w:val="004A2739"/>
    <w:rsid w:val="004A2A22"/>
    <w:rsid w:val="004A2B4A"/>
    <w:rsid w:val="004A2C53"/>
    <w:rsid w:val="004A2E18"/>
    <w:rsid w:val="004A30A6"/>
    <w:rsid w:val="004A327B"/>
    <w:rsid w:val="004A341B"/>
    <w:rsid w:val="004A3631"/>
    <w:rsid w:val="004A3754"/>
    <w:rsid w:val="004A3947"/>
    <w:rsid w:val="004A3AB4"/>
    <w:rsid w:val="004A3F2C"/>
    <w:rsid w:val="004A48EB"/>
    <w:rsid w:val="004A4942"/>
    <w:rsid w:val="004A495D"/>
    <w:rsid w:val="004A4CBB"/>
    <w:rsid w:val="004A4E66"/>
    <w:rsid w:val="004A4E7B"/>
    <w:rsid w:val="004A4F94"/>
    <w:rsid w:val="004A52C4"/>
    <w:rsid w:val="004A53C7"/>
    <w:rsid w:val="004A5441"/>
    <w:rsid w:val="004A5A80"/>
    <w:rsid w:val="004A60CE"/>
    <w:rsid w:val="004A635F"/>
    <w:rsid w:val="004A6556"/>
    <w:rsid w:val="004A6580"/>
    <w:rsid w:val="004A6A9D"/>
    <w:rsid w:val="004A72CC"/>
    <w:rsid w:val="004A72DC"/>
    <w:rsid w:val="004A767F"/>
    <w:rsid w:val="004A787A"/>
    <w:rsid w:val="004A7BFF"/>
    <w:rsid w:val="004B02E9"/>
    <w:rsid w:val="004B0404"/>
    <w:rsid w:val="004B1287"/>
    <w:rsid w:val="004B12E3"/>
    <w:rsid w:val="004B1339"/>
    <w:rsid w:val="004B1341"/>
    <w:rsid w:val="004B2FB6"/>
    <w:rsid w:val="004B302B"/>
    <w:rsid w:val="004B3741"/>
    <w:rsid w:val="004B3B64"/>
    <w:rsid w:val="004B3C93"/>
    <w:rsid w:val="004B3CDB"/>
    <w:rsid w:val="004B436A"/>
    <w:rsid w:val="004B448F"/>
    <w:rsid w:val="004B45F8"/>
    <w:rsid w:val="004B4763"/>
    <w:rsid w:val="004B4D2E"/>
    <w:rsid w:val="004B4DB0"/>
    <w:rsid w:val="004B4FE5"/>
    <w:rsid w:val="004B547B"/>
    <w:rsid w:val="004B555E"/>
    <w:rsid w:val="004B572F"/>
    <w:rsid w:val="004B59A0"/>
    <w:rsid w:val="004B5B12"/>
    <w:rsid w:val="004B5CAB"/>
    <w:rsid w:val="004B5DF8"/>
    <w:rsid w:val="004B5E91"/>
    <w:rsid w:val="004B61E2"/>
    <w:rsid w:val="004B665B"/>
    <w:rsid w:val="004B6683"/>
    <w:rsid w:val="004B697B"/>
    <w:rsid w:val="004B6BAC"/>
    <w:rsid w:val="004B6E69"/>
    <w:rsid w:val="004B6EC6"/>
    <w:rsid w:val="004B6FB1"/>
    <w:rsid w:val="004B7997"/>
    <w:rsid w:val="004B7A4C"/>
    <w:rsid w:val="004B7AB2"/>
    <w:rsid w:val="004B7CB3"/>
    <w:rsid w:val="004B7DCE"/>
    <w:rsid w:val="004B7F15"/>
    <w:rsid w:val="004C05D6"/>
    <w:rsid w:val="004C075D"/>
    <w:rsid w:val="004C0F1D"/>
    <w:rsid w:val="004C10F7"/>
    <w:rsid w:val="004C1297"/>
    <w:rsid w:val="004C1530"/>
    <w:rsid w:val="004C1669"/>
    <w:rsid w:val="004C183F"/>
    <w:rsid w:val="004C19CF"/>
    <w:rsid w:val="004C1A94"/>
    <w:rsid w:val="004C1ACA"/>
    <w:rsid w:val="004C1C65"/>
    <w:rsid w:val="004C20AC"/>
    <w:rsid w:val="004C2100"/>
    <w:rsid w:val="004C2218"/>
    <w:rsid w:val="004C23F6"/>
    <w:rsid w:val="004C259D"/>
    <w:rsid w:val="004C25F8"/>
    <w:rsid w:val="004C28A7"/>
    <w:rsid w:val="004C2ACE"/>
    <w:rsid w:val="004C2B79"/>
    <w:rsid w:val="004C2C90"/>
    <w:rsid w:val="004C326B"/>
    <w:rsid w:val="004C33B7"/>
    <w:rsid w:val="004C33D2"/>
    <w:rsid w:val="004C35E4"/>
    <w:rsid w:val="004C396E"/>
    <w:rsid w:val="004C3E6B"/>
    <w:rsid w:val="004C427C"/>
    <w:rsid w:val="004C4330"/>
    <w:rsid w:val="004C4453"/>
    <w:rsid w:val="004C4576"/>
    <w:rsid w:val="004C47DC"/>
    <w:rsid w:val="004C5487"/>
    <w:rsid w:val="004C54D1"/>
    <w:rsid w:val="004C5694"/>
    <w:rsid w:val="004C58A2"/>
    <w:rsid w:val="004C5ADC"/>
    <w:rsid w:val="004C5D2C"/>
    <w:rsid w:val="004C5DE7"/>
    <w:rsid w:val="004C5F84"/>
    <w:rsid w:val="004C616C"/>
    <w:rsid w:val="004C62A2"/>
    <w:rsid w:val="004C62A8"/>
    <w:rsid w:val="004C640C"/>
    <w:rsid w:val="004C67B1"/>
    <w:rsid w:val="004C6A15"/>
    <w:rsid w:val="004C6AD5"/>
    <w:rsid w:val="004C6E2A"/>
    <w:rsid w:val="004C6EEF"/>
    <w:rsid w:val="004C720B"/>
    <w:rsid w:val="004C723A"/>
    <w:rsid w:val="004C758E"/>
    <w:rsid w:val="004C7640"/>
    <w:rsid w:val="004C7A22"/>
    <w:rsid w:val="004D015A"/>
    <w:rsid w:val="004D016A"/>
    <w:rsid w:val="004D05C0"/>
    <w:rsid w:val="004D05FE"/>
    <w:rsid w:val="004D08C5"/>
    <w:rsid w:val="004D0910"/>
    <w:rsid w:val="004D091F"/>
    <w:rsid w:val="004D0B9F"/>
    <w:rsid w:val="004D0D08"/>
    <w:rsid w:val="004D0F9B"/>
    <w:rsid w:val="004D11FB"/>
    <w:rsid w:val="004D139C"/>
    <w:rsid w:val="004D18A9"/>
    <w:rsid w:val="004D1960"/>
    <w:rsid w:val="004D1D5F"/>
    <w:rsid w:val="004D21B3"/>
    <w:rsid w:val="004D23B2"/>
    <w:rsid w:val="004D259E"/>
    <w:rsid w:val="004D295D"/>
    <w:rsid w:val="004D2B45"/>
    <w:rsid w:val="004D2DAC"/>
    <w:rsid w:val="004D2E3F"/>
    <w:rsid w:val="004D32F7"/>
    <w:rsid w:val="004D35F9"/>
    <w:rsid w:val="004D37FC"/>
    <w:rsid w:val="004D3941"/>
    <w:rsid w:val="004D3F12"/>
    <w:rsid w:val="004D4B6B"/>
    <w:rsid w:val="004D4F69"/>
    <w:rsid w:val="004D4FA4"/>
    <w:rsid w:val="004D5228"/>
    <w:rsid w:val="004D539A"/>
    <w:rsid w:val="004D5452"/>
    <w:rsid w:val="004D54E7"/>
    <w:rsid w:val="004D5949"/>
    <w:rsid w:val="004D5D67"/>
    <w:rsid w:val="004D5DB4"/>
    <w:rsid w:val="004D5FE3"/>
    <w:rsid w:val="004D636B"/>
    <w:rsid w:val="004D687B"/>
    <w:rsid w:val="004D6939"/>
    <w:rsid w:val="004D6C66"/>
    <w:rsid w:val="004D6CD1"/>
    <w:rsid w:val="004D6E3D"/>
    <w:rsid w:val="004D6F15"/>
    <w:rsid w:val="004D6FAE"/>
    <w:rsid w:val="004D7392"/>
    <w:rsid w:val="004D77B8"/>
    <w:rsid w:val="004D7867"/>
    <w:rsid w:val="004D78F3"/>
    <w:rsid w:val="004D7E90"/>
    <w:rsid w:val="004E0549"/>
    <w:rsid w:val="004E0FE7"/>
    <w:rsid w:val="004E1038"/>
    <w:rsid w:val="004E11B1"/>
    <w:rsid w:val="004E14C8"/>
    <w:rsid w:val="004E1894"/>
    <w:rsid w:val="004E18B3"/>
    <w:rsid w:val="004E1A25"/>
    <w:rsid w:val="004E2133"/>
    <w:rsid w:val="004E234E"/>
    <w:rsid w:val="004E240A"/>
    <w:rsid w:val="004E2839"/>
    <w:rsid w:val="004E2972"/>
    <w:rsid w:val="004E2AFB"/>
    <w:rsid w:val="004E2C76"/>
    <w:rsid w:val="004E2DF1"/>
    <w:rsid w:val="004E3072"/>
    <w:rsid w:val="004E3087"/>
    <w:rsid w:val="004E3162"/>
    <w:rsid w:val="004E3282"/>
    <w:rsid w:val="004E349E"/>
    <w:rsid w:val="004E3681"/>
    <w:rsid w:val="004E36A5"/>
    <w:rsid w:val="004E3B23"/>
    <w:rsid w:val="004E3DF3"/>
    <w:rsid w:val="004E3F39"/>
    <w:rsid w:val="004E3FBE"/>
    <w:rsid w:val="004E4283"/>
    <w:rsid w:val="004E4697"/>
    <w:rsid w:val="004E47E0"/>
    <w:rsid w:val="004E4DDC"/>
    <w:rsid w:val="004E5019"/>
    <w:rsid w:val="004E55F8"/>
    <w:rsid w:val="004E5884"/>
    <w:rsid w:val="004E5CB3"/>
    <w:rsid w:val="004E5E1F"/>
    <w:rsid w:val="004E5E4C"/>
    <w:rsid w:val="004E603C"/>
    <w:rsid w:val="004E61CF"/>
    <w:rsid w:val="004E6247"/>
    <w:rsid w:val="004E63B7"/>
    <w:rsid w:val="004E63CD"/>
    <w:rsid w:val="004E6833"/>
    <w:rsid w:val="004E68DB"/>
    <w:rsid w:val="004E6BD5"/>
    <w:rsid w:val="004E6D69"/>
    <w:rsid w:val="004E6F91"/>
    <w:rsid w:val="004E7062"/>
    <w:rsid w:val="004E7317"/>
    <w:rsid w:val="004E79A7"/>
    <w:rsid w:val="004E7BCA"/>
    <w:rsid w:val="004E7E49"/>
    <w:rsid w:val="004E7EC0"/>
    <w:rsid w:val="004F04C3"/>
    <w:rsid w:val="004F050A"/>
    <w:rsid w:val="004F08BD"/>
    <w:rsid w:val="004F094E"/>
    <w:rsid w:val="004F0B5C"/>
    <w:rsid w:val="004F0C52"/>
    <w:rsid w:val="004F117B"/>
    <w:rsid w:val="004F121D"/>
    <w:rsid w:val="004F1224"/>
    <w:rsid w:val="004F12A8"/>
    <w:rsid w:val="004F12F2"/>
    <w:rsid w:val="004F1648"/>
    <w:rsid w:val="004F1FDE"/>
    <w:rsid w:val="004F2203"/>
    <w:rsid w:val="004F2309"/>
    <w:rsid w:val="004F2758"/>
    <w:rsid w:val="004F2844"/>
    <w:rsid w:val="004F2A31"/>
    <w:rsid w:val="004F2AEA"/>
    <w:rsid w:val="004F2AEB"/>
    <w:rsid w:val="004F2C1D"/>
    <w:rsid w:val="004F319D"/>
    <w:rsid w:val="004F31D3"/>
    <w:rsid w:val="004F31E4"/>
    <w:rsid w:val="004F35F0"/>
    <w:rsid w:val="004F36DD"/>
    <w:rsid w:val="004F371C"/>
    <w:rsid w:val="004F37F7"/>
    <w:rsid w:val="004F4036"/>
    <w:rsid w:val="004F4404"/>
    <w:rsid w:val="004F45DD"/>
    <w:rsid w:val="004F46C1"/>
    <w:rsid w:val="004F4815"/>
    <w:rsid w:val="004F4892"/>
    <w:rsid w:val="004F48B4"/>
    <w:rsid w:val="004F48FF"/>
    <w:rsid w:val="004F4B36"/>
    <w:rsid w:val="004F4D62"/>
    <w:rsid w:val="004F4EA7"/>
    <w:rsid w:val="004F5068"/>
    <w:rsid w:val="004F50D9"/>
    <w:rsid w:val="004F526A"/>
    <w:rsid w:val="004F5673"/>
    <w:rsid w:val="004F5886"/>
    <w:rsid w:val="004F5D33"/>
    <w:rsid w:val="004F5F6D"/>
    <w:rsid w:val="004F5FB0"/>
    <w:rsid w:val="004F616A"/>
    <w:rsid w:val="004F6969"/>
    <w:rsid w:val="004F6BE0"/>
    <w:rsid w:val="004F6BE1"/>
    <w:rsid w:val="004F6EA7"/>
    <w:rsid w:val="004F6F8B"/>
    <w:rsid w:val="004F6FCB"/>
    <w:rsid w:val="004F7532"/>
    <w:rsid w:val="004F7A00"/>
    <w:rsid w:val="0050009F"/>
    <w:rsid w:val="00500172"/>
    <w:rsid w:val="005001ED"/>
    <w:rsid w:val="005002B6"/>
    <w:rsid w:val="00500827"/>
    <w:rsid w:val="0050093E"/>
    <w:rsid w:val="00500B9B"/>
    <w:rsid w:val="00500BFC"/>
    <w:rsid w:val="00501193"/>
    <w:rsid w:val="0050155D"/>
    <w:rsid w:val="00501B03"/>
    <w:rsid w:val="00501E70"/>
    <w:rsid w:val="00501EF4"/>
    <w:rsid w:val="005020BA"/>
    <w:rsid w:val="00502439"/>
    <w:rsid w:val="00502735"/>
    <w:rsid w:val="0050273E"/>
    <w:rsid w:val="00502AE3"/>
    <w:rsid w:val="00502B42"/>
    <w:rsid w:val="00503247"/>
    <w:rsid w:val="00503313"/>
    <w:rsid w:val="005036DC"/>
    <w:rsid w:val="005039AE"/>
    <w:rsid w:val="00503E5E"/>
    <w:rsid w:val="00503F31"/>
    <w:rsid w:val="00504293"/>
    <w:rsid w:val="0050437F"/>
    <w:rsid w:val="00504F58"/>
    <w:rsid w:val="00505251"/>
    <w:rsid w:val="005054B5"/>
    <w:rsid w:val="00505590"/>
    <w:rsid w:val="005055B4"/>
    <w:rsid w:val="005055C5"/>
    <w:rsid w:val="00505705"/>
    <w:rsid w:val="00505890"/>
    <w:rsid w:val="00505AD0"/>
    <w:rsid w:val="00505B77"/>
    <w:rsid w:val="00505B92"/>
    <w:rsid w:val="00505CC2"/>
    <w:rsid w:val="0050609C"/>
    <w:rsid w:val="0050629C"/>
    <w:rsid w:val="005062D3"/>
    <w:rsid w:val="005064EA"/>
    <w:rsid w:val="00506922"/>
    <w:rsid w:val="00506C2C"/>
    <w:rsid w:val="00506C43"/>
    <w:rsid w:val="00507235"/>
    <w:rsid w:val="00507566"/>
    <w:rsid w:val="00507AA7"/>
    <w:rsid w:val="00507DDE"/>
    <w:rsid w:val="00507F5D"/>
    <w:rsid w:val="00507FC2"/>
    <w:rsid w:val="005101E0"/>
    <w:rsid w:val="00510217"/>
    <w:rsid w:val="00510468"/>
    <w:rsid w:val="00510B7C"/>
    <w:rsid w:val="00511407"/>
    <w:rsid w:val="005115F5"/>
    <w:rsid w:val="0051180C"/>
    <w:rsid w:val="00511986"/>
    <w:rsid w:val="00511D16"/>
    <w:rsid w:val="00511F1F"/>
    <w:rsid w:val="00511F2F"/>
    <w:rsid w:val="00512263"/>
    <w:rsid w:val="00512353"/>
    <w:rsid w:val="0051271B"/>
    <w:rsid w:val="005128F3"/>
    <w:rsid w:val="00513212"/>
    <w:rsid w:val="00513400"/>
    <w:rsid w:val="0051348D"/>
    <w:rsid w:val="005135B4"/>
    <w:rsid w:val="00513924"/>
    <w:rsid w:val="00513BD2"/>
    <w:rsid w:val="00513EB5"/>
    <w:rsid w:val="005141E8"/>
    <w:rsid w:val="0051460D"/>
    <w:rsid w:val="0051472C"/>
    <w:rsid w:val="00514860"/>
    <w:rsid w:val="00514A0C"/>
    <w:rsid w:val="00514B04"/>
    <w:rsid w:val="00514B71"/>
    <w:rsid w:val="00514D03"/>
    <w:rsid w:val="00514E72"/>
    <w:rsid w:val="00515568"/>
    <w:rsid w:val="005159A9"/>
    <w:rsid w:val="00515BCA"/>
    <w:rsid w:val="005161E4"/>
    <w:rsid w:val="00516409"/>
    <w:rsid w:val="00516435"/>
    <w:rsid w:val="00516614"/>
    <w:rsid w:val="00516854"/>
    <w:rsid w:val="00516902"/>
    <w:rsid w:val="005169F1"/>
    <w:rsid w:val="00516D21"/>
    <w:rsid w:val="00516F1D"/>
    <w:rsid w:val="00517316"/>
    <w:rsid w:val="00517336"/>
    <w:rsid w:val="00517372"/>
    <w:rsid w:val="005174EF"/>
    <w:rsid w:val="00517CF8"/>
    <w:rsid w:val="00517D06"/>
    <w:rsid w:val="00517D34"/>
    <w:rsid w:val="00517FEF"/>
    <w:rsid w:val="005204C1"/>
    <w:rsid w:val="00520A4B"/>
    <w:rsid w:val="00520D8E"/>
    <w:rsid w:val="005211FB"/>
    <w:rsid w:val="0052140C"/>
    <w:rsid w:val="00521B4D"/>
    <w:rsid w:val="00521B55"/>
    <w:rsid w:val="00522269"/>
    <w:rsid w:val="005222AA"/>
    <w:rsid w:val="00522661"/>
    <w:rsid w:val="005227B9"/>
    <w:rsid w:val="00522C91"/>
    <w:rsid w:val="00522CD7"/>
    <w:rsid w:val="00522E3F"/>
    <w:rsid w:val="00523013"/>
    <w:rsid w:val="0052304B"/>
    <w:rsid w:val="00523292"/>
    <w:rsid w:val="005233F3"/>
    <w:rsid w:val="0052346A"/>
    <w:rsid w:val="005235EF"/>
    <w:rsid w:val="00523C6E"/>
    <w:rsid w:val="00523FE5"/>
    <w:rsid w:val="0052431D"/>
    <w:rsid w:val="00524CC3"/>
    <w:rsid w:val="00524D16"/>
    <w:rsid w:val="00525271"/>
    <w:rsid w:val="0052542F"/>
    <w:rsid w:val="00525845"/>
    <w:rsid w:val="00525897"/>
    <w:rsid w:val="00525969"/>
    <w:rsid w:val="00525A18"/>
    <w:rsid w:val="00525C71"/>
    <w:rsid w:val="00525DFF"/>
    <w:rsid w:val="00525E33"/>
    <w:rsid w:val="00526057"/>
    <w:rsid w:val="00526544"/>
    <w:rsid w:val="0052658F"/>
    <w:rsid w:val="00526834"/>
    <w:rsid w:val="00526B22"/>
    <w:rsid w:val="00526C93"/>
    <w:rsid w:val="00526F24"/>
    <w:rsid w:val="00526F49"/>
    <w:rsid w:val="0052706C"/>
    <w:rsid w:val="005273CD"/>
    <w:rsid w:val="0052752B"/>
    <w:rsid w:val="005278F5"/>
    <w:rsid w:val="00527A62"/>
    <w:rsid w:val="00527CF3"/>
    <w:rsid w:val="005301B4"/>
    <w:rsid w:val="0053084B"/>
    <w:rsid w:val="005308F4"/>
    <w:rsid w:val="00530B55"/>
    <w:rsid w:val="00530B85"/>
    <w:rsid w:val="00530BEB"/>
    <w:rsid w:val="00530CA6"/>
    <w:rsid w:val="00530E11"/>
    <w:rsid w:val="0053134A"/>
    <w:rsid w:val="005314DC"/>
    <w:rsid w:val="00531523"/>
    <w:rsid w:val="00531745"/>
    <w:rsid w:val="005319DD"/>
    <w:rsid w:val="00531ACA"/>
    <w:rsid w:val="00531BBB"/>
    <w:rsid w:val="00531C32"/>
    <w:rsid w:val="00531E18"/>
    <w:rsid w:val="0053271D"/>
    <w:rsid w:val="00532767"/>
    <w:rsid w:val="005328BB"/>
    <w:rsid w:val="00532A67"/>
    <w:rsid w:val="00532C6C"/>
    <w:rsid w:val="00532F56"/>
    <w:rsid w:val="00533877"/>
    <w:rsid w:val="00533F95"/>
    <w:rsid w:val="00534391"/>
    <w:rsid w:val="005344DC"/>
    <w:rsid w:val="005345C2"/>
    <w:rsid w:val="00534826"/>
    <w:rsid w:val="00534AEB"/>
    <w:rsid w:val="00534BE4"/>
    <w:rsid w:val="00534C59"/>
    <w:rsid w:val="00534C74"/>
    <w:rsid w:val="00535290"/>
    <w:rsid w:val="005352B7"/>
    <w:rsid w:val="00535371"/>
    <w:rsid w:val="005353BD"/>
    <w:rsid w:val="00535540"/>
    <w:rsid w:val="005356E6"/>
    <w:rsid w:val="00535C3C"/>
    <w:rsid w:val="00535DD1"/>
    <w:rsid w:val="00535F13"/>
    <w:rsid w:val="00536163"/>
    <w:rsid w:val="00536267"/>
    <w:rsid w:val="005364FD"/>
    <w:rsid w:val="005365EC"/>
    <w:rsid w:val="0053670E"/>
    <w:rsid w:val="00537928"/>
    <w:rsid w:val="00537C14"/>
    <w:rsid w:val="005400AC"/>
    <w:rsid w:val="005401A4"/>
    <w:rsid w:val="00540601"/>
    <w:rsid w:val="00540685"/>
    <w:rsid w:val="005407A0"/>
    <w:rsid w:val="00540802"/>
    <w:rsid w:val="0054095B"/>
    <w:rsid w:val="0054098B"/>
    <w:rsid w:val="00540BF4"/>
    <w:rsid w:val="00540D97"/>
    <w:rsid w:val="00541638"/>
    <w:rsid w:val="00541732"/>
    <w:rsid w:val="0054175B"/>
    <w:rsid w:val="00541C33"/>
    <w:rsid w:val="00541F4B"/>
    <w:rsid w:val="005421F9"/>
    <w:rsid w:val="00542369"/>
    <w:rsid w:val="005423E9"/>
    <w:rsid w:val="00542570"/>
    <w:rsid w:val="0054257D"/>
    <w:rsid w:val="00542656"/>
    <w:rsid w:val="005426C1"/>
    <w:rsid w:val="0054298D"/>
    <w:rsid w:val="00542EBB"/>
    <w:rsid w:val="005433AB"/>
    <w:rsid w:val="005433BA"/>
    <w:rsid w:val="00543456"/>
    <w:rsid w:val="00543ADA"/>
    <w:rsid w:val="00543D3F"/>
    <w:rsid w:val="00543F46"/>
    <w:rsid w:val="00543F4B"/>
    <w:rsid w:val="00544229"/>
    <w:rsid w:val="005448F3"/>
    <w:rsid w:val="005449E1"/>
    <w:rsid w:val="00544CF5"/>
    <w:rsid w:val="00544DC2"/>
    <w:rsid w:val="00544E24"/>
    <w:rsid w:val="00544E25"/>
    <w:rsid w:val="00544F24"/>
    <w:rsid w:val="00545361"/>
    <w:rsid w:val="00545561"/>
    <w:rsid w:val="005458E7"/>
    <w:rsid w:val="005458F0"/>
    <w:rsid w:val="00545937"/>
    <w:rsid w:val="0054594E"/>
    <w:rsid w:val="005459C5"/>
    <w:rsid w:val="00545A0B"/>
    <w:rsid w:val="00545BA0"/>
    <w:rsid w:val="005460CF"/>
    <w:rsid w:val="00546269"/>
    <w:rsid w:val="00546437"/>
    <w:rsid w:val="00546721"/>
    <w:rsid w:val="00546BCD"/>
    <w:rsid w:val="00546E66"/>
    <w:rsid w:val="005470DD"/>
    <w:rsid w:val="0054730E"/>
    <w:rsid w:val="00547504"/>
    <w:rsid w:val="0054785A"/>
    <w:rsid w:val="005479C6"/>
    <w:rsid w:val="00547B5D"/>
    <w:rsid w:val="00547B5F"/>
    <w:rsid w:val="00547E02"/>
    <w:rsid w:val="00547E70"/>
    <w:rsid w:val="00547F64"/>
    <w:rsid w:val="00547F9C"/>
    <w:rsid w:val="00550936"/>
    <w:rsid w:val="005509DF"/>
    <w:rsid w:val="00550AFC"/>
    <w:rsid w:val="00550BA1"/>
    <w:rsid w:val="00550BF6"/>
    <w:rsid w:val="00550F99"/>
    <w:rsid w:val="00550FC4"/>
    <w:rsid w:val="005516AA"/>
    <w:rsid w:val="00551890"/>
    <w:rsid w:val="0055197F"/>
    <w:rsid w:val="005520CB"/>
    <w:rsid w:val="0055210E"/>
    <w:rsid w:val="00552479"/>
    <w:rsid w:val="005524CF"/>
    <w:rsid w:val="0055278F"/>
    <w:rsid w:val="005528B6"/>
    <w:rsid w:val="00552A6A"/>
    <w:rsid w:val="00552EC4"/>
    <w:rsid w:val="0055315A"/>
    <w:rsid w:val="0055375C"/>
    <w:rsid w:val="0055386E"/>
    <w:rsid w:val="00553D4A"/>
    <w:rsid w:val="00554075"/>
    <w:rsid w:val="005541E2"/>
    <w:rsid w:val="00554318"/>
    <w:rsid w:val="005546FD"/>
    <w:rsid w:val="0055479B"/>
    <w:rsid w:val="00554A6F"/>
    <w:rsid w:val="00554B18"/>
    <w:rsid w:val="00554B7A"/>
    <w:rsid w:val="00554C6B"/>
    <w:rsid w:val="00555742"/>
    <w:rsid w:val="005559CD"/>
    <w:rsid w:val="00555CC8"/>
    <w:rsid w:val="00555D4A"/>
    <w:rsid w:val="00555E86"/>
    <w:rsid w:val="00555F25"/>
    <w:rsid w:val="00555FD7"/>
    <w:rsid w:val="00556217"/>
    <w:rsid w:val="00556985"/>
    <w:rsid w:val="005569EB"/>
    <w:rsid w:val="00556C71"/>
    <w:rsid w:val="00556F7C"/>
    <w:rsid w:val="00557070"/>
    <w:rsid w:val="005570D9"/>
    <w:rsid w:val="0055720A"/>
    <w:rsid w:val="005575E3"/>
    <w:rsid w:val="0055768E"/>
    <w:rsid w:val="005576DE"/>
    <w:rsid w:val="005577E9"/>
    <w:rsid w:val="0055790E"/>
    <w:rsid w:val="00557974"/>
    <w:rsid w:val="00557A11"/>
    <w:rsid w:val="00557C04"/>
    <w:rsid w:val="00557CFA"/>
    <w:rsid w:val="00557DF3"/>
    <w:rsid w:val="00557EC7"/>
    <w:rsid w:val="005601AC"/>
    <w:rsid w:val="00560332"/>
    <w:rsid w:val="005603C9"/>
    <w:rsid w:val="005607A6"/>
    <w:rsid w:val="00560863"/>
    <w:rsid w:val="005609E0"/>
    <w:rsid w:val="00560A77"/>
    <w:rsid w:val="00560AF7"/>
    <w:rsid w:val="0056125E"/>
    <w:rsid w:val="00561572"/>
    <w:rsid w:val="00561582"/>
    <w:rsid w:val="00561750"/>
    <w:rsid w:val="00561AFE"/>
    <w:rsid w:val="00561B39"/>
    <w:rsid w:val="00561C45"/>
    <w:rsid w:val="00561ED4"/>
    <w:rsid w:val="00561F06"/>
    <w:rsid w:val="0056242A"/>
    <w:rsid w:val="00562457"/>
    <w:rsid w:val="00562976"/>
    <w:rsid w:val="00562A13"/>
    <w:rsid w:val="00562BBB"/>
    <w:rsid w:val="00562EE1"/>
    <w:rsid w:val="00562FC7"/>
    <w:rsid w:val="00563909"/>
    <w:rsid w:val="00563CF2"/>
    <w:rsid w:val="00563E60"/>
    <w:rsid w:val="00563F3B"/>
    <w:rsid w:val="005641FD"/>
    <w:rsid w:val="00564212"/>
    <w:rsid w:val="005648C0"/>
    <w:rsid w:val="005648F4"/>
    <w:rsid w:val="00564E14"/>
    <w:rsid w:val="00564E76"/>
    <w:rsid w:val="00564E77"/>
    <w:rsid w:val="00564ED8"/>
    <w:rsid w:val="00564EE1"/>
    <w:rsid w:val="005653D4"/>
    <w:rsid w:val="00565508"/>
    <w:rsid w:val="00565580"/>
    <w:rsid w:val="005658FD"/>
    <w:rsid w:val="00565CDA"/>
    <w:rsid w:val="00565D03"/>
    <w:rsid w:val="00565EDF"/>
    <w:rsid w:val="00565EF9"/>
    <w:rsid w:val="005664C0"/>
    <w:rsid w:val="005665AD"/>
    <w:rsid w:val="005665E9"/>
    <w:rsid w:val="005666C3"/>
    <w:rsid w:val="005668EE"/>
    <w:rsid w:val="00566B09"/>
    <w:rsid w:val="00566BB7"/>
    <w:rsid w:val="00567001"/>
    <w:rsid w:val="00567043"/>
    <w:rsid w:val="00567215"/>
    <w:rsid w:val="0056762E"/>
    <w:rsid w:val="005676E6"/>
    <w:rsid w:val="00567AF3"/>
    <w:rsid w:val="00567B43"/>
    <w:rsid w:val="00567CCE"/>
    <w:rsid w:val="00567F95"/>
    <w:rsid w:val="00570082"/>
    <w:rsid w:val="00570450"/>
    <w:rsid w:val="005704E7"/>
    <w:rsid w:val="00570745"/>
    <w:rsid w:val="005708E1"/>
    <w:rsid w:val="00570A42"/>
    <w:rsid w:val="00570AA9"/>
    <w:rsid w:val="00570ADF"/>
    <w:rsid w:val="00570CCC"/>
    <w:rsid w:val="00570CFE"/>
    <w:rsid w:val="00570F64"/>
    <w:rsid w:val="00570FE5"/>
    <w:rsid w:val="005711E0"/>
    <w:rsid w:val="005712E6"/>
    <w:rsid w:val="0057170E"/>
    <w:rsid w:val="005718E1"/>
    <w:rsid w:val="005719B2"/>
    <w:rsid w:val="005721A2"/>
    <w:rsid w:val="0057233B"/>
    <w:rsid w:val="00572613"/>
    <w:rsid w:val="005726FE"/>
    <w:rsid w:val="005728D9"/>
    <w:rsid w:val="00572A33"/>
    <w:rsid w:val="00572D95"/>
    <w:rsid w:val="00573396"/>
    <w:rsid w:val="00573664"/>
    <w:rsid w:val="00573829"/>
    <w:rsid w:val="00573A8E"/>
    <w:rsid w:val="00573B3F"/>
    <w:rsid w:val="00573C67"/>
    <w:rsid w:val="0057463E"/>
    <w:rsid w:val="00574769"/>
    <w:rsid w:val="00574B47"/>
    <w:rsid w:val="00574BE8"/>
    <w:rsid w:val="00574D32"/>
    <w:rsid w:val="00574F3F"/>
    <w:rsid w:val="0057503D"/>
    <w:rsid w:val="005753AE"/>
    <w:rsid w:val="0057552C"/>
    <w:rsid w:val="00575D99"/>
    <w:rsid w:val="005761F0"/>
    <w:rsid w:val="005763F1"/>
    <w:rsid w:val="0057642E"/>
    <w:rsid w:val="005765B6"/>
    <w:rsid w:val="00576641"/>
    <w:rsid w:val="005766E1"/>
    <w:rsid w:val="005768B3"/>
    <w:rsid w:val="005769A9"/>
    <w:rsid w:val="00576C9F"/>
    <w:rsid w:val="00576CFD"/>
    <w:rsid w:val="00577036"/>
    <w:rsid w:val="005770C4"/>
    <w:rsid w:val="00577376"/>
    <w:rsid w:val="00577698"/>
    <w:rsid w:val="0057773A"/>
    <w:rsid w:val="00577B8C"/>
    <w:rsid w:val="00577DAA"/>
    <w:rsid w:val="00577F84"/>
    <w:rsid w:val="005806D1"/>
    <w:rsid w:val="00580777"/>
    <w:rsid w:val="00580BD9"/>
    <w:rsid w:val="005811AC"/>
    <w:rsid w:val="00581826"/>
    <w:rsid w:val="00581897"/>
    <w:rsid w:val="00581988"/>
    <w:rsid w:val="00581F9F"/>
    <w:rsid w:val="0058211E"/>
    <w:rsid w:val="005828CC"/>
    <w:rsid w:val="00582D56"/>
    <w:rsid w:val="005834EA"/>
    <w:rsid w:val="00583817"/>
    <w:rsid w:val="00583823"/>
    <w:rsid w:val="0058385F"/>
    <w:rsid w:val="00583D08"/>
    <w:rsid w:val="00583FD9"/>
    <w:rsid w:val="0058412A"/>
    <w:rsid w:val="005841F5"/>
    <w:rsid w:val="0058479D"/>
    <w:rsid w:val="00584A2B"/>
    <w:rsid w:val="00584CB9"/>
    <w:rsid w:val="00584E9E"/>
    <w:rsid w:val="0058500C"/>
    <w:rsid w:val="0058526B"/>
    <w:rsid w:val="00585930"/>
    <w:rsid w:val="00585EEC"/>
    <w:rsid w:val="00586162"/>
    <w:rsid w:val="00586236"/>
    <w:rsid w:val="00586460"/>
    <w:rsid w:val="005866D4"/>
    <w:rsid w:val="005868BB"/>
    <w:rsid w:val="00586B0D"/>
    <w:rsid w:val="00586EAA"/>
    <w:rsid w:val="00587042"/>
    <w:rsid w:val="005870B2"/>
    <w:rsid w:val="005875A6"/>
    <w:rsid w:val="005878E1"/>
    <w:rsid w:val="00587939"/>
    <w:rsid w:val="00587BEE"/>
    <w:rsid w:val="00587C88"/>
    <w:rsid w:val="00587C9E"/>
    <w:rsid w:val="0058B43E"/>
    <w:rsid w:val="0059000C"/>
    <w:rsid w:val="005900A7"/>
    <w:rsid w:val="005900AF"/>
    <w:rsid w:val="005900E9"/>
    <w:rsid w:val="005902A3"/>
    <w:rsid w:val="0059062F"/>
    <w:rsid w:val="00590B7B"/>
    <w:rsid w:val="00590F19"/>
    <w:rsid w:val="0059108C"/>
    <w:rsid w:val="0059132C"/>
    <w:rsid w:val="00591573"/>
    <w:rsid w:val="00591A41"/>
    <w:rsid w:val="005920BA"/>
    <w:rsid w:val="005921C9"/>
    <w:rsid w:val="005927F4"/>
    <w:rsid w:val="005927FD"/>
    <w:rsid w:val="00592BDF"/>
    <w:rsid w:val="00593062"/>
    <w:rsid w:val="0059310B"/>
    <w:rsid w:val="0059310D"/>
    <w:rsid w:val="00593308"/>
    <w:rsid w:val="005933A0"/>
    <w:rsid w:val="00593841"/>
    <w:rsid w:val="00594305"/>
    <w:rsid w:val="00594700"/>
    <w:rsid w:val="00594820"/>
    <w:rsid w:val="00594BD6"/>
    <w:rsid w:val="00594C20"/>
    <w:rsid w:val="00594F77"/>
    <w:rsid w:val="00594F8A"/>
    <w:rsid w:val="005950E8"/>
    <w:rsid w:val="005951FD"/>
    <w:rsid w:val="00595286"/>
    <w:rsid w:val="00595374"/>
    <w:rsid w:val="00595532"/>
    <w:rsid w:val="00595CCB"/>
    <w:rsid w:val="00595F6E"/>
    <w:rsid w:val="00596309"/>
    <w:rsid w:val="00596358"/>
    <w:rsid w:val="00596486"/>
    <w:rsid w:val="0059683A"/>
    <w:rsid w:val="00596B37"/>
    <w:rsid w:val="00596C5E"/>
    <w:rsid w:val="00596DA5"/>
    <w:rsid w:val="00596EC6"/>
    <w:rsid w:val="005972CC"/>
    <w:rsid w:val="0059731F"/>
    <w:rsid w:val="00597696"/>
    <w:rsid w:val="0059785A"/>
    <w:rsid w:val="00597A2B"/>
    <w:rsid w:val="00597C13"/>
    <w:rsid w:val="00597F2D"/>
    <w:rsid w:val="005A02B4"/>
    <w:rsid w:val="005A05EB"/>
    <w:rsid w:val="005A088B"/>
    <w:rsid w:val="005A09D2"/>
    <w:rsid w:val="005A0E5D"/>
    <w:rsid w:val="005A144E"/>
    <w:rsid w:val="005A170B"/>
    <w:rsid w:val="005A1C84"/>
    <w:rsid w:val="005A1DAB"/>
    <w:rsid w:val="005A1E8B"/>
    <w:rsid w:val="005A2144"/>
    <w:rsid w:val="005A231D"/>
    <w:rsid w:val="005A28B3"/>
    <w:rsid w:val="005A2982"/>
    <w:rsid w:val="005A2C21"/>
    <w:rsid w:val="005A2C3B"/>
    <w:rsid w:val="005A2EBF"/>
    <w:rsid w:val="005A34DF"/>
    <w:rsid w:val="005A35BE"/>
    <w:rsid w:val="005A3E66"/>
    <w:rsid w:val="005A4003"/>
    <w:rsid w:val="005A4372"/>
    <w:rsid w:val="005A44B8"/>
    <w:rsid w:val="005A4B0F"/>
    <w:rsid w:val="005A52DF"/>
    <w:rsid w:val="005A53C1"/>
    <w:rsid w:val="005A58B9"/>
    <w:rsid w:val="005A5961"/>
    <w:rsid w:val="005A5E21"/>
    <w:rsid w:val="005A5E35"/>
    <w:rsid w:val="005A671F"/>
    <w:rsid w:val="005A69AF"/>
    <w:rsid w:val="005A6FAB"/>
    <w:rsid w:val="005A6FB3"/>
    <w:rsid w:val="005A7458"/>
    <w:rsid w:val="005A7881"/>
    <w:rsid w:val="005B0252"/>
    <w:rsid w:val="005B0514"/>
    <w:rsid w:val="005B0529"/>
    <w:rsid w:val="005B05A8"/>
    <w:rsid w:val="005B08BE"/>
    <w:rsid w:val="005B0AE0"/>
    <w:rsid w:val="005B0B2C"/>
    <w:rsid w:val="005B0C1B"/>
    <w:rsid w:val="005B0C22"/>
    <w:rsid w:val="005B0C93"/>
    <w:rsid w:val="005B0E18"/>
    <w:rsid w:val="005B123A"/>
    <w:rsid w:val="005B1251"/>
    <w:rsid w:val="005B14C0"/>
    <w:rsid w:val="005B167A"/>
    <w:rsid w:val="005B1BA9"/>
    <w:rsid w:val="005B1D6C"/>
    <w:rsid w:val="005B1E06"/>
    <w:rsid w:val="005B21B3"/>
    <w:rsid w:val="005B2262"/>
    <w:rsid w:val="005B22A6"/>
    <w:rsid w:val="005B2365"/>
    <w:rsid w:val="005B2492"/>
    <w:rsid w:val="005B298C"/>
    <w:rsid w:val="005B2A65"/>
    <w:rsid w:val="005B2E49"/>
    <w:rsid w:val="005B306B"/>
    <w:rsid w:val="005B3269"/>
    <w:rsid w:val="005B33AA"/>
    <w:rsid w:val="005B3560"/>
    <w:rsid w:val="005B3992"/>
    <w:rsid w:val="005B3A3D"/>
    <w:rsid w:val="005B3E3F"/>
    <w:rsid w:val="005B3E84"/>
    <w:rsid w:val="005B3F0E"/>
    <w:rsid w:val="005B4046"/>
    <w:rsid w:val="005B43EA"/>
    <w:rsid w:val="005B45F8"/>
    <w:rsid w:val="005B4713"/>
    <w:rsid w:val="005B48AC"/>
    <w:rsid w:val="005B4AE8"/>
    <w:rsid w:val="005B4C05"/>
    <w:rsid w:val="005B527F"/>
    <w:rsid w:val="005B570A"/>
    <w:rsid w:val="005B5A84"/>
    <w:rsid w:val="005B5A92"/>
    <w:rsid w:val="005B5BAB"/>
    <w:rsid w:val="005B5D34"/>
    <w:rsid w:val="005B68E7"/>
    <w:rsid w:val="005B6E12"/>
    <w:rsid w:val="005B713F"/>
    <w:rsid w:val="005B7853"/>
    <w:rsid w:val="005B7C22"/>
    <w:rsid w:val="005BCE47"/>
    <w:rsid w:val="005C0064"/>
    <w:rsid w:val="005C06FA"/>
    <w:rsid w:val="005C106D"/>
    <w:rsid w:val="005C115F"/>
    <w:rsid w:val="005C11D9"/>
    <w:rsid w:val="005C15EF"/>
    <w:rsid w:val="005C175E"/>
    <w:rsid w:val="005C181D"/>
    <w:rsid w:val="005C1897"/>
    <w:rsid w:val="005C1F7F"/>
    <w:rsid w:val="005C20B9"/>
    <w:rsid w:val="005C20D6"/>
    <w:rsid w:val="005C23B8"/>
    <w:rsid w:val="005C2B47"/>
    <w:rsid w:val="005C2BE4"/>
    <w:rsid w:val="005C2C0A"/>
    <w:rsid w:val="005C3097"/>
    <w:rsid w:val="005C30EF"/>
    <w:rsid w:val="005C31E4"/>
    <w:rsid w:val="005C36D9"/>
    <w:rsid w:val="005C3772"/>
    <w:rsid w:val="005C38B6"/>
    <w:rsid w:val="005C3995"/>
    <w:rsid w:val="005C3C0B"/>
    <w:rsid w:val="005C3FB1"/>
    <w:rsid w:val="005C403A"/>
    <w:rsid w:val="005C43B1"/>
    <w:rsid w:val="005C4EDF"/>
    <w:rsid w:val="005C4F1D"/>
    <w:rsid w:val="005C5D19"/>
    <w:rsid w:val="005C60D3"/>
    <w:rsid w:val="005C623E"/>
    <w:rsid w:val="005C631C"/>
    <w:rsid w:val="005C6607"/>
    <w:rsid w:val="005C679B"/>
    <w:rsid w:val="005C69CB"/>
    <w:rsid w:val="005C6AD5"/>
    <w:rsid w:val="005C6D48"/>
    <w:rsid w:val="005C6EAF"/>
    <w:rsid w:val="005C70F6"/>
    <w:rsid w:val="005C720B"/>
    <w:rsid w:val="005C722C"/>
    <w:rsid w:val="005C74E0"/>
    <w:rsid w:val="005C7603"/>
    <w:rsid w:val="005C7738"/>
    <w:rsid w:val="005C782E"/>
    <w:rsid w:val="005C7AEA"/>
    <w:rsid w:val="005D00E6"/>
    <w:rsid w:val="005D028E"/>
    <w:rsid w:val="005D0301"/>
    <w:rsid w:val="005D03F9"/>
    <w:rsid w:val="005D04FE"/>
    <w:rsid w:val="005D051F"/>
    <w:rsid w:val="005D0526"/>
    <w:rsid w:val="005D0BA7"/>
    <w:rsid w:val="005D11CC"/>
    <w:rsid w:val="005D1644"/>
    <w:rsid w:val="005D16C3"/>
    <w:rsid w:val="005D1795"/>
    <w:rsid w:val="005D1969"/>
    <w:rsid w:val="005D1A31"/>
    <w:rsid w:val="005D1BE6"/>
    <w:rsid w:val="005D1ED0"/>
    <w:rsid w:val="005D2319"/>
    <w:rsid w:val="005D2A09"/>
    <w:rsid w:val="005D2AA6"/>
    <w:rsid w:val="005D2D09"/>
    <w:rsid w:val="005D2EB1"/>
    <w:rsid w:val="005D363F"/>
    <w:rsid w:val="005D36AD"/>
    <w:rsid w:val="005D37A2"/>
    <w:rsid w:val="005D38D7"/>
    <w:rsid w:val="005D3A15"/>
    <w:rsid w:val="005D3B69"/>
    <w:rsid w:val="005D3C74"/>
    <w:rsid w:val="005D3DE9"/>
    <w:rsid w:val="005D4210"/>
    <w:rsid w:val="005D4962"/>
    <w:rsid w:val="005D49BF"/>
    <w:rsid w:val="005D4FD5"/>
    <w:rsid w:val="005D51AD"/>
    <w:rsid w:val="005D5607"/>
    <w:rsid w:val="005D56EF"/>
    <w:rsid w:val="005D5C51"/>
    <w:rsid w:val="005D5C73"/>
    <w:rsid w:val="005D5D0D"/>
    <w:rsid w:val="005D603C"/>
    <w:rsid w:val="005D604B"/>
    <w:rsid w:val="005D607E"/>
    <w:rsid w:val="005D623E"/>
    <w:rsid w:val="005D62C6"/>
    <w:rsid w:val="005D6523"/>
    <w:rsid w:val="005D6C23"/>
    <w:rsid w:val="005D715B"/>
    <w:rsid w:val="005D7680"/>
    <w:rsid w:val="005D7C99"/>
    <w:rsid w:val="005D7CF2"/>
    <w:rsid w:val="005D7DBF"/>
    <w:rsid w:val="005D7DF8"/>
    <w:rsid w:val="005D7F12"/>
    <w:rsid w:val="005E044D"/>
    <w:rsid w:val="005E04C9"/>
    <w:rsid w:val="005E099D"/>
    <w:rsid w:val="005E0D7F"/>
    <w:rsid w:val="005E10D0"/>
    <w:rsid w:val="005E156A"/>
    <w:rsid w:val="005E1702"/>
    <w:rsid w:val="005E18E9"/>
    <w:rsid w:val="005E1A46"/>
    <w:rsid w:val="005E1AB3"/>
    <w:rsid w:val="005E1BEF"/>
    <w:rsid w:val="005E1F1A"/>
    <w:rsid w:val="005E2093"/>
    <w:rsid w:val="005E20AC"/>
    <w:rsid w:val="005E228C"/>
    <w:rsid w:val="005E2370"/>
    <w:rsid w:val="005E2488"/>
    <w:rsid w:val="005E2686"/>
    <w:rsid w:val="005E26E3"/>
    <w:rsid w:val="005E2BC0"/>
    <w:rsid w:val="005E2F32"/>
    <w:rsid w:val="005E30FE"/>
    <w:rsid w:val="005E35C8"/>
    <w:rsid w:val="005E35E0"/>
    <w:rsid w:val="005E36C8"/>
    <w:rsid w:val="005E3A72"/>
    <w:rsid w:val="005E3BE2"/>
    <w:rsid w:val="005E3E23"/>
    <w:rsid w:val="005E4198"/>
    <w:rsid w:val="005E4286"/>
    <w:rsid w:val="005E4392"/>
    <w:rsid w:val="005E44A9"/>
    <w:rsid w:val="005E45C4"/>
    <w:rsid w:val="005E4851"/>
    <w:rsid w:val="005E49F0"/>
    <w:rsid w:val="005E4B00"/>
    <w:rsid w:val="005E4B2A"/>
    <w:rsid w:val="005E4BE2"/>
    <w:rsid w:val="005E4CDD"/>
    <w:rsid w:val="005E5304"/>
    <w:rsid w:val="005E5318"/>
    <w:rsid w:val="005E5BB7"/>
    <w:rsid w:val="005E5C59"/>
    <w:rsid w:val="005E5D2B"/>
    <w:rsid w:val="005E5D39"/>
    <w:rsid w:val="005E5ED1"/>
    <w:rsid w:val="005E5F6F"/>
    <w:rsid w:val="005E60F6"/>
    <w:rsid w:val="005E6117"/>
    <w:rsid w:val="005E6235"/>
    <w:rsid w:val="005E6875"/>
    <w:rsid w:val="005E6DBE"/>
    <w:rsid w:val="005E75E5"/>
    <w:rsid w:val="005E7A6B"/>
    <w:rsid w:val="005E7C0A"/>
    <w:rsid w:val="005E7CAA"/>
    <w:rsid w:val="005E7CCB"/>
    <w:rsid w:val="005F0316"/>
    <w:rsid w:val="005F0967"/>
    <w:rsid w:val="005F0C98"/>
    <w:rsid w:val="005F0D0B"/>
    <w:rsid w:val="005F15B6"/>
    <w:rsid w:val="005F1C21"/>
    <w:rsid w:val="005F1E31"/>
    <w:rsid w:val="005F1FE4"/>
    <w:rsid w:val="005F2010"/>
    <w:rsid w:val="005F2233"/>
    <w:rsid w:val="005F2486"/>
    <w:rsid w:val="005F27EB"/>
    <w:rsid w:val="005F287C"/>
    <w:rsid w:val="005F29F5"/>
    <w:rsid w:val="005F2CA6"/>
    <w:rsid w:val="005F3290"/>
    <w:rsid w:val="005F333E"/>
    <w:rsid w:val="005F33AF"/>
    <w:rsid w:val="005F369E"/>
    <w:rsid w:val="005F3908"/>
    <w:rsid w:val="005F3A8B"/>
    <w:rsid w:val="005F3AD0"/>
    <w:rsid w:val="005F3E9F"/>
    <w:rsid w:val="005F3F29"/>
    <w:rsid w:val="005F4281"/>
    <w:rsid w:val="005F461C"/>
    <w:rsid w:val="005F4795"/>
    <w:rsid w:val="005F49FA"/>
    <w:rsid w:val="005F4B85"/>
    <w:rsid w:val="005F4B96"/>
    <w:rsid w:val="005F4CD6"/>
    <w:rsid w:val="005F4F25"/>
    <w:rsid w:val="005F52A2"/>
    <w:rsid w:val="005F5327"/>
    <w:rsid w:val="005F5363"/>
    <w:rsid w:val="005F53EA"/>
    <w:rsid w:val="005F55BD"/>
    <w:rsid w:val="005F5918"/>
    <w:rsid w:val="005F6267"/>
    <w:rsid w:val="005F62D1"/>
    <w:rsid w:val="005F64C1"/>
    <w:rsid w:val="005F65C0"/>
    <w:rsid w:val="005F667C"/>
    <w:rsid w:val="005F68F3"/>
    <w:rsid w:val="005F6967"/>
    <w:rsid w:val="005F6B1E"/>
    <w:rsid w:val="005F6B23"/>
    <w:rsid w:val="005F6B31"/>
    <w:rsid w:val="005F6B58"/>
    <w:rsid w:val="005F6CBD"/>
    <w:rsid w:val="005F6DEC"/>
    <w:rsid w:val="005F6E36"/>
    <w:rsid w:val="005F6E39"/>
    <w:rsid w:val="005F7836"/>
    <w:rsid w:val="005F7A74"/>
    <w:rsid w:val="005F7C41"/>
    <w:rsid w:val="005F7ED0"/>
    <w:rsid w:val="00600209"/>
    <w:rsid w:val="006004D5"/>
    <w:rsid w:val="006004FA"/>
    <w:rsid w:val="006006BC"/>
    <w:rsid w:val="006008A9"/>
    <w:rsid w:val="00600999"/>
    <w:rsid w:val="006013D1"/>
    <w:rsid w:val="0060158A"/>
    <w:rsid w:val="006015F7"/>
    <w:rsid w:val="00601B19"/>
    <w:rsid w:val="00601C14"/>
    <w:rsid w:val="00601D61"/>
    <w:rsid w:val="00601DD1"/>
    <w:rsid w:val="00601F36"/>
    <w:rsid w:val="00601FE5"/>
    <w:rsid w:val="00602425"/>
    <w:rsid w:val="006027EF"/>
    <w:rsid w:val="00602B45"/>
    <w:rsid w:val="00602CE5"/>
    <w:rsid w:val="00602D58"/>
    <w:rsid w:val="006030B4"/>
    <w:rsid w:val="00603388"/>
    <w:rsid w:val="006037B8"/>
    <w:rsid w:val="00603801"/>
    <w:rsid w:val="0060382B"/>
    <w:rsid w:val="006038C6"/>
    <w:rsid w:val="00603AD0"/>
    <w:rsid w:val="00603DBE"/>
    <w:rsid w:val="006041BB"/>
    <w:rsid w:val="0060452E"/>
    <w:rsid w:val="00604D8C"/>
    <w:rsid w:val="00604FF7"/>
    <w:rsid w:val="0060575B"/>
    <w:rsid w:val="006057C0"/>
    <w:rsid w:val="006058F8"/>
    <w:rsid w:val="00605DF3"/>
    <w:rsid w:val="00605EA5"/>
    <w:rsid w:val="00606151"/>
    <w:rsid w:val="00606381"/>
    <w:rsid w:val="006071E1"/>
    <w:rsid w:val="006077BF"/>
    <w:rsid w:val="00607823"/>
    <w:rsid w:val="0060794E"/>
    <w:rsid w:val="0061031B"/>
    <w:rsid w:val="00610C9A"/>
    <w:rsid w:val="00610F14"/>
    <w:rsid w:val="00611138"/>
    <w:rsid w:val="006111DA"/>
    <w:rsid w:val="00611252"/>
    <w:rsid w:val="0061138F"/>
    <w:rsid w:val="0061177F"/>
    <w:rsid w:val="00611A37"/>
    <w:rsid w:val="00611A65"/>
    <w:rsid w:val="00611DA1"/>
    <w:rsid w:val="00611EEB"/>
    <w:rsid w:val="006122B6"/>
    <w:rsid w:val="00612322"/>
    <w:rsid w:val="00612327"/>
    <w:rsid w:val="0061241A"/>
    <w:rsid w:val="0061243C"/>
    <w:rsid w:val="006125D1"/>
    <w:rsid w:val="00612601"/>
    <w:rsid w:val="00612D4E"/>
    <w:rsid w:val="00612FD0"/>
    <w:rsid w:val="00613304"/>
    <w:rsid w:val="00613567"/>
    <w:rsid w:val="00613569"/>
    <w:rsid w:val="006138E7"/>
    <w:rsid w:val="00613974"/>
    <w:rsid w:val="00613B99"/>
    <w:rsid w:val="00613F87"/>
    <w:rsid w:val="0061409D"/>
    <w:rsid w:val="0061425C"/>
    <w:rsid w:val="006143C9"/>
    <w:rsid w:val="0061477D"/>
    <w:rsid w:val="00614782"/>
    <w:rsid w:val="00614828"/>
    <w:rsid w:val="0061484A"/>
    <w:rsid w:val="00614F89"/>
    <w:rsid w:val="00615496"/>
    <w:rsid w:val="0061550E"/>
    <w:rsid w:val="00615560"/>
    <w:rsid w:val="006156DF"/>
    <w:rsid w:val="00615B56"/>
    <w:rsid w:val="00615E09"/>
    <w:rsid w:val="006160EA"/>
    <w:rsid w:val="0061610F"/>
    <w:rsid w:val="006161B3"/>
    <w:rsid w:val="00616282"/>
    <w:rsid w:val="00616744"/>
    <w:rsid w:val="006167D3"/>
    <w:rsid w:val="00616A96"/>
    <w:rsid w:val="00616B8D"/>
    <w:rsid w:val="006170F4"/>
    <w:rsid w:val="006172DD"/>
    <w:rsid w:val="006175D9"/>
    <w:rsid w:val="006175F8"/>
    <w:rsid w:val="00617DE3"/>
    <w:rsid w:val="00617FB6"/>
    <w:rsid w:val="00620320"/>
    <w:rsid w:val="00620394"/>
    <w:rsid w:val="006203E3"/>
    <w:rsid w:val="00620684"/>
    <w:rsid w:val="0062089C"/>
    <w:rsid w:val="00620C56"/>
    <w:rsid w:val="00620F3E"/>
    <w:rsid w:val="0062134D"/>
    <w:rsid w:val="00621635"/>
    <w:rsid w:val="006217AF"/>
    <w:rsid w:val="00621A5B"/>
    <w:rsid w:val="00621E27"/>
    <w:rsid w:val="00621EB0"/>
    <w:rsid w:val="00621F47"/>
    <w:rsid w:val="00622029"/>
    <w:rsid w:val="00622C1A"/>
    <w:rsid w:val="00622DAD"/>
    <w:rsid w:val="00622EBC"/>
    <w:rsid w:val="0062301F"/>
    <w:rsid w:val="006230C3"/>
    <w:rsid w:val="00623470"/>
    <w:rsid w:val="006235F9"/>
    <w:rsid w:val="0062364E"/>
    <w:rsid w:val="00623702"/>
    <w:rsid w:val="00623845"/>
    <w:rsid w:val="00623EB6"/>
    <w:rsid w:val="00623EEE"/>
    <w:rsid w:val="00623F7F"/>
    <w:rsid w:val="0062419E"/>
    <w:rsid w:val="006242F3"/>
    <w:rsid w:val="00624934"/>
    <w:rsid w:val="00624A2F"/>
    <w:rsid w:val="00624B20"/>
    <w:rsid w:val="006257A9"/>
    <w:rsid w:val="00625C4A"/>
    <w:rsid w:val="00625F61"/>
    <w:rsid w:val="006264FE"/>
    <w:rsid w:val="0062683D"/>
    <w:rsid w:val="0062683E"/>
    <w:rsid w:val="0062687E"/>
    <w:rsid w:val="00626AD3"/>
    <w:rsid w:val="00626FD3"/>
    <w:rsid w:val="00626FFF"/>
    <w:rsid w:val="00627307"/>
    <w:rsid w:val="00627467"/>
    <w:rsid w:val="006276B8"/>
    <w:rsid w:val="00627739"/>
    <w:rsid w:val="00627770"/>
    <w:rsid w:val="006279B7"/>
    <w:rsid w:val="00627D4A"/>
    <w:rsid w:val="006303C1"/>
    <w:rsid w:val="00630538"/>
    <w:rsid w:val="0063062F"/>
    <w:rsid w:val="006306D8"/>
    <w:rsid w:val="00630745"/>
    <w:rsid w:val="006309BA"/>
    <w:rsid w:val="00630B31"/>
    <w:rsid w:val="00630E09"/>
    <w:rsid w:val="00630F14"/>
    <w:rsid w:val="00631452"/>
    <w:rsid w:val="00631497"/>
    <w:rsid w:val="006317D6"/>
    <w:rsid w:val="006317EE"/>
    <w:rsid w:val="00631C09"/>
    <w:rsid w:val="0063213D"/>
    <w:rsid w:val="00632196"/>
    <w:rsid w:val="006322A0"/>
    <w:rsid w:val="00632D03"/>
    <w:rsid w:val="00632F9E"/>
    <w:rsid w:val="00633290"/>
    <w:rsid w:val="0063351B"/>
    <w:rsid w:val="006338E7"/>
    <w:rsid w:val="00633967"/>
    <w:rsid w:val="00633A56"/>
    <w:rsid w:val="00633AA5"/>
    <w:rsid w:val="00633E7C"/>
    <w:rsid w:val="0063407C"/>
    <w:rsid w:val="0063417C"/>
    <w:rsid w:val="0063428A"/>
    <w:rsid w:val="0063445C"/>
    <w:rsid w:val="006347DF"/>
    <w:rsid w:val="006349ED"/>
    <w:rsid w:val="00634DDF"/>
    <w:rsid w:val="00634E4E"/>
    <w:rsid w:val="00634EB7"/>
    <w:rsid w:val="00634FB6"/>
    <w:rsid w:val="006351EF"/>
    <w:rsid w:val="0063526E"/>
    <w:rsid w:val="00635695"/>
    <w:rsid w:val="006357DD"/>
    <w:rsid w:val="00635CCC"/>
    <w:rsid w:val="00636088"/>
    <w:rsid w:val="0063615B"/>
    <w:rsid w:val="00636489"/>
    <w:rsid w:val="00636D10"/>
    <w:rsid w:val="0063771F"/>
    <w:rsid w:val="00637AE4"/>
    <w:rsid w:val="00640226"/>
    <w:rsid w:val="0064046C"/>
    <w:rsid w:val="006405DE"/>
    <w:rsid w:val="00640662"/>
    <w:rsid w:val="006406DE"/>
    <w:rsid w:val="00640A78"/>
    <w:rsid w:val="00640DA3"/>
    <w:rsid w:val="00640E30"/>
    <w:rsid w:val="006410C2"/>
    <w:rsid w:val="00641411"/>
    <w:rsid w:val="00641683"/>
    <w:rsid w:val="00641CCF"/>
    <w:rsid w:val="00641E8B"/>
    <w:rsid w:val="00641EAB"/>
    <w:rsid w:val="00641F33"/>
    <w:rsid w:val="006424F6"/>
    <w:rsid w:val="006426CC"/>
    <w:rsid w:val="00642702"/>
    <w:rsid w:val="00642EE2"/>
    <w:rsid w:val="006431CF"/>
    <w:rsid w:val="00643437"/>
    <w:rsid w:val="006434BD"/>
    <w:rsid w:val="006439B3"/>
    <w:rsid w:val="00643A3B"/>
    <w:rsid w:val="00644073"/>
    <w:rsid w:val="006440F5"/>
    <w:rsid w:val="00644165"/>
    <w:rsid w:val="006442C3"/>
    <w:rsid w:val="00644408"/>
    <w:rsid w:val="0064451A"/>
    <w:rsid w:val="00644619"/>
    <w:rsid w:val="00644761"/>
    <w:rsid w:val="00644CE2"/>
    <w:rsid w:val="006450C1"/>
    <w:rsid w:val="0064518D"/>
    <w:rsid w:val="006456E5"/>
    <w:rsid w:val="00645745"/>
    <w:rsid w:val="00645B87"/>
    <w:rsid w:val="00645C14"/>
    <w:rsid w:val="0064600C"/>
    <w:rsid w:val="0064615D"/>
    <w:rsid w:val="006462FC"/>
    <w:rsid w:val="006463B8"/>
    <w:rsid w:val="006466A6"/>
    <w:rsid w:val="00646904"/>
    <w:rsid w:val="00646A05"/>
    <w:rsid w:val="00646AFE"/>
    <w:rsid w:val="00646B45"/>
    <w:rsid w:val="00646B90"/>
    <w:rsid w:val="0064701B"/>
    <w:rsid w:val="00647073"/>
    <w:rsid w:val="006475FA"/>
    <w:rsid w:val="006478C8"/>
    <w:rsid w:val="00647F9D"/>
    <w:rsid w:val="00650087"/>
    <w:rsid w:val="006503EB"/>
    <w:rsid w:val="0065050B"/>
    <w:rsid w:val="00650560"/>
    <w:rsid w:val="006509D4"/>
    <w:rsid w:val="00650A95"/>
    <w:rsid w:val="00650AB0"/>
    <w:rsid w:val="00650C35"/>
    <w:rsid w:val="00650CD2"/>
    <w:rsid w:val="00651021"/>
    <w:rsid w:val="006510D1"/>
    <w:rsid w:val="0065168B"/>
    <w:rsid w:val="006516A7"/>
    <w:rsid w:val="00652086"/>
    <w:rsid w:val="006526D6"/>
    <w:rsid w:val="00652B04"/>
    <w:rsid w:val="00652DA4"/>
    <w:rsid w:val="0065305E"/>
    <w:rsid w:val="006534E9"/>
    <w:rsid w:val="0065368C"/>
    <w:rsid w:val="00653DBA"/>
    <w:rsid w:val="00653EEB"/>
    <w:rsid w:val="0065421A"/>
    <w:rsid w:val="00654822"/>
    <w:rsid w:val="0065482C"/>
    <w:rsid w:val="00654870"/>
    <w:rsid w:val="00654A06"/>
    <w:rsid w:val="00654B40"/>
    <w:rsid w:val="00655064"/>
    <w:rsid w:val="0065550E"/>
    <w:rsid w:val="0065568B"/>
    <w:rsid w:val="00656030"/>
    <w:rsid w:val="006561B7"/>
    <w:rsid w:val="00656FE9"/>
    <w:rsid w:val="00657B99"/>
    <w:rsid w:val="00660270"/>
    <w:rsid w:val="006602A2"/>
    <w:rsid w:val="00660653"/>
    <w:rsid w:val="00660751"/>
    <w:rsid w:val="00660CEF"/>
    <w:rsid w:val="00661085"/>
    <w:rsid w:val="0066172E"/>
    <w:rsid w:val="006619DC"/>
    <w:rsid w:val="00661D43"/>
    <w:rsid w:val="00661E26"/>
    <w:rsid w:val="00661F71"/>
    <w:rsid w:val="00662115"/>
    <w:rsid w:val="00662142"/>
    <w:rsid w:val="0066225A"/>
    <w:rsid w:val="00662449"/>
    <w:rsid w:val="006625C9"/>
    <w:rsid w:val="006625D7"/>
    <w:rsid w:val="0066272B"/>
    <w:rsid w:val="006628D4"/>
    <w:rsid w:val="006629D1"/>
    <w:rsid w:val="00662A4B"/>
    <w:rsid w:val="00662C7A"/>
    <w:rsid w:val="00662C9F"/>
    <w:rsid w:val="00662CB9"/>
    <w:rsid w:val="006633F1"/>
    <w:rsid w:val="00663763"/>
    <w:rsid w:val="0066395F"/>
    <w:rsid w:val="006639D6"/>
    <w:rsid w:val="00663EEB"/>
    <w:rsid w:val="006642FA"/>
    <w:rsid w:val="00664C43"/>
    <w:rsid w:val="006651CA"/>
    <w:rsid w:val="00665645"/>
    <w:rsid w:val="006657FF"/>
    <w:rsid w:val="006658ED"/>
    <w:rsid w:val="006659DD"/>
    <w:rsid w:val="0066619F"/>
    <w:rsid w:val="00666884"/>
    <w:rsid w:val="00666B4D"/>
    <w:rsid w:val="00666C5D"/>
    <w:rsid w:val="00666D17"/>
    <w:rsid w:val="00666D93"/>
    <w:rsid w:val="00667106"/>
    <w:rsid w:val="0066722F"/>
    <w:rsid w:val="0066734D"/>
    <w:rsid w:val="0066791F"/>
    <w:rsid w:val="00667ADF"/>
    <w:rsid w:val="00667C81"/>
    <w:rsid w:val="00670207"/>
    <w:rsid w:val="006706E6"/>
    <w:rsid w:val="0067078C"/>
    <w:rsid w:val="006708E0"/>
    <w:rsid w:val="00670A93"/>
    <w:rsid w:val="00670B04"/>
    <w:rsid w:val="00670BBF"/>
    <w:rsid w:val="00670C2A"/>
    <w:rsid w:val="006712C1"/>
    <w:rsid w:val="0067139A"/>
    <w:rsid w:val="00671596"/>
    <w:rsid w:val="0067160C"/>
    <w:rsid w:val="00671A62"/>
    <w:rsid w:val="00671F94"/>
    <w:rsid w:val="00672BE1"/>
    <w:rsid w:val="00672E37"/>
    <w:rsid w:val="00672F06"/>
    <w:rsid w:val="00673321"/>
    <w:rsid w:val="00673468"/>
    <w:rsid w:val="00673DE0"/>
    <w:rsid w:val="006741CE"/>
    <w:rsid w:val="00674442"/>
    <w:rsid w:val="006748D6"/>
    <w:rsid w:val="006748E9"/>
    <w:rsid w:val="00674B9D"/>
    <w:rsid w:val="00674DC6"/>
    <w:rsid w:val="00674F34"/>
    <w:rsid w:val="00674F41"/>
    <w:rsid w:val="006750B2"/>
    <w:rsid w:val="006751A7"/>
    <w:rsid w:val="00675722"/>
    <w:rsid w:val="00675753"/>
    <w:rsid w:val="00675797"/>
    <w:rsid w:val="00675840"/>
    <w:rsid w:val="00675E3D"/>
    <w:rsid w:val="00675E6F"/>
    <w:rsid w:val="006764C7"/>
    <w:rsid w:val="00676581"/>
    <w:rsid w:val="00676661"/>
    <w:rsid w:val="006766FF"/>
    <w:rsid w:val="00676AC4"/>
    <w:rsid w:val="00676B65"/>
    <w:rsid w:val="006771E9"/>
    <w:rsid w:val="006779A5"/>
    <w:rsid w:val="00677D58"/>
    <w:rsid w:val="00677D59"/>
    <w:rsid w:val="00677EEC"/>
    <w:rsid w:val="0068007C"/>
    <w:rsid w:val="00680084"/>
    <w:rsid w:val="006801E0"/>
    <w:rsid w:val="0068020E"/>
    <w:rsid w:val="00680213"/>
    <w:rsid w:val="006803C3"/>
    <w:rsid w:val="0068053F"/>
    <w:rsid w:val="006813FE"/>
    <w:rsid w:val="00681696"/>
    <w:rsid w:val="006817A3"/>
    <w:rsid w:val="00681EDE"/>
    <w:rsid w:val="006822FE"/>
    <w:rsid w:val="00682336"/>
    <w:rsid w:val="00682464"/>
    <w:rsid w:val="0068295A"/>
    <w:rsid w:val="0068299D"/>
    <w:rsid w:val="006829C1"/>
    <w:rsid w:val="00682DF1"/>
    <w:rsid w:val="00682F46"/>
    <w:rsid w:val="00682FE7"/>
    <w:rsid w:val="00683917"/>
    <w:rsid w:val="00683BE3"/>
    <w:rsid w:val="00683C03"/>
    <w:rsid w:val="00684346"/>
    <w:rsid w:val="0068434B"/>
    <w:rsid w:val="00684543"/>
    <w:rsid w:val="00684568"/>
    <w:rsid w:val="006855F3"/>
    <w:rsid w:val="00685841"/>
    <w:rsid w:val="006858A0"/>
    <w:rsid w:val="00685AC6"/>
    <w:rsid w:val="00685BD5"/>
    <w:rsid w:val="00685D32"/>
    <w:rsid w:val="00685D35"/>
    <w:rsid w:val="006868AF"/>
    <w:rsid w:val="0068697D"/>
    <w:rsid w:val="00686E82"/>
    <w:rsid w:val="006871A3"/>
    <w:rsid w:val="006872A8"/>
    <w:rsid w:val="006873D7"/>
    <w:rsid w:val="0068756C"/>
    <w:rsid w:val="006876AE"/>
    <w:rsid w:val="0068784B"/>
    <w:rsid w:val="0068A312"/>
    <w:rsid w:val="0069055F"/>
    <w:rsid w:val="0069079C"/>
    <w:rsid w:val="0069086B"/>
    <w:rsid w:val="006908A7"/>
    <w:rsid w:val="0069091E"/>
    <w:rsid w:val="00690AA1"/>
    <w:rsid w:val="00690E1C"/>
    <w:rsid w:val="00690F91"/>
    <w:rsid w:val="00691181"/>
    <w:rsid w:val="00691578"/>
    <w:rsid w:val="00691620"/>
    <w:rsid w:val="00691634"/>
    <w:rsid w:val="0069225B"/>
    <w:rsid w:val="006923AD"/>
    <w:rsid w:val="0069248A"/>
    <w:rsid w:val="006926C0"/>
    <w:rsid w:val="00692859"/>
    <w:rsid w:val="00692A6E"/>
    <w:rsid w:val="00692F37"/>
    <w:rsid w:val="00692F9A"/>
    <w:rsid w:val="00692FD4"/>
    <w:rsid w:val="0069303C"/>
    <w:rsid w:val="0069318A"/>
    <w:rsid w:val="00693200"/>
    <w:rsid w:val="00693285"/>
    <w:rsid w:val="006938FF"/>
    <w:rsid w:val="00693A49"/>
    <w:rsid w:val="00693A57"/>
    <w:rsid w:val="00693B31"/>
    <w:rsid w:val="00693E16"/>
    <w:rsid w:val="00694121"/>
    <w:rsid w:val="0069468C"/>
    <w:rsid w:val="006947B2"/>
    <w:rsid w:val="00694859"/>
    <w:rsid w:val="0069488A"/>
    <w:rsid w:val="00694A12"/>
    <w:rsid w:val="00694D44"/>
    <w:rsid w:val="00694FAE"/>
    <w:rsid w:val="0069518F"/>
    <w:rsid w:val="006951E3"/>
    <w:rsid w:val="006955B5"/>
    <w:rsid w:val="0069566C"/>
    <w:rsid w:val="00695901"/>
    <w:rsid w:val="006959E4"/>
    <w:rsid w:val="00695DD3"/>
    <w:rsid w:val="00695E5F"/>
    <w:rsid w:val="006961E0"/>
    <w:rsid w:val="0069643A"/>
    <w:rsid w:val="00696A48"/>
    <w:rsid w:val="00696A4F"/>
    <w:rsid w:val="00696C15"/>
    <w:rsid w:val="00696E38"/>
    <w:rsid w:val="00696EF2"/>
    <w:rsid w:val="00696F51"/>
    <w:rsid w:val="00696F63"/>
    <w:rsid w:val="00697390"/>
    <w:rsid w:val="00697396"/>
    <w:rsid w:val="006976E1"/>
    <w:rsid w:val="00697EDF"/>
    <w:rsid w:val="00697F35"/>
    <w:rsid w:val="006A000A"/>
    <w:rsid w:val="006A00BE"/>
    <w:rsid w:val="006A03FC"/>
    <w:rsid w:val="006A0697"/>
    <w:rsid w:val="006A08C5"/>
    <w:rsid w:val="006A0A9D"/>
    <w:rsid w:val="006A101A"/>
    <w:rsid w:val="006A1281"/>
    <w:rsid w:val="006A1847"/>
    <w:rsid w:val="006A1DDE"/>
    <w:rsid w:val="006A1EF1"/>
    <w:rsid w:val="006A22C1"/>
    <w:rsid w:val="006A2430"/>
    <w:rsid w:val="006A291C"/>
    <w:rsid w:val="006A29F5"/>
    <w:rsid w:val="006A32D1"/>
    <w:rsid w:val="006A3B0B"/>
    <w:rsid w:val="006A3BD0"/>
    <w:rsid w:val="006A3C94"/>
    <w:rsid w:val="006A3D14"/>
    <w:rsid w:val="006A42FD"/>
    <w:rsid w:val="006A4629"/>
    <w:rsid w:val="006A4A7D"/>
    <w:rsid w:val="006A4B77"/>
    <w:rsid w:val="006A4D6D"/>
    <w:rsid w:val="006A5140"/>
    <w:rsid w:val="006A51FC"/>
    <w:rsid w:val="006A54BA"/>
    <w:rsid w:val="006A5839"/>
    <w:rsid w:val="006A58FF"/>
    <w:rsid w:val="006A5C8A"/>
    <w:rsid w:val="006A5D9D"/>
    <w:rsid w:val="006A5F58"/>
    <w:rsid w:val="006A609A"/>
    <w:rsid w:val="006A61D2"/>
    <w:rsid w:val="006A620E"/>
    <w:rsid w:val="006A67E2"/>
    <w:rsid w:val="006A7159"/>
    <w:rsid w:val="006A7761"/>
    <w:rsid w:val="006AAE46"/>
    <w:rsid w:val="006B0070"/>
    <w:rsid w:val="006B00B1"/>
    <w:rsid w:val="006B0765"/>
    <w:rsid w:val="006B11B0"/>
    <w:rsid w:val="006B121A"/>
    <w:rsid w:val="006B142A"/>
    <w:rsid w:val="006B1942"/>
    <w:rsid w:val="006B1ABA"/>
    <w:rsid w:val="006B1CFA"/>
    <w:rsid w:val="006B1F2E"/>
    <w:rsid w:val="006B1FD7"/>
    <w:rsid w:val="006B1FE2"/>
    <w:rsid w:val="006B214A"/>
    <w:rsid w:val="006B2190"/>
    <w:rsid w:val="006B219E"/>
    <w:rsid w:val="006B2312"/>
    <w:rsid w:val="006B27D6"/>
    <w:rsid w:val="006B29D8"/>
    <w:rsid w:val="006B2C9D"/>
    <w:rsid w:val="006B2D07"/>
    <w:rsid w:val="006B2D5C"/>
    <w:rsid w:val="006B2EA3"/>
    <w:rsid w:val="006B307F"/>
    <w:rsid w:val="006B30E4"/>
    <w:rsid w:val="006B3139"/>
    <w:rsid w:val="006B31AF"/>
    <w:rsid w:val="006B3289"/>
    <w:rsid w:val="006B346F"/>
    <w:rsid w:val="006B34CC"/>
    <w:rsid w:val="006B3C81"/>
    <w:rsid w:val="006B3D96"/>
    <w:rsid w:val="006B3F2A"/>
    <w:rsid w:val="006B3F38"/>
    <w:rsid w:val="006B4029"/>
    <w:rsid w:val="006B429F"/>
    <w:rsid w:val="006B4994"/>
    <w:rsid w:val="006B4A57"/>
    <w:rsid w:val="006B4AF9"/>
    <w:rsid w:val="006B4BD0"/>
    <w:rsid w:val="006B5003"/>
    <w:rsid w:val="006B5685"/>
    <w:rsid w:val="006B5BA4"/>
    <w:rsid w:val="006B5E7E"/>
    <w:rsid w:val="006B5EFB"/>
    <w:rsid w:val="006B605C"/>
    <w:rsid w:val="006B62B9"/>
    <w:rsid w:val="006B65CB"/>
    <w:rsid w:val="006B69AE"/>
    <w:rsid w:val="006B6A3C"/>
    <w:rsid w:val="006B6A7F"/>
    <w:rsid w:val="006B6B1B"/>
    <w:rsid w:val="006B6EAA"/>
    <w:rsid w:val="006B6F20"/>
    <w:rsid w:val="006B70DD"/>
    <w:rsid w:val="006B72C0"/>
    <w:rsid w:val="006B7626"/>
    <w:rsid w:val="006B765B"/>
    <w:rsid w:val="006B7A07"/>
    <w:rsid w:val="006B7AAB"/>
    <w:rsid w:val="006B7E4E"/>
    <w:rsid w:val="006C0170"/>
    <w:rsid w:val="006C018F"/>
    <w:rsid w:val="006C0244"/>
    <w:rsid w:val="006C0503"/>
    <w:rsid w:val="006C0521"/>
    <w:rsid w:val="006C052B"/>
    <w:rsid w:val="006C079F"/>
    <w:rsid w:val="006C089C"/>
    <w:rsid w:val="006C10E8"/>
    <w:rsid w:val="006C16E9"/>
    <w:rsid w:val="006C17E4"/>
    <w:rsid w:val="006C1B9E"/>
    <w:rsid w:val="006C1D6D"/>
    <w:rsid w:val="006C202D"/>
    <w:rsid w:val="006C2095"/>
    <w:rsid w:val="006C21C4"/>
    <w:rsid w:val="006C24C5"/>
    <w:rsid w:val="006C24DE"/>
    <w:rsid w:val="006C254B"/>
    <w:rsid w:val="006C27E8"/>
    <w:rsid w:val="006C2A36"/>
    <w:rsid w:val="006C2C8D"/>
    <w:rsid w:val="006C2D47"/>
    <w:rsid w:val="006C2FF7"/>
    <w:rsid w:val="006C31EA"/>
    <w:rsid w:val="006C35A3"/>
    <w:rsid w:val="006C39CB"/>
    <w:rsid w:val="006C3A75"/>
    <w:rsid w:val="006C3EA1"/>
    <w:rsid w:val="006C4056"/>
    <w:rsid w:val="006C4235"/>
    <w:rsid w:val="006C4392"/>
    <w:rsid w:val="006C4436"/>
    <w:rsid w:val="006C4E82"/>
    <w:rsid w:val="006C4FE1"/>
    <w:rsid w:val="006C554B"/>
    <w:rsid w:val="006C57F9"/>
    <w:rsid w:val="006C5801"/>
    <w:rsid w:val="006C5A8A"/>
    <w:rsid w:val="006C5B09"/>
    <w:rsid w:val="006C5F00"/>
    <w:rsid w:val="006C5FC7"/>
    <w:rsid w:val="006C6247"/>
    <w:rsid w:val="006C64A6"/>
    <w:rsid w:val="006C67A0"/>
    <w:rsid w:val="006C69B9"/>
    <w:rsid w:val="006C6D2F"/>
    <w:rsid w:val="006C71B6"/>
    <w:rsid w:val="006C737F"/>
    <w:rsid w:val="006C7598"/>
    <w:rsid w:val="006C75A9"/>
    <w:rsid w:val="006C7907"/>
    <w:rsid w:val="006C7DB7"/>
    <w:rsid w:val="006D0069"/>
    <w:rsid w:val="006D052A"/>
    <w:rsid w:val="006D057F"/>
    <w:rsid w:val="006D0617"/>
    <w:rsid w:val="006D0722"/>
    <w:rsid w:val="006D0B7A"/>
    <w:rsid w:val="006D0D89"/>
    <w:rsid w:val="006D1102"/>
    <w:rsid w:val="006D1674"/>
    <w:rsid w:val="006D18A8"/>
    <w:rsid w:val="006D1C2E"/>
    <w:rsid w:val="006D1EF5"/>
    <w:rsid w:val="006D224E"/>
    <w:rsid w:val="006D2392"/>
    <w:rsid w:val="006D2B51"/>
    <w:rsid w:val="006D2C5E"/>
    <w:rsid w:val="006D2E65"/>
    <w:rsid w:val="006D2F7C"/>
    <w:rsid w:val="006D3025"/>
    <w:rsid w:val="006D3067"/>
    <w:rsid w:val="006D33BF"/>
    <w:rsid w:val="006D35A1"/>
    <w:rsid w:val="006D3BB4"/>
    <w:rsid w:val="006D3E7E"/>
    <w:rsid w:val="006D3EE9"/>
    <w:rsid w:val="006D41C7"/>
    <w:rsid w:val="006D4784"/>
    <w:rsid w:val="006D4981"/>
    <w:rsid w:val="006D4C24"/>
    <w:rsid w:val="006D4D5F"/>
    <w:rsid w:val="006D5797"/>
    <w:rsid w:val="006D6014"/>
    <w:rsid w:val="006D620C"/>
    <w:rsid w:val="006D629A"/>
    <w:rsid w:val="006D6472"/>
    <w:rsid w:val="006D680D"/>
    <w:rsid w:val="006D68C4"/>
    <w:rsid w:val="006D690E"/>
    <w:rsid w:val="006D6E6B"/>
    <w:rsid w:val="006D6F18"/>
    <w:rsid w:val="006D739C"/>
    <w:rsid w:val="006D73A4"/>
    <w:rsid w:val="006D748C"/>
    <w:rsid w:val="006D74C9"/>
    <w:rsid w:val="006D76FD"/>
    <w:rsid w:val="006D7865"/>
    <w:rsid w:val="006D79B5"/>
    <w:rsid w:val="006D7C5E"/>
    <w:rsid w:val="006E0048"/>
    <w:rsid w:val="006E01E8"/>
    <w:rsid w:val="006E0252"/>
    <w:rsid w:val="006E02E6"/>
    <w:rsid w:val="006E04FA"/>
    <w:rsid w:val="006E076F"/>
    <w:rsid w:val="006E099E"/>
    <w:rsid w:val="006E0B7F"/>
    <w:rsid w:val="006E0EFB"/>
    <w:rsid w:val="006E1183"/>
    <w:rsid w:val="006E11E8"/>
    <w:rsid w:val="006E141B"/>
    <w:rsid w:val="006E1464"/>
    <w:rsid w:val="006E1657"/>
    <w:rsid w:val="006E1855"/>
    <w:rsid w:val="006E1A2B"/>
    <w:rsid w:val="006E1D31"/>
    <w:rsid w:val="006E1E8E"/>
    <w:rsid w:val="006E1FAB"/>
    <w:rsid w:val="006E2087"/>
    <w:rsid w:val="006E209A"/>
    <w:rsid w:val="006E20AC"/>
    <w:rsid w:val="006E264B"/>
    <w:rsid w:val="006E2E36"/>
    <w:rsid w:val="006E3088"/>
    <w:rsid w:val="006E3401"/>
    <w:rsid w:val="006E34B0"/>
    <w:rsid w:val="006E34E9"/>
    <w:rsid w:val="006E38FF"/>
    <w:rsid w:val="006E3BD3"/>
    <w:rsid w:val="006E3CA7"/>
    <w:rsid w:val="006E3F86"/>
    <w:rsid w:val="006E43CF"/>
    <w:rsid w:val="006E46CD"/>
    <w:rsid w:val="006E46CE"/>
    <w:rsid w:val="006E46D4"/>
    <w:rsid w:val="006E4718"/>
    <w:rsid w:val="006E4812"/>
    <w:rsid w:val="006E49EA"/>
    <w:rsid w:val="006E4A5A"/>
    <w:rsid w:val="006E537D"/>
    <w:rsid w:val="006E545F"/>
    <w:rsid w:val="006E5544"/>
    <w:rsid w:val="006E57B8"/>
    <w:rsid w:val="006E5DF7"/>
    <w:rsid w:val="006E5E52"/>
    <w:rsid w:val="006E5F86"/>
    <w:rsid w:val="006E61EB"/>
    <w:rsid w:val="006E65C2"/>
    <w:rsid w:val="006E6959"/>
    <w:rsid w:val="006E6BAC"/>
    <w:rsid w:val="006E6CA5"/>
    <w:rsid w:val="006E6E34"/>
    <w:rsid w:val="006E700E"/>
    <w:rsid w:val="006E7165"/>
    <w:rsid w:val="006E72AD"/>
    <w:rsid w:val="006E75A1"/>
    <w:rsid w:val="006E7A9A"/>
    <w:rsid w:val="006E7B91"/>
    <w:rsid w:val="006E7BA1"/>
    <w:rsid w:val="006E7F5E"/>
    <w:rsid w:val="006F00DB"/>
    <w:rsid w:val="006F01D1"/>
    <w:rsid w:val="006F04AD"/>
    <w:rsid w:val="006F0508"/>
    <w:rsid w:val="006F09A0"/>
    <w:rsid w:val="006F0A0D"/>
    <w:rsid w:val="006F0AA8"/>
    <w:rsid w:val="006F0AFB"/>
    <w:rsid w:val="006F0BA7"/>
    <w:rsid w:val="006F0D23"/>
    <w:rsid w:val="006F1164"/>
    <w:rsid w:val="006F14CE"/>
    <w:rsid w:val="006F16B1"/>
    <w:rsid w:val="006F16B3"/>
    <w:rsid w:val="006F2666"/>
    <w:rsid w:val="006F27B6"/>
    <w:rsid w:val="006F27BB"/>
    <w:rsid w:val="006F29E6"/>
    <w:rsid w:val="006F2CCD"/>
    <w:rsid w:val="006F2CE6"/>
    <w:rsid w:val="006F3A5E"/>
    <w:rsid w:val="006F3E82"/>
    <w:rsid w:val="006F416B"/>
    <w:rsid w:val="006F4259"/>
    <w:rsid w:val="006F4298"/>
    <w:rsid w:val="006F481B"/>
    <w:rsid w:val="006F4918"/>
    <w:rsid w:val="006F4ACD"/>
    <w:rsid w:val="006F50C3"/>
    <w:rsid w:val="006F55FA"/>
    <w:rsid w:val="006F580C"/>
    <w:rsid w:val="006F5CA4"/>
    <w:rsid w:val="006F5D72"/>
    <w:rsid w:val="006F5F78"/>
    <w:rsid w:val="006F6194"/>
    <w:rsid w:val="006F6362"/>
    <w:rsid w:val="006F65D9"/>
    <w:rsid w:val="006F67B1"/>
    <w:rsid w:val="006F6F0B"/>
    <w:rsid w:val="006F7064"/>
    <w:rsid w:val="006F72F7"/>
    <w:rsid w:val="006F753E"/>
    <w:rsid w:val="006F789A"/>
    <w:rsid w:val="006F7A3E"/>
    <w:rsid w:val="006F7AA9"/>
    <w:rsid w:val="006F7AF7"/>
    <w:rsid w:val="006F7C06"/>
    <w:rsid w:val="006F7D82"/>
    <w:rsid w:val="006F7EFD"/>
    <w:rsid w:val="0070020D"/>
    <w:rsid w:val="00700314"/>
    <w:rsid w:val="007004C6"/>
    <w:rsid w:val="00700680"/>
    <w:rsid w:val="007006A7"/>
    <w:rsid w:val="007008A9"/>
    <w:rsid w:val="00700BE9"/>
    <w:rsid w:val="00700C77"/>
    <w:rsid w:val="00700E2F"/>
    <w:rsid w:val="00700FF9"/>
    <w:rsid w:val="007011BB"/>
    <w:rsid w:val="007014DD"/>
    <w:rsid w:val="0070152C"/>
    <w:rsid w:val="00701A86"/>
    <w:rsid w:val="00701CD3"/>
    <w:rsid w:val="00701D1D"/>
    <w:rsid w:val="00702011"/>
    <w:rsid w:val="00702080"/>
    <w:rsid w:val="00702765"/>
    <w:rsid w:val="007027DC"/>
    <w:rsid w:val="007027EF"/>
    <w:rsid w:val="007029AD"/>
    <w:rsid w:val="00702A07"/>
    <w:rsid w:val="00702AFD"/>
    <w:rsid w:val="00702B54"/>
    <w:rsid w:val="00702B67"/>
    <w:rsid w:val="00702D0D"/>
    <w:rsid w:val="00703054"/>
    <w:rsid w:val="00703184"/>
    <w:rsid w:val="00703860"/>
    <w:rsid w:val="007038AE"/>
    <w:rsid w:val="00703952"/>
    <w:rsid w:val="007039D6"/>
    <w:rsid w:val="007040F4"/>
    <w:rsid w:val="0070441A"/>
    <w:rsid w:val="007049AC"/>
    <w:rsid w:val="00704D6C"/>
    <w:rsid w:val="0070561B"/>
    <w:rsid w:val="00705A61"/>
    <w:rsid w:val="00705D63"/>
    <w:rsid w:val="00706399"/>
    <w:rsid w:val="00706513"/>
    <w:rsid w:val="00706864"/>
    <w:rsid w:val="00706A74"/>
    <w:rsid w:val="00706A9E"/>
    <w:rsid w:val="00706E15"/>
    <w:rsid w:val="00706EDC"/>
    <w:rsid w:val="00707210"/>
    <w:rsid w:val="00707430"/>
    <w:rsid w:val="0070752C"/>
    <w:rsid w:val="0070759C"/>
    <w:rsid w:val="00707684"/>
    <w:rsid w:val="00707ABF"/>
    <w:rsid w:val="00707BE3"/>
    <w:rsid w:val="00707DEC"/>
    <w:rsid w:val="00710072"/>
    <w:rsid w:val="007101F8"/>
    <w:rsid w:val="007102BF"/>
    <w:rsid w:val="0071051E"/>
    <w:rsid w:val="00710A3C"/>
    <w:rsid w:val="00710BDB"/>
    <w:rsid w:val="00710C4A"/>
    <w:rsid w:val="00710CCE"/>
    <w:rsid w:val="00710E66"/>
    <w:rsid w:val="00710F25"/>
    <w:rsid w:val="00711138"/>
    <w:rsid w:val="00711355"/>
    <w:rsid w:val="0071137D"/>
    <w:rsid w:val="00711904"/>
    <w:rsid w:val="00711C69"/>
    <w:rsid w:val="00711F1F"/>
    <w:rsid w:val="007122EC"/>
    <w:rsid w:val="00712389"/>
    <w:rsid w:val="00712A2F"/>
    <w:rsid w:val="00712BF6"/>
    <w:rsid w:val="00712D2F"/>
    <w:rsid w:val="00713767"/>
    <w:rsid w:val="007139B4"/>
    <w:rsid w:val="00713CB7"/>
    <w:rsid w:val="00713FEA"/>
    <w:rsid w:val="00714512"/>
    <w:rsid w:val="00714755"/>
    <w:rsid w:val="00714826"/>
    <w:rsid w:val="00714869"/>
    <w:rsid w:val="00714BEC"/>
    <w:rsid w:val="00715006"/>
    <w:rsid w:val="00715423"/>
    <w:rsid w:val="007156F0"/>
    <w:rsid w:val="0071577F"/>
    <w:rsid w:val="007157E7"/>
    <w:rsid w:val="0071599E"/>
    <w:rsid w:val="00715F90"/>
    <w:rsid w:val="007169EF"/>
    <w:rsid w:val="00716A28"/>
    <w:rsid w:val="00716A74"/>
    <w:rsid w:val="00716CFB"/>
    <w:rsid w:val="00716D83"/>
    <w:rsid w:val="00716EE2"/>
    <w:rsid w:val="0071708C"/>
    <w:rsid w:val="007172E9"/>
    <w:rsid w:val="00717504"/>
    <w:rsid w:val="0071752E"/>
    <w:rsid w:val="007175A2"/>
    <w:rsid w:val="007176D3"/>
    <w:rsid w:val="0071770D"/>
    <w:rsid w:val="0071786D"/>
    <w:rsid w:val="00717C23"/>
    <w:rsid w:val="00717CDD"/>
    <w:rsid w:val="0072003F"/>
    <w:rsid w:val="00720493"/>
    <w:rsid w:val="00720F4F"/>
    <w:rsid w:val="00721426"/>
    <w:rsid w:val="007214C7"/>
    <w:rsid w:val="00721B00"/>
    <w:rsid w:val="00721CE8"/>
    <w:rsid w:val="00721D14"/>
    <w:rsid w:val="00722829"/>
    <w:rsid w:val="00722831"/>
    <w:rsid w:val="00722C15"/>
    <w:rsid w:val="00722DFB"/>
    <w:rsid w:val="0072312F"/>
    <w:rsid w:val="007232C1"/>
    <w:rsid w:val="00723539"/>
    <w:rsid w:val="007235C7"/>
    <w:rsid w:val="00723B5D"/>
    <w:rsid w:val="00723E38"/>
    <w:rsid w:val="00724163"/>
    <w:rsid w:val="007246BF"/>
    <w:rsid w:val="00724B6E"/>
    <w:rsid w:val="00724C58"/>
    <w:rsid w:val="00724D25"/>
    <w:rsid w:val="00724F6B"/>
    <w:rsid w:val="00724FA5"/>
    <w:rsid w:val="007250A5"/>
    <w:rsid w:val="007252D0"/>
    <w:rsid w:val="00725535"/>
    <w:rsid w:val="0072579F"/>
    <w:rsid w:val="00725D11"/>
    <w:rsid w:val="00726030"/>
    <w:rsid w:val="00726193"/>
    <w:rsid w:val="007264FC"/>
    <w:rsid w:val="00726A0B"/>
    <w:rsid w:val="00726CD7"/>
    <w:rsid w:val="00726E99"/>
    <w:rsid w:val="0072702C"/>
    <w:rsid w:val="0072723B"/>
    <w:rsid w:val="0072727A"/>
    <w:rsid w:val="007273EA"/>
    <w:rsid w:val="00727648"/>
    <w:rsid w:val="00727701"/>
    <w:rsid w:val="007277AA"/>
    <w:rsid w:val="00727BDB"/>
    <w:rsid w:val="00727ED4"/>
    <w:rsid w:val="00730307"/>
    <w:rsid w:val="0073033A"/>
    <w:rsid w:val="007303E1"/>
    <w:rsid w:val="00730518"/>
    <w:rsid w:val="007307DF"/>
    <w:rsid w:val="00730CCD"/>
    <w:rsid w:val="00730E6E"/>
    <w:rsid w:val="0073158C"/>
    <w:rsid w:val="00731666"/>
    <w:rsid w:val="00731B75"/>
    <w:rsid w:val="00731D02"/>
    <w:rsid w:val="00732275"/>
    <w:rsid w:val="0073232F"/>
    <w:rsid w:val="0073244E"/>
    <w:rsid w:val="00732505"/>
    <w:rsid w:val="0073256A"/>
    <w:rsid w:val="007326C3"/>
    <w:rsid w:val="0073288A"/>
    <w:rsid w:val="00732AAA"/>
    <w:rsid w:val="00732AB7"/>
    <w:rsid w:val="00732E22"/>
    <w:rsid w:val="007330D3"/>
    <w:rsid w:val="007331C7"/>
    <w:rsid w:val="007333D3"/>
    <w:rsid w:val="00733451"/>
    <w:rsid w:val="0073355C"/>
    <w:rsid w:val="007335DD"/>
    <w:rsid w:val="007337F2"/>
    <w:rsid w:val="00733937"/>
    <w:rsid w:val="00733990"/>
    <w:rsid w:val="00733C68"/>
    <w:rsid w:val="00733EC8"/>
    <w:rsid w:val="007340DF"/>
    <w:rsid w:val="007341F7"/>
    <w:rsid w:val="00734369"/>
    <w:rsid w:val="007344A2"/>
    <w:rsid w:val="0073463F"/>
    <w:rsid w:val="00734BAC"/>
    <w:rsid w:val="00734C10"/>
    <w:rsid w:val="00734CC4"/>
    <w:rsid w:val="00734CD8"/>
    <w:rsid w:val="00734E7D"/>
    <w:rsid w:val="0073504C"/>
    <w:rsid w:val="00735412"/>
    <w:rsid w:val="007354CB"/>
    <w:rsid w:val="0073569F"/>
    <w:rsid w:val="007357FF"/>
    <w:rsid w:val="00735C1C"/>
    <w:rsid w:val="00735D28"/>
    <w:rsid w:val="00735E58"/>
    <w:rsid w:val="00736227"/>
    <w:rsid w:val="00736340"/>
    <w:rsid w:val="00736595"/>
    <w:rsid w:val="00736773"/>
    <w:rsid w:val="0073682F"/>
    <w:rsid w:val="00736854"/>
    <w:rsid w:val="00736D13"/>
    <w:rsid w:val="00736ED3"/>
    <w:rsid w:val="007375C6"/>
    <w:rsid w:val="007376CF"/>
    <w:rsid w:val="00737B2A"/>
    <w:rsid w:val="0074027B"/>
    <w:rsid w:val="0074033F"/>
    <w:rsid w:val="007403FF"/>
    <w:rsid w:val="00740532"/>
    <w:rsid w:val="007407D4"/>
    <w:rsid w:val="00740966"/>
    <w:rsid w:val="007409B8"/>
    <w:rsid w:val="00741128"/>
    <w:rsid w:val="007413A0"/>
    <w:rsid w:val="0074142D"/>
    <w:rsid w:val="00741636"/>
    <w:rsid w:val="00741ABF"/>
    <w:rsid w:val="00741DA1"/>
    <w:rsid w:val="00741F66"/>
    <w:rsid w:val="00741FD8"/>
    <w:rsid w:val="007420DC"/>
    <w:rsid w:val="007420F2"/>
    <w:rsid w:val="00742151"/>
    <w:rsid w:val="0074216E"/>
    <w:rsid w:val="007425A1"/>
    <w:rsid w:val="00742609"/>
    <w:rsid w:val="00742663"/>
    <w:rsid w:val="007426AD"/>
    <w:rsid w:val="00742A6E"/>
    <w:rsid w:val="00742D65"/>
    <w:rsid w:val="00743267"/>
    <w:rsid w:val="007432C6"/>
    <w:rsid w:val="007432D0"/>
    <w:rsid w:val="0074338E"/>
    <w:rsid w:val="00743C5E"/>
    <w:rsid w:val="00743C7C"/>
    <w:rsid w:val="00743F95"/>
    <w:rsid w:val="00744324"/>
    <w:rsid w:val="0074471C"/>
    <w:rsid w:val="00744B0E"/>
    <w:rsid w:val="00744BC7"/>
    <w:rsid w:val="00745320"/>
    <w:rsid w:val="007454DB"/>
    <w:rsid w:val="007455A6"/>
    <w:rsid w:val="00745A7C"/>
    <w:rsid w:val="00745AEE"/>
    <w:rsid w:val="00745B65"/>
    <w:rsid w:val="00745E1E"/>
    <w:rsid w:val="00746026"/>
    <w:rsid w:val="0074608C"/>
    <w:rsid w:val="007460F1"/>
    <w:rsid w:val="007462D5"/>
    <w:rsid w:val="007464A0"/>
    <w:rsid w:val="007467DE"/>
    <w:rsid w:val="00746976"/>
    <w:rsid w:val="00746DE5"/>
    <w:rsid w:val="0074707B"/>
    <w:rsid w:val="00747462"/>
    <w:rsid w:val="00747515"/>
    <w:rsid w:val="00747C39"/>
    <w:rsid w:val="00747D01"/>
    <w:rsid w:val="00747D39"/>
    <w:rsid w:val="0074B009"/>
    <w:rsid w:val="0075011A"/>
    <w:rsid w:val="00750232"/>
    <w:rsid w:val="00750252"/>
    <w:rsid w:val="00750446"/>
    <w:rsid w:val="0075063C"/>
    <w:rsid w:val="00750713"/>
    <w:rsid w:val="00750A1E"/>
    <w:rsid w:val="00750AD8"/>
    <w:rsid w:val="00750D5C"/>
    <w:rsid w:val="00750DEC"/>
    <w:rsid w:val="00750E48"/>
    <w:rsid w:val="00750EE9"/>
    <w:rsid w:val="007510C8"/>
    <w:rsid w:val="007512A0"/>
    <w:rsid w:val="007512AF"/>
    <w:rsid w:val="007513AC"/>
    <w:rsid w:val="00751465"/>
    <w:rsid w:val="00751494"/>
    <w:rsid w:val="0075157D"/>
    <w:rsid w:val="0075165C"/>
    <w:rsid w:val="00751DE4"/>
    <w:rsid w:val="00751F3E"/>
    <w:rsid w:val="00752055"/>
    <w:rsid w:val="0075209C"/>
    <w:rsid w:val="007523DB"/>
    <w:rsid w:val="007524CE"/>
    <w:rsid w:val="00752ED2"/>
    <w:rsid w:val="00753836"/>
    <w:rsid w:val="00753CD0"/>
    <w:rsid w:val="00753F29"/>
    <w:rsid w:val="0075411C"/>
    <w:rsid w:val="007542ED"/>
    <w:rsid w:val="00754349"/>
    <w:rsid w:val="00754355"/>
    <w:rsid w:val="00754518"/>
    <w:rsid w:val="007552D0"/>
    <w:rsid w:val="007555EB"/>
    <w:rsid w:val="0075583B"/>
    <w:rsid w:val="007559F2"/>
    <w:rsid w:val="00755AC1"/>
    <w:rsid w:val="00755C82"/>
    <w:rsid w:val="00755EEC"/>
    <w:rsid w:val="007561C0"/>
    <w:rsid w:val="00756225"/>
    <w:rsid w:val="007568C6"/>
    <w:rsid w:val="00756A35"/>
    <w:rsid w:val="00756A47"/>
    <w:rsid w:val="00756C42"/>
    <w:rsid w:val="00756D60"/>
    <w:rsid w:val="00756FAF"/>
    <w:rsid w:val="007578D6"/>
    <w:rsid w:val="007578E1"/>
    <w:rsid w:val="00757B06"/>
    <w:rsid w:val="00757D0C"/>
    <w:rsid w:val="00757FAA"/>
    <w:rsid w:val="007602E5"/>
    <w:rsid w:val="007602ED"/>
    <w:rsid w:val="007606D5"/>
    <w:rsid w:val="00760969"/>
    <w:rsid w:val="00760C65"/>
    <w:rsid w:val="00760C97"/>
    <w:rsid w:val="007610B9"/>
    <w:rsid w:val="007610FE"/>
    <w:rsid w:val="00761141"/>
    <w:rsid w:val="00761678"/>
    <w:rsid w:val="00761BD1"/>
    <w:rsid w:val="00761C21"/>
    <w:rsid w:val="00761C51"/>
    <w:rsid w:val="00762723"/>
    <w:rsid w:val="00762C0C"/>
    <w:rsid w:val="007630C2"/>
    <w:rsid w:val="0076321B"/>
    <w:rsid w:val="007633F9"/>
    <w:rsid w:val="00763492"/>
    <w:rsid w:val="007635A1"/>
    <w:rsid w:val="0076366A"/>
    <w:rsid w:val="00763693"/>
    <w:rsid w:val="00763A48"/>
    <w:rsid w:val="00763DF3"/>
    <w:rsid w:val="00764347"/>
    <w:rsid w:val="0076446D"/>
    <w:rsid w:val="007647A2"/>
    <w:rsid w:val="00764EF4"/>
    <w:rsid w:val="00765003"/>
    <w:rsid w:val="00765147"/>
    <w:rsid w:val="0076546C"/>
    <w:rsid w:val="00765624"/>
    <w:rsid w:val="00765664"/>
    <w:rsid w:val="0076566A"/>
    <w:rsid w:val="0076587B"/>
    <w:rsid w:val="00765A01"/>
    <w:rsid w:val="00765B10"/>
    <w:rsid w:val="00765EDC"/>
    <w:rsid w:val="00766313"/>
    <w:rsid w:val="00766803"/>
    <w:rsid w:val="0076681B"/>
    <w:rsid w:val="00766A4B"/>
    <w:rsid w:val="00766BC6"/>
    <w:rsid w:val="00766C99"/>
    <w:rsid w:val="00766DDB"/>
    <w:rsid w:val="00766EAE"/>
    <w:rsid w:val="00766FBD"/>
    <w:rsid w:val="00766FDE"/>
    <w:rsid w:val="00767536"/>
    <w:rsid w:val="007677B6"/>
    <w:rsid w:val="007678F2"/>
    <w:rsid w:val="00767B2C"/>
    <w:rsid w:val="00767C60"/>
    <w:rsid w:val="00767CF0"/>
    <w:rsid w:val="00770004"/>
    <w:rsid w:val="00770356"/>
    <w:rsid w:val="007704FF"/>
    <w:rsid w:val="00770E94"/>
    <w:rsid w:val="0077130D"/>
    <w:rsid w:val="0077173C"/>
    <w:rsid w:val="00771882"/>
    <w:rsid w:val="00771906"/>
    <w:rsid w:val="00771B26"/>
    <w:rsid w:val="00771C92"/>
    <w:rsid w:val="00771CD6"/>
    <w:rsid w:val="00771E29"/>
    <w:rsid w:val="00772235"/>
    <w:rsid w:val="0077270E"/>
    <w:rsid w:val="00772954"/>
    <w:rsid w:val="00772C5B"/>
    <w:rsid w:val="007730CC"/>
    <w:rsid w:val="007733A1"/>
    <w:rsid w:val="00773AB9"/>
    <w:rsid w:val="00773B54"/>
    <w:rsid w:val="00773B7C"/>
    <w:rsid w:val="00773E40"/>
    <w:rsid w:val="00774184"/>
    <w:rsid w:val="007741E5"/>
    <w:rsid w:val="0077430E"/>
    <w:rsid w:val="0077443F"/>
    <w:rsid w:val="007747A1"/>
    <w:rsid w:val="0077482F"/>
    <w:rsid w:val="0077490A"/>
    <w:rsid w:val="00774BDC"/>
    <w:rsid w:val="00774CF9"/>
    <w:rsid w:val="00774E04"/>
    <w:rsid w:val="00774E7D"/>
    <w:rsid w:val="00774F87"/>
    <w:rsid w:val="00775047"/>
    <w:rsid w:val="0077548C"/>
    <w:rsid w:val="0077557F"/>
    <w:rsid w:val="00775B9A"/>
    <w:rsid w:val="00775DD9"/>
    <w:rsid w:val="00775E1F"/>
    <w:rsid w:val="00776016"/>
    <w:rsid w:val="007760DB"/>
    <w:rsid w:val="00776165"/>
    <w:rsid w:val="007762A7"/>
    <w:rsid w:val="00776614"/>
    <w:rsid w:val="00776B37"/>
    <w:rsid w:val="00776C36"/>
    <w:rsid w:val="00777251"/>
    <w:rsid w:val="007772E0"/>
    <w:rsid w:val="00777513"/>
    <w:rsid w:val="00777736"/>
    <w:rsid w:val="0077782D"/>
    <w:rsid w:val="00777A05"/>
    <w:rsid w:val="00777D92"/>
    <w:rsid w:val="00777DFA"/>
    <w:rsid w:val="0077A1A6"/>
    <w:rsid w:val="0078006B"/>
    <w:rsid w:val="0078043C"/>
    <w:rsid w:val="007804D3"/>
    <w:rsid w:val="00780540"/>
    <w:rsid w:val="0078055E"/>
    <w:rsid w:val="00780A39"/>
    <w:rsid w:val="00780E3F"/>
    <w:rsid w:val="00780F0F"/>
    <w:rsid w:val="00780F5A"/>
    <w:rsid w:val="00781222"/>
    <w:rsid w:val="007812FA"/>
    <w:rsid w:val="0078132C"/>
    <w:rsid w:val="00781392"/>
    <w:rsid w:val="0078145F"/>
    <w:rsid w:val="0078192F"/>
    <w:rsid w:val="0078194C"/>
    <w:rsid w:val="00781997"/>
    <w:rsid w:val="00781EFD"/>
    <w:rsid w:val="007821FE"/>
    <w:rsid w:val="007829F8"/>
    <w:rsid w:val="00782B15"/>
    <w:rsid w:val="00782ECB"/>
    <w:rsid w:val="007830BF"/>
    <w:rsid w:val="00783214"/>
    <w:rsid w:val="00783498"/>
    <w:rsid w:val="0078369E"/>
    <w:rsid w:val="0078383F"/>
    <w:rsid w:val="0078387A"/>
    <w:rsid w:val="00783A1F"/>
    <w:rsid w:val="00783B28"/>
    <w:rsid w:val="00783CCB"/>
    <w:rsid w:val="007841BE"/>
    <w:rsid w:val="00784805"/>
    <w:rsid w:val="00784A06"/>
    <w:rsid w:val="007853BA"/>
    <w:rsid w:val="00785494"/>
    <w:rsid w:val="00785751"/>
    <w:rsid w:val="007857AD"/>
    <w:rsid w:val="00785A9A"/>
    <w:rsid w:val="00785C60"/>
    <w:rsid w:val="00785D76"/>
    <w:rsid w:val="007861B1"/>
    <w:rsid w:val="007861C6"/>
    <w:rsid w:val="00786469"/>
    <w:rsid w:val="0078661F"/>
    <w:rsid w:val="00786716"/>
    <w:rsid w:val="0078691F"/>
    <w:rsid w:val="007869F3"/>
    <w:rsid w:val="00786B21"/>
    <w:rsid w:val="00786C7E"/>
    <w:rsid w:val="00786D1B"/>
    <w:rsid w:val="00787852"/>
    <w:rsid w:val="00787B9F"/>
    <w:rsid w:val="00787C07"/>
    <w:rsid w:val="00787C38"/>
    <w:rsid w:val="00787D0C"/>
    <w:rsid w:val="00787F3C"/>
    <w:rsid w:val="00787FC5"/>
    <w:rsid w:val="0078B8E9"/>
    <w:rsid w:val="007903C0"/>
    <w:rsid w:val="0079046E"/>
    <w:rsid w:val="00790A75"/>
    <w:rsid w:val="00790F7D"/>
    <w:rsid w:val="0079129A"/>
    <w:rsid w:val="007914E7"/>
    <w:rsid w:val="007916A1"/>
    <w:rsid w:val="007918ED"/>
    <w:rsid w:val="00791AA4"/>
    <w:rsid w:val="00791DB8"/>
    <w:rsid w:val="00791E42"/>
    <w:rsid w:val="00791E81"/>
    <w:rsid w:val="00791F85"/>
    <w:rsid w:val="00792135"/>
    <w:rsid w:val="0079226E"/>
    <w:rsid w:val="007924CE"/>
    <w:rsid w:val="007925BA"/>
    <w:rsid w:val="007927E7"/>
    <w:rsid w:val="007929E4"/>
    <w:rsid w:val="00792E37"/>
    <w:rsid w:val="00792F8E"/>
    <w:rsid w:val="007932EF"/>
    <w:rsid w:val="0079367D"/>
    <w:rsid w:val="007936FE"/>
    <w:rsid w:val="00793A45"/>
    <w:rsid w:val="00793BA1"/>
    <w:rsid w:val="007944F5"/>
    <w:rsid w:val="007945CC"/>
    <w:rsid w:val="00794711"/>
    <w:rsid w:val="00794748"/>
    <w:rsid w:val="00794BC7"/>
    <w:rsid w:val="00794C3E"/>
    <w:rsid w:val="00794D7C"/>
    <w:rsid w:val="00794E4F"/>
    <w:rsid w:val="00794E8A"/>
    <w:rsid w:val="00794EC3"/>
    <w:rsid w:val="007952F3"/>
    <w:rsid w:val="007954DA"/>
    <w:rsid w:val="007955EE"/>
    <w:rsid w:val="00795ED5"/>
    <w:rsid w:val="00795EF7"/>
    <w:rsid w:val="00796126"/>
    <w:rsid w:val="0079633D"/>
    <w:rsid w:val="007966F5"/>
    <w:rsid w:val="007967D9"/>
    <w:rsid w:val="00796C6F"/>
    <w:rsid w:val="00796D87"/>
    <w:rsid w:val="0079700D"/>
    <w:rsid w:val="007970E0"/>
    <w:rsid w:val="00797109"/>
    <w:rsid w:val="0079735A"/>
    <w:rsid w:val="00797368"/>
    <w:rsid w:val="007977F1"/>
    <w:rsid w:val="007978DC"/>
    <w:rsid w:val="00797B83"/>
    <w:rsid w:val="007A03F3"/>
    <w:rsid w:val="007A0512"/>
    <w:rsid w:val="007A06E1"/>
    <w:rsid w:val="007A0891"/>
    <w:rsid w:val="007A0AAD"/>
    <w:rsid w:val="007A0AC6"/>
    <w:rsid w:val="007A0ACF"/>
    <w:rsid w:val="007A0CDC"/>
    <w:rsid w:val="007A0F77"/>
    <w:rsid w:val="007A1022"/>
    <w:rsid w:val="007A128B"/>
    <w:rsid w:val="007A1452"/>
    <w:rsid w:val="007A146A"/>
    <w:rsid w:val="007A1487"/>
    <w:rsid w:val="007A18DA"/>
    <w:rsid w:val="007A197F"/>
    <w:rsid w:val="007A1A87"/>
    <w:rsid w:val="007A1E58"/>
    <w:rsid w:val="007A2267"/>
    <w:rsid w:val="007A290E"/>
    <w:rsid w:val="007A2A51"/>
    <w:rsid w:val="007A308E"/>
    <w:rsid w:val="007A32E8"/>
    <w:rsid w:val="007A3429"/>
    <w:rsid w:val="007A3650"/>
    <w:rsid w:val="007A36B4"/>
    <w:rsid w:val="007A36C2"/>
    <w:rsid w:val="007A3847"/>
    <w:rsid w:val="007A3AA3"/>
    <w:rsid w:val="007A3B10"/>
    <w:rsid w:val="007A3DE0"/>
    <w:rsid w:val="007A3EDC"/>
    <w:rsid w:val="007A425B"/>
    <w:rsid w:val="007A4452"/>
    <w:rsid w:val="007A4574"/>
    <w:rsid w:val="007A4713"/>
    <w:rsid w:val="007A48F4"/>
    <w:rsid w:val="007A492B"/>
    <w:rsid w:val="007A4FB4"/>
    <w:rsid w:val="007A5505"/>
    <w:rsid w:val="007A551B"/>
    <w:rsid w:val="007A55E3"/>
    <w:rsid w:val="007A5639"/>
    <w:rsid w:val="007A57DC"/>
    <w:rsid w:val="007A5922"/>
    <w:rsid w:val="007A5C52"/>
    <w:rsid w:val="007A5CC3"/>
    <w:rsid w:val="007A5D57"/>
    <w:rsid w:val="007A5DED"/>
    <w:rsid w:val="007A5FA3"/>
    <w:rsid w:val="007A6139"/>
    <w:rsid w:val="007A622D"/>
    <w:rsid w:val="007A6DD2"/>
    <w:rsid w:val="007A7201"/>
    <w:rsid w:val="007A7206"/>
    <w:rsid w:val="007A795D"/>
    <w:rsid w:val="007A7B4C"/>
    <w:rsid w:val="007A7BC5"/>
    <w:rsid w:val="007A7DBB"/>
    <w:rsid w:val="007B0265"/>
    <w:rsid w:val="007B0434"/>
    <w:rsid w:val="007B07AC"/>
    <w:rsid w:val="007B091E"/>
    <w:rsid w:val="007B0B2B"/>
    <w:rsid w:val="007B0EA8"/>
    <w:rsid w:val="007B0FBD"/>
    <w:rsid w:val="007B106D"/>
    <w:rsid w:val="007B1258"/>
    <w:rsid w:val="007B12F0"/>
    <w:rsid w:val="007B1367"/>
    <w:rsid w:val="007B1705"/>
    <w:rsid w:val="007B196E"/>
    <w:rsid w:val="007B1A11"/>
    <w:rsid w:val="007B1A52"/>
    <w:rsid w:val="007B1FB8"/>
    <w:rsid w:val="007B22ED"/>
    <w:rsid w:val="007B23C2"/>
    <w:rsid w:val="007B28F3"/>
    <w:rsid w:val="007B2EEC"/>
    <w:rsid w:val="007B39ED"/>
    <w:rsid w:val="007B3DB2"/>
    <w:rsid w:val="007B448E"/>
    <w:rsid w:val="007B4580"/>
    <w:rsid w:val="007B4A36"/>
    <w:rsid w:val="007B4BC9"/>
    <w:rsid w:val="007B4E84"/>
    <w:rsid w:val="007B4F9D"/>
    <w:rsid w:val="007B5006"/>
    <w:rsid w:val="007B515E"/>
    <w:rsid w:val="007B588D"/>
    <w:rsid w:val="007B59F1"/>
    <w:rsid w:val="007B5C9E"/>
    <w:rsid w:val="007B6055"/>
    <w:rsid w:val="007B60CF"/>
    <w:rsid w:val="007B67FC"/>
    <w:rsid w:val="007B6AFB"/>
    <w:rsid w:val="007B6B16"/>
    <w:rsid w:val="007B6F98"/>
    <w:rsid w:val="007B70E4"/>
    <w:rsid w:val="007B78EA"/>
    <w:rsid w:val="007B79EF"/>
    <w:rsid w:val="007B7B6C"/>
    <w:rsid w:val="007B7BFE"/>
    <w:rsid w:val="007B7C0F"/>
    <w:rsid w:val="007B7FDC"/>
    <w:rsid w:val="007C05B8"/>
    <w:rsid w:val="007C0675"/>
    <w:rsid w:val="007C0A49"/>
    <w:rsid w:val="007C0D76"/>
    <w:rsid w:val="007C0DE3"/>
    <w:rsid w:val="007C0E52"/>
    <w:rsid w:val="007C0F71"/>
    <w:rsid w:val="007C10A4"/>
    <w:rsid w:val="007C1105"/>
    <w:rsid w:val="007C179A"/>
    <w:rsid w:val="007C181A"/>
    <w:rsid w:val="007C1860"/>
    <w:rsid w:val="007C1AB0"/>
    <w:rsid w:val="007C1D7E"/>
    <w:rsid w:val="007C1D89"/>
    <w:rsid w:val="007C1E6A"/>
    <w:rsid w:val="007C29D7"/>
    <w:rsid w:val="007C29DD"/>
    <w:rsid w:val="007C2BD5"/>
    <w:rsid w:val="007C341C"/>
    <w:rsid w:val="007C360F"/>
    <w:rsid w:val="007C3775"/>
    <w:rsid w:val="007C38D7"/>
    <w:rsid w:val="007C3A3E"/>
    <w:rsid w:val="007C3B01"/>
    <w:rsid w:val="007C41D2"/>
    <w:rsid w:val="007C4853"/>
    <w:rsid w:val="007C4855"/>
    <w:rsid w:val="007C4C79"/>
    <w:rsid w:val="007C4D0D"/>
    <w:rsid w:val="007C4D50"/>
    <w:rsid w:val="007C4DD2"/>
    <w:rsid w:val="007C4DF8"/>
    <w:rsid w:val="007C4E55"/>
    <w:rsid w:val="007C501E"/>
    <w:rsid w:val="007C521D"/>
    <w:rsid w:val="007C53C2"/>
    <w:rsid w:val="007C5520"/>
    <w:rsid w:val="007C55B7"/>
    <w:rsid w:val="007C5C9C"/>
    <w:rsid w:val="007C5E1C"/>
    <w:rsid w:val="007C5EBB"/>
    <w:rsid w:val="007C66E2"/>
    <w:rsid w:val="007C6A43"/>
    <w:rsid w:val="007C72C2"/>
    <w:rsid w:val="007C7393"/>
    <w:rsid w:val="007C7562"/>
    <w:rsid w:val="007C764C"/>
    <w:rsid w:val="007C76F5"/>
    <w:rsid w:val="007C7794"/>
    <w:rsid w:val="007D000E"/>
    <w:rsid w:val="007D025C"/>
    <w:rsid w:val="007D02AF"/>
    <w:rsid w:val="007D0486"/>
    <w:rsid w:val="007D09B2"/>
    <w:rsid w:val="007D11D8"/>
    <w:rsid w:val="007D1296"/>
    <w:rsid w:val="007D15E0"/>
    <w:rsid w:val="007D1DDD"/>
    <w:rsid w:val="007D22FE"/>
    <w:rsid w:val="007D2477"/>
    <w:rsid w:val="007D2573"/>
    <w:rsid w:val="007D25F5"/>
    <w:rsid w:val="007D2621"/>
    <w:rsid w:val="007D26E7"/>
    <w:rsid w:val="007D2851"/>
    <w:rsid w:val="007D3449"/>
    <w:rsid w:val="007D35E8"/>
    <w:rsid w:val="007D393E"/>
    <w:rsid w:val="007D3B6E"/>
    <w:rsid w:val="007D3ECC"/>
    <w:rsid w:val="007D41DF"/>
    <w:rsid w:val="007D43A9"/>
    <w:rsid w:val="007D45EA"/>
    <w:rsid w:val="007D467B"/>
    <w:rsid w:val="007D4759"/>
    <w:rsid w:val="007D499D"/>
    <w:rsid w:val="007D4AA6"/>
    <w:rsid w:val="007D4B90"/>
    <w:rsid w:val="007D4FCC"/>
    <w:rsid w:val="007D50E0"/>
    <w:rsid w:val="007D535C"/>
    <w:rsid w:val="007D568E"/>
    <w:rsid w:val="007D58D9"/>
    <w:rsid w:val="007D5E4D"/>
    <w:rsid w:val="007D64FC"/>
    <w:rsid w:val="007D654E"/>
    <w:rsid w:val="007D6649"/>
    <w:rsid w:val="007D67C4"/>
    <w:rsid w:val="007D67E9"/>
    <w:rsid w:val="007D68C0"/>
    <w:rsid w:val="007D6A63"/>
    <w:rsid w:val="007D6B36"/>
    <w:rsid w:val="007D75E3"/>
    <w:rsid w:val="007D769C"/>
    <w:rsid w:val="007D7995"/>
    <w:rsid w:val="007D7A8C"/>
    <w:rsid w:val="007D7C26"/>
    <w:rsid w:val="007D7D4A"/>
    <w:rsid w:val="007D7FEB"/>
    <w:rsid w:val="007E03E8"/>
    <w:rsid w:val="007E09A0"/>
    <w:rsid w:val="007E0BE2"/>
    <w:rsid w:val="007E0CE4"/>
    <w:rsid w:val="007E0E41"/>
    <w:rsid w:val="007E0EDB"/>
    <w:rsid w:val="007E0EF7"/>
    <w:rsid w:val="007E159B"/>
    <w:rsid w:val="007E15C7"/>
    <w:rsid w:val="007E1EAB"/>
    <w:rsid w:val="007E203B"/>
    <w:rsid w:val="007E20EF"/>
    <w:rsid w:val="007E21C6"/>
    <w:rsid w:val="007E2379"/>
    <w:rsid w:val="007E2535"/>
    <w:rsid w:val="007E286A"/>
    <w:rsid w:val="007E2940"/>
    <w:rsid w:val="007E2AEC"/>
    <w:rsid w:val="007E2AFD"/>
    <w:rsid w:val="007E2C30"/>
    <w:rsid w:val="007E2C69"/>
    <w:rsid w:val="007E2C96"/>
    <w:rsid w:val="007E2E1B"/>
    <w:rsid w:val="007E2FB4"/>
    <w:rsid w:val="007E32EA"/>
    <w:rsid w:val="007E38E8"/>
    <w:rsid w:val="007E3A2F"/>
    <w:rsid w:val="007E3BAC"/>
    <w:rsid w:val="007E3C21"/>
    <w:rsid w:val="007E3DD3"/>
    <w:rsid w:val="007E3DFC"/>
    <w:rsid w:val="007E3EB6"/>
    <w:rsid w:val="007E3F99"/>
    <w:rsid w:val="007E417E"/>
    <w:rsid w:val="007E426B"/>
    <w:rsid w:val="007E4491"/>
    <w:rsid w:val="007E4960"/>
    <w:rsid w:val="007E4A91"/>
    <w:rsid w:val="007E4A93"/>
    <w:rsid w:val="007E4C0C"/>
    <w:rsid w:val="007E4F20"/>
    <w:rsid w:val="007E53F6"/>
    <w:rsid w:val="007E57CF"/>
    <w:rsid w:val="007E5810"/>
    <w:rsid w:val="007E595A"/>
    <w:rsid w:val="007E6AC2"/>
    <w:rsid w:val="007E6B4C"/>
    <w:rsid w:val="007E6CF4"/>
    <w:rsid w:val="007E6D99"/>
    <w:rsid w:val="007E71C4"/>
    <w:rsid w:val="007E7665"/>
    <w:rsid w:val="007E7BF2"/>
    <w:rsid w:val="007E7DCE"/>
    <w:rsid w:val="007E7F73"/>
    <w:rsid w:val="007EA68D"/>
    <w:rsid w:val="007F0021"/>
    <w:rsid w:val="007F00B0"/>
    <w:rsid w:val="007F012C"/>
    <w:rsid w:val="007F064D"/>
    <w:rsid w:val="007F073F"/>
    <w:rsid w:val="007F0746"/>
    <w:rsid w:val="007F0929"/>
    <w:rsid w:val="007F0A6D"/>
    <w:rsid w:val="007F0A9C"/>
    <w:rsid w:val="007F0B50"/>
    <w:rsid w:val="007F0C9D"/>
    <w:rsid w:val="007F0FC4"/>
    <w:rsid w:val="007F100D"/>
    <w:rsid w:val="007F121E"/>
    <w:rsid w:val="007F12DA"/>
    <w:rsid w:val="007F14BA"/>
    <w:rsid w:val="007F165B"/>
    <w:rsid w:val="007F170F"/>
    <w:rsid w:val="007F1C96"/>
    <w:rsid w:val="007F1EC5"/>
    <w:rsid w:val="007F20AE"/>
    <w:rsid w:val="007F2274"/>
    <w:rsid w:val="007F2765"/>
    <w:rsid w:val="007F2795"/>
    <w:rsid w:val="007F2F13"/>
    <w:rsid w:val="007F3155"/>
    <w:rsid w:val="007F3167"/>
    <w:rsid w:val="007F334D"/>
    <w:rsid w:val="007F3379"/>
    <w:rsid w:val="007F33D6"/>
    <w:rsid w:val="007F35F8"/>
    <w:rsid w:val="007F3646"/>
    <w:rsid w:val="007F3710"/>
    <w:rsid w:val="007F3852"/>
    <w:rsid w:val="007F4329"/>
    <w:rsid w:val="007F451C"/>
    <w:rsid w:val="007F47E4"/>
    <w:rsid w:val="007F486F"/>
    <w:rsid w:val="007F4DC9"/>
    <w:rsid w:val="007F4EE9"/>
    <w:rsid w:val="007F4F59"/>
    <w:rsid w:val="007F53CC"/>
    <w:rsid w:val="007F57B1"/>
    <w:rsid w:val="007F58DF"/>
    <w:rsid w:val="007F61BC"/>
    <w:rsid w:val="007F62C8"/>
    <w:rsid w:val="007F6306"/>
    <w:rsid w:val="007F666D"/>
    <w:rsid w:val="007F66BF"/>
    <w:rsid w:val="007F66FF"/>
    <w:rsid w:val="007F6A8D"/>
    <w:rsid w:val="007F6AC9"/>
    <w:rsid w:val="007F70D5"/>
    <w:rsid w:val="007F7346"/>
    <w:rsid w:val="007F74BF"/>
    <w:rsid w:val="007F7836"/>
    <w:rsid w:val="007F7923"/>
    <w:rsid w:val="008002AA"/>
    <w:rsid w:val="00800302"/>
    <w:rsid w:val="008003C0"/>
    <w:rsid w:val="0080048E"/>
    <w:rsid w:val="00800602"/>
    <w:rsid w:val="008007B8"/>
    <w:rsid w:val="0080080F"/>
    <w:rsid w:val="00800D12"/>
    <w:rsid w:val="00800E22"/>
    <w:rsid w:val="00800EA6"/>
    <w:rsid w:val="00800F46"/>
    <w:rsid w:val="00801040"/>
    <w:rsid w:val="00801123"/>
    <w:rsid w:val="0080115B"/>
    <w:rsid w:val="008019F8"/>
    <w:rsid w:val="00801B18"/>
    <w:rsid w:val="00801B70"/>
    <w:rsid w:val="00801C97"/>
    <w:rsid w:val="00801CAA"/>
    <w:rsid w:val="00801EB3"/>
    <w:rsid w:val="00801F73"/>
    <w:rsid w:val="00802231"/>
    <w:rsid w:val="008022AE"/>
    <w:rsid w:val="0080260E"/>
    <w:rsid w:val="008027D5"/>
    <w:rsid w:val="008028B6"/>
    <w:rsid w:val="00802B0B"/>
    <w:rsid w:val="00802B92"/>
    <w:rsid w:val="00802C34"/>
    <w:rsid w:val="00802F9F"/>
    <w:rsid w:val="0080317C"/>
    <w:rsid w:val="0080333B"/>
    <w:rsid w:val="008037A3"/>
    <w:rsid w:val="0080385E"/>
    <w:rsid w:val="00803865"/>
    <w:rsid w:val="00803898"/>
    <w:rsid w:val="00803B05"/>
    <w:rsid w:val="00803EC1"/>
    <w:rsid w:val="0080429B"/>
    <w:rsid w:val="008045C7"/>
    <w:rsid w:val="008046C3"/>
    <w:rsid w:val="008048A2"/>
    <w:rsid w:val="00804A3A"/>
    <w:rsid w:val="00804B70"/>
    <w:rsid w:val="00804BF2"/>
    <w:rsid w:val="008050D1"/>
    <w:rsid w:val="008050EB"/>
    <w:rsid w:val="0080555E"/>
    <w:rsid w:val="008057CB"/>
    <w:rsid w:val="008057E8"/>
    <w:rsid w:val="00805805"/>
    <w:rsid w:val="00805DF3"/>
    <w:rsid w:val="00806839"/>
    <w:rsid w:val="008068E1"/>
    <w:rsid w:val="00806990"/>
    <w:rsid w:val="00806D31"/>
    <w:rsid w:val="00806E02"/>
    <w:rsid w:val="00806E9E"/>
    <w:rsid w:val="00806F72"/>
    <w:rsid w:val="008073A5"/>
    <w:rsid w:val="00807588"/>
    <w:rsid w:val="008077BB"/>
    <w:rsid w:val="008077FA"/>
    <w:rsid w:val="0080792B"/>
    <w:rsid w:val="00807A09"/>
    <w:rsid w:val="00807C52"/>
    <w:rsid w:val="00807C8D"/>
    <w:rsid w:val="00807D03"/>
    <w:rsid w:val="00807DDB"/>
    <w:rsid w:val="00810123"/>
    <w:rsid w:val="008104B7"/>
    <w:rsid w:val="00810913"/>
    <w:rsid w:val="00810B9D"/>
    <w:rsid w:val="00810C04"/>
    <w:rsid w:val="008111C6"/>
    <w:rsid w:val="00811563"/>
    <w:rsid w:val="008115B3"/>
    <w:rsid w:val="00811B67"/>
    <w:rsid w:val="00811CA1"/>
    <w:rsid w:val="00811FDB"/>
    <w:rsid w:val="00812125"/>
    <w:rsid w:val="00812127"/>
    <w:rsid w:val="00812279"/>
    <w:rsid w:val="00812446"/>
    <w:rsid w:val="008128D1"/>
    <w:rsid w:val="00812B63"/>
    <w:rsid w:val="00812E92"/>
    <w:rsid w:val="00812F90"/>
    <w:rsid w:val="008130D2"/>
    <w:rsid w:val="008132DF"/>
    <w:rsid w:val="0081334A"/>
    <w:rsid w:val="00813444"/>
    <w:rsid w:val="00813A2D"/>
    <w:rsid w:val="00813AD3"/>
    <w:rsid w:val="00813E5C"/>
    <w:rsid w:val="00813E82"/>
    <w:rsid w:val="00814023"/>
    <w:rsid w:val="0081428C"/>
    <w:rsid w:val="008142AE"/>
    <w:rsid w:val="00814357"/>
    <w:rsid w:val="008144C1"/>
    <w:rsid w:val="008144F3"/>
    <w:rsid w:val="008146B4"/>
    <w:rsid w:val="00814B2E"/>
    <w:rsid w:val="00815240"/>
    <w:rsid w:val="008152DF"/>
    <w:rsid w:val="0081540D"/>
    <w:rsid w:val="00815721"/>
    <w:rsid w:val="00815815"/>
    <w:rsid w:val="0081581B"/>
    <w:rsid w:val="00815BD9"/>
    <w:rsid w:val="00815FEC"/>
    <w:rsid w:val="008162DA"/>
    <w:rsid w:val="008162DD"/>
    <w:rsid w:val="00816650"/>
    <w:rsid w:val="008167D6"/>
    <w:rsid w:val="00816C3A"/>
    <w:rsid w:val="00816EF5"/>
    <w:rsid w:val="00817024"/>
    <w:rsid w:val="00817AC2"/>
    <w:rsid w:val="0081CD06"/>
    <w:rsid w:val="0082018C"/>
    <w:rsid w:val="008201D6"/>
    <w:rsid w:val="0082047D"/>
    <w:rsid w:val="00820591"/>
    <w:rsid w:val="008206E2"/>
    <w:rsid w:val="008206F1"/>
    <w:rsid w:val="00820703"/>
    <w:rsid w:val="008207C7"/>
    <w:rsid w:val="008208B8"/>
    <w:rsid w:val="00820C69"/>
    <w:rsid w:val="0082119B"/>
    <w:rsid w:val="00821495"/>
    <w:rsid w:val="00821CD0"/>
    <w:rsid w:val="00821E6F"/>
    <w:rsid w:val="00821E71"/>
    <w:rsid w:val="0082229C"/>
    <w:rsid w:val="0082229F"/>
    <w:rsid w:val="008223D7"/>
    <w:rsid w:val="008224BF"/>
    <w:rsid w:val="008226FA"/>
    <w:rsid w:val="0082287B"/>
    <w:rsid w:val="00822C41"/>
    <w:rsid w:val="0082302C"/>
    <w:rsid w:val="008231A3"/>
    <w:rsid w:val="00823C57"/>
    <w:rsid w:val="00823E21"/>
    <w:rsid w:val="008242BC"/>
    <w:rsid w:val="00824740"/>
    <w:rsid w:val="00824E3E"/>
    <w:rsid w:val="00824F32"/>
    <w:rsid w:val="00824FEE"/>
    <w:rsid w:val="008260D2"/>
    <w:rsid w:val="00826191"/>
    <w:rsid w:val="008264E1"/>
    <w:rsid w:val="008264E7"/>
    <w:rsid w:val="0082661F"/>
    <w:rsid w:val="00826658"/>
    <w:rsid w:val="008266E5"/>
    <w:rsid w:val="00826808"/>
    <w:rsid w:val="00826B91"/>
    <w:rsid w:val="00826CE8"/>
    <w:rsid w:val="00826CFB"/>
    <w:rsid w:val="00826D21"/>
    <w:rsid w:val="008271E1"/>
    <w:rsid w:val="008273E4"/>
    <w:rsid w:val="0082740E"/>
    <w:rsid w:val="0082772D"/>
    <w:rsid w:val="00827813"/>
    <w:rsid w:val="00827912"/>
    <w:rsid w:val="00827949"/>
    <w:rsid w:val="00827B83"/>
    <w:rsid w:val="00827CD9"/>
    <w:rsid w:val="00830307"/>
    <w:rsid w:val="00830468"/>
    <w:rsid w:val="00830685"/>
    <w:rsid w:val="00830F2E"/>
    <w:rsid w:val="0083114E"/>
    <w:rsid w:val="00831605"/>
    <w:rsid w:val="0083179A"/>
    <w:rsid w:val="00831BDE"/>
    <w:rsid w:val="00831FAB"/>
    <w:rsid w:val="00832089"/>
    <w:rsid w:val="008320D5"/>
    <w:rsid w:val="008321F7"/>
    <w:rsid w:val="0083246D"/>
    <w:rsid w:val="00832915"/>
    <w:rsid w:val="00832C92"/>
    <w:rsid w:val="00832D4F"/>
    <w:rsid w:val="00832F6C"/>
    <w:rsid w:val="00832FAB"/>
    <w:rsid w:val="008334DC"/>
    <w:rsid w:val="00833512"/>
    <w:rsid w:val="008335B4"/>
    <w:rsid w:val="0083384B"/>
    <w:rsid w:val="00833A48"/>
    <w:rsid w:val="00833C4A"/>
    <w:rsid w:val="00833CA6"/>
    <w:rsid w:val="00833CFE"/>
    <w:rsid w:val="00833D39"/>
    <w:rsid w:val="0083435E"/>
    <w:rsid w:val="0083471A"/>
    <w:rsid w:val="00834975"/>
    <w:rsid w:val="00834AFC"/>
    <w:rsid w:val="00834B8D"/>
    <w:rsid w:val="00834B94"/>
    <w:rsid w:val="00834F71"/>
    <w:rsid w:val="00835084"/>
    <w:rsid w:val="008353AF"/>
    <w:rsid w:val="0083544E"/>
    <w:rsid w:val="008356B0"/>
    <w:rsid w:val="008356C1"/>
    <w:rsid w:val="008357C9"/>
    <w:rsid w:val="00835FEF"/>
    <w:rsid w:val="0083637A"/>
    <w:rsid w:val="00836799"/>
    <w:rsid w:val="00836846"/>
    <w:rsid w:val="00836D7E"/>
    <w:rsid w:val="008371A2"/>
    <w:rsid w:val="0083755A"/>
    <w:rsid w:val="008375FD"/>
    <w:rsid w:val="00837C71"/>
    <w:rsid w:val="00837CC0"/>
    <w:rsid w:val="00837D40"/>
    <w:rsid w:val="00839DBC"/>
    <w:rsid w:val="00840077"/>
    <w:rsid w:val="008401B7"/>
    <w:rsid w:val="00840555"/>
    <w:rsid w:val="008406DE"/>
    <w:rsid w:val="00840911"/>
    <w:rsid w:val="008409C1"/>
    <w:rsid w:val="00841534"/>
    <w:rsid w:val="008417E3"/>
    <w:rsid w:val="00841891"/>
    <w:rsid w:val="008418AE"/>
    <w:rsid w:val="008418CE"/>
    <w:rsid w:val="008418E8"/>
    <w:rsid w:val="00841B98"/>
    <w:rsid w:val="00841C23"/>
    <w:rsid w:val="008420E0"/>
    <w:rsid w:val="0084215E"/>
    <w:rsid w:val="00842196"/>
    <w:rsid w:val="008426E0"/>
    <w:rsid w:val="008427C4"/>
    <w:rsid w:val="00842EE4"/>
    <w:rsid w:val="008434E7"/>
    <w:rsid w:val="00843755"/>
    <w:rsid w:val="00843762"/>
    <w:rsid w:val="00843C15"/>
    <w:rsid w:val="00843CB4"/>
    <w:rsid w:val="0084440A"/>
    <w:rsid w:val="00844CEF"/>
    <w:rsid w:val="00844EC9"/>
    <w:rsid w:val="00844F7F"/>
    <w:rsid w:val="008457F3"/>
    <w:rsid w:val="00845A87"/>
    <w:rsid w:val="00845DB6"/>
    <w:rsid w:val="00846401"/>
    <w:rsid w:val="00846786"/>
    <w:rsid w:val="00846940"/>
    <w:rsid w:val="00846A4E"/>
    <w:rsid w:val="00846C35"/>
    <w:rsid w:val="00846C7F"/>
    <w:rsid w:val="00846CDC"/>
    <w:rsid w:val="00846D0E"/>
    <w:rsid w:val="00846E5E"/>
    <w:rsid w:val="00846E6D"/>
    <w:rsid w:val="0084734E"/>
    <w:rsid w:val="00847B83"/>
    <w:rsid w:val="00847D5B"/>
    <w:rsid w:val="00850393"/>
    <w:rsid w:val="00850913"/>
    <w:rsid w:val="00850CB5"/>
    <w:rsid w:val="00850D8A"/>
    <w:rsid w:val="0085140C"/>
    <w:rsid w:val="00851417"/>
    <w:rsid w:val="008515C9"/>
    <w:rsid w:val="0085189E"/>
    <w:rsid w:val="00851DB0"/>
    <w:rsid w:val="00852361"/>
    <w:rsid w:val="00852861"/>
    <w:rsid w:val="008528C7"/>
    <w:rsid w:val="00852B29"/>
    <w:rsid w:val="00852E75"/>
    <w:rsid w:val="00852FE9"/>
    <w:rsid w:val="00853517"/>
    <w:rsid w:val="00853727"/>
    <w:rsid w:val="008538A7"/>
    <w:rsid w:val="00853BD1"/>
    <w:rsid w:val="00853CF1"/>
    <w:rsid w:val="00853D2D"/>
    <w:rsid w:val="008541FE"/>
    <w:rsid w:val="00854251"/>
    <w:rsid w:val="008543C8"/>
    <w:rsid w:val="008543D2"/>
    <w:rsid w:val="00854466"/>
    <w:rsid w:val="0085457E"/>
    <w:rsid w:val="00854B1B"/>
    <w:rsid w:val="00854D83"/>
    <w:rsid w:val="00854E22"/>
    <w:rsid w:val="00854FCA"/>
    <w:rsid w:val="00855090"/>
    <w:rsid w:val="00855375"/>
    <w:rsid w:val="008553CB"/>
    <w:rsid w:val="00855905"/>
    <w:rsid w:val="00855988"/>
    <w:rsid w:val="00856199"/>
    <w:rsid w:val="008564CB"/>
    <w:rsid w:val="00856655"/>
    <w:rsid w:val="00856759"/>
    <w:rsid w:val="00856903"/>
    <w:rsid w:val="00856934"/>
    <w:rsid w:val="0085694B"/>
    <w:rsid w:val="00856C15"/>
    <w:rsid w:val="00856C1C"/>
    <w:rsid w:val="00856D41"/>
    <w:rsid w:val="00856EEA"/>
    <w:rsid w:val="00857510"/>
    <w:rsid w:val="0085762F"/>
    <w:rsid w:val="0085776C"/>
    <w:rsid w:val="00857831"/>
    <w:rsid w:val="00857A10"/>
    <w:rsid w:val="00857BA1"/>
    <w:rsid w:val="00857DEF"/>
    <w:rsid w:val="00857E3F"/>
    <w:rsid w:val="00857EC6"/>
    <w:rsid w:val="0086018A"/>
    <w:rsid w:val="00860191"/>
    <w:rsid w:val="00860308"/>
    <w:rsid w:val="00860535"/>
    <w:rsid w:val="008607AE"/>
    <w:rsid w:val="00860FB4"/>
    <w:rsid w:val="008610C0"/>
    <w:rsid w:val="008610D3"/>
    <w:rsid w:val="008610EB"/>
    <w:rsid w:val="008612AB"/>
    <w:rsid w:val="00861395"/>
    <w:rsid w:val="0086179E"/>
    <w:rsid w:val="008617AE"/>
    <w:rsid w:val="00861809"/>
    <w:rsid w:val="00861B51"/>
    <w:rsid w:val="00861F00"/>
    <w:rsid w:val="00862116"/>
    <w:rsid w:val="0086213B"/>
    <w:rsid w:val="00862219"/>
    <w:rsid w:val="00862398"/>
    <w:rsid w:val="008624A0"/>
    <w:rsid w:val="0086273D"/>
    <w:rsid w:val="00862888"/>
    <w:rsid w:val="00862D15"/>
    <w:rsid w:val="00862FA1"/>
    <w:rsid w:val="008631D0"/>
    <w:rsid w:val="008633AF"/>
    <w:rsid w:val="00863D78"/>
    <w:rsid w:val="00863F62"/>
    <w:rsid w:val="008642F0"/>
    <w:rsid w:val="00864477"/>
    <w:rsid w:val="0086464B"/>
    <w:rsid w:val="008649C1"/>
    <w:rsid w:val="00864BCC"/>
    <w:rsid w:val="00864DD9"/>
    <w:rsid w:val="0086511A"/>
    <w:rsid w:val="008652DA"/>
    <w:rsid w:val="00865356"/>
    <w:rsid w:val="008654D8"/>
    <w:rsid w:val="0086550B"/>
    <w:rsid w:val="008659FA"/>
    <w:rsid w:val="00865A13"/>
    <w:rsid w:val="00865DBA"/>
    <w:rsid w:val="008661F0"/>
    <w:rsid w:val="00866419"/>
    <w:rsid w:val="00866803"/>
    <w:rsid w:val="00866F10"/>
    <w:rsid w:val="00866F11"/>
    <w:rsid w:val="00867022"/>
    <w:rsid w:val="00867187"/>
    <w:rsid w:val="0086721E"/>
    <w:rsid w:val="0086727B"/>
    <w:rsid w:val="008672B9"/>
    <w:rsid w:val="008676A3"/>
    <w:rsid w:val="008678B1"/>
    <w:rsid w:val="00867EAF"/>
    <w:rsid w:val="00867EE9"/>
    <w:rsid w:val="00870029"/>
    <w:rsid w:val="00870187"/>
    <w:rsid w:val="008704F0"/>
    <w:rsid w:val="00870817"/>
    <w:rsid w:val="00870B9C"/>
    <w:rsid w:val="00870D20"/>
    <w:rsid w:val="00870E94"/>
    <w:rsid w:val="0087100B"/>
    <w:rsid w:val="008714FB"/>
    <w:rsid w:val="00871675"/>
    <w:rsid w:val="00871B7B"/>
    <w:rsid w:val="00871BF5"/>
    <w:rsid w:val="00871FF6"/>
    <w:rsid w:val="008724D0"/>
    <w:rsid w:val="008725A7"/>
    <w:rsid w:val="00872683"/>
    <w:rsid w:val="00872702"/>
    <w:rsid w:val="008728D4"/>
    <w:rsid w:val="00872E40"/>
    <w:rsid w:val="00872E78"/>
    <w:rsid w:val="00872EC0"/>
    <w:rsid w:val="00872F09"/>
    <w:rsid w:val="0087306A"/>
    <w:rsid w:val="008730E7"/>
    <w:rsid w:val="008735E5"/>
    <w:rsid w:val="008735E7"/>
    <w:rsid w:val="00873676"/>
    <w:rsid w:val="00873991"/>
    <w:rsid w:val="00873CDE"/>
    <w:rsid w:val="0087405D"/>
    <w:rsid w:val="00874481"/>
    <w:rsid w:val="00874B90"/>
    <w:rsid w:val="00874BE2"/>
    <w:rsid w:val="0087503D"/>
    <w:rsid w:val="00875057"/>
    <w:rsid w:val="008750F8"/>
    <w:rsid w:val="00875249"/>
    <w:rsid w:val="00875279"/>
    <w:rsid w:val="008752AC"/>
    <w:rsid w:val="00875546"/>
    <w:rsid w:val="00875794"/>
    <w:rsid w:val="0087586D"/>
    <w:rsid w:val="008758DC"/>
    <w:rsid w:val="00875CA4"/>
    <w:rsid w:val="00875DCA"/>
    <w:rsid w:val="00876100"/>
    <w:rsid w:val="00876607"/>
    <w:rsid w:val="0087689A"/>
    <w:rsid w:val="00876B99"/>
    <w:rsid w:val="00876C61"/>
    <w:rsid w:val="00876CC6"/>
    <w:rsid w:val="008772CF"/>
    <w:rsid w:val="00877565"/>
    <w:rsid w:val="00877577"/>
    <w:rsid w:val="008775A0"/>
    <w:rsid w:val="00877766"/>
    <w:rsid w:val="00877C32"/>
    <w:rsid w:val="00877CF0"/>
    <w:rsid w:val="00877D3B"/>
    <w:rsid w:val="00880C06"/>
    <w:rsid w:val="00880DC9"/>
    <w:rsid w:val="00880F4E"/>
    <w:rsid w:val="00881340"/>
    <w:rsid w:val="00881502"/>
    <w:rsid w:val="00881872"/>
    <w:rsid w:val="008818E1"/>
    <w:rsid w:val="00881ABE"/>
    <w:rsid w:val="00881AE9"/>
    <w:rsid w:val="00881FC9"/>
    <w:rsid w:val="008820E5"/>
    <w:rsid w:val="008826C4"/>
    <w:rsid w:val="00882847"/>
    <w:rsid w:val="00882859"/>
    <w:rsid w:val="00882B35"/>
    <w:rsid w:val="00883359"/>
    <w:rsid w:val="0088377F"/>
    <w:rsid w:val="00883B47"/>
    <w:rsid w:val="00883CA8"/>
    <w:rsid w:val="00883E93"/>
    <w:rsid w:val="008841E6"/>
    <w:rsid w:val="008844A1"/>
    <w:rsid w:val="008845C5"/>
    <w:rsid w:val="0088476A"/>
    <w:rsid w:val="008847C4"/>
    <w:rsid w:val="00884884"/>
    <w:rsid w:val="008848A2"/>
    <w:rsid w:val="00884A0D"/>
    <w:rsid w:val="00884AB1"/>
    <w:rsid w:val="0088570B"/>
    <w:rsid w:val="00885B71"/>
    <w:rsid w:val="00885EFC"/>
    <w:rsid w:val="00885F32"/>
    <w:rsid w:val="00885FA9"/>
    <w:rsid w:val="00886220"/>
    <w:rsid w:val="00886282"/>
    <w:rsid w:val="00886639"/>
    <w:rsid w:val="008866D6"/>
    <w:rsid w:val="00886AC2"/>
    <w:rsid w:val="00886C5F"/>
    <w:rsid w:val="00886FE8"/>
    <w:rsid w:val="008873A4"/>
    <w:rsid w:val="00887433"/>
    <w:rsid w:val="008876A9"/>
    <w:rsid w:val="008877B4"/>
    <w:rsid w:val="00887909"/>
    <w:rsid w:val="00887ABF"/>
    <w:rsid w:val="00887B5E"/>
    <w:rsid w:val="00887C35"/>
    <w:rsid w:val="00887EA4"/>
    <w:rsid w:val="0088ED71"/>
    <w:rsid w:val="00890063"/>
    <w:rsid w:val="008900AF"/>
    <w:rsid w:val="00890576"/>
    <w:rsid w:val="00890B3B"/>
    <w:rsid w:val="00890BCE"/>
    <w:rsid w:val="0089119A"/>
    <w:rsid w:val="00891324"/>
    <w:rsid w:val="00891400"/>
    <w:rsid w:val="0089143C"/>
    <w:rsid w:val="008915C2"/>
    <w:rsid w:val="008918E2"/>
    <w:rsid w:val="00891A17"/>
    <w:rsid w:val="00891D44"/>
    <w:rsid w:val="008920FE"/>
    <w:rsid w:val="00892102"/>
    <w:rsid w:val="00892166"/>
    <w:rsid w:val="0089232E"/>
    <w:rsid w:val="00892421"/>
    <w:rsid w:val="0089244D"/>
    <w:rsid w:val="008924B9"/>
    <w:rsid w:val="008929F3"/>
    <w:rsid w:val="00892B65"/>
    <w:rsid w:val="00892B91"/>
    <w:rsid w:val="00892BA1"/>
    <w:rsid w:val="00892CDB"/>
    <w:rsid w:val="00892E4A"/>
    <w:rsid w:val="00892E52"/>
    <w:rsid w:val="00892ECD"/>
    <w:rsid w:val="00893045"/>
    <w:rsid w:val="0089309A"/>
    <w:rsid w:val="008932E6"/>
    <w:rsid w:val="008937B0"/>
    <w:rsid w:val="00893911"/>
    <w:rsid w:val="00893D47"/>
    <w:rsid w:val="00893DB1"/>
    <w:rsid w:val="0089414F"/>
    <w:rsid w:val="0089451D"/>
    <w:rsid w:val="00894A3E"/>
    <w:rsid w:val="00894AA8"/>
    <w:rsid w:val="00894BCB"/>
    <w:rsid w:val="00894EE8"/>
    <w:rsid w:val="008950F8"/>
    <w:rsid w:val="00895B72"/>
    <w:rsid w:val="00895EB0"/>
    <w:rsid w:val="00896161"/>
    <w:rsid w:val="0089622F"/>
    <w:rsid w:val="00896404"/>
    <w:rsid w:val="0089643B"/>
    <w:rsid w:val="00896821"/>
    <w:rsid w:val="008968A6"/>
    <w:rsid w:val="008968DA"/>
    <w:rsid w:val="00896B1E"/>
    <w:rsid w:val="00896C3F"/>
    <w:rsid w:val="00896F3C"/>
    <w:rsid w:val="00897053"/>
    <w:rsid w:val="0089737D"/>
    <w:rsid w:val="0089790A"/>
    <w:rsid w:val="00897A4B"/>
    <w:rsid w:val="00897FD6"/>
    <w:rsid w:val="008A08C5"/>
    <w:rsid w:val="008A0A89"/>
    <w:rsid w:val="008A0C3C"/>
    <w:rsid w:val="008A0C99"/>
    <w:rsid w:val="008A0E32"/>
    <w:rsid w:val="008A1007"/>
    <w:rsid w:val="008A1480"/>
    <w:rsid w:val="008A14EB"/>
    <w:rsid w:val="008A1BDC"/>
    <w:rsid w:val="008A1F79"/>
    <w:rsid w:val="008A25C6"/>
    <w:rsid w:val="008A2923"/>
    <w:rsid w:val="008A29AE"/>
    <w:rsid w:val="008A2A69"/>
    <w:rsid w:val="008A2B40"/>
    <w:rsid w:val="008A30B3"/>
    <w:rsid w:val="008A36EB"/>
    <w:rsid w:val="008A37B0"/>
    <w:rsid w:val="008A3856"/>
    <w:rsid w:val="008A3966"/>
    <w:rsid w:val="008A3A8D"/>
    <w:rsid w:val="008A4093"/>
    <w:rsid w:val="008A43F6"/>
    <w:rsid w:val="008A44E8"/>
    <w:rsid w:val="008A45A0"/>
    <w:rsid w:val="008A461E"/>
    <w:rsid w:val="008A464E"/>
    <w:rsid w:val="008A4889"/>
    <w:rsid w:val="008A4A19"/>
    <w:rsid w:val="008A4A99"/>
    <w:rsid w:val="008A4CF2"/>
    <w:rsid w:val="008A4D48"/>
    <w:rsid w:val="008A4D9E"/>
    <w:rsid w:val="008A4E96"/>
    <w:rsid w:val="008A524A"/>
    <w:rsid w:val="008A55E0"/>
    <w:rsid w:val="008A57C7"/>
    <w:rsid w:val="008A5B03"/>
    <w:rsid w:val="008A5C3F"/>
    <w:rsid w:val="008A630F"/>
    <w:rsid w:val="008A6356"/>
    <w:rsid w:val="008A66D4"/>
    <w:rsid w:val="008A6A16"/>
    <w:rsid w:val="008A6BD4"/>
    <w:rsid w:val="008A6E22"/>
    <w:rsid w:val="008A6FED"/>
    <w:rsid w:val="008A72D5"/>
    <w:rsid w:val="008A73E0"/>
    <w:rsid w:val="008A75BC"/>
    <w:rsid w:val="008A75E6"/>
    <w:rsid w:val="008B0114"/>
    <w:rsid w:val="008B07C2"/>
    <w:rsid w:val="008B0839"/>
    <w:rsid w:val="008B0FD2"/>
    <w:rsid w:val="008B1143"/>
    <w:rsid w:val="008B13BF"/>
    <w:rsid w:val="008B1468"/>
    <w:rsid w:val="008B18DB"/>
    <w:rsid w:val="008B1BD5"/>
    <w:rsid w:val="008B232C"/>
    <w:rsid w:val="008B24CA"/>
    <w:rsid w:val="008B265F"/>
    <w:rsid w:val="008B2C2A"/>
    <w:rsid w:val="008B3148"/>
    <w:rsid w:val="008B323C"/>
    <w:rsid w:val="008B35EB"/>
    <w:rsid w:val="008B3A03"/>
    <w:rsid w:val="008B3DD4"/>
    <w:rsid w:val="008B3EF3"/>
    <w:rsid w:val="008B42FB"/>
    <w:rsid w:val="008B438B"/>
    <w:rsid w:val="008B43CC"/>
    <w:rsid w:val="008B5763"/>
    <w:rsid w:val="008B5766"/>
    <w:rsid w:val="008B58B9"/>
    <w:rsid w:val="008B5B49"/>
    <w:rsid w:val="008B63CA"/>
    <w:rsid w:val="008B658C"/>
    <w:rsid w:val="008B6650"/>
    <w:rsid w:val="008B68AD"/>
    <w:rsid w:val="008B6C2B"/>
    <w:rsid w:val="008B6F67"/>
    <w:rsid w:val="008B78D2"/>
    <w:rsid w:val="008B7D49"/>
    <w:rsid w:val="008B7DCA"/>
    <w:rsid w:val="008C001E"/>
    <w:rsid w:val="008C0904"/>
    <w:rsid w:val="008C092E"/>
    <w:rsid w:val="008C0CD0"/>
    <w:rsid w:val="008C0ED0"/>
    <w:rsid w:val="008C0F08"/>
    <w:rsid w:val="008C0F6A"/>
    <w:rsid w:val="008C10D0"/>
    <w:rsid w:val="008C10E0"/>
    <w:rsid w:val="008C1277"/>
    <w:rsid w:val="008C129F"/>
    <w:rsid w:val="008C16B5"/>
    <w:rsid w:val="008C1E5E"/>
    <w:rsid w:val="008C1F78"/>
    <w:rsid w:val="008C2269"/>
    <w:rsid w:val="008C2587"/>
    <w:rsid w:val="008C2C61"/>
    <w:rsid w:val="008C31A4"/>
    <w:rsid w:val="008C36A1"/>
    <w:rsid w:val="008C3BAD"/>
    <w:rsid w:val="008C3CD3"/>
    <w:rsid w:val="008C43D9"/>
    <w:rsid w:val="008C4842"/>
    <w:rsid w:val="008C4D33"/>
    <w:rsid w:val="008C53C0"/>
    <w:rsid w:val="008C570B"/>
    <w:rsid w:val="008C5E0D"/>
    <w:rsid w:val="008C60F3"/>
    <w:rsid w:val="008C61AD"/>
    <w:rsid w:val="008C6A62"/>
    <w:rsid w:val="008C6B44"/>
    <w:rsid w:val="008C6EEB"/>
    <w:rsid w:val="008C6F05"/>
    <w:rsid w:val="008C72EC"/>
    <w:rsid w:val="008C780E"/>
    <w:rsid w:val="008C787D"/>
    <w:rsid w:val="008C7BFC"/>
    <w:rsid w:val="008C7E17"/>
    <w:rsid w:val="008D0135"/>
    <w:rsid w:val="008D02F0"/>
    <w:rsid w:val="008D0321"/>
    <w:rsid w:val="008D0B41"/>
    <w:rsid w:val="008D0DE1"/>
    <w:rsid w:val="008D0FD4"/>
    <w:rsid w:val="008D130C"/>
    <w:rsid w:val="008D1367"/>
    <w:rsid w:val="008D1471"/>
    <w:rsid w:val="008D14C4"/>
    <w:rsid w:val="008D1610"/>
    <w:rsid w:val="008D16E9"/>
    <w:rsid w:val="008D1968"/>
    <w:rsid w:val="008D19CD"/>
    <w:rsid w:val="008D1B20"/>
    <w:rsid w:val="008D1B54"/>
    <w:rsid w:val="008D1D29"/>
    <w:rsid w:val="008D1DEF"/>
    <w:rsid w:val="008D21BB"/>
    <w:rsid w:val="008D2432"/>
    <w:rsid w:val="008D246A"/>
    <w:rsid w:val="008D24C1"/>
    <w:rsid w:val="008D2879"/>
    <w:rsid w:val="008D28F9"/>
    <w:rsid w:val="008D2A0A"/>
    <w:rsid w:val="008D2ABC"/>
    <w:rsid w:val="008D2DD2"/>
    <w:rsid w:val="008D2F39"/>
    <w:rsid w:val="008D32DF"/>
    <w:rsid w:val="008D3A0F"/>
    <w:rsid w:val="008D3B3E"/>
    <w:rsid w:val="008D3C72"/>
    <w:rsid w:val="008D3CCA"/>
    <w:rsid w:val="008D3D08"/>
    <w:rsid w:val="008D3EF6"/>
    <w:rsid w:val="008D4089"/>
    <w:rsid w:val="008D4154"/>
    <w:rsid w:val="008D41BF"/>
    <w:rsid w:val="008D454B"/>
    <w:rsid w:val="008D45EF"/>
    <w:rsid w:val="008D4701"/>
    <w:rsid w:val="008D4B1B"/>
    <w:rsid w:val="008D4E10"/>
    <w:rsid w:val="008D5105"/>
    <w:rsid w:val="008D5119"/>
    <w:rsid w:val="008D51BC"/>
    <w:rsid w:val="008D51C2"/>
    <w:rsid w:val="008D526C"/>
    <w:rsid w:val="008D52FC"/>
    <w:rsid w:val="008D5436"/>
    <w:rsid w:val="008D59C4"/>
    <w:rsid w:val="008D5D73"/>
    <w:rsid w:val="008D5E07"/>
    <w:rsid w:val="008D5E25"/>
    <w:rsid w:val="008D5E67"/>
    <w:rsid w:val="008D6BEB"/>
    <w:rsid w:val="008D6E19"/>
    <w:rsid w:val="008D7398"/>
    <w:rsid w:val="008D73F2"/>
    <w:rsid w:val="008D74B4"/>
    <w:rsid w:val="008D7B5B"/>
    <w:rsid w:val="008D7E48"/>
    <w:rsid w:val="008E01A0"/>
    <w:rsid w:val="008E0562"/>
    <w:rsid w:val="008E063F"/>
    <w:rsid w:val="008E0807"/>
    <w:rsid w:val="008E0B09"/>
    <w:rsid w:val="008E0B36"/>
    <w:rsid w:val="008E0DD6"/>
    <w:rsid w:val="008E0EE6"/>
    <w:rsid w:val="008E1090"/>
    <w:rsid w:val="008E1173"/>
    <w:rsid w:val="008E126B"/>
    <w:rsid w:val="008E1884"/>
    <w:rsid w:val="008E198A"/>
    <w:rsid w:val="008E19D6"/>
    <w:rsid w:val="008E2269"/>
    <w:rsid w:val="008E226D"/>
    <w:rsid w:val="008E2554"/>
    <w:rsid w:val="008E2672"/>
    <w:rsid w:val="008E26E5"/>
    <w:rsid w:val="008E26F2"/>
    <w:rsid w:val="008E27B4"/>
    <w:rsid w:val="008E2987"/>
    <w:rsid w:val="008E2BFA"/>
    <w:rsid w:val="008E2EA1"/>
    <w:rsid w:val="008E2FEF"/>
    <w:rsid w:val="008E30DF"/>
    <w:rsid w:val="008E3117"/>
    <w:rsid w:val="008E31EB"/>
    <w:rsid w:val="008E3245"/>
    <w:rsid w:val="008E35C5"/>
    <w:rsid w:val="008E369F"/>
    <w:rsid w:val="008E37A2"/>
    <w:rsid w:val="008E3962"/>
    <w:rsid w:val="008E3BB1"/>
    <w:rsid w:val="008E3F55"/>
    <w:rsid w:val="008E4154"/>
    <w:rsid w:val="008E463F"/>
    <w:rsid w:val="008E4A74"/>
    <w:rsid w:val="008E4AC3"/>
    <w:rsid w:val="008E4C72"/>
    <w:rsid w:val="008E4FC1"/>
    <w:rsid w:val="008E54B2"/>
    <w:rsid w:val="008E571D"/>
    <w:rsid w:val="008E5938"/>
    <w:rsid w:val="008E5DB6"/>
    <w:rsid w:val="008E5DCF"/>
    <w:rsid w:val="008E5EC0"/>
    <w:rsid w:val="008E64AC"/>
    <w:rsid w:val="008E655B"/>
    <w:rsid w:val="008E6749"/>
    <w:rsid w:val="008E68E2"/>
    <w:rsid w:val="008E6923"/>
    <w:rsid w:val="008E6AEE"/>
    <w:rsid w:val="008E70A5"/>
    <w:rsid w:val="008E737B"/>
    <w:rsid w:val="008E74A1"/>
    <w:rsid w:val="008E75FC"/>
    <w:rsid w:val="008E778A"/>
    <w:rsid w:val="008E7814"/>
    <w:rsid w:val="008E78E2"/>
    <w:rsid w:val="008E7F0D"/>
    <w:rsid w:val="008F03DA"/>
    <w:rsid w:val="008F0843"/>
    <w:rsid w:val="008F0D9B"/>
    <w:rsid w:val="008F0EDA"/>
    <w:rsid w:val="008F10D0"/>
    <w:rsid w:val="008F1294"/>
    <w:rsid w:val="008F16F0"/>
    <w:rsid w:val="008F178E"/>
    <w:rsid w:val="008F18F5"/>
    <w:rsid w:val="008F1D2B"/>
    <w:rsid w:val="008F1DD1"/>
    <w:rsid w:val="008F2081"/>
    <w:rsid w:val="008F25A9"/>
    <w:rsid w:val="008F2E5E"/>
    <w:rsid w:val="008F2F18"/>
    <w:rsid w:val="008F2FBD"/>
    <w:rsid w:val="008F30F2"/>
    <w:rsid w:val="008F3319"/>
    <w:rsid w:val="008F3393"/>
    <w:rsid w:val="008F356C"/>
    <w:rsid w:val="008F3D47"/>
    <w:rsid w:val="008F3E70"/>
    <w:rsid w:val="008F3E79"/>
    <w:rsid w:val="008F4BD4"/>
    <w:rsid w:val="008F4C7A"/>
    <w:rsid w:val="008F4E4C"/>
    <w:rsid w:val="008F507C"/>
    <w:rsid w:val="008F5161"/>
    <w:rsid w:val="008F52E7"/>
    <w:rsid w:val="008F53AE"/>
    <w:rsid w:val="008F54E4"/>
    <w:rsid w:val="008F5AE2"/>
    <w:rsid w:val="008F5CBB"/>
    <w:rsid w:val="008F5F4F"/>
    <w:rsid w:val="008F605B"/>
    <w:rsid w:val="008F649E"/>
    <w:rsid w:val="008F665D"/>
    <w:rsid w:val="008F667C"/>
    <w:rsid w:val="008F6ACD"/>
    <w:rsid w:val="008F6D46"/>
    <w:rsid w:val="008F700E"/>
    <w:rsid w:val="008F70F0"/>
    <w:rsid w:val="008F71D7"/>
    <w:rsid w:val="008F72D1"/>
    <w:rsid w:val="008F731B"/>
    <w:rsid w:val="008F752B"/>
    <w:rsid w:val="008F770F"/>
    <w:rsid w:val="008F796E"/>
    <w:rsid w:val="008F7E8D"/>
    <w:rsid w:val="009003C6"/>
    <w:rsid w:val="00900978"/>
    <w:rsid w:val="00900E7F"/>
    <w:rsid w:val="009010A1"/>
    <w:rsid w:val="00901439"/>
    <w:rsid w:val="00901589"/>
    <w:rsid w:val="00901E8E"/>
    <w:rsid w:val="00902223"/>
    <w:rsid w:val="00902549"/>
    <w:rsid w:val="009028B3"/>
    <w:rsid w:val="00902A6B"/>
    <w:rsid w:val="00902A79"/>
    <w:rsid w:val="00902B76"/>
    <w:rsid w:val="00902D1D"/>
    <w:rsid w:val="00902F43"/>
    <w:rsid w:val="00902F84"/>
    <w:rsid w:val="009030FF"/>
    <w:rsid w:val="00903123"/>
    <w:rsid w:val="009032DF"/>
    <w:rsid w:val="00903495"/>
    <w:rsid w:val="0090352C"/>
    <w:rsid w:val="009038A9"/>
    <w:rsid w:val="00903BC1"/>
    <w:rsid w:val="00903DB8"/>
    <w:rsid w:val="00904105"/>
    <w:rsid w:val="00904420"/>
    <w:rsid w:val="009045D0"/>
    <w:rsid w:val="00904978"/>
    <w:rsid w:val="00904C06"/>
    <w:rsid w:val="0090519C"/>
    <w:rsid w:val="00905490"/>
    <w:rsid w:val="00905619"/>
    <w:rsid w:val="009059B8"/>
    <w:rsid w:val="00906483"/>
    <w:rsid w:val="00907062"/>
    <w:rsid w:val="0090713E"/>
    <w:rsid w:val="00907299"/>
    <w:rsid w:val="0090745E"/>
    <w:rsid w:val="009077D2"/>
    <w:rsid w:val="00907B9C"/>
    <w:rsid w:val="00907EE2"/>
    <w:rsid w:val="0090D9B6"/>
    <w:rsid w:val="00910705"/>
    <w:rsid w:val="0091117F"/>
    <w:rsid w:val="009112E2"/>
    <w:rsid w:val="009112FD"/>
    <w:rsid w:val="009118BB"/>
    <w:rsid w:val="00911CC0"/>
    <w:rsid w:val="009120DA"/>
    <w:rsid w:val="00912160"/>
    <w:rsid w:val="009121D6"/>
    <w:rsid w:val="009126F2"/>
    <w:rsid w:val="0091271C"/>
    <w:rsid w:val="00912839"/>
    <w:rsid w:val="0091292F"/>
    <w:rsid w:val="00913036"/>
    <w:rsid w:val="009134CB"/>
    <w:rsid w:val="00913610"/>
    <w:rsid w:val="00913921"/>
    <w:rsid w:val="009139B6"/>
    <w:rsid w:val="00913C5F"/>
    <w:rsid w:val="00913E7C"/>
    <w:rsid w:val="00913F7D"/>
    <w:rsid w:val="00913FEB"/>
    <w:rsid w:val="009140F8"/>
    <w:rsid w:val="0091417D"/>
    <w:rsid w:val="00914E33"/>
    <w:rsid w:val="0091502F"/>
    <w:rsid w:val="0091522C"/>
    <w:rsid w:val="00915256"/>
    <w:rsid w:val="009154F9"/>
    <w:rsid w:val="009157CE"/>
    <w:rsid w:val="00915908"/>
    <w:rsid w:val="00915C99"/>
    <w:rsid w:val="00915F61"/>
    <w:rsid w:val="0091617E"/>
    <w:rsid w:val="009161F8"/>
    <w:rsid w:val="009164A8"/>
    <w:rsid w:val="00916563"/>
    <w:rsid w:val="009165CE"/>
    <w:rsid w:val="0091662E"/>
    <w:rsid w:val="009166A3"/>
    <w:rsid w:val="009169DC"/>
    <w:rsid w:val="00916DD4"/>
    <w:rsid w:val="00916E5E"/>
    <w:rsid w:val="00916FC8"/>
    <w:rsid w:val="00917530"/>
    <w:rsid w:val="0091785D"/>
    <w:rsid w:val="00917D50"/>
    <w:rsid w:val="00917DBA"/>
    <w:rsid w:val="009203BD"/>
    <w:rsid w:val="00920528"/>
    <w:rsid w:val="009205F1"/>
    <w:rsid w:val="00920D4A"/>
    <w:rsid w:val="00920D8E"/>
    <w:rsid w:val="00920FC5"/>
    <w:rsid w:val="00921224"/>
    <w:rsid w:val="0092140A"/>
    <w:rsid w:val="00921673"/>
    <w:rsid w:val="00921772"/>
    <w:rsid w:val="00921AED"/>
    <w:rsid w:val="00922006"/>
    <w:rsid w:val="00922009"/>
    <w:rsid w:val="009221CE"/>
    <w:rsid w:val="0092243D"/>
    <w:rsid w:val="0092250C"/>
    <w:rsid w:val="00922C0C"/>
    <w:rsid w:val="00922F9D"/>
    <w:rsid w:val="00923044"/>
    <w:rsid w:val="009230E1"/>
    <w:rsid w:val="0092323C"/>
    <w:rsid w:val="009232CA"/>
    <w:rsid w:val="009233B1"/>
    <w:rsid w:val="00923429"/>
    <w:rsid w:val="009237E5"/>
    <w:rsid w:val="009239D4"/>
    <w:rsid w:val="00923A08"/>
    <w:rsid w:val="00923D47"/>
    <w:rsid w:val="009242CE"/>
    <w:rsid w:val="009243E4"/>
    <w:rsid w:val="00924F37"/>
    <w:rsid w:val="00925026"/>
    <w:rsid w:val="00925152"/>
    <w:rsid w:val="00925206"/>
    <w:rsid w:val="00925BEC"/>
    <w:rsid w:val="00926028"/>
    <w:rsid w:val="009260A2"/>
    <w:rsid w:val="0092676A"/>
    <w:rsid w:val="0092683A"/>
    <w:rsid w:val="00926933"/>
    <w:rsid w:val="00926B3C"/>
    <w:rsid w:val="00926CF3"/>
    <w:rsid w:val="009275C9"/>
    <w:rsid w:val="009276F4"/>
    <w:rsid w:val="009279C4"/>
    <w:rsid w:val="00930168"/>
    <w:rsid w:val="009305A8"/>
    <w:rsid w:val="009308DC"/>
    <w:rsid w:val="00930B3A"/>
    <w:rsid w:val="00930B54"/>
    <w:rsid w:val="00930B5A"/>
    <w:rsid w:val="00930B9C"/>
    <w:rsid w:val="00930BD4"/>
    <w:rsid w:val="00930E6E"/>
    <w:rsid w:val="00931059"/>
    <w:rsid w:val="00931134"/>
    <w:rsid w:val="009312C6"/>
    <w:rsid w:val="0093140D"/>
    <w:rsid w:val="0093163B"/>
    <w:rsid w:val="00931A4C"/>
    <w:rsid w:val="009321CB"/>
    <w:rsid w:val="00932434"/>
    <w:rsid w:val="00932595"/>
    <w:rsid w:val="0093266D"/>
    <w:rsid w:val="009328AB"/>
    <w:rsid w:val="009330D8"/>
    <w:rsid w:val="0093385B"/>
    <w:rsid w:val="0093388D"/>
    <w:rsid w:val="009339F6"/>
    <w:rsid w:val="00933A81"/>
    <w:rsid w:val="00933F41"/>
    <w:rsid w:val="009340DA"/>
    <w:rsid w:val="009343ED"/>
    <w:rsid w:val="00934569"/>
    <w:rsid w:val="009345FB"/>
    <w:rsid w:val="0093480F"/>
    <w:rsid w:val="00934B10"/>
    <w:rsid w:val="00934EA5"/>
    <w:rsid w:val="00934EB8"/>
    <w:rsid w:val="009353F5"/>
    <w:rsid w:val="009356F7"/>
    <w:rsid w:val="009357EC"/>
    <w:rsid w:val="00935C40"/>
    <w:rsid w:val="00935D5A"/>
    <w:rsid w:val="00935DF5"/>
    <w:rsid w:val="00935E9E"/>
    <w:rsid w:val="00935ED7"/>
    <w:rsid w:val="00935F19"/>
    <w:rsid w:val="0093613A"/>
    <w:rsid w:val="00936619"/>
    <w:rsid w:val="009366BA"/>
    <w:rsid w:val="009366C4"/>
    <w:rsid w:val="00936BB0"/>
    <w:rsid w:val="00937243"/>
    <w:rsid w:val="00937294"/>
    <w:rsid w:val="009376A6"/>
    <w:rsid w:val="009377C5"/>
    <w:rsid w:val="00937958"/>
    <w:rsid w:val="00937D8E"/>
    <w:rsid w:val="00937E08"/>
    <w:rsid w:val="00937E58"/>
    <w:rsid w:val="00937F8E"/>
    <w:rsid w:val="0094011B"/>
    <w:rsid w:val="00940182"/>
    <w:rsid w:val="00940227"/>
    <w:rsid w:val="00940874"/>
    <w:rsid w:val="0094094B"/>
    <w:rsid w:val="00940DC0"/>
    <w:rsid w:val="00940DD6"/>
    <w:rsid w:val="00941535"/>
    <w:rsid w:val="00941684"/>
    <w:rsid w:val="00941893"/>
    <w:rsid w:val="00941A61"/>
    <w:rsid w:val="00941CA6"/>
    <w:rsid w:val="00941EBC"/>
    <w:rsid w:val="00942642"/>
    <w:rsid w:val="00942938"/>
    <w:rsid w:val="009430CB"/>
    <w:rsid w:val="009430EC"/>
    <w:rsid w:val="009437FF"/>
    <w:rsid w:val="0094385B"/>
    <w:rsid w:val="00943A7A"/>
    <w:rsid w:val="00943CA7"/>
    <w:rsid w:val="00943CB0"/>
    <w:rsid w:val="00943E7F"/>
    <w:rsid w:val="009442B0"/>
    <w:rsid w:val="009446B4"/>
    <w:rsid w:val="00944749"/>
    <w:rsid w:val="00944859"/>
    <w:rsid w:val="009448ED"/>
    <w:rsid w:val="00944B43"/>
    <w:rsid w:val="00944BC4"/>
    <w:rsid w:val="00944DA2"/>
    <w:rsid w:val="00945217"/>
    <w:rsid w:val="00945277"/>
    <w:rsid w:val="009452D9"/>
    <w:rsid w:val="0094563A"/>
    <w:rsid w:val="00945897"/>
    <w:rsid w:val="009458E0"/>
    <w:rsid w:val="009458F4"/>
    <w:rsid w:val="00945A29"/>
    <w:rsid w:val="00945A38"/>
    <w:rsid w:val="00945EA0"/>
    <w:rsid w:val="0094648F"/>
    <w:rsid w:val="00946720"/>
    <w:rsid w:val="0094672C"/>
    <w:rsid w:val="00946798"/>
    <w:rsid w:val="0094686B"/>
    <w:rsid w:val="00946901"/>
    <w:rsid w:val="00946DFB"/>
    <w:rsid w:val="00947460"/>
    <w:rsid w:val="0094779B"/>
    <w:rsid w:val="00947B1E"/>
    <w:rsid w:val="00947FD5"/>
    <w:rsid w:val="009500C2"/>
    <w:rsid w:val="009500E5"/>
    <w:rsid w:val="009504CD"/>
    <w:rsid w:val="00950781"/>
    <w:rsid w:val="00950856"/>
    <w:rsid w:val="00950CD7"/>
    <w:rsid w:val="0095104D"/>
    <w:rsid w:val="009510FA"/>
    <w:rsid w:val="009511E9"/>
    <w:rsid w:val="009512EE"/>
    <w:rsid w:val="00951445"/>
    <w:rsid w:val="00951782"/>
    <w:rsid w:val="00951866"/>
    <w:rsid w:val="009518FF"/>
    <w:rsid w:val="00951BF6"/>
    <w:rsid w:val="00951CAE"/>
    <w:rsid w:val="00951F51"/>
    <w:rsid w:val="00951FF6"/>
    <w:rsid w:val="009520CA"/>
    <w:rsid w:val="009528DC"/>
    <w:rsid w:val="00953488"/>
    <w:rsid w:val="0095387A"/>
    <w:rsid w:val="00953B04"/>
    <w:rsid w:val="00953C2C"/>
    <w:rsid w:val="00953C3B"/>
    <w:rsid w:val="00954067"/>
    <w:rsid w:val="0095473B"/>
    <w:rsid w:val="00954A68"/>
    <w:rsid w:val="00954C9D"/>
    <w:rsid w:val="00954D4A"/>
    <w:rsid w:val="009554B6"/>
    <w:rsid w:val="00955866"/>
    <w:rsid w:val="0095588C"/>
    <w:rsid w:val="0095629F"/>
    <w:rsid w:val="00956A25"/>
    <w:rsid w:val="00956A38"/>
    <w:rsid w:val="00956AF6"/>
    <w:rsid w:val="00956C79"/>
    <w:rsid w:val="00956D10"/>
    <w:rsid w:val="00956D17"/>
    <w:rsid w:val="00956D59"/>
    <w:rsid w:val="00956D5F"/>
    <w:rsid w:val="009570CE"/>
    <w:rsid w:val="0095791F"/>
    <w:rsid w:val="00957D12"/>
    <w:rsid w:val="00957E4E"/>
    <w:rsid w:val="00957EAC"/>
    <w:rsid w:val="00957F76"/>
    <w:rsid w:val="0096021D"/>
    <w:rsid w:val="00960383"/>
    <w:rsid w:val="009603D0"/>
    <w:rsid w:val="009604EE"/>
    <w:rsid w:val="009609D8"/>
    <w:rsid w:val="00960A0C"/>
    <w:rsid w:val="00960A12"/>
    <w:rsid w:val="00960C6C"/>
    <w:rsid w:val="00960DDD"/>
    <w:rsid w:val="00960E2F"/>
    <w:rsid w:val="00960F76"/>
    <w:rsid w:val="00961539"/>
    <w:rsid w:val="00961A8A"/>
    <w:rsid w:val="00961D7F"/>
    <w:rsid w:val="00961DA0"/>
    <w:rsid w:val="00962163"/>
    <w:rsid w:val="009621F7"/>
    <w:rsid w:val="009624DE"/>
    <w:rsid w:val="0096259C"/>
    <w:rsid w:val="009628C9"/>
    <w:rsid w:val="00962971"/>
    <w:rsid w:val="00962A23"/>
    <w:rsid w:val="00962CC7"/>
    <w:rsid w:val="00963157"/>
    <w:rsid w:val="0096315F"/>
    <w:rsid w:val="00963220"/>
    <w:rsid w:val="009632EE"/>
    <w:rsid w:val="00963438"/>
    <w:rsid w:val="00963483"/>
    <w:rsid w:val="00963707"/>
    <w:rsid w:val="00963831"/>
    <w:rsid w:val="00963896"/>
    <w:rsid w:val="009638F7"/>
    <w:rsid w:val="00963E15"/>
    <w:rsid w:val="00963FC7"/>
    <w:rsid w:val="00964124"/>
    <w:rsid w:val="0096440E"/>
    <w:rsid w:val="0096494B"/>
    <w:rsid w:val="00964DB0"/>
    <w:rsid w:val="009651DB"/>
    <w:rsid w:val="00965244"/>
    <w:rsid w:val="0096536D"/>
    <w:rsid w:val="009657AE"/>
    <w:rsid w:val="009658E3"/>
    <w:rsid w:val="00965BA8"/>
    <w:rsid w:val="0096604D"/>
    <w:rsid w:val="009660FF"/>
    <w:rsid w:val="00966A83"/>
    <w:rsid w:val="00966A97"/>
    <w:rsid w:val="00966BCA"/>
    <w:rsid w:val="009674FB"/>
    <w:rsid w:val="0096774E"/>
    <w:rsid w:val="00967858"/>
    <w:rsid w:val="00967A56"/>
    <w:rsid w:val="00967F03"/>
    <w:rsid w:val="0096BE75"/>
    <w:rsid w:val="009701EF"/>
    <w:rsid w:val="0097042E"/>
    <w:rsid w:val="009706C1"/>
    <w:rsid w:val="00970704"/>
    <w:rsid w:val="009707C7"/>
    <w:rsid w:val="009707E5"/>
    <w:rsid w:val="00970B0E"/>
    <w:rsid w:val="00970D32"/>
    <w:rsid w:val="00970EA9"/>
    <w:rsid w:val="00970F9C"/>
    <w:rsid w:val="00971229"/>
    <w:rsid w:val="009713FB"/>
    <w:rsid w:val="0097143B"/>
    <w:rsid w:val="0097183A"/>
    <w:rsid w:val="00971C66"/>
    <w:rsid w:val="00971C97"/>
    <w:rsid w:val="00971DE1"/>
    <w:rsid w:val="009722FF"/>
    <w:rsid w:val="00972772"/>
    <w:rsid w:val="009727FA"/>
    <w:rsid w:val="00972E0F"/>
    <w:rsid w:val="00972E6F"/>
    <w:rsid w:val="00972EB4"/>
    <w:rsid w:val="00973033"/>
    <w:rsid w:val="00973332"/>
    <w:rsid w:val="0097354B"/>
    <w:rsid w:val="0097372E"/>
    <w:rsid w:val="00973983"/>
    <w:rsid w:val="00973A3F"/>
    <w:rsid w:val="00973AAB"/>
    <w:rsid w:val="009745E8"/>
    <w:rsid w:val="009746BE"/>
    <w:rsid w:val="009749E6"/>
    <w:rsid w:val="00974A23"/>
    <w:rsid w:val="00974BF2"/>
    <w:rsid w:val="00975338"/>
    <w:rsid w:val="009754CB"/>
    <w:rsid w:val="00975514"/>
    <w:rsid w:val="0097552C"/>
    <w:rsid w:val="0097558B"/>
    <w:rsid w:val="009756CB"/>
    <w:rsid w:val="00975974"/>
    <w:rsid w:val="00975C56"/>
    <w:rsid w:val="00975F41"/>
    <w:rsid w:val="00975F97"/>
    <w:rsid w:val="009764F0"/>
    <w:rsid w:val="009766C1"/>
    <w:rsid w:val="009769C9"/>
    <w:rsid w:val="00976A2D"/>
    <w:rsid w:val="00976C92"/>
    <w:rsid w:val="009772E7"/>
    <w:rsid w:val="0097746C"/>
    <w:rsid w:val="00977621"/>
    <w:rsid w:val="00977CC8"/>
    <w:rsid w:val="0098002F"/>
    <w:rsid w:val="009800C9"/>
    <w:rsid w:val="0098039E"/>
    <w:rsid w:val="009805B3"/>
    <w:rsid w:val="00980A1A"/>
    <w:rsid w:val="00980CA7"/>
    <w:rsid w:val="00980CC2"/>
    <w:rsid w:val="00981604"/>
    <w:rsid w:val="009816C1"/>
    <w:rsid w:val="00981A14"/>
    <w:rsid w:val="00981A66"/>
    <w:rsid w:val="00981AF4"/>
    <w:rsid w:val="00981F7F"/>
    <w:rsid w:val="00981FA4"/>
    <w:rsid w:val="0098230D"/>
    <w:rsid w:val="009825D4"/>
    <w:rsid w:val="009826C7"/>
    <w:rsid w:val="00982A84"/>
    <w:rsid w:val="00982D21"/>
    <w:rsid w:val="00982F91"/>
    <w:rsid w:val="0098309D"/>
    <w:rsid w:val="00983170"/>
    <w:rsid w:val="009833E9"/>
    <w:rsid w:val="00983718"/>
    <w:rsid w:val="00983863"/>
    <w:rsid w:val="009839BF"/>
    <w:rsid w:val="00984092"/>
    <w:rsid w:val="00984323"/>
    <w:rsid w:val="009844F4"/>
    <w:rsid w:val="0098456F"/>
    <w:rsid w:val="009846F6"/>
    <w:rsid w:val="009848DD"/>
    <w:rsid w:val="009849F3"/>
    <w:rsid w:val="00984DDD"/>
    <w:rsid w:val="00985050"/>
    <w:rsid w:val="00985152"/>
    <w:rsid w:val="009854D5"/>
    <w:rsid w:val="009857D7"/>
    <w:rsid w:val="00985993"/>
    <w:rsid w:val="00985A1D"/>
    <w:rsid w:val="00985B32"/>
    <w:rsid w:val="00985CD4"/>
    <w:rsid w:val="009861CE"/>
    <w:rsid w:val="00986304"/>
    <w:rsid w:val="00987197"/>
    <w:rsid w:val="009871F0"/>
    <w:rsid w:val="009873D9"/>
    <w:rsid w:val="009875CC"/>
    <w:rsid w:val="009878D0"/>
    <w:rsid w:val="009878E2"/>
    <w:rsid w:val="00987947"/>
    <w:rsid w:val="00987C9E"/>
    <w:rsid w:val="00987CD9"/>
    <w:rsid w:val="00987D72"/>
    <w:rsid w:val="00987F7C"/>
    <w:rsid w:val="009900A5"/>
    <w:rsid w:val="0099014A"/>
    <w:rsid w:val="00990B44"/>
    <w:rsid w:val="00990B56"/>
    <w:rsid w:val="009910E9"/>
    <w:rsid w:val="009910FD"/>
    <w:rsid w:val="00991356"/>
    <w:rsid w:val="00991644"/>
    <w:rsid w:val="009916CE"/>
    <w:rsid w:val="0099187A"/>
    <w:rsid w:val="00991885"/>
    <w:rsid w:val="00991904"/>
    <w:rsid w:val="00991945"/>
    <w:rsid w:val="00991A8D"/>
    <w:rsid w:val="00992176"/>
    <w:rsid w:val="00992423"/>
    <w:rsid w:val="009924CA"/>
    <w:rsid w:val="00992700"/>
    <w:rsid w:val="00992A1C"/>
    <w:rsid w:val="00993055"/>
    <w:rsid w:val="00993203"/>
    <w:rsid w:val="0099328A"/>
    <w:rsid w:val="009936B1"/>
    <w:rsid w:val="00993AB3"/>
    <w:rsid w:val="00993B39"/>
    <w:rsid w:val="00993ECC"/>
    <w:rsid w:val="00993F04"/>
    <w:rsid w:val="009943C4"/>
    <w:rsid w:val="009948A5"/>
    <w:rsid w:val="00994913"/>
    <w:rsid w:val="009949C4"/>
    <w:rsid w:val="00994CD8"/>
    <w:rsid w:val="00994D08"/>
    <w:rsid w:val="0099526A"/>
    <w:rsid w:val="009952A8"/>
    <w:rsid w:val="0099570A"/>
    <w:rsid w:val="00995785"/>
    <w:rsid w:val="009957BC"/>
    <w:rsid w:val="00995B0F"/>
    <w:rsid w:val="00996203"/>
    <w:rsid w:val="00996219"/>
    <w:rsid w:val="009962A4"/>
    <w:rsid w:val="00996497"/>
    <w:rsid w:val="0099697A"/>
    <w:rsid w:val="00996B7E"/>
    <w:rsid w:val="00996D31"/>
    <w:rsid w:val="00997030"/>
    <w:rsid w:val="00997079"/>
    <w:rsid w:val="009970C8"/>
    <w:rsid w:val="00997429"/>
    <w:rsid w:val="00997699"/>
    <w:rsid w:val="00997A5E"/>
    <w:rsid w:val="00997C4F"/>
    <w:rsid w:val="00997E84"/>
    <w:rsid w:val="00997F0B"/>
    <w:rsid w:val="00997F50"/>
    <w:rsid w:val="009A004A"/>
    <w:rsid w:val="009A039D"/>
    <w:rsid w:val="009A05A6"/>
    <w:rsid w:val="009A0705"/>
    <w:rsid w:val="009A0E19"/>
    <w:rsid w:val="009A0F0B"/>
    <w:rsid w:val="009A1088"/>
    <w:rsid w:val="009A12D3"/>
    <w:rsid w:val="009A1377"/>
    <w:rsid w:val="009A164F"/>
    <w:rsid w:val="009A1869"/>
    <w:rsid w:val="009A19F6"/>
    <w:rsid w:val="009A1B84"/>
    <w:rsid w:val="009A1D5A"/>
    <w:rsid w:val="009A1E43"/>
    <w:rsid w:val="009A1FD6"/>
    <w:rsid w:val="009A23E1"/>
    <w:rsid w:val="009A2766"/>
    <w:rsid w:val="009A2FC3"/>
    <w:rsid w:val="009A3181"/>
    <w:rsid w:val="009A36AC"/>
    <w:rsid w:val="009A36FE"/>
    <w:rsid w:val="009A38D7"/>
    <w:rsid w:val="009A3943"/>
    <w:rsid w:val="009A3B53"/>
    <w:rsid w:val="009A3EB9"/>
    <w:rsid w:val="009A4027"/>
    <w:rsid w:val="009A41D6"/>
    <w:rsid w:val="009A441E"/>
    <w:rsid w:val="009A4461"/>
    <w:rsid w:val="009A46CC"/>
    <w:rsid w:val="009A4B0B"/>
    <w:rsid w:val="009A4C1F"/>
    <w:rsid w:val="009A51C5"/>
    <w:rsid w:val="009A5388"/>
    <w:rsid w:val="009A54CB"/>
    <w:rsid w:val="009A5611"/>
    <w:rsid w:val="009A58E8"/>
    <w:rsid w:val="009A5B89"/>
    <w:rsid w:val="009A5F8D"/>
    <w:rsid w:val="009A60A1"/>
    <w:rsid w:val="009A617A"/>
    <w:rsid w:val="009A62A9"/>
    <w:rsid w:val="009A6544"/>
    <w:rsid w:val="009A658E"/>
    <w:rsid w:val="009A65B0"/>
    <w:rsid w:val="009A67C6"/>
    <w:rsid w:val="009A6863"/>
    <w:rsid w:val="009A6BA7"/>
    <w:rsid w:val="009A6CBB"/>
    <w:rsid w:val="009A750F"/>
    <w:rsid w:val="009A7544"/>
    <w:rsid w:val="009A7627"/>
    <w:rsid w:val="009A776F"/>
    <w:rsid w:val="009A7D90"/>
    <w:rsid w:val="009A7E32"/>
    <w:rsid w:val="009A7EDF"/>
    <w:rsid w:val="009B0114"/>
    <w:rsid w:val="009B0159"/>
    <w:rsid w:val="009B034D"/>
    <w:rsid w:val="009B0426"/>
    <w:rsid w:val="009B0452"/>
    <w:rsid w:val="009B06DA"/>
    <w:rsid w:val="009B07F3"/>
    <w:rsid w:val="009B0EAD"/>
    <w:rsid w:val="009B0F6F"/>
    <w:rsid w:val="009B152F"/>
    <w:rsid w:val="009B16EC"/>
    <w:rsid w:val="009B18FC"/>
    <w:rsid w:val="009B1A1C"/>
    <w:rsid w:val="009B1C21"/>
    <w:rsid w:val="009B1C34"/>
    <w:rsid w:val="009B1CE1"/>
    <w:rsid w:val="009B2361"/>
    <w:rsid w:val="009B2450"/>
    <w:rsid w:val="009B25D5"/>
    <w:rsid w:val="009B2739"/>
    <w:rsid w:val="009B28EA"/>
    <w:rsid w:val="009B2CA4"/>
    <w:rsid w:val="009B35AA"/>
    <w:rsid w:val="009B40AA"/>
    <w:rsid w:val="009B40B3"/>
    <w:rsid w:val="009B40B4"/>
    <w:rsid w:val="009B414A"/>
    <w:rsid w:val="009B414D"/>
    <w:rsid w:val="009B43A4"/>
    <w:rsid w:val="009B43D4"/>
    <w:rsid w:val="009B4475"/>
    <w:rsid w:val="009B4484"/>
    <w:rsid w:val="009B46A8"/>
    <w:rsid w:val="009B4888"/>
    <w:rsid w:val="009B48AE"/>
    <w:rsid w:val="009B4DF8"/>
    <w:rsid w:val="009B4F31"/>
    <w:rsid w:val="009B504C"/>
    <w:rsid w:val="009B5463"/>
    <w:rsid w:val="009B55F2"/>
    <w:rsid w:val="009B5A51"/>
    <w:rsid w:val="009B5C05"/>
    <w:rsid w:val="009B5CBD"/>
    <w:rsid w:val="009B5F1B"/>
    <w:rsid w:val="009B60F5"/>
    <w:rsid w:val="009B62F9"/>
    <w:rsid w:val="009B6457"/>
    <w:rsid w:val="009B6565"/>
    <w:rsid w:val="009B66D6"/>
    <w:rsid w:val="009B6BBB"/>
    <w:rsid w:val="009B6C13"/>
    <w:rsid w:val="009B73D6"/>
    <w:rsid w:val="009B7415"/>
    <w:rsid w:val="009B74DD"/>
    <w:rsid w:val="009B7558"/>
    <w:rsid w:val="009B775C"/>
    <w:rsid w:val="009B7845"/>
    <w:rsid w:val="009B786F"/>
    <w:rsid w:val="009B7A37"/>
    <w:rsid w:val="009B7A97"/>
    <w:rsid w:val="009C0156"/>
    <w:rsid w:val="009C02AF"/>
    <w:rsid w:val="009C0A3E"/>
    <w:rsid w:val="009C0D3A"/>
    <w:rsid w:val="009C0E89"/>
    <w:rsid w:val="009C107E"/>
    <w:rsid w:val="009C156A"/>
    <w:rsid w:val="009C1930"/>
    <w:rsid w:val="009C1B8E"/>
    <w:rsid w:val="009C1C04"/>
    <w:rsid w:val="009C1D03"/>
    <w:rsid w:val="009C1E44"/>
    <w:rsid w:val="009C261D"/>
    <w:rsid w:val="009C26FE"/>
    <w:rsid w:val="009C29B8"/>
    <w:rsid w:val="009C2A09"/>
    <w:rsid w:val="009C2A46"/>
    <w:rsid w:val="009C2F0E"/>
    <w:rsid w:val="009C2F80"/>
    <w:rsid w:val="009C3322"/>
    <w:rsid w:val="009C3C27"/>
    <w:rsid w:val="009C3DA8"/>
    <w:rsid w:val="009C3DE0"/>
    <w:rsid w:val="009C40D6"/>
    <w:rsid w:val="009C47EC"/>
    <w:rsid w:val="009C494B"/>
    <w:rsid w:val="009C4AC0"/>
    <w:rsid w:val="009C4AFC"/>
    <w:rsid w:val="009C4B7A"/>
    <w:rsid w:val="009C4C7D"/>
    <w:rsid w:val="009C4D87"/>
    <w:rsid w:val="009C4FB4"/>
    <w:rsid w:val="009C515D"/>
    <w:rsid w:val="009C517C"/>
    <w:rsid w:val="009C519E"/>
    <w:rsid w:val="009C5366"/>
    <w:rsid w:val="009C5461"/>
    <w:rsid w:val="009C57BD"/>
    <w:rsid w:val="009C5872"/>
    <w:rsid w:val="009C5924"/>
    <w:rsid w:val="009C59C1"/>
    <w:rsid w:val="009C5C37"/>
    <w:rsid w:val="009C6581"/>
    <w:rsid w:val="009C6652"/>
    <w:rsid w:val="009C6839"/>
    <w:rsid w:val="009C6C65"/>
    <w:rsid w:val="009C7273"/>
    <w:rsid w:val="009C72E1"/>
    <w:rsid w:val="009C73F8"/>
    <w:rsid w:val="009C7408"/>
    <w:rsid w:val="009C7461"/>
    <w:rsid w:val="009C7648"/>
    <w:rsid w:val="009C7662"/>
    <w:rsid w:val="009C77BF"/>
    <w:rsid w:val="009C7923"/>
    <w:rsid w:val="009C7A41"/>
    <w:rsid w:val="009C7D61"/>
    <w:rsid w:val="009C7E3B"/>
    <w:rsid w:val="009D00AA"/>
    <w:rsid w:val="009D0101"/>
    <w:rsid w:val="009D070F"/>
    <w:rsid w:val="009D0815"/>
    <w:rsid w:val="009D0904"/>
    <w:rsid w:val="009D0A3C"/>
    <w:rsid w:val="009D0DD3"/>
    <w:rsid w:val="009D0F9A"/>
    <w:rsid w:val="009D167D"/>
    <w:rsid w:val="009D1834"/>
    <w:rsid w:val="009D190E"/>
    <w:rsid w:val="009D1B7C"/>
    <w:rsid w:val="009D1ECB"/>
    <w:rsid w:val="009D1EE0"/>
    <w:rsid w:val="009D2269"/>
    <w:rsid w:val="009D23DE"/>
    <w:rsid w:val="009D24AD"/>
    <w:rsid w:val="009D2A6E"/>
    <w:rsid w:val="009D2CBC"/>
    <w:rsid w:val="009D31D6"/>
    <w:rsid w:val="009D363D"/>
    <w:rsid w:val="009D36C6"/>
    <w:rsid w:val="009D3C4B"/>
    <w:rsid w:val="009D3CDE"/>
    <w:rsid w:val="009D3F41"/>
    <w:rsid w:val="009D418A"/>
    <w:rsid w:val="009D4231"/>
    <w:rsid w:val="009D4400"/>
    <w:rsid w:val="009D455D"/>
    <w:rsid w:val="009D4795"/>
    <w:rsid w:val="009D4B20"/>
    <w:rsid w:val="009D4D1A"/>
    <w:rsid w:val="009D4E3D"/>
    <w:rsid w:val="009D4F36"/>
    <w:rsid w:val="009D52FF"/>
    <w:rsid w:val="009D5803"/>
    <w:rsid w:val="009D59BF"/>
    <w:rsid w:val="009D5C51"/>
    <w:rsid w:val="009D5E15"/>
    <w:rsid w:val="009D6825"/>
    <w:rsid w:val="009D6865"/>
    <w:rsid w:val="009D6EE0"/>
    <w:rsid w:val="009D7057"/>
    <w:rsid w:val="009D7146"/>
    <w:rsid w:val="009D7676"/>
    <w:rsid w:val="009D79BE"/>
    <w:rsid w:val="009D7B58"/>
    <w:rsid w:val="009D7BBD"/>
    <w:rsid w:val="009D7CC4"/>
    <w:rsid w:val="009E0A11"/>
    <w:rsid w:val="009E0A62"/>
    <w:rsid w:val="009E0A78"/>
    <w:rsid w:val="009E0DC5"/>
    <w:rsid w:val="009E0E2C"/>
    <w:rsid w:val="009E130C"/>
    <w:rsid w:val="009E13C8"/>
    <w:rsid w:val="009E13E5"/>
    <w:rsid w:val="009E1658"/>
    <w:rsid w:val="009E1C50"/>
    <w:rsid w:val="009E1F4D"/>
    <w:rsid w:val="009E21B9"/>
    <w:rsid w:val="009E26BA"/>
    <w:rsid w:val="009E27F1"/>
    <w:rsid w:val="009E2872"/>
    <w:rsid w:val="009E29C3"/>
    <w:rsid w:val="009E2B4F"/>
    <w:rsid w:val="009E2C60"/>
    <w:rsid w:val="009E2DB0"/>
    <w:rsid w:val="009E2FC7"/>
    <w:rsid w:val="009E31AE"/>
    <w:rsid w:val="009E31F9"/>
    <w:rsid w:val="009E34EE"/>
    <w:rsid w:val="009E3858"/>
    <w:rsid w:val="009E38A8"/>
    <w:rsid w:val="009E4179"/>
    <w:rsid w:val="009E4403"/>
    <w:rsid w:val="009E4693"/>
    <w:rsid w:val="009E47EF"/>
    <w:rsid w:val="009E4E2F"/>
    <w:rsid w:val="009E504C"/>
    <w:rsid w:val="009E511E"/>
    <w:rsid w:val="009E5A30"/>
    <w:rsid w:val="009E5E0E"/>
    <w:rsid w:val="009E5FCD"/>
    <w:rsid w:val="009E6057"/>
    <w:rsid w:val="009E6106"/>
    <w:rsid w:val="009E61F6"/>
    <w:rsid w:val="009E6227"/>
    <w:rsid w:val="009E65EA"/>
    <w:rsid w:val="009E6975"/>
    <w:rsid w:val="009E6A7A"/>
    <w:rsid w:val="009E6B1A"/>
    <w:rsid w:val="009E6B1B"/>
    <w:rsid w:val="009E6DF5"/>
    <w:rsid w:val="009E6E5A"/>
    <w:rsid w:val="009E71EC"/>
    <w:rsid w:val="009E7339"/>
    <w:rsid w:val="009E738F"/>
    <w:rsid w:val="009E7434"/>
    <w:rsid w:val="009E7490"/>
    <w:rsid w:val="009E7A8B"/>
    <w:rsid w:val="009F0001"/>
    <w:rsid w:val="009F01F6"/>
    <w:rsid w:val="009F032E"/>
    <w:rsid w:val="009F060A"/>
    <w:rsid w:val="009F09D9"/>
    <w:rsid w:val="009F0C3B"/>
    <w:rsid w:val="009F13DF"/>
    <w:rsid w:val="009F148F"/>
    <w:rsid w:val="009F1650"/>
    <w:rsid w:val="009F1725"/>
    <w:rsid w:val="009F176D"/>
    <w:rsid w:val="009F18AA"/>
    <w:rsid w:val="009F1C6A"/>
    <w:rsid w:val="009F246F"/>
    <w:rsid w:val="009F259A"/>
    <w:rsid w:val="009F2707"/>
    <w:rsid w:val="009F276C"/>
    <w:rsid w:val="009F278B"/>
    <w:rsid w:val="009F28A0"/>
    <w:rsid w:val="009F313B"/>
    <w:rsid w:val="009F371C"/>
    <w:rsid w:val="009F3E93"/>
    <w:rsid w:val="009F3EB7"/>
    <w:rsid w:val="009F4089"/>
    <w:rsid w:val="009F432C"/>
    <w:rsid w:val="009F48E2"/>
    <w:rsid w:val="009F4927"/>
    <w:rsid w:val="009F49A2"/>
    <w:rsid w:val="009F5405"/>
    <w:rsid w:val="009F5591"/>
    <w:rsid w:val="009F5B38"/>
    <w:rsid w:val="009F5D40"/>
    <w:rsid w:val="009F5F2D"/>
    <w:rsid w:val="009F61E8"/>
    <w:rsid w:val="009F62EB"/>
    <w:rsid w:val="009F638B"/>
    <w:rsid w:val="009F65CD"/>
    <w:rsid w:val="009F67E8"/>
    <w:rsid w:val="009F68F2"/>
    <w:rsid w:val="009F6BB8"/>
    <w:rsid w:val="009F72D9"/>
    <w:rsid w:val="009F796C"/>
    <w:rsid w:val="009F7BA1"/>
    <w:rsid w:val="009F7C02"/>
    <w:rsid w:val="009F7CEF"/>
    <w:rsid w:val="00A00343"/>
    <w:rsid w:val="00A0073F"/>
    <w:rsid w:val="00A00C71"/>
    <w:rsid w:val="00A013E8"/>
    <w:rsid w:val="00A01502"/>
    <w:rsid w:val="00A019EC"/>
    <w:rsid w:val="00A01C00"/>
    <w:rsid w:val="00A01D02"/>
    <w:rsid w:val="00A020A7"/>
    <w:rsid w:val="00A0228E"/>
    <w:rsid w:val="00A02373"/>
    <w:rsid w:val="00A02815"/>
    <w:rsid w:val="00A02884"/>
    <w:rsid w:val="00A02945"/>
    <w:rsid w:val="00A02956"/>
    <w:rsid w:val="00A02DA8"/>
    <w:rsid w:val="00A0327C"/>
    <w:rsid w:val="00A0374A"/>
    <w:rsid w:val="00A03A31"/>
    <w:rsid w:val="00A03CCB"/>
    <w:rsid w:val="00A03CD4"/>
    <w:rsid w:val="00A03CFF"/>
    <w:rsid w:val="00A03FA4"/>
    <w:rsid w:val="00A03FE4"/>
    <w:rsid w:val="00A0402F"/>
    <w:rsid w:val="00A040C9"/>
    <w:rsid w:val="00A043CA"/>
    <w:rsid w:val="00A0443E"/>
    <w:rsid w:val="00A04EB9"/>
    <w:rsid w:val="00A05196"/>
    <w:rsid w:val="00A052DC"/>
    <w:rsid w:val="00A053CE"/>
    <w:rsid w:val="00A05504"/>
    <w:rsid w:val="00A0576A"/>
    <w:rsid w:val="00A05AA9"/>
    <w:rsid w:val="00A05D5B"/>
    <w:rsid w:val="00A06007"/>
    <w:rsid w:val="00A0611F"/>
    <w:rsid w:val="00A06424"/>
    <w:rsid w:val="00A06792"/>
    <w:rsid w:val="00A067BA"/>
    <w:rsid w:val="00A06BCA"/>
    <w:rsid w:val="00A06C3E"/>
    <w:rsid w:val="00A06DC9"/>
    <w:rsid w:val="00A06EEB"/>
    <w:rsid w:val="00A0715A"/>
    <w:rsid w:val="00A07607"/>
    <w:rsid w:val="00A07748"/>
    <w:rsid w:val="00A07A6F"/>
    <w:rsid w:val="00A07D3F"/>
    <w:rsid w:val="00A07DCF"/>
    <w:rsid w:val="00A0DAC0"/>
    <w:rsid w:val="00A101C3"/>
    <w:rsid w:val="00A1044E"/>
    <w:rsid w:val="00A106B5"/>
    <w:rsid w:val="00A10C51"/>
    <w:rsid w:val="00A10E1D"/>
    <w:rsid w:val="00A10E4D"/>
    <w:rsid w:val="00A1124D"/>
    <w:rsid w:val="00A113E2"/>
    <w:rsid w:val="00A1142E"/>
    <w:rsid w:val="00A115E3"/>
    <w:rsid w:val="00A11B36"/>
    <w:rsid w:val="00A11C05"/>
    <w:rsid w:val="00A11CD7"/>
    <w:rsid w:val="00A11E5B"/>
    <w:rsid w:val="00A11EF8"/>
    <w:rsid w:val="00A11F2F"/>
    <w:rsid w:val="00A11FC7"/>
    <w:rsid w:val="00A1204D"/>
    <w:rsid w:val="00A12437"/>
    <w:rsid w:val="00A12909"/>
    <w:rsid w:val="00A129EC"/>
    <w:rsid w:val="00A12A89"/>
    <w:rsid w:val="00A12AF4"/>
    <w:rsid w:val="00A12B4A"/>
    <w:rsid w:val="00A12BDB"/>
    <w:rsid w:val="00A13056"/>
    <w:rsid w:val="00A1353B"/>
    <w:rsid w:val="00A13668"/>
    <w:rsid w:val="00A13855"/>
    <w:rsid w:val="00A13943"/>
    <w:rsid w:val="00A13A02"/>
    <w:rsid w:val="00A13A37"/>
    <w:rsid w:val="00A13AAD"/>
    <w:rsid w:val="00A13AD4"/>
    <w:rsid w:val="00A13E06"/>
    <w:rsid w:val="00A13F79"/>
    <w:rsid w:val="00A1519E"/>
    <w:rsid w:val="00A15358"/>
    <w:rsid w:val="00A156C7"/>
    <w:rsid w:val="00A15789"/>
    <w:rsid w:val="00A1584F"/>
    <w:rsid w:val="00A158E2"/>
    <w:rsid w:val="00A15995"/>
    <w:rsid w:val="00A159EA"/>
    <w:rsid w:val="00A15DCB"/>
    <w:rsid w:val="00A16029"/>
    <w:rsid w:val="00A16141"/>
    <w:rsid w:val="00A161BA"/>
    <w:rsid w:val="00A161F0"/>
    <w:rsid w:val="00A1620B"/>
    <w:rsid w:val="00A165CA"/>
    <w:rsid w:val="00A1677D"/>
    <w:rsid w:val="00A16A34"/>
    <w:rsid w:val="00A16E7C"/>
    <w:rsid w:val="00A170BF"/>
    <w:rsid w:val="00A17848"/>
    <w:rsid w:val="00A178A5"/>
    <w:rsid w:val="00A17C32"/>
    <w:rsid w:val="00A20151"/>
    <w:rsid w:val="00A20360"/>
    <w:rsid w:val="00A207E1"/>
    <w:rsid w:val="00A208AE"/>
    <w:rsid w:val="00A20A6E"/>
    <w:rsid w:val="00A20AB4"/>
    <w:rsid w:val="00A211D3"/>
    <w:rsid w:val="00A21637"/>
    <w:rsid w:val="00A219C7"/>
    <w:rsid w:val="00A21B19"/>
    <w:rsid w:val="00A21BED"/>
    <w:rsid w:val="00A21E06"/>
    <w:rsid w:val="00A21E67"/>
    <w:rsid w:val="00A21EC7"/>
    <w:rsid w:val="00A22206"/>
    <w:rsid w:val="00A22280"/>
    <w:rsid w:val="00A2240A"/>
    <w:rsid w:val="00A224F7"/>
    <w:rsid w:val="00A225F5"/>
    <w:rsid w:val="00A22B8A"/>
    <w:rsid w:val="00A22BB3"/>
    <w:rsid w:val="00A22CD5"/>
    <w:rsid w:val="00A234CA"/>
    <w:rsid w:val="00A23C75"/>
    <w:rsid w:val="00A23C87"/>
    <w:rsid w:val="00A23C9E"/>
    <w:rsid w:val="00A2471F"/>
    <w:rsid w:val="00A2486F"/>
    <w:rsid w:val="00A24A5D"/>
    <w:rsid w:val="00A24D75"/>
    <w:rsid w:val="00A24F51"/>
    <w:rsid w:val="00A2526E"/>
    <w:rsid w:val="00A2566E"/>
    <w:rsid w:val="00A25A1A"/>
    <w:rsid w:val="00A25B4C"/>
    <w:rsid w:val="00A25C9A"/>
    <w:rsid w:val="00A2640A"/>
    <w:rsid w:val="00A2649E"/>
    <w:rsid w:val="00A2681D"/>
    <w:rsid w:val="00A26979"/>
    <w:rsid w:val="00A26F0E"/>
    <w:rsid w:val="00A273EE"/>
    <w:rsid w:val="00A27470"/>
    <w:rsid w:val="00A2790B"/>
    <w:rsid w:val="00A27AE6"/>
    <w:rsid w:val="00A3002E"/>
    <w:rsid w:val="00A30424"/>
    <w:rsid w:val="00A30515"/>
    <w:rsid w:val="00A308FE"/>
    <w:rsid w:val="00A3094F"/>
    <w:rsid w:val="00A30FC1"/>
    <w:rsid w:val="00A3122F"/>
    <w:rsid w:val="00A312B7"/>
    <w:rsid w:val="00A31662"/>
    <w:rsid w:val="00A317AF"/>
    <w:rsid w:val="00A31ECC"/>
    <w:rsid w:val="00A31FA2"/>
    <w:rsid w:val="00A321F5"/>
    <w:rsid w:val="00A32CA3"/>
    <w:rsid w:val="00A32E91"/>
    <w:rsid w:val="00A33821"/>
    <w:rsid w:val="00A3388A"/>
    <w:rsid w:val="00A338D4"/>
    <w:rsid w:val="00A33A94"/>
    <w:rsid w:val="00A33BDF"/>
    <w:rsid w:val="00A33D77"/>
    <w:rsid w:val="00A3406C"/>
    <w:rsid w:val="00A3414C"/>
    <w:rsid w:val="00A343F0"/>
    <w:rsid w:val="00A3454C"/>
    <w:rsid w:val="00A34F73"/>
    <w:rsid w:val="00A351FA"/>
    <w:rsid w:val="00A35508"/>
    <w:rsid w:val="00A35831"/>
    <w:rsid w:val="00A35A07"/>
    <w:rsid w:val="00A35AFB"/>
    <w:rsid w:val="00A35C52"/>
    <w:rsid w:val="00A35CD7"/>
    <w:rsid w:val="00A35CE8"/>
    <w:rsid w:val="00A35E49"/>
    <w:rsid w:val="00A36248"/>
    <w:rsid w:val="00A362C5"/>
    <w:rsid w:val="00A36681"/>
    <w:rsid w:val="00A368C3"/>
    <w:rsid w:val="00A368EF"/>
    <w:rsid w:val="00A36A82"/>
    <w:rsid w:val="00A36A83"/>
    <w:rsid w:val="00A371C7"/>
    <w:rsid w:val="00A373F2"/>
    <w:rsid w:val="00A37797"/>
    <w:rsid w:val="00A379F1"/>
    <w:rsid w:val="00A37E62"/>
    <w:rsid w:val="00A37FC9"/>
    <w:rsid w:val="00A40390"/>
    <w:rsid w:val="00A40EAE"/>
    <w:rsid w:val="00A4187A"/>
    <w:rsid w:val="00A418BF"/>
    <w:rsid w:val="00A41B51"/>
    <w:rsid w:val="00A41D8A"/>
    <w:rsid w:val="00A41DE8"/>
    <w:rsid w:val="00A41F55"/>
    <w:rsid w:val="00A4231A"/>
    <w:rsid w:val="00A423A1"/>
    <w:rsid w:val="00A427E4"/>
    <w:rsid w:val="00A4288D"/>
    <w:rsid w:val="00A4290E"/>
    <w:rsid w:val="00A4292C"/>
    <w:rsid w:val="00A42B1A"/>
    <w:rsid w:val="00A42EE7"/>
    <w:rsid w:val="00A435F2"/>
    <w:rsid w:val="00A4399A"/>
    <w:rsid w:val="00A43BB3"/>
    <w:rsid w:val="00A43F35"/>
    <w:rsid w:val="00A44648"/>
    <w:rsid w:val="00A44991"/>
    <w:rsid w:val="00A44AA9"/>
    <w:rsid w:val="00A44B47"/>
    <w:rsid w:val="00A44D24"/>
    <w:rsid w:val="00A455DA"/>
    <w:rsid w:val="00A45641"/>
    <w:rsid w:val="00A4566D"/>
    <w:rsid w:val="00A456EF"/>
    <w:rsid w:val="00A4582F"/>
    <w:rsid w:val="00A45F7E"/>
    <w:rsid w:val="00A460FB"/>
    <w:rsid w:val="00A4621D"/>
    <w:rsid w:val="00A464A9"/>
    <w:rsid w:val="00A46887"/>
    <w:rsid w:val="00A46BAF"/>
    <w:rsid w:val="00A46C85"/>
    <w:rsid w:val="00A46EE5"/>
    <w:rsid w:val="00A47049"/>
    <w:rsid w:val="00A470C2"/>
    <w:rsid w:val="00A47165"/>
    <w:rsid w:val="00A47589"/>
    <w:rsid w:val="00A47CF8"/>
    <w:rsid w:val="00A47D07"/>
    <w:rsid w:val="00A47EAC"/>
    <w:rsid w:val="00A50396"/>
    <w:rsid w:val="00A505C2"/>
    <w:rsid w:val="00A5081E"/>
    <w:rsid w:val="00A50921"/>
    <w:rsid w:val="00A50A59"/>
    <w:rsid w:val="00A50A8B"/>
    <w:rsid w:val="00A50B40"/>
    <w:rsid w:val="00A50D38"/>
    <w:rsid w:val="00A50FD3"/>
    <w:rsid w:val="00A513AA"/>
    <w:rsid w:val="00A515CA"/>
    <w:rsid w:val="00A517E5"/>
    <w:rsid w:val="00A51B6F"/>
    <w:rsid w:val="00A51B72"/>
    <w:rsid w:val="00A51D64"/>
    <w:rsid w:val="00A51EB4"/>
    <w:rsid w:val="00A52144"/>
    <w:rsid w:val="00A521FB"/>
    <w:rsid w:val="00A523B4"/>
    <w:rsid w:val="00A52679"/>
    <w:rsid w:val="00A5277E"/>
    <w:rsid w:val="00A5278A"/>
    <w:rsid w:val="00A531C5"/>
    <w:rsid w:val="00A53832"/>
    <w:rsid w:val="00A5394E"/>
    <w:rsid w:val="00A53C06"/>
    <w:rsid w:val="00A53E99"/>
    <w:rsid w:val="00A53F4B"/>
    <w:rsid w:val="00A543B4"/>
    <w:rsid w:val="00A54489"/>
    <w:rsid w:val="00A54649"/>
    <w:rsid w:val="00A5480E"/>
    <w:rsid w:val="00A54EC2"/>
    <w:rsid w:val="00A54F44"/>
    <w:rsid w:val="00A556D6"/>
    <w:rsid w:val="00A5588F"/>
    <w:rsid w:val="00A55ACA"/>
    <w:rsid w:val="00A56495"/>
    <w:rsid w:val="00A56CD0"/>
    <w:rsid w:val="00A56CF1"/>
    <w:rsid w:val="00A56DAB"/>
    <w:rsid w:val="00A56E16"/>
    <w:rsid w:val="00A56E19"/>
    <w:rsid w:val="00A56FAD"/>
    <w:rsid w:val="00A57451"/>
    <w:rsid w:val="00A57645"/>
    <w:rsid w:val="00A5772B"/>
    <w:rsid w:val="00A57CAD"/>
    <w:rsid w:val="00A57F18"/>
    <w:rsid w:val="00A57FAF"/>
    <w:rsid w:val="00A60062"/>
    <w:rsid w:val="00A605D0"/>
    <w:rsid w:val="00A6068E"/>
    <w:rsid w:val="00A60C56"/>
    <w:rsid w:val="00A60DEE"/>
    <w:rsid w:val="00A61052"/>
    <w:rsid w:val="00A61448"/>
    <w:rsid w:val="00A6169F"/>
    <w:rsid w:val="00A616E3"/>
    <w:rsid w:val="00A616F9"/>
    <w:rsid w:val="00A61748"/>
    <w:rsid w:val="00A61C6B"/>
    <w:rsid w:val="00A62402"/>
    <w:rsid w:val="00A62B5B"/>
    <w:rsid w:val="00A633D4"/>
    <w:rsid w:val="00A63426"/>
    <w:rsid w:val="00A63487"/>
    <w:rsid w:val="00A63733"/>
    <w:rsid w:val="00A63BE0"/>
    <w:rsid w:val="00A63C0F"/>
    <w:rsid w:val="00A63C53"/>
    <w:rsid w:val="00A642E3"/>
    <w:rsid w:val="00A64EB4"/>
    <w:rsid w:val="00A64FA5"/>
    <w:rsid w:val="00A650E2"/>
    <w:rsid w:val="00A6521A"/>
    <w:rsid w:val="00A6533F"/>
    <w:rsid w:val="00A655E7"/>
    <w:rsid w:val="00A6584B"/>
    <w:rsid w:val="00A65B51"/>
    <w:rsid w:val="00A65C88"/>
    <w:rsid w:val="00A65CEC"/>
    <w:rsid w:val="00A65FFE"/>
    <w:rsid w:val="00A66466"/>
    <w:rsid w:val="00A66702"/>
    <w:rsid w:val="00A6679F"/>
    <w:rsid w:val="00A66CDD"/>
    <w:rsid w:val="00A66E1E"/>
    <w:rsid w:val="00A670D9"/>
    <w:rsid w:val="00A6736D"/>
    <w:rsid w:val="00A677CE"/>
    <w:rsid w:val="00A67A35"/>
    <w:rsid w:val="00A67BAB"/>
    <w:rsid w:val="00A700AB"/>
    <w:rsid w:val="00A70BC1"/>
    <w:rsid w:val="00A70C52"/>
    <w:rsid w:val="00A70EE6"/>
    <w:rsid w:val="00A7156A"/>
    <w:rsid w:val="00A71633"/>
    <w:rsid w:val="00A71724"/>
    <w:rsid w:val="00A71A6A"/>
    <w:rsid w:val="00A71E72"/>
    <w:rsid w:val="00A7219E"/>
    <w:rsid w:val="00A721C7"/>
    <w:rsid w:val="00A722CE"/>
    <w:rsid w:val="00A722DF"/>
    <w:rsid w:val="00A7270D"/>
    <w:rsid w:val="00A7282B"/>
    <w:rsid w:val="00A72919"/>
    <w:rsid w:val="00A72A3D"/>
    <w:rsid w:val="00A73096"/>
    <w:rsid w:val="00A73130"/>
    <w:rsid w:val="00A7322E"/>
    <w:rsid w:val="00A73360"/>
    <w:rsid w:val="00A735FE"/>
    <w:rsid w:val="00A73F3C"/>
    <w:rsid w:val="00A740D2"/>
    <w:rsid w:val="00A740E4"/>
    <w:rsid w:val="00A7425D"/>
    <w:rsid w:val="00A74288"/>
    <w:rsid w:val="00A74629"/>
    <w:rsid w:val="00A74784"/>
    <w:rsid w:val="00A74A2E"/>
    <w:rsid w:val="00A74AC1"/>
    <w:rsid w:val="00A74CC9"/>
    <w:rsid w:val="00A74F05"/>
    <w:rsid w:val="00A74F7E"/>
    <w:rsid w:val="00A754FA"/>
    <w:rsid w:val="00A756AC"/>
    <w:rsid w:val="00A75906"/>
    <w:rsid w:val="00A759CC"/>
    <w:rsid w:val="00A75A54"/>
    <w:rsid w:val="00A75D66"/>
    <w:rsid w:val="00A75EC9"/>
    <w:rsid w:val="00A75FAA"/>
    <w:rsid w:val="00A760F3"/>
    <w:rsid w:val="00A7614E"/>
    <w:rsid w:val="00A762CE"/>
    <w:rsid w:val="00A76331"/>
    <w:rsid w:val="00A76361"/>
    <w:rsid w:val="00A765E3"/>
    <w:rsid w:val="00A77117"/>
    <w:rsid w:val="00A77D37"/>
    <w:rsid w:val="00A77E5B"/>
    <w:rsid w:val="00A80982"/>
    <w:rsid w:val="00A80F33"/>
    <w:rsid w:val="00A80F41"/>
    <w:rsid w:val="00A80FAE"/>
    <w:rsid w:val="00A814DD"/>
    <w:rsid w:val="00A8164A"/>
    <w:rsid w:val="00A81DD9"/>
    <w:rsid w:val="00A821BC"/>
    <w:rsid w:val="00A822A1"/>
    <w:rsid w:val="00A822C9"/>
    <w:rsid w:val="00A825AF"/>
    <w:rsid w:val="00A8264F"/>
    <w:rsid w:val="00A829B2"/>
    <w:rsid w:val="00A82D0B"/>
    <w:rsid w:val="00A82D86"/>
    <w:rsid w:val="00A82F25"/>
    <w:rsid w:val="00A8339E"/>
    <w:rsid w:val="00A836C7"/>
    <w:rsid w:val="00A837B2"/>
    <w:rsid w:val="00A837DE"/>
    <w:rsid w:val="00A83CA3"/>
    <w:rsid w:val="00A83FDB"/>
    <w:rsid w:val="00A8410C"/>
    <w:rsid w:val="00A841DB"/>
    <w:rsid w:val="00A84348"/>
    <w:rsid w:val="00A84586"/>
    <w:rsid w:val="00A8462D"/>
    <w:rsid w:val="00A8472D"/>
    <w:rsid w:val="00A8474D"/>
    <w:rsid w:val="00A8474F"/>
    <w:rsid w:val="00A84C1B"/>
    <w:rsid w:val="00A84EBF"/>
    <w:rsid w:val="00A84FC7"/>
    <w:rsid w:val="00A84FEE"/>
    <w:rsid w:val="00A853B2"/>
    <w:rsid w:val="00A853CD"/>
    <w:rsid w:val="00A853F6"/>
    <w:rsid w:val="00A8555C"/>
    <w:rsid w:val="00A85729"/>
    <w:rsid w:val="00A85BD2"/>
    <w:rsid w:val="00A85FDF"/>
    <w:rsid w:val="00A861D6"/>
    <w:rsid w:val="00A8623D"/>
    <w:rsid w:val="00A864CD"/>
    <w:rsid w:val="00A866DF"/>
    <w:rsid w:val="00A8727F"/>
    <w:rsid w:val="00A8754F"/>
    <w:rsid w:val="00A8769B"/>
    <w:rsid w:val="00A87A51"/>
    <w:rsid w:val="00A87C6D"/>
    <w:rsid w:val="00A87F39"/>
    <w:rsid w:val="00A8FC52"/>
    <w:rsid w:val="00A90084"/>
    <w:rsid w:val="00A901A5"/>
    <w:rsid w:val="00A9029E"/>
    <w:rsid w:val="00A902C6"/>
    <w:rsid w:val="00A9052D"/>
    <w:rsid w:val="00A905F8"/>
    <w:rsid w:val="00A9075D"/>
    <w:rsid w:val="00A90A5F"/>
    <w:rsid w:val="00A90A7D"/>
    <w:rsid w:val="00A90B10"/>
    <w:rsid w:val="00A90C1F"/>
    <w:rsid w:val="00A90CE5"/>
    <w:rsid w:val="00A90E7C"/>
    <w:rsid w:val="00A9114E"/>
    <w:rsid w:val="00A91313"/>
    <w:rsid w:val="00A9153E"/>
    <w:rsid w:val="00A91AFF"/>
    <w:rsid w:val="00A92539"/>
    <w:rsid w:val="00A92925"/>
    <w:rsid w:val="00A92BE5"/>
    <w:rsid w:val="00A92D60"/>
    <w:rsid w:val="00A92F84"/>
    <w:rsid w:val="00A932A2"/>
    <w:rsid w:val="00A93324"/>
    <w:rsid w:val="00A936F5"/>
    <w:rsid w:val="00A93BA7"/>
    <w:rsid w:val="00A93D6C"/>
    <w:rsid w:val="00A93DEA"/>
    <w:rsid w:val="00A93F46"/>
    <w:rsid w:val="00A94364"/>
    <w:rsid w:val="00A94373"/>
    <w:rsid w:val="00A943C9"/>
    <w:rsid w:val="00A953DC"/>
    <w:rsid w:val="00A95B60"/>
    <w:rsid w:val="00A95E27"/>
    <w:rsid w:val="00A95E70"/>
    <w:rsid w:val="00A96017"/>
    <w:rsid w:val="00A96D63"/>
    <w:rsid w:val="00A96E44"/>
    <w:rsid w:val="00A97083"/>
    <w:rsid w:val="00A970C6"/>
    <w:rsid w:val="00A974BC"/>
    <w:rsid w:val="00A97926"/>
    <w:rsid w:val="00A97963"/>
    <w:rsid w:val="00A97EB7"/>
    <w:rsid w:val="00AA01F0"/>
    <w:rsid w:val="00AA0326"/>
    <w:rsid w:val="00AA0455"/>
    <w:rsid w:val="00AA05E3"/>
    <w:rsid w:val="00AA0A95"/>
    <w:rsid w:val="00AA0BDC"/>
    <w:rsid w:val="00AA0E37"/>
    <w:rsid w:val="00AA0F95"/>
    <w:rsid w:val="00AA109E"/>
    <w:rsid w:val="00AA11D1"/>
    <w:rsid w:val="00AA14C0"/>
    <w:rsid w:val="00AA1615"/>
    <w:rsid w:val="00AA19A6"/>
    <w:rsid w:val="00AA1CCE"/>
    <w:rsid w:val="00AA21DB"/>
    <w:rsid w:val="00AA2259"/>
    <w:rsid w:val="00AA297C"/>
    <w:rsid w:val="00AA2AE9"/>
    <w:rsid w:val="00AA2B38"/>
    <w:rsid w:val="00AA2BCF"/>
    <w:rsid w:val="00AA2BFE"/>
    <w:rsid w:val="00AA2C0B"/>
    <w:rsid w:val="00AA2EEE"/>
    <w:rsid w:val="00AA3109"/>
    <w:rsid w:val="00AA3392"/>
    <w:rsid w:val="00AA3509"/>
    <w:rsid w:val="00AA3A8C"/>
    <w:rsid w:val="00AA3C1B"/>
    <w:rsid w:val="00AA3DE0"/>
    <w:rsid w:val="00AA3F58"/>
    <w:rsid w:val="00AA493D"/>
    <w:rsid w:val="00AA4BFE"/>
    <w:rsid w:val="00AA4DB2"/>
    <w:rsid w:val="00AA5253"/>
    <w:rsid w:val="00AA5257"/>
    <w:rsid w:val="00AA5606"/>
    <w:rsid w:val="00AA57D4"/>
    <w:rsid w:val="00AA599A"/>
    <w:rsid w:val="00AA5B74"/>
    <w:rsid w:val="00AA5CE0"/>
    <w:rsid w:val="00AA5FB5"/>
    <w:rsid w:val="00AA603E"/>
    <w:rsid w:val="00AA610D"/>
    <w:rsid w:val="00AA626F"/>
    <w:rsid w:val="00AA6673"/>
    <w:rsid w:val="00AA68AF"/>
    <w:rsid w:val="00AA68BC"/>
    <w:rsid w:val="00AA6C32"/>
    <w:rsid w:val="00AA6FB0"/>
    <w:rsid w:val="00AA70A5"/>
    <w:rsid w:val="00AA7275"/>
    <w:rsid w:val="00AA746B"/>
    <w:rsid w:val="00AA74F9"/>
    <w:rsid w:val="00AA790C"/>
    <w:rsid w:val="00AA7958"/>
    <w:rsid w:val="00AA7A3D"/>
    <w:rsid w:val="00AA7DD1"/>
    <w:rsid w:val="00AAA69A"/>
    <w:rsid w:val="00AB011D"/>
    <w:rsid w:val="00AB033D"/>
    <w:rsid w:val="00AB06C9"/>
    <w:rsid w:val="00AB0C39"/>
    <w:rsid w:val="00AB0CBA"/>
    <w:rsid w:val="00AB0DE1"/>
    <w:rsid w:val="00AB0E8E"/>
    <w:rsid w:val="00AB104F"/>
    <w:rsid w:val="00AB1125"/>
    <w:rsid w:val="00AB1517"/>
    <w:rsid w:val="00AB1642"/>
    <w:rsid w:val="00AB1689"/>
    <w:rsid w:val="00AB174E"/>
    <w:rsid w:val="00AB1A4F"/>
    <w:rsid w:val="00AB1B89"/>
    <w:rsid w:val="00AB1EC0"/>
    <w:rsid w:val="00AB20BD"/>
    <w:rsid w:val="00AB2603"/>
    <w:rsid w:val="00AB27B9"/>
    <w:rsid w:val="00AB2809"/>
    <w:rsid w:val="00AB28B3"/>
    <w:rsid w:val="00AB2AFF"/>
    <w:rsid w:val="00AB2F44"/>
    <w:rsid w:val="00AB30F7"/>
    <w:rsid w:val="00AB3597"/>
    <w:rsid w:val="00AB36BC"/>
    <w:rsid w:val="00AB3991"/>
    <w:rsid w:val="00AB3BF4"/>
    <w:rsid w:val="00AB4419"/>
    <w:rsid w:val="00AB4590"/>
    <w:rsid w:val="00AB46BA"/>
    <w:rsid w:val="00AB477D"/>
    <w:rsid w:val="00AB4CC0"/>
    <w:rsid w:val="00AB4F5B"/>
    <w:rsid w:val="00AB5093"/>
    <w:rsid w:val="00AB599D"/>
    <w:rsid w:val="00AB5A9E"/>
    <w:rsid w:val="00AB5C9D"/>
    <w:rsid w:val="00AB5F24"/>
    <w:rsid w:val="00AB673C"/>
    <w:rsid w:val="00AB6835"/>
    <w:rsid w:val="00AB7135"/>
    <w:rsid w:val="00AB7141"/>
    <w:rsid w:val="00AB720C"/>
    <w:rsid w:val="00AB7FE8"/>
    <w:rsid w:val="00AC0124"/>
    <w:rsid w:val="00AC023C"/>
    <w:rsid w:val="00AC02A2"/>
    <w:rsid w:val="00AC0975"/>
    <w:rsid w:val="00AC0CC4"/>
    <w:rsid w:val="00AC1043"/>
    <w:rsid w:val="00AC13E1"/>
    <w:rsid w:val="00AC14C3"/>
    <w:rsid w:val="00AC158A"/>
    <w:rsid w:val="00AC19EA"/>
    <w:rsid w:val="00AC1CF4"/>
    <w:rsid w:val="00AC235F"/>
    <w:rsid w:val="00AC24F8"/>
    <w:rsid w:val="00AC2623"/>
    <w:rsid w:val="00AC26CA"/>
    <w:rsid w:val="00AC26F9"/>
    <w:rsid w:val="00AC2953"/>
    <w:rsid w:val="00AC2ADE"/>
    <w:rsid w:val="00AC2CE3"/>
    <w:rsid w:val="00AC2E11"/>
    <w:rsid w:val="00AC2F58"/>
    <w:rsid w:val="00AC2F8F"/>
    <w:rsid w:val="00AC2FB8"/>
    <w:rsid w:val="00AC3149"/>
    <w:rsid w:val="00AC32FC"/>
    <w:rsid w:val="00AC33CF"/>
    <w:rsid w:val="00AC3467"/>
    <w:rsid w:val="00AC3741"/>
    <w:rsid w:val="00AC3D58"/>
    <w:rsid w:val="00AC4318"/>
    <w:rsid w:val="00AC442A"/>
    <w:rsid w:val="00AC473E"/>
    <w:rsid w:val="00AC483D"/>
    <w:rsid w:val="00AC48BD"/>
    <w:rsid w:val="00AC4932"/>
    <w:rsid w:val="00AC4C9C"/>
    <w:rsid w:val="00AC54E9"/>
    <w:rsid w:val="00AC5ACC"/>
    <w:rsid w:val="00AC5C17"/>
    <w:rsid w:val="00AC6311"/>
    <w:rsid w:val="00AC6338"/>
    <w:rsid w:val="00AC659F"/>
    <w:rsid w:val="00AC6653"/>
    <w:rsid w:val="00AC691B"/>
    <w:rsid w:val="00AC6CE9"/>
    <w:rsid w:val="00AC6E84"/>
    <w:rsid w:val="00AC73A9"/>
    <w:rsid w:val="00AC73F7"/>
    <w:rsid w:val="00AC742B"/>
    <w:rsid w:val="00AC792E"/>
    <w:rsid w:val="00AC7A28"/>
    <w:rsid w:val="00AC7A9F"/>
    <w:rsid w:val="00AC7B41"/>
    <w:rsid w:val="00AC7DAA"/>
    <w:rsid w:val="00AD04E4"/>
    <w:rsid w:val="00AD0532"/>
    <w:rsid w:val="00AD07B5"/>
    <w:rsid w:val="00AD0896"/>
    <w:rsid w:val="00AD0B26"/>
    <w:rsid w:val="00AD0DC2"/>
    <w:rsid w:val="00AD0EDA"/>
    <w:rsid w:val="00AD0F6A"/>
    <w:rsid w:val="00AD0FAD"/>
    <w:rsid w:val="00AD11F9"/>
    <w:rsid w:val="00AD185B"/>
    <w:rsid w:val="00AD19E3"/>
    <w:rsid w:val="00AD1B12"/>
    <w:rsid w:val="00AD1B89"/>
    <w:rsid w:val="00AD1BD7"/>
    <w:rsid w:val="00AD1F9F"/>
    <w:rsid w:val="00AD24FF"/>
    <w:rsid w:val="00AD2616"/>
    <w:rsid w:val="00AD275D"/>
    <w:rsid w:val="00AD287A"/>
    <w:rsid w:val="00AD2BB3"/>
    <w:rsid w:val="00AD2CB4"/>
    <w:rsid w:val="00AD2CEA"/>
    <w:rsid w:val="00AD2DC8"/>
    <w:rsid w:val="00AD31A7"/>
    <w:rsid w:val="00AD330D"/>
    <w:rsid w:val="00AD3668"/>
    <w:rsid w:val="00AD3C1D"/>
    <w:rsid w:val="00AD3D99"/>
    <w:rsid w:val="00AD44B5"/>
    <w:rsid w:val="00AD44DF"/>
    <w:rsid w:val="00AD48EB"/>
    <w:rsid w:val="00AD4B9F"/>
    <w:rsid w:val="00AD4D62"/>
    <w:rsid w:val="00AD4EE7"/>
    <w:rsid w:val="00AD5078"/>
    <w:rsid w:val="00AD53FF"/>
    <w:rsid w:val="00AD5498"/>
    <w:rsid w:val="00AD567F"/>
    <w:rsid w:val="00AD5866"/>
    <w:rsid w:val="00AD5890"/>
    <w:rsid w:val="00AD58E0"/>
    <w:rsid w:val="00AD5A1D"/>
    <w:rsid w:val="00AD5E55"/>
    <w:rsid w:val="00AD5F9A"/>
    <w:rsid w:val="00AD6303"/>
    <w:rsid w:val="00AD67A6"/>
    <w:rsid w:val="00AD67FB"/>
    <w:rsid w:val="00AD6CA1"/>
    <w:rsid w:val="00AD6E2A"/>
    <w:rsid w:val="00AD6F72"/>
    <w:rsid w:val="00AD7075"/>
    <w:rsid w:val="00AD720A"/>
    <w:rsid w:val="00AD73BA"/>
    <w:rsid w:val="00AD776C"/>
    <w:rsid w:val="00AD7AD7"/>
    <w:rsid w:val="00AE11A4"/>
    <w:rsid w:val="00AE1333"/>
    <w:rsid w:val="00AE14D2"/>
    <w:rsid w:val="00AE14F2"/>
    <w:rsid w:val="00AE17FF"/>
    <w:rsid w:val="00AE1929"/>
    <w:rsid w:val="00AE19C0"/>
    <w:rsid w:val="00AE1A75"/>
    <w:rsid w:val="00AE1D09"/>
    <w:rsid w:val="00AE1E13"/>
    <w:rsid w:val="00AE262C"/>
    <w:rsid w:val="00AE2684"/>
    <w:rsid w:val="00AE2BE8"/>
    <w:rsid w:val="00AE2C99"/>
    <w:rsid w:val="00AE2F79"/>
    <w:rsid w:val="00AE31BE"/>
    <w:rsid w:val="00AE3381"/>
    <w:rsid w:val="00AE3534"/>
    <w:rsid w:val="00AE3695"/>
    <w:rsid w:val="00AE3D54"/>
    <w:rsid w:val="00AE3D67"/>
    <w:rsid w:val="00AE404A"/>
    <w:rsid w:val="00AE4360"/>
    <w:rsid w:val="00AE4596"/>
    <w:rsid w:val="00AE4AF4"/>
    <w:rsid w:val="00AE5004"/>
    <w:rsid w:val="00AE502A"/>
    <w:rsid w:val="00AE5075"/>
    <w:rsid w:val="00AE5107"/>
    <w:rsid w:val="00AE5236"/>
    <w:rsid w:val="00AE55FB"/>
    <w:rsid w:val="00AE5679"/>
    <w:rsid w:val="00AE586C"/>
    <w:rsid w:val="00AE5C03"/>
    <w:rsid w:val="00AE5D39"/>
    <w:rsid w:val="00AE6004"/>
    <w:rsid w:val="00AE60AA"/>
    <w:rsid w:val="00AE6184"/>
    <w:rsid w:val="00AE63C2"/>
    <w:rsid w:val="00AE640C"/>
    <w:rsid w:val="00AE64B1"/>
    <w:rsid w:val="00AE6712"/>
    <w:rsid w:val="00AE6A0C"/>
    <w:rsid w:val="00AE6EE2"/>
    <w:rsid w:val="00AE72CC"/>
    <w:rsid w:val="00AE7583"/>
    <w:rsid w:val="00AE785B"/>
    <w:rsid w:val="00AF0226"/>
    <w:rsid w:val="00AF0232"/>
    <w:rsid w:val="00AF034F"/>
    <w:rsid w:val="00AF09C6"/>
    <w:rsid w:val="00AF0CFC"/>
    <w:rsid w:val="00AF0E1D"/>
    <w:rsid w:val="00AF1489"/>
    <w:rsid w:val="00AF1796"/>
    <w:rsid w:val="00AF18CC"/>
    <w:rsid w:val="00AF1A08"/>
    <w:rsid w:val="00AF1C93"/>
    <w:rsid w:val="00AF1CED"/>
    <w:rsid w:val="00AF1EB1"/>
    <w:rsid w:val="00AF2091"/>
    <w:rsid w:val="00AF220E"/>
    <w:rsid w:val="00AF2419"/>
    <w:rsid w:val="00AF2490"/>
    <w:rsid w:val="00AF262F"/>
    <w:rsid w:val="00AF288E"/>
    <w:rsid w:val="00AF2C7E"/>
    <w:rsid w:val="00AF2D4E"/>
    <w:rsid w:val="00AF2EB4"/>
    <w:rsid w:val="00AF2FDC"/>
    <w:rsid w:val="00AF3016"/>
    <w:rsid w:val="00AF344C"/>
    <w:rsid w:val="00AF357E"/>
    <w:rsid w:val="00AF3779"/>
    <w:rsid w:val="00AF37FD"/>
    <w:rsid w:val="00AF39FB"/>
    <w:rsid w:val="00AF3C53"/>
    <w:rsid w:val="00AF3C92"/>
    <w:rsid w:val="00AF3F09"/>
    <w:rsid w:val="00AF3FFD"/>
    <w:rsid w:val="00AF407E"/>
    <w:rsid w:val="00AF41E2"/>
    <w:rsid w:val="00AF4874"/>
    <w:rsid w:val="00AF4AD3"/>
    <w:rsid w:val="00AF4BF9"/>
    <w:rsid w:val="00AF4F84"/>
    <w:rsid w:val="00AF508A"/>
    <w:rsid w:val="00AF5387"/>
    <w:rsid w:val="00AF5DC1"/>
    <w:rsid w:val="00AF5DD7"/>
    <w:rsid w:val="00AF5DDF"/>
    <w:rsid w:val="00AF615F"/>
    <w:rsid w:val="00AF650F"/>
    <w:rsid w:val="00AF672F"/>
    <w:rsid w:val="00AF6A21"/>
    <w:rsid w:val="00AF702D"/>
    <w:rsid w:val="00AF750C"/>
    <w:rsid w:val="00AF7636"/>
    <w:rsid w:val="00AF7776"/>
    <w:rsid w:val="00AF798E"/>
    <w:rsid w:val="00AF7AED"/>
    <w:rsid w:val="00AF7AFB"/>
    <w:rsid w:val="00AF7F12"/>
    <w:rsid w:val="00AF7FF7"/>
    <w:rsid w:val="00AFC5BA"/>
    <w:rsid w:val="00B002B4"/>
    <w:rsid w:val="00B003A6"/>
    <w:rsid w:val="00B00428"/>
    <w:rsid w:val="00B00886"/>
    <w:rsid w:val="00B00C25"/>
    <w:rsid w:val="00B00CEB"/>
    <w:rsid w:val="00B00F90"/>
    <w:rsid w:val="00B00F96"/>
    <w:rsid w:val="00B00FB8"/>
    <w:rsid w:val="00B01017"/>
    <w:rsid w:val="00B0135A"/>
    <w:rsid w:val="00B013AE"/>
    <w:rsid w:val="00B01432"/>
    <w:rsid w:val="00B01615"/>
    <w:rsid w:val="00B0179C"/>
    <w:rsid w:val="00B0187D"/>
    <w:rsid w:val="00B019E0"/>
    <w:rsid w:val="00B01D1A"/>
    <w:rsid w:val="00B01F0F"/>
    <w:rsid w:val="00B01F6E"/>
    <w:rsid w:val="00B02088"/>
    <w:rsid w:val="00B02193"/>
    <w:rsid w:val="00B02243"/>
    <w:rsid w:val="00B0224C"/>
    <w:rsid w:val="00B02905"/>
    <w:rsid w:val="00B03023"/>
    <w:rsid w:val="00B03157"/>
    <w:rsid w:val="00B03294"/>
    <w:rsid w:val="00B0340A"/>
    <w:rsid w:val="00B03465"/>
    <w:rsid w:val="00B034C3"/>
    <w:rsid w:val="00B038DE"/>
    <w:rsid w:val="00B039BE"/>
    <w:rsid w:val="00B03AFF"/>
    <w:rsid w:val="00B03D57"/>
    <w:rsid w:val="00B03E49"/>
    <w:rsid w:val="00B040B3"/>
    <w:rsid w:val="00B0428B"/>
    <w:rsid w:val="00B0466D"/>
    <w:rsid w:val="00B04A72"/>
    <w:rsid w:val="00B04CBF"/>
    <w:rsid w:val="00B04D69"/>
    <w:rsid w:val="00B04E23"/>
    <w:rsid w:val="00B04EA0"/>
    <w:rsid w:val="00B0518B"/>
    <w:rsid w:val="00B051E1"/>
    <w:rsid w:val="00B051EB"/>
    <w:rsid w:val="00B05287"/>
    <w:rsid w:val="00B0557A"/>
    <w:rsid w:val="00B05625"/>
    <w:rsid w:val="00B05991"/>
    <w:rsid w:val="00B05B1A"/>
    <w:rsid w:val="00B05D88"/>
    <w:rsid w:val="00B05DCF"/>
    <w:rsid w:val="00B05E72"/>
    <w:rsid w:val="00B0662B"/>
    <w:rsid w:val="00B06646"/>
    <w:rsid w:val="00B06798"/>
    <w:rsid w:val="00B067A9"/>
    <w:rsid w:val="00B06CE1"/>
    <w:rsid w:val="00B06EF8"/>
    <w:rsid w:val="00B0751B"/>
    <w:rsid w:val="00B07579"/>
    <w:rsid w:val="00B0770C"/>
    <w:rsid w:val="00B07831"/>
    <w:rsid w:val="00B079EA"/>
    <w:rsid w:val="00B07B74"/>
    <w:rsid w:val="00B07CB8"/>
    <w:rsid w:val="00B07F01"/>
    <w:rsid w:val="00B10483"/>
    <w:rsid w:val="00B107D7"/>
    <w:rsid w:val="00B10847"/>
    <w:rsid w:val="00B1088B"/>
    <w:rsid w:val="00B10B30"/>
    <w:rsid w:val="00B10D64"/>
    <w:rsid w:val="00B10F85"/>
    <w:rsid w:val="00B11753"/>
    <w:rsid w:val="00B118D0"/>
    <w:rsid w:val="00B11AFA"/>
    <w:rsid w:val="00B11C70"/>
    <w:rsid w:val="00B1297E"/>
    <w:rsid w:val="00B12D22"/>
    <w:rsid w:val="00B12F8B"/>
    <w:rsid w:val="00B13191"/>
    <w:rsid w:val="00B13609"/>
    <w:rsid w:val="00B136FB"/>
    <w:rsid w:val="00B13734"/>
    <w:rsid w:val="00B139AE"/>
    <w:rsid w:val="00B13D7A"/>
    <w:rsid w:val="00B14006"/>
    <w:rsid w:val="00B141DD"/>
    <w:rsid w:val="00B1453B"/>
    <w:rsid w:val="00B14555"/>
    <w:rsid w:val="00B14588"/>
    <w:rsid w:val="00B1474B"/>
    <w:rsid w:val="00B148C6"/>
    <w:rsid w:val="00B1490E"/>
    <w:rsid w:val="00B14D91"/>
    <w:rsid w:val="00B1519A"/>
    <w:rsid w:val="00B1545D"/>
    <w:rsid w:val="00B155EE"/>
    <w:rsid w:val="00B15754"/>
    <w:rsid w:val="00B157F7"/>
    <w:rsid w:val="00B15D69"/>
    <w:rsid w:val="00B15DF5"/>
    <w:rsid w:val="00B15EC5"/>
    <w:rsid w:val="00B1646E"/>
    <w:rsid w:val="00B166AF"/>
    <w:rsid w:val="00B16787"/>
    <w:rsid w:val="00B16855"/>
    <w:rsid w:val="00B16963"/>
    <w:rsid w:val="00B16B27"/>
    <w:rsid w:val="00B16D8F"/>
    <w:rsid w:val="00B16E08"/>
    <w:rsid w:val="00B16F19"/>
    <w:rsid w:val="00B174BF"/>
    <w:rsid w:val="00B17B58"/>
    <w:rsid w:val="00B17C89"/>
    <w:rsid w:val="00B17C9D"/>
    <w:rsid w:val="00B20550"/>
    <w:rsid w:val="00B20AA5"/>
    <w:rsid w:val="00B20DB4"/>
    <w:rsid w:val="00B20FC7"/>
    <w:rsid w:val="00B20FC8"/>
    <w:rsid w:val="00B21172"/>
    <w:rsid w:val="00B21402"/>
    <w:rsid w:val="00B2151F"/>
    <w:rsid w:val="00B2185C"/>
    <w:rsid w:val="00B218E8"/>
    <w:rsid w:val="00B21AE7"/>
    <w:rsid w:val="00B21DBD"/>
    <w:rsid w:val="00B22066"/>
    <w:rsid w:val="00B227E4"/>
    <w:rsid w:val="00B228DC"/>
    <w:rsid w:val="00B22C0E"/>
    <w:rsid w:val="00B22D05"/>
    <w:rsid w:val="00B22D3C"/>
    <w:rsid w:val="00B22DA4"/>
    <w:rsid w:val="00B22DAE"/>
    <w:rsid w:val="00B22E34"/>
    <w:rsid w:val="00B23087"/>
    <w:rsid w:val="00B235A0"/>
    <w:rsid w:val="00B2361B"/>
    <w:rsid w:val="00B23C4C"/>
    <w:rsid w:val="00B23E7D"/>
    <w:rsid w:val="00B243AC"/>
    <w:rsid w:val="00B24522"/>
    <w:rsid w:val="00B2499E"/>
    <w:rsid w:val="00B24E1D"/>
    <w:rsid w:val="00B24ED7"/>
    <w:rsid w:val="00B24F3A"/>
    <w:rsid w:val="00B2545F"/>
    <w:rsid w:val="00B2571D"/>
    <w:rsid w:val="00B259DB"/>
    <w:rsid w:val="00B25BE7"/>
    <w:rsid w:val="00B25D21"/>
    <w:rsid w:val="00B25D3A"/>
    <w:rsid w:val="00B261DE"/>
    <w:rsid w:val="00B267D1"/>
    <w:rsid w:val="00B2742E"/>
    <w:rsid w:val="00B276AC"/>
    <w:rsid w:val="00B27933"/>
    <w:rsid w:val="00B27CC2"/>
    <w:rsid w:val="00B27F9F"/>
    <w:rsid w:val="00B306D9"/>
    <w:rsid w:val="00B307B1"/>
    <w:rsid w:val="00B307F8"/>
    <w:rsid w:val="00B30F80"/>
    <w:rsid w:val="00B31165"/>
    <w:rsid w:val="00B311CE"/>
    <w:rsid w:val="00B31429"/>
    <w:rsid w:val="00B318D8"/>
    <w:rsid w:val="00B31AEF"/>
    <w:rsid w:val="00B31AF2"/>
    <w:rsid w:val="00B31B9F"/>
    <w:rsid w:val="00B32175"/>
    <w:rsid w:val="00B32483"/>
    <w:rsid w:val="00B32A22"/>
    <w:rsid w:val="00B32BE6"/>
    <w:rsid w:val="00B32E84"/>
    <w:rsid w:val="00B32E98"/>
    <w:rsid w:val="00B330BE"/>
    <w:rsid w:val="00B33135"/>
    <w:rsid w:val="00B339C2"/>
    <w:rsid w:val="00B33AC9"/>
    <w:rsid w:val="00B33BA2"/>
    <w:rsid w:val="00B33EE7"/>
    <w:rsid w:val="00B3442F"/>
    <w:rsid w:val="00B34457"/>
    <w:rsid w:val="00B34791"/>
    <w:rsid w:val="00B34A33"/>
    <w:rsid w:val="00B34F43"/>
    <w:rsid w:val="00B35264"/>
    <w:rsid w:val="00B358B9"/>
    <w:rsid w:val="00B3597B"/>
    <w:rsid w:val="00B35A4B"/>
    <w:rsid w:val="00B35BA6"/>
    <w:rsid w:val="00B3614B"/>
    <w:rsid w:val="00B36166"/>
    <w:rsid w:val="00B364F5"/>
    <w:rsid w:val="00B36B61"/>
    <w:rsid w:val="00B36CE2"/>
    <w:rsid w:val="00B36D2A"/>
    <w:rsid w:val="00B36D46"/>
    <w:rsid w:val="00B36E0F"/>
    <w:rsid w:val="00B36F6E"/>
    <w:rsid w:val="00B37008"/>
    <w:rsid w:val="00B37576"/>
    <w:rsid w:val="00B37734"/>
    <w:rsid w:val="00B37D02"/>
    <w:rsid w:val="00B37DBC"/>
    <w:rsid w:val="00B403A9"/>
    <w:rsid w:val="00B403ED"/>
    <w:rsid w:val="00B40525"/>
    <w:rsid w:val="00B4086B"/>
    <w:rsid w:val="00B409A0"/>
    <w:rsid w:val="00B40AC6"/>
    <w:rsid w:val="00B40B98"/>
    <w:rsid w:val="00B40CCE"/>
    <w:rsid w:val="00B41318"/>
    <w:rsid w:val="00B41348"/>
    <w:rsid w:val="00B415FF"/>
    <w:rsid w:val="00B41BB7"/>
    <w:rsid w:val="00B41BF0"/>
    <w:rsid w:val="00B41C12"/>
    <w:rsid w:val="00B41EE2"/>
    <w:rsid w:val="00B4201C"/>
    <w:rsid w:val="00B420A4"/>
    <w:rsid w:val="00B420C1"/>
    <w:rsid w:val="00B422FF"/>
    <w:rsid w:val="00B42336"/>
    <w:rsid w:val="00B4253D"/>
    <w:rsid w:val="00B42FCD"/>
    <w:rsid w:val="00B43257"/>
    <w:rsid w:val="00B43445"/>
    <w:rsid w:val="00B435F4"/>
    <w:rsid w:val="00B43645"/>
    <w:rsid w:val="00B4398E"/>
    <w:rsid w:val="00B4408B"/>
    <w:rsid w:val="00B4418D"/>
    <w:rsid w:val="00B442E5"/>
    <w:rsid w:val="00B443D0"/>
    <w:rsid w:val="00B4499D"/>
    <w:rsid w:val="00B44EC1"/>
    <w:rsid w:val="00B4503A"/>
    <w:rsid w:val="00B45160"/>
    <w:rsid w:val="00B455C1"/>
    <w:rsid w:val="00B45748"/>
    <w:rsid w:val="00B457BE"/>
    <w:rsid w:val="00B45A6A"/>
    <w:rsid w:val="00B45AC1"/>
    <w:rsid w:val="00B45D23"/>
    <w:rsid w:val="00B45F3B"/>
    <w:rsid w:val="00B462A5"/>
    <w:rsid w:val="00B46445"/>
    <w:rsid w:val="00B467BB"/>
    <w:rsid w:val="00B46E58"/>
    <w:rsid w:val="00B46E9F"/>
    <w:rsid w:val="00B46F8C"/>
    <w:rsid w:val="00B46FEC"/>
    <w:rsid w:val="00B47033"/>
    <w:rsid w:val="00B470C8"/>
    <w:rsid w:val="00B470D2"/>
    <w:rsid w:val="00B470EF"/>
    <w:rsid w:val="00B47250"/>
    <w:rsid w:val="00B479CD"/>
    <w:rsid w:val="00B47A90"/>
    <w:rsid w:val="00B47B11"/>
    <w:rsid w:val="00B47D68"/>
    <w:rsid w:val="00B47FB8"/>
    <w:rsid w:val="00B50238"/>
    <w:rsid w:val="00B50656"/>
    <w:rsid w:val="00B50988"/>
    <w:rsid w:val="00B511AE"/>
    <w:rsid w:val="00B5126E"/>
    <w:rsid w:val="00B51C11"/>
    <w:rsid w:val="00B51D0B"/>
    <w:rsid w:val="00B52043"/>
    <w:rsid w:val="00B52447"/>
    <w:rsid w:val="00B527AA"/>
    <w:rsid w:val="00B5289F"/>
    <w:rsid w:val="00B52C63"/>
    <w:rsid w:val="00B53072"/>
    <w:rsid w:val="00B5308D"/>
    <w:rsid w:val="00B5330B"/>
    <w:rsid w:val="00B5357C"/>
    <w:rsid w:val="00B541A1"/>
    <w:rsid w:val="00B541F3"/>
    <w:rsid w:val="00B5426D"/>
    <w:rsid w:val="00B542D3"/>
    <w:rsid w:val="00B54692"/>
    <w:rsid w:val="00B5497E"/>
    <w:rsid w:val="00B54AB9"/>
    <w:rsid w:val="00B54C7B"/>
    <w:rsid w:val="00B5501A"/>
    <w:rsid w:val="00B551EE"/>
    <w:rsid w:val="00B552CC"/>
    <w:rsid w:val="00B55428"/>
    <w:rsid w:val="00B558DB"/>
    <w:rsid w:val="00B55997"/>
    <w:rsid w:val="00B55B00"/>
    <w:rsid w:val="00B55F8D"/>
    <w:rsid w:val="00B56132"/>
    <w:rsid w:val="00B56142"/>
    <w:rsid w:val="00B56469"/>
    <w:rsid w:val="00B56791"/>
    <w:rsid w:val="00B568E8"/>
    <w:rsid w:val="00B56A81"/>
    <w:rsid w:val="00B56AC6"/>
    <w:rsid w:val="00B56E43"/>
    <w:rsid w:val="00B56ECF"/>
    <w:rsid w:val="00B5726F"/>
    <w:rsid w:val="00B572C5"/>
    <w:rsid w:val="00B5757B"/>
    <w:rsid w:val="00B57818"/>
    <w:rsid w:val="00B57891"/>
    <w:rsid w:val="00B5795F"/>
    <w:rsid w:val="00B57A75"/>
    <w:rsid w:val="00B57BB0"/>
    <w:rsid w:val="00B57D63"/>
    <w:rsid w:val="00B57DB8"/>
    <w:rsid w:val="00B60010"/>
    <w:rsid w:val="00B601EA"/>
    <w:rsid w:val="00B60232"/>
    <w:rsid w:val="00B60279"/>
    <w:rsid w:val="00B603A1"/>
    <w:rsid w:val="00B60BDF"/>
    <w:rsid w:val="00B617BA"/>
    <w:rsid w:val="00B6197E"/>
    <w:rsid w:val="00B61C3A"/>
    <w:rsid w:val="00B61CF0"/>
    <w:rsid w:val="00B61E19"/>
    <w:rsid w:val="00B620D9"/>
    <w:rsid w:val="00B62241"/>
    <w:rsid w:val="00B62555"/>
    <w:rsid w:val="00B62A19"/>
    <w:rsid w:val="00B62A3E"/>
    <w:rsid w:val="00B631CB"/>
    <w:rsid w:val="00B63401"/>
    <w:rsid w:val="00B6355A"/>
    <w:rsid w:val="00B63593"/>
    <w:rsid w:val="00B639E6"/>
    <w:rsid w:val="00B63CAC"/>
    <w:rsid w:val="00B63D68"/>
    <w:rsid w:val="00B63DD6"/>
    <w:rsid w:val="00B6416E"/>
    <w:rsid w:val="00B641D5"/>
    <w:rsid w:val="00B6422E"/>
    <w:rsid w:val="00B6440A"/>
    <w:rsid w:val="00B64578"/>
    <w:rsid w:val="00B6486F"/>
    <w:rsid w:val="00B6499A"/>
    <w:rsid w:val="00B64A7F"/>
    <w:rsid w:val="00B64C0F"/>
    <w:rsid w:val="00B64C8E"/>
    <w:rsid w:val="00B64FC5"/>
    <w:rsid w:val="00B654B6"/>
    <w:rsid w:val="00B656F4"/>
    <w:rsid w:val="00B6599A"/>
    <w:rsid w:val="00B65E69"/>
    <w:rsid w:val="00B65F51"/>
    <w:rsid w:val="00B664D5"/>
    <w:rsid w:val="00B6656D"/>
    <w:rsid w:val="00B667F9"/>
    <w:rsid w:val="00B66818"/>
    <w:rsid w:val="00B66992"/>
    <w:rsid w:val="00B66A42"/>
    <w:rsid w:val="00B6735E"/>
    <w:rsid w:val="00B6756F"/>
    <w:rsid w:val="00B676F1"/>
    <w:rsid w:val="00B677F2"/>
    <w:rsid w:val="00B67B50"/>
    <w:rsid w:val="00B67D42"/>
    <w:rsid w:val="00B70054"/>
    <w:rsid w:val="00B70229"/>
    <w:rsid w:val="00B70AB5"/>
    <w:rsid w:val="00B70FDE"/>
    <w:rsid w:val="00B7143B"/>
    <w:rsid w:val="00B71FBE"/>
    <w:rsid w:val="00B7213D"/>
    <w:rsid w:val="00B724E3"/>
    <w:rsid w:val="00B725CB"/>
    <w:rsid w:val="00B72963"/>
    <w:rsid w:val="00B72B12"/>
    <w:rsid w:val="00B72C54"/>
    <w:rsid w:val="00B72F4E"/>
    <w:rsid w:val="00B73400"/>
    <w:rsid w:val="00B7383D"/>
    <w:rsid w:val="00B7395C"/>
    <w:rsid w:val="00B73A25"/>
    <w:rsid w:val="00B73CA3"/>
    <w:rsid w:val="00B73D1B"/>
    <w:rsid w:val="00B74028"/>
    <w:rsid w:val="00B74164"/>
    <w:rsid w:val="00B74281"/>
    <w:rsid w:val="00B74511"/>
    <w:rsid w:val="00B745B1"/>
    <w:rsid w:val="00B74648"/>
    <w:rsid w:val="00B74888"/>
    <w:rsid w:val="00B748B0"/>
    <w:rsid w:val="00B74ADA"/>
    <w:rsid w:val="00B75155"/>
    <w:rsid w:val="00B7527B"/>
    <w:rsid w:val="00B75BBB"/>
    <w:rsid w:val="00B75DC4"/>
    <w:rsid w:val="00B75EA6"/>
    <w:rsid w:val="00B760E5"/>
    <w:rsid w:val="00B76138"/>
    <w:rsid w:val="00B7621F"/>
    <w:rsid w:val="00B76525"/>
    <w:rsid w:val="00B765DA"/>
    <w:rsid w:val="00B765DE"/>
    <w:rsid w:val="00B77523"/>
    <w:rsid w:val="00B77987"/>
    <w:rsid w:val="00B77AEC"/>
    <w:rsid w:val="00B77BB4"/>
    <w:rsid w:val="00B77C77"/>
    <w:rsid w:val="00B80368"/>
    <w:rsid w:val="00B80A60"/>
    <w:rsid w:val="00B80C5E"/>
    <w:rsid w:val="00B80D38"/>
    <w:rsid w:val="00B80E05"/>
    <w:rsid w:val="00B81101"/>
    <w:rsid w:val="00B814A0"/>
    <w:rsid w:val="00B814A5"/>
    <w:rsid w:val="00B81D19"/>
    <w:rsid w:val="00B81EAA"/>
    <w:rsid w:val="00B81F54"/>
    <w:rsid w:val="00B82052"/>
    <w:rsid w:val="00B820CB"/>
    <w:rsid w:val="00B82D5A"/>
    <w:rsid w:val="00B82DAD"/>
    <w:rsid w:val="00B82E1B"/>
    <w:rsid w:val="00B82E3A"/>
    <w:rsid w:val="00B82E6F"/>
    <w:rsid w:val="00B82F08"/>
    <w:rsid w:val="00B83053"/>
    <w:rsid w:val="00B8305F"/>
    <w:rsid w:val="00B833C6"/>
    <w:rsid w:val="00B834D3"/>
    <w:rsid w:val="00B83C2E"/>
    <w:rsid w:val="00B83CB7"/>
    <w:rsid w:val="00B84048"/>
    <w:rsid w:val="00B8406F"/>
    <w:rsid w:val="00B84133"/>
    <w:rsid w:val="00B84580"/>
    <w:rsid w:val="00B84B4E"/>
    <w:rsid w:val="00B84DE6"/>
    <w:rsid w:val="00B84E03"/>
    <w:rsid w:val="00B84E9B"/>
    <w:rsid w:val="00B8519D"/>
    <w:rsid w:val="00B851BC"/>
    <w:rsid w:val="00B853C4"/>
    <w:rsid w:val="00B8543D"/>
    <w:rsid w:val="00B85679"/>
    <w:rsid w:val="00B85A1A"/>
    <w:rsid w:val="00B85D28"/>
    <w:rsid w:val="00B85E4F"/>
    <w:rsid w:val="00B86387"/>
    <w:rsid w:val="00B86508"/>
    <w:rsid w:val="00B86632"/>
    <w:rsid w:val="00B86B9D"/>
    <w:rsid w:val="00B86CFF"/>
    <w:rsid w:val="00B870CD"/>
    <w:rsid w:val="00B876C9"/>
    <w:rsid w:val="00B87A23"/>
    <w:rsid w:val="00B87E1B"/>
    <w:rsid w:val="00B9045C"/>
    <w:rsid w:val="00B904D3"/>
    <w:rsid w:val="00B904FD"/>
    <w:rsid w:val="00B90D4B"/>
    <w:rsid w:val="00B9103E"/>
    <w:rsid w:val="00B910D8"/>
    <w:rsid w:val="00B91129"/>
    <w:rsid w:val="00B9117E"/>
    <w:rsid w:val="00B911B9"/>
    <w:rsid w:val="00B91265"/>
    <w:rsid w:val="00B91510"/>
    <w:rsid w:val="00B919C7"/>
    <w:rsid w:val="00B92621"/>
    <w:rsid w:val="00B9289E"/>
    <w:rsid w:val="00B929E0"/>
    <w:rsid w:val="00B92B75"/>
    <w:rsid w:val="00B92D7B"/>
    <w:rsid w:val="00B9301F"/>
    <w:rsid w:val="00B93494"/>
    <w:rsid w:val="00B9432D"/>
    <w:rsid w:val="00B944EB"/>
    <w:rsid w:val="00B94799"/>
    <w:rsid w:val="00B94808"/>
    <w:rsid w:val="00B94AFC"/>
    <w:rsid w:val="00B94B9C"/>
    <w:rsid w:val="00B94D72"/>
    <w:rsid w:val="00B94F15"/>
    <w:rsid w:val="00B94FD5"/>
    <w:rsid w:val="00B952A1"/>
    <w:rsid w:val="00B9563C"/>
    <w:rsid w:val="00B9582A"/>
    <w:rsid w:val="00B958D3"/>
    <w:rsid w:val="00B95AA5"/>
    <w:rsid w:val="00B95C13"/>
    <w:rsid w:val="00B95CB4"/>
    <w:rsid w:val="00B960BA"/>
    <w:rsid w:val="00B96602"/>
    <w:rsid w:val="00B9676A"/>
    <w:rsid w:val="00B96C03"/>
    <w:rsid w:val="00B96F59"/>
    <w:rsid w:val="00B97292"/>
    <w:rsid w:val="00B97859"/>
    <w:rsid w:val="00B97EED"/>
    <w:rsid w:val="00BA023D"/>
    <w:rsid w:val="00BA064E"/>
    <w:rsid w:val="00BA069F"/>
    <w:rsid w:val="00BA08C3"/>
    <w:rsid w:val="00BA0AFB"/>
    <w:rsid w:val="00BA0D81"/>
    <w:rsid w:val="00BA0F81"/>
    <w:rsid w:val="00BA0FEF"/>
    <w:rsid w:val="00BA129D"/>
    <w:rsid w:val="00BA18DD"/>
    <w:rsid w:val="00BA1B11"/>
    <w:rsid w:val="00BA20D7"/>
    <w:rsid w:val="00BA216D"/>
    <w:rsid w:val="00BA2179"/>
    <w:rsid w:val="00BA230C"/>
    <w:rsid w:val="00BA2662"/>
    <w:rsid w:val="00BA27C2"/>
    <w:rsid w:val="00BA2A8E"/>
    <w:rsid w:val="00BA2B10"/>
    <w:rsid w:val="00BA2D36"/>
    <w:rsid w:val="00BA2E25"/>
    <w:rsid w:val="00BA31C0"/>
    <w:rsid w:val="00BA33FF"/>
    <w:rsid w:val="00BA34AF"/>
    <w:rsid w:val="00BA37A9"/>
    <w:rsid w:val="00BA4130"/>
    <w:rsid w:val="00BA4734"/>
    <w:rsid w:val="00BA4839"/>
    <w:rsid w:val="00BA4B25"/>
    <w:rsid w:val="00BA51D4"/>
    <w:rsid w:val="00BA51DE"/>
    <w:rsid w:val="00BA52AB"/>
    <w:rsid w:val="00BA545B"/>
    <w:rsid w:val="00BA5981"/>
    <w:rsid w:val="00BA5C39"/>
    <w:rsid w:val="00BA611C"/>
    <w:rsid w:val="00BA6162"/>
    <w:rsid w:val="00BA660E"/>
    <w:rsid w:val="00BA6725"/>
    <w:rsid w:val="00BA6C65"/>
    <w:rsid w:val="00BA6CF0"/>
    <w:rsid w:val="00BA70A3"/>
    <w:rsid w:val="00BA74D9"/>
    <w:rsid w:val="00BA7AE3"/>
    <w:rsid w:val="00BA7B7A"/>
    <w:rsid w:val="00BA7F38"/>
    <w:rsid w:val="00BB0241"/>
    <w:rsid w:val="00BB060D"/>
    <w:rsid w:val="00BB0812"/>
    <w:rsid w:val="00BB0871"/>
    <w:rsid w:val="00BB0918"/>
    <w:rsid w:val="00BB0C47"/>
    <w:rsid w:val="00BB0CC3"/>
    <w:rsid w:val="00BB0E7C"/>
    <w:rsid w:val="00BB1100"/>
    <w:rsid w:val="00BB134E"/>
    <w:rsid w:val="00BB1936"/>
    <w:rsid w:val="00BB1C52"/>
    <w:rsid w:val="00BB1E8F"/>
    <w:rsid w:val="00BB25B9"/>
    <w:rsid w:val="00BB2BCE"/>
    <w:rsid w:val="00BB2BEC"/>
    <w:rsid w:val="00BB2BED"/>
    <w:rsid w:val="00BB2C72"/>
    <w:rsid w:val="00BB3188"/>
    <w:rsid w:val="00BB32FF"/>
    <w:rsid w:val="00BB3C37"/>
    <w:rsid w:val="00BB3DA8"/>
    <w:rsid w:val="00BB41E0"/>
    <w:rsid w:val="00BB4B58"/>
    <w:rsid w:val="00BB4EFB"/>
    <w:rsid w:val="00BB54E4"/>
    <w:rsid w:val="00BB58BD"/>
    <w:rsid w:val="00BB5952"/>
    <w:rsid w:val="00BB597E"/>
    <w:rsid w:val="00BB59AB"/>
    <w:rsid w:val="00BB6090"/>
    <w:rsid w:val="00BB61F1"/>
    <w:rsid w:val="00BB6242"/>
    <w:rsid w:val="00BB62F9"/>
    <w:rsid w:val="00BB6357"/>
    <w:rsid w:val="00BB63B5"/>
    <w:rsid w:val="00BB681A"/>
    <w:rsid w:val="00BB6A01"/>
    <w:rsid w:val="00BB6A7E"/>
    <w:rsid w:val="00BB6BB5"/>
    <w:rsid w:val="00BB6ED4"/>
    <w:rsid w:val="00BB750F"/>
    <w:rsid w:val="00BB7563"/>
    <w:rsid w:val="00BB7583"/>
    <w:rsid w:val="00BB75D6"/>
    <w:rsid w:val="00BB7609"/>
    <w:rsid w:val="00BB764E"/>
    <w:rsid w:val="00BB7A56"/>
    <w:rsid w:val="00BC007C"/>
    <w:rsid w:val="00BC0158"/>
    <w:rsid w:val="00BC03C8"/>
    <w:rsid w:val="00BC0487"/>
    <w:rsid w:val="00BC0599"/>
    <w:rsid w:val="00BC059D"/>
    <w:rsid w:val="00BC09AA"/>
    <w:rsid w:val="00BC11CB"/>
    <w:rsid w:val="00BC1297"/>
    <w:rsid w:val="00BC1AB4"/>
    <w:rsid w:val="00BC1CF8"/>
    <w:rsid w:val="00BC1DA1"/>
    <w:rsid w:val="00BC1DCA"/>
    <w:rsid w:val="00BC1E76"/>
    <w:rsid w:val="00BC1E8A"/>
    <w:rsid w:val="00BC1EEC"/>
    <w:rsid w:val="00BC2306"/>
    <w:rsid w:val="00BC2627"/>
    <w:rsid w:val="00BC2963"/>
    <w:rsid w:val="00BC2B79"/>
    <w:rsid w:val="00BC2C03"/>
    <w:rsid w:val="00BC2D0B"/>
    <w:rsid w:val="00BC2DB5"/>
    <w:rsid w:val="00BC35D1"/>
    <w:rsid w:val="00BC36A4"/>
    <w:rsid w:val="00BC3990"/>
    <w:rsid w:val="00BC39E7"/>
    <w:rsid w:val="00BC3A5D"/>
    <w:rsid w:val="00BC3DFC"/>
    <w:rsid w:val="00BC4370"/>
    <w:rsid w:val="00BC4C09"/>
    <w:rsid w:val="00BC4D4D"/>
    <w:rsid w:val="00BC4D65"/>
    <w:rsid w:val="00BC4E5E"/>
    <w:rsid w:val="00BC4FFF"/>
    <w:rsid w:val="00BC5233"/>
    <w:rsid w:val="00BC52F3"/>
    <w:rsid w:val="00BC5553"/>
    <w:rsid w:val="00BC5FF4"/>
    <w:rsid w:val="00BC62CD"/>
    <w:rsid w:val="00BC641A"/>
    <w:rsid w:val="00BC65F2"/>
    <w:rsid w:val="00BC66ED"/>
    <w:rsid w:val="00BC680A"/>
    <w:rsid w:val="00BC6CBF"/>
    <w:rsid w:val="00BC6D4A"/>
    <w:rsid w:val="00BC6D96"/>
    <w:rsid w:val="00BC7478"/>
    <w:rsid w:val="00BC79B0"/>
    <w:rsid w:val="00BC7A12"/>
    <w:rsid w:val="00BC7AE2"/>
    <w:rsid w:val="00BC7C48"/>
    <w:rsid w:val="00BC7D7D"/>
    <w:rsid w:val="00BC7F9D"/>
    <w:rsid w:val="00BD00C1"/>
    <w:rsid w:val="00BD02D6"/>
    <w:rsid w:val="00BD02E4"/>
    <w:rsid w:val="00BD0AB2"/>
    <w:rsid w:val="00BD0D01"/>
    <w:rsid w:val="00BD0F03"/>
    <w:rsid w:val="00BD100E"/>
    <w:rsid w:val="00BD1023"/>
    <w:rsid w:val="00BD2129"/>
    <w:rsid w:val="00BD24A7"/>
    <w:rsid w:val="00BD25F8"/>
    <w:rsid w:val="00BD264C"/>
    <w:rsid w:val="00BD2816"/>
    <w:rsid w:val="00BD2C36"/>
    <w:rsid w:val="00BD2D0F"/>
    <w:rsid w:val="00BD32EE"/>
    <w:rsid w:val="00BD3667"/>
    <w:rsid w:val="00BD36C6"/>
    <w:rsid w:val="00BD36D9"/>
    <w:rsid w:val="00BD3D0B"/>
    <w:rsid w:val="00BD3D8B"/>
    <w:rsid w:val="00BD3EEA"/>
    <w:rsid w:val="00BD4030"/>
    <w:rsid w:val="00BD43BE"/>
    <w:rsid w:val="00BD47F6"/>
    <w:rsid w:val="00BD49FA"/>
    <w:rsid w:val="00BD4CE4"/>
    <w:rsid w:val="00BD5102"/>
    <w:rsid w:val="00BD5156"/>
    <w:rsid w:val="00BD5AF5"/>
    <w:rsid w:val="00BD5B3C"/>
    <w:rsid w:val="00BD5D0D"/>
    <w:rsid w:val="00BD5D26"/>
    <w:rsid w:val="00BD61F7"/>
    <w:rsid w:val="00BD62D0"/>
    <w:rsid w:val="00BD64B8"/>
    <w:rsid w:val="00BD655C"/>
    <w:rsid w:val="00BD66E5"/>
    <w:rsid w:val="00BD6A8C"/>
    <w:rsid w:val="00BD6BA8"/>
    <w:rsid w:val="00BD7060"/>
    <w:rsid w:val="00BD711E"/>
    <w:rsid w:val="00BD7785"/>
    <w:rsid w:val="00BD9089"/>
    <w:rsid w:val="00BE0321"/>
    <w:rsid w:val="00BE0578"/>
    <w:rsid w:val="00BE08CD"/>
    <w:rsid w:val="00BE0C78"/>
    <w:rsid w:val="00BE0F4C"/>
    <w:rsid w:val="00BE1074"/>
    <w:rsid w:val="00BE1128"/>
    <w:rsid w:val="00BE132C"/>
    <w:rsid w:val="00BE15DC"/>
    <w:rsid w:val="00BE1B05"/>
    <w:rsid w:val="00BE1F64"/>
    <w:rsid w:val="00BE2237"/>
    <w:rsid w:val="00BE25B5"/>
    <w:rsid w:val="00BE26CB"/>
    <w:rsid w:val="00BE2E85"/>
    <w:rsid w:val="00BE2F5C"/>
    <w:rsid w:val="00BE307E"/>
    <w:rsid w:val="00BE33EB"/>
    <w:rsid w:val="00BE3465"/>
    <w:rsid w:val="00BE3967"/>
    <w:rsid w:val="00BE3AA3"/>
    <w:rsid w:val="00BE3C93"/>
    <w:rsid w:val="00BE3FF3"/>
    <w:rsid w:val="00BE4579"/>
    <w:rsid w:val="00BE45B5"/>
    <w:rsid w:val="00BE49F0"/>
    <w:rsid w:val="00BE4B4C"/>
    <w:rsid w:val="00BE4ED0"/>
    <w:rsid w:val="00BE5106"/>
    <w:rsid w:val="00BE51C3"/>
    <w:rsid w:val="00BE51CB"/>
    <w:rsid w:val="00BE5236"/>
    <w:rsid w:val="00BE5605"/>
    <w:rsid w:val="00BE560B"/>
    <w:rsid w:val="00BE5931"/>
    <w:rsid w:val="00BE597C"/>
    <w:rsid w:val="00BE5E76"/>
    <w:rsid w:val="00BE5F48"/>
    <w:rsid w:val="00BE6008"/>
    <w:rsid w:val="00BE600A"/>
    <w:rsid w:val="00BE63AF"/>
    <w:rsid w:val="00BE6991"/>
    <w:rsid w:val="00BE6AB3"/>
    <w:rsid w:val="00BE6D8A"/>
    <w:rsid w:val="00BE74DC"/>
    <w:rsid w:val="00BE75AB"/>
    <w:rsid w:val="00BE7B69"/>
    <w:rsid w:val="00BE7BCC"/>
    <w:rsid w:val="00BE7D89"/>
    <w:rsid w:val="00BE7F2D"/>
    <w:rsid w:val="00BF040A"/>
    <w:rsid w:val="00BF05E6"/>
    <w:rsid w:val="00BF07A9"/>
    <w:rsid w:val="00BF0FAA"/>
    <w:rsid w:val="00BF1149"/>
    <w:rsid w:val="00BF13A9"/>
    <w:rsid w:val="00BF140F"/>
    <w:rsid w:val="00BF151F"/>
    <w:rsid w:val="00BF17B9"/>
    <w:rsid w:val="00BF1A11"/>
    <w:rsid w:val="00BF1BFE"/>
    <w:rsid w:val="00BF212A"/>
    <w:rsid w:val="00BF2389"/>
    <w:rsid w:val="00BF2530"/>
    <w:rsid w:val="00BF28A4"/>
    <w:rsid w:val="00BF2972"/>
    <w:rsid w:val="00BF2B55"/>
    <w:rsid w:val="00BF2FFA"/>
    <w:rsid w:val="00BF30FB"/>
    <w:rsid w:val="00BF3209"/>
    <w:rsid w:val="00BF336C"/>
    <w:rsid w:val="00BF33CA"/>
    <w:rsid w:val="00BF392B"/>
    <w:rsid w:val="00BF3D99"/>
    <w:rsid w:val="00BF3E42"/>
    <w:rsid w:val="00BF40D9"/>
    <w:rsid w:val="00BF40F1"/>
    <w:rsid w:val="00BF4782"/>
    <w:rsid w:val="00BF4CCA"/>
    <w:rsid w:val="00BF5180"/>
    <w:rsid w:val="00BF521A"/>
    <w:rsid w:val="00BF5391"/>
    <w:rsid w:val="00BF5853"/>
    <w:rsid w:val="00BF5A84"/>
    <w:rsid w:val="00BF5B61"/>
    <w:rsid w:val="00BF5C95"/>
    <w:rsid w:val="00BF5F81"/>
    <w:rsid w:val="00BF626D"/>
    <w:rsid w:val="00BF63B0"/>
    <w:rsid w:val="00BF6706"/>
    <w:rsid w:val="00BF6865"/>
    <w:rsid w:val="00BF691F"/>
    <w:rsid w:val="00BF6947"/>
    <w:rsid w:val="00BF69C7"/>
    <w:rsid w:val="00BF78D9"/>
    <w:rsid w:val="00BF7989"/>
    <w:rsid w:val="00BF7F89"/>
    <w:rsid w:val="00C0035E"/>
    <w:rsid w:val="00C00913"/>
    <w:rsid w:val="00C0099F"/>
    <w:rsid w:val="00C01642"/>
    <w:rsid w:val="00C01AE6"/>
    <w:rsid w:val="00C01CA7"/>
    <w:rsid w:val="00C01D26"/>
    <w:rsid w:val="00C01D27"/>
    <w:rsid w:val="00C0221B"/>
    <w:rsid w:val="00C0239B"/>
    <w:rsid w:val="00C0243B"/>
    <w:rsid w:val="00C026F0"/>
    <w:rsid w:val="00C0278F"/>
    <w:rsid w:val="00C02996"/>
    <w:rsid w:val="00C02BDD"/>
    <w:rsid w:val="00C02CA4"/>
    <w:rsid w:val="00C02E53"/>
    <w:rsid w:val="00C02FC1"/>
    <w:rsid w:val="00C03694"/>
    <w:rsid w:val="00C03A58"/>
    <w:rsid w:val="00C03AFE"/>
    <w:rsid w:val="00C03D4F"/>
    <w:rsid w:val="00C03ED7"/>
    <w:rsid w:val="00C03F82"/>
    <w:rsid w:val="00C04083"/>
    <w:rsid w:val="00C0410D"/>
    <w:rsid w:val="00C042AF"/>
    <w:rsid w:val="00C04322"/>
    <w:rsid w:val="00C0449F"/>
    <w:rsid w:val="00C04DDA"/>
    <w:rsid w:val="00C05196"/>
    <w:rsid w:val="00C05346"/>
    <w:rsid w:val="00C053A4"/>
    <w:rsid w:val="00C05882"/>
    <w:rsid w:val="00C05907"/>
    <w:rsid w:val="00C05CB6"/>
    <w:rsid w:val="00C05E31"/>
    <w:rsid w:val="00C062E2"/>
    <w:rsid w:val="00C065DB"/>
    <w:rsid w:val="00C0679A"/>
    <w:rsid w:val="00C06A44"/>
    <w:rsid w:val="00C06D1D"/>
    <w:rsid w:val="00C06DEF"/>
    <w:rsid w:val="00C06EDB"/>
    <w:rsid w:val="00C071DD"/>
    <w:rsid w:val="00C077E4"/>
    <w:rsid w:val="00C07A73"/>
    <w:rsid w:val="00C07C5E"/>
    <w:rsid w:val="00C07CE5"/>
    <w:rsid w:val="00C07E66"/>
    <w:rsid w:val="00C07F5E"/>
    <w:rsid w:val="00C101BA"/>
    <w:rsid w:val="00C10412"/>
    <w:rsid w:val="00C106E6"/>
    <w:rsid w:val="00C106FD"/>
    <w:rsid w:val="00C112BA"/>
    <w:rsid w:val="00C112F9"/>
    <w:rsid w:val="00C11511"/>
    <w:rsid w:val="00C119AB"/>
    <w:rsid w:val="00C11C81"/>
    <w:rsid w:val="00C11FD5"/>
    <w:rsid w:val="00C1202B"/>
    <w:rsid w:val="00C121F9"/>
    <w:rsid w:val="00C122AE"/>
    <w:rsid w:val="00C122BE"/>
    <w:rsid w:val="00C1278D"/>
    <w:rsid w:val="00C12847"/>
    <w:rsid w:val="00C12D79"/>
    <w:rsid w:val="00C13194"/>
    <w:rsid w:val="00C13481"/>
    <w:rsid w:val="00C13728"/>
    <w:rsid w:val="00C13918"/>
    <w:rsid w:val="00C13BF0"/>
    <w:rsid w:val="00C140D1"/>
    <w:rsid w:val="00C1434C"/>
    <w:rsid w:val="00C14564"/>
    <w:rsid w:val="00C14DCB"/>
    <w:rsid w:val="00C150DE"/>
    <w:rsid w:val="00C15144"/>
    <w:rsid w:val="00C158D4"/>
    <w:rsid w:val="00C159B6"/>
    <w:rsid w:val="00C15BFD"/>
    <w:rsid w:val="00C15D97"/>
    <w:rsid w:val="00C164E9"/>
    <w:rsid w:val="00C16547"/>
    <w:rsid w:val="00C1676D"/>
    <w:rsid w:val="00C16AF2"/>
    <w:rsid w:val="00C16C42"/>
    <w:rsid w:val="00C16E27"/>
    <w:rsid w:val="00C1712A"/>
    <w:rsid w:val="00C17734"/>
    <w:rsid w:val="00C177F6"/>
    <w:rsid w:val="00C17D09"/>
    <w:rsid w:val="00C17F1D"/>
    <w:rsid w:val="00C20443"/>
    <w:rsid w:val="00C2047A"/>
    <w:rsid w:val="00C2055B"/>
    <w:rsid w:val="00C2078A"/>
    <w:rsid w:val="00C20AD5"/>
    <w:rsid w:val="00C20BA9"/>
    <w:rsid w:val="00C20E69"/>
    <w:rsid w:val="00C21070"/>
    <w:rsid w:val="00C211D2"/>
    <w:rsid w:val="00C21266"/>
    <w:rsid w:val="00C2135B"/>
    <w:rsid w:val="00C2145C"/>
    <w:rsid w:val="00C21813"/>
    <w:rsid w:val="00C21C28"/>
    <w:rsid w:val="00C21E27"/>
    <w:rsid w:val="00C2229A"/>
    <w:rsid w:val="00C224C0"/>
    <w:rsid w:val="00C22801"/>
    <w:rsid w:val="00C22BB5"/>
    <w:rsid w:val="00C22CD0"/>
    <w:rsid w:val="00C22F39"/>
    <w:rsid w:val="00C23241"/>
    <w:rsid w:val="00C23305"/>
    <w:rsid w:val="00C23691"/>
    <w:rsid w:val="00C23744"/>
    <w:rsid w:val="00C2383D"/>
    <w:rsid w:val="00C23A86"/>
    <w:rsid w:val="00C23C17"/>
    <w:rsid w:val="00C23E51"/>
    <w:rsid w:val="00C245DD"/>
    <w:rsid w:val="00C2469C"/>
    <w:rsid w:val="00C249B6"/>
    <w:rsid w:val="00C2505E"/>
    <w:rsid w:val="00C250F4"/>
    <w:rsid w:val="00C25108"/>
    <w:rsid w:val="00C25270"/>
    <w:rsid w:val="00C253A0"/>
    <w:rsid w:val="00C2540B"/>
    <w:rsid w:val="00C25866"/>
    <w:rsid w:val="00C261A3"/>
    <w:rsid w:val="00C2620A"/>
    <w:rsid w:val="00C263A9"/>
    <w:rsid w:val="00C263AB"/>
    <w:rsid w:val="00C2641B"/>
    <w:rsid w:val="00C264D5"/>
    <w:rsid w:val="00C2656C"/>
    <w:rsid w:val="00C26886"/>
    <w:rsid w:val="00C26D68"/>
    <w:rsid w:val="00C274DC"/>
    <w:rsid w:val="00C27850"/>
    <w:rsid w:val="00C27AF5"/>
    <w:rsid w:val="00C27B41"/>
    <w:rsid w:val="00C27B72"/>
    <w:rsid w:val="00C27C8E"/>
    <w:rsid w:val="00C27F60"/>
    <w:rsid w:val="00C27F69"/>
    <w:rsid w:val="00C30165"/>
    <w:rsid w:val="00C3016E"/>
    <w:rsid w:val="00C302F6"/>
    <w:rsid w:val="00C30443"/>
    <w:rsid w:val="00C30681"/>
    <w:rsid w:val="00C3076E"/>
    <w:rsid w:val="00C3131C"/>
    <w:rsid w:val="00C31910"/>
    <w:rsid w:val="00C31C4B"/>
    <w:rsid w:val="00C31D19"/>
    <w:rsid w:val="00C32079"/>
    <w:rsid w:val="00C3219F"/>
    <w:rsid w:val="00C3269C"/>
    <w:rsid w:val="00C32A11"/>
    <w:rsid w:val="00C32ECE"/>
    <w:rsid w:val="00C33909"/>
    <w:rsid w:val="00C33960"/>
    <w:rsid w:val="00C33C2F"/>
    <w:rsid w:val="00C342BB"/>
    <w:rsid w:val="00C343A1"/>
    <w:rsid w:val="00C347DE"/>
    <w:rsid w:val="00C34A55"/>
    <w:rsid w:val="00C34BDC"/>
    <w:rsid w:val="00C34EF9"/>
    <w:rsid w:val="00C34FFE"/>
    <w:rsid w:val="00C351C2"/>
    <w:rsid w:val="00C3584C"/>
    <w:rsid w:val="00C358BB"/>
    <w:rsid w:val="00C358FC"/>
    <w:rsid w:val="00C359CA"/>
    <w:rsid w:val="00C362C4"/>
    <w:rsid w:val="00C362FA"/>
    <w:rsid w:val="00C36390"/>
    <w:rsid w:val="00C3644C"/>
    <w:rsid w:val="00C364C0"/>
    <w:rsid w:val="00C36954"/>
    <w:rsid w:val="00C36B1B"/>
    <w:rsid w:val="00C36B9D"/>
    <w:rsid w:val="00C36F92"/>
    <w:rsid w:val="00C373FE"/>
    <w:rsid w:val="00C3741A"/>
    <w:rsid w:val="00C37985"/>
    <w:rsid w:val="00C37AB1"/>
    <w:rsid w:val="00C37B7C"/>
    <w:rsid w:val="00C37BF9"/>
    <w:rsid w:val="00C37CD8"/>
    <w:rsid w:val="00C37D71"/>
    <w:rsid w:val="00C37EA0"/>
    <w:rsid w:val="00C402A3"/>
    <w:rsid w:val="00C40494"/>
    <w:rsid w:val="00C40765"/>
    <w:rsid w:val="00C407B6"/>
    <w:rsid w:val="00C40BE5"/>
    <w:rsid w:val="00C40D28"/>
    <w:rsid w:val="00C40D2D"/>
    <w:rsid w:val="00C410F1"/>
    <w:rsid w:val="00C412C2"/>
    <w:rsid w:val="00C41375"/>
    <w:rsid w:val="00C414FC"/>
    <w:rsid w:val="00C41947"/>
    <w:rsid w:val="00C41CB8"/>
    <w:rsid w:val="00C41CF8"/>
    <w:rsid w:val="00C41EEF"/>
    <w:rsid w:val="00C41FD8"/>
    <w:rsid w:val="00C42097"/>
    <w:rsid w:val="00C42587"/>
    <w:rsid w:val="00C4271D"/>
    <w:rsid w:val="00C428DB"/>
    <w:rsid w:val="00C42AED"/>
    <w:rsid w:val="00C42E79"/>
    <w:rsid w:val="00C4306A"/>
    <w:rsid w:val="00C434BD"/>
    <w:rsid w:val="00C4376E"/>
    <w:rsid w:val="00C43A3F"/>
    <w:rsid w:val="00C43D33"/>
    <w:rsid w:val="00C444E4"/>
    <w:rsid w:val="00C445D9"/>
    <w:rsid w:val="00C44669"/>
    <w:rsid w:val="00C4468F"/>
    <w:rsid w:val="00C4479F"/>
    <w:rsid w:val="00C44A25"/>
    <w:rsid w:val="00C44CB3"/>
    <w:rsid w:val="00C44D95"/>
    <w:rsid w:val="00C44DAA"/>
    <w:rsid w:val="00C452BC"/>
    <w:rsid w:val="00C455C8"/>
    <w:rsid w:val="00C4578D"/>
    <w:rsid w:val="00C457D1"/>
    <w:rsid w:val="00C4591D"/>
    <w:rsid w:val="00C45C12"/>
    <w:rsid w:val="00C45C5F"/>
    <w:rsid w:val="00C45FB1"/>
    <w:rsid w:val="00C4658C"/>
    <w:rsid w:val="00C465E2"/>
    <w:rsid w:val="00C4667E"/>
    <w:rsid w:val="00C467ED"/>
    <w:rsid w:val="00C47391"/>
    <w:rsid w:val="00C478FE"/>
    <w:rsid w:val="00C479B0"/>
    <w:rsid w:val="00C47B17"/>
    <w:rsid w:val="00C47E82"/>
    <w:rsid w:val="00C47FF6"/>
    <w:rsid w:val="00C50078"/>
    <w:rsid w:val="00C502DF"/>
    <w:rsid w:val="00C50AD0"/>
    <w:rsid w:val="00C50DC4"/>
    <w:rsid w:val="00C50DFD"/>
    <w:rsid w:val="00C50E38"/>
    <w:rsid w:val="00C513DF"/>
    <w:rsid w:val="00C51931"/>
    <w:rsid w:val="00C51D4D"/>
    <w:rsid w:val="00C51DEF"/>
    <w:rsid w:val="00C51F51"/>
    <w:rsid w:val="00C522CD"/>
    <w:rsid w:val="00C524D4"/>
    <w:rsid w:val="00C5270D"/>
    <w:rsid w:val="00C527A9"/>
    <w:rsid w:val="00C52C12"/>
    <w:rsid w:val="00C52C61"/>
    <w:rsid w:val="00C52FFF"/>
    <w:rsid w:val="00C533E9"/>
    <w:rsid w:val="00C5399D"/>
    <w:rsid w:val="00C53A86"/>
    <w:rsid w:val="00C53B6C"/>
    <w:rsid w:val="00C53B95"/>
    <w:rsid w:val="00C53C15"/>
    <w:rsid w:val="00C53EAF"/>
    <w:rsid w:val="00C54289"/>
    <w:rsid w:val="00C54594"/>
    <w:rsid w:val="00C54750"/>
    <w:rsid w:val="00C54B58"/>
    <w:rsid w:val="00C54CBA"/>
    <w:rsid w:val="00C54DAB"/>
    <w:rsid w:val="00C54DD1"/>
    <w:rsid w:val="00C54FE2"/>
    <w:rsid w:val="00C54FFD"/>
    <w:rsid w:val="00C55260"/>
    <w:rsid w:val="00C55388"/>
    <w:rsid w:val="00C55443"/>
    <w:rsid w:val="00C55450"/>
    <w:rsid w:val="00C56175"/>
    <w:rsid w:val="00C561BD"/>
    <w:rsid w:val="00C565F8"/>
    <w:rsid w:val="00C56797"/>
    <w:rsid w:val="00C56B60"/>
    <w:rsid w:val="00C56F3B"/>
    <w:rsid w:val="00C56FE9"/>
    <w:rsid w:val="00C5782E"/>
    <w:rsid w:val="00C5791D"/>
    <w:rsid w:val="00C57B3B"/>
    <w:rsid w:val="00C57BAA"/>
    <w:rsid w:val="00C57C87"/>
    <w:rsid w:val="00C60061"/>
    <w:rsid w:val="00C60202"/>
    <w:rsid w:val="00C6021F"/>
    <w:rsid w:val="00C603EA"/>
    <w:rsid w:val="00C60462"/>
    <w:rsid w:val="00C60676"/>
    <w:rsid w:val="00C60832"/>
    <w:rsid w:val="00C6096A"/>
    <w:rsid w:val="00C60A36"/>
    <w:rsid w:val="00C60B50"/>
    <w:rsid w:val="00C60D02"/>
    <w:rsid w:val="00C60D89"/>
    <w:rsid w:val="00C61533"/>
    <w:rsid w:val="00C615EA"/>
    <w:rsid w:val="00C617A1"/>
    <w:rsid w:val="00C61B4A"/>
    <w:rsid w:val="00C61ED1"/>
    <w:rsid w:val="00C61F2D"/>
    <w:rsid w:val="00C62407"/>
    <w:rsid w:val="00C627D6"/>
    <w:rsid w:val="00C62AA8"/>
    <w:rsid w:val="00C62BD3"/>
    <w:rsid w:val="00C62F02"/>
    <w:rsid w:val="00C634FA"/>
    <w:rsid w:val="00C63536"/>
    <w:rsid w:val="00C635DB"/>
    <w:rsid w:val="00C63791"/>
    <w:rsid w:val="00C63D2A"/>
    <w:rsid w:val="00C64115"/>
    <w:rsid w:val="00C64278"/>
    <w:rsid w:val="00C6445D"/>
    <w:rsid w:val="00C64A22"/>
    <w:rsid w:val="00C64A89"/>
    <w:rsid w:val="00C64B50"/>
    <w:rsid w:val="00C64E7C"/>
    <w:rsid w:val="00C64F48"/>
    <w:rsid w:val="00C6546E"/>
    <w:rsid w:val="00C654FF"/>
    <w:rsid w:val="00C65E09"/>
    <w:rsid w:val="00C66046"/>
    <w:rsid w:val="00C660B2"/>
    <w:rsid w:val="00C662F9"/>
    <w:rsid w:val="00C66CC2"/>
    <w:rsid w:val="00C6714D"/>
    <w:rsid w:val="00C6736E"/>
    <w:rsid w:val="00C67692"/>
    <w:rsid w:val="00C67CB4"/>
    <w:rsid w:val="00C703AE"/>
    <w:rsid w:val="00C703EA"/>
    <w:rsid w:val="00C7057A"/>
    <w:rsid w:val="00C707E8"/>
    <w:rsid w:val="00C70808"/>
    <w:rsid w:val="00C70876"/>
    <w:rsid w:val="00C70BD4"/>
    <w:rsid w:val="00C70BF1"/>
    <w:rsid w:val="00C71100"/>
    <w:rsid w:val="00C7191C"/>
    <w:rsid w:val="00C71BE4"/>
    <w:rsid w:val="00C71C35"/>
    <w:rsid w:val="00C71D52"/>
    <w:rsid w:val="00C725DB"/>
    <w:rsid w:val="00C72621"/>
    <w:rsid w:val="00C7270B"/>
    <w:rsid w:val="00C7278D"/>
    <w:rsid w:val="00C72917"/>
    <w:rsid w:val="00C729EC"/>
    <w:rsid w:val="00C72A2A"/>
    <w:rsid w:val="00C72A81"/>
    <w:rsid w:val="00C72B05"/>
    <w:rsid w:val="00C72CDE"/>
    <w:rsid w:val="00C72EBC"/>
    <w:rsid w:val="00C7302B"/>
    <w:rsid w:val="00C73089"/>
    <w:rsid w:val="00C73155"/>
    <w:rsid w:val="00C737EE"/>
    <w:rsid w:val="00C73B68"/>
    <w:rsid w:val="00C73C4E"/>
    <w:rsid w:val="00C73D6C"/>
    <w:rsid w:val="00C73D79"/>
    <w:rsid w:val="00C74415"/>
    <w:rsid w:val="00C745B7"/>
    <w:rsid w:val="00C747EE"/>
    <w:rsid w:val="00C74A0A"/>
    <w:rsid w:val="00C74C9B"/>
    <w:rsid w:val="00C758D2"/>
    <w:rsid w:val="00C75BA5"/>
    <w:rsid w:val="00C75BC4"/>
    <w:rsid w:val="00C760FF"/>
    <w:rsid w:val="00C761B2"/>
    <w:rsid w:val="00C7625A"/>
    <w:rsid w:val="00C762EC"/>
    <w:rsid w:val="00C7630C"/>
    <w:rsid w:val="00C763F5"/>
    <w:rsid w:val="00C764F0"/>
    <w:rsid w:val="00C7658F"/>
    <w:rsid w:val="00C7667E"/>
    <w:rsid w:val="00C766F3"/>
    <w:rsid w:val="00C76C50"/>
    <w:rsid w:val="00C76C57"/>
    <w:rsid w:val="00C76C6E"/>
    <w:rsid w:val="00C77357"/>
    <w:rsid w:val="00C775ED"/>
    <w:rsid w:val="00C77735"/>
    <w:rsid w:val="00C779AE"/>
    <w:rsid w:val="00C77B5D"/>
    <w:rsid w:val="00C7D288"/>
    <w:rsid w:val="00C80095"/>
    <w:rsid w:val="00C804AA"/>
    <w:rsid w:val="00C805E8"/>
    <w:rsid w:val="00C808CF"/>
    <w:rsid w:val="00C808E1"/>
    <w:rsid w:val="00C80A8F"/>
    <w:rsid w:val="00C80BDE"/>
    <w:rsid w:val="00C80C60"/>
    <w:rsid w:val="00C80DB6"/>
    <w:rsid w:val="00C815C8"/>
    <w:rsid w:val="00C81607"/>
    <w:rsid w:val="00C8174A"/>
    <w:rsid w:val="00C81AD0"/>
    <w:rsid w:val="00C82043"/>
    <w:rsid w:val="00C8215E"/>
    <w:rsid w:val="00C823AF"/>
    <w:rsid w:val="00C8250C"/>
    <w:rsid w:val="00C82805"/>
    <w:rsid w:val="00C829C0"/>
    <w:rsid w:val="00C82E1C"/>
    <w:rsid w:val="00C82F0E"/>
    <w:rsid w:val="00C83265"/>
    <w:rsid w:val="00C833AD"/>
    <w:rsid w:val="00C835F6"/>
    <w:rsid w:val="00C8373D"/>
    <w:rsid w:val="00C83A1D"/>
    <w:rsid w:val="00C83BA0"/>
    <w:rsid w:val="00C83CC8"/>
    <w:rsid w:val="00C8413D"/>
    <w:rsid w:val="00C84193"/>
    <w:rsid w:val="00C84302"/>
    <w:rsid w:val="00C846B1"/>
    <w:rsid w:val="00C84773"/>
    <w:rsid w:val="00C84B3C"/>
    <w:rsid w:val="00C84D07"/>
    <w:rsid w:val="00C84F9A"/>
    <w:rsid w:val="00C84F9E"/>
    <w:rsid w:val="00C8501C"/>
    <w:rsid w:val="00C850DB"/>
    <w:rsid w:val="00C85226"/>
    <w:rsid w:val="00C85254"/>
    <w:rsid w:val="00C8528C"/>
    <w:rsid w:val="00C853EA"/>
    <w:rsid w:val="00C854F2"/>
    <w:rsid w:val="00C855B5"/>
    <w:rsid w:val="00C85B2F"/>
    <w:rsid w:val="00C85B44"/>
    <w:rsid w:val="00C85BB9"/>
    <w:rsid w:val="00C85EC3"/>
    <w:rsid w:val="00C85F09"/>
    <w:rsid w:val="00C85FAC"/>
    <w:rsid w:val="00C8691F"/>
    <w:rsid w:val="00C86F28"/>
    <w:rsid w:val="00C86FB6"/>
    <w:rsid w:val="00C87522"/>
    <w:rsid w:val="00C878B6"/>
    <w:rsid w:val="00C87C31"/>
    <w:rsid w:val="00C87E30"/>
    <w:rsid w:val="00C87F14"/>
    <w:rsid w:val="00C87F2A"/>
    <w:rsid w:val="00C90550"/>
    <w:rsid w:val="00C907C5"/>
    <w:rsid w:val="00C90ADC"/>
    <w:rsid w:val="00C90B84"/>
    <w:rsid w:val="00C90D3F"/>
    <w:rsid w:val="00C90DBE"/>
    <w:rsid w:val="00C90F6A"/>
    <w:rsid w:val="00C90FD2"/>
    <w:rsid w:val="00C910B6"/>
    <w:rsid w:val="00C9118C"/>
    <w:rsid w:val="00C916E5"/>
    <w:rsid w:val="00C91B08"/>
    <w:rsid w:val="00C91CA0"/>
    <w:rsid w:val="00C92203"/>
    <w:rsid w:val="00C92567"/>
    <w:rsid w:val="00C92662"/>
    <w:rsid w:val="00C926AB"/>
    <w:rsid w:val="00C926E5"/>
    <w:rsid w:val="00C92762"/>
    <w:rsid w:val="00C92925"/>
    <w:rsid w:val="00C9336B"/>
    <w:rsid w:val="00C937BC"/>
    <w:rsid w:val="00C93817"/>
    <w:rsid w:val="00C93D25"/>
    <w:rsid w:val="00C93EC3"/>
    <w:rsid w:val="00C944E9"/>
    <w:rsid w:val="00C945F9"/>
    <w:rsid w:val="00C94840"/>
    <w:rsid w:val="00C94843"/>
    <w:rsid w:val="00C949C5"/>
    <w:rsid w:val="00C94EEC"/>
    <w:rsid w:val="00C95137"/>
    <w:rsid w:val="00C95293"/>
    <w:rsid w:val="00C952CE"/>
    <w:rsid w:val="00C954B8"/>
    <w:rsid w:val="00C954D8"/>
    <w:rsid w:val="00C95791"/>
    <w:rsid w:val="00C958BE"/>
    <w:rsid w:val="00C959E7"/>
    <w:rsid w:val="00C95BA2"/>
    <w:rsid w:val="00C95BD0"/>
    <w:rsid w:val="00C95CBA"/>
    <w:rsid w:val="00C95F08"/>
    <w:rsid w:val="00C96114"/>
    <w:rsid w:val="00C961AF"/>
    <w:rsid w:val="00C968AA"/>
    <w:rsid w:val="00C96956"/>
    <w:rsid w:val="00C96AA1"/>
    <w:rsid w:val="00C96AEA"/>
    <w:rsid w:val="00C96BBC"/>
    <w:rsid w:val="00C96CE6"/>
    <w:rsid w:val="00C9725F"/>
    <w:rsid w:val="00C9733B"/>
    <w:rsid w:val="00C973FE"/>
    <w:rsid w:val="00C974A6"/>
    <w:rsid w:val="00C9764E"/>
    <w:rsid w:val="00C97989"/>
    <w:rsid w:val="00C97CAA"/>
    <w:rsid w:val="00C97EFD"/>
    <w:rsid w:val="00CA03B1"/>
    <w:rsid w:val="00CA06E0"/>
    <w:rsid w:val="00CA0753"/>
    <w:rsid w:val="00CA1023"/>
    <w:rsid w:val="00CA13B1"/>
    <w:rsid w:val="00CA1561"/>
    <w:rsid w:val="00CA2374"/>
    <w:rsid w:val="00CA24B2"/>
    <w:rsid w:val="00CA2526"/>
    <w:rsid w:val="00CA274D"/>
    <w:rsid w:val="00CA2762"/>
    <w:rsid w:val="00CA2836"/>
    <w:rsid w:val="00CA2A03"/>
    <w:rsid w:val="00CA2C0D"/>
    <w:rsid w:val="00CA2CD4"/>
    <w:rsid w:val="00CA2CEB"/>
    <w:rsid w:val="00CA2DAB"/>
    <w:rsid w:val="00CA2DDE"/>
    <w:rsid w:val="00CA2EDA"/>
    <w:rsid w:val="00CA2F34"/>
    <w:rsid w:val="00CA2F78"/>
    <w:rsid w:val="00CA3238"/>
    <w:rsid w:val="00CA3625"/>
    <w:rsid w:val="00CA3812"/>
    <w:rsid w:val="00CA3E2E"/>
    <w:rsid w:val="00CA3F51"/>
    <w:rsid w:val="00CA3F68"/>
    <w:rsid w:val="00CA40D7"/>
    <w:rsid w:val="00CA41B0"/>
    <w:rsid w:val="00CA44A0"/>
    <w:rsid w:val="00CA4B54"/>
    <w:rsid w:val="00CA56E5"/>
    <w:rsid w:val="00CA5774"/>
    <w:rsid w:val="00CA5794"/>
    <w:rsid w:val="00CA589E"/>
    <w:rsid w:val="00CA5E0E"/>
    <w:rsid w:val="00CA5F3C"/>
    <w:rsid w:val="00CA5F62"/>
    <w:rsid w:val="00CA60C5"/>
    <w:rsid w:val="00CA627E"/>
    <w:rsid w:val="00CA6283"/>
    <w:rsid w:val="00CA62F2"/>
    <w:rsid w:val="00CA6CC6"/>
    <w:rsid w:val="00CA7362"/>
    <w:rsid w:val="00CA74CB"/>
    <w:rsid w:val="00CA7683"/>
    <w:rsid w:val="00CA7703"/>
    <w:rsid w:val="00CA774A"/>
    <w:rsid w:val="00CA78A0"/>
    <w:rsid w:val="00CA791F"/>
    <w:rsid w:val="00CB00E7"/>
    <w:rsid w:val="00CB02CA"/>
    <w:rsid w:val="00CB02E1"/>
    <w:rsid w:val="00CB053D"/>
    <w:rsid w:val="00CB0C67"/>
    <w:rsid w:val="00CB0E17"/>
    <w:rsid w:val="00CB0FA0"/>
    <w:rsid w:val="00CB11AB"/>
    <w:rsid w:val="00CB186B"/>
    <w:rsid w:val="00CB194F"/>
    <w:rsid w:val="00CB1B34"/>
    <w:rsid w:val="00CB1B8A"/>
    <w:rsid w:val="00CB1DE4"/>
    <w:rsid w:val="00CB207B"/>
    <w:rsid w:val="00CB209F"/>
    <w:rsid w:val="00CB20B6"/>
    <w:rsid w:val="00CB220D"/>
    <w:rsid w:val="00CB2373"/>
    <w:rsid w:val="00CB2A79"/>
    <w:rsid w:val="00CB2BD8"/>
    <w:rsid w:val="00CB2C42"/>
    <w:rsid w:val="00CB2C82"/>
    <w:rsid w:val="00CB2D3F"/>
    <w:rsid w:val="00CB2FF0"/>
    <w:rsid w:val="00CB3081"/>
    <w:rsid w:val="00CB329A"/>
    <w:rsid w:val="00CB3452"/>
    <w:rsid w:val="00CB34A8"/>
    <w:rsid w:val="00CB4060"/>
    <w:rsid w:val="00CB421E"/>
    <w:rsid w:val="00CB4388"/>
    <w:rsid w:val="00CB4989"/>
    <w:rsid w:val="00CB49BE"/>
    <w:rsid w:val="00CB4BD5"/>
    <w:rsid w:val="00CB4C48"/>
    <w:rsid w:val="00CB5151"/>
    <w:rsid w:val="00CB5191"/>
    <w:rsid w:val="00CB59D4"/>
    <w:rsid w:val="00CB5B0F"/>
    <w:rsid w:val="00CB5F13"/>
    <w:rsid w:val="00CB5F72"/>
    <w:rsid w:val="00CB630A"/>
    <w:rsid w:val="00CB63E7"/>
    <w:rsid w:val="00CB6441"/>
    <w:rsid w:val="00CB6568"/>
    <w:rsid w:val="00CB670F"/>
    <w:rsid w:val="00CB6B44"/>
    <w:rsid w:val="00CB6CFC"/>
    <w:rsid w:val="00CB6D8B"/>
    <w:rsid w:val="00CB721D"/>
    <w:rsid w:val="00CB726D"/>
    <w:rsid w:val="00CB73CE"/>
    <w:rsid w:val="00CB73DC"/>
    <w:rsid w:val="00CB75A0"/>
    <w:rsid w:val="00CB7648"/>
    <w:rsid w:val="00CB76E4"/>
    <w:rsid w:val="00CB772D"/>
    <w:rsid w:val="00CB77FA"/>
    <w:rsid w:val="00CB7900"/>
    <w:rsid w:val="00CB79EC"/>
    <w:rsid w:val="00CB7A3A"/>
    <w:rsid w:val="00CB7A5C"/>
    <w:rsid w:val="00CB7CC3"/>
    <w:rsid w:val="00CB7D5E"/>
    <w:rsid w:val="00CC013D"/>
    <w:rsid w:val="00CC0872"/>
    <w:rsid w:val="00CC0882"/>
    <w:rsid w:val="00CC08DE"/>
    <w:rsid w:val="00CC0997"/>
    <w:rsid w:val="00CC0A24"/>
    <w:rsid w:val="00CC0B51"/>
    <w:rsid w:val="00CC0B55"/>
    <w:rsid w:val="00CC0C0D"/>
    <w:rsid w:val="00CC0F55"/>
    <w:rsid w:val="00CC1357"/>
    <w:rsid w:val="00CC141E"/>
    <w:rsid w:val="00CC1AC5"/>
    <w:rsid w:val="00CC20EE"/>
    <w:rsid w:val="00CC263C"/>
    <w:rsid w:val="00CC2694"/>
    <w:rsid w:val="00CC2903"/>
    <w:rsid w:val="00CC2BCE"/>
    <w:rsid w:val="00CC30C6"/>
    <w:rsid w:val="00CC3224"/>
    <w:rsid w:val="00CC36CB"/>
    <w:rsid w:val="00CC37D4"/>
    <w:rsid w:val="00CC3B76"/>
    <w:rsid w:val="00CC3CA2"/>
    <w:rsid w:val="00CC3D4E"/>
    <w:rsid w:val="00CC3DE1"/>
    <w:rsid w:val="00CC3E67"/>
    <w:rsid w:val="00CC3FE9"/>
    <w:rsid w:val="00CC40C5"/>
    <w:rsid w:val="00CC4435"/>
    <w:rsid w:val="00CC45EA"/>
    <w:rsid w:val="00CC47D8"/>
    <w:rsid w:val="00CC4ADD"/>
    <w:rsid w:val="00CC5393"/>
    <w:rsid w:val="00CC54A3"/>
    <w:rsid w:val="00CC57C7"/>
    <w:rsid w:val="00CC5BC4"/>
    <w:rsid w:val="00CC5CE6"/>
    <w:rsid w:val="00CC5D8A"/>
    <w:rsid w:val="00CC5DDC"/>
    <w:rsid w:val="00CC5E94"/>
    <w:rsid w:val="00CC6154"/>
    <w:rsid w:val="00CC67C0"/>
    <w:rsid w:val="00CC680E"/>
    <w:rsid w:val="00CC6AAD"/>
    <w:rsid w:val="00CC6BC7"/>
    <w:rsid w:val="00CC6DE0"/>
    <w:rsid w:val="00CC6F4F"/>
    <w:rsid w:val="00CC6F83"/>
    <w:rsid w:val="00CC7066"/>
    <w:rsid w:val="00CC7554"/>
    <w:rsid w:val="00CC7586"/>
    <w:rsid w:val="00CC7FA3"/>
    <w:rsid w:val="00CD01A1"/>
    <w:rsid w:val="00CD030F"/>
    <w:rsid w:val="00CD0714"/>
    <w:rsid w:val="00CD07F2"/>
    <w:rsid w:val="00CD08EC"/>
    <w:rsid w:val="00CD0D22"/>
    <w:rsid w:val="00CD0EF8"/>
    <w:rsid w:val="00CD0F46"/>
    <w:rsid w:val="00CD0FFB"/>
    <w:rsid w:val="00CD11B8"/>
    <w:rsid w:val="00CD1303"/>
    <w:rsid w:val="00CD157C"/>
    <w:rsid w:val="00CD15B6"/>
    <w:rsid w:val="00CD163C"/>
    <w:rsid w:val="00CD18D5"/>
    <w:rsid w:val="00CD1A6C"/>
    <w:rsid w:val="00CD1E9C"/>
    <w:rsid w:val="00CD229F"/>
    <w:rsid w:val="00CD2369"/>
    <w:rsid w:val="00CD256F"/>
    <w:rsid w:val="00CD2749"/>
    <w:rsid w:val="00CD292C"/>
    <w:rsid w:val="00CD2A23"/>
    <w:rsid w:val="00CD2C2F"/>
    <w:rsid w:val="00CD306B"/>
    <w:rsid w:val="00CD3CE3"/>
    <w:rsid w:val="00CD3D14"/>
    <w:rsid w:val="00CD4243"/>
    <w:rsid w:val="00CD4685"/>
    <w:rsid w:val="00CD4C96"/>
    <w:rsid w:val="00CD523B"/>
    <w:rsid w:val="00CD5509"/>
    <w:rsid w:val="00CD5B3B"/>
    <w:rsid w:val="00CD5B50"/>
    <w:rsid w:val="00CD5BFF"/>
    <w:rsid w:val="00CD5C47"/>
    <w:rsid w:val="00CD5D8B"/>
    <w:rsid w:val="00CD5EF2"/>
    <w:rsid w:val="00CD5F22"/>
    <w:rsid w:val="00CD61C8"/>
    <w:rsid w:val="00CD63FF"/>
    <w:rsid w:val="00CD6579"/>
    <w:rsid w:val="00CD6607"/>
    <w:rsid w:val="00CD6630"/>
    <w:rsid w:val="00CD6800"/>
    <w:rsid w:val="00CD68FD"/>
    <w:rsid w:val="00CD6996"/>
    <w:rsid w:val="00CD6C00"/>
    <w:rsid w:val="00CD6E84"/>
    <w:rsid w:val="00CD6F4E"/>
    <w:rsid w:val="00CD7156"/>
    <w:rsid w:val="00CD727F"/>
    <w:rsid w:val="00CD7354"/>
    <w:rsid w:val="00CD74FF"/>
    <w:rsid w:val="00CD7612"/>
    <w:rsid w:val="00CD78AB"/>
    <w:rsid w:val="00CD7B97"/>
    <w:rsid w:val="00CE0221"/>
    <w:rsid w:val="00CE081A"/>
    <w:rsid w:val="00CE085C"/>
    <w:rsid w:val="00CE089D"/>
    <w:rsid w:val="00CE0A3C"/>
    <w:rsid w:val="00CE0ACF"/>
    <w:rsid w:val="00CE0D5D"/>
    <w:rsid w:val="00CE0E5B"/>
    <w:rsid w:val="00CE0EBD"/>
    <w:rsid w:val="00CE11BB"/>
    <w:rsid w:val="00CE13B7"/>
    <w:rsid w:val="00CE1441"/>
    <w:rsid w:val="00CE1EC3"/>
    <w:rsid w:val="00CE1ECB"/>
    <w:rsid w:val="00CE213C"/>
    <w:rsid w:val="00CE2509"/>
    <w:rsid w:val="00CE2572"/>
    <w:rsid w:val="00CE27A8"/>
    <w:rsid w:val="00CE289C"/>
    <w:rsid w:val="00CE2AF0"/>
    <w:rsid w:val="00CE2FC7"/>
    <w:rsid w:val="00CE32C6"/>
    <w:rsid w:val="00CE335F"/>
    <w:rsid w:val="00CE3986"/>
    <w:rsid w:val="00CE3AAA"/>
    <w:rsid w:val="00CE3BD1"/>
    <w:rsid w:val="00CE3C5B"/>
    <w:rsid w:val="00CE3F75"/>
    <w:rsid w:val="00CE3FF3"/>
    <w:rsid w:val="00CE42A4"/>
    <w:rsid w:val="00CE42B7"/>
    <w:rsid w:val="00CE4ABA"/>
    <w:rsid w:val="00CE5A0E"/>
    <w:rsid w:val="00CE5F59"/>
    <w:rsid w:val="00CE60D7"/>
    <w:rsid w:val="00CE61C7"/>
    <w:rsid w:val="00CE65B2"/>
    <w:rsid w:val="00CE6B4D"/>
    <w:rsid w:val="00CE6CAB"/>
    <w:rsid w:val="00CE6D1A"/>
    <w:rsid w:val="00CE71A8"/>
    <w:rsid w:val="00CE72A2"/>
    <w:rsid w:val="00CE77A9"/>
    <w:rsid w:val="00CE7AC9"/>
    <w:rsid w:val="00CE7BF0"/>
    <w:rsid w:val="00CE7DD0"/>
    <w:rsid w:val="00CF00B4"/>
    <w:rsid w:val="00CF00B6"/>
    <w:rsid w:val="00CF01B2"/>
    <w:rsid w:val="00CF0276"/>
    <w:rsid w:val="00CF038F"/>
    <w:rsid w:val="00CF03B6"/>
    <w:rsid w:val="00CF03CA"/>
    <w:rsid w:val="00CF042E"/>
    <w:rsid w:val="00CF07EB"/>
    <w:rsid w:val="00CF0803"/>
    <w:rsid w:val="00CF0A48"/>
    <w:rsid w:val="00CF0A49"/>
    <w:rsid w:val="00CF0A77"/>
    <w:rsid w:val="00CF0F9B"/>
    <w:rsid w:val="00CF1838"/>
    <w:rsid w:val="00CF1B0F"/>
    <w:rsid w:val="00CF1FF1"/>
    <w:rsid w:val="00CF23BD"/>
    <w:rsid w:val="00CF2536"/>
    <w:rsid w:val="00CF2660"/>
    <w:rsid w:val="00CF2AF9"/>
    <w:rsid w:val="00CF2B64"/>
    <w:rsid w:val="00CF2C0D"/>
    <w:rsid w:val="00CF2EAD"/>
    <w:rsid w:val="00CF2EBB"/>
    <w:rsid w:val="00CF3A27"/>
    <w:rsid w:val="00CF3AE8"/>
    <w:rsid w:val="00CF3BA2"/>
    <w:rsid w:val="00CF46CC"/>
    <w:rsid w:val="00CF4866"/>
    <w:rsid w:val="00CF4A33"/>
    <w:rsid w:val="00CF4FCB"/>
    <w:rsid w:val="00CF5062"/>
    <w:rsid w:val="00CF5130"/>
    <w:rsid w:val="00CF5623"/>
    <w:rsid w:val="00CF585C"/>
    <w:rsid w:val="00CF5DEC"/>
    <w:rsid w:val="00CF6185"/>
    <w:rsid w:val="00CF61D6"/>
    <w:rsid w:val="00CF6829"/>
    <w:rsid w:val="00CF6966"/>
    <w:rsid w:val="00CF6A8E"/>
    <w:rsid w:val="00CF72F1"/>
    <w:rsid w:val="00CF72FF"/>
    <w:rsid w:val="00CF7579"/>
    <w:rsid w:val="00CF7607"/>
    <w:rsid w:val="00CF7675"/>
    <w:rsid w:val="00CF7C8D"/>
    <w:rsid w:val="00D005C3"/>
    <w:rsid w:val="00D00793"/>
    <w:rsid w:val="00D00815"/>
    <w:rsid w:val="00D00D82"/>
    <w:rsid w:val="00D00D8E"/>
    <w:rsid w:val="00D00E81"/>
    <w:rsid w:val="00D0108E"/>
    <w:rsid w:val="00D013A7"/>
    <w:rsid w:val="00D01460"/>
    <w:rsid w:val="00D01796"/>
    <w:rsid w:val="00D018E2"/>
    <w:rsid w:val="00D01994"/>
    <w:rsid w:val="00D01AB5"/>
    <w:rsid w:val="00D01C9A"/>
    <w:rsid w:val="00D01F55"/>
    <w:rsid w:val="00D020D7"/>
    <w:rsid w:val="00D02229"/>
    <w:rsid w:val="00D02294"/>
    <w:rsid w:val="00D023C3"/>
    <w:rsid w:val="00D029A1"/>
    <w:rsid w:val="00D02B97"/>
    <w:rsid w:val="00D02D08"/>
    <w:rsid w:val="00D031F6"/>
    <w:rsid w:val="00D03379"/>
    <w:rsid w:val="00D03510"/>
    <w:rsid w:val="00D0367A"/>
    <w:rsid w:val="00D0371B"/>
    <w:rsid w:val="00D0376B"/>
    <w:rsid w:val="00D037FC"/>
    <w:rsid w:val="00D03DDA"/>
    <w:rsid w:val="00D03F79"/>
    <w:rsid w:val="00D0408C"/>
    <w:rsid w:val="00D044DF"/>
    <w:rsid w:val="00D046FA"/>
    <w:rsid w:val="00D0472F"/>
    <w:rsid w:val="00D04AFC"/>
    <w:rsid w:val="00D04DD0"/>
    <w:rsid w:val="00D054C2"/>
    <w:rsid w:val="00D05631"/>
    <w:rsid w:val="00D058B9"/>
    <w:rsid w:val="00D05B6B"/>
    <w:rsid w:val="00D05C69"/>
    <w:rsid w:val="00D065FB"/>
    <w:rsid w:val="00D06E71"/>
    <w:rsid w:val="00D06FBF"/>
    <w:rsid w:val="00D070E8"/>
    <w:rsid w:val="00D0719B"/>
    <w:rsid w:val="00D0720E"/>
    <w:rsid w:val="00D0780B"/>
    <w:rsid w:val="00D07A74"/>
    <w:rsid w:val="00D07F65"/>
    <w:rsid w:val="00D10418"/>
    <w:rsid w:val="00D10730"/>
    <w:rsid w:val="00D10D19"/>
    <w:rsid w:val="00D10E20"/>
    <w:rsid w:val="00D1186B"/>
    <w:rsid w:val="00D11B8B"/>
    <w:rsid w:val="00D11FDE"/>
    <w:rsid w:val="00D12266"/>
    <w:rsid w:val="00D1227E"/>
    <w:rsid w:val="00D124C5"/>
    <w:rsid w:val="00D12530"/>
    <w:rsid w:val="00D125BE"/>
    <w:rsid w:val="00D125E4"/>
    <w:rsid w:val="00D12D24"/>
    <w:rsid w:val="00D12D77"/>
    <w:rsid w:val="00D131EE"/>
    <w:rsid w:val="00D1326E"/>
    <w:rsid w:val="00D132AB"/>
    <w:rsid w:val="00D134E8"/>
    <w:rsid w:val="00D13857"/>
    <w:rsid w:val="00D13B11"/>
    <w:rsid w:val="00D13B25"/>
    <w:rsid w:val="00D1401F"/>
    <w:rsid w:val="00D14214"/>
    <w:rsid w:val="00D14477"/>
    <w:rsid w:val="00D1450B"/>
    <w:rsid w:val="00D147B9"/>
    <w:rsid w:val="00D14923"/>
    <w:rsid w:val="00D14B97"/>
    <w:rsid w:val="00D14E41"/>
    <w:rsid w:val="00D151F3"/>
    <w:rsid w:val="00D15448"/>
    <w:rsid w:val="00D1547D"/>
    <w:rsid w:val="00D15A88"/>
    <w:rsid w:val="00D15E1B"/>
    <w:rsid w:val="00D15E8F"/>
    <w:rsid w:val="00D15F08"/>
    <w:rsid w:val="00D1645F"/>
    <w:rsid w:val="00D166E7"/>
    <w:rsid w:val="00D16836"/>
    <w:rsid w:val="00D16A62"/>
    <w:rsid w:val="00D16AFA"/>
    <w:rsid w:val="00D16C96"/>
    <w:rsid w:val="00D16E2D"/>
    <w:rsid w:val="00D171CE"/>
    <w:rsid w:val="00D17E6F"/>
    <w:rsid w:val="00D2005E"/>
    <w:rsid w:val="00D204FE"/>
    <w:rsid w:val="00D2065A"/>
    <w:rsid w:val="00D2092F"/>
    <w:rsid w:val="00D20A55"/>
    <w:rsid w:val="00D20B28"/>
    <w:rsid w:val="00D2105B"/>
    <w:rsid w:val="00D211DC"/>
    <w:rsid w:val="00D216B1"/>
    <w:rsid w:val="00D21862"/>
    <w:rsid w:val="00D218C4"/>
    <w:rsid w:val="00D21A49"/>
    <w:rsid w:val="00D21B19"/>
    <w:rsid w:val="00D21FC0"/>
    <w:rsid w:val="00D21FFF"/>
    <w:rsid w:val="00D2227B"/>
    <w:rsid w:val="00D2235B"/>
    <w:rsid w:val="00D223BF"/>
    <w:rsid w:val="00D224B2"/>
    <w:rsid w:val="00D224BC"/>
    <w:rsid w:val="00D228C7"/>
    <w:rsid w:val="00D22C64"/>
    <w:rsid w:val="00D22D34"/>
    <w:rsid w:val="00D23138"/>
    <w:rsid w:val="00D2329C"/>
    <w:rsid w:val="00D233EA"/>
    <w:rsid w:val="00D23418"/>
    <w:rsid w:val="00D234A6"/>
    <w:rsid w:val="00D23506"/>
    <w:rsid w:val="00D2381F"/>
    <w:rsid w:val="00D23934"/>
    <w:rsid w:val="00D23A18"/>
    <w:rsid w:val="00D23E26"/>
    <w:rsid w:val="00D2406E"/>
    <w:rsid w:val="00D240E4"/>
    <w:rsid w:val="00D243C2"/>
    <w:rsid w:val="00D244CC"/>
    <w:rsid w:val="00D245D6"/>
    <w:rsid w:val="00D24612"/>
    <w:rsid w:val="00D24763"/>
    <w:rsid w:val="00D24900"/>
    <w:rsid w:val="00D24A57"/>
    <w:rsid w:val="00D25216"/>
    <w:rsid w:val="00D25356"/>
    <w:rsid w:val="00D2575F"/>
    <w:rsid w:val="00D25B17"/>
    <w:rsid w:val="00D261FD"/>
    <w:rsid w:val="00D26918"/>
    <w:rsid w:val="00D26B49"/>
    <w:rsid w:val="00D26CD3"/>
    <w:rsid w:val="00D26F59"/>
    <w:rsid w:val="00D27307"/>
    <w:rsid w:val="00D27325"/>
    <w:rsid w:val="00D275A5"/>
    <w:rsid w:val="00D27A38"/>
    <w:rsid w:val="00D27AA8"/>
    <w:rsid w:val="00D27D64"/>
    <w:rsid w:val="00D27F99"/>
    <w:rsid w:val="00D3030F"/>
    <w:rsid w:val="00D3091F"/>
    <w:rsid w:val="00D31032"/>
    <w:rsid w:val="00D31155"/>
    <w:rsid w:val="00D3166E"/>
    <w:rsid w:val="00D3181E"/>
    <w:rsid w:val="00D31C0F"/>
    <w:rsid w:val="00D31C5A"/>
    <w:rsid w:val="00D32050"/>
    <w:rsid w:val="00D32488"/>
    <w:rsid w:val="00D3267C"/>
    <w:rsid w:val="00D32EB3"/>
    <w:rsid w:val="00D32F0A"/>
    <w:rsid w:val="00D32F0F"/>
    <w:rsid w:val="00D3340C"/>
    <w:rsid w:val="00D33630"/>
    <w:rsid w:val="00D33BC7"/>
    <w:rsid w:val="00D33BDA"/>
    <w:rsid w:val="00D33FEC"/>
    <w:rsid w:val="00D34384"/>
    <w:rsid w:val="00D347C8"/>
    <w:rsid w:val="00D347E2"/>
    <w:rsid w:val="00D34A4D"/>
    <w:rsid w:val="00D34E5A"/>
    <w:rsid w:val="00D350AD"/>
    <w:rsid w:val="00D35369"/>
    <w:rsid w:val="00D3568D"/>
    <w:rsid w:val="00D35715"/>
    <w:rsid w:val="00D35ADE"/>
    <w:rsid w:val="00D35B9C"/>
    <w:rsid w:val="00D35DAF"/>
    <w:rsid w:val="00D35DF4"/>
    <w:rsid w:val="00D35E35"/>
    <w:rsid w:val="00D35EC3"/>
    <w:rsid w:val="00D363D3"/>
    <w:rsid w:val="00D363E9"/>
    <w:rsid w:val="00D36475"/>
    <w:rsid w:val="00D36488"/>
    <w:rsid w:val="00D365B6"/>
    <w:rsid w:val="00D366B1"/>
    <w:rsid w:val="00D3679B"/>
    <w:rsid w:val="00D367B4"/>
    <w:rsid w:val="00D3684E"/>
    <w:rsid w:val="00D36F79"/>
    <w:rsid w:val="00D370BB"/>
    <w:rsid w:val="00D3734A"/>
    <w:rsid w:val="00D37407"/>
    <w:rsid w:val="00D3771C"/>
    <w:rsid w:val="00D379AE"/>
    <w:rsid w:val="00D37FA9"/>
    <w:rsid w:val="00D403A7"/>
    <w:rsid w:val="00D403AD"/>
    <w:rsid w:val="00D406EE"/>
    <w:rsid w:val="00D40D8A"/>
    <w:rsid w:val="00D40FEF"/>
    <w:rsid w:val="00D410AE"/>
    <w:rsid w:val="00D41744"/>
    <w:rsid w:val="00D41847"/>
    <w:rsid w:val="00D42296"/>
    <w:rsid w:val="00D42633"/>
    <w:rsid w:val="00D42A9B"/>
    <w:rsid w:val="00D42C98"/>
    <w:rsid w:val="00D43372"/>
    <w:rsid w:val="00D43CAC"/>
    <w:rsid w:val="00D43CF0"/>
    <w:rsid w:val="00D43E30"/>
    <w:rsid w:val="00D43ED1"/>
    <w:rsid w:val="00D43FC6"/>
    <w:rsid w:val="00D44780"/>
    <w:rsid w:val="00D44798"/>
    <w:rsid w:val="00D4491E"/>
    <w:rsid w:val="00D4493E"/>
    <w:rsid w:val="00D44B06"/>
    <w:rsid w:val="00D44C7B"/>
    <w:rsid w:val="00D44DF5"/>
    <w:rsid w:val="00D452B7"/>
    <w:rsid w:val="00D45597"/>
    <w:rsid w:val="00D456DB"/>
    <w:rsid w:val="00D45775"/>
    <w:rsid w:val="00D45BA4"/>
    <w:rsid w:val="00D45ED5"/>
    <w:rsid w:val="00D46048"/>
    <w:rsid w:val="00D46347"/>
    <w:rsid w:val="00D46A41"/>
    <w:rsid w:val="00D46AAA"/>
    <w:rsid w:val="00D470ED"/>
    <w:rsid w:val="00D472A4"/>
    <w:rsid w:val="00D4732E"/>
    <w:rsid w:val="00D47358"/>
    <w:rsid w:val="00D474B2"/>
    <w:rsid w:val="00D47BD4"/>
    <w:rsid w:val="00D5023C"/>
    <w:rsid w:val="00D503B5"/>
    <w:rsid w:val="00D50477"/>
    <w:rsid w:val="00D50489"/>
    <w:rsid w:val="00D5059B"/>
    <w:rsid w:val="00D511AF"/>
    <w:rsid w:val="00D514CE"/>
    <w:rsid w:val="00D514D2"/>
    <w:rsid w:val="00D51583"/>
    <w:rsid w:val="00D516CC"/>
    <w:rsid w:val="00D51773"/>
    <w:rsid w:val="00D5187A"/>
    <w:rsid w:val="00D519CD"/>
    <w:rsid w:val="00D51D08"/>
    <w:rsid w:val="00D51E5C"/>
    <w:rsid w:val="00D51E6F"/>
    <w:rsid w:val="00D52129"/>
    <w:rsid w:val="00D5215E"/>
    <w:rsid w:val="00D52188"/>
    <w:rsid w:val="00D52215"/>
    <w:rsid w:val="00D52227"/>
    <w:rsid w:val="00D523C6"/>
    <w:rsid w:val="00D52467"/>
    <w:rsid w:val="00D529C1"/>
    <w:rsid w:val="00D52C8C"/>
    <w:rsid w:val="00D52EDE"/>
    <w:rsid w:val="00D53284"/>
    <w:rsid w:val="00D532FE"/>
    <w:rsid w:val="00D5331F"/>
    <w:rsid w:val="00D5341A"/>
    <w:rsid w:val="00D536AB"/>
    <w:rsid w:val="00D53703"/>
    <w:rsid w:val="00D538D9"/>
    <w:rsid w:val="00D53A1D"/>
    <w:rsid w:val="00D53CE5"/>
    <w:rsid w:val="00D53FD4"/>
    <w:rsid w:val="00D53FF4"/>
    <w:rsid w:val="00D5452A"/>
    <w:rsid w:val="00D545B8"/>
    <w:rsid w:val="00D5495A"/>
    <w:rsid w:val="00D54DB6"/>
    <w:rsid w:val="00D556EC"/>
    <w:rsid w:val="00D5577B"/>
    <w:rsid w:val="00D559AB"/>
    <w:rsid w:val="00D56060"/>
    <w:rsid w:val="00D5609C"/>
    <w:rsid w:val="00D56482"/>
    <w:rsid w:val="00D56501"/>
    <w:rsid w:val="00D56B5C"/>
    <w:rsid w:val="00D56D31"/>
    <w:rsid w:val="00D56D34"/>
    <w:rsid w:val="00D5730E"/>
    <w:rsid w:val="00D5759D"/>
    <w:rsid w:val="00D576E1"/>
    <w:rsid w:val="00D57C66"/>
    <w:rsid w:val="00D57F2F"/>
    <w:rsid w:val="00D57F39"/>
    <w:rsid w:val="00D601AE"/>
    <w:rsid w:val="00D601DD"/>
    <w:rsid w:val="00D612F0"/>
    <w:rsid w:val="00D61447"/>
    <w:rsid w:val="00D61910"/>
    <w:rsid w:val="00D61F98"/>
    <w:rsid w:val="00D62358"/>
    <w:rsid w:val="00D6267B"/>
    <w:rsid w:val="00D627E5"/>
    <w:rsid w:val="00D62ACB"/>
    <w:rsid w:val="00D62E51"/>
    <w:rsid w:val="00D62F17"/>
    <w:rsid w:val="00D630E4"/>
    <w:rsid w:val="00D6383F"/>
    <w:rsid w:val="00D63C69"/>
    <w:rsid w:val="00D64112"/>
    <w:rsid w:val="00D6419F"/>
    <w:rsid w:val="00D6420A"/>
    <w:rsid w:val="00D642B5"/>
    <w:rsid w:val="00D6444F"/>
    <w:rsid w:val="00D644C0"/>
    <w:rsid w:val="00D644C3"/>
    <w:rsid w:val="00D64578"/>
    <w:rsid w:val="00D64670"/>
    <w:rsid w:val="00D648A9"/>
    <w:rsid w:val="00D6495F"/>
    <w:rsid w:val="00D64D45"/>
    <w:rsid w:val="00D64F45"/>
    <w:rsid w:val="00D65229"/>
    <w:rsid w:val="00D652E7"/>
    <w:rsid w:val="00D65388"/>
    <w:rsid w:val="00D657B5"/>
    <w:rsid w:val="00D657F9"/>
    <w:rsid w:val="00D65B6F"/>
    <w:rsid w:val="00D65CCF"/>
    <w:rsid w:val="00D65E97"/>
    <w:rsid w:val="00D660DA"/>
    <w:rsid w:val="00D66753"/>
    <w:rsid w:val="00D6688D"/>
    <w:rsid w:val="00D668F7"/>
    <w:rsid w:val="00D672E8"/>
    <w:rsid w:val="00D67477"/>
    <w:rsid w:val="00D674E6"/>
    <w:rsid w:val="00D67895"/>
    <w:rsid w:val="00D67BFD"/>
    <w:rsid w:val="00D67C2C"/>
    <w:rsid w:val="00D67D53"/>
    <w:rsid w:val="00D67EA3"/>
    <w:rsid w:val="00D70137"/>
    <w:rsid w:val="00D70212"/>
    <w:rsid w:val="00D70A57"/>
    <w:rsid w:val="00D70CC9"/>
    <w:rsid w:val="00D710C1"/>
    <w:rsid w:val="00D71332"/>
    <w:rsid w:val="00D716B3"/>
    <w:rsid w:val="00D71721"/>
    <w:rsid w:val="00D71C6B"/>
    <w:rsid w:val="00D71E79"/>
    <w:rsid w:val="00D71F16"/>
    <w:rsid w:val="00D71F37"/>
    <w:rsid w:val="00D724CD"/>
    <w:rsid w:val="00D727AE"/>
    <w:rsid w:val="00D729E9"/>
    <w:rsid w:val="00D72B89"/>
    <w:rsid w:val="00D72BA7"/>
    <w:rsid w:val="00D72E4D"/>
    <w:rsid w:val="00D7306D"/>
    <w:rsid w:val="00D73265"/>
    <w:rsid w:val="00D7381B"/>
    <w:rsid w:val="00D73871"/>
    <w:rsid w:val="00D738A1"/>
    <w:rsid w:val="00D73A73"/>
    <w:rsid w:val="00D73A9E"/>
    <w:rsid w:val="00D73ADD"/>
    <w:rsid w:val="00D73B6C"/>
    <w:rsid w:val="00D7407E"/>
    <w:rsid w:val="00D741E4"/>
    <w:rsid w:val="00D74367"/>
    <w:rsid w:val="00D7441E"/>
    <w:rsid w:val="00D7465E"/>
    <w:rsid w:val="00D747B6"/>
    <w:rsid w:val="00D7497F"/>
    <w:rsid w:val="00D74A62"/>
    <w:rsid w:val="00D75101"/>
    <w:rsid w:val="00D756A8"/>
    <w:rsid w:val="00D756EB"/>
    <w:rsid w:val="00D757EC"/>
    <w:rsid w:val="00D75C7A"/>
    <w:rsid w:val="00D75EE6"/>
    <w:rsid w:val="00D760CC"/>
    <w:rsid w:val="00D76272"/>
    <w:rsid w:val="00D7659F"/>
    <w:rsid w:val="00D765A4"/>
    <w:rsid w:val="00D76736"/>
    <w:rsid w:val="00D76A63"/>
    <w:rsid w:val="00D77266"/>
    <w:rsid w:val="00D774C9"/>
    <w:rsid w:val="00D77A7F"/>
    <w:rsid w:val="00D77AF7"/>
    <w:rsid w:val="00D77F7B"/>
    <w:rsid w:val="00D800FA"/>
    <w:rsid w:val="00D80530"/>
    <w:rsid w:val="00D8055D"/>
    <w:rsid w:val="00D805BC"/>
    <w:rsid w:val="00D80729"/>
    <w:rsid w:val="00D8079E"/>
    <w:rsid w:val="00D809CD"/>
    <w:rsid w:val="00D80B8B"/>
    <w:rsid w:val="00D80D25"/>
    <w:rsid w:val="00D80D9E"/>
    <w:rsid w:val="00D80FB5"/>
    <w:rsid w:val="00D81001"/>
    <w:rsid w:val="00D81131"/>
    <w:rsid w:val="00D8164A"/>
    <w:rsid w:val="00D8190F"/>
    <w:rsid w:val="00D81950"/>
    <w:rsid w:val="00D81986"/>
    <w:rsid w:val="00D81C9A"/>
    <w:rsid w:val="00D81DCB"/>
    <w:rsid w:val="00D8204E"/>
    <w:rsid w:val="00D82476"/>
    <w:rsid w:val="00D828DC"/>
    <w:rsid w:val="00D82DBE"/>
    <w:rsid w:val="00D82E4C"/>
    <w:rsid w:val="00D831F4"/>
    <w:rsid w:val="00D8379A"/>
    <w:rsid w:val="00D837B5"/>
    <w:rsid w:val="00D8393C"/>
    <w:rsid w:val="00D83C68"/>
    <w:rsid w:val="00D83D6E"/>
    <w:rsid w:val="00D83DA8"/>
    <w:rsid w:val="00D83E42"/>
    <w:rsid w:val="00D83ECD"/>
    <w:rsid w:val="00D84231"/>
    <w:rsid w:val="00D8445E"/>
    <w:rsid w:val="00D84C2D"/>
    <w:rsid w:val="00D84D7D"/>
    <w:rsid w:val="00D85076"/>
    <w:rsid w:val="00D85555"/>
    <w:rsid w:val="00D85899"/>
    <w:rsid w:val="00D85C83"/>
    <w:rsid w:val="00D85ED6"/>
    <w:rsid w:val="00D86290"/>
    <w:rsid w:val="00D86526"/>
    <w:rsid w:val="00D8658A"/>
    <w:rsid w:val="00D866C2"/>
    <w:rsid w:val="00D867EA"/>
    <w:rsid w:val="00D8697A"/>
    <w:rsid w:val="00D86F0C"/>
    <w:rsid w:val="00D86F16"/>
    <w:rsid w:val="00D86F7F"/>
    <w:rsid w:val="00D872BC"/>
    <w:rsid w:val="00D8732C"/>
    <w:rsid w:val="00D87564"/>
    <w:rsid w:val="00D875F6"/>
    <w:rsid w:val="00D87699"/>
    <w:rsid w:val="00D87882"/>
    <w:rsid w:val="00D8796A"/>
    <w:rsid w:val="00D87C1A"/>
    <w:rsid w:val="00D87C70"/>
    <w:rsid w:val="00D87D66"/>
    <w:rsid w:val="00D87F24"/>
    <w:rsid w:val="00D9028F"/>
    <w:rsid w:val="00D90525"/>
    <w:rsid w:val="00D907EF"/>
    <w:rsid w:val="00D9086E"/>
    <w:rsid w:val="00D90BC9"/>
    <w:rsid w:val="00D910EA"/>
    <w:rsid w:val="00D91539"/>
    <w:rsid w:val="00D915C7"/>
    <w:rsid w:val="00D917D5"/>
    <w:rsid w:val="00D91FE2"/>
    <w:rsid w:val="00D92074"/>
    <w:rsid w:val="00D922B2"/>
    <w:rsid w:val="00D9235C"/>
    <w:rsid w:val="00D92483"/>
    <w:rsid w:val="00D92637"/>
    <w:rsid w:val="00D92676"/>
    <w:rsid w:val="00D92987"/>
    <w:rsid w:val="00D92EA4"/>
    <w:rsid w:val="00D92FA3"/>
    <w:rsid w:val="00D930D2"/>
    <w:rsid w:val="00D93190"/>
    <w:rsid w:val="00D93529"/>
    <w:rsid w:val="00D9370E"/>
    <w:rsid w:val="00D93814"/>
    <w:rsid w:val="00D93A26"/>
    <w:rsid w:val="00D93C35"/>
    <w:rsid w:val="00D93FF9"/>
    <w:rsid w:val="00D94084"/>
    <w:rsid w:val="00D94135"/>
    <w:rsid w:val="00D942D3"/>
    <w:rsid w:val="00D94C4D"/>
    <w:rsid w:val="00D94E25"/>
    <w:rsid w:val="00D9521E"/>
    <w:rsid w:val="00D9559A"/>
    <w:rsid w:val="00D9564C"/>
    <w:rsid w:val="00D95A44"/>
    <w:rsid w:val="00D96405"/>
    <w:rsid w:val="00D96561"/>
    <w:rsid w:val="00D9708A"/>
    <w:rsid w:val="00D97361"/>
    <w:rsid w:val="00D974DB"/>
    <w:rsid w:val="00D97CBE"/>
    <w:rsid w:val="00D97D0A"/>
    <w:rsid w:val="00D97FA2"/>
    <w:rsid w:val="00DA0471"/>
    <w:rsid w:val="00DA0633"/>
    <w:rsid w:val="00DA083E"/>
    <w:rsid w:val="00DA0FB1"/>
    <w:rsid w:val="00DA11B7"/>
    <w:rsid w:val="00DA1296"/>
    <w:rsid w:val="00DA13B1"/>
    <w:rsid w:val="00DA172D"/>
    <w:rsid w:val="00DA1734"/>
    <w:rsid w:val="00DA1CA4"/>
    <w:rsid w:val="00DA1F02"/>
    <w:rsid w:val="00DA1FBC"/>
    <w:rsid w:val="00DA2097"/>
    <w:rsid w:val="00DA2144"/>
    <w:rsid w:val="00DA2229"/>
    <w:rsid w:val="00DA2867"/>
    <w:rsid w:val="00DA2979"/>
    <w:rsid w:val="00DA2A96"/>
    <w:rsid w:val="00DA2D8A"/>
    <w:rsid w:val="00DA31DE"/>
    <w:rsid w:val="00DA3286"/>
    <w:rsid w:val="00DA32D7"/>
    <w:rsid w:val="00DA382E"/>
    <w:rsid w:val="00DA3DC2"/>
    <w:rsid w:val="00DA4089"/>
    <w:rsid w:val="00DA428D"/>
    <w:rsid w:val="00DA43A0"/>
    <w:rsid w:val="00DA44AD"/>
    <w:rsid w:val="00DA4761"/>
    <w:rsid w:val="00DA4A1E"/>
    <w:rsid w:val="00DA4A71"/>
    <w:rsid w:val="00DA4E5B"/>
    <w:rsid w:val="00DA52A9"/>
    <w:rsid w:val="00DA5584"/>
    <w:rsid w:val="00DA585A"/>
    <w:rsid w:val="00DA592C"/>
    <w:rsid w:val="00DA595C"/>
    <w:rsid w:val="00DA59BE"/>
    <w:rsid w:val="00DA5C5F"/>
    <w:rsid w:val="00DA6099"/>
    <w:rsid w:val="00DA60A3"/>
    <w:rsid w:val="00DA6136"/>
    <w:rsid w:val="00DA62A9"/>
    <w:rsid w:val="00DA6CCA"/>
    <w:rsid w:val="00DA6E33"/>
    <w:rsid w:val="00DA7474"/>
    <w:rsid w:val="00DA74EC"/>
    <w:rsid w:val="00DA783A"/>
    <w:rsid w:val="00DA7851"/>
    <w:rsid w:val="00DA7E69"/>
    <w:rsid w:val="00DA7F4B"/>
    <w:rsid w:val="00DAA753"/>
    <w:rsid w:val="00DB027D"/>
    <w:rsid w:val="00DB06D5"/>
    <w:rsid w:val="00DB0B4C"/>
    <w:rsid w:val="00DB0D49"/>
    <w:rsid w:val="00DB1002"/>
    <w:rsid w:val="00DB1024"/>
    <w:rsid w:val="00DB129F"/>
    <w:rsid w:val="00DB14C7"/>
    <w:rsid w:val="00DB1A56"/>
    <w:rsid w:val="00DB2012"/>
    <w:rsid w:val="00DB23BF"/>
    <w:rsid w:val="00DB2815"/>
    <w:rsid w:val="00DB291F"/>
    <w:rsid w:val="00DB2A7E"/>
    <w:rsid w:val="00DB2D1F"/>
    <w:rsid w:val="00DB2F88"/>
    <w:rsid w:val="00DB2FFE"/>
    <w:rsid w:val="00DB31D3"/>
    <w:rsid w:val="00DB31FC"/>
    <w:rsid w:val="00DB320A"/>
    <w:rsid w:val="00DB360E"/>
    <w:rsid w:val="00DB3BE7"/>
    <w:rsid w:val="00DB3C58"/>
    <w:rsid w:val="00DB3C67"/>
    <w:rsid w:val="00DB3EC7"/>
    <w:rsid w:val="00DB41A8"/>
    <w:rsid w:val="00DB4378"/>
    <w:rsid w:val="00DB4E5D"/>
    <w:rsid w:val="00DB4E83"/>
    <w:rsid w:val="00DB51F2"/>
    <w:rsid w:val="00DB52E0"/>
    <w:rsid w:val="00DB52EA"/>
    <w:rsid w:val="00DB5820"/>
    <w:rsid w:val="00DB606D"/>
    <w:rsid w:val="00DB6151"/>
    <w:rsid w:val="00DB6586"/>
    <w:rsid w:val="00DB66CA"/>
    <w:rsid w:val="00DB706D"/>
    <w:rsid w:val="00DB7110"/>
    <w:rsid w:val="00DB71ED"/>
    <w:rsid w:val="00DB7621"/>
    <w:rsid w:val="00DB7652"/>
    <w:rsid w:val="00DB7990"/>
    <w:rsid w:val="00DB7D01"/>
    <w:rsid w:val="00DC0262"/>
    <w:rsid w:val="00DC02B4"/>
    <w:rsid w:val="00DC04C4"/>
    <w:rsid w:val="00DC0659"/>
    <w:rsid w:val="00DC073E"/>
    <w:rsid w:val="00DC0AF2"/>
    <w:rsid w:val="00DC0D0D"/>
    <w:rsid w:val="00DC0DC9"/>
    <w:rsid w:val="00DC0DD5"/>
    <w:rsid w:val="00DC0EA0"/>
    <w:rsid w:val="00DC1393"/>
    <w:rsid w:val="00DC1605"/>
    <w:rsid w:val="00DC17C7"/>
    <w:rsid w:val="00DC1814"/>
    <w:rsid w:val="00DC1A0F"/>
    <w:rsid w:val="00DC1B72"/>
    <w:rsid w:val="00DC1DF2"/>
    <w:rsid w:val="00DC2577"/>
    <w:rsid w:val="00DC28BA"/>
    <w:rsid w:val="00DC28BE"/>
    <w:rsid w:val="00DC29C1"/>
    <w:rsid w:val="00DC2A50"/>
    <w:rsid w:val="00DC2D1D"/>
    <w:rsid w:val="00DC2D92"/>
    <w:rsid w:val="00DC2EC6"/>
    <w:rsid w:val="00DC303D"/>
    <w:rsid w:val="00DC3201"/>
    <w:rsid w:val="00DC348B"/>
    <w:rsid w:val="00DC348D"/>
    <w:rsid w:val="00DC357F"/>
    <w:rsid w:val="00DC35AB"/>
    <w:rsid w:val="00DC37F5"/>
    <w:rsid w:val="00DC39D4"/>
    <w:rsid w:val="00DC3B86"/>
    <w:rsid w:val="00DC3BAA"/>
    <w:rsid w:val="00DC3CBC"/>
    <w:rsid w:val="00DC3E1C"/>
    <w:rsid w:val="00DC40D3"/>
    <w:rsid w:val="00DC41B9"/>
    <w:rsid w:val="00DC41BC"/>
    <w:rsid w:val="00DC41F9"/>
    <w:rsid w:val="00DC425C"/>
    <w:rsid w:val="00DC4489"/>
    <w:rsid w:val="00DC4715"/>
    <w:rsid w:val="00DC481D"/>
    <w:rsid w:val="00DC4907"/>
    <w:rsid w:val="00DC4BC5"/>
    <w:rsid w:val="00DC528F"/>
    <w:rsid w:val="00DC536C"/>
    <w:rsid w:val="00DC5A97"/>
    <w:rsid w:val="00DC5C41"/>
    <w:rsid w:val="00DC601C"/>
    <w:rsid w:val="00DC63A4"/>
    <w:rsid w:val="00DC63D0"/>
    <w:rsid w:val="00DC660F"/>
    <w:rsid w:val="00DC6910"/>
    <w:rsid w:val="00DC6B82"/>
    <w:rsid w:val="00DC6D2E"/>
    <w:rsid w:val="00DC7263"/>
    <w:rsid w:val="00DC7503"/>
    <w:rsid w:val="00DC765D"/>
    <w:rsid w:val="00DC77C1"/>
    <w:rsid w:val="00DC78CF"/>
    <w:rsid w:val="00DD0344"/>
    <w:rsid w:val="00DD06B7"/>
    <w:rsid w:val="00DD095A"/>
    <w:rsid w:val="00DD0ACB"/>
    <w:rsid w:val="00DD0B66"/>
    <w:rsid w:val="00DD0E60"/>
    <w:rsid w:val="00DD0ED7"/>
    <w:rsid w:val="00DD1061"/>
    <w:rsid w:val="00DD12B7"/>
    <w:rsid w:val="00DD1448"/>
    <w:rsid w:val="00DD1E05"/>
    <w:rsid w:val="00DD23D8"/>
    <w:rsid w:val="00DD27E4"/>
    <w:rsid w:val="00DD2AEA"/>
    <w:rsid w:val="00DD2B83"/>
    <w:rsid w:val="00DD2BBB"/>
    <w:rsid w:val="00DD2E6B"/>
    <w:rsid w:val="00DD31F8"/>
    <w:rsid w:val="00DD3386"/>
    <w:rsid w:val="00DD37A9"/>
    <w:rsid w:val="00DD3A24"/>
    <w:rsid w:val="00DD3FB8"/>
    <w:rsid w:val="00DD3FE8"/>
    <w:rsid w:val="00DD4002"/>
    <w:rsid w:val="00DD4007"/>
    <w:rsid w:val="00DD41B6"/>
    <w:rsid w:val="00DD46FA"/>
    <w:rsid w:val="00DD4914"/>
    <w:rsid w:val="00DD4D8F"/>
    <w:rsid w:val="00DD4DF6"/>
    <w:rsid w:val="00DD4F05"/>
    <w:rsid w:val="00DD4F83"/>
    <w:rsid w:val="00DD5471"/>
    <w:rsid w:val="00DD570C"/>
    <w:rsid w:val="00DD57C2"/>
    <w:rsid w:val="00DD59E0"/>
    <w:rsid w:val="00DD5A37"/>
    <w:rsid w:val="00DD5F44"/>
    <w:rsid w:val="00DD6168"/>
    <w:rsid w:val="00DD6677"/>
    <w:rsid w:val="00DD687F"/>
    <w:rsid w:val="00DD6B5B"/>
    <w:rsid w:val="00DD6E30"/>
    <w:rsid w:val="00DD6FC4"/>
    <w:rsid w:val="00DD72DA"/>
    <w:rsid w:val="00DD72DC"/>
    <w:rsid w:val="00DE0190"/>
    <w:rsid w:val="00DE0258"/>
    <w:rsid w:val="00DE03CF"/>
    <w:rsid w:val="00DE05DF"/>
    <w:rsid w:val="00DE09CB"/>
    <w:rsid w:val="00DE09D5"/>
    <w:rsid w:val="00DE0A72"/>
    <w:rsid w:val="00DE0B08"/>
    <w:rsid w:val="00DE0B75"/>
    <w:rsid w:val="00DE0F67"/>
    <w:rsid w:val="00DE16DC"/>
    <w:rsid w:val="00DE174B"/>
    <w:rsid w:val="00DE1A9A"/>
    <w:rsid w:val="00DE1C0D"/>
    <w:rsid w:val="00DE1C9E"/>
    <w:rsid w:val="00DE1E55"/>
    <w:rsid w:val="00DE1F8F"/>
    <w:rsid w:val="00DE22BD"/>
    <w:rsid w:val="00DE23E8"/>
    <w:rsid w:val="00DE2A18"/>
    <w:rsid w:val="00DE31A7"/>
    <w:rsid w:val="00DE32B3"/>
    <w:rsid w:val="00DE33C9"/>
    <w:rsid w:val="00DE373D"/>
    <w:rsid w:val="00DE3828"/>
    <w:rsid w:val="00DE3AF3"/>
    <w:rsid w:val="00DE3EDE"/>
    <w:rsid w:val="00DE40CA"/>
    <w:rsid w:val="00DE45CA"/>
    <w:rsid w:val="00DE461F"/>
    <w:rsid w:val="00DE46EC"/>
    <w:rsid w:val="00DE4837"/>
    <w:rsid w:val="00DE49DF"/>
    <w:rsid w:val="00DE4CEC"/>
    <w:rsid w:val="00DE507C"/>
    <w:rsid w:val="00DE517E"/>
    <w:rsid w:val="00DE551A"/>
    <w:rsid w:val="00DE5850"/>
    <w:rsid w:val="00DE5982"/>
    <w:rsid w:val="00DE5C8A"/>
    <w:rsid w:val="00DE5F09"/>
    <w:rsid w:val="00DE6124"/>
    <w:rsid w:val="00DE640A"/>
    <w:rsid w:val="00DE66E2"/>
    <w:rsid w:val="00DE693A"/>
    <w:rsid w:val="00DE697D"/>
    <w:rsid w:val="00DE6DEE"/>
    <w:rsid w:val="00DE73B2"/>
    <w:rsid w:val="00DE73CD"/>
    <w:rsid w:val="00DE7569"/>
    <w:rsid w:val="00DE76E2"/>
    <w:rsid w:val="00DE79DB"/>
    <w:rsid w:val="00DE7BBC"/>
    <w:rsid w:val="00DE7D0E"/>
    <w:rsid w:val="00DE7D46"/>
    <w:rsid w:val="00DE7DDC"/>
    <w:rsid w:val="00DF021E"/>
    <w:rsid w:val="00DF02C3"/>
    <w:rsid w:val="00DF046A"/>
    <w:rsid w:val="00DF0612"/>
    <w:rsid w:val="00DF0A53"/>
    <w:rsid w:val="00DF0A8C"/>
    <w:rsid w:val="00DF0AC3"/>
    <w:rsid w:val="00DF0D7A"/>
    <w:rsid w:val="00DF0DED"/>
    <w:rsid w:val="00DF0FFF"/>
    <w:rsid w:val="00DF13B3"/>
    <w:rsid w:val="00DF15ED"/>
    <w:rsid w:val="00DF1682"/>
    <w:rsid w:val="00DF1AA7"/>
    <w:rsid w:val="00DF1B7D"/>
    <w:rsid w:val="00DF1FA6"/>
    <w:rsid w:val="00DF222E"/>
    <w:rsid w:val="00DF22FC"/>
    <w:rsid w:val="00DF2A0C"/>
    <w:rsid w:val="00DF2D3B"/>
    <w:rsid w:val="00DF2F4F"/>
    <w:rsid w:val="00DF304B"/>
    <w:rsid w:val="00DF316D"/>
    <w:rsid w:val="00DF3917"/>
    <w:rsid w:val="00DF3F22"/>
    <w:rsid w:val="00DF40EE"/>
    <w:rsid w:val="00DF40FE"/>
    <w:rsid w:val="00DF4475"/>
    <w:rsid w:val="00DF45F6"/>
    <w:rsid w:val="00DF4780"/>
    <w:rsid w:val="00DF4814"/>
    <w:rsid w:val="00DF4ED8"/>
    <w:rsid w:val="00DF572D"/>
    <w:rsid w:val="00DF591A"/>
    <w:rsid w:val="00DF5B5C"/>
    <w:rsid w:val="00DF5D4C"/>
    <w:rsid w:val="00DF5E58"/>
    <w:rsid w:val="00DF618B"/>
    <w:rsid w:val="00DF62C6"/>
    <w:rsid w:val="00DF6343"/>
    <w:rsid w:val="00DF6F79"/>
    <w:rsid w:val="00DF700A"/>
    <w:rsid w:val="00DF767C"/>
    <w:rsid w:val="00DF76FC"/>
    <w:rsid w:val="00DF784F"/>
    <w:rsid w:val="00DF7A0E"/>
    <w:rsid w:val="00DF7A86"/>
    <w:rsid w:val="00E0029B"/>
    <w:rsid w:val="00E004BD"/>
    <w:rsid w:val="00E006F5"/>
    <w:rsid w:val="00E00BDA"/>
    <w:rsid w:val="00E00EA8"/>
    <w:rsid w:val="00E00EDA"/>
    <w:rsid w:val="00E0137C"/>
    <w:rsid w:val="00E01433"/>
    <w:rsid w:val="00E01588"/>
    <w:rsid w:val="00E016A0"/>
    <w:rsid w:val="00E01A2B"/>
    <w:rsid w:val="00E01F49"/>
    <w:rsid w:val="00E02111"/>
    <w:rsid w:val="00E022CE"/>
    <w:rsid w:val="00E0249D"/>
    <w:rsid w:val="00E026C2"/>
    <w:rsid w:val="00E0277C"/>
    <w:rsid w:val="00E02BEA"/>
    <w:rsid w:val="00E02E92"/>
    <w:rsid w:val="00E02FDA"/>
    <w:rsid w:val="00E03467"/>
    <w:rsid w:val="00E034A1"/>
    <w:rsid w:val="00E0363A"/>
    <w:rsid w:val="00E03B37"/>
    <w:rsid w:val="00E03C94"/>
    <w:rsid w:val="00E03D02"/>
    <w:rsid w:val="00E03D81"/>
    <w:rsid w:val="00E04187"/>
    <w:rsid w:val="00E04649"/>
    <w:rsid w:val="00E04903"/>
    <w:rsid w:val="00E04C0D"/>
    <w:rsid w:val="00E04C94"/>
    <w:rsid w:val="00E04F14"/>
    <w:rsid w:val="00E0507C"/>
    <w:rsid w:val="00E05264"/>
    <w:rsid w:val="00E0528A"/>
    <w:rsid w:val="00E052E9"/>
    <w:rsid w:val="00E05A32"/>
    <w:rsid w:val="00E05B39"/>
    <w:rsid w:val="00E05E7E"/>
    <w:rsid w:val="00E05FBC"/>
    <w:rsid w:val="00E06156"/>
    <w:rsid w:val="00E06604"/>
    <w:rsid w:val="00E06951"/>
    <w:rsid w:val="00E06A7E"/>
    <w:rsid w:val="00E06AC8"/>
    <w:rsid w:val="00E070BE"/>
    <w:rsid w:val="00E07254"/>
    <w:rsid w:val="00E07583"/>
    <w:rsid w:val="00E07B9D"/>
    <w:rsid w:val="00E07BFF"/>
    <w:rsid w:val="00E07CD4"/>
    <w:rsid w:val="00E07D5F"/>
    <w:rsid w:val="00E07F56"/>
    <w:rsid w:val="00E07FB6"/>
    <w:rsid w:val="00E10385"/>
    <w:rsid w:val="00E10449"/>
    <w:rsid w:val="00E104E9"/>
    <w:rsid w:val="00E104EE"/>
    <w:rsid w:val="00E10539"/>
    <w:rsid w:val="00E105E3"/>
    <w:rsid w:val="00E105F4"/>
    <w:rsid w:val="00E10CBB"/>
    <w:rsid w:val="00E1108C"/>
    <w:rsid w:val="00E1109D"/>
    <w:rsid w:val="00E11176"/>
    <w:rsid w:val="00E1132B"/>
    <w:rsid w:val="00E113FE"/>
    <w:rsid w:val="00E1145F"/>
    <w:rsid w:val="00E11837"/>
    <w:rsid w:val="00E11911"/>
    <w:rsid w:val="00E11D63"/>
    <w:rsid w:val="00E11F7F"/>
    <w:rsid w:val="00E12152"/>
    <w:rsid w:val="00E12265"/>
    <w:rsid w:val="00E12444"/>
    <w:rsid w:val="00E12784"/>
    <w:rsid w:val="00E127B6"/>
    <w:rsid w:val="00E12AE7"/>
    <w:rsid w:val="00E12B00"/>
    <w:rsid w:val="00E12EDF"/>
    <w:rsid w:val="00E1342E"/>
    <w:rsid w:val="00E1343B"/>
    <w:rsid w:val="00E13BC1"/>
    <w:rsid w:val="00E13D49"/>
    <w:rsid w:val="00E13E4E"/>
    <w:rsid w:val="00E13F5B"/>
    <w:rsid w:val="00E13FBF"/>
    <w:rsid w:val="00E142E4"/>
    <w:rsid w:val="00E1436C"/>
    <w:rsid w:val="00E1436F"/>
    <w:rsid w:val="00E14841"/>
    <w:rsid w:val="00E14ABF"/>
    <w:rsid w:val="00E14F13"/>
    <w:rsid w:val="00E1537B"/>
    <w:rsid w:val="00E15499"/>
    <w:rsid w:val="00E15E49"/>
    <w:rsid w:val="00E15FAB"/>
    <w:rsid w:val="00E1606D"/>
    <w:rsid w:val="00E1613C"/>
    <w:rsid w:val="00E1636E"/>
    <w:rsid w:val="00E1662E"/>
    <w:rsid w:val="00E1682C"/>
    <w:rsid w:val="00E16A4C"/>
    <w:rsid w:val="00E16E4C"/>
    <w:rsid w:val="00E1750B"/>
    <w:rsid w:val="00E1779D"/>
    <w:rsid w:val="00E177F0"/>
    <w:rsid w:val="00E179B2"/>
    <w:rsid w:val="00E17DD2"/>
    <w:rsid w:val="00E17FB8"/>
    <w:rsid w:val="00E20040"/>
    <w:rsid w:val="00E200DE"/>
    <w:rsid w:val="00E20129"/>
    <w:rsid w:val="00E20131"/>
    <w:rsid w:val="00E20279"/>
    <w:rsid w:val="00E2043B"/>
    <w:rsid w:val="00E20749"/>
    <w:rsid w:val="00E209F4"/>
    <w:rsid w:val="00E20A06"/>
    <w:rsid w:val="00E20AC3"/>
    <w:rsid w:val="00E20BD3"/>
    <w:rsid w:val="00E20D25"/>
    <w:rsid w:val="00E20DCC"/>
    <w:rsid w:val="00E2105A"/>
    <w:rsid w:val="00E21375"/>
    <w:rsid w:val="00E213D1"/>
    <w:rsid w:val="00E214D7"/>
    <w:rsid w:val="00E21BDF"/>
    <w:rsid w:val="00E21EA3"/>
    <w:rsid w:val="00E223AC"/>
    <w:rsid w:val="00E223E4"/>
    <w:rsid w:val="00E22AE7"/>
    <w:rsid w:val="00E22C51"/>
    <w:rsid w:val="00E22DF8"/>
    <w:rsid w:val="00E2315C"/>
    <w:rsid w:val="00E23181"/>
    <w:rsid w:val="00E23243"/>
    <w:rsid w:val="00E232E2"/>
    <w:rsid w:val="00E2338A"/>
    <w:rsid w:val="00E233C7"/>
    <w:rsid w:val="00E2373E"/>
    <w:rsid w:val="00E23C17"/>
    <w:rsid w:val="00E23D65"/>
    <w:rsid w:val="00E23FB6"/>
    <w:rsid w:val="00E2400A"/>
    <w:rsid w:val="00E24118"/>
    <w:rsid w:val="00E24480"/>
    <w:rsid w:val="00E2453A"/>
    <w:rsid w:val="00E245EB"/>
    <w:rsid w:val="00E24820"/>
    <w:rsid w:val="00E249D2"/>
    <w:rsid w:val="00E24D97"/>
    <w:rsid w:val="00E2547D"/>
    <w:rsid w:val="00E256BC"/>
    <w:rsid w:val="00E25B2C"/>
    <w:rsid w:val="00E25DD0"/>
    <w:rsid w:val="00E25F85"/>
    <w:rsid w:val="00E2640B"/>
    <w:rsid w:val="00E26472"/>
    <w:rsid w:val="00E2666D"/>
    <w:rsid w:val="00E26C99"/>
    <w:rsid w:val="00E26D90"/>
    <w:rsid w:val="00E2701D"/>
    <w:rsid w:val="00E270F0"/>
    <w:rsid w:val="00E27256"/>
    <w:rsid w:val="00E27E1E"/>
    <w:rsid w:val="00E302F6"/>
    <w:rsid w:val="00E3034A"/>
    <w:rsid w:val="00E30523"/>
    <w:rsid w:val="00E30544"/>
    <w:rsid w:val="00E306F4"/>
    <w:rsid w:val="00E30912"/>
    <w:rsid w:val="00E30980"/>
    <w:rsid w:val="00E30BAF"/>
    <w:rsid w:val="00E30CB5"/>
    <w:rsid w:val="00E30D77"/>
    <w:rsid w:val="00E310A7"/>
    <w:rsid w:val="00E310C4"/>
    <w:rsid w:val="00E31542"/>
    <w:rsid w:val="00E317AA"/>
    <w:rsid w:val="00E3184B"/>
    <w:rsid w:val="00E31A94"/>
    <w:rsid w:val="00E31C56"/>
    <w:rsid w:val="00E31C93"/>
    <w:rsid w:val="00E31DBB"/>
    <w:rsid w:val="00E31F2E"/>
    <w:rsid w:val="00E3215F"/>
    <w:rsid w:val="00E321A7"/>
    <w:rsid w:val="00E321DA"/>
    <w:rsid w:val="00E3231B"/>
    <w:rsid w:val="00E324CF"/>
    <w:rsid w:val="00E32667"/>
    <w:rsid w:val="00E32E04"/>
    <w:rsid w:val="00E32E78"/>
    <w:rsid w:val="00E32EAB"/>
    <w:rsid w:val="00E32EE2"/>
    <w:rsid w:val="00E33096"/>
    <w:rsid w:val="00E33303"/>
    <w:rsid w:val="00E33478"/>
    <w:rsid w:val="00E3354D"/>
    <w:rsid w:val="00E336A2"/>
    <w:rsid w:val="00E33AE6"/>
    <w:rsid w:val="00E33D43"/>
    <w:rsid w:val="00E33D5C"/>
    <w:rsid w:val="00E34212"/>
    <w:rsid w:val="00E344E0"/>
    <w:rsid w:val="00E34C0B"/>
    <w:rsid w:val="00E34DB0"/>
    <w:rsid w:val="00E34F3F"/>
    <w:rsid w:val="00E3500C"/>
    <w:rsid w:val="00E352BE"/>
    <w:rsid w:val="00E35410"/>
    <w:rsid w:val="00E35691"/>
    <w:rsid w:val="00E35A87"/>
    <w:rsid w:val="00E35B34"/>
    <w:rsid w:val="00E35DA8"/>
    <w:rsid w:val="00E35F3B"/>
    <w:rsid w:val="00E36217"/>
    <w:rsid w:val="00E36B3A"/>
    <w:rsid w:val="00E36E88"/>
    <w:rsid w:val="00E3746A"/>
    <w:rsid w:val="00E37550"/>
    <w:rsid w:val="00E3778F"/>
    <w:rsid w:val="00E37A18"/>
    <w:rsid w:val="00E37CA3"/>
    <w:rsid w:val="00E37D8F"/>
    <w:rsid w:val="00E37E89"/>
    <w:rsid w:val="00E37EAC"/>
    <w:rsid w:val="00E40006"/>
    <w:rsid w:val="00E400CA"/>
    <w:rsid w:val="00E40182"/>
    <w:rsid w:val="00E4027B"/>
    <w:rsid w:val="00E4048F"/>
    <w:rsid w:val="00E4085B"/>
    <w:rsid w:val="00E40AD3"/>
    <w:rsid w:val="00E40D4A"/>
    <w:rsid w:val="00E41045"/>
    <w:rsid w:val="00E4134E"/>
    <w:rsid w:val="00E4153F"/>
    <w:rsid w:val="00E41647"/>
    <w:rsid w:val="00E41839"/>
    <w:rsid w:val="00E41A95"/>
    <w:rsid w:val="00E41BA9"/>
    <w:rsid w:val="00E41CB4"/>
    <w:rsid w:val="00E41D4C"/>
    <w:rsid w:val="00E4230B"/>
    <w:rsid w:val="00E4239C"/>
    <w:rsid w:val="00E426D1"/>
    <w:rsid w:val="00E42976"/>
    <w:rsid w:val="00E42E8E"/>
    <w:rsid w:val="00E42EA3"/>
    <w:rsid w:val="00E43012"/>
    <w:rsid w:val="00E43245"/>
    <w:rsid w:val="00E43256"/>
    <w:rsid w:val="00E432A5"/>
    <w:rsid w:val="00E433D6"/>
    <w:rsid w:val="00E4395F"/>
    <w:rsid w:val="00E43A63"/>
    <w:rsid w:val="00E44023"/>
    <w:rsid w:val="00E44077"/>
    <w:rsid w:val="00E44144"/>
    <w:rsid w:val="00E445FF"/>
    <w:rsid w:val="00E44682"/>
    <w:rsid w:val="00E44809"/>
    <w:rsid w:val="00E44847"/>
    <w:rsid w:val="00E449F3"/>
    <w:rsid w:val="00E44AE1"/>
    <w:rsid w:val="00E44BA1"/>
    <w:rsid w:val="00E44DBA"/>
    <w:rsid w:val="00E44E4C"/>
    <w:rsid w:val="00E45482"/>
    <w:rsid w:val="00E45806"/>
    <w:rsid w:val="00E46100"/>
    <w:rsid w:val="00E4627E"/>
    <w:rsid w:val="00E46367"/>
    <w:rsid w:val="00E46588"/>
    <w:rsid w:val="00E46728"/>
    <w:rsid w:val="00E468AA"/>
    <w:rsid w:val="00E46A4A"/>
    <w:rsid w:val="00E46B05"/>
    <w:rsid w:val="00E46D91"/>
    <w:rsid w:val="00E4725F"/>
    <w:rsid w:val="00E472A9"/>
    <w:rsid w:val="00E4789D"/>
    <w:rsid w:val="00E47BDB"/>
    <w:rsid w:val="00E5039F"/>
    <w:rsid w:val="00E5069C"/>
    <w:rsid w:val="00E50743"/>
    <w:rsid w:val="00E50B0F"/>
    <w:rsid w:val="00E50D9A"/>
    <w:rsid w:val="00E510D6"/>
    <w:rsid w:val="00E518A6"/>
    <w:rsid w:val="00E51CDA"/>
    <w:rsid w:val="00E520F1"/>
    <w:rsid w:val="00E52206"/>
    <w:rsid w:val="00E52235"/>
    <w:rsid w:val="00E522B2"/>
    <w:rsid w:val="00E522D1"/>
    <w:rsid w:val="00E523D6"/>
    <w:rsid w:val="00E5246A"/>
    <w:rsid w:val="00E52535"/>
    <w:rsid w:val="00E525E9"/>
    <w:rsid w:val="00E527E9"/>
    <w:rsid w:val="00E52813"/>
    <w:rsid w:val="00E52858"/>
    <w:rsid w:val="00E52964"/>
    <w:rsid w:val="00E52AC8"/>
    <w:rsid w:val="00E530DE"/>
    <w:rsid w:val="00E5310E"/>
    <w:rsid w:val="00E53474"/>
    <w:rsid w:val="00E53728"/>
    <w:rsid w:val="00E53741"/>
    <w:rsid w:val="00E53850"/>
    <w:rsid w:val="00E53B32"/>
    <w:rsid w:val="00E53BDB"/>
    <w:rsid w:val="00E53D2C"/>
    <w:rsid w:val="00E53E18"/>
    <w:rsid w:val="00E541B3"/>
    <w:rsid w:val="00E541D8"/>
    <w:rsid w:val="00E54236"/>
    <w:rsid w:val="00E542AE"/>
    <w:rsid w:val="00E546D1"/>
    <w:rsid w:val="00E54CF0"/>
    <w:rsid w:val="00E54E0E"/>
    <w:rsid w:val="00E54E34"/>
    <w:rsid w:val="00E55070"/>
    <w:rsid w:val="00E550E9"/>
    <w:rsid w:val="00E5542B"/>
    <w:rsid w:val="00E555A5"/>
    <w:rsid w:val="00E555CF"/>
    <w:rsid w:val="00E55678"/>
    <w:rsid w:val="00E5567B"/>
    <w:rsid w:val="00E55D27"/>
    <w:rsid w:val="00E5627D"/>
    <w:rsid w:val="00E563AE"/>
    <w:rsid w:val="00E56538"/>
    <w:rsid w:val="00E5673A"/>
    <w:rsid w:val="00E5675B"/>
    <w:rsid w:val="00E5681D"/>
    <w:rsid w:val="00E56AD8"/>
    <w:rsid w:val="00E56D98"/>
    <w:rsid w:val="00E56E19"/>
    <w:rsid w:val="00E56E26"/>
    <w:rsid w:val="00E571AA"/>
    <w:rsid w:val="00E57332"/>
    <w:rsid w:val="00E5737A"/>
    <w:rsid w:val="00E5744E"/>
    <w:rsid w:val="00E57554"/>
    <w:rsid w:val="00E577EE"/>
    <w:rsid w:val="00E579BD"/>
    <w:rsid w:val="00E57A14"/>
    <w:rsid w:val="00E57D7F"/>
    <w:rsid w:val="00E60F95"/>
    <w:rsid w:val="00E616C0"/>
    <w:rsid w:val="00E6186B"/>
    <w:rsid w:val="00E619CD"/>
    <w:rsid w:val="00E61A38"/>
    <w:rsid w:val="00E61CC2"/>
    <w:rsid w:val="00E6206F"/>
    <w:rsid w:val="00E62342"/>
    <w:rsid w:val="00E62373"/>
    <w:rsid w:val="00E62624"/>
    <w:rsid w:val="00E626E2"/>
    <w:rsid w:val="00E6282A"/>
    <w:rsid w:val="00E628F6"/>
    <w:rsid w:val="00E62A5B"/>
    <w:rsid w:val="00E62BA8"/>
    <w:rsid w:val="00E62E80"/>
    <w:rsid w:val="00E63101"/>
    <w:rsid w:val="00E6324F"/>
    <w:rsid w:val="00E6350D"/>
    <w:rsid w:val="00E6390E"/>
    <w:rsid w:val="00E63985"/>
    <w:rsid w:val="00E639D4"/>
    <w:rsid w:val="00E63ACD"/>
    <w:rsid w:val="00E63C6F"/>
    <w:rsid w:val="00E64014"/>
    <w:rsid w:val="00E64015"/>
    <w:rsid w:val="00E642DB"/>
    <w:rsid w:val="00E64584"/>
    <w:rsid w:val="00E64698"/>
    <w:rsid w:val="00E646B2"/>
    <w:rsid w:val="00E64B61"/>
    <w:rsid w:val="00E64D42"/>
    <w:rsid w:val="00E64F18"/>
    <w:rsid w:val="00E650F0"/>
    <w:rsid w:val="00E65143"/>
    <w:rsid w:val="00E6515D"/>
    <w:rsid w:val="00E6516E"/>
    <w:rsid w:val="00E65C5C"/>
    <w:rsid w:val="00E65E8E"/>
    <w:rsid w:val="00E6629B"/>
    <w:rsid w:val="00E66583"/>
    <w:rsid w:val="00E6680C"/>
    <w:rsid w:val="00E6683F"/>
    <w:rsid w:val="00E66904"/>
    <w:rsid w:val="00E669C2"/>
    <w:rsid w:val="00E66E25"/>
    <w:rsid w:val="00E67316"/>
    <w:rsid w:val="00E676D5"/>
    <w:rsid w:val="00E6784B"/>
    <w:rsid w:val="00E67A8D"/>
    <w:rsid w:val="00E67B54"/>
    <w:rsid w:val="00E67D3A"/>
    <w:rsid w:val="00E67E64"/>
    <w:rsid w:val="00E70002"/>
    <w:rsid w:val="00E704AA"/>
    <w:rsid w:val="00E704B9"/>
    <w:rsid w:val="00E7070B"/>
    <w:rsid w:val="00E7071F"/>
    <w:rsid w:val="00E70743"/>
    <w:rsid w:val="00E71111"/>
    <w:rsid w:val="00E713EE"/>
    <w:rsid w:val="00E7155D"/>
    <w:rsid w:val="00E71892"/>
    <w:rsid w:val="00E71C5E"/>
    <w:rsid w:val="00E71CF8"/>
    <w:rsid w:val="00E71E2E"/>
    <w:rsid w:val="00E71EA3"/>
    <w:rsid w:val="00E72870"/>
    <w:rsid w:val="00E7292E"/>
    <w:rsid w:val="00E72C28"/>
    <w:rsid w:val="00E72E22"/>
    <w:rsid w:val="00E73392"/>
    <w:rsid w:val="00E7342C"/>
    <w:rsid w:val="00E7364C"/>
    <w:rsid w:val="00E738D8"/>
    <w:rsid w:val="00E7399E"/>
    <w:rsid w:val="00E73B47"/>
    <w:rsid w:val="00E73B6D"/>
    <w:rsid w:val="00E74111"/>
    <w:rsid w:val="00E7452C"/>
    <w:rsid w:val="00E745D6"/>
    <w:rsid w:val="00E74716"/>
    <w:rsid w:val="00E74778"/>
    <w:rsid w:val="00E74898"/>
    <w:rsid w:val="00E748CB"/>
    <w:rsid w:val="00E74AD2"/>
    <w:rsid w:val="00E74AD5"/>
    <w:rsid w:val="00E74ADB"/>
    <w:rsid w:val="00E74D29"/>
    <w:rsid w:val="00E74D4E"/>
    <w:rsid w:val="00E751DD"/>
    <w:rsid w:val="00E758F6"/>
    <w:rsid w:val="00E75A35"/>
    <w:rsid w:val="00E75A60"/>
    <w:rsid w:val="00E75AD5"/>
    <w:rsid w:val="00E75BDF"/>
    <w:rsid w:val="00E75F34"/>
    <w:rsid w:val="00E7613F"/>
    <w:rsid w:val="00E76150"/>
    <w:rsid w:val="00E76433"/>
    <w:rsid w:val="00E7647C"/>
    <w:rsid w:val="00E7666C"/>
    <w:rsid w:val="00E76935"/>
    <w:rsid w:val="00E76C8C"/>
    <w:rsid w:val="00E772FB"/>
    <w:rsid w:val="00E77336"/>
    <w:rsid w:val="00E77530"/>
    <w:rsid w:val="00E7784B"/>
    <w:rsid w:val="00E778F0"/>
    <w:rsid w:val="00E77E56"/>
    <w:rsid w:val="00E8066C"/>
    <w:rsid w:val="00E807D8"/>
    <w:rsid w:val="00E8088D"/>
    <w:rsid w:val="00E80BF5"/>
    <w:rsid w:val="00E81055"/>
    <w:rsid w:val="00E810E8"/>
    <w:rsid w:val="00E8131C"/>
    <w:rsid w:val="00E81476"/>
    <w:rsid w:val="00E816E9"/>
    <w:rsid w:val="00E81ABD"/>
    <w:rsid w:val="00E81B0C"/>
    <w:rsid w:val="00E81F12"/>
    <w:rsid w:val="00E820A1"/>
    <w:rsid w:val="00E82283"/>
    <w:rsid w:val="00E823D2"/>
    <w:rsid w:val="00E82405"/>
    <w:rsid w:val="00E8249F"/>
    <w:rsid w:val="00E82777"/>
    <w:rsid w:val="00E8283A"/>
    <w:rsid w:val="00E8299D"/>
    <w:rsid w:val="00E82AFA"/>
    <w:rsid w:val="00E82D78"/>
    <w:rsid w:val="00E82F9F"/>
    <w:rsid w:val="00E831DE"/>
    <w:rsid w:val="00E83AD8"/>
    <w:rsid w:val="00E83D1A"/>
    <w:rsid w:val="00E83EBA"/>
    <w:rsid w:val="00E84073"/>
    <w:rsid w:val="00E841B9"/>
    <w:rsid w:val="00E841E5"/>
    <w:rsid w:val="00E84841"/>
    <w:rsid w:val="00E84A6B"/>
    <w:rsid w:val="00E84A7C"/>
    <w:rsid w:val="00E84B87"/>
    <w:rsid w:val="00E84BB6"/>
    <w:rsid w:val="00E84CDB"/>
    <w:rsid w:val="00E84E82"/>
    <w:rsid w:val="00E85865"/>
    <w:rsid w:val="00E85942"/>
    <w:rsid w:val="00E85A88"/>
    <w:rsid w:val="00E85BB9"/>
    <w:rsid w:val="00E85DC2"/>
    <w:rsid w:val="00E85FF7"/>
    <w:rsid w:val="00E86212"/>
    <w:rsid w:val="00E86506"/>
    <w:rsid w:val="00E866CD"/>
    <w:rsid w:val="00E870C0"/>
    <w:rsid w:val="00E87465"/>
    <w:rsid w:val="00E874A3"/>
    <w:rsid w:val="00E87750"/>
    <w:rsid w:val="00E87A86"/>
    <w:rsid w:val="00E87C64"/>
    <w:rsid w:val="00E87E90"/>
    <w:rsid w:val="00E900CC"/>
    <w:rsid w:val="00E90350"/>
    <w:rsid w:val="00E9085B"/>
    <w:rsid w:val="00E908B1"/>
    <w:rsid w:val="00E90B1B"/>
    <w:rsid w:val="00E90D03"/>
    <w:rsid w:val="00E90FED"/>
    <w:rsid w:val="00E9122E"/>
    <w:rsid w:val="00E917F1"/>
    <w:rsid w:val="00E91A7F"/>
    <w:rsid w:val="00E91B3B"/>
    <w:rsid w:val="00E91BAF"/>
    <w:rsid w:val="00E91C32"/>
    <w:rsid w:val="00E91D0B"/>
    <w:rsid w:val="00E91E73"/>
    <w:rsid w:val="00E91EA2"/>
    <w:rsid w:val="00E91EA5"/>
    <w:rsid w:val="00E91FA8"/>
    <w:rsid w:val="00E922F8"/>
    <w:rsid w:val="00E92384"/>
    <w:rsid w:val="00E92B13"/>
    <w:rsid w:val="00E92E00"/>
    <w:rsid w:val="00E93167"/>
    <w:rsid w:val="00E936B0"/>
    <w:rsid w:val="00E936F4"/>
    <w:rsid w:val="00E93A0C"/>
    <w:rsid w:val="00E93BCB"/>
    <w:rsid w:val="00E93BE0"/>
    <w:rsid w:val="00E93E8D"/>
    <w:rsid w:val="00E93E92"/>
    <w:rsid w:val="00E93EDD"/>
    <w:rsid w:val="00E93F6D"/>
    <w:rsid w:val="00E940B0"/>
    <w:rsid w:val="00E94279"/>
    <w:rsid w:val="00E94346"/>
    <w:rsid w:val="00E94B03"/>
    <w:rsid w:val="00E94EB4"/>
    <w:rsid w:val="00E94F99"/>
    <w:rsid w:val="00E9531D"/>
    <w:rsid w:val="00E9564C"/>
    <w:rsid w:val="00E95669"/>
    <w:rsid w:val="00E9574F"/>
    <w:rsid w:val="00E95886"/>
    <w:rsid w:val="00E9591A"/>
    <w:rsid w:val="00E95A0D"/>
    <w:rsid w:val="00E95BC8"/>
    <w:rsid w:val="00E95BFC"/>
    <w:rsid w:val="00E95FFA"/>
    <w:rsid w:val="00E96156"/>
    <w:rsid w:val="00E96265"/>
    <w:rsid w:val="00E96314"/>
    <w:rsid w:val="00E96407"/>
    <w:rsid w:val="00E96629"/>
    <w:rsid w:val="00E96865"/>
    <w:rsid w:val="00E969BB"/>
    <w:rsid w:val="00E96C98"/>
    <w:rsid w:val="00E96CEA"/>
    <w:rsid w:val="00E96D39"/>
    <w:rsid w:val="00E97139"/>
    <w:rsid w:val="00E972E1"/>
    <w:rsid w:val="00E978F5"/>
    <w:rsid w:val="00E9790C"/>
    <w:rsid w:val="00E97AAD"/>
    <w:rsid w:val="00E97BE8"/>
    <w:rsid w:val="00E97C8C"/>
    <w:rsid w:val="00E97C90"/>
    <w:rsid w:val="00E97D82"/>
    <w:rsid w:val="00E97DBB"/>
    <w:rsid w:val="00E97F34"/>
    <w:rsid w:val="00EA018B"/>
    <w:rsid w:val="00EA02BC"/>
    <w:rsid w:val="00EA0B72"/>
    <w:rsid w:val="00EA0B9C"/>
    <w:rsid w:val="00EA0CDD"/>
    <w:rsid w:val="00EA0D03"/>
    <w:rsid w:val="00EA0E3E"/>
    <w:rsid w:val="00EA0EA6"/>
    <w:rsid w:val="00EA0F38"/>
    <w:rsid w:val="00EA1117"/>
    <w:rsid w:val="00EA11A9"/>
    <w:rsid w:val="00EA11B2"/>
    <w:rsid w:val="00EA199D"/>
    <w:rsid w:val="00EA19EC"/>
    <w:rsid w:val="00EA1A52"/>
    <w:rsid w:val="00EA1B4C"/>
    <w:rsid w:val="00EA1B7A"/>
    <w:rsid w:val="00EA1D73"/>
    <w:rsid w:val="00EA1F20"/>
    <w:rsid w:val="00EA1F84"/>
    <w:rsid w:val="00EA206C"/>
    <w:rsid w:val="00EA212B"/>
    <w:rsid w:val="00EA222A"/>
    <w:rsid w:val="00EA2AFB"/>
    <w:rsid w:val="00EA2CB3"/>
    <w:rsid w:val="00EA2D14"/>
    <w:rsid w:val="00EA3457"/>
    <w:rsid w:val="00EA397A"/>
    <w:rsid w:val="00EA39C9"/>
    <w:rsid w:val="00EA39F0"/>
    <w:rsid w:val="00EA3A0A"/>
    <w:rsid w:val="00EA3B89"/>
    <w:rsid w:val="00EA3D6C"/>
    <w:rsid w:val="00EA4115"/>
    <w:rsid w:val="00EA416E"/>
    <w:rsid w:val="00EA41BB"/>
    <w:rsid w:val="00EA42D8"/>
    <w:rsid w:val="00EA449A"/>
    <w:rsid w:val="00EA44A1"/>
    <w:rsid w:val="00EA44ED"/>
    <w:rsid w:val="00EA454D"/>
    <w:rsid w:val="00EA456A"/>
    <w:rsid w:val="00EA4730"/>
    <w:rsid w:val="00EA4746"/>
    <w:rsid w:val="00EA47DC"/>
    <w:rsid w:val="00EA4B0C"/>
    <w:rsid w:val="00EA4B69"/>
    <w:rsid w:val="00EA4D01"/>
    <w:rsid w:val="00EA4EC0"/>
    <w:rsid w:val="00EA5002"/>
    <w:rsid w:val="00EA50B2"/>
    <w:rsid w:val="00EA5125"/>
    <w:rsid w:val="00EA5471"/>
    <w:rsid w:val="00EA5638"/>
    <w:rsid w:val="00EA5649"/>
    <w:rsid w:val="00EA58FC"/>
    <w:rsid w:val="00EA5B3E"/>
    <w:rsid w:val="00EA5BA7"/>
    <w:rsid w:val="00EA5D09"/>
    <w:rsid w:val="00EA5FB8"/>
    <w:rsid w:val="00EA606D"/>
    <w:rsid w:val="00EA6124"/>
    <w:rsid w:val="00EA654B"/>
    <w:rsid w:val="00EA655B"/>
    <w:rsid w:val="00EA6F38"/>
    <w:rsid w:val="00EA7083"/>
    <w:rsid w:val="00EA731A"/>
    <w:rsid w:val="00EA74C6"/>
    <w:rsid w:val="00EA786C"/>
    <w:rsid w:val="00EA7F74"/>
    <w:rsid w:val="00EB036B"/>
    <w:rsid w:val="00EB06EF"/>
    <w:rsid w:val="00EB088E"/>
    <w:rsid w:val="00EB0AF2"/>
    <w:rsid w:val="00EB10CA"/>
    <w:rsid w:val="00EB1150"/>
    <w:rsid w:val="00EB189D"/>
    <w:rsid w:val="00EB1C8D"/>
    <w:rsid w:val="00EB208B"/>
    <w:rsid w:val="00EB2185"/>
    <w:rsid w:val="00EB2705"/>
    <w:rsid w:val="00EB2A34"/>
    <w:rsid w:val="00EB2ED5"/>
    <w:rsid w:val="00EB2F2F"/>
    <w:rsid w:val="00EB306E"/>
    <w:rsid w:val="00EB3222"/>
    <w:rsid w:val="00EB3347"/>
    <w:rsid w:val="00EB37D9"/>
    <w:rsid w:val="00EB38A4"/>
    <w:rsid w:val="00EB3B72"/>
    <w:rsid w:val="00EB3F06"/>
    <w:rsid w:val="00EB4059"/>
    <w:rsid w:val="00EB4353"/>
    <w:rsid w:val="00EB44CA"/>
    <w:rsid w:val="00EB4509"/>
    <w:rsid w:val="00EB4B9A"/>
    <w:rsid w:val="00EB4CA2"/>
    <w:rsid w:val="00EB51C4"/>
    <w:rsid w:val="00EB57E8"/>
    <w:rsid w:val="00EB5C65"/>
    <w:rsid w:val="00EB5E57"/>
    <w:rsid w:val="00EB6083"/>
    <w:rsid w:val="00EB6208"/>
    <w:rsid w:val="00EB629E"/>
    <w:rsid w:val="00EB6521"/>
    <w:rsid w:val="00EB6B51"/>
    <w:rsid w:val="00EB75E5"/>
    <w:rsid w:val="00EB7B71"/>
    <w:rsid w:val="00EB7CC1"/>
    <w:rsid w:val="00EB7D27"/>
    <w:rsid w:val="00EC024B"/>
    <w:rsid w:val="00EC046C"/>
    <w:rsid w:val="00EC06CD"/>
    <w:rsid w:val="00EC07E7"/>
    <w:rsid w:val="00EC0973"/>
    <w:rsid w:val="00EC0DE7"/>
    <w:rsid w:val="00EC1067"/>
    <w:rsid w:val="00EC1302"/>
    <w:rsid w:val="00EC1398"/>
    <w:rsid w:val="00EC1ADB"/>
    <w:rsid w:val="00EC1C9D"/>
    <w:rsid w:val="00EC23EB"/>
    <w:rsid w:val="00EC251F"/>
    <w:rsid w:val="00EC26CE"/>
    <w:rsid w:val="00EC2868"/>
    <w:rsid w:val="00EC2C56"/>
    <w:rsid w:val="00EC2C93"/>
    <w:rsid w:val="00EC2FC5"/>
    <w:rsid w:val="00EC331A"/>
    <w:rsid w:val="00EC33FF"/>
    <w:rsid w:val="00EC34E7"/>
    <w:rsid w:val="00EC372F"/>
    <w:rsid w:val="00EC3B58"/>
    <w:rsid w:val="00EC3C04"/>
    <w:rsid w:val="00EC3D28"/>
    <w:rsid w:val="00EC4168"/>
    <w:rsid w:val="00EC4493"/>
    <w:rsid w:val="00EC4774"/>
    <w:rsid w:val="00EC49CA"/>
    <w:rsid w:val="00EC4C10"/>
    <w:rsid w:val="00EC4C78"/>
    <w:rsid w:val="00EC503B"/>
    <w:rsid w:val="00EC5052"/>
    <w:rsid w:val="00EC5695"/>
    <w:rsid w:val="00EC5CCE"/>
    <w:rsid w:val="00EC5E2F"/>
    <w:rsid w:val="00EC61F0"/>
    <w:rsid w:val="00EC6454"/>
    <w:rsid w:val="00EC64E1"/>
    <w:rsid w:val="00EC69A5"/>
    <w:rsid w:val="00EC6A29"/>
    <w:rsid w:val="00EC6B41"/>
    <w:rsid w:val="00EC6B9F"/>
    <w:rsid w:val="00EC6C17"/>
    <w:rsid w:val="00EC6EB5"/>
    <w:rsid w:val="00EC7066"/>
    <w:rsid w:val="00EC70B5"/>
    <w:rsid w:val="00EC7240"/>
    <w:rsid w:val="00EC7646"/>
    <w:rsid w:val="00EC77D6"/>
    <w:rsid w:val="00EC7806"/>
    <w:rsid w:val="00EC7905"/>
    <w:rsid w:val="00EC7CC0"/>
    <w:rsid w:val="00ED0472"/>
    <w:rsid w:val="00ED0768"/>
    <w:rsid w:val="00ED08A8"/>
    <w:rsid w:val="00ED0CB6"/>
    <w:rsid w:val="00ED10C5"/>
    <w:rsid w:val="00ED1355"/>
    <w:rsid w:val="00ED1469"/>
    <w:rsid w:val="00ED15E1"/>
    <w:rsid w:val="00ED1B8F"/>
    <w:rsid w:val="00ED1DD4"/>
    <w:rsid w:val="00ED23A2"/>
    <w:rsid w:val="00ED2465"/>
    <w:rsid w:val="00ED2AAE"/>
    <w:rsid w:val="00ED2AB9"/>
    <w:rsid w:val="00ED2C11"/>
    <w:rsid w:val="00ED2DD7"/>
    <w:rsid w:val="00ED2FCA"/>
    <w:rsid w:val="00ED3AE1"/>
    <w:rsid w:val="00ED4261"/>
    <w:rsid w:val="00ED45BB"/>
    <w:rsid w:val="00ED4742"/>
    <w:rsid w:val="00ED4AF0"/>
    <w:rsid w:val="00ED544E"/>
    <w:rsid w:val="00ED5A45"/>
    <w:rsid w:val="00ED5B5A"/>
    <w:rsid w:val="00ED5CA6"/>
    <w:rsid w:val="00ED5CBE"/>
    <w:rsid w:val="00ED5EFB"/>
    <w:rsid w:val="00ED60D9"/>
    <w:rsid w:val="00ED6483"/>
    <w:rsid w:val="00ED653C"/>
    <w:rsid w:val="00ED6750"/>
    <w:rsid w:val="00ED6D2C"/>
    <w:rsid w:val="00ED6DB9"/>
    <w:rsid w:val="00ED6EDA"/>
    <w:rsid w:val="00ED7510"/>
    <w:rsid w:val="00ED7601"/>
    <w:rsid w:val="00ED7A63"/>
    <w:rsid w:val="00ED7C2A"/>
    <w:rsid w:val="00ED7D4B"/>
    <w:rsid w:val="00ED7EB5"/>
    <w:rsid w:val="00ED7F00"/>
    <w:rsid w:val="00EE0150"/>
    <w:rsid w:val="00EE034E"/>
    <w:rsid w:val="00EE06C2"/>
    <w:rsid w:val="00EE0BED"/>
    <w:rsid w:val="00EE0C00"/>
    <w:rsid w:val="00EE0D27"/>
    <w:rsid w:val="00EE0DB7"/>
    <w:rsid w:val="00EE1144"/>
    <w:rsid w:val="00EE12B0"/>
    <w:rsid w:val="00EE1412"/>
    <w:rsid w:val="00EE1791"/>
    <w:rsid w:val="00EE1A70"/>
    <w:rsid w:val="00EE1D79"/>
    <w:rsid w:val="00EE2273"/>
    <w:rsid w:val="00EE25D7"/>
    <w:rsid w:val="00EE2775"/>
    <w:rsid w:val="00EE2786"/>
    <w:rsid w:val="00EE2993"/>
    <w:rsid w:val="00EE2BDA"/>
    <w:rsid w:val="00EE2E4C"/>
    <w:rsid w:val="00EE3086"/>
    <w:rsid w:val="00EE338B"/>
    <w:rsid w:val="00EE3447"/>
    <w:rsid w:val="00EE36B7"/>
    <w:rsid w:val="00EE376D"/>
    <w:rsid w:val="00EE38EA"/>
    <w:rsid w:val="00EE3B2D"/>
    <w:rsid w:val="00EE3D58"/>
    <w:rsid w:val="00EE3DC4"/>
    <w:rsid w:val="00EE3EF8"/>
    <w:rsid w:val="00EE42C8"/>
    <w:rsid w:val="00EE52EB"/>
    <w:rsid w:val="00EE54EC"/>
    <w:rsid w:val="00EE58DA"/>
    <w:rsid w:val="00EE596A"/>
    <w:rsid w:val="00EE5ADD"/>
    <w:rsid w:val="00EE5EE2"/>
    <w:rsid w:val="00EE5FC8"/>
    <w:rsid w:val="00EE6281"/>
    <w:rsid w:val="00EE62AA"/>
    <w:rsid w:val="00EE6482"/>
    <w:rsid w:val="00EE6574"/>
    <w:rsid w:val="00EE6735"/>
    <w:rsid w:val="00EE6C06"/>
    <w:rsid w:val="00EE7607"/>
    <w:rsid w:val="00EE7810"/>
    <w:rsid w:val="00EE7BC4"/>
    <w:rsid w:val="00EE7F7A"/>
    <w:rsid w:val="00EF02B0"/>
    <w:rsid w:val="00EF0323"/>
    <w:rsid w:val="00EF079C"/>
    <w:rsid w:val="00EF0922"/>
    <w:rsid w:val="00EF0ABF"/>
    <w:rsid w:val="00EF0C47"/>
    <w:rsid w:val="00EF0CBD"/>
    <w:rsid w:val="00EF0E35"/>
    <w:rsid w:val="00EF0E74"/>
    <w:rsid w:val="00EF0F90"/>
    <w:rsid w:val="00EF1065"/>
    <w:rsid w:val="00EF107E"/>
    <w:rsid w:val="00EF135A"/>
    <w:rsid w:val="00EF161D"/>
    <w:rsid w:val="00EF1834"/>
    <w:rsid w:val="00EF18ED"/>
    <w:rsid w:val="00EF1A82"/>
    <w:rsid w:val="00EF1C6D"/>
    <w:rsid w:val="00EF1F2C"/>
    <w:rsid w:val="00EF2B56"/>
    <w:rsid w:val="00EF2C32"/>
    <w:rsid w:val="00EF2D01"/>
    <w:rsid w:val="00EF2E3C"/>
    <w:rsid w:val="00EF31C6"/>
    <w:rsid w:val="00EF3515"/>
    <w:rsid w:val="00EF37A4"/>
    <w:rsid w:val="00EF3CB5"/>
    <w:rsid w:val="00EF40A4"/>
    <w:rsid w:val="00EF4288"/>
    <w:rsid w:val="00EF4432"/>
    <w:rsid w:val="00EF451C"/>
    <w:rsid w:val="00EF4FD2"/>
    <w:rsid w:val="00EF5062"/>
    <w:rsid w:val="00EF509C"/>
    <w:rsid w:val="00EF539D"/>
    <w:rsid w:val="00EF5861"/>
    <w:rsid w:val="00EF5D95"/>
    <w:rsid w:val="00EF5E2A"/>
    <w:rsid w:val="00EF5FED"/>
    <w:rsid w:val="00EF6143"/>
    <w:rsid w:val="00EF6213"/>
    <w:rsid w:val="00EF6300"/>
    <w:rsid w:val="00EF64C1"/>
    <w:rsid w:val="00EF64D1"/>
    <w:rsid w:val="00EF6512"/>
    <w:rsid w:val="00EF6646"/>
    <w:rsid w:val="00EF666F"/>
    <w:rsid w:val="00EF6D46"/>
    <w:rsid w:val="00EF6F8D"/>
    <w:rsid w:val="00EF70B9"/>
    <w:rsid w:val="00EF7209"/>
    <w:rsid w:val="00EF792F"/>
    <w:rsid w:val="00EF7F75"/>
    <w:rsid w:val="00F002F1"/>
    <w:rsid w:val="00F0030A"/>
    <w:rsid w:val="00F00EDD"/>
    <w:rsid w:val="00F00F3E"/>
    <w:rsid w:val="00F00FA7"/>
    <w:rsid w:val="00F012A3"/>
    <w:rsid w:val="00F01565"/>
    <w:rsid w:val="00F017FF"/>
    <w:rsid w:val="00F01853"/>
    <w:rsid w:val="00F01FBA"/>
    <w:rsid w:val="00F02097"/>
    <w:rsid w:val="00F025F1"/>
    <w:rsid w:val="00F03015"/>
    <w:rsid w:val="00F03182"/>
    <w:rsid w:val="00F03255"/>
    <w:rsid w:val="00F0362A"/>
    <w:rsid w:val="00F04138"/>
    <w:rsid w:val="00F04188"/>
    <w:rsid w:val="00F04894"/>
    <w:rsid w:val="00F04AFA"/>
    <w:rsid w:val="00F04D7A"/>
    <w:rsid w:val="00F04E46"/>
    <w:rsid w:val="00F0531C"/>
    <w:rsid w:val="00F0563A"/>
    <w:rsid w:val="00F05689"/>
    <w:rsid w:val="00F0590E"/>
    <w:rsid w:val="00F05DB4"/>
    <w:rsid w:val="00F05E18"/>
    <w:rsid w:val="00F060CB"/>
    <w:rsid w:val="00F068FD"/>
    <w:rsid w:val="00F06A35"/>
    <w:rsid w:val="00F06A43"/>
    <w:rsid w:val="00F06F66"/>
    <w:rsid w:val="00F073C4"/>
    <w:rsid w:val="00F07428"/>
    <w:rsid w:val="00F07525"/>
    <w:rsid w:val="00F076D5"/>
    <w:rsid w:val="00F07822"/>
    <w:rsid w:val="00F07B39"/>
    <w:rsid w:val="00F07C08"/>
    <w:rsid w:val="00F07D99"/>
    <w:rsid w:val="00F07FD7"/>
    <w:rsid w:val="00F10139"/>
    <w:rsid w:val="00F10273"/>
    <w:rsid w:val="00F106EE"/>
    <w:rsid w:val="00F10875"/>
    <w:rsid w:val="00F10A23"/>
    <w:rsid w:val="00F10A43"/>
    <w:rsid w:val="00F10C24"/>
    <w:rsid w:val="00F10DAF"/>
    <w:rsid w:val="00F1112A"/>
    <w:rsid w:val="00F11629"/>
    <w:rsid w:val="00F118CA"/>
    <w:rsid w:val="00F11919"/>
    <w:rsid w:val="00F11BFD"/>
    <w:rsid w:val="00F11C78"/>
    <w:rsid w:val="00F11CD3"/>
    <w:rsid w:val="00F12024"/>
    <w:rsid w:val="00F12109"/>
    <w:rsid w:val="00F125DB"/>
    <w:rsid w:val="00F125FE"/>
    <w:rsid w:val="00F12817"/>
    <w:rsid w:val="00F12A3F"/>
    <w:rsid w:val="00F12DBF"/>
    <w:rsid w:val="00F12FA4"/>
    <w:rsid w:val="00F12FE9"/>
    <w:rsid w:val="00F1303F"/>
    <w:rsid w:val="00F131CF"/>
    <w:rsid w:val="00F1353D"/>
    <w:rsid w:val="00F138B9"/>
    <w:rsid w:val="00F13932"/>
    <w:rsid w:val="00F13983"/>
    <w:rsid w:val="00F13A07"/>
    <w:rsid w:val="00F13AA8"/>
    <w:rsid w:val="00F13BBB"/>
    <w:rsid w:val="00F13CF1"/>
    <w:rsid w:val="00F13D1C"/>
    <w:rsid w:val="00F140F2"/>
    <w:rsid w:val="00F14160"/>
    <w:rsid w:val="00F14249"/>
    <w:rsid w:val="00F14FEB"/>
    <w:rsid w:val="00F15116"/>
    <w:rsid w:val="00F15172"/>
    <w:rsid w:val="00F151E7"/>
    <w:rsid w:val="00F1531F"/>
    <w:rsid w:val="00F15526"/>
    <w:rsid w:val="00F15633"/>
    <w:rsid w:val="00F1595E"/>
    <w:rsid w:val="00F15B07"/>
    <w:rsid w:val="00F15BD6"/>
    <w:rsid w:val="00F15EA9"/>
    <w:rsid w:val="00F15F62"/>
    <w:rsid w:val="00F15FA8"/>
    <w:rsid w:val="00F16339"/>
    <w:rsid w:val="00F170FE"/>
    <w:rsid w:val="00F1725D"/>
    <w:rsid w:val="00F174D2"/>
    <w:rsid w:val="00F17610"/>
    <w:rsid w:val="00F1789A"/>
    <w:rsid w:val="00F17A77"/>
    <w:rsid w:val="00F17D66"/>
    <w:rsid w:val="00F204D7"/>
    <w:rsid w:val="00F20697"/>
    <w:rsid w:val="00F207CE"/>
    <w:rsid w:val="00F20A3E"/>
    <w:rsid w:val="00F20ADE"/>
    <w:rsid w:val="00F20F4B"/>
    <w:rsid w:val="00F20FF5"/>
    <w:rsid w:val="00F21004"/>
    <w:rsid w:val="00F217C6"/>
    <w:rsid w:val="00F21DF9"/>
    <w:rsid w:val="00F227B4"/>
    <w:rsid w:val="00F227F5"/>
    <w:rsid w:val="00F22860"/>
    <w:rsid w:val="00F22894"/>
    <w:rsid w:val="00F22C4A"/>
    <w:rsid w:val="00F22D68"/>
    <w:rsid w:val="00F23068"/>
    <w:rsid w:val="00F2318A"/>
    <w:rsid w:val="00F23279"/>
    <w:rsid w:val="00F23479"/>
    <w:rsid w:val="00F234E3"/>
    <w:rsid w:val="00F236DA"/>
    <w:rsid w:val="00F23763"/>
    <w:rsid w:val="00F2390D"/>
    <w:rsid w:val="00F23E38"/>
    <w:rsid w:val="00F23E4B"/>
    <w:rsid w:val="00F23E51"/>
    <w:rsid w:val="00F242AA"/>
    <w:rsid w:val="00F24306"/>
    <w:rsid w:val="00F24424"/>
    <w:rsid w:val="00F2442F"/>
    <w:rsid w:val="00F24543"/>
    <w:rsid w:val="00F24695"/>
    <w:rsid w:val="00F248AA"/>
    <w:rsid w:val="00F24F0C"/>
    <w:rsid w:val="00F24FD4"/>
    <w:rsid w:val="00F25328"/>
    <w:rsid w:val="00F25409"/>
    <w:rsid w:val="00F2551E"/>
    <w:rsid w:val="00F255F1"/>
    <w:rsid w:val="00F25696"/>
    <w:rsid w:val="00F2622F"/>
    <w:rsid w:val="00F26366"/>
    <w:rsid w:val="00F263FE"/>
    <w:rsid w:val="00F266C1"/>
    <w:rsid w:val="00F269EB"/>
    <w:rsid w:val="00F26A78"/>
    <w:rsid w:val="00F26ACD"/>
    <w:rsid w:val="00F2729C"/>
    <w:rsid w:val="00F272CC"/>
    <w:rsid w:val="00F2737A"/>
    <w:rsid w:val="00F2751C"/>
    <w:rsid w:val="00F27612"/>
    <w:rsid w:val="00F27662"/>
    <w:rsid w:val="00F276FE"/>
    <w:rsid w:val="00F27CB2"/>
    <w:rsid w:val="00F30100"/>
    <w:rsid w:val="00F30139"/>
    <w:rsid w:val="00F3037F"/>
    <w:rsid w:val="00F3038E"/>
    <w:rsid w:val="00F30396"/>
    <w:rsid w:val="00F30453"/>
    <w:rsid w:val="00F30462"/>
    <w:rsid w:val="00F3053D"/>
    <w:rsid w:val="00F307E1"/>
    <w:rsid w:val="00F30822"/>
    <w:rsid w:val="00F30A17"/>
    <w:rsid w:val="00F30B75"/>
    <w:rsid w:val="00F30D3E"/>
    <w:rsid w:val="00F310C4"/>
    <w:rsid w:val="00F31211"/>
    <w:rsid w:val="00F31248"/>
    <w:rsid w:val="00F3136A"/>
    <w:rsid w:val="00F314DA"/>
    <w:rsid w:val="00F31504"/>
    <w:rsid w:val="00F31536"/>
    <w:rsid w:val="00F320B3"/>
    <w:rsid w:val="00F32C48"/>
    <w:rsid w:val="00F330AB"/>
    <w:rsid w:val="00F333A3"/>
    <w:rsid w:val="00F3364A"/>
    <w:rsid w:val="00F33868"/>
    <w:rsid w:val="00F33CE0"/>
    <w:rsid w:val="00F33CEF"/>
    <w:rsid w:val="00F34064"/>
    <w:rsid w:val="00F34204"/>
    <w:rsid w:val="00F343C4"/>
    <w:rsid w:val="00F34E04"/>
    <w:rsid w:val="00F34E26"/>
    <w:rsid w:val="00F34FC2"/>
    <w:rsid w:val="00F35088"/>
    <w:rsid w:val="00F353A5"/>
    <w:rsid w:val="00F353FF"/>
    <w:rsid w:val="00F35ED2"/>
    <w:rsid w:val="00F360F2"/>
    <w:rsid w:val="00F364BA"/>
    <w:rsid w:val="00F3654A"/>
    <w:rsid w:val="00F368A8"/>
    <w:rsid w:val="00F36E2E"/>
    <w:rsid w:val="00F36E69"/>
    <w:rsid w:val="00F36FFB"/>
    <w:rsid w:val="00F37696"/>
    <w:rsid w:val="00F37754"/>
    <w:rsid w:val="00F37AB9"/>
    <w:rsid w:val="00F37C03"/>
    <w:rsid w:val="00F37C88"/>
    <w:rsid w:val="00F40186"/>
    <w:rsid w:val="00F40464"/>
    <w:rsid w:val="00F40786"/>
    <w:rsid w:val="00F40A9A"/>
    <w:rsid w:val="00F40BB2"/>
    <w:rsid w:val="00F40BEC"/>
    <w:rsid w:val="00F40C39"/>
    <w:rsid w:val="00F40CF2"/>
    <w:rsid w:val="00F41126"/>
    <w:rsid w:val="00F41199"/>
    <w:rsid w:val="00F4163F"/>
    <w:rsid w:val="00F41721"/>
    <w:rsid w:val="00F418BD"/>
    <w:rsid w:val="00F41B3C"/>
    <w:rsid w:val="00F41CDE"/>
    <w:rsid w:val="00F42251"/>
    <w:rsid w:val="00F42378"/>
    <w:rsid w:val="00F42DC8"/>
    <w:rsid w:val="00F430A7"/>
    <w:rsid w:val="00F43466"/>
    <w:rsid w:val="00F43561"/>
    <w:rsid w:val="00F4380B"/>
    <w:rsid w:val="00F43A1B"/>
    <w:rsid w:val="00F43B37"/>
    <w:rsid w:val="00F43F0A"/>
    <w:rsid w:val="00F4409D"/>
    <w:rsid w:val="00F4418F"/>
    <w:rsid w:val="00F44865"/>
    <w:rsid w:val="00F44AF7"/>
    <w:rsid w:val="00F44B5A"/>
    <w:rsid w:val="00F44C6A"/>
    <w:rsid w:val="00F44F43"/>
    <w:rsid w:val="00F44FA5"/>
    <w:rsid w:val="00F45245"/>
    <w:rsid w:val="00F4541D"/>
    <w:rsid w:val="00F456A5"/>
    <w:rsid w:val="00F456C8"/>
    <w:rsid w:val="00F4573B"/>
    <w:rsid w:val="00F45769"/>
    <w:rsid w:val="00F45C8A"/>
    <w:rsid w:val="00F45DE5"/>
    <w:rsid w:val="00F45ED9"/>
    <w:rsid w:val="00F45FC6"/>
    <w:rsid w:val="00F46220"/>
    <w:rsid w:val="00F462C3"/>
    <w:rsid w:val="00F46580"/>
    <w:rsid w:val="00F46599"/>
    <w:rsid w:val="00F465D0"/>
    <w:rsid w:val="00F467D6"/>
    <w:rsid w:val="00F46B44"/>
    <w:rsid w:val="00F46C86"/>
    <w:rsid w:val="00F46F47"/>
    <w:rsid w:val="00F47186"/>
    <w:rsid w:val="00F473FB"/>
    <w:rsid w:val="00F477DF"/>
    <w:rsid w:val="00F479A8"/>
    <w:rsid w:val="00F47A41"/>
    <w:rsid w:val="00F47B63"/>
    <w:rsid w:val="00F47C6E"/>
    <w:rsid w:val="00F50202"/>
    <w:rsid w:val="00F50317"/>
    <w:rsid w:val="00F50637"/>
    <w:rsid w:val="00F50680"/>
    <w:rsid w:val="00F5082F"/>
    <w:rsid w:val="00F50D73"/>
    <w:rsid w:val="00F50E2D"/>
    <w:rsid w:val="00F50EFC"/>
    <w:rsid w:val="00F5139C"/>
    <w:rsid w:val="00F514F1"/>
    <w:rsid w:val="00F518B2"/>
    <w:rsid w:val="00F51B6A"/>
    <w:rsid w:val="00F51F0C"/>
    <w:rsid w:val="00F52149"/>
    <w:rsid w:val="00F52750"/>
    <w:rsid w:val="00F52C3C"/>
    <w:rsid w:val="00F52F39"/>
    <w:rsid w:val="00F52F91"/>
    <w:rsid w:val="00F53069"/>
    <w:rsid w:val="00F53076"/>
    <w:rsid w:val="00F5334C"/>
    <w:rsid w:val="00F53478"/>
    <w:rsid w:val="00F53751"/>
    <w:rsid w:val="00F538F3"/>
    <w:rsid w:val="00F53C1F"/>
    <w:rsid w:val="00F53EF7"/>
    <w:rsid w:val="00F54191"/>
    <w:rsid w:val="00F541AA"/>
    <w:rsid w:val="00F54C19"/>
    <w:rsid w:val="00F54DD2"/>
    <w:rsid w:val="00F54E2A"/>
    <w:rsid w:val="00F550BC"/>
    <w:rsid w:val="00F55258"/>
    <w:rsid w:val="00F552B2"/>
    <w:rsid w:val="00F555BF"/>
    <w:rsid w:val="00F55669"/>
    <w:rsid w:val="00F5636D"/>
    <w:rsid w:val="00F56489"/>
    <w:rsid w:val="00F56772"/>
    <w:rsid w:val="00F5686C"/>
    <w:rsid w:val="00F56B0B"/>
    <w:rsid w:val="00F56BAB"/>
    <w:rsid w:val="00F56CC9"/>
    <w:rsid w:val="00F56EA4"/>
    <w:rsid w:val="00F56F6D"/>
    <w:rsid w:val="00F57138"/>
    <w:rsid w:val="00F572DE"/>
    <w:rsid w:val="00F572E3"/>
    <w:rsid w:val="00F57557"/>
    <w:rsid w:val="00F57623"/>
    <w:rsid w:val="00F57B2B"/>
    <w:rsid w:val="00F57D5D"/>
    <w:rsid w:val="00F57DF9"/>
    <w:rsid w:val="00F5F99C"/>
    <w:rsid w:val="00F60289"/>
    <w:rsid w:val="00F603C3"/>
    <w:rsid w:val="00F60422"/>
    <w:rsid w:val="00F606C0"/>
    <w:rsid w:val="00F60893"/>
    <w:rsid w:val="00F61171"/>
    <w:rsid w:val="00F61564"/>
    <w:rsid w:val="00F61921"/>
    <w:rsid w:val="00F61A06"/>
    <w:rsid w:val="00F61FDB"/>
    <w:rsid w:val="00F62021"/>
    <w:rsid w:val="00F62288"/>
    <w:rsid w:val="00F6251A"/>
    <w:rsid w:val="00F625D0"/>
    <w:rsid w:val="00F62708"/>
    <w:rsid w:val="00F62E9F"/>
    <w:rsid w:val="00F62EA3"/>
    <w:rsid w:val="00F62EE5"/>
    <w:rsid w:val="00F63248"/>
    <w:rsid w:val="00F637E6"/>
    <w:rsid w:val="00F63A09"/>
    <w:rsid w:val="00F63A34"/>
    <w:rsid w:val="00F63CAE"/>
    <w:rsid w:val="00F63E80"/>
    <w:rsid w:val="00F63FB0"/>
    <w:rsid w:val="00F641F3"/>
    <w:rsid w:val="00F64213"/>
    <w:rsid w:val="00F6436C"/>
    <w:rsid w:val="00F644EE"/>
    <w:rsid w:val="00F64897"/>
    <w:rsid w:val="00F64AE0"/>
    <w:rsid w:val="00F64B86"/>
    <w:rsid w:val="00F64D13"/>
    <w:rsid w:val="00F64DB2"/>
    <w:rsid w:val="00F64E71"/>
    <w:rsid w:val="00F6516F"/>
    <w:rsid w:val="00F65199"/>
    <w:rsid w:val="00F651BC"/>
    <w:rsid w:val="00F65281"/>
    <w:rsid w:val="00F65525"/>
    <w:rsid w:val="00F65572"/>
    <w:rsid w:val="00F655CD"/>
    <w:rsid w:val="00F65850"/>
    <w:rsid w:val="00F6585C"/>
    <w:rsid w:val="00F65B1E"/>
    <w:rsid w:val="00F65BBA"/>
    <w:rsid w:val="00F66095"/>
    <w:rsid w:val="00F66464"/>
    <w:rsid w:val="00F664C3"/>
    <w:rsid w:val="00F66853"/>
    <w:rsid w:val="00F66911"/>
    <w:rsid w:val="00F66BFD"/>
    <w:rsid w:val="00F66D11"/>
    <w:rsid w:val="00F67159"/>
    <w:rsid w:val="00F67907"/>
    <w:rsid w:val="00F67AE2"/>
    <w:rsid w:val="00F67BA9"/>
    <w:rsid w:val="00F67DED"/>
    <w:rsid w:val="00F70697"/>
    <w:rsid w:val="00F70734"/>
    <w:rsid w:val="00F709AC"/>
    <w:rsid w:val="00F70D88"/>
    <w:rsid w:val="00F70F41"/>
    <w:rsid w:val="00F70FCF"/>
    <w:rsid w:val="00F71221"/>
    <w:rsid w:val="00F71434"/>
    <w:rsid w:val="00F7149D"/>
    <w:rsid w:val="00F71711"/>
    <w:rsid w:val="00F7192A"/>
    <w:rsid w:val="00F71C3E"/>
    <w:rsid w:val="00F71D21"/>
    <w:rsid w:val="00F71EA3"/>
    <w:rsid w:val="00F7204F"/>
    <w:rsid w:val="00F721A6"/>
    <w:rsid w:val="00F721FF"/>
    <w:rsid w:val="00F72346"/>
    <w:rsid w:val="00F7236D"/>
    <w:rsid w:val="00F724F4"/>
    <w:rsid w:val="00F72594"/>
    <w:rsid w:val="00F725CF"/>
    <w:rsid w:val="00F72659"/>
    <w:rsid w:val="00F7268D"/>
    <w:rsid w:val="00F726FD"/>
    <w:rsid w:val="00F7274A"/>
    <w:rsid w:val="00F72DEC"/>
    <w:rsid w:val="00F72E70"/>
    <w:rsid w:val="00F72F68"/>
    <w:rsid w:val="00F732F4"/>
    <w:rsid w:val="00F73313"/>
    <w:rsid w:val="00F7351D"/>
    <w:rsid w:val="00F73A3D"/>
    <w:rsid w:val="00F73A95"/>
    <w:rsid w:val="00F743C8"/>
    <w:rsid w:val="00F74587"/>
    <w:rsid w:val="00F74806"/>
    <w:rsid w:val="00F74830"/>
    <w:rsid w:val="00F74B62"/>
    <w:rsid w:val="00F74C16"/>
    <w:rsid w:val="00F74C7A"/>
    <w:rsid w:val="00F74D18"/>
    <w:rsid w:val="00F74E38"/>
    <w:rsid w:val="00F75126"/>
    <w:rsid w:val="00F752BA"/>
    <w:rsid w:val="00F752C4"/>
    <w:rsid w:val="00F754B8"/>
    <w:rsid w:val="00F7585C"/>
    <w:rsid w:val="00F75D96"/>
    <w:rsid w:val="00F76027"/>
    <w:rsid w:val="00F762B7"/>
    <w:rsid w:val="00F764BA"/>
    <w:rsid w:val="00F76535"/>
    <w:rsid w:val="00F765F6"/>
    <w:rsid w:val="00F766A6"/>
    <w:rsid w:val="00F766E4"/>
    <w:rsid w:val="00F76D38"/>
    <w:rsid w:val="00F76D8C"/>
    <w:rsid w:val="00F77104"/>
    <w:rsid w:val="00F77357"/>
    <w:rsid w:val="00F773B6"/>
    <w:rsid w:val="00F77438"/>
    <w:rsid w:val="00F7795B"/>
    <w:rsid w:val="00F77DAA"/>
    <w:rsid w:val="00F77DB3"/>
    <w:rsid w:val="00F77DCA"/>
    <w:rsid w:val="00F77EB1"/>
    <w:rsid w:val="00F80303"/>
    <w:rsid w:val="00F80521"/>
    <w:rsid w:val="00F80595"/>
    <w:rsid w:val="00F8086B"/>
    <w:rsid w:val="00F80ADB"/>
    <w:rsid w:val="00F80C35"/>
    <w:rsid w:val="00F80FFB"/>
    <w:rsid w:val="00F8104B"/>
    <w:rsid w:val="00F811BF"/>
    <w:rsid w:val="00F8121A"/>
    <w:rsid w:val="00F81B46"/>
    <w:rsid w:val="00F81BFA"/>
    <w:rsid w:val="00F81C10"/>
    <w:rsid w:val="00F81C69"/>
    <w:rsid w:val="00F82324"/>
    <w:rsid w:val="00F823F1"/>
    <w:rsid w:val="00F82709"/>
    <w:rsid w:val="00F8296D"/>
    <w:rsid w:val="00F82F8C"/>
    <w:rsid w:val="00F83107"/>
    <w:rsid w:val="00F833C8"/>
    <w:rsid w:val="00F83645"/>
    <w:rsid w:val="00F836AA"/>
    <w:rsid w:val="00F8375B"/>
    <w:rsid w:val="00F83773"/>
    <w:rsid w:val="00F83C02"/>
    <w:rsid w:val="00F83C56"/>
    <w:rsid w:val="00F83F44"/>
    <w:rsid w:val="00F84103"/>
    <w:rsid w:val="00F844E6"/>
    <w:rsid w:val="00F844F0"/>
    <w:rsid w:val="00F847FD"/>
    <w:rsid w:val="00F849BE"/>
    <w:rsid w:val="00F84D8C"/>
    <w:rsid w:val="00F84DB5"/>
    <w:rsid w:val="00F84FFF"/>
    <w:rsid w:val="00F850C5"/>
    <w:rsid w:val="00F85374"/>
    <w:rsid w:val="00F856CC"/>
    <w:rsid w:val="00F856CE"/>
    <w:rsid w:val="00F858E0"/>
    <w:rsid w:val="00F85B14"/>
    <w:rsid w:val="00F85D6F"/>
    <w:rsid w:val="00F85DBD"/>
    <w:rsid w:val="00F85DCE"/>
    <w:rsid w:val="00F85F06"/>
    <w:rsid w:val="00F86053"/>
    <w:rsid w:val="00F860E3"/>
    <w:rsid w:val="00F86447"/>
    <w:rsid w:val="00F86774"/>
    <w:rsid w:val="00F86942"/>
    <w:rsid w:val="00F86959"/>
    <w:rsid w:val="00F86C6F"/>
    <w:rsid w:val="00F87134"/>
    <w:rsid w:val="00F8733D"/>
    <w:rsid w:val="00F873BF"/>
    <w:rsid w:val="00F8746F"/>
    <w:rsid w:val="00F87545"/>
    <w:rsid w:val="00F87663"/>
    <w:rsid w:val="00F87872"/>
    <w:rsid w:val="00F87961"/>
    <w:rsid w:val="00F87EBA"/>
    <w:rsid w:val="00F90000"/>
    <w:rsid w:val="00F90072"/>
    <w:rsid w:val="00F9017E"/>
    <w:rsid w:val="00F9054B"/>
    <w:rsid w:val="00F90A7F"/>
    <w:rsid w:val="00F9114B"/>
    <w:rsid w:val="00F91428"/>
    <w:rsid w:val="00F91486"/>
    <w:rsid w:val="00F91491"/>
    <w:rsid w:val="00F91BA7"/>
    <w:rsid w:val="00F92948"/>
    <w:rsid w:val="00F931EE"/>
    <w:rsid w:val="00F93318"/>
    <w:rsid w:val="00F93C7B"/>
    <w:rsid w:val="00F93D8C"/>
    <w:rsid w:val="00F93FA2"/>
    <w:rsid w:val="00F94043"/>
    <w:rsid w:val="00F940B4"/>
    <w:rsid w:val="00F943BC"/>
    <w:rsid w:val="00F945F0"/>
    <w:rsid w:val="00F94A97"/>
    <w:rsid w:val="00F94AB1"/>
    <w:rsid w:val="00F94D82"/>
    <w:rsid w:val="00F94DD4"/>
    <w:rsid w:val="00F95707"/>
    <w:rsid w:val="00F9576E"/>
    <w:rsid w:val="00F95AEB"/>
    <w:rsid w:val="00F95FAB"/>
    <w:rsid w:val="00F967F8"/>
    <w:rsid w:val="00F968C4"/>
    <w:rsid w:val="00F968FA"/>
    <w:rsid w:val="00F96A52"/>
    <w:rsid w:val="00F96AA3"/>
    <w:rsid w:val="00F96AE4"/>
    <w:rsid w:val="00F96B16"/>
    <w:rsid w:val="00F972CB"/>
    <w:rsid w:val="00F97369"/>
    <w:rsid w:val="00F97429"/>
    <w:rsid w:val="00F97503"/>
    <w:rsid w:val="00F97D0B"/>
    <w:rsid w:val="00F97F19"/>
    <w:rsid w:val="00FA01C6"/>
    <w:rsid w:val="00FA0349"/>
    <w:rsid w:val="00FA0376"/>
    <w:rsid w:val="00FA0A0D"/>
    <w:rsid w:val="00FA0B9E"/>
    <w:rsid w:val="00FA0F04"/>
    <w:rsid w:val="00FA11D8"/>
    <w:rsid w:val="00FA12A4"/>
    <w:rsid w:val="00FA1312"/>
    <w:rsid w:val="00FA1466"/>
    <w:rsid w:val="00FA14C1"/>
    <w:rsid w:val="00FA1768"/>
    <w:rsid w:val="00FA187B"/>
    <w:rsid w:val="00FA1E79"/>
    <w:rsid w:val="00FA1E9B"/>
    <w:rsid w:val="00FA236D"/>
    <w:rsid w:val="00FA293C"/>
    <w:rsid w:val="00FA31CA"/>
    <w:rsid w:val="00FA336E"/>
    <w:rsid w:val="00FA33E4"/>
    <w:rsid w:val="00FA3A7A"/>
    <w:rsid w:val="00FA3B63"/>
    <w:rsid w:val="00FA3F1A"/>
    <w:rsid w:val="00FA4E86"/>
    <w:rsid w:val="00FA4F00"/>
    <w:rsid w:val="00FA5062"/>
    <w:rsid w:val="00FA55A1"/>
    <w:rsid w:val="00FA577B"/>
    <w:rsid w:val="00FA5792"/>
    <w:rsid w:val="00FA5838"/>
    <w:rsid w:val="00FA5892"/>
    <w:rsid w:val="00FA59C7"/>
    <w:rsid w:val="00FA59EE"/>
    <w:rsid w:val="00FA5CF3"/>
    <w:rsid w:val="00FA61E4"/>
    <w:rsid w:val="00FA64F3"/>
    <w:rsid w:val="00FA6547"/>
    <w:rsid w:val="00FA6AD2"/>
    <w:rsid w:val="00FA71D1"/>
    <w:rsid w:val="00FA75AC"/>
    <w:rsid w:val="00FA7775"/>
    <w:rsid w:val="00FA78DD"/>
    <w:rsid w:val="00FA7C1C"/>
    <w:rsid w:val="00FA9DB8"/>
    <w:rsid w:val="00FAC6CE"/>
    <w:rsid w:val="00FB0021"/>
    <w:rsid w:val="00FB022D"/>
    <w:rsid w:val="00FB04A9"/>
    <w:rsid w:val="00FB04B4"/>
    <w:rsid w:val="00FB0749"/>
    <w:rsid w:val="00FB07E4"/>
    <w:rsid w:val="00FB0D8B"/>
    <w:rsid w:val="00FB0F65"/>
    <w:rsid w:val="00FB0FDE"/>
    <w:rsid w:val="00FB10E7"/>
    <w:rsid w:val="00FB15D4"/>
    <w:rsid w:val="00FB16D8"/>
    <w:rsid w:val="00FB1961"/>
    <w:rsid w:val="00FB1C6C"/>
    <w:rsid w:val="00FB200E"/>
    <w:rsid w:val="00FB2303"/>
    <w:rsid w:val="00FB25E7"/>
    <w:rsid w:val="00FB29F3"/>
    <w:rsid w:val="00FB2A05"/>
    <w:rsid w:val="00FB2E72"/>
    <w:rsid w:val="00FB2F07"/>
    <w:rsid w:val="00FB30E2"/>
    <w:rsid w:val="00FB3370"/>
    <w:rsid w:val="00FB3441"/>
    <w:rsid w:val="00FB3A76"/>
    <w:rsid w:val="00FB3D2C"/>
    <w:rsid w:val="00FB417E"/>
    <w:rsid w:val="00FB48E3"/>
    <w:rsid w:val="00FB4B80"/>
    <w:rsid w:val="00FB513C"/>
    <w:rsid w:val="00FB5217"/>
    <w:rsid w:val="00FB55E5"/>
    <w:rsid w:val="00FB5744"/>
    <w:rsid w:val="00FB5852"/>
    <w:rsid w:val="00FB58FF"/>
    <w:rsid w:val="00FB5B3B"/>
    <w:rsid w:val="00FB5BB0"/>
    <w:rsid w:val="00FB5FA1"/>
    <w:rsid w:val="00FB5FF4"/>
    <w:rsid w:val="00FB60F7"/>
    <w:rsid w:val="00FB6BDD"/>
    <w:rsid w:val="00FB6CE4"/>
    <w:rsid w:val="00FB712B"/>
    <w:rsid w:val="00FB746D"/>
    <w:rsid w:val="00FB74EC"/>
    <w:rsid w:val="00FB7604"/>
    <w:rsid w:val="00FB77E2"/>
    <w:rsid w:val="00FB78F6"/>
    <w:rsid w:val="00FB7B60"/>
    <w:rsid w:val="00FB7BF8"/>
    <w:rsid w:val="00FB7F17"/>
    <w:rsid w:val="00FB7FF3"/>
    <w:rsid w:val="00FC0333"/>
    <w:rsid w:val="00FC0339"/>
    <w:rsid w:val="00FC05FB"/>
    <w:rsid w:val="00FC066D"/>
    <w:rsid w:val="00FC07BB"/>
    <w:rsid w:val="00FC18EF"/>
    <w:rsid w:val="00FC2217"/>
    <w:rsid w:val="00FC22EE"/>
    <w:rsid w:val="00FC2433"/>
    <w:rsid w:val="00FC2D12"/>
    <w:rsid w:val="00FC2E50"/>
    <w:rsid w:val="00FC2F73"/>
    <w:rsid w:val="00FC300C"/>
    <w:rsid w:val="00FC3240"/>
    <w:rsid w:val="00FC344D"/>
    <w:rsid w:val="00FC3597"/>
    <w:rsid w:val="00FC3698"/>
    <w:rsid w:val="00FC3A03"/>
    <w:rsid w:val="00FC3BAC"/>
    <w:rsid w:val="00FC3E8B"/>
    <w:rsid w:val="00FC3ED3"/>
    <w:rsid w:val="00FC4878"/>
    <w:rsid w:val="00FC4C16"/>
    <w:rsid w:val="00FC4C9E"/>
    <w:rsid w:val="00FC4CC6"/>
    <w:rsid w:val="00FC4F22"/>
    <w:rsid w:val="00FC5185"/>
    <w:rsid w:val="00FC54DF"/>
    <w:rsid w:val="00FC56BA"/>
    <w:rsid w:val="00FC57E6"/>
    <w:rsid w:val="00FC5FDE"/>
    <w:rsid w:val="00FC61DB"/>
    <w:rsid w:val="00FC6217"/>
    <w:rsid w:val="00FC62D0"/>
    <w:rsid w:val="00FC62F8"/>
    <w:rsid w:val="00FC6CD4"/>
    <w:rsid w:val="00FC6FE2"/>
    <w:rsid w:val="00FC71EE"/>
    <w:rsid w:val="00FC72C9"/>
    <w:rsid w:val="00FC7313"/>
    <w:rsid w:val="00FC757D"/>
    <w:rsid w:val="00FC76FE"/>
    <w:rsid w:val="00FC78CE"/>
    <w:rsid w:val="00FC7A93"/>
    <w:rsid w:val="00FC7E43"/>
    <w:rsid w:val="00FC7EC7"/>
    <w:rsid w:val="00FD0B44"/>
    <w:rsid w:val="00FD0EF6"/>
    <w:rsid w:val="00FD1704"/>
    <w:rsid w:val="00FD17BC"/>
    <w:rsid w:val="00FD19CB"/>
    <w:rsid w:val="00FD19D0"/>
    <w:rsid w:val="00FD1B3C"/>
    <w:rsid w:val="00FD1FB4"/>
    <w:rsid w:val="00FD218A"/>
    <w:rsid w:val="00FD242C"/>
    <w:rsid w:val="00FD24A0"/>
    <w:rsid w:val="00FD27A8"/>
    <w:rsid w:val="00FD27C2"/>
    <w:rsid w:val="00FD280B"/>
    <w:rsid w:val="00FD28FC"/>
    <w:rsid w:val="00FD2F83"/>
    <w:rsid w:val="00FD306D"/>
    <w:rsid w:val="00FD3499"/>
    <w:rsid w:val="00FD3891"/>
    <w:rsid w:val="00FD393C"/>
    <w:rsid w:val="00FD3F26"/>
    <w:rsid w:val="00FD3FB6"/>
    <w:rsid w:val="00FD40FA"/>
    <w:rsid w:val="00FD4183"/>
    <w:rsid w:val="00FD4281"/>
    <w:rsid w:val="00FD4303"/>
    <w:rsid w:val="00FD43F3"/>
    <w:rsid w:val="00FD4788"/>
    <w:rsid w:val="00FD47D6"/>
    <w:rsid w:val="00FD4859"/>
    <w:rsid w:val="00FD4897"/>
    <w:rsid w:val="00FD4AD8"/>
    <w:rsid w:val="00FD4D28"/>
    <w:rsid w:val="00FD4EDE"/>
    <w:rsid w:val="00FD504D"/>
    <w:rsid w:val="00FD523D"/>
    <w:rsid w:val="00FD53D8"/>
    <w:rsid w:val="00FD543F"/>
    <w:rsid w:val="00FD57C8"/>
    <w:rsid w:val="00FD57D7"/>
    <w:rsid w:val="00FD58E9"/>
    <w:rsid w:val="00FD5B26"/>
    <w:rsid w:val="00FD5BE1"/>
    <w:rsid w:val="00FD5C0C"/>
    <w:rsid w:val="00FD6194"/>
    <w:rsid w:val="00FD6201"/>
    <w:rsid w:val="00FD65B9"/>
    <w:rsid w:val="00FD6621"/>
    <w:rsid w:val="00FD674C"/>
    <w:rsid w:val="00FD6796"/>
    <w:rsid w:val="00FD68D5"/>
    <w:rsid w:val="00FD6C61"/>
    <w:rsid w:val="00FD6EFC"/>
    <w:rsid w:val="00FD7824"/>
    <w:rsid w:val="00FD7A27"/>
    <w:rsid w:val="00FD7BE5"/>
    <w:rsid w:val="00FD7CFF"/>
    <w:rsid w:val="00FE001F"/>
    <w:rsid w:val="00FE09B6"/>
    <w:rsid w:val="00FE0B5D"/>
    <w:rsid w:val="00FE0DA7"/>
    <w:rsid w:val="00FE0FD7"/>
    <w:rsid w:val="00FE141D"/>
    <w:rsid w:val="00FE1BCE"/>
    <w:rsid w:val="00FE1C5B"/>
    <w:rsid w:val="00FE233B"/>
    <w:rsid w:val="00FE27DC"/>
    <w:rsid w:val="00FE2B62"/>
    <w:rsid w:val="00FE2FF1"/>
    <w:rsid w:val="00FE304D"/>
    <w:rsid w:val="00FE32CC"/>
    <w:rsid w:val="00FE34AF"/>
    <w:rsid w:val="00FE36A7"/>
    <w:rsid w:val="00FE3A12"/>
    <w:rsid w:val="00FE3E0F"/>
    <w:rsid w:val="00FE408C"/>
    <w:rsid w:val="00FE40A0"/>
    <w:rsid w:val="00FE414D"/>
    <w:rsid w:val="00FE44B2"/>
    <w:rsid w:val="00FE48E2"/>
    <w:rsid w:val="00FE4934"/>
    <w:rsid w:val="00FE4B3B"/>
    <w:rsid w:val="00FE4F5E"/>
    <w:rsid w:val="00FE4FF0"/>
    <w:rsid w:val="00FE54C5"/>
    <w:rsid w:val="00FE54EF"/>
    <w:rsid w:val="00FE566E"/>
    <w:rsid w:val="00FE5695"/>
    <w:rsid w:val="00FE569D"/>
    <w:rsid w:val="00FE5862"/>
    <w:rsid w:val="00FE5BCA"/>
    <w:rsid w:val="00FE5FB5"/>
    <w:rsid w:val="00FE5FB9"/>
    <w:rsid w:val="00FE60B8"/>
    <w:rsid w:val="00FE6421"/>
    <w:rsid w:val="00FE642A"/>
    <w:rsid w:val="00FE659F"/>
    <w:rsid w:val="00FE68EB"/>
    <w:rsid w:val="00FE70EB"/>
    <w:rsid w:val="00FE75F1"/>
    <w:rsid w:val="00FE7B49"/>
    <w:rsid w:val="00FE7B52"/>
    <w:rsid w:val="00FE7BF6"/>
    <w:rsid w:val="00FF08CC"/>
    <w:rsid w:val="00FF0A35"/>
    <w:rsid w:val="00FF0CA1"/>
    <w:rsid w:val="00FF0D6D"/>
    <w:rsid w:val="00FF0FCD"/>
    <w:rsid w:val="00FF14ED"/>
    <w:rsid w:val="00FF177F"/>
    <w:rsid w:val="00FF19A4"/>
    <w:rsid w:val="00FF1D09"/>
    <w:rsid w:val="00FF21A7"/>
    <w:rsid w:val="00FF284D"/>
    <w:rsid w:val="00FF294B"/>
    <w:rsid w:val="00FF2BC6"/>
    <w:rsid w:val="00FF2C37"/>
    <w:rsid w:val="00FF2D05"/>
    <w:rsid w:val="00FF3052"/>
    <w:rsid w:val="00FF366F"/>
    <w:rsid w:val="00FF3778"/>
    <w:rsid w:val="00FF3A39"/>
    <w:rsid w:val="00FF3C82"/>
    <w:rsid w:val="00FF3EC2"/>
    <w:rsid w:val="00FF3F29"/>
    <w:rsid w:val="00FF3F45"/>
    <w:rsid w:val="00FF4082"/>
    <w:rsid w:val="00FF4193"/>
    <w:rsid w:val="00FF4204"/>
    <w:rsid w:val="00FF42E2"/>
    <w:rsid w:val="00FF48E9"/>
    <w:rsid w:val="00FF4BCF"/>
    <w:rsid w:val="00FF4FF3"/>
    <w:rsid w:val="00FF520C"/>
    <w:rsid w:val="00FF529A"/>
    <w:rsid w:val="00FF551E"/>
    <w:rsid w:val="00FF584E"/>
    <w:rsid w:val="00FF59A9"/>
    <w:rsid w:val="00FF59ED"/>
    <w:rsid w:val="00FF5BCE"/>
    <w:rsid w:val="00FF5C3F"/>
    <w:rsid w:val="00FF5C64"/>
    <w:rsid w:val="00FF5D10"/>
    <w:rsid w:val="00FF5F94"/>
    <w:rsid w:val="00FF6095"/>
    <w:rsid w:val="00FF60DB"/>
    <w:rsid w:val="00FF64D0"/>
    <w:rsid w:val="00FF6604"/>
    <w:rsid w:val="00FF689B"/>
    <w:rsid w:val="00FF6B07"/>
    <w:rsid w:val="00FF6D3C"/>
    <w:rsid w:val="00FF6DA0"/>
    <w:rsid w:val="00FF6FA2"/>
    <w:rsid w:val="00FF7012"/>
    <w:rsid w:val="00FF756E"/>
    <w:rsid w:val="00FF75D6"/>
    <w:rsid w:val="00FF77BF"/>
    <w:rsid w:val="00FF783B"/>
    <w:rsid w:val="01003C5A"/>
    <w:rsid w:val="010CF1EC"/>
    <w:rsid w:val="010EAB92"/>
    <w:rsid w:val="01159F0C"/>
    <w:rsid w:val="0115A789"/>
    <w:rsid w:val="01182ADC"/>
    <w:rsid w:val="0119EBDB"/>
    <w:rsid w:val="011F3C73"/>
    <w:rsid w:val="01250961"/>
    <w:rsid w:val="012A9E8D"/>
    <w:rsid w:val="012C418D"/>
    <w:rsid w:val="012E2494"/>
    <w:rsid w:val="012EA46F"/>
    <w:rsid w:val="012F5E8A"/>
    <w:rsid w:val="0131C309"/>
    <w:rsid w:val="0131EB82"/>
    <w:rsid w:val="01333409"/>
    <w:rsid w:val="013E625C"/>
    <w:rsid w:val="01404184"/>
    <w:rsid w:val="01489947"/>
    <w:rsid w:val="01522DC8"/>
    <w:rsid w:val="01539437"/>
    <w:rsid w:val="01593EEB"/>
    <w:rsid w:val="015A67E6"/>
    <w:rsid w:val="01608B11"/>
    <w:rsid w:val="0165C85C"/>
    <w:rsid w:val="016B4D4A"/>
    <w:rsid w:val="016B5F87"/>
    <w:rsid w:val="017C1539"/>
    <w:rsid w:val="017FC824"/>
    <w:rsid w:val="01838FFA"/>
    <w:rsid w:val="0188D631"/>
    <w:rsid w:val="018CBF9C"/>
    <w:rsid w:val="018E69F3"/>
    <w:rsid w:val="018EA1BF"/>
    <w:rsid w:val="01931D0D"/>
    <w:rsid w:val="0193A6D8"/>
    <w:rsid w:val="0194A5DA"/>
    <w:rsid w:val="019BB750"/>
    <w:rsid w:val="019EAB6B"/>
    <w:rsid w:val="01A29A6A"/>
    <w:rsid w:val="01A68D34"/>
    <w:rsid w:val="01B055F2"/>
    <w:rsid w:val="01B8A88F"/>
    <w:rsid w:val="01BECE99"/>
    <w:rsid w:val="01BF0847"/>
    <w:rsid w:val="01CF410D"/>
    <w:rsid w:val="01D20085"/>
    <w:rsid w:val="01D42ABB"/>
    <w:rsid w:val="01DC3AC8"/>
    <w:rsid w:val="01E639BF"/>
    <w:rsid w:val="01E7895F"/>
    <w:rsid w:val="01E93A0C"/>
    <w:rsid w:val="01EB6282"/>
    <w:rsid w:val="01EBA42B"/>
    <w:rsid w:val="01EDB271"/>
    <w:rsid w:val="01EE1FF4"/>
    <w:rsid w:val="01EF4873"/>
    <w:rsid w:val="01F1CD25"/>
    <w:rsid w:val="01F2C99E"/>
    <w:rsid w:val="01F98771"/>
    <w:rsid w:val="01FBF066"/>
    <w:rsid w:val="01FD3C96"/>
    <w:rsid w:val="01FD68A9"/>
    <w:rsid w:val="020475B2"/>
    <w:rsid w:val="020A9D61"/>
    <w:rsid w:val="020A9ED7"/>
    <w:rsid w:val="021882DA"/>
    <w:rsid w:val="02238A74"/>
    <w:rsid w:val="0226119F"/>
    <w:rsid w:val="0226DA37"/>
    <w:rsid w:val="022CBE3C"/>
    <w:rsid w:val="022D2309"/>
    <w:rsid w:val="0234C0DE"/>
    <w:rsid w:val="02378B8D"/>
    <w:rsid w:val="023A5E20"/>
    <w:rsid w:val="023E6B7C"/>
    <w:rsid w:val="024ABA15"/>
    <w:rsid w:val="024AE89A"/>
    <w:rsid w:val="024D422B"/>
    <w:rsid w:val="024D86EA"/>
    <w:rsid w:val="024D946E"/>
    <w:rsid w:val="024ED8C4"/>
    <w:rsid w:val="0253FFB7"/>
    <w:rsid w:val="025CFA5E"/>
    <w:rsid w:val="02635155"/>
    <w:rsid w:val="0267332D"/>
    <w:rsid w:val="0268DB82"/>
    <w:rsid w:val="026B1EE8"/>
    <w:rsid w:val="026C90C6"/>
    <w:rsid w:val="026EEAB3"/>
    <w:rsid w:val="027067EF"/>
    <w:rsid w:val="0273F664"/>
    <w:rsid w:val="0275CD45"/>
    <w:rsid w:val="0277FED9"/>
    <w:rsid w:val="027C8BC7"/>
    <w:rsid w:val="0285BD25"/>
    <w:rsid w:val="0287E412"/>
    <w:rsid w:val="028BD3F4"/>
    <w:rsid w:val="028F25BA"/>
    <w:rsid w:val="0294150C"/>
    <w:rsid w:val="02974608"/>
    <w:rsid w:val="02982963"/>
    <w:rsid w:val="029A0625"/>
    <w:rsid w:val="029BD5E2"/>
    <w:rsid w:val="02B76D7B"/>
    <w:rsid w:val="02C0447D"/>
    <w:rsid w:val="02C2AFCF"/>
    <w:rsid w:val="02C409F0"/>
    <w:rsid w:val="02C8B4D2"/>
    <w:rsid w:val="02CB3DF7"/>
    <w:rsid w:val="02DD7BF4"/>
    <w:rsid w:val="02E3E7A3"/>
    <w:rsid w:val="02E46448"/>
    <w:rsid w:val="02E5C1EC"/>
    <w:rsid w:val="02EBCE25"/>
    <w:rsid w:val="02EDAC0B"/>
    <w:rsid w:val="02F705E4"/>
    <w:rsid w:val="02FFAD24"/>
    <w:rsid w:val="03005BF7"/>
    <w:rsid w:val="030182DD"/>
    <w:rsid w:val="030A492F"/>
    <w:rsid w:val="030B5A5B"/>
    <w:rsid w:val="030E967C"/>
    <w:rsid w:val="031463EB"/>
    <w:rsid w:val="03148EE0"/>
    <w:rsid w:val="031E9533"/>
    <w:rsid w:val="0322C6E1"/>
    <w:rsid w:val="0323388E"/>
    <w:rsid w:val="0324EB76"/>
    <w:rsid w:val="032626A4"/>
    <w:rsid w:val="03287D6A"/>
    <w:rsid w:val="0328BC28"/>
    <w:rsid w:val="032A3B94"/>
    <w:rsid w:val="032D0247"/>
    <w:rsid w:val="032E878A"/>
    <w:rsid w:val="03323AA4"/>
    <w:rsid w:val="03357B53"/>
    <w:rsid w:val="0338D9FB"/>
    <w:rsid w:val="03393AB9"/>
    <w:rsid w:val="03402BA8"/>
    <w:rsid w:val="0340A095"/>
    <w:rsid w:val="0343F301"/>
    <w:rsid w:val="03463287"/>
    <w:rsid w:val="03475470"/>
    <w:rsid w:val="034C333E"/>
    <w:rsid w:val="034F58E5"/>
    <w:rsid w:val="0354664F"/>
    <w:rsid w:val="03573F2C"/>
    <w:rsid w:val="03641E2F"/>
    <w:rsid w:val="0365EBCF"/>
    <w:rsid w:val="036CCC10"/>
    <w:rsid w:val="036D29ED"/>
    <w:rsid w:val="036DFCC1"/>
    <w:rsid w:val="0372F764"/>
    <w:rsid w:val="0374BB6B"/>
    <w:rsid w:val="0376AE59"/>
    <w:rsid w:val="03776234"/>
    <w:rsid w:val="038069F9"/>
    <w:rsid w:val="038B2624"/>
    <w:rsid w:val="038EB596"/>
    <w:rsid w:val="03908045"/>
    <w:rsid w:val="03926985"/>
    <w:rsid w:val="03953170"/>
    <w:rsid w:val="03954426"/>
    <w:rsid w:val="0395F1C9"/>
    <w:rsid w:val="039B90A3"/>
    <w:rsid w:val="039D6156"/>
    <w:rsid w:val="039E1E1B"/>
    <w:rsid w:val="03A4A2D5"/>
    <w:rsid w:val="03A68216"/>
    <w:rsid w:val="03B0E7FD"/>
    <w:rsid w:val="03B70578"/>
    <w:rsid w:val="03B96B43"/>
    <w:rsid w:val="03BB79B8"/>
    <w:rsid w:val="03BE4B2F"/>
    <w:rsid w:val="03C42721"/>
    <w:rsid w:val="03C5F36E"/>
    <w:rsid w:val="03CEC180"/>
    <w:rsid w:val="03D336B0"/>
    <w:rsid w:val="03D34146"/>
    <w:rsid w:val="03D7A0E5"/>
    <w:rsid w:val="03DDEFA4"/>
    <w:rsid w:val="03E1E835"/>
    <w:rsid w:val="03E87D2D"/>
    <w:rsid w:val="03E8C82D"/>
    <w:rsid w:val="03E8E899"/>
    <w:rsid w:val="03ED2AF5"/>
    <w:rsid w:val="03EE55D1"/>
    <w:rsid w:val="03F27C83"/>
    <w:rsid w:val="03FE2CE2"/>
    <w:rsid w:val="04032DEB"/>
    <w:rsid w:val="0405BA7B"/>
    <w:rsid w:val="04064EB0"/>
    <w:rsid w:val="040676BA"/>
    <w:rsid w:val="04106E4C"/>
    <w:rsid w:val="0412F84D"/>
    <w:rsid w:val="0416EEFE"/>
    <w:rsid w:val="041BE398"/>
    <w:rsid w:val="041C14B4"/>
    <w:rsid w:val="041CA963"/>
    <w:rsid w:val="0420B2DD"/>
    <w:rsid w:val="0421C653"/>
    <w:rsid w:val="04238EAE"/>
    <w:rsid w:val="042B3D5B"/>
    <w:rsid w:val="042E11CB"/>
    <w:rsid w:val="042F6CCE"/>
    <w:rsid w:val="04315D28"/>
    <w:rsid w:val="0431CD34"/>
    <w:rsid w:val="0433BB36"/>
    <w:rsid w:val="04346AA6"/>
    <w:rsid w:val="044628E5"/>
    <w:rsid w:val="0455B6A3"/>
    <w:rsid w:val="045F30C5"/>
    <w:rsid w:val="045F8A60"/>
    <w:rsid w:val="0470AD0D"/>
    <w:rsid w:val="047C1CD8"/>
    <w:rsid w:val="047C2638"/>
    <w:rsid w:val="047C78EC"/>
    <w:rsid w:val="047F1544"/>
    <w:rsid w:val="04872031"/>
    <w:rsid w:val="0491AE38"/>
    <w:rsid w:val="0498FEA5"/>
    <w:rsid w:val="049AF39E"/>
    <w:rsid w:val="049F0147"/>
    <w:rsid w:val="04A4B70C"/>
    <w:rsid w:val="04ABCE13"/>
    <w:rsid w:val="04AC0EEF"/>
    <w:rsid w:val="04B7B6C9"/>
    <w:rsid w:val="04BDF5D0"/>
    <w:rsid w:val="04BFFC97"/>
    <w:rsid w:val="04CB43EA"/>
    <w:rsid w:val="04CCF037"/>
    <w:rsid w:val="04D0A2E8"/>
    <w:rsid w:val="04D28127"/>
    <w:rsid w:val="04D70984"/>
    <w:rsid w:val="04D801B4"/>
    <w:rsid w:val="04D81FD3"/>
    <w:rsid w:val="04DE45BF"/>
    <w:rsid w:val="04E0EAF3"/>
    <w:rsid w:val="04E24C49"/>
    <w:rsid w:val="04E32923"/>
    <w:rsid w:val="04E3898E"/>
    <w:rsid w:val="04E7D5A1"/>
    <w:rsid w:val="04E9B74D"/>
    <w:rsid w:val="04EE2669"/>
    <w:rsid w:val="04F3E652"/>
    <w:rsid w:val="0501F8C1"/>
    <w:rsid w:val="05022A9C"/>
    <w:rsid w:val="05028D77"/>
    <w:rsid w:val="050EE035"/>
    <w:rsid w:val="05109F37"/>
    <w:rsid w:val="0512C04D"/>
    <w:rsid w:val="0512DBE5"/>
    <w:rsid w:val="051A513F"/>
    <w:rsid w:val="051BB64F"/>
    <w:rsid w:val="05226FB7"/>
    <w:rsid w:val="05227F91"/>
    <w:rsid w:val="0522FAAE"/>
    <w:rsid w:val="05230D55"/>
    <w:rsid w:val="052D2E81"/>
    <w:rsid w:val="052DB72C"/>
    <w:rsid w:val="052DFD50"/>
    <w:rsid w:val="0533DF7A"/>
    <w:rsid w:val="0537489B"/>
    <w:rsid w:val="053C622D"/>
    <w:rsid w:val="053C8047"/>
    <w:rsid w:val="053E0732"/>
    <w:rsid w:val="053E2E67"/>
    <w:rsid w:val="0542C858"/>
    <w:rsid w:val="05451894"/>
    <w:rsid w:val="0545E4CF"/>
    <w:rsid w:val="0546BCF0"/>
    <w:rsid w:val="0547F78D"/>
    <w:rsid w:val="055752B9"/>
    <w:rsid w:val="055AB703"/>
    <w:rsid w:val="055F56D4"/>
    <w:rsid w:val="055F5C58"/>
    <w:rsid w:val="05616980"/>
    <w:rsid w:val="056185C7"/>
    <w:rsid w:val="0561C72C"/>
    <w:rsid w:val="056514DF"/>
    <w:rsid w:val="0570354B"/>
    <w:rsid w:val="05749948"/>
    <w:rsid w:val="0580B3D1"/>
    <w:rsid w:val="058213B3"/>
    <w:rsid w:val="05841986"/>
    <w:rsid w:val="05893DDF"/>
    <w:rsid w:val="0589BA58"/>
    <w:rsid w:val="0591C0B2"/>
    <w:rsid w:val="059248C7"/>
    <w:rsid w:val="0592A454"/>
    <w:rsid w:val="0595CBF5"/>
    <w:rsid w:val="05974D2F"/>
    <w:rsid w:val="05999C94"/>
    <w:rsid w:val="059AEC80"/>
    <w:rsid w:val="05A0F414"/>
    <w:rsid w:val="05A2191B"/>
    <w:rsid w:val="05A7C167"/>
    <w:rsid w:val="05ADEC80"/>
    <w:rsid w:val="05AE0285"/>
    <w:rsid w:val="05AEE849"/>
    <w:rsid w:val="05C2B69F"/>
    <w:rsid w:val="05C599FA"/>
    <w:rsid w:val="05C9D98E"/>
    <w:rsid w:val="05CD12A3"/>
    <w:rsid w:val="05D0AE35"/>
    <w:rsid w:val="05D27163"/>
    <w:rsid w:val="05D69B18"/>
    <w:rsid w:val="05D75329"/>
    <w:rsid w:val="05D8F0F0"/>
    <w:rsid w:val="05D9FBA6"/>
    <w:rsid w:val="05DDA4DA"/>
    <w:rsid w:val="05DF1AB6"/>
    <w:rsid w:val="05EEF9A5"/>
    <w:rsid w:val="05F23427"/>
    <w:rsid w:val="05F3959F"/>
    <w:rsid w:val="05F55002"/>
    <w:rsid w:val="06010282"/>
    <w:rsid w:val="06024244"/>
    <w:rsid w:val="060259A6"/>
    <w:rsid w:val="060D11BD"/>
    <w:rsid w:val="060D3315"/>
    <w:rsid w:val="06192FDD"/>
    <w:rsid w:val="061A0622"/>
    <w:rsid w:val="061ADBCB"/>
    <w:rsid w:val="061D19B2"/>
    <w:rsid w:val="06208CEF"/>
    <w:rsid w:val="0620CC66"/>
    <w:rsid w:val="0621DE77"/>
    <w:rsid w:val="0623AA1F"/>
    <w:rsid w:val="062E6266"/>
    <w:rsid w:val="062E9D14"/>
    <w:rsid w:val="062F1468"/>
    <w:rsid w:val="062F584A"/>
    <w:rsid w:val="063265BC"/>
    <w:rsid w:val="0640A731"/>
    <w:rsid w:val="0640D621"/>
    <w:rsid w:val="0640FE86"/>
    <w:rsid w:val="064B0097"/>
    <w:rsid w:val="064E1FB1"/>
    <w:rsid w:val="06514BD2"/>
    <w:rsid w:val="0655881A"/>
    <w:rsid w:val="06561C49"/>
    <w:rsid w:val="0657F53E"/>
    <w:rsid w:val="06581D39"/>
    <w:rsid w:val="0658F10E"/>
    <w:rsid w:val="065FB51A"/>
    <w:rsid w:val="0661E4FE"/>
    <w:rsid w:val="066D961E"/>
    <w:rsid w:val="066DD6A8"/>
    <w:rsid w:val="067054A6"/>
    <w:rsid w:val="0670780D"/>
    <w:rsid w:val="06708C0E"/>
    <w:rsid w:val="0678B213"/>
    <w:rsid w:val="067AF9E6"/>
    <w:rsid w:val="067BA8A0"/>
    <w:rsid w:val="067CC1BD"/>
    <w:rsid w:val="067D0C68"/>
    <w:rsid w:val="06840170"/>
    <w:rsid w:val="068B7910"/>
    <w:rsid w:val="068CAD72"/>
    <w:rsid w:val="068D6D22"/>
    <w:rsid w:val="06943030"/>
    <w:rsid w:val="06945B56"/>
    <w:rsid w:val="06978A6E"/>
    <w:rsid w:val="06A4D932"/>
    <w:rsid w:val="06A8BD3C"/>
    <w:rsid w:val="06AAC29D"/>
    <w:rsid w:val="06AEDCC3"/>
    <w:rsid w:val="06AF1B16"/>
    <w:rsid w:val="06B96D0D"/>
    <w:rsid w:val="06BE30C4"/>
    <w:rsid w:val="06BF7AEF"/>
    <w:rsid w:val="06C2C572"/>
    <w:rsid w:val="06C8DCEF"/>
    <w:rsid w:val="06CCA57D"/>
    <w:rsid w:val="06CF72A1"/>
    <w:rsid w:val="06D6934E"/>
    <w:rsid w:val="06E0923A"/>
    <w:rsid w:val="06E41173"/>
    <w:rsid w:val="06E5CAEF"/>
    <w:rsid w:val="06E768F9"/>
    <w:rsid w:val="06EA0C67"/>
    <w:rsid w:val="06EF7DFB"/>
    <w:rsid w:val="06F32C9C"/>
    <w:rsid w:val="06FA4FD9"/>
    <w:rsid w:val="0707221B"/>
    <w:rsid w:val="070C77E8"/>
    <w:rsid w:val="070EDE1B"/>
    <w:rsid w:val="07107966"/>
    <w:rsid w:val="0711EF61"/>
    <w:rsid w:val="0713DCDD"/>
    <w:rsid w:val="071F504E"/>
    <w:rsid w:val="0721FCCF"/>
    <w:rsid w:val="07283715"/>
    <w:rsid w:val="072FBFDF"/>
    <w:rsid w:val="0731BEC1"/>
    <w:rsid w:val="0736EC7E"/>
    <w:rsid w:val="07380E29"/>
    <w:rsid w:val="073A09C4"/>
    <w:rsid w:val="0743B57F"/>
    <w:rsid w:val="0753450A"/>
    <w:rsid w:val="075D7E32"/>
    <w:rsid w:val="075F18FB"/>
    <w:rsid w:val="07600E54"/>
    <w:rsid w:val="0762A506"/>
    <w:rsid w:val="0763D2AB"/>
    <w:rsid w:val="076514DD"/>
    <w:rsid w:val="07686755"/>
    <w:rsid w:val="076B6E72"/>
    <w:rsid w:val="076DC62D"/>
    <w:rsid w:val="0772A4C6"/>
    <w:rsid w:val="0773315F"/>
    <w:rsid w:val="0773C391"/>
    <w:rsid w:val="0775CD42"/>
    <w:rsid w:val="0777EC60"/>
    <w:rsid w:val="07789573"/>
    <w:rsid w:val="077E58FC"/>
    <w:rsid w:val="0782687E"/>
    <w:rsid w:val="078483F9"/>
    <w:rsid w:val="07915B7E"/>
    <w:rsid w:val="07965C16"/>
    <w:rsid w:val="07A16733"/>
    <w:rsid w:val="07AF75DF"/>
    <w:rsid w:val="07B86F09"/>
    <w:rsid w:val="07B9FCB6"/>
    <w:rsid w:val="07C1C0F9"/>
    <w:rsid w:val="07C37EEB"/>
    <w:rsid w:val="07CB86C8"/>
    <w:rsid w:val="07CE0A8E"/>
    <w:rsid w:val="07D1299B"/>
    <w:rsid w:val="07E71BCC"/>
    <w:rsid w:val="07EEABE9"/>
    <w:rsid w:val="07EEDE1B"/>
    <w:rsid w:val="07F34813"/>
    <w:rsid w:val="07F5E45C"/>
    <w:rsid w:val="07F71BCD"/>
    <w:rsid w:val="07FA236D"/>
    <w:rsid w:val="07FE2B91"/>
    <w:rsid w:val="0801BACC"/>
    <w:rsid w:val="0803A7D6"/>
    <w:rsid w:val="0804761A"/>
    <w:rsid w:val="080BE1A8"/>
    <w:rsid w:val="080C7EE2"/>
    <w:rsid w:val="0813D5E3"/>
    <w:rsid w:val="0814ACED"/>
    <w:rsid w:val="0819ADEE"/>
    <w:rsid w:val="081C6351"/>
    <w:rsid w:val="081D0FE8"/>
    <w:rsid w:val="082279A4"/>
    <w:rsid w:val="0822FD49"/>
    <w:rsid w:val="0824AC77"/>
    <w:rsid w:val="0826B5CD"/>
    <w:rsid w:val="08271E1C"/>
    <w:rsid w:val="08286475"/>
    <w:rsid w:val="082EC069"/>
    <w:rsid w:val="0834C54B"/>
    <w:rsid w:val="0835E50B"/>
    <w:rsid w:val="0836E4D5"/>
    <w:rsid w:val="083921DC"/>
    <w:rsid w:val="0841940D"/>
    <w:rsid w:val="084250B8"/>
    <w:rsid w:val="08426223"/>
    <w:rsid w:val="08433311"/>
    <w:rsid w:val="0843BF95"/>
    <w:rsid w:val="08475E3A"/>
    <w:rsid w:val="084F984E"/>
    <w:rsid w:val="084FDD37"/>
    <w:rsid w:val="0858C2D5"/>
    <w:rsid w:val="085E2A5C"/>
    <w:rsid w:val="085F94B6"/>
    <w:rsid w:val="085FFBD5"/>
    <w:rsid w:val="0861BEBE"/>
    <w:rsid w:val="08687002"/>
    <w:rsid w:val="086C5EBF"/>
    <w:rsid w:val="086E4DD3"/>
    <w:rsid w:val="08719966"/>
    <w:rsid w:val="087E9878"/>
    <w:rsid w:val="08832612"/>
    <w:rsid w:val="08875779"/>
    <w:rsid w:val="0887DED6"/>
    <w:rsid w:val="0889ABE1"/>
    <w:rsid w:val="088B4283"/>
    <w:rsid w:val="088EAA8C"/>
    <w:rsid w:val="0895B270"/>
    <w:rsid w:val="08977211"/>
    <w:rsid w:val="089DB448"/>
    <w:rsid w:val="089FB6F6"/>
    <w:rsid w:val="08A5CD85"/>
    <w:rsid w:val="08A60E29"/>
    <w:rsid w:val="08AB7736"/>
    <w:rsid w:val="08B2B9F1"/>
    <w:rsid w:val="08BC5606"/>
    <w:rsid w:val="08C2FD66"/>
    <w:rsid w:val="08C6A6D3"/>
    <w:rsid w:val="08C71FD6"/>
    <w:rsid w:val="08C8455B"/>
    <w:rsid w:val="08CA3B0A"/>
    <w:rsid w:val="08CFBFB1"/>
    <w:rsid w:val="08D6B7B3"/>
    <w:rsid w:val="08DB6104"/>
    <w:rsid w:val="08E7355F"/>
    <w:rsid w:val="08EBF5A2"/>
    <w:rsid w:val="08EED756"/>
    <w:rsid w:val="08F02966"/>
    <w:rsid w:val="08F15039"/>
    <w:rsid w:val="08F36A12"/>
    <w:rsid w:val="08F3F336"/>
    <w:rsid w:val="090333C8"/>
    <w:rsid w:val="090373EC"/>
    <w:rsid w:val="09069006"/>
    <w:rsid w:val="090B68C5"/>
    <w:rsid w:val="090EF401"/>
    <w:rsid w:val="090F40E1"/>
    <w:rsid w:val="0910E982"/>
    <w:rsid w:val="0911C365"/>
    <w:rsid w:val="091AF585"/>
    <w:rsid w:val="091B63F4"/>
    <w:rsid w:val="09208E95"/>
    <w:rsid w:val="0921E7D5"/>
    <w:rsid w:val="0927C7D2"/>
    <w:rsid w:val="092A3B11"/>
    <w:rsid w:val="092C08A5"/>
    <w:rsid w:val="092FEA8E"/>
    <w:rsid w:val="093088E4"/>
    <w:rsid w:val="093C0362"/>
    <w:rsid w:val="093C7233"/>
    <w:rsid w:val="093F0A6C"/>
    <w:rsid w:val="0944929F"/>
    <w:rsid w:val="0946C89F"/>
    <w:rsid w:val="0948717F"/>
    <w:rsid w:val="0949DAB8"/>
    <w:rsid w:val="095C2082"/>
    <w:rsid w:val="095CFA37"/>
    <w:rsid w:val="095F6426"/>
    <w:rsid w:val="09608623"/>
    <w:rsid w:val="09616D63"/>
    <w:rsid w:val="09671BF7"/>
    <w:rsid w:val="0972497E"/>
    <w:rsid w:val="097323E0"/>
    <w:rsid w:val="0974DE49"/>
    <w:rsid w:val="0976B394"/>
    <w:rsid w:val="0978F99D"/>
    <w:rsid w:val="097F1C82"/>
    <w:rsid w:val="09815D96"/>
    <w:rsid w:val="0987DCFE"/>
    <w:rsid w:val="098D5BEF"/>
    <w:rsid w:val="098F5CA8"/>
    <w:rsid w:val="099365D4"/>
    <w:rsid w:val="09970643"/>
    <w:rsid w:val="0999237B"/>
    <w:rsid w:val="099B8398"/>
    <w:rsid w:val="09A19204"/>
    <w:rsid w:val="09A28985"/>
    <w:rsid w:val="09A42579"/>
    <w:rsid w:val="09A42B69"/>
    <w:rsid w:val="09A49A41"/>
    <w:rsid w:val="09A4E0A5"/>
    <w:rsid w:val="09AA1824"/>
    <w:rsid w:val="09AB0C79"/>
    <w:rsid w:val="09AB487E"/>
    <w:rsid w:val="09ABCB07"/>
    <w:rsid w:val="09B417D7"/>
    <w:rsid w:val="09B4AE59"/>
    <w:rsid w:val="09B91F2F"/>
    <w:rsid w:val="09C5E2CC"/>
    <w:rsid w:val="09C62B7B"/>
    <w:rsid w:val="09CA9E87"/>
    <w:rsid w:val="09CB03B1"/>
    <w:rsid w:val="09D012D4"/>
    <w:rsid w:val="09D03EFC"/>
    <w:rsid w:val="09D0CF25"/>
    <w:rsid w:val="09DA204A"/>
    <w:rsid w:val="09DAE726"/>
    <w:rsid w:val="09DDB782"/>
    <w:rsid w:val="09DE9282"/>
    <w:rsid w:val="09DFA165"/>
    <w:rsid w:val="09E477D4"/>
    <w:rsid w:val="09E6B90F"/>
    <w:rsid w:val="09EAC713"/>
    <w:rsid w:val="09F0A26A"/>
    <w:rsid w:val="09F15228"/>
    <w:rsid w:val="09F23914"/>
    <w:rsid w:val="09F49501"/>
    <w:rsid w:val="09F5FA9C"/>
    <w:rsid w:val="09F61878"/>
    <w:rsid w:val="09FCE72E"/>
    <w:rsid w:val="09FEB613"/>
    <w:rsid w:val="09FFB734"/>
    <w:rsid w:val="0A19CFCA"/>
    <w:rsid w:val="0A1B80EB"/>
    <w:rsid w:val="0A1C0C95"/>
    <w:rsid w:val="0A1D4A9D"/>
    <w:rsid w:val="0A2180F8"/>
    <w:rsid w:val="0A25AEBB"/>
    <w:rsid w:val="0A2785F0"/>
    <w:rsid w:val="0A2AB78F"/>
    <w:rsid w:val="0A2BA873"/>
    <w:rsid w:val="0A42D6DC"/>
    <w:rsid w:val="0A4885B9"/>
    <w:rsid w:val="0A498C00"/>
    <w:rsid w:val="0A4B469E"/>
    <w:rsid w:val="0A55E546"/>
    <w:rsid w:val="0A5C210E"/>
    <w:rsid w:val="0A61C767"/>
    <w:rsid w:val="0A623AC7"/>
    <w:rsid w:val="0A6A9882"/>
    <w:rsid w:val="0A6AE2CD"/>
    <w:rsid w:val="0A6C85CD"/>
    <w:rsid w:val="0A6DE13B"/>
    <w:rsid w:val="0A6DED93"/>
    <w:rsid w:val="0A7935D1"/>
    <w:rsid w:val="0A7946B7"/>
    <w:rsid w:val="0A7C24DF"/>
    <w:rsid w:val="0A7CD5A9"/>
    <w:rsid w:val="0A7FE864"/>
    <w:rsid w:val="0A81A732"/>
    <w:rsid w:val="0A81BA7B"/>
    <w:rsid w:val="0A82D662"/>
    <w:rsid w:val="0A8F94E3"/>
    <w:rsid w:val="0A919CCB"/>
    <w:rsid w:val="0A91B59B"/>
    <w:rsid w:val="0A921464"/>
    <w:rsid w:val="0A9DED64"/>
    <w:rsid w:val="0AA43ACC"/>
    <w:rsid w:val="0AA79660"/>
    <w:rsid w:val="0AB999A8"/>
    <w:rsid w:val="0ABDE274"/>
    <w:rsid w:val="0AD040C1"/>
    <w:rsid w:val="0ADB3384"/>
    <w:rsid w:val="0ADDCA31"/>
    <w:rsid w:val="0ADE06FF"/>
    <w:rsid w:val="0AE0A5E2"/>
    <w:rsid w:val="0AE0AE9A"/>
    <w:rsid w:val="0AE6DF6A"/>
    <w:rsid w:val="0AF762F3"/>
    <w:rsid w:val="0AFB943B"/>
    <w:rsid w:val="0AFEDFFC"/>
    <w:rsid w:val="0B0129E8"/>
    <w:rsid w:val="0B0444D8"/>
    <w:rsid w:val="0B061FC2"/>
    <w:rsid w:val="0B06E628"/>
    <w:rsid w:val="0B0FE112"/>
    <w:rsid w:val="0B1D0147"/>
    <w:rsid w:val="0B1EE611"/>
    <w:rsid w:val="0B1F0BA9"/>
    <w:rsid w:val="0B23478E"/>
    <w:rsid w:val="0B252138"/>
    <w:rsid w:val="0B29D290"/>
    <w:rsid w:val="0B29E968"/>
    <w:rsid w:val="0B308E56"/>
    <w:rsid w:val="0B3A8F07"/>
    <w:rsid w:val="0B3E75ED"/>
    <w:rsid w:val="0B3FCCBA"/>
    <w:rsid w:val="0B4A46F9"/>
    <w:rsid w:val="0B4B6718"/>
    <w:rsid w:val="0B515A1F"/>
    <w:rsid w:val="0B552B1E"/>
    <w:rsid w:val="0B56DDD8"/>
    <w:rsid w:val="0B582737"/>
    <w:rsid w:val="0B586229"/>
    <w:rsid w:val="0B58D7D2"/>
    <w:rsid w:val="0B5FC153"/>
    <w:rsid w:val="0B61A323"/>
    <w:rsid w:val="0B684E5F"/>
    <w:rsid w:val="0B6AE71A"/>
    <w:rsid w:val="0B6F416F"/>
    <w:rsid w:val="0B75D333"/>
    <w:rsid w:val="0B780DDE"/>
    <w:rsid w:val="0B80A0E2"/>
    <w:rsid w:val="0B8ABFEE"/>
    <w:rsid w:val="0B8D93B6"/>
    <w:rsid w:val="0B979F26"/>
    <w:rsid w:val="0B984A6C"/>
    <w:rsid w:val="0B9CD286"/>
    <w:rsid w:val="0BA085F8"/>
    <w:rsid w:val="0BA0A033"/>
    <w:rsid w:val="0BA26518"/>
    <w:rsid w:val="0BA4332C"/>
    <w:rsid w:val="0BA848E7"/>
    <w:rsid w:val="0BA8AB03"/>
    <w:rsid w:val="0BA95116"/>
    <w:rsid w:val="0BA9B286"/>
    <w:rsid w:val="0BB9900B"/>
    <w:rsid w:val="0BC564BA"/>
    <w:rsid w:val="0BC632E0"/>
    <w:rsid w:val="0BDD6326"/>
    <w:rsid w:val="0BDF1FBD"/>
    <w:rsid w:val="0BE9BC27"/>
    <w:rsid w:val="0BEAB221"/>
    <w:rsid w:val="0BECD73B"/>
    <w:rsid w:val="0BEE8516"/>
    <w:rsid w:val="0BF2E73D"/>
    <w:rsid w:val="0BFC7579"/>
    <w:rsid w:val="0C05FEB7"/>
    <w:rsid w:val="0C0701C6"/>
    <w:rsid w:val="0C0971D9"/>
    <w:rsid w:val="0C09C41F"/>
    <w:rsid w:val="0C0F8CFE"/>
    <w:rsid w:val="0C100E49"/>
    <w:rsid w:val="0C119B2C"/>
    <w:rsid w:val="0C143FB6"/>
    <w:rsid w:val="0C165F73"/>
    <w:rsid w:val="0C2287E1"/>
    <w:rsid w:val="0C236AE9"/>
    <w:rsid w:val="0C260A67"/>
    <w:rsid w:val="0C282301"/>
    <w:rsid w:val="0C2A8905"/>
    <w:rsid w:val="0C2BD9B4"/>
    <w:rsid w:val="0C320710"/>
    <w:rsid w:val="0C332760"/>
    <w:rsid w:val="0C3F0826"/>
    <w:rsid w:val="0C414270"/>
    <w:rsid w:val="0C41D4E9"/>
    <w:rsid w:val="0C456FFB"/>
    <w:rsid w:val="0C47E68D"/>
    <w:rsid w:val="0C49E6AA"/>
    <w:rsid w:val="0C4AF146"/>
    <w:rsid w:val="0C502F5E"/>
    <w:rsid w:val="0C531444"/>
    <w:rsid w:val="0C5394AF"/>
    <w:rsid w:val="0C567956"/>
    <w:rsid w:val="0C588876"/>
    <w:rsid w:val="0C5C5C4D"/>
    <w:rsid w:val="0C5D04EC"/>
    <w:rsid w:val="0C5EC48E"/>
    <w:rsid w:val="0C64EADA"/>
    <w:rsid w:val="0C6A955C"/>
    <w:rsid w:val="0C6BBC51"/>
    <w:rsid w:val="0C6E0C02"/>
    <w:rsid w:val="0C701A51"/>
    <w:rsid w:val="0C738361"/>
    <w:rsid w:val="0C73BEFF"/>
    <w:rsid w:val="0C768CA8"/>
    <w:rsid w:val="0C7E29D8"/>
    <w:rsid w:val="0C8E2EB7"/>
    <w:rsid w:val="0C8E43EC"/>
    <w:rsid w:val="0C8F8308"/>
    <w:rsid w:val="0C915664"/>
    <w:rsid w:val="0C99025B"/>
    <w:rsid w:val="0C996670"/>
    <w:rsid w:val="0C9DFE3C"/>
    <w:rsid w:val="0C9E2F6A"/>
    <w:rsid w:val="0CA13855"/>
    <w:rsid w:val="0CA18786"/>
    <w:rsid w:val="0CA73068"/>
    <w:rsid w:val="0CAE6AC3"/>
    <w:rsid w:val="0CAFADBA"/>
    <w:rsid w:val="0CB3096D"/>
    <w:rsid w:val="0CB683F1"/>
    <w:rsid w:val="0CB82045"/>
    <w:rsid w:val="0CBABC24"/>
    <w:rsid w:val="0CC09D3F"/>
    <w:rsid w:val="0CC2BF00"/>
    <w:rsid w:val="0CC7E1F7"/>
    <w:rsid w:val="0CCB7DBE"/>
    <w:rsid w:val="0CCD4BAA"/>
    <w:rsid w:val="0CD033BB"/>
    <w:rsid w:val="0CD315AB"/>
    <w:rsid w:val="0CD8C171"/>
    <w:rsid w:val="0CDB1E56"/>
    <w:rsid w:val="0CDB90D2"/>
    <w:rsid w:val="0CDED3C6"/>
    <w:rsid w:val="0CE270CB"/>
    <w:rsid w:val="0CEA02A5"/>
    <w:rsid w:val="0CF159AB"/>
    <w:rsid w:val="0D0D69A9"/>
    <w:rsid w:val="0D0EA20E"/>
    <w:rsid w:val="0D1178EF"/>
    <w:rsid w:val="0D16F8C7"/>
    <w:rsid w:val="0D1CAAE0"/>
    <w:rsid w:val="0D1D4192"/>
    <w:rsid w:val="0D217409"/>
    <w:rsid w:val="0D264010"/>
    <w:rsid w:val="0D27B662"/>
    <w:rsid w:val="0D35F1FB"/>
    <w:rsid w:val="0D37EF28"/>
    <w:rsid w:val="0D405A17"/>
    <w:rsid w:val="0D438510"/>
    <w:rsid w:val="0D453441"/>
    <w:rsid w:val="0D47056F"/>
    <w:rsid w:val="0D48ACB4"/>
    <w:rsid w:val="0D4A28C5"/>
    <w:rsid w:val="0D508EC0"/>
    <w:rsid w:val="0D5C228F"/>
    <w:rsid w:val="0D65005A"/>
    <w:rsid w:val="0D6EFE7D"/>
    <w:rsid w:val="0D743ACF"/>
    <w:rsid w:val="0D780EEF"/>
    <w:rsid w:val="0D81443D"/>
    <w:rsid w:val="0D86E217"/>
    <w:rsid w:val="0D87A9DA"/>
    <w:rsid w:val="0D881DF9"/>
    <w:rsid w:val="0D882C9E"/>
    <w:rsid w:val="0D89A52F"/>
    <w:rsid w:val="0D8B82CD"/>
    <w:rsid w:val="0D8C5841"/>
    <w:rsid w:val="0D92FEBB"/>
    <w:rsid w:val="0D93FFCE"/>
    <w:rsid w:val="0D961C8A"/>
    <w:rsid w:val="0D96A46B"/>
    <w:rsid w:val="0D97BE63"/>
    <w:rsid w:val="0D9A5F12"/>
    <w:rsid w:val="0D9A8BF3"/>
    <w:rsid w:val="0D9C7313"/>
    <w:rsid w:val="0D9F27D6"/>
    <w:rsid w:val="0DA77DE6"/>
    <w:rsid w:val="0DAB782B"/>
    <w:rsid w:val="0DADE920"/>
    <w:rsid w:val="0DB0BF67"/>
    <w:rsid w:val="0DB5B3DB"/>
    <w:rsid w:val="0DBB7F96"/>
    <w:rsid w:val="0DC096C3"/>
    <w:rsid w:val="0DC0C634"/>
    <w:rsid w:val="0DC3A501"/>
    <w:rsid w:val="0DCADC7F"/>
    <w:rsid w:val="0DCD96B8"/>
    <w:rsid w:val="0DD27C4B"/>
    <w:rsid w:val="0DD5FA2F"/>
    <w:rsid w:val="0DDDA0AC"/>
    <w:rsid w:val="0DE2946C"/>
    <w:rsid w:val="0DE6786D"/>
    <w:rsid w:val="0DE7FCF4"/>
    <w:rsid w:val="0DEB889A"/>
    <w:rsid w:val="0DF2172F"/>
    <w:rsid w:val="0DF3F65D"/>
    <w:rsid w:val="0DF7622A"/>
    <w:rsid w:val="0E01D6C5"/>
    <w:rsid w:val="0E02204C"/>
    <w:rsid w:val="0E038B62"/>
    <w:rsid w:val="0E048014"/>
    <w:rsid w:val="0E05B2B2"/>
    <w:rsid w:val="0E094FCB"/>
    <w:rsid w:val="0E0B5473"/>
    <w:rsid w:val="0E0C63AF"/>
    <w:rsid w:val="0E1012FE"/>
    <w:rsid w:val="0E10B10A"/>
    <w:rsid w:val="0E1271C5"/>
    <w:rsid w:val="0E14BAED"/>
    <w:rsid w:val="0E17EA06"/>
    <w:rsid w:val="0E1C017C"/>
    <w:rsid w:val="0E1FF4FE"/>
    <w:rsid w:val="0E39CE9D"/>
    <w:rsid w:val="0E4581DE"/>
    <w:rsid w:val="0E469F3F"/>
    <w:rsid w:val="0E484F91"/>
    <w:rsid w:val="0E4911DE"/>
    <w:rsid w:val="0E5202D2"/>
    <w:rsid w:val="0E59A244"/>
    <w:rsid w:val="0E602601"/>
    <w:rsid w:val="0E6111FB"/>
    <w:rsid w:val="0E6163B5"/>
    <w:rsid w:val="0E62CDCB"/>
    <w:rsid w:val="0E64E3CF"/>
    <w:rsid w:val="0E65A3A4"/>
    <w:rsid w:val="0E671D86"/>
    <w:rsid w:val="0E696813"/>
    <w:rsid w:val="0E6B941A"/>
    <w:rsid w:val="0E6BA99F"/>
    <w:rsid w:val="0E6E6E64"/>
    <w:rsid w:val="0E6EAE98"/>
    <w:rsid w:val="0E6F9EA6"/>
    <w:rsid w:val="0E7430BA"/>
    <w:rsid w:val="0E75C3B6"/>
    <w:rsid w:val="0E7953B2"/>
    <w:rsid w:val="0E7C0AB5"/>
    <w:rsid w:val="0E885343"/>
    <w:rsid w:val="0E8968C2"/>
    <w:rsid w:val="0E898DC7"/>
    <w:rsid w:val="0E8990E8"/>
    <w:rsid w:val="0E92D094"/>
    <w:rsid w:val="0E939966"/>
    <w:rsid w:val="0E980100"/>
    <w:rsid w:val="0E9B5338"/>
    <w:rsid w:val="0E9DCDCA"/>
    <w:rsid w:val="0E9E92E6"/>
    <w:rsid w:val="0EA54A09"/>
    <w:rsid w:val="0EAD73D1"/>
    <w:rsid w:val="0EAE064A"/>
    <w:rsid w:val="0EAFF371"/>
    <w:rsid w:val="0EB3AF6E"/>
    <w:rsid w:val="0EB6F97E"/>
    <w:rsid w:val="0EBB6DB8"/>
    <w:rsid w:val="0EBFC94C"/>
    <w:rsid w:val="0EC00C30"/>
    <w:rsid w:val="0EC3787E"/>
    <w:rsid w:val="0EC55132"/>
    <w:rsid w:val="0ECBB484"/>
    <w:rsid w:val="0ECF716C"/>
    <w:rsid w:val="0ED2F864"/>
    <w:rsid w:val="0ED5DE7F"/>
    <w:rsid w:val="0EDA1893"/>
    <w:rsid w:val="0EDE4D32"/>
    <w:rsid w:val="0EF32EE9"/>
    <w:rsid w:val="0EF3AFEC"/>
    <w:rsid w:val="0EFB0A5D"/>
    <w:rsid w:val="0F02B939"/>
    <w:rsid w:val="0F05A450"/>
    <w:rsid w:val="0F169210"/>
    <w:rsid w:val="0F192B0D"/>
    <w:rsid w:val="0F19AC46"/>
    <w:rsid w:val="0F23100E"/>
    <w:rsid w:val="0F243218"/>
    <w:rsid w:val="0F29F6D5"/>
    <w:rsid w:val="0F30D872"/>
    <w:rsid w:val="0F32C1BD"/>
    <w:rsid w:val="0F377EEF"/>
    <w:rsid w:val="0F380AA4"/>
    <w:rsid w:val="0F3BF935"/>
    <w:rsid w:val="0F412988"/>
    <w:rsid w:val="0F43AFDF"/>
    <w:rsid w:val="0F43B124"/>
    <w:rsid w:val="0F457344"/>
    <w:rsid w:val="0F46BDAE"/>
    <w:rsid w:val="0F569D2A"/>
    <w:rsid w:val="0F576760"/>
    <w:rsid w:val="0F5A69D6"/>
    <w:rsid w:val="0F607226"/>
    <w:rsid w:val="0F634234"/>
    <w:rsid w:val="0F66126D"/>
    <w:rsid w:val="0F66E514"/>
    <w:rsid w:val="0F6BDD9D"/>
    <w:rsid w:val="0F6C993D"/>
    <w:rsid w:val="0F6E35AA"/>
    <w:rsid w:val="0F7107BB"/>
    <w:rsid w:val="0F7110AC"/>
    <w:rsid w:val="0F7634FE"/>
    <w:rsid w:val="0F800F8D"/>
    <w:rsid w:val="0F871248"/>
    <w:rsid w:val="0F89B743"/>
    <w:rsid w:val="0F925D4B"/>
    <w:rsid w:val="0F9584ED"/>
    <w:rsid w:val="0F9640D1"/>
    <w:rsid w:val="0F9C4635"/>
    <w:rsid w:val="0F9EAE3C"/>
    <w:rsid w:val="0FA9CCCA"/>
    <w:rsid w:val="0FACBE77"/>
    <w:rsid w:val="0FAD8E9D"/>
    <w:rsid w:val="0FB330EC"/>
    <w:rsid w:val="0FC0CAE4"/>
    <w:rsid w:val="0FC0E3A1"/>
    <w:rsid w:val="0FC1246D"/>
    <w:rsid w:val="0FC4D01A"/>
    <w:rsid w:val="0FC5DBA7"/>
    <w:rsid w:val="0FC7749C"/>
    <w:rsid w:val="0FC93B86"/>
    <w:rsid w:val="0FD1F709"/>
    <w:rsid w:val="0FD7D128"/>
    <w:rsid w:val="0FD8CC21"/>
    <w:rsid w:val="0FD8D917"/>
    <w:rsid w:val="0FE697EB"/>
    <w:rsid w:val="0FE85D14"/>
    <w:rsid w:val="0FEA8941"/>
    <w:rsid w:val="0FED54A6"/>
    <w:rsid w:val="0FEF1360"/>
    <w:rsid w:val="0FF393A4"/>
    <w:rsid w:val="0FF95473"/>
    <w:rsid w:val="0FFC107F"/>
    <w:rsid w:val="0FFD7BAD"/>
    <w:rsid w:val="0FFEC40D"/>
    <w:rsid w:val="1005B4F4"/>
    <w:rsid w:val="1007385A"/>
    <w:rsid w:val="100862A0"/>
    <w:rsid w:val="1009BBEB"/>
    <w:rsid w:val="100A5F88"/>
    <w:rsid w:val="10106396"/>
    <w:rsid w:val="1013C7D7"/>
    <w:rsid w:val="1020A938"/>
    <w:rsid w:val="102212E4"/>
    <w:rsid w:val="10238316"/>
    <w:rsid w:val="1027A6E3"/>
    <w:rsid w:val="1027F214"/>
    <w:rsid w:val="102A3699"/>
    <w:rsid w:val="1035A947"/>
    <w:rsid w:val="1036C0DF"/>
    <w:rsid w:val="10383FAA"/>
    <w:rsid w:val="10387FE3"/>
    <w:rsid w:val="103B4146"/>
    <w:rsid w:val="103E7F9C"/>
    <w:rsid w:val="10431872"/>
    <w:rsid w:val="1045A7E4"/>
    <w:rsid w:val="1045FA9F"/>
    <w:rsid w:val="104C6BA3"/>
    <w:rsid w:val="104C9122"/>
    <w:rsid w:val="104CA3B1"/>
    <w:rsid w:val="1052CB4D"/>
    <w:rsid w:val="10584A1D"/>
    <w:rsid w:val="105B1946"/>
    <w:rsid w:val="105B509C"/>
    <w:rsid w:val="105C544F"/>
    <w:rsid w:val="10605DF8"/>
    <w:rsid w:val="1060E9CE"/>
    <w:rsid w:val="1062D68A"/>
    <w:rsid w:val="10688A6D"/>
    <w:rsid w:val="106C85B5"/>
    <w:rsid w:val="106E9020"/>
    <w:rsid w:val="107D1A70"/>
    <w:rsid w:val="108455C0"/>
    <w:rsid w:val="10894930"/>
    <w:rsid w:val="10909C2F"/>
    <w:rsid w:val="10940392"/>
    <w:rsid w:val="1098CA09"/>
    <w:rsid w:val="109BAE36"/>
    <w:rsid w:val="109EB628"/>
    <w:rsid w:val="10A46C6F"/>
    <w:rsid w:val="10A58B8E"/>
    <w:rsid w:val="10A5915A"/>
    <w:rsid w:val="10B41433"/>
    <w:rsid w:val="10B64F57"/>
    <w:rsid w:val="10BCB582"/>
    <w:rsid w:val="10C1936C"/>
    <w:rsid w:val="10C4B214"/>
    <w:rsid w:val="10C77A27"/>
    <w:rsid w:val="10CC28F1"/>
    <w:rsid w:val="10CE4C40"/>
    <w:rsid w:val="10D06EC8"/>
    <w:rsid w:val="10D8E25A"/>
    <w:rsid w:val="10DDE5E3"/>
    <w:rsid w:val="10DE4491"/>
    <w:rsid w:val="10DFDC98"/>
    <w:rsid w:val="10E09362"/>
    <w:rsid w:val="10E15EAF"/>
    <w:rsid w:val="10E6A494"/>
    <w:rsid w:val="10E9EDE4"/>
    <w:rsid w:val="10E9F276"/>
    <w:rsid w:val="10EA4124"/>
    <w:rsid w:val="10EC2BEC"/>
    <w:rsid w:val="10EDE3E0"/>
    <w:rsid w:val="10F16AAF"/>
    <w:rsid w:val="10F1D3E3"/>
    <w:rsid w:val="10F35EE1"/>
    <w:rsid w:val="10F60C40"/>
    <w:rsid w:val="1102C5BF"/>
    <w:rsid w:val="1102CA61"/>
    <w:rsid w:val="1105CFDB"/>
    <w:rsid w:val="110B158B"/>
    <w:rsid w:val="11108879"/>
    <w:rsid w:val="11145280"/>
    <w:rsid w:val="1116EA5F"/>
    <w:rsid w:val="111C408F"/>
    <w:rsid w:val="111D3392"/>
    <w:rsid w:val="1121FC40"/>
    <w:rsid w:val="11253871"/>
    <w:rsid w:val="112AB030"/>
    <w:rsid w:val="112D611E"/>
    <w:rsid w:val="112E35FF"/>
    <w:rsid w:val="11329AC5"/>
    <w:rsid w:val="113954AC"/>
    <w:rsid w:val="113EE75F"/>
    <w:rsid w:val="11444DE6"/>
    <w:rsid w:val="11493F8D"/>
    <w:rsid w:val="114CA78F"/>
    <w:rsid w:val="1150D616"/>
    <w:rsid w:val="1153CF44"/>
    <w:rsid w:val="11546DE9"/>
    <w:rsid w:val="1155AF15"/>
    <w:rsid w:val="11582C34"/>
    <w:rsid w:val="115E27DE"/>
    <w:rsid w:val="116095B4"/>
    <w:rsid w:val="1161A04D"/>
    <w:rsid w:val="116434C5"/>
    <w:rsid w:val="11669E2A"/>
    <w:rsid w:val="116BE05B"/>
    <w:rsid w:val="117488A1"/>
    <w:rsid w:val="11778FA6"/>
    <w:rsid w:val="1177DDCB"/>
    <w:rsid w:val="117AF424"/>
    <w:rsid w:val="117C0568"/>
    <w:rsid w:val="117F3417"/>
    <w:rsid w:val="11826BBE"/>
    <w:rsid w:val="1182AA98"/>
    <w:rsid w:val="1190DF41"/>
    <w:rsid w:val="11949CB8"/>
    <w:rsid w:val="11960201"/>
    <w:rsid w:val="119883F5"/>
    <w:rsid w:val="119899DB"/>
    <w:rsid w:val="119EEBB5"/>
    <w:rsid w:val="11A53CC2"/>
    <w:rsid w:val="11A6ACD6"/>
    <w:rsid w:val="11AE7744"/>
    <w:rsid w:val="11AF25B8"/>
    <w:rsid w:val="11B0EE0C"/>
    <w:rsid w:val="11B84EA2"/>
    <w:rsid w:val="11BD7110"/>
    <w:rsid w:val="11C3283F"/>
    <w:rsid w:val="11CB38E8"/>
    <w:rsid w:val="11CE353D"/>
    <w:rsid w:val="11D1E52E"/>
    <w:rsid w:val="11D39212"/>
    <w:rsid w:val="11D4D340"/>
    <w:rsid w:val="11DBFE1F"/>
    <w:rsid w:val="11E19939"/>
    <w:rsid w:val="11E1FFCA"/>
    <w:rsid w:val="11E4E8DC"/>
    <w:rsid w:val="11ED1AEA"/>
    <w:rsid w:val="11EDCABE"/>
    <w:rsid w:val="11F4925A"/>
    <w:rsid w:val="11F7FE9B"/>
    <w:rsid w:val="11FFCB6F"/>
    <w:rsid w:val="120218F0"/>
    <w:rsid w:val="1205D1BC"/>
    <w:rsid w:val="120E58B1"/>
    <w:rsid w:val="120EB43C"/>
    <w:rsid w:val="12191D7C"/>
    <w:rsid w:val="121D1138"/>
    <w:rsid w:val="121D2025"/>
    <w:rsid w:val="121DA0C4"/>
    <w:rsid w:val="121FA6D2"/>
    <w:rsid w:val="12236519"/>
    <w:rsid w:val="12252E1E"/>
    <w:rsid w:val="12254B14"/>
    <w:rsid w:val="1226C35A"/>
    <w:rsid w:val="122C12C4"/>
    <w:rsid w:val="122C88A1"/>
    <w:rsid w:val="122EDD42"/>
    <w:rsid w:val="123591E7"/>
    <w:rsid w:val="1237D251"/>
    <w:rsid w:val="1239889D"/>
    <w:rsid w:val="123BCAFB"/>
    <w:rsid w:val="123CD804"/>
    <w:rsid w:val="1246B7F7"/>
    <w:rsid w:val="124CD5E4"/>
    <w:rsid w:val="124FD3FF"/>
    <w:rsid w:val="1253CC8C"/>
    <w:rsid w:val="125AECBE"/>
    <w:rsid w:val="125FD08D"/>
    <w:rsid w:val="126325A8"/>
    <w:rsid w:val="12653C9A"/>
    <w:rsid w:val="1265B697"/>
    <w:rsid w:val="12661952"/>
    <w:rsid w:val="126BDE7E"/>
    <w:rsid w:val="126CC874"/>
    <w:rsid w:val="126F5789"/>
    <w:rsid w:val="12736AA3"/>
    <w:rsid w:val="127D97ED"/>
    <w:rsid w:val="1282EE4C"/>
    <w:rsid w:val="128A8075"/>
    <w:rsid w:val="128CA0CB"/>
    <w:rsid w:val="128F2C94"/>
    <w:rsid w:val="12933413"/>
    <w:rsid w:val="129DAEF8"/>
    <w:rsid w:val="129EF91C"/>
    <w:rsid w:val="129F021A"/>
    <w:rsid w:val="12A26ED6"/>
    <w:rsid w:val="12A4CA19"/>
    <w:rsid w:val="12A8CBB1"/>
    <w:rsid w:val="12AA95DF"/>
    <w:rsid w:val="12AB0CCC"/>
    <w:rsid w:val="12B0D20E"/>
    <w:rsid w:val="12B7E03A"/>
    <w:rsid w:val="12B9FE50"/>
    <w:rsid w:val="12BE5323"/>
    <w:rsid w:val="12C11F20"/>
    <w:rsid w:val="12D93F68"/>
    <w:rsid w:val="12E44E2F"/>
    <w:rsid w:val="12F09FF7"/>
    <w:rsid w:val="12F12D02"/>
    <w:rsid w:val="12F40B6D"/>
    <w:rsid w:val="12F5FB1A"/>
    <w:rsid w:val="12F60D16"/>
    <w:rsid w:val="1303502D"/>
    <w:rsid w:val="1305838F"/>
    <w:rsid w:val="130615AC"/>
    <w:rsid w:val="13097914"/>
    <w:rsid w:val="130BE619"/>
    <w:rsid w:val="1312B5BF"/>
    <w:rsid w:val="1313D31D"/>
    <w:rsid w:val="1314C110"/>
    <w:rsid w:val="131B86C0"/>
    <w:rsid w:val="131F278E"/>
    <w:rsid w:val="1320ED77"/>
    <w:rsid w:val="13257C06"/>
    <w:rsid w:val="132C0830"/>
    <w:rsid w:val="132F10BD"/>
    <w:rsid w:val="1339E54B"/>
    <w:rsid w:val="133BE613"/>
    <w:rsid w:val="13408AB6"/>
    <w:rsid w:val="1344ED81"/>
    <w:rsid w:val="13455A4E"/>
    <w:rsid w:val="1345E5AD"/>
    <w:rsid w:val="134B0CF7"/>
    <w:rsid w:val="134E92A0"/>
    <w:rsid w:val="134FD0D8"/>
    <w:rsid w:val="13503364"/>
    <w:rsid w:val="13568312"/>
    <w:rsid w:val="1370428B"/>
    <w:rsid w:val="13772A53"/>
    <w:rsid w:val="1377F9A5"/>
    <w:rsid w:val="137E58BD"/>
    <w:rsid w:val="137F64A4"/>
    <w:rsid w:val="138C2AB5"/>
    <w:rsid w:val="138FDC7C"/>
    <w:rsid w:val="139084AE"/>
    <w:rsid w:val="13943954"/>
    <w:rsid w:val="13980A44"/>
    <w:rsid w:val="139A14C2"/>
    <w:rsid w:val="139E5565"/>
    <w:rsid w:val="13A4D5D8"/>
    <w:rsid w:val="13AB3092"/>
    <w:rsid w:val="13AF7E47"/>
    <w:rsid w:val="13B29646"/>
    <w:rsid w:val="13B332F0"/>
    <w:rsid w:val="13B338D0"/>
    <w:rsid w:val="13B61893"/>
    <w:rsid w:val="13C2AD3F"/>
    <w:rsid w:val="13C4C3B8"/>
    <w:rsid w:val="13CD2942"/>
    <w:rsid w:val="13DD67F1"/>
    <w:rsid w:val="13E43B78"/>
    <w:rsid w:val="13E8887F"/>
    <w:rsid w:val="13F8B41D"/>
    <w:rsid w:val="13FCB7CC"/>
    <w:rsid w:val="13FD59DC"/>
    <w:rsid w:val="1400CF33"/>
    <w:rsid w:val="140316BA"/>
    <w:rsid w:val="14069670"/>
    <w:rsid w:val="140D1FDD"/>
    <w:rsid w:val="140EB140"/>
    <w:rsid w:val="14129FA9"/>
    <w:rsid w:val="14197129"/>
    <w:rsid w:val="141AA1D6"/>
    <w:rsid w:val="141C4DC1"/>
    <w:rsid w:val="141CB9DD"/>
    <w:rsid w:val="1424DA30"/>
    <w:rsid w:val="142659E3"/>
    <w:rsid w:val="14296198"/>
    <w:rsid w:val="142B9843"/>
    <w:rsid w:val="1430BC28"/>
    <w:rsid w:val="143248E8"/>
    <w:rsid w:val="143974F7"/>
    <w:rsid w:val="1439CEDA"/>
    <w:rsid w:val="143CDF60"/>
    <w:rsid w:val="143EA394"/>
    <w:rsid w:val="1440731E"/>
    <w:rsid w:val="1442A162"/>
    <w:rsid w:val="144A6E4E"/>
    <w:rsid w:val="14527056"/>
    <w:rsid w:val="14542688"/>
    <w:rsid w:val="14576F41"/>
    <w:rsid w:val="145ED300"/>
    <w:rsid w:val="146142B4"/>
    <w:rsid w:val="146612C3"/>
    <w:rsid w:val="1471B538"/>
    <w:rsid w:val="1478F5C7"/>
    <w:rsid w:val="147C2E8C"/>
    <w:rsid w:val="147E700A"/>
    <w:rsid w:val="147EC6A9"/>
    <w:rsid w:val="148213B6"/>
    <w:rsid w:val="148BDAB9"/>
    <w:rsid w:val="1499187C"/>
    <w:rsid w:val="14A01A68"/>
    <w:rsid w:val="14A96290"/>
    <w:rsid w:val="14A9BF44"/>
    <w:rsid w:val="14AFC650"/>
    <w:rsid w:val="14B0CF60"/>
    <w:rsid w:val="14B803C9"/>
    <w:rsid w:val="14B9C458"/>
    <w:rsid w:val="14CAD0CF"/>
    <w:rsid w:val="14D66F38"/>
    <w:rsid w:val="14DE3443"/>
    <w:rsid w:val="14DF90DA"/>
    <w:rsid w:val="14E1577E"/>
    <w:rsid w:val="14E34340"/>
    <w:rsid w:val="14E8EA42"/>
    <w:rsid w:val="14E906D1"/>
    <w:rsid w:val="14EA45C9"/>
    <w:rsid w:val="14FA6736"/>
    <w:rsid w:val="1501EAAC"/>
    <w:rsid w:val="1503BB26"/>
    <w:rsid w:val="150A948A"/>
    <w:rsid w:val="150BFE32"/>
    <w:rsid w:val="1513BD93"/>
    <w:rsid w:val="1513ECEA"/>
    <w:rsid w:val="151497CE"/>
    <w:rsid w:val="1515D3FA"/>
    <w:rsid w:val="15169046"/>
    <w:rsid w:val="1517C7B0"/>
    <w:rsid w:val="1519DE04"/>
    <w:rsid w:val="151BACB8"/>
    <w:rsid w:val="151D5E93"/>
    <w:rsid w:val="151F0B89"/>
    <w:rsid w:val="151FE114"/>
    <w:rsid w:val="1521BA6E"/>
    <w:rsid w:val="1527A40C"/>
    <w:rsid w:val="152AA72F"/>
    <w:rsid w:val="152C472B"/>
    <w:rsid w:val="152FC25E"/>
    <w:rsid w:val="1530B9FC"/>
    <w:rsid w:val="153431D4"/>
    <w:rsid w:val="1538988A"/>
    <w:rsid w:val="153B97D1"/>
    <w:rsid w:val="153D4B62"/>
    <w:rsid w:val="153E79C1"/>
    <w:rsid w:val="1543449C"/>
    <w:rsid w:val="1549AC5C"/>
    <w:rsid w:val="154AB0CB"/>
    <w:rsid w:val="154AFF8D"/>
    <w:rsid w:val="154D532C"/>
    <w:rsid w:val="15539EE5"/>
    <w:rsid w:val="1559A717"/>
    <w:rsid w:val="155F1F48"/>
    <w:rsid w:val="156838B8"/>
    <w:rsid w:val="156CE5DB"/>
    <w:rsid w:val="156DAD0E"/>
    <w:rsid w:val="15727806"/>
    <w:rsid w:val="157999F7"/>
    <w:rsid w:val="157FC4C2"/>
    <w:rsid w:val="15859259"/>
    <w:rsid w:val="158761C5"/>
    <w:rsid w:val="1592E84E"/>
    <w:rsid w:val="15945C8D"/>
    <w:rsid w:val="1595A3BE"/>
    <w:rsid w:val="1597CA80"/>
    <w:rsid w:val="15A29DAC"/>
    <w:rsid w:val="15B6B436"/>
    <w:rsid w:val="15B6D334"/>
    <w:rsid w:val="15BD9FA7"/>
    <w:rsid w:val="15BEB922"/>
    <w:rsid w:val="15C08302"/>
    <w:rsid w:val="15C0ACF6"/>
    <w:rsid w:val="15CDCEA7"/>
    <w:rsid w:val="15D00AA9"/>
    <w:rsid w:val="15D4C0CE"/>
    <w:rsid w:val="15D5C24C"/>
    <w:rsid w:val="15D68657"/>
    <w:rsid w:val="15D7DDC4"/>
    <w:rsid w:val="15D85179"/>
    <w:rsid w:val="15DE08E6"/>
    <w:rsid w:val="15E16854"/>
    <w:rsid w:val="15E443B6"/>
    <w:rsid w:val="15F4D2CE"/>
    <w:rsid w:val="15F74EEF"/>
    <w:rsid w:val="15F7D0AF"/>
    <w:rsid w:val="160984A1"/>
    <w:rsid w:val="160CE352"/>
    <w:rsid w:val="1611BFD7"/>
    <w:rsid w:val="16156F7B"/>
    <w:rsid w:val="16184F9E"/>
    <w:rsid w:val="162108F5"/>
    <w:rsid w:val="162850A1"/>
    <w:rsid w:val="162B2B92"/>
    <w:rsid w:val="162DA707"/>
    <w:rsid w:val="162F00F8"/>
    <w:rsid w:val="1630A9EA"/>
    <w:rsid w:val="16311469"/>
    <w:rsid w:val="163EAA3A"/>
    <w:rsid w:val="163FCA7F"/>
    <w:rsid w:val="16404C2B"/>
    <w:rsid w:val="1644A9AA"/>
    <w:rsid w:val="164F0C2C"/>
    <w:rsid w:val="16580A7B"/>
    <w:rsid w:val="165FEE84"/>
    <w:rsid w:val="166220B2"/>
    <w:rsid w:val="166451B3"/>
    <w:rsid w:val="1666DC27"/>
    <w:rsid w:val="166F8D26"/>
    <w:rsid w:val="1670F2A6"/>
    <w:rsid w:val="16761BA8"/>
    <w:rsid w:val="1678888A"/>
    <w:rsid w:val="16807E99"/>
    <w:rsid w:val="1683F423"/>
    <w:rsid w:val="1686F342"/>
    <w:rsid w:val="1687CFED"/>
    <w:rsid w:val="16882DAD"/>
    <w:rsid w:val="168D0C93"/>
    <w:rsid w:val="1695D980"/>
    <w:rsid w:val="1696308E"/>
    <w:rsid w:val="1698B219"/>
    <w:rsid w:val="16A95B4A"/>
    <w:rsid w:val="16A981BE"/>
    <w:rsid w:val="16ADB9CB"/>
    <w:rsid w:val="16BC1F88"/>
    <w:rsid w:val="16C26CA3"/>
    <w:rsid w:val="16CC7AE8"/>
    <w:rsid w:val="16CEE782"/>
    <w:rsid w:val="16D4CF47"/>
    <w:rsid w:val="16D77FEE"/>
    <w:rsid w:val="16D91405"/>
    <w:rsid w:val="16DAB93F"/>
    <w:rsid w:val="16DC3D60"/>
    <w:rsid w:val="16DE0BFA"/>
    <w:rsid w:val="16E018CE"/>
    <w:rsid w:val="16E094D9"/>
    <w:rsid w:val="16E18F63"/>
    <w:rsid w:val="16E1FAE1"/>
    <w:rsid w:val="16E3102A"/>
    <w:rsid w:val="16E55972"/>
    <w:rsid w:val="16E63794"/>
    <w:rsid w:val="16EBFD32"/>
    <w:rsid w:val="16EE554A"/>
    <w:rsid w:val="16EE9B14"/>
    <w:rsid w:val="16F0AA38"/>
    <w:rsid w:val="16F22C64"/>
    <w:rsid w:val="16FD58BA"/>
    <w:rsid w:val="16FD9D1C"/>
    <w:rsid w:val="16FEB115"/>
    <w:rsid w:val="16FF0B24"/>
    <w:rsid w:val="1706A2B8"/>
    <w:rsid w:val="1709BD5F"/>
    <w:rsid w:val="170E1C2A"/>
    <w:rsid w:val="1714D483"/>
    <w:rsid w:val="17163E22"/>
    <w:rsid w:val="171CF87B"/>
    <w:rsid w:val="1721D103"/>
    <w:rsid w:val="17288A39"/>
    <w:rsid w:val="172C2BF3"/>
    <w:rsid w:val="17312223"/>
    <w:rsid w:val="1733DA39"/>
    <w:rsid w:val="1735A20F"/>
    <w:rsid w:val="174921E4"/>
    <w:rsid w:val="174EB356"/>
    <w:rsid w:val="174FF624"/>
    <w:rsid w:val="1754FC73"/>
    <w:rsid w:val="17575C3C"/>
    <w:rsid w:val="17647D68"/>
    <w:rsid w:val="176B1F71"/>
    <w:rsid w:val="176CF203"/>
    <w:rsid w:val="176DC809"/>
    <w:rsid w:val="1774E3EE"/>
    <w:rsid w:val="177D74CB"/>
    <w:rsid w:val="177E3982"/>
    <w:rsid w:val="177EA3B0"/>
    <w:rsid w:val="177F7C1B"/>
    <w:rsid w:val="1781914B"/>
    <w:rsid w:val="1787F1C2"/>
    <w:rsid w:val="1788A39E"/>
    <w:rsid w:val="1788EC0C"/>
    <w:rsid w:val="178EE6AB"/>
    <w:rsid w:val="1790BE92"/>
    <w:rsid w:val="1797A936"/>
    <w:rsid w:val="179C3AB3"/>
    <w:rsid w:val="179D5434"/>
    <w:rsid w:val="179EE233"/>
    <w:rsid w:val="17A8156B"/>
    <w:rsid w:val="17B08D09"/>
    <w:rsid w:val="17B0BAEA"/>
    <w:rsid w:val="17B3CAAC"/>
    <w:rsid w:val="17B45D6C"/>
    <w:rsid w:val="17B51B94"/>
    <w:rsid w:val="17B5DBB3"/>
    <w:rsid w:val="17BA7296"/>
    <w:rsid w:val="17BE6CE1"/>
    <w:rsid w:val="17BFFDCA"/>
    <w:rsid w:val="17C0C9F2"/>
    <w:rsid w:val="17C1F72B"/>
    <w:rsid w:val="17C2CF02"/>
    <w:rsid w:val="17D5A521"/>
    <w:rsid w:val="17DBB908"/>
    <w:rsid w:val="17DDC57F"/>
    <w:rsid w:val="17DF627F"/>
    <w:rsid w:val="17E245B3"/>
    <w:rsid w:val="17F18AAA"/>
    <w:rsid w:val="17F3B54B"/>
    <w:rsid w:val="17FB3749"/>
    <w:rsid w:val="180239E8"/>
    <w:rsid w:val="18028220"/>
    <w:rsid w:val="180490A9"/>
    <w:rsid w:val="1806F2F6"/>
    <w:rsid w:val="1806F352"/>
    <w:rsid w:val="180A2BA5"/>
    <w:rsid w:val="1815A3E2"/>
    <w:rsid w:val="181ABF5B"/>
    <w:rsid w:val="181CA1F4"/>
    <w:rsid w:val="18201317"/>
    <w:rsid w:val="182522E4"/>
    <w:rsid w:val="182B756E"/>
    <w:rsid w:val="182C410C"/>
    <w:rsid w:val="18333D95"/>
    <w:rsid w:val="18342CD2"/>
    <w:rsid w:val="18479530"/>
    <w:rsid w:val="1848502C"/>
    <w:rsid w:val="1853F2EC"/>
    <w:rsid w:val="1858B5A3"/>
    <w:rsid w:val="185B3273"/>
    <w:rsid w:val="1860B034"/>
    <w:rsid w:val="1865B408"/>
    <w:rsid w:val="186A2528"/>
    <w:rsid w:val="186B88A8"/>
    <w:rsid w:val="186EE77F"/>
    <w:rsid w:val="18704C56"/>
    <w:rsid w:val="18752087"/>
    <w:rsid w:val="18786A9D"/>
    <w:rsid w:val="187AA6A8"/>
    <w:rsid w:val="187AD05A"/>
    <w:rsid w:val="187CB41E"/>
    <w:rsid w:val="18803751"/>
    <w:rsid w:val="18823050"/>
    <w:rsid w:val="188A9534"/>
    <w:rsid w:val="188ABF65"/>
    <w:rsid w:val="18926A35"/>
    <w:rsid w:val="1894E411"/>
    <w:rsid w:val="18977516"/>
    <w:rsid w:val="189D4203"/>
    <w:rsid w:val="18A08573"/>
    <w:rsid w:val="18A881A9"/>
    <w:rsid w:val="18B36360"/>
    <w:rsid w:val="18B55A96"/>
    <w:rsid w:val="18B8EF92"/>
    <w:rsid w:val="18BA9B41"/>
    <w:rsid w:val="18BFF945"/>
    <w:rsid w:val="18C36E3F"/>
    <w:rsid w:val="18C37679"/>
    <w:rsid w:val="18C6401A"/>
    <w:rsid w:val="18C69359"/>
    <w:rsid w:val="18C82D0F"/>
    <w:rsid w:val="18C87F36"/>
    <w:rsid w:val="18D7922B"/>
    <w:rsid w:val="18D9847D"/>
    <w:rsid w:val="18DFC631"/>
    <w:rsid w:val="18E4377B"/>
    <w:rsid w:val="18E8EF00"/>
    <w:rsid w:val="18ECC8E3"/>
    <w:rsid w:val="18F0D568"/>
    <w:rsid w:val="18F2F582"/>
    <w:rsid w:val="18F6CAA7"/>
    <w:rsid w:val="18FADEF3"/>
    <w:rsid w:val="18FEA863"/>
    <w:rsid w:val="18FF048D"/>
    <w:rsid w:val="18FF0E65"/>
    <w:rsid w:val="1900C656"/>
    <w:rsid w:val="190462D1"/>
    <w:rsid w:val="19052E76"/>
    <w:rsid w:val="1909E323"/>
    <w:rsid w:val="190ADFA8"/>
    <w:rsid w:val="190C17D3"/>
    <w:rsid w:val="19139924"/>
    <w:rsid w:val="19165099"/>
    <w:rsid w:val="1918299D"/>
    <w:rsid w:val="191AEC56"/>
    <w:rsid w:val="1925BD8B"/>
    <w:rsid w:val="1927268F"/>
    <w:rsid w:val="192A47C6"/>
    <w:rsid w:val="192CC459"/>
    <w:rsid w:val="192DBA93"/>
    <w:rsid w:val="19315632"/>
    <w:rsid w:val="1936124C"/>
    <w:rsid w:val="193D1367"/>
    <w:rsid w:val="1948F8AA"/>
    <w:rsid w:val="1949EF1D"/>
    <w:rsid w:val="194AA866"/>
    <w:rsid w:val="195B8354"/>
    <w:rsid w:val="195BBFE6"/>
    <w:rsid w:val="195CE674"/>
    <w:rsid w:val="195F19D6"/>
    <w:rsid w:val="1963C6AF"/>
    <w:rsid w:val="196B58EF"/>
    <w:rsid w:val="196C43C1"/>
    <w:rsid w:val="196D9643"/>
    <w:rsid w:val="196E9163"/>
    <w:rsid w:val="19752D5E"/>
    <w:rsid w:val="1979D151"/>
    <w:rsid w:val="197BAA69"/>
    <w:rsid w:val="197D0A1F"/>
    <w:rsid w:val="1981F229"/>
    <w:rsid w:val="19820B49"/>
    <w:rsid w:val="19838112"/>
    <w:rsid w:val="1984B35E"/>
    <w:rsid w:val="1995D0E4"/>
    <w:rsid w:val="1996143D"/>
    <w:rsid w:val="1996A56E"/>
    <w:rsid w:val="1997DB3A"/>
    <w:rsid w:val="199E2849"/>
    <w:rsid w:val="19A01972"/>
    <w:rsid w:val="19A89B9D"/>
    <w:rsid w:val="19AC9C95"/>
    <w:rsid w:val="19AD92E9"/>
    <w:rsid w:val="19B14658"/>
    <w:rsid w:val="19B1FE05"/>
    <w:rsid w:val="19B3CB06"/>
    <w:rsid w:val="19B5697B"/>
    <w:rsid w:val="19BE1465"/>
    <w:rsid w:val="19BEBB74"/>
    <w:rsid w:val="19BF95AB"/>
    <w:rsid w:val="19C04FBB"/>
    <w:rsid w:val="19C2758A"/>
    <w:rsid w:val="19C328F6"/>
    <w:rsid w:val="19C485E2"/>
    <w:rsid w:val="19C7EED9"/>
    <w:rsid w:val="19CA504B"/>
    <w:rsid w:val="19CE5F8D"/>
    <w:rsid w:val="19D4F6DF"/>
    <w:rsid w:val="19D95F55"/>
    <w:rsid w:val="19D9913E"/>
    <w:rsid w:val="19DBEDF6"/>
    <w:rsid w:val="19DC8B63"/>
    <w:rsid w:val="19EBA25A"/>
    <w:rsid w:val="19EF635A"/>
    <w:rsid w:val="19F385F4"/>
    <w:rsid w:val="19F60C28"/>
    <w:rsid w:val="19FA1EE4"/>
    <w:rsid w:val="1A032922"/>
    <w:rsid w:val="1A09AC99"/>
    <w:rsid w:val="1A0D3BAD"/>
    <w:rsid w:val="1A0D3BFF"/>
    <w:rsid w:val="1A0F18E7"/>
    <w:rsid w:val="1A120003"/>
    <w:rsid w:val="1A1395A2"/>
    <w:rsid w:val="1A1558CC"/>
    <w:rsid w:val="1A15FD4B"/>
    <w:rsid w:val="1A18E99B"/>
    <w:rsid w:val="1A1A22E4"/>
    <w:rsid w:val="1A1CF7AD"/>
    <w:rsid w:val="1A22A1D5"/>
    <w:rsid w:val="1A234260"/>
    <w:rsid w:val="1A248357"/>
    <w:rsid w:val="1A305752"/>
    <w:rsid w:val="1A308712"/>
    <w:rsid w:val="1A33E0FD"/>
    <w:rsid w:val="1A361CC1"/>
    <w:rsid w:val="1A372031"/>
    <w:rsid w:val="1A407A3F"/>
    <w:rsid w:val="1A4259DD"/>
    <w:rsid w:val="1A42A149"/>
    <w:rsid w:val="1A445C37"/>
    <w:rsid w:val="1A4527FC"/>
    <w:rsid w:val="1A47A283"/>
    <w:rsid w:val="1A4A1117"/>
    <w:rsid w:val="1A4BBC6D"/>
    <w:rsid w:val="1A504775"/>
    <w:rsid w:val="1A59129F"/>
    <w:rsid w:val="1A5EED5A"/>
    <w:rsid w:val="1A608DF8"/>
    <w:rsid w:val="1A61F746"/>
    <w:rsid w:val="1A637A85"/>
    <w:rsid w:val="1A6A1642"/>
    <w:rsid w:val="1A6DCA93"/>
    <w:rsid w:val="1A6F8B12"/>
    <w:rsid w:val="1A74FDF1"/>
    <w:rsid w:val="1A769A30"/>
    <w:rsid w:val="1A799819"/>
    <w:rsid w:val="1A7DBACF"/>
    <w:rsid w:val="1A81325F"/>
    <w:rsid w:val="1A819144"/>
    <w:rsid w:val="1A83DAE4"/>
    <w:rsid w:val="1A85A476"/>
    <w:rsid w:val="1A85AC8C"/>
    <w:rsid w:val="1A8BDD2D"/>
    <w:rsid w:val="1A8E9B3B"/>
    <w:rsid w:val="1A9952F8"/>
    <w:rsid w:val="1A9EEAB6"/>
    <w:rsid w:val="1AA95F98"/>
    <w:rsid w:val="1AA98E78"/>
    <w:rsid w:val="1AB04F4F"/>
    <w:rsid w:val="1AB0B9E0"/>
    <w:rsid w:val="1AB37390"/>
    <w:rsid w:val="1AB50773"/>
    <w:rsid w:val="1AB865EC"/>
    <w:rsid w:val="1AC415D8"/>
    <w:rsid w:val="1ACAA47B"/>
    <w:rsid w:val="1ACACA2E"/>
    <w:rsid w:val="1AD68D97"/>
    <w:rsid w:val="1ADC3FD5"/>
    <w:rsid w:val="1ADC5AB1"/>
    <w:rsid w:val="1ADCDCF3"/>
    <w:rsid w:val="1AE2929F"/>
    <w:rsid w:val="1AE42731"/>
    <w:rsid w:val="1AE696BD"/>
    <w:rsid w:val="1AE9B692"/>
    <w:rsid w:val="1AEDC945"/>
    <w:rsid w:val="1AF021D3"/>
    <w:rsid w:val="1AF09B53"/>
    <w:rsid w:val="1AFC4AFD"/>
    <w:rsid w:val="1AFD6FCC"/>
    <w:rsid w:val="1B0181B7"/>
    <w:rsid w:val="1B09CD3C"/>
    <w:rsid w:val="1B11042D"/>
    <w:rsid w:val="1B11345D"/>
    <w:rsid w:val="1B129C3B"/>
    <w:rsid w:val="1B136DF4"/>
    <w:rsid w:val="1B13BC46"/>
    <w:rsid w:val="1B2428FB"/>
    <w:rsid w:val="1B259F33"/>
    <w:rsid w:val="1B26A61F"/>
    <w:rsid w:val="1B26DCDB"/>
    <w:rsid w:val="1B282876"/>
    <w:rsid w:val="1B29943B"/>
    <w:rsid w:val="1B2B9AE6"/>
    <w:rsid w:val="1B38A9F8"/>
    <w:rsid w:val="1B3913A5"/>
    <w:rsid w:val="1B3D924D"/>
    <w:rsid w:val="1B3F9388"/>
    <w:rsid w:val="1B42D14D"/>
    <w:rsid w:val="1B436A30"/>
    <w:rsid w:val="1B48B673"/>
    <w:rsid w:val="1B49AB8E"/>
    <w:rsid w:val="1B4A8291"/>
    <w:rsid w:val="1B4F041C"/>
    <w:rsid w:val="1B4F2F77"/>
    <w:rsid w:val="1B506366"/>
    <w:rsid w:val="1B5D8537"/>
    <w:rsid w:val="1B5FDF5E"/>
    <w:rsid w:val="1B61939E"/>
    <w:rsid w:val="1B65A3CA"/>
    <w:rsid w:val="1B6A30CD"/>
    <w:rsid w:val="1B6B887A"/>
    <w:rsid w:val="1B6E68E9"/>
    <w:rsid w:val="1B74E912"/>
    <w:rsid w:val="1B87E747"/>
    <w:rsid w:val="1B8B6777"/>
    <w:rsid w:val="1B9FC94C"/>
    <w:rsid w:val="1BA74F73"/>
    <w:rsid w:val="1BA78778"/>
    <w:rsid w:val="1BAD707D"/>
    <w:rsid w:val="1BB12D6B"/>
    <w:rsid w:val="1BB2618C"/>
    <w:rsid w:val="1BC523E7"/>
    <w:rsid w:val="1BC8912D"/>
    <w:rsid w:val="1BD04002"/>
    <w:rsid w:val="1BD894A0"/>
    <w:rsid w:val="1BD99287"/>
    <w:rsid w:val="1BDCBBBE"/>
    <w:rsid w:val="1BDD6C53"/>
    <w:rsid w:val="1BDEE9F3"/>
    <w:rsid w:val="1BE8ADE9"/>
    <w:rsid w:val="1BF253A8"/>
    <w:rsid w:val="1BF2BC24"/>
    <w:rsid w:val="1BFDB8D8"/>
    <w:rsid w:val="1C0AA5A4"/>
    <w:rsid w:val="1C0BD09B"/>
    <w:rsid w:val="1C12D8D0"/>
    <w:rsid w:val="1C18879B"/>
    <w:rsid w:val="1C1F92FC"/>
    <w:rsid w:val="1C213FFD"/>
    <w:rsid w:val="1C266884"/>
    <w:rsid w:val="1C2B925D"/>
    <w:rsid w:val="1C2F1F47"/>
    <w:rsid w:val="1C3441B0"/>
    <w:rsid w:val="1C3BD6EE"/>
    <w:rsid w:val="1C3FF6F1"/>
    <w:rsid w:val="1C42D796"/>
    <w:rsid w:val="1C440939"/>
    <w:rsid w:val="1C4AC721"/>
    <w:rsid w:val="1C4CADF2"/>
    <w:rsid w:val="1C4DDDC5"/>
    <w:rsid w:val="1C51769F"/>
    <w:rsid w:val="1C57E246"/>
    <w:rsid w:val="1C588441"/>
    <w:rsid w:val="1C645F8E"/>
    <w:rsid w:val="1C684232"/>
    <w:rsid w:val="1C6ACFE6"/>
    <w:rsid w:val="1C714E12"/>
    <w:rsid w:val="1C71E4A4"/>
    <w:rsid w:val="1C72CFA6"/>
    <w:rsid w:val="1C74E4DB"/>
    <w:rsid w:val="1C820DE1"/>
    <w:rsid w:val="1C827F8E"/>
    <w:rsid w:val="1C83A8AD"/>
    <w:rsid w:val="1C8950E2"/>
    <w:rsid w:val="1C8AC774"/>
    <w:rsid w:val="1C914891"/>
    <w:rsid w:val="1C91DEDC"/>
    <w:rsid w:val="1C93315F"/>
    <w:rsid w:val="1C986250"/>
    <w:rsid w:val="1C9B90F7"/>
    <w:rsid w:val="1C9D8285"/>
    <w:rsid w:val="1C9D95BB"/>
    <w:rsid w:val="1C9E44DA"/>
    <w:rsid w:val="1C9F4B47"/>
    <w:rsid w:val="1CA0EDD0"/>
    <w:rsid w:val="1CA3A952"/>
    <w:rsid w:val="1CA6B76F"/>
    <w:rsid w:val="1CA71174"/>
    <w:rsid w:val="1CAACD67"/>
    <w:rsid w:val="1CB3137A"/>
    <w:rsid w:val="1CB8646B"/>
    <w:rsid w:val="1CBAE6D4"/>
    <w:rsid w:val="1CBBAC27"/>
    <w:rsid w:val="1CBC6087"/>
    <w:rsid w:val="1CBDD913"/>
    <w:rsid w:val="1CBE8634"/>
    <w:rsid w:val="1CC1C6B9"/>
    <w:rsid w:val="1CC89E50"/>
    <w:rsid w:val="1CC9FC7D"/>
    <w:rsid w:val="1CCD4EED"/>
    <w:rsid w:val="1CD1293C"/>
    <w:rsid w:val="1CED8700"/>
    <w:rsid w:val="1CF824F7"/>
    <w:rsid w:val="1CFB3F05"/>
    <w:rsid w:val="1CFF6C0F"/>
    <w:rsid w:val="1D003C26"/>
    <w:rsid w:val="1D02475B"/>
    <w:rsid w:val="1D0A252E"/>
    <w:rsid w:val="1D0E0E54"/>
    <w:rsid w:val="1D27BBDA"/>
    <w:rsid w:val="1D29AE52"/>
    <w:rsid w:val="1D2AB66F"/>
    <w:rsid w:val="1D323CE4"/>
    <w:rsid w:val="1D327574"/>
    <w:rsid w:val="1D334D1E"/>
    <w:rsid w:val="1D3396FC"/>
    <w:rsid w:val="1D3F3EC9"/>
    <w:rsid w:val="1D45E63A"/>
    <w:rsid w:val="1D4B8284"/>
    <w:rsid w:val="1D4EA082"/>
    <w:rsid w:val="1D537EE2"/>
    <w:rsid w:val="1D556603"/>
    <w:rsid w:val="1D58073C"/>
    <w:rsid w:val="1D59992A"/>
    <w:rsid w:val="1D5E4DBF"/>
    <w:rsid w:val="1D6479C1"/>
    <w:rsid w:val="1D6485A5"/>
    <w:rsid w:val="1D699742"/>
    <w:rsid w:val="1D746B49"/>
    <w:rsid w:val="1D760479"/>
    <w:rsid w:val="1D788C1F"/>
    <w:rsid w:val="1D7A420B"/>
    <w:rsid w:val="1D7DB72A"/>
    <w:rsid w:val="1D884531"/>
    <w:rsid w:val="1D89494D"/>
    <w:rsid w:val="1D8AC0E5"/>
    <w:rsid w:val="1D8DA45D"/>
    <w:rsid w:val="1D8DCBB5"/>
    <w:rsid w:val="1D90DB12"/>
    <w:rsid w:val="1D9113C7"/>
    <w:rsid w:val="1D977BD8"/>
    <w:rsid w:val="1D9A6253"/>
    <w:rsid w:val="1D9C87BC"/>
    <w:rsid w:val="1DA65117"/>
    <w:rsid w:val="1DA69E81"/>
    <w:rsid w:val="1DA7A816"/>
    <w:rsid w:val="1DAD6B94"/>
    <w:rsid w:val="1DAFB23A"/>
    <w:rsid w:val="1DB798EE"/>
    <w:rsid w:val="1DBB0DFC"/>
    <w:rsid w:val="1DBBA6BE"/>
    <w:rsid w:val="1DBDC948"/>
    <w:rsid w:val="1DBDEE1F"/>
    <w:rsid w:val="1DD7BFCB"/>
    <w:rsid w:val="1DD85F26"/>
    <w:rsid w:val="1DDF8AE4"/>
    <w:rsid w:val="1DE2BF4C"/>
    <w:rsid w:val="1DE3BACF"/>
    <w:rsid w:val="1DE7F011"/>
    <w:rsid w:val="1DEB4352"/>
    <w:rsid w:val="1DEF8048"/>
    <w:rsid w:val="1DF01AF8"/>
    <w:rsid w:val="1DF2BBC9"/>
    <w:rsid w:val="1DFA8CC6"/>
    <w:rsid w:val="1DFB93A3"/>
    <w:rsid w:val="1DFC7494"/>
    <w:rsid w:val="1DFC9D57"/>
    <w:rsid w:val="1E08440B"/>
    <w:rsid w:val="1E084DF7"/>
    <w:rsid w:val="1E093338"/>
    <w:rsid w:val="1E0E173B"/>
    <w:rsid w:val="1E1EBBF3"/>
    <w:rsid w:val="1E1F3BA3"/>
    <w:rsid w:val="1E211DF3"/>
    <w:rsid w:val="1E230665"/>
    <w:rsid w:val="1E2309C5"/>
    <w:rsid w:val="1E267C08"/>
    <w:rsid w:val="1E27419B"/>
    <w:rsid w:val="1E33A5D9"/>
    <w:rsid w:val="1E3782CB"/>
    <w:rsid w:val="1E37ACAA"/>
    <w:rsid w:val="1E3FF292"/>
    <w:rsid w:val="1E40FEC4"/>
    <w:rsid w:val="1E42FB80"/>
    <w:rsid w:val="1E43060E"/>
    <w:rsid w:val="1E4AB6DB"/>
    <w:rsid w:val="1E50A008"/>
    <w:rsid w:val="1E52E907"/>
    <w:rsid w:val="1E547F79"/>
    <w:rsid w:val="1E54BB1E"/>
    <w:rsid w:val="1E558505"/>
    <w:rsid w:val="1E5959DF"/>
    <w:rsid w:val="1E5C2F2B"/>
    <w:rsid w:val="1E5D2A9B"/>
    <w:rsid w:val="1E5F398A"/>
    <w:rsid w:val="1E6128F7"/>
    <w:rsid w:val="1E620B7E"/>
    <w:rsid w:val="1E64F340"/>
    <w:rsid w:val="1E653D89"/>
    <w:rsid w:val="1E686A62"/>
    <w:rsid w:val="1E686E30"/>
    <w:rsid w:val="1E7094D4"/>
    <w:rsid w:val="1E8344D6"/>
    <w:rsid w:val="1E86B08C"/>
    <w:rsid w:val="1E878134"/>
    <w:rsid w:val="1E8DFC2A"/>
    <w:rsid w:val="1E92698D"/>
    <w:rsid w:val="1E95E2D5"/>
    <w:rsid w:val="1E95E575"/>
    <w:rsid w:val="1E9631BE"/>
    <w:rsid w:val="1E96EC88"/>
    <w:rsid w:val="1E9A0A06"/>
    <w:rsid w:val="1E9A8F1A"/>
    <w:rsid w:val="1E9B44D2"/>
    <w:rsid w:val="1EA1E7A1"/>
    <w:rsid w:val="1EA2C7E8"/>
    <w:rsid w:val="1EB00792"/>
    <w:rsid w:val="1EBEDF9F"/>
    <w:rsid w:val="1ECBD936"/>
    <w:rsid w:val="1ECE4D44"/>
    <w:rsid w:val="1ED4AC2A"/>
    <w:rsid w:val="1ED7B74C"/>
    <w:rsid w:val="1ED8A306"/>
    <w:rsid w:val="1ED8DD57"/>
    <w:rsid w:val="1EDDC596"/>
    <w:rsid w:val="1EE56720"/>
    <w:rsid w:val="1EE8468B"/>
    <w:rsid w:val="1EF53D24"/>
    <w:rsid w:val="1EF60BD2"/>
    <w:rsid w:val="1EF70F17"/>
    <w:rsid w:val="1EFD49C8"/>
    <w:rsid w:val="1F03DEE2"/>
    <w:rsid w:val="1F14DF38"/>
    <w:rsid w:val="1F15C3B0"/>
    <w:rsid w:val="1F1661CD"/>
    <w:rsid w:val="1F16A0C5"/>
    <w:rsid w:val="1F1A6B8E"/>
    <w:rsid w:val="1F1DBAF8"/>
    <w:rsid w:val="1F1E4B1D"/>
    <w:rsid w:val="1F21EC9B"/>
    <w:rsid w:val="1F2317D7"/>
    <w:rsid w:val="1F2C2B2F"/>
    <w:rsid w:val="1F2C9374"/>
    <w:rsid w:val="1F34CA59"/>
    <w:rsid w:val="1F38EA28"/>
    <w:rsid w:val="1F3BB451"/>
    <w:rsid w:val="1F3E01AE"/>
    <w:rsid w:val="1F40C5B0"/>
    <w:rsid w:val="1F430AC8"/>
    <w:rsid w:val="1F5000C3"/>
    <w:rsid w:val="1F5012F7"/>
    <w:rsid w:val="1F52C023"/>
    <w:rsid w:val="1F538C2B"/>
    <w:rsid w:val="1F61E5CE"/>
    <w:rsid w:val="1F654DFE"/>
    <w:rsid w:val="1F67DDE4"/>
    <w:rsid w:val="1F6A2E98"/>
    <w:rsid w:val="1F6AC686"/>
    <w:rsid w:val="1F7729F0"/>
    <w:rsid w:val="1F77641D"/>
    <w:rsid w:val="1F781652"/>
    <w:rsid w:val="1F78752C"/>
    <w:rsid w:val="1F7E3760"/>
    <w:rsid w:val="1F7EA7C4"/>
    <w:rsid w:val="1F84BEF3"/>
    <w:rsid w:val="1F84CC0A"/>
    <w:rsid w:val="1F8720A9"/>
    <w:rsid w:val="1F87F3D7"/>
    <w:rsid w:val="1F8A23AB"/>
    <w:rsid w:val="1F955F48"/>
    <w:rsid w:val="1FA00B2C"/>
    <w:rsid w:val="1FA27EB0"/>
    <w:rsid w:val="1FA83022"/>
    <w:rsid w:val="1FA8DBD1"/>
    <w:rsid w:val="1FA99062"/>
    <w:rsid w:val="1FACB923"/>
    <w:rsid w:val="1FAE9328"/>
    <w:rsid w:val="1FB04CC4"/>
    <w:rsid w:val="1FB2B215"/>
    <w:rsid w:val="1FB85195"/>
    <w:rsid w:val="1FBC9BF6"/>
    <w:rsid w:val="1FCB3BF9"/>
    <w:rsid w:val="1FCFB8D4"/>
    <w:rsid w:val="1FD73BF3"/>
    <w:rsid w:val="1FD7B85B"/>
    <w:rsid w:val="1FD8E371"/>
    <w:rsid w:val="1FDE7D29"/>
    <w:rsid w:val="1FE171EF"/>
    <w:rsid w:val="1FE6A55E"/>
    <w:rsid w:val="1FE70286"/>
    <w:rsid w:val="1FE9453A"/>
    <w:rsid w:val="1FEBBDC9"/>
    <w:rsid w:val="1FEC02C5"/>
    <w:rsid w:val="1FF2544A"/>
    <w:rsid w:val="1FFAC563"/>
    <w:rsid w:val="1FFB6F4E"/>
    <w:rsid w:val="2000AFD5"/>
    <w:rsid w:val="200777EA"/>
    <w:rsid w:val="20127E04"/>
    <w:rsid w:val="2012A0C7"/>
    <w:rsid w:val="201C4078"/>
    <w:rsid w:val="201D6656"/>
    <w:rsid w:val="201F9800"/>
    <w:rsid w:val="2024828E"/>
    <w:rsid w:val="2024E480"/>
    <w:rsid w:val="2025D6CE"/>
    <w:rsid w:val="2027D45E"/>
    <w:rsid w:val="202B8824"/>
    <w:rsid w:val="202BC8F8"/>
    <w:rsid w:val="202E3D88"/>
    <w:rsid w:val="202E6EA6"/>
    <w:rsid w:val="20308353"/>
    <w:rsid w:val="2034B96D"/>
    <w:rsid w:val="20358DA6"/>
    <w:rsid w:val="20364ED2"/>
    <w:rsid w:val="203EB352"/>
    <w:rsid w:val="203FA192"/>
    <w:rsid w:val="20426B9A"/>
    <w:rsid w:val="204BF055"/>
    <w:rsid w:val="204D981F"/>
    <w:rsid w:val="20545348"/>
    <w:rsid w:val="205687A7"/>
    <w:rsid w:val="205C086B"/>
    <w:rsid w:val="205E1CEC"/>
    <w:rsid w:val="205EAABF"/>
    <w:rsid w:val="205F8F7D"/>
    <w:rsid w:val="2061BACF"/>
    <w:rsid w:val="2065EED9"/>
    <w:rsid w:val="2067AFD7"/>
    <w:rsid w:val="20681558"/>
    <w:rsid w:val="20817985"/>
    <w:rsid w:val="20852507"/>
    <w:rsid w:val="208CCB61"/>
    <w:rsid w:val="208DF473"/>
    <w:rsid w:val="2094B03F"/>
    <w:rsid w:val="20996390"/>
    <w:rsid w:val="209A9F17"/>
    <w:rsid w:val="209B3B6F"/>
    <w:rsid w:val="20A2CDC6"/>
    <w:rsid w:val="20A63D74"/>
    <w:rsid w:val="20A96981"/>
    <w:rsid w:val="20AE9421"/>
    <w:rsid w:val="20AF2646"/>
    <w:rsid w:val="20B1E2CD"/>
    <w:rsid w:val="20B33516"/>
    <w:rsid w:val="20B43C7A"/>
    <w:rsid w:val="20B6E8C6"/>
    <w:rsid w:val="20BA60DE"/>
    <w:rsid w:val="20C2EF3F"/>
    <w:rsid w:val="20C5F2C4"/>
    <w:rsid w:val="20CB329F"/>
    <w:rsid w:val="20CE30FB"/>
    <w:rsid w:val="20D2AA7E"/>
    <w:rsid w:val="20E60DF2"/>
    <w:rsid w:val="20EB1CC3"/>
    <w:rsid w:val="20ECAFF0"/>
    <w:rsid w:val="20FE39F3"/>
    <w:rsid w:val="2101CD97"/>
    <w:rsid w:val="2102C703"/>
    <w:rsid w:val="21037B20"/>
    <w:rsid w:val="2103FE3F"/>
    <w:rsid w:val="21049E6B"/>
    <w:rsid w:val="21077CC6"/>
    <w:rsid w:val="21080F01"/>
    <w:rsid w:val="210E2C2D"/>
    <w:rsid w:val="21161D53"/>
    <w:rsid w:val="2119CF57"/>
    <w:rsid w:val="211B210F"/>
    <w:rsid w:val="211B51E9"/>
    <w:rsid w:val="21208C4B"/>
    <w:rsid w:val="2122E414"/>
    <w:rsid w:val="21262266"/>
    <w:rsid w:val="212B6816"/>
    <w:rsid w:val="213794F9"/>
    <w:rsid w:val="2138910D"/>
    <w:rsid w:val="2138D20B"/>
    <w:rsid w:val="213B7948"/>
    <w:rsid w:val="213F63E0"/>
    <w:rsid w:val="2147C7CF"/>
    <w:rsid w:val="214BDBB8"/>
    <w:rsid w:val="214D5F42"/>
    <w:rsid w:val="2150F8F0"/>
    <w:rsid w:val="21538528"/>
    <w:rsid w:val="2155694E"/>
    <w:rsid w:val="215EA5FD"/>
    <w:rsid w:val="216469F1"/>
    <w:rsid w:val="216A332C"/>
    <w:rsid w:val="216A8D7E"/>
    <w:rsid w:val="216B9066"/>
    <w:rsid w:val="2171C8E5"/>
    <w:rsid w:val="217DA95E"/>
    <w:rsid w:val="21873A1E"/>
    <w:rsid w:val="218A97A3"/>
    <w:rsid w:val="218BB5C3"/>
    <w:rsid w:val="21937504"/>
    <w:rsid w:val="21949DDC"/>
    <w:rsid w:val="21A41513"/>
    <w:rsid w:val="21A9E71E"/>
    <w:rsid w:val="21A9F372"/>
    <w:rsid w:val="21AE9181"/>
    <w:rsid w:val="21AF71C5"/>
    <w:rsid w:val="21B0B4AC"/>
    <w:rsid w:val="21B540D8"/>
    <w:rsid w:val="21B95791"/>
    <w:rsid w:val="21C3A542"/>
    <w:rsid w:val="21CBC325"/>
    <w:rsid w:val="21CFBE89"/>
    <w:rsid w:val="21D723AC"/>
    <w:rsid w:val="21DC0C1C"/>
    <w:rsid w:val="21DF7F5A"/>
    <w:rsid w:val="21E1D5C8"/>
    <w:rsid w:val="21E22579"/>
    <w:rsid w:val="21E2636B"/>
    <w:rsid w:val="21F15B5E"/>
    <w:rsid w:val="21F26BA2"/>
    <w:rsid w:val="21F42C84"/>
    <w:rsid w:val="21F717C6"/>
    <w:rsid w:val="21F94474"/>
    <w:rsid w:val="21F96DBF"/>
    <w:rsid w:val="21F99E4B"/>
    <w:rsid w:val="2202E913"/>
    <w:rsid w:val="220917F4"/>
    <w:rsid w:val="2212CAAC"/>
    <w:rsid w:val="221630DA"/>
    <w:rsid w:val="22178F83"/>
    <w:rsid w:val="221B3F5B"/>
    <w:rsid w:val="2221087D"/>
    <w:rsid w:val="222D2792"/>
    <w:rsid w:val="222FB25F"/>
    <w:rsid w:val="22306811"/>
    <w:rsid w:val="22327B6C"/>
    <w:rsid w:val="22349107"/>
    <w:rsid w:val="2236AE28"/>
    <w:rsid w:val="223AF693"/>
    <w:rsid w:val="223E44E1"/>
    <w:rsid w:val="223F7CF3"/>
    <w:rsid w:val="2246469C"/>
    <w:rsid w:val="2246ACA1"/>
    <w:rsid w:val="224702E1"/>
    <w:rsid w:val="22535894"/>
    <w:rsid w:val="2253CF8D"/>
    <w:rsid w:val="2256A4FB"/>
    <w:rsid w:val="225F58A1"/>
    <w:rsid w:val="2264F36F"/>
    <w:rsid w:val="226B764A"/>
    <w:rsid w:val="227143D6"/>
    <w:rsid w:val="22720490"/>
    <w:rsid w:val="2274C3C2"/>
    <w:rsid w:val="2275DE39"/>
    <w:rsid w:val="2279C555"/>
    <w:rsid w:val="227D7830"/>
    <w:rsid w:val="227DC8C4"/>
    <w:rsid w:val="227E334C"/>
    <w:rsid w:val="227F8DEC"/>
    <w:rsid w:val="22812D3A"/>
    <w:rsid w:val="22832687"/>
    <w:rsid w:val="228CF92E"/>
    <w:rsid w:val="2295C7B6"/>
    <w:rsid w:val="2296EE49"/>
    <w:rsid w:val="229AC8AD"/>
    <w:rsid w:val="22A2D4C8"/>
    <w:rsid w:val="22AC4481"/>
    <w:rsid w:val="22AEB22F"/>
    <w:rsid w:val="22B16C61"/>
    <w:rsid w:val="22B2B4BC"/>
    <w:rsid w:val="22B3D0EA"/>
    <w:rsid w:val="22B431EA"/>
    <w:rsid w:val="22BAFBEE"/>
    <w:rsid w:val="22C4A275"/>
    <w:rsid w:val="22C66401"/>
    <w:rsid w:val="22D1B796"/>
    <w:rsid w:val="22D3A411"/>
    <w:rsid w:val="22D8ACA4"/>
    <w:rsid w:val="22E3C445"/>
    <w:rsid w:val="22E4EDD8"/>
    <w:rsid w:val="230046C3"/>
    <w:rsid w:val="23053928"/>
    <w:rsid w:val="23093288"/>
    <w:rsid w:val="230A1633"/>
    <w:rsid w:val="230C3F4F"/>
    <w:rsid w:val="230C7F8A"/>
    <w:rsid w:val="2310F5DC"/>
    <w:rsid w:val="23145448"/>
    <w:rsid w:val="2319A9FA"/>
    <w:rsid w:val="231AF947"/>
    <w:rsid w:val="231BD026"/>
    <w:rsid w:val="23238434"/>
    <w:rsid w:val="23284454"/>
    <w:rsid w:val="232A7D38"/>
    <w:rsid w:val="232B2070"/>
    <w:rsid w:val="23354875"/>
    <w:rsid w:val="23370DF3"/>
    <w:rsid w:val="233804B7"/>
    <w:rsid w:val="234055C4"/>
    <w:rsid w:val="2341ABB0"/>
    <w:rsid w:val="23438DDC"/>
    <w:rsid w:val="23485E40"/>
    <w:rsid w:val="234F320C"/>
    <w:rsid w:val="235B0067"/>
    <w:rsid w:val="235DB685"/>
    <w:rsid w:val="236053BF"/>
    <w:rsid w:val="23611418"/>
    <w:rsid w:val="23641463"/>
    <w:rsid w:val="2366AAC2"/>
    <w:rsid w:val="2367010B"/>
    <w:rsid w:val="236A1BE2"/>
    <w:rsid w:val="236B9273"/>
    <w:rsid w:val="236BE6D4"/>
    <w:rsid w:val="236ECB63"/>
    <w:rsid w:val="2371120C"/>
    <w:rsid w:val="23762864"/>
    <w:rsid w:val="238064BE"/>
    <w:rsid w:val="2386F560"/>
    <w:rsid w:val="2389D9CA"/>
    <w:rsid w:val="238B695D"/>
    <w:rsid w:val="2398A0A0"/>
    <w:rsid w:val="239CD706"/>
    <w:rsid w:val="23A0B019"/>
    <w:rsid w:val="23A83D12"/>
    <w:rsid w:val="23AEB57D"/>
    <w:rsid w:val="23B0F0C7"/>
    <w:rsid w:val="23B280F0"/>
    <w:rsid w:val="23B37BD7"/>
    <w:rsid w:val="23B7D44D"/>
    <w:rsid w:val="23B832D6"/>
    <w:rsid w:val="23C3D6DC"/>
    <w:rsid w:val="23C90C38"/>
    <w:rsid w:val="23CC88D5"/>
    <w:rsid w:val="23CF42AB"/>
    <w:rsid w:val="23D079DE"/>
    <w:rsid w:val="23D4546C"/>
    <w:rsid w:val="23D4FC13"/>
    <w:rsid w:val="23E02097"/>
    <w:rsid w:val="23E1462D"/>
    <w:rsid w:val="23E293C2"/>
    <w:rsid w:val="23E3D6AC"/>
    <w:rsid w:val="23E4E13C"/>
    <w:rsid w:val="23EA7115"/>
    <w:rsid w:val="23EEB8B5"/>
    <w:rsid w:val="23FA0885"/>
    <w:rsid w:val="2400A0D2"/>
    <w:rsid w:val="240278CE"/>
    <w:rsid w:val="2405E9CE"/>
    <w:rsid w:val="2408AF73"/>
    <w:rsid w:val="240ADEC5"/>
    <w:rsid w:val="240E1740"/>
    <w:rsid w:val="2411DC70"/>
    <w:rsid w:val="2417C0B5"/>
    <w:rsid w:val="24192BE9"/>
    <w:rsid w:val="241A28DC"/>
    <w:rsid w:val="241DBE52"/>
    <w:rsid w:val="24236CA3"/>
    <w:rsid w:val="24247CFC"/>
    <w:rsid w:val="24253392"/>
    <w:rsid w:val="2425356D"/>
    <w:rsid w:val="24295B2C"/>
    <w:rsid w:val="242CB084"/>
    <w:rsid w:val="242E5354"/>
    <w:rsid w:val="24377C3A"/>
    <w:rsid w:val="24393DE2"/>
    <w:rsid w:val="243A2896"/>
    <w:rsid w:val="24434AE8"/>
    <w:rsid w:val="24485769"/>
    <w:rsid w:val="245017E9"/>
    <w:rsid w:val="2450A38F"/>
    <w:rsid w:val="24580D8E"/>
    <w:rsid w:val="2458D12A"/>
    <w:rsid w:val="24594CCA"/>
    <w:rsid w:val="245F3F7F"/>
    <w:rsid w:val="2460487B"/>
    <w:rsid w:val="24639318"/>
    <w:rsid w:val="2464CE3E"/>
    <w:rsid w:val="2466AB0B"/>
    <w:rsid w:val="24681813"/>
    <w:rsid w:val="246BA88C"/>
    <w:rsid w:val="246DACE1"/>
    <w:rsid w:val="24702480"/>
    <w:rsid w:val="2475915E"/>
    <w:rsid w:val="2478956E"/>
    <w:rsid w:val="247D858C"/>
    <w:rsid w:val="24814419"/>
    <w:rsid w:val="248D1262"/>
    <w:rsid w:val="248DEAA0"/>
    <w:rsid w:val="249050CF"/>
    <w:rsid w:val="24923828"/>
    <w:rsid w:val="2495227D"/>
    <w:rsid w:val="24A28B4F"/>
    <w:rsid w:val="24A4F613"/>
    <w:rsid w:val="24A60B8E"/>
    <w:rsid w:val="24B30F08"/>
    <w:rsid w:val="24B57C55"/>
    <w:rsid w:val="24C13576"/>
    <w:rsid w:val="24C59F26"/>
    <w:rsid w:val="24C6FADF"/>
    <w:rsid w:val="24C82E84"/>
    <w:rsid w:val="24C9F609"/>
    <w:rsid w:val="24D0C154"/>
    <w:rsid w:val="24D5DFBB"/>
    <w:rsid w:val="24D6F842"/>
    <w:rsid w:val="24DA0D2B"/>
    <w:rsid w:val="24DD1DBF"/>
    <w:rsid w:val="24DE7761"/>
    <w:rsid w:val="24DFB6E0"/>
    <w:rsid w:val="24E22C32"/>
    <w:rsid w:val="24E9BE1A"/>
    <w:rsid w:val="24F143F9"/>
    <w:rsid w:val="24F555DA"/>
    <w:rsid w:val="24F65C9A"/>
    <w:rsid w:val="24F93DB9"/>
    <w:rsid w:val="24FCE208"/>
    <w:rsid w:val="24FD5F35"/>
    <w:rsid w:val="24FDC429"/>
    <w:rsid w:val="2500C88D"/>
    <w:rsid w:val="250A377E"/>
    <w:rsid w:val="250A9254"/>
    <w:rsid w:val="250BD070"/>
    <w:rsid w:val="2513DA7F"/>
    <w:rsid w:val="2516C6D8"/>
    <w:rsid w:val="251A9E82"/>
    <w:rsid w:val="251FD2B6"/>
    <w:rsid w:val="2520B759"/>
    <w:rsid w:val="2521322B"/>
    <w:rsid w:val="25282F64"/>
    <w:rsid w:val="2529FE60"/>
    <w:rsid w:val="25326068"/>
    <w:rsid w:val="2537CCF5"/>
    <w:rsid w:val="253A9788"/>
    <w:rsid w:val="253C0EE2"/>
    <w:rsid w:val="253CDE25"/>
    <w:rsid w:val="25479993"/>
    <w:rsid w:val="254CE473"/>
    <w:rsid w:val="254D11A8"/>
    <w:rsid w:val="25512954"/>
    <w:rsid w:val="25569E5C"/>
    <w:rsid w:val="25573B08"/>
    <w:rsid w:val="2559D32A"/>
    <w:rsid w:val="255CDF80"/>
    <w:rsid w:val="255EBB25"/>
    <w:rsid w:val="25716C1D"/>
    <w:rsid w:val="2573CC84"/>
    <w:rsid w:val="257810DF"/>
    <w:rsid w:val="2579D697"/>
    <w:rsid w:val="257CA47C"/>
    <w:rsid w:val="257FA21C"/>
    <w:rsid w:val="2582222A"/>
    <w:rsid w:val="2582C7BC"/>
    <w:rsid w:val="2586158D"/>
    <w:rsid w:val="258A6600"/>
    <w:rsid w:val="258C2871"/>
    <w:rsid w:val="25940B66"/>
    <w:rsid w:val="2598EF8E"/>
    <w:rsid w:val="2598F0FA"/>
    <w:rsid w:val="259E5983"/>
    <w:rsid w:val="25A6C43B"/>
    <w:rsid w:val="25A9E2FA"/>
    <w:rsid w:val="25B334CD"/>
    <w:rsid w:val="25B7E7A0"/>
    <w:rsid w:val="25B9F6DA"/>
    <w:rsid w:val="25BBCAAF"/>
    <w:rsid w:val="25C28523"/>
    <w:rsid w:val="25C723F0"/>
    <w:rsid w:val="25C822F5"/>
    <w:rsid w:val="25CB1A29"/>
    <w:rsid w:val="25D034B2"/>
    <w:rsid w:val="25D06AB2"/>
    <w:rsid w:val="25D5306C"/>
    <w:rsid w:val="25D72C60"/>
    <w:rsid w:val="25E14C78"/>
    <w:rsid w:val="25E7B6B0"/>
    <w:rsid w:val="25F2328D"/>
    <w:rsid w:val="25F41FCD"/>
    <w:rsid w:val="25F4D19F"/>
    <w:rsid w:val="25FCAD7A"/>
    <w:rsid w:val="260489B9"/>
    <w:rsid w:val="2607E4C2"/>
    <w:rsid w:val="260C4F54"/>
    <w:rsid w:val="260C6032"/>
    <w:rsid w:val="260DEC02"/>
    <w:rsid w:val="2617DD2C"/>
    <w:rsid w:val="261C6EE7"/>
    <w:rsid w:val="2620B9BB"/>
    <w:rsid w:val="26223429"/>
    <w:rsid w:val="2624DEDA"/>
    <w:rsid w:val="2625F04F"/>
    <w:rsid w:val="2627B5BA"/>
    <w:rsid w:val="2627E9BE"/>
    <w:rsid w:val="262A49A4"/>
    <w:rsid w:val="262FE169"/>
    <w:rsid w:val="26320D8C"/>
    <w:rsid w:val="263659D8"/>
    <w:rsid w:val="26366591"/>
    <w:rsid w:val="263AEBC1"/>
    <w:rsid w:val="2645553B"/>
    <w:rsid w:val="264650F5"/>
    <w:rsid w:val="2647FE5D"/>
    <w:rsid w:val="264F4FA3"/>
    <w:rsid w:val="26515CBA"/>
    <w:rsid w:val="26516F63"/>
    <w:rsid w:val="265A2897"/>
    <w:rsid w:val="265D7AE9"/>
    <w:rsid w:val="265E2C43"/>
    <w:rsid w:val="266A0F15"/>
    <w:rsid w:val="266EDDCC"/>
    <w:rsid w:val="26710D72"/>
    <w:rsid w:val="2674240B"/>
    <w:rsid w:val="2676D6CD"/>
    <w:rsid w:val="267B69DE"/>
    <w:rsid w:val="267EC117"/>
    <w:rsid w:val="268393DF"/>
    <w:rsid w:val="268E8AAF"/>
    <w:rsid w:val="26904FFB"/>
    <w:rsid w:val="26995304"/>
    <w:rsid w:val="269AF7C2"/>
    <w:rsid w:val="269B5F4B"/>
    <w:rsid w:val="269C345A"/>
    <w:rsid w:val="26A2C21B"/>
    <w:rsid w:val="26A6DEAE"/>
    <w:rsid w:val="26AC13A9"/>
    <w:rsid w:val="26AD06A6"/>
    <w:rsid w:val="26B1FDE0"/>
    <w:rsid w:val="26B3B5A3"/>
    <w:rsid w:val="26B7C7EC"/>
    <w:rsid w:val="26C91B35"/>
    <w:rsid w:val="26DA8636"/>
    <w:rsid w:val="26DB3110"/>
    <w:rsid w:val="26E6935D"/>
    <w:rsid w:val="26E6C622"/>
    <w:rsid w:val="26E98D94"/>
    <w:rsid w:val="26EA896B"/>
    <w:rsid w:val="26ED8815"/>
    <w:rsid w:val="26EDFC6D"/>
    <w:rsid w:val="26EE8686"/>
    <w:rsid w:val="26F26134"/>
    <w:rsid w:val="26F686E1"/>
    <w:rsid w:val="26F94FEE"/>
    <w:rsid w:val="26FBE97E"/>
    <w:rsid w:val="270226D4"/>
    <w:rsid w:val="2707B0A2"/>
    <w:rsid w:val="270B1B05"/>
    <w:rsid w:val="271436BC"/>
    <w:rsid w:val="2716B483"/>
    <w:rsid w:val="2716F33B"/>
    <w:rsid w:val="271AB758"/>
    <w:rsid w:val="2721076B"/>
    <w:rsid w:val="27212451"/>
    <w:rsid w:val="2723F20F"/>
    <w:rsid w:val="2724CD55"/>
    <w:rsid w:val="2736A896"/>
    <w:rsid w:val="273869FF"/>
    <w:rsid w:val="2738876A"/>
    <w:rsid w:val="273D3FD5"/>
    <w:rsid w:val="274339D2"/>
    <w:rsid w:val="2746AC6D"/>
    <w:rsid w:val="27493F90"/>
    <w:rsid w:val="27497D55"/>
    <w:rsid w:val="275BFF73"/>
    <w:rsid w:val="275CA7ED"/>
    <w:rsid w:val="275CBBD4"/>
    <w:rsid w:val="276328BA"/>
    <w:rsid w:val="276B8AA2"/>
    <w:rsid w:val="2770D2E0"/>
    <w:rsid w:val="2776B266"/>
    <w:rsid w:val="2777DA42"/>
    <w:rsid w:val="2778FD3B"/>
    <w:rsid w:val="277C4520"/>
    <w:rsid w:val="277D0F63"/>
    <w:rsid w:val="27818E34"/>
    <w:rsid w:val="2782814D"/>
    <w:rsid w:val="278434F4"/>
    <w:rsid w:val="2784E305"/>
    <w:rsid w:val="2785E7FF"/>
    <w:rsid w:val="2785F687"/>
    <w:rsid w:val="2786BCE0"/>
    <w:rsid w:val="278CD31F"/>
    <w:rsid w:val="27922D68"/>
    <w:rsid w:val="27946107"/>
    <w:rsid w:val="2795C957"/>
    <w:rsid w:val="2796B2CF"/>
    <w:rsid w:val="279EBDBE"/>
    <w:rsid w:val="27A18B95"/>
    <w:rsid w:val="27A99B7D"/>
    <w:rsid w:val="27AA0368"/>
    <w:rsid w:val="27AC459E"/>
    <w:rsid w:val="27B041F0"/>
    <w:rsid w:val="27B275BC"/>
    <w:rsid w:val="27B4171D"/>
    <w:rsid w:val="27B47F18"/>
    <w:rsid w:val="27B714E4"/>
    <w:rsid w:val="27B795E1"/>
    <w:rsid w:val="27BB6DFD"/>
    <w:rsid w:val="27BCA7FA"/>
    <w:rsid w:val="27BDC344"/>
    <w:rsid w:val="27BE138A"/>
    <w:rsid w:val="27C4551A"/>
    <w:rsid w:val="27D2FB7C"/>
    <w:rsid w:val="27D2FFDF"/>
    <w:rsid w:val="27D4A676"/>
    <w:rsid w:val="27D769CA"/>
    <w:rsid w:val="27D8E619"/>
    <w:rsid w:val="27DA6C60"/>
    <w:rsid w:val="27DE9779"/>
    <w:rsid w:val="27E14BDE"/>
    <w:rsid w:val="27EF3592"/>
    <w:rsid w:val="27F073D5"/>
    <w:rsid w:val="27F39FAA"/>
    <w:rsid w:val="27F7E677"/>
    <w:rsid w:val="27FC48DC"/>
    <w:rsid w:val="280634E9"/>
    <w:rsid w:val="28099D07"/>
    <w:rsid w:val="2809E5BA"/>
    <w:rsid w:val="280F36B4"/>
    <w:rsid w:val="2811123C"/>
    <w:rsid w:val="2814CE92"/>
    <w:rsid w:val="281BCBE2"/>
    <w:rsid w:val="281D1E28"/>
    <w:rsid w:val="281F4573"/>
    <w:rsid w:val="2820BEC6"/>
    <w:rsid w:val="28216F98"/>
    <w:rsid w:val="28217683"/>
    <w:rsid w:val="2825A603"/>
    <w:rsid w:val="2826D7C3"/>
    <w:rsid w:val="28274C28"/>
    <w:rsid w:val="2828DECB"/>
    <w:rsid w:val="28295D78"/>
    <w:rsid w:val="282C5BB7"/>
    <w:rsid w:val="282D1702"/>
    <w:rsid w:val="282E151B"/>
    <w:rsid w:val="282F6820"/>
    <w:rsid w:val="2831849B"/>
    <w:rsid w:val="2839D53D"/>
    <w:rsid w:val="283B55F1"/>
    <w:rsid w:val="28473A84"/>
    <w:rsid w:val="2848857E"/>
    <w:rsid w:val="2856DD0D"/>
    <w:rsid w:val="285790A4"/>
    <w:rsid w:val="285B81F8"/>
    <w:rsid w:val="28608643"/>
    <w:rsid w:val="286765E1"/>
    <w:rsid w:val="287849E9"/>
    <w:rsid w:val="28799DEB"/>
    <w:rsid w:val="287BA062"/>
    <w:rsid w:val="287F3DB3"/>
    <w:rsid w:val="2882D9F0"/>
    <w:rsid w:val="2889A451"/>
    <w:rsid w:val="2889C1A6"/>
    <w:rsid w:val="288C7393"/>
    <w:rsid w:val="2892568F"/>
    <w:rsid w:val="289F0CA2"/>
    <w:rsid w:val="28A6F278"/>
    <w:rsid w:val="28AC0852"/>
    <w:rsid w:val="28AED86D"/>
    <w:rsid w:val="28AFC716"/>
    <w:rsid w:val="28B6C1FF"/>
    <w:rsid w:val="28B9E494"/>
    <w:rsid w:val="28BEBF23"/>
    <w:rsid w:val="28C120B6"/>
    <w:rsid w:val="28C3A2BB"/>
    <w:rsid w:val="28C58535"/>
    <w:rsid w:val="28D5499D"/>
    <w:rsid w:val="28D691AC"/>
    <w:rsid w:val="28D9EDAD"/>
    <w:rsid w:val="28DABC9C"/>
    <w:rsid w:val="28DBA470"/>
    <w:rsid w:val="28DC9AE9"/>
    <w:rsid w:val="28DE06A2"/>
    <w:rsid w:val="28E178FD"/>
    <w:rsid w:val="28E52E56"/>
    <w:rsid w:val="28E6BCDA"/>
    <w:rsid w:val="28E799C5"/>
    <w:rsid w:val="28E8DA4C"/>
    <w:rsid w:val="28EA97A0"/>
    <w:rsid w:val="28EBEC61"/>
    <w:rsid w:val="28F10B0F"/>
    <w:rsid w:val="28F1F769"/>
    <w:rsid w:val="28F3E4B4"/>
    <w:rsid w:val="28F4CEA6"/>
    <w:rsid w:val="28F6FE2C"/>
    <w:rsid w:val="28F8674C"/>
    <w:rsid w:val="28F8E0D5"/>
    <w:rsid w:val="29003CF9"/>
    <w:rsid w:val="290C2BCB"/>
    <w:rsid w:val="291B5428"/>
    <w:rsid w:val="291D2E3C"/>
    <w:rsid w:val="29214C9F"/>
    <w:rsid w:val="2924AF4D"/>
    <w:rsid w:val="292C1E7E"/>
    <w:rsid w:val="29460827"/>
    <w:rsid w:val="294759BF"/>
    <w:rsid w:val="294AAD63"/>
    <w:rsid w:val="295554C5"/>
    <w:rsid w:val="295787A9"/>
    <w:rsid w:val="295B82E3"/>
    <w:rsid w:val="2963FDED"/>
    <w:rsid w:val="29643BB9"/>
    <w:rsid w:val="2964FDDC"/>
    <w:rsid w:val="2969ED63"/>
    <w:rsid w:val="296AA7B1"/>
    <w:rsid w:val="296E5139"/>
    <w:rsid w:val="29726C32"/>
    <w:rsid w:val="2974E03B"/>
    <w:rsid w:val="297BA18B"/>
    <w:rsid w:val="297C9CB9"/>
    <w:rsid w:val="297CCBAE"/>
    <w:rsid w:val="298C6471"/>
    <w:rsid w:val="2993A1B3"/>
    <w:rsid w:val="29943D48"/>
    <w:rsid w:val="29959E6A"/>
    <w:rsid w:val="299960A7"/>
    <w:rsid w:val="299E3142"/>
    <w:rsid w:val="29A32DB9"/>
    <w:rsid w:val="29A4FC76"/>
    <w:rsid w:val="29A7DC6C"/>
    <w:rsid w:val="29ACE269"/>
    <w:rsid w:val="29ADE9C5"/>
    <w:rsid w:val="29B0710F"/>
    <w:rsid w:val="29B1DCE9"/>
    <w:rsid w:val="29B31771"/>
    <w:rsid w:val="29B45EE4"/>
    <w:rsid w:val="29B7B4EB"/>
    <w:rsid w:val="29C040AD"/>
    <w:rsid w:val="29C3692B"/>
    <w:rsid w:val="29C5DE04"/>
    <w:rsid w:val="29C6BB23"/>
    <w:rsid w:val="29C76CE9"/>
    <w:rsid w:val="29CCF55F"/>
    <w:rsid w:val="29CD534B"/>
    <w:rsid w:val="29D5EC46"/>
    <w:rsid w:val="29D769B2"/>
    <w:rsid w:val="29D8BD35"/>
    <w:rsid w:val="29DF32DC"/>
    <w:rsid w:val="29E4F646"/>
    <w:rsid w:val="29EB054D"/>
    <w:rsid w:val="29EB7F03"/>
    <w:rsid w:val="29EDCF08"/>
    <w:rsid w:val="29EE948E"/>
    <w:rsid w:val="29F22AB6"/>
    <w:rsid w:val="29F31632"/>
    <w:rsid w:val="29F6FA2A"/>
    <w:rsid w:val="2A0AAF71"/>
    <w:rsid w:val="2A0BE05F"/>
    <w:rsid w:val="2A19CE6E"/>
    <w:rsid w:val="2A2EF53C"/>
    <w:rsid w:val="2A31DADF"/>
    <w:rsid w:val="2A330774"/>
    <w:rsid w:val="2A3AC873"/>
    <w:rsid w:val="2A3CA78C"/>
    <w:rsid w:val="2A3F920D"/>
    <w:rsid w:val="2A46700C"/>
    <w:rsid w:val="2A4ED600"/>
    <w:rsid w:val="2A51F066"/>
    <w:rsid w:val="2A52BF9D"/>
    <w:rsid w:val="2A58C513"/>
    <w:rsid w:val="2A5E6036"/>
    <w:rsid w:val="2A61A6F0"/>
    <w:rsid w:val="2A68EA0C"/>
    <w:rsid w:val="2A6A2FDA"/>
    <w:rsid w:val="2A6D8E45"/>
    <w:rsid w:val="2A727B90"/>
    <w:rsid w:val="2A732080"/>
    <w:rsid w:val="2A78630A"/>
    <w:rsid w:val="2A7A0704"/>
    <w:rsid w:val="2A7F5450"/>
    <w:rsid w:val="2A8127C6"/>
    <w:rsid w:val="2A815802"/>
    <w:rsid w:val="2A8DADEA"/>
    <w:rsid w:val="2A8DE4D8"/>
    <w:rsid w:val="2A925295"/>
    <w:rsid w:val="2A93AF5F"/>
    <w:rsid w:val="2AA1FD60"/>
    <w:rsid w:val="2AA4D861"/>
    <w:rsid w:val="2AA77415"/>
    <w:rsid w:val="2AA8D9F3"/>
    <w:rsid w:val="2AAA7524"/>
    <w:rsid w:val="2AAB0C1E"/>
    <w:rsid w:val="2AB0733E"/>
    <w:rsid w:val="2ABC1C87"/>
    <w:rsid w:val="2ABDF559"/>
    <w:rsid w:val="2AC3B0D5"/>
    <w:rsid w:val="2AC419B2"/>
    <w:rsid w:val="2AC855C8"/>
    <w:rsid w:val="2ACBDD10"/>
    <w:rsid w:val="2ACD1CBD"/>
    <w:rsid w:val="2AD0960B"/>
    <w:rsid w:val="2AD43D88"/>
    <w:rsid w:val="2AE0520F"/>
    <w:rsid w:val="2AE7CC7E"/>
    <w:rsid w:val="2AE9C7F4"/>
    <w:rsid w:val="2AED33AE"/>
    <w:rsid w:val="2AF46E4C"/>
    <w:rsid w:val="2AFD73D5"/>
    <w:rsid w:val="2B0961D2"/>
    <w:rsid w:val="2B0DEEA0"/>
    <w:rsid w:val="2B0FE91E"/>
    <w:rsid w:val="2B128535"/>
    <w:rsid w:val="2B18715C"/>
    <w:rsid w:val="2B1DDDB4"/>
    <w:rsid w:val="2B233186"/>
    <w:rsid w:val="2B24EAC8"/>
    <w:rsid w:val="2B2741DC"/>
    <w:rsid w:val="2B321A57"/>
    <w:rsid w:val="2B33628C"/>
    <w:rsid w:val="2B396876"/>
    <w:rsid w:val="2B3EFFEE"/>
    <w:rsid w:val="2B4639C6"/>
    <w:rsid w:val="2B4A3332"/>
    <w:rsid w:val="2B4B533A"/>
    <w:rsid w:val="2B52D326"/>
    <w:rsid w:val="2B5A5CF7"/>
    <w:rsid w:val="2B5CB7B0"/>
    <w:rsid w:val="2B5F4F67"/>
    <w:rsid w:val="2B608AFD"/>
    <w:rsid w:val="2B6888CD"/>
    <w:rsid w:val="2B6EF316"/>
    <w:rsid w:val="2B6F891E"/>
    <w:rsid w:val="2B729888"/>
    <w:rsid w:val="2B77FA59"/>
    <w:rsid w:val="2B7C498E"/>
    <w:rsid w:val="2B890B0E"/>
    <w:rsid w:val="2B8A3ADF"/>
    <w:rsid w:val="2B8A88E4"/>
    <w:rsid w:val="2B8F3393"/>
    <w:rsid w:val="2B905005"/>
    <w:rsid w:val="2B9821D6"/>
    <w:rsid w:val="2B984D5D"/>
    <w:rsid w:val="2B9A22ED"/>
    <w:rsid w:val="2BA47A6C"/>
    <w:rsid w:val="2BA9386B"/>
    <w:rsid w:val="2BAF03D5"/>
    <w:rsid w:val="2BB02530"/>
    <w:rsid w:val="2BB67292"/>
    <w:rsid w:val="2BBB2128"/>
    <w:rsid w:val="2BC6954A"/>
    <w:rsid w:val="2BC9A8A8"/>
    <w:rsid w:val="2BCA8F69"/>
    <w:rsid w:val="2BD09D85"/>
    <w:rsid w:val="2BD85261"/>
    <w:rsid w:val="2BE3353A"/>
    <w:rsid w:val="2BE5ED3A"/>
    <w:rsid w:val="2BEDECD5"/>
    <w:rsid w:val="2BEFDED7"/>
    <w:rsid w:val="2BF2CE59"/>
    <w:rsid w:val="2BF672F7"/>
    <w:rsid w:val="2BF6D3EF"/>
    <w:rsid w:val="2BFE56EF"/>
    <w:rsid w:val="2C06BE38"/>
    <w:rsid w:val="2C072519"/>
    <w:rsid w:val="2C073F6D"/>
    <w:rsid w:val="2C089DA9"/>
    <w:rsid w:val="2C09EBE8"/>
    <w:rsid w:val="2C0EF0E1"/>
    <w:rsid w:val="2C11DCC1"/>
    <w:rsid w:val="2C12DB91"/>
    <w:rsid w:val="2C1D0A34"/>
    <w:rsid w:val="2C1F5012"/>
    <w:rsid w:val="2C20675C"/>
    <w:rsid w:val="2C308E41"/>
    <w:rsid w:val="2C32BE59"/>
    <w:rsid w:val="2C3AA961"/>
    <w:rsid w:val="2C3D010D"/>
    <w:rsid w:val="2C42ADA4"/>
    <w:rsid w:val="2C446E46"/>
    <w:rsid w:val="2C47DD59"/>
    <w:rsid w:val="2C4B2BEC"/>
    <w:rsid w:val="2C5041B6"/>
    <w:rsid w:val="2C5055A5"/>
    <w:rsid w:val="2C592D7B"/>
    <w:rsid w:val="2C654AC7"/>
    <w:rsid w:val="2C6AF51A"/>
    <w:rsid w:val="2C772900"/>
    <w:rsid w:val="2C795B3A"/>
    <w:rsid w:val="2C79E844"/>
    <w:rsid w:val="2C7DC537"/>
    <w:rsid w:val="2C7E510B"/>
    <w:rsid w:val="2C830C64"/>
    <w:rsid w:val="2C842D9C"/>
    <w:rsid w:val="2C886FC7"/>
    <w:rsid w:val="2C9244B0"/>
    <w:rsid w:val="2C958DCF"/>
    <w:rsid w:val="2C960828"/>
    <w:rsid w:val="2C9B04B7"/>
    <w:rsid w:val="2C9D693A"/>
    <w:rsid w:val="2CAECE0A"/>
    <w:rsid w:val="2CAEDAF1"/>
    <w:rsid w:val="2CB02F8C"/>
    <w:rsid w:val="2CB1D20C"/>
    <w:rsid w:val="2CB482F8"/>
    <w:rsid w:val="2CB48ADF"/>
    <w:rsid w:val="2CB4B5B1"/>
    <w:rsid w:val="2CB81DAF"/>
    <w:rsid w:val="2CC1B968"/>
    <w:rsid w:val="2CD0EA79"/>
    <w:rsid w:val="2CD4646B"/>
    <w:rsid w:val="2CD5842F"/>
    <w:rsid w:val="2CD73972"/>
    <w:rsid w:val="2CD8FC95"/>
    <w:rsid w:val="2CDA18F4"/>
    <w:rsid w:val="2CDA9DCE"/>
    <w:rsid w:val="2CDB4748"/>
    <w:rsid w:val="2CE0E04E"/>
    <w:rsid w:val="2CE31525"/>
    <w:rsid w:val="2CE83B81"/>
    <w:rsid w:val="2CEC9A0B"/>
    <w:rsid w:val="2CF11F31"/>
    <w:rsid w:val="2CF122C5"/>
    <w:rsid w:val="2CF4C7AA"/>
    <w:rsid w:val="2CF77974"/>
    <w:rsid w:val="2CF94985"/>
    <w:rsid w:val="2D0110A3"/>
    <w:rsid w:val="2D05A8CD"/>
    <w:rsid w:val="2D0AE166"/>
    <w:rsid w:val="2D0DA8C4"/>
    <w:rsid w:val="2D0F4A16"/>
    <w:rsid w:val="2D131F84"/>
    <w:rsid w:val="2D15395A"/>
    <w:rsid w:val="2D1AAEAC"/>
    <w:rsid w:val="2D2679FD"/>
    <w:rsid w:val="2D26E7AD"/>
    <w:rsid w:val="2D2BF606"/>
    <w:rsid w:val="2D2D02C6"/>
    <w:rsid w:val="2D304E4C"/>
    <w:rsid w:val="2D340C9A"/>
    <w:rsid w:val="2D37564D"/>
    <w:rsid w:val="2D3C1922"/>
    <w:rsid w:val="2D416FD1"/>
    <w:rsid w:val="2D45979E"/>
    <w:rsid w:val="2D46481E"/>
    <w:rsid w:val="2D47A9C8"/>
    <w:rsid w:val="2D4E576C"/>
    <w:rsid w:val="2D4F0FF7"/>
    <w:rsid w:val="2D51C27F"/>
    <w:rsid w:val="2D5A92E5"/>
    <w:rsid w:val="2D5BC0E0"/>
    <w:rsid w:val="2D5E2169"/>
    <w:rsid w:val="2D602241"/>
    <w:rsid w:val="2D60EDE9"/>
    <w:rsid w:val="2D670AD5"/>
    <w:rsid w:val="2D69F36D"/>
    <w:rsid w:val="2D6AF4CC"/>
    <w:rsid w:val="2D6FB2C5"/>
    <w:rsid w:val="2D711D28"/>
    <w:rsid w:val="2D7228EF"/>
    <w:rsid w:val="2D798A8B"/>
    <w:rsid w:val="2D7CAF79"/>
    <w:rsid w:val="2D7FCD6A"/>
    <w:rsid w:val="2D7FE7D6"/>
    <w:rsid w:val="2D807F80"/>
    <w:rsid w:val="2D8177C8"/>
    <w:rsid w:val="2D8493C8"/>
    <w:rsid w:val="2D8D4487"/>
    <w:rsid w:val="2D8F09F8"/>
    <w:rsid w:val="2D902DCA"/>
    <w:rsid w:val="2D98331C"/>
    <w:rsid w:val="2D989480"/>
    <w:rsid w:val="2D9A432D"/>
    <w:rsid w:val="2D9CC6A0"/>
    <w:rsid w:val="2DA152F1"/>
    <w:rsid w:val="2DAE7C58"/>
    <w:rsid w:val="2DB130F0"/>
    <w:rsid w:val="2DBC590C"/>
    <w:rsid w:val="2DC00AC8"/>
    <w:rsid w:val="2DC0BD35"/>
    <w:rsid w:val="2DC13077"/>
    <w:rsid w:val="2DC7F55B"/>
    <w:rsid w:val="2DC971F5"/>
    <w:rsid w:val="2DD3AB7D"/>
    <w:rsid w:val="2DD41F98"/>
    <w:rsid w:val="2DD83560"/>
    <w:rsid w:val="2DED1A96"/>
    <w:rsid w:val="2DF46A1E"/>
    <w:rsid w:val="2DF52D67"/>
    <w:rsid w:val="2DF65322"/>
    <w:rsid w:val="2DF84902"/>
    <w:rsid w:val="2E0288A1"/>
    <w:rsid w:val="2E0C39B4"/>
    <w:rsid w:val="2E1199BC"/>
    <w:rsid w:val="2E17CE12"/>
    <w:rsid w:val="2E1C3ADE"/>
    <w:rsid w:val="2E1DC0FF"/>
    <w:rsid w:val="2E1EF470"/>
    <w:rsid w:val="2E227E06"/>
    <w:rsid w:val="2E24BAFA"/>
    <w:rsid w:val="2E271AF4"/>
    <w:rsid w:val="2E2A0B56"/>
    <w:rsid w:val="2E2CC768"/>
    <w:rsid w:val="2E2D384F"/>
    <w:rsid w:val="2E39DF45"/>
    <w:rsid w:val="2E3B4461"/>
    <w:rsid w:val="2E3EF651"/>
    <w:rsid w:val="2E41C7AC"/>
    <w:rsid w:val="2E454D10"/>
    <w:rsid w:val="2E455661"/>
    <w:rsid w:val="2E45D55D"/>
    <w:rsid w:val="2E47B4D5"/>
    <w:rsid w:val="2E4CA94D"/>
    <w:rsid w:val="2E4E5834"/>
    <w:rsid w:val="2E4FC825"/>
    <w:rsid w:val="2E5425C0"/>
    <w:rsid w:val="2E5456CD"/>
    <w:rsid w:val="2E587128"/>
    <w:rsid w:val="2E5FC4D8"/>
    <w:rsid w:val="2E797540"/>
    <w:rsid w:val="2E7AB7EC"/>
    <w:rsid w:val="2E7BD644"/>
    <w:rsid w:val="2E7C1F75"/>
    <w:rsid w:val="2E8183A2"/>
    <w:rsid w:val="2E84F3ED"/>
    <w:rsid w:val="2E88688F"/>
    <w:rsid w:val="2E8A98DC"/>
    <w:rsid w:val="2E8F079C"/>
    <w:rsid w:val="2E90326B"/>
    <w:rsid w:val="2E91EDB5"/>
    <w:rsid w:val="2E960DD8"/>
    <w:rsid w:val="2E981741"/>
    <w:rsid w:val="2E9889DF"/>
    <w:rsid w:val="2E996888"/>
    <w:rsid w:val="2E9ED072"/>
    <w:rsid w:val="2EA296F3"/>
    <w:rsid w:val="2EA2D25F"/>
    <w:rsid w:val="2EAB0F2E"/>
    <w:rsid w:val="2EADFA20"/>
    <w:rsid w:val="2EAE6CC9"/>
    <w:rsid w:val="2EB02363"/>
    <w:rsid w:val="2EB62988"/>
    <w:rsid w:val="2EBDA542"/>
    <w:rsid w:val="2EBED3FA"/>
    <w:rsid w:val="2EC08DFE"/>
    <w:rsid w:val="2EC0AC17"/>
    <w:rsid w:val="2EC27D0D"/>
    <w:rsid w:val="2EC2AE80"/>
    <w:rsid w:val="2EC76EE9"/>
    <w:rsid w:val="2EC8B1F4"/>
    <w:rsid w:val="2ED40F24"/>
    <w:rsid w:val="2EE50851"/>
    <w:rsid w:val="2EE58FC5"/>
    <w:rsid w:val="2EF4F34B"/>
    <w:rsid w:val="2EFA3645"/>
    <w:rsid w:val="2EFA79B2"/>
    <w:rsid w:val="2F037C70"/>
    <w:rsid w:val="2F05DC8D"/>
    <w:rsid w:val="2F065352"/>
    <w:rsid w:val="2F0DF3F8"/>
    <w:rsid w:val="2F11DECF"/>
    <w:rsid w:val="2F19198F"/>
    <w:rsid w:val="2F22FF63"/>
    <w:rsid w:val="2F261667"/>
    <w:rsid w:val="2F2878B7"/>
    <w:rsid w:val="2F2959B8"/>
    <w:rsid w:val="2F2CBA9E"/>
    <w:rsid w:val="2F2CFB16"/>
    <w:rsid w:val="2F30A5FC"/>
    <w:rsid w:val="2F31A952"/>
    <w:rsid w:val="2F40B984"/>
    <w:rsid w:val="2F48C436"/>
    <w:rsid w:val="2F4C7A13"/>
    <w:rsid w:val="2F4F1BB8"/>
    <w:rsid w:val="2F502113"/>
    <w:rsid w:val="2F5451C8"/>
    <w:rsid w:val="2F5595D9"/>
    <w:rsid w:val="2F594771"/>
    <w:rsid w:val="2F598A33"/>
    <w:rsid w:val="2F59E87A"/>
    <w:rsid w:val="2F5F752E"/>
    <w:rsid w:val="2F61ACA0"/>
    <w:rsid w:val="2F620912"/>
    <w:rsid w:val="2F6B886D"/>
    <w:rsid w:val="2F6D247F"/>
    <w:rsid w:val="2F6FA4E4"/>
    <w:rsid w:val="2F70DD71"/>
    <w:rsid w:val="2F713E6A"/>
    <w:rsid w:val="2F7415B4"/>
    <w:rsid w:val="2F7D479D"/>
    <w:rsid w:val="2F80CB98"/>
    <w:rsid w:val="2F82D765"/>
    <w:rsid w:val="2F8AC7BC"/>
    <w:rsid w:val="2F948268"/>
    <w:rsid w:val="2F9BB957"/>
    <w:rsid w:val="2F9CA5BB"/>
    <w:rsid w:val="2F9DA79B"/>
    <w:rsid w:val="2FA509EE"/>
    <w:rsid w:val="2FA8AAD1"/>
    <w:rsid w:val="2FAAE881"/>
    <w:rsid w:val="2FAFDC5F"/>
    <w:rsid w:val="2FB34351"/>
    <w:rsid w:val="2FBB8620"/>
    <w:rsid w:val="2FCAB9B7"/>
    <w:rsid w:val="2FD00BD0"/>
    <w:rsid w:val="2FD057CE"/>
    <w:rsid w:val="2FD461F8"/>
    <w:rsid w:val="2FDB93D6"/>
    <w:rsid w:val="2FE394B7"/>
    <w:rsid w:val="2FE96C5E"/>
    <w:rsid w:val="2FEB0D9C"/>
    <w:rsid w:val="2FEF6A5D"/>
    <w:rsid w:val="2FF091FA"/>
    <w:rsid w:val="2FF72EC4"/>
    <w:rsid w:val="30014773"/>
    <w:rsid w:val="3001A8A3"/>
    <w:rsid w:val="3008A9C6"/>
    <w:rsid w:val="300CD677"/>
    <w:rsid w:val="301A4D03"/>
    <w:rsid w:val="301D468A"/>
    <w:rsid w:val="3022806D"/>
    <w:rsid w:val="3024C9D6"/>
    <w:rsid w:val="302C8D87"/>
    <w:rsid w:val="302E1701"/>
    <w:rsid w:val="30316A6B"/>
    <w:rsid w:val="30362D3B"/>
    <w:rsid w:val="303C56E1"/>
    <w:rsid w:val="303D3E9E"/>
    <w:rsid w:val="3041EF02"/>
    <w:rsid w:val="30475CA5"/>
    <w:rsid w:val="304DA610"/>
    <w:rsid w:val="304F33B2"/>
    <w:rsid w:val="304F4DBF"/>
    <w:rsid w:val="3050AEA9"/>
    <w:rsid w:val="30524AA6"/>
    <w:rsid w:val="3057FD9E"/>
    <w:rsid w:val="30592461"/>
    <w:rsid w:val="30607AA2"/>
    <w:rsid w:val="306A5A77"/>
    <w:rsid w:val="30722758"/>
    <w:rsid w:val="3075DF71"/>
    <w:rsid w:val="30789B0A"/>
    <w:rsid w:val="307AB88B"/>
    <w:rsid w:val="307CC574"/>
    <w:rsid w:val="307E2263"/>
    <w:rsid w:val="3081E022"/>
    <w:rsid w:val="30825E49"/>
    <w:rsid w:val="30833498"/>
    <w:rsid w:val="308A3915"/>
    <w:rsid w:val="308DFF5D"/>
    <w:rsid w:val="308E9B7A"/>
    <w:rsid w:val="30921389"/>
    <w:rsid w:val="309545C4"/>
    <w:rsid w:val="30A1CA92"/>
    <w:rsid w:val="30A2A175"/>
    <w:rsid w:val="30A5BB93"/>
    <w:rsid w:val="30A5D906"/>
    <w:rsid w:val="30B2DC2B"/>
    <w:rsid w:val="30B39503"/>
    <w:rsid w:val="30B92DD5"/>
    <w:rsid w:val="30BCABE9"/>
    <w:rsid w:val="30BDDBBA"/>
    <w:rsid w:val="30C62963"/>
    <w:rsid w:val="30C85654"/>
    <w:rsid w:val="30CFE8A3"/>
    <w:rsid w:val="30D0740C"/>
    <w:rsid w:val="30D283BD"/>
    <w:rsid w:val="30D30C68"/>
    <w:rsid w:val="30D531C9"/>
    <w:rsid w:val="30D62481"/>
    <w:rsid w:val="30D78EC6"/>
    <w:rsid w:val="30D7A070"/>
    <w:rsid w:val="30DA5C26"/>
    <w:rsid w:val="30E26204"/>
    <w:rsid w:val="30E39B2B"/>
    <w:rsid w:val="30E85EFA"/>
    <w:rsid w:val="30EAC8AE"/>
    <w:rsid w:val="30EC57F9"/>
    <w:rsid w:val="30FE8D30"/>
    <w:rsid w:val="31002B11"/>
    <w:rsid w:val="3103A9DE"/>
    <w:rsid w:val="3103C5D7"/>
    <w:rsid w:val="3103FCCD"/>
    <w:rsid w:val="31058091"/>
    <w:rsid w:val="310A9C6E"/>
    <w:rsid w:val="310AF1B9"/>
    <w:rsid w:val="310F58C3"/>
    <w:rsid w:val="31144D89"/>
    <w:rsid w:val="3119B1A2"/>
    <w:rsid w:val="3120CD61"/>
    <w:rsid w:val="3121BDA3"/>
    <w:rsid w:val="31237AF4"/>
    <w:rsid w:val="3127B2E9"/>
    <w:rsid w:val="312B0472"/>
    <w:rsid w:val="312B7E42"/>
    <w:rsid w:val="3131330B"/>
    <w:rsid w:val="31362715"/>
    <w:rsid w:val="313769A9"/>
    <w:rsid w:val="3146A9B8"/>
    <w:rsid w:val="3147A0CF"/>
    <w:rsid w:val="314B7AEB"/>
    <w:rsid w:val="314B9685"/>
    <w:rsid w:val="314C7E9E"/>
    <w:rsid w:val="314D1193"/>
    <w:rsid w:val="31513ECB"/>
    <w:rsid w:val="3153BF6B"/>
    <w:rsid w:val="315BDB5A"/>
    <w:rsid w:val="31665587"/>
    <w:rsid w:val="316673F2"/>
    <w:rsid w:val="3169B797"/>
    <w:rsid w:val="3169D630"/>
    <w:rsid w:val="316C4DAE"/>
    <w:rsid w:val="317355DA"/>
    <w:rsid w:val="317D42D0"/>
    <w:rsid w:val="317DD0DF"/>
    <w:rsid w:val="31820AB1"/>
    <w:rsid w:val="3182C456"/>
    <w:rsid w:val="31881360"/>
    <w:rsid w:val="3193799F"/>
    <w:rsid w:val="31957F69"/>
    <w:rsid w:val="31989CB3"/>
    <w:rsid w:val="31A757E4"/>
    <w:rsid w:val="31ABEBA0"/>
    <w:rsid w:val="31AC8F01"/>
    <w:rsid w:val="31AD96A5"/>
    <w:rsid w:val="31B1D711"/>
    <w:rsid w:val="31B48F94"/>
    <w:rsid w:val="31B58C85"/>
    <w:rsid w:val="31B7447D"/>
    <w:rsid w:val="31BB35D1"/>
    <w:rsid w:val="31C3E269"/>
    <w:rsid w:val="31C6DE28"/>
    <w:rsid w:val="31C6ED03"/>
    <w:rsid w:val="31C7735C"/>
    <w:rsid w:val="31C89A8F"/>
    <w:rsid w:val="31C99E7B"/>
    <w:rsid w:val="31CFD04A"/>
    <w:rsid w:val="31D6C2EA"/>
    <w:rsid w:val="31D86B6E"/>
    <w:rsid w:val="31DBF541"/>
    <w:rsid w:val="31DEC002"/>
    <w:rsid w:val="31E21F00"/>
    <w:rsid w:val="31E6CD59"/>
    <w:rsid w:val="31EC36F6"/>
    <w:rsid w:val="31ED6A46"/>
    <w:rsid w:val="31F017CF"/>
    <w:rsid w:val="31F07134"/>
    <w:rsid w:val="31F3F118"/>
    <w:rsid w:val="32032045"/>
    <w:rsid w:val="3203F526"/>
    <w:rsid w:val="3209E98E"/>
    <w:rsid w:val="3213B9F0"/>
    <w:rsid w:val="321427AF"/>
    <w:rsid w:val="3215E96F"/>
    <w:rsid w:val="32164C41"/>
    <w:rsid w:val="3216603C"/>
    <w:rsid w:val="32221BCE"/>
    <w:rsid w:val="32287C16"/>
    <w:rsid w:val="322D4379"/>
    <w:rsid w:val="322D7EEE"/>
    <w:rsid w:val="322DE663"/>
    <w:rsid w:val="322F3FA0"/>
    <w:rsid w:val="323942BF"/>
    <w:rsid w:val="323C0B05"/>
    <w:rsid w:val="32406353"/>
    <w:rsid w:val="3242951C"/>
    <w:rsid w:val="32444AC6"/>
    <w:rsid w:val="32486C5D"/>
    <w:rsid w:val="3249E157"/>
    <w:rsid w:val="324BD5C1"/>
    <w:rsid w:val="325BED54"/>
    <w:rsid w:val="325CB083"/>
    <w:rsid w:val="325F9721"/>
    <w:rsid w:val="32638E6B"/>
    <w:rsid w:val="3269430C"/>
    <w:rsid w:val="326CFAD4"/>
    <w:rsid w:val="326E346C"/>
    <w:rsid w:val="3271646E"/>
    <w:rsid w:val="3282A1E9"/>
    <w:rsid w:val="3287F2D4"/>
    <w:rsid w:val="328AC43F"/>
    <w:rsid w:val="3299BD6C"/>
    <w:rsid w:val="32A71491"/>
    <w:rsid w:val="32A852DD"/>
    <w:rsid w:val="32A8D2F8"/>
    <w:rsid w:val="32A948CC"/>
    <w:rsid w:val="32B6740E"/>
    <w:rsid w:val="32C1E3F6"/>
    <w:rsid w:val="32C3F4D6"/>
    <w:rsid w:val="32CB3397"/>
    <w:rsid w:val="32CF6980"/>
    <w:rsid w:val="32F4C0F5"/>
    <w:rsid w:val="32F82086"/>
    <w:rsid w:val="32F8AC12"/>
    <w:rsid w:val="3304FB9D"/>
    <w:rsid w:val="3309E9B7"/>
    <w:rsid w:val="330A7577"/>
    <w:rsid w:val="330ABC93"/>
    <w:rsid w:val="330BA194"/>
    <w:rsid w:val="330EBF87"/>
    <w:rsid w:val="330F1F0D"/>
    <w:rsid w:val="33102015"/>
    <w:rsid w:val="3315F7FF"/>
    <w:rsid w:val="3319B5F2"/>
    <w:rsid w:val="331BBB3F"/>
    <w:rsid w:val="3321E87C"/>
    <w:rsid w:val="3324698E"/>
    <w:rsid w:val="332FACD6"/>
    <w:rsid w:val="33336DE9"/>
    <w:rsid w:val="3337AB47"/>
    <w:rsid w:val="333BD9DC"/>
    <w:rsid w:val="333C35B2"/>
    <w:rsid w:val="33405428"/>
    <w:rsid w:val="3346F602"/>
    <w:rsid w:val="334FB047"/>
    <w:rsid w:val="33535239"/>
    <w:rsid w:val="33543461"/>
    <w:rsid w:val="3367E33E"/>
    <w:rsid w:val="33692EE3"/>
    <w:rsid w:val="337B9F9C"/>
    <w:rsid w:val="337BC71C"/>
    <w:rsid w:val="3381C066"/>
    <w:rsid w:val="3382D36E"/>
    <w:rsid w:val="3387567A"/>
    <w:rsid w:val="3387AE83"/>
    <w:rsid w:val="338B85F7"/>
    <w:rsid w:val="338DD60D"/>
    <w:rsid w:val="338DE7D1"/>
    <w:rsid w:val="3390131C"/>
    <w:rsid w:val="33924236"/>
    <w:rsid w:val="3396A1E6"/>
    <w:rsid w:val="3397FE82"/>
    <w:rsid w:val="33999CEF"/>
    <w:rsid w:val="339DDEE4"/>
    <w:rsid w:val="33A04D64"/>
    <w:rsid w:val="33A4622A"/>
    <w:rsid w:val="33ABE66D"/>
    <w:rsid w:val="33AD942E"/>
    <w:rsid w:val="33ADAB27"/>
    <w:rsid w:val="33B28FDA"/>
    <w:rsid w:val="33B6A91A"/>
    <w:rsid w:val="33B9F92F"/>
    <w:rsid w:val="33BC8735"/>
    <w:rsid w:val="33D39F0D"/>
    <w:rsid w:val="33D54460"/>
    <w:rsid w:val="33D5AF92"/>
    <w:rsid w:val="33D93839"/>
    <w:rsid w:val="33DDF3D5"/>
    <w:rsid w:val="33DFC9B4"/>
    <w:rsid w:val="33E3F118"/>
    <w:rsid w:val="33E7BCEC"/>
    <w:rsid w:val="33E9DB8E"/>
    <w:rsid w:val="33EC510D"/>
    <w:rsid w:val="33F0DB4D"/>
    <w:rsid w:val="33FAA7A4"/>
    <w:rsid w:val="33FD8AB0"/>
    <w:rsid w:val="3401E4FF"/>
    <w:rsid w:val="340F1013"/>
    <w:rsid w:val="340F85B4"/>
    <w:rsid w:val="3411F124"/>
    <w:rsid w:val="3412320F"/>
    <w:rsid w:val="3413AB0B"/>
    <w:rsid w:val="341E27A5"/>
    <w:rsid w:val="3425B44F"/>
    <w:rsid w:val="3426764F"/>
    <w:rsid w:val="3429DAB3"/>
    <w:rsid w:val="342B3E8A"/>
    <w:rsid w:val="342C5E85"/>
    <w:rsid w:val="342E2048"/>
    <w:rsid w:val="34310CD2"/>
    <w:rsid w:val="34323B05"/>
    <w:rsid w:val="3434067C"/>
    <w:rsid w:val="34348BF7"/>
    <w:rsid w:val="3437A79D"/>
    <w:rsid w:val="343A5719"/>
    <w:rsid w:val="343E2C09"/>
    <w:rsid w:val="34435000"/>
    <w:rsid w:val="344B0881"/>
    <w:rsid w:val="344E2353"/>
    <w:rsid w:val="344FE710"/>
    <w:rsid w:val="34546B98"/>
    <w:rsid w:val="345E032E"/>
    <w:rsid w:val="345F8F7F"/>
    <w:rsid w:val="3462C371"/>
    <w:rsid w:val="346636C5"/>
    <w:rsid w:val="346864A1"/>
    <w:rsid w:val="346BA3E9"/>
    <w:rsid w:val="3478AA12"/>
    <w:rsid w:val="347AC73B"/>
    <w:rsid w:val="347BBB3B"/>
    <w:rsid w:val="347BDEAE"/>
    <w:rsid w:val="347E5FF2"/>
    <w:rsid w:val="348118DB"/>
    <w:rsid w:val="3482384C"/>
    <w:rsid w:val="3483FD17"/>
    <w:rsid w:val="348C2509"/>
    <w:rsid w:val="34935064"/>
    <w:rsid w:val="349704F9"/>
    <w:rsid w:val="349B5919"/>
    <w:rsid w:val="349DFBF8"/>
    <w:rsid w:val="349E4C5A"/>
    <w:rsid w:val="349F60A2"/>
    <w:rsid w:val="34A43B24"/>
    <w:rsid w:val="34A6FB2C"/>
    <w:rsid w:val="34ACA9BD"/>
    <w:rsid w:val="34B0FE27"/>
    <w:rsid w:val="34B1ABD7"/>
    <w:rsid w:val="34B4774D"/>
    <w:rsid w:val="34B5731A"/>
    <w:rsid w:val="34B866D6"/>
    <w:rsid w:val="34BE7BA8"/>
    <w:rsid w:val="34CD57F3"/>
    <w:rsid w:val="34CF51E0"/>
    <w:rsid w:val="34D57E2C"/>
    <w:rsid w:val="34D8D7EF"/>
    <w:rsid w:val="34D91A5F"/>
    <w:rsid w:val="34D93D61"/>
    <w:rsid w:val="34DBD55A"/>
    <w:rsid w:val="34DD6950"/>
    <w:rsid w:val="34DEBE15"/>
    <w:rsid w:val="34E16AD8"/>
    <w:rsid w:val="34E764F6"/>
    <w:rsid w:val="34E7EA9C"/>
    <w:rsid w:val="34EBDBF0"/>
    <w:rsid w:val="34F22079"/>
    <w:rsid w:val="34F23B05"/>
    <w:rsid w:val="34F242F0"/>
    <w:rsid w:val="34F27F75"/>
    <w:rsid w:val="34F33804"/>
    <w:rsid w:val="34F4ABBA"/>
    <w:rsid w:val="34F4F976"/>
    <w:rsid w:val="34F9132B"/>
    <w:rsid w:val="34F92864"/>
    <w:rsid w:val="34FBD08E"/>
    <w:rsid w:val="34FE0BCE"/>
    <w:rsid w:val="3503DCAC"/>
    <w:rsid w:val="35044B1C"/>
    <w:rsid w:val="350519D4"/>
    <w:rsid w:val="350CA527"/>
    <w:rsid w:val="3511715B"/>
    <w:rsid w:val="35117496"/>
    <w:rsid w:val="3517BBAE"/>
    <w:rsid w:val="351F20CF"/>
    <w:rsid w:val="35209DE5"/>
    <w:rsid w:val="35216BC0"/>
    <w:rsid w:val="35271239"/>
    <w:rsid w:val="3527D8D3"/>
    <w:rsid w:val="352A56BA"/>
    <w:rsid w:val="352C1516"/>
    <w:rsid w:val="3530EDB2"/>
    <w:rsid w:val="35343277"/>
    <w:rsid w:val="35369E45"/>
    <w:rsid w:val="35476367"/>
    <w:rsid w:val="354A517E"/>
    <w:rsid w:val="354D8128"/>
    <w:rsid w:val="35503F3E"/>
    <w:rsid w:val="3559E007"/>
    <w:rsid w:val="355A3B70"/>
    <w:rsid w:val="355BB67E"/>
    <w:rsid w:val="35625898"/>
    <w:rsid w:val="3564D659"/>
    <w:rsid w:val="35661132"/>
    <w:rsid w:val="3568870F"/>
    <w:rsid w:val="356D99D2"/>
    <w:rsid w:val="356DCD47"/>
    <w:rsid w:val="356E51D3"/>
    <w:rsid w:val="35736F45"/>
    <w:rsid w:val="3576D105"/>
    <w:rsid w:val="3576F583"/>
    <w:rsid w:val="357746A8"/>
    <w:rsid w:val="357B5F90"/>
    <w:rsid w:val="357C7FB3"/>
    <w:rsid w:val="35879829"/>
    <w:rsid w:val="3589C3EF"/>
    <w:rsid w:val="35917715"/>
    <w:rsid w:val="3596C3A2"/>
    <w:rsid w:val="35A14FB2"/>
    <w:rsid w:val="35A18695"/>
    <w:rsid w:val="35A8219E"/>
    <w:rsid w:val="35ABD890"/>
    <w:rsid w:val="35AF0E5E"/>
    <w:rsid w:val="35B8E4E2"/>
    <w:rsid w:val="35BA56B7"/>
    <w:rsid w:val="35BAF1FE"/>
    <w:rsid w:val="35BBA301"/>
    <w:rsid w:val="35BD9A42"/>
    <w:rsid w:val="35BEFC7A"/>
    <w:rsid w:val="35C0F4B8"/>
    <w:rsid w:val="35C171B1"/>
    <w:rsid w:val="35CAF271"/>
    <w:rsid w:val="35D6947B"/>
    <w:rsid w:val="35DA1465"/>
    <w:rsid w:val="35E6B971"/>
    <w:rsid w:val="35E80F9F"/>
    <w:rsid w:val="35E9ABBD"/>
    <w:rsid w:val="35EDCF5B"/>
    <w:rsid w:val="35F0A865"/>
    <w:rsid w:val="35F70A85"/>
    <w:rsid w:val="35FD7E6D"/>
    <w:rsid w:val="3603B9E3"/>
    <w:rsid w:val="36095420"/>
    <w:rsid w:val="36185A89"/>
    <w:rsid w:val="361ABAEE"/>
    <w:rsid w:val="361E51C4"/>
    <w:rsid w:val="3621F705"/>
    <w:rsid w:val="36224C6F"/>
    <w:rsid w:val="3625B12A"/>
    <w:rsid w:val="36297223"/>
    <w:rsid w:val="363319DC"/>
    <w:rsid w:val="363570D3"/>
    <w:rsid w:val="36373A63"/>
    <w:rsid w:val="36398821"/>
    <w:rsid w:val="363DD9C1"/>
    <w:rsid w:val="3641A641"/>
    <w:rsid w:val="3642FF97"/>
    <w:rsid w:val="36438958"/>
    <w:rsid w:val="364389CD"/>
    <w:rsid w:val="3647DE77"/>
    <w:rsid w:val="36491F20"/>
    <w:rsid w:val="364B2AAD"/>
    <w:rsid w:val="364C6841"/>
    <w:rsid w:val="3659F019"/>
    <w:rsid w:val="365A5C9E"/>
    <w:rsid w:val="365AD801"/>
    <w:rsid w:val="366616E5"/>
    <w:rsid w:val="36684177"/>
    <w:rsid w:val="367157EA"/>
    <w:rsid w:val="367EC04B"/>
    <w:rsid w:val="367EC1E8"/>
    <w:rsid w:val="3681A894"/>
    <w:rsid w:val="368388C0"/>
    <w:rsid w:val="36862FAE"/>
    <w:rsid w:val="368868E5"/>
    <w:rsid w:val="368928FA"/>
    <w:rsid w:val="3690842B"/>
    <w:rsid w:val="36928701"/>
    <w:rsid w:val="3693CBC0"/>
    <w:rsid w:val="369ECD9B"/>
    <w:rsid w:val="36A0F1F4"/>
    <w:rsid w:val="36AA0E14"/>
    <w:rsid w:val="36AA4411"/>
    <w:rsid w:val="36AB6E1B"/>
    <w:rsid w:val="36AB9084"/>
    <w:rsid w:val="36ABECF1"/>
    <w:rsid w:val="36AF3EE9"/>
    <w:rsid w:val="36B35F4B"/>
    <w:rsid w:val="36B3EF53"/>
    <w:rsid w:val="36B8D8A4"/>
    <w:rsid w:val="36BD84E0"/>
    <w:rsid w:val="36BE658D"/>
    <w:rsid w:val="36C1F23D"/>
    <w:rsid w:val="36C24A5D"/>
    <w:rsid w:val="36C4408F"/>
    <w:rsid w:val="36C8A774"/>
    <w:rsid w:val="36CEDB2C"/>
    <w:rsid w:val="36CEE1CE"/>
    <w:rsid w:val="36D5730A"/>
    <w:rsid w:val="36DCE204"/>
    <w:rsid w:val="36E6415E"/>
    <w:rsid w:val="36E6B178"/>
    <w:rsid w:val="36E71218"/>
    <w:rsid w:val="36ECDE45"/>
    <w:rsid w:val="36ECE06B"/>
    <w:rsid w:val="36ED19E0"/>
    <w:rsid w:val="36EE0873"/>
    <w:rsid w:val="36EE5156"/>
    <w:rsid w:val="36F497EA"/>
    <w:rsid w:val="36F85407"/>
    <w:rsid w:val="36FCF8B2"/>
    <w:rsid w:val="36FF5B6E"/>
    <w:rsid w:val="36FFEC17"/>
    <w:rsid w:val="3701CF4F"/>
    <w:rsid w:val="3703D941"/>
    <w:rsid w:val="3703D97B"/>
    <w:rsid w:val="3703F80A"/>
    <w:rsid w:val="3706FE1A"/>
    <w:rsid w:val="370872DE"/>
    <w:rsid w:val="3709A1F8"/>
    <w:rsid w:val="370BC471"/>
    <w:rsid w:val="370C02C0"/>
    <w:rsid w:val="370C3DBA"/>
    <w:rsid w:val="370F5C1C"/>
    <w:rsid w:val="370FF423"/>
    <w:rsid w:val="3710616A"/>
    <w:rsid w:val="37131913"/>
    <w:rsid w:val="3717B544"/>
    <w:rsid w:val="3719E75A"/>
    <w:rsid w:val="3728A00C"/>
    <w:rsid w:val="3729303F"/>
    <w:rsid w:val="3729DDE2"/>
    <w:rsid w:val="372C9408"/>
    <w:rsid w:val="37321819"/>
    <w:rsid w:val="373DAEA7"/>
    <w:rsid w:val="3741401A"/>
    <w:rsid w:val="3746F251"/>
    <w:rsid w:val="374A337F"/>
    <w:rsid w:val="374DCBA8"/>
    <w:rsid w:val="374E970F"/>
    <w:rsid w:val="374F8651"/>
    <w:rsid w:val="37500742"/>
    <w:rsid w:val="37529F64"/>
    <w:rsid w:val="37544116"/>
    <w:rsid w:val="375538BC"/>
    <w:rsid w:val="3757AC68"/>
    <w:rsid w:val="37596459"/>
    <w:rsid w:val="376551B0"/>
    <w:rsid w:val="3765A0DF"/>
    <w:rsid w:val="37679567"/>
    <w:rsid w:val="3767F1B6"/>
    <w:rsid w:val="376DC5DD"/>
    <w:rsid w:val="376F10DF"/>
    <w:rsid w:val="3773A2D2"/>
    <w:rsid w:val="3777623D"/>
    <w:rsid w:val="3779EA9E"/>
    <w:rsid w:val="377C748C"/>
    <w:rsid w:val="377D026B"/>
    <w:rsid w:val="3788E2FC"/>
    <w:rsid w:val="378EE0FB"/>
    <w:rsid w:val="37948C43"/>
    <w:rsid w:val="3797B76F"/>
    <w:rsid w:val="37986470"/>
    <w:rsid w:val="37A018ED"/>
    <w:rsid w:val="37A26387"/>
    <w:rsid w:val="37A8ECAE"/>
    <w:rsid w:val="37AEB371"/>
    <w:rsid w:val="37AFD492"/>
    <w:rsid w:val="37B1D26E"/>
    <w:rsid w:val="37B233B0"/>
    <w:rsid w:val="37B40C68"/>
    <w:rsid w:val="37B4DD2A"/>
    <w:rsid w:val="37B5B516"/>
    <w:rsid w:val="37BAE88E"/>
    <w:rsid w:val="37BFA43D"/>
    <w:rsid w:val="37C34F9A"/>
    <w:rsid w:val="37C9C6A9"/>
    <w:rsid w:val="37CBF895"/>
    <w:rsid w:val="37D68112"/>
    <w:rsid w:val="37DC7BBA"/>
    <w:rsid w:val="37E3BE55"/>
    <w:rsid w:val="37E81E79"/>
    <w:rsid w:val="37E9E4BD"/>
    <w:rsid w:val="37EBB3EA"/>
    <w:rsid w:val="37EEC7ED"/>
    <w:rsid w:val="37EEE9F1"/>
    <w:rsid w:val="37F5D6AB"/>
    <w:rsid w:val="37F7FD44"/>
    <w:rsid w:val="37F8435E"/>
    <w:rsid w:val="37F85574"/>
    <w:rsid w:val="37FB5E42"/>
    <w:rsid w:val="37FBC8F0"/>
    <w:rsid w:val="38002FBD"/>
    <w:rsid w:val="3803FBE4"/>
    <w:rsid w:val="380491D6"/>
    <w:rsid w:val="380BCB19"/>
    <w:rsid w:val="3810E0B6"/>
    <w:rsid w:val="38157F05"/>
    <w:rsid w:val="3816EC76"/>
    <w:rsid w:val="381E51F6"/>
    <w:rsid w:val="381E5ECB"/>
    <w:rsid w:val="38209064"/>
    <w:rsid w:val="382E6E53"/>
    <w:rsid w:val="38337D1F"/>
    <w:rsid w:val="383EC206"/>
    <w:rsid w:val="383EDA7E"/>
    <w:rsid w:val="3841B6D9"/>
    <w:rsid w:val="38449726"/>
    <w:rsid w:val="3847560A"/>
    <w:rsid w:val="3847F876"/>
    <w:rsid w:val="384A8592"/>
    <w:rsid w:val="384FB057"/>
    <w:rsid w:val="38555618"/>
    <w:rsid w:val="3855ECDA"/>
    <w:rsid w:val="3855F825"/>
    <w:rsid w:val="38577E55"/>
    <w:rsid w:val="385B2A87"/>
    <w:rsid w:val="385CAD56"/>
    <w:rsid w:val="385DFE8C"/>
    <w:rsid w:val="3867264C"/>
    <w:rsid w:val="3872EA9E"/>
    <w:rsid w:val="38736C4A"/>
    <w:rsid w:val="38739216"/>
    <w:rsid w:val="38745420"/>
    <w:rsid w:val="38759E85"/>
    <w:rsid w:val="387769EB"/>
    <w:rsid w:val="387A78A8"/>
    <w:rsid w:val="387B81BD"/>
    <w:rsid w:val="387C3446"/>
    <w:rsid w:val="38804628"/>
    <w:rsid w:val="388910F0"/>
    <w:rsid w:val="3889144A"/>
    <w:rsid w:val="38894146"/>
    <w:rsid w:val="388A1450"/>
    <w:rsid w:val="38914D50"/>
    <w:rsid w:val="3894DC6A"/>
    <w:rsid w:val="3894E2DC"/>
    <w:rsid w:val="38A000C0"/>
    <w:rsid w:val="38A51782"/>
    <w:rsid w:val="38A635CB"/>
    <w:rsid w:val="38A73164"/>
    <w:rsid w:val="38AE0B69"/>
    <w:rsid w:val="38B1BE96"/>
    <w:rsid w:val="38B96961"/>
    <w:rsid w:val="38B9B15A"/>
    <w:rsid w:val="38BA868F"/>
    <w:rsid w:val="38BCDD1C"/>
    <w:rsid w:val="38BF014C"/>
    <w:rsid w:val="38BF6A33"/>
    <w:rsid w:val="38C6024C"/>
    <w:rsid w:val="38C6D9D9"/>
    <w:rsid w:val="38C9A66B"/>
    <w:rsid w:val="38CC590C"/>
    <w:rsid w:val="38D33ECF"/>
    <w:rsid w:val="38E7482E"/>
    <w:rsid w:val="38EA4982"/>
    <w:rsid w:val="38EC207E"/>
    <w:rsid w:val="38F08289"/>
    <w:rsid w:val="38F285DD"/>
    <w:rsid w:val="38F8BF22"/>
    <w:rsid w:val="3908AE3B"/>
    <w:rsid w:val="39114EB5"/>
    <w:rsid w:val="39124100"/>
    <w:rsid w:val="391CEAB3"/>
    <w:rsid w:val="3923C2D2"/>
    <w:rsid w:val="39289796"/>
    <w:rsid w:val="392FA3DF"/>
    <w:rsid w:val="3930B0B3"/>
    <w:rsid w:val="3933F4C6"/>
    <w:rsid w:val="39399F28"/>
    <w:rsid w:val="3943F80A"/>
    <w:rsid w:val="3946A908"/>
    <w:rsid w:val="3948381B"/>
    <w:rsid w:val="39495153"/>
    <w:rsid w:val="394D865E"/>
    <w:rsid w:val="394EE1A3"/>
    <w:rsid w:val="3953AAFC"/>
    <w:rsid w:val="395427C5"/>
    <w:rsid w:val="395F52F4"/>
    <w:rsid w:val="3962CEFA"/>
    <w:rsid w:val="3967BB22"/>
    <w:rsid w:val="396F19AC"/>
    <w:rsid w:val="39708465"/>
    <w:rsid w:val="397383C1"/>
    <w:rsid w:val="39750CA3"/>
    <w:rsid w:val="397B2B0A"/>
    <w:rsid w:val="39830CD4"/>
    <w:rsid w:val="3985CADF"/>
    <w:rsid w:val="3989765D"/>
    <w:rsid w:val="398A4899"/>
    <w:rsid w:val="3990C559"/>
    <w:rsid w:val="39922D79"/>
    <w:rsid w:val="3992D3EF"/>
    <w:rsid w:val="39962AC4"/>
    <w:rsid w:val="39A0030B"/>
    <w:rsid w:val="39A7B744"/>
    <w:rsid w:val="39AC5BC6"/>
    <w:rsid w:val="39AE2EC9"/>
    <w:rsid w:val="39B5EBC3"/>
    <w:rsid w:val="39B84E6D"/>
    <w:rsid w:val="39BFE645"/>
    <w:rsid w:val="39C49861"/>
    <w:rsid w:val="39C784DF"/>
    <w:rsid w:val="39D0AEE5"/>
    <w:rsid w:val="39D3AD10"/>
    <w:rsid w:val="39D4688C"/>
    <w:rsid w:val="39D49363"/>
    <w:rsid w:val="39DA969C"/>
    <w:rsid w:val="39E066EE"/>
    <w:rsid w:val="39EB108B"/>
    <w:rsid w:val="39EC03C0"/>
    <w:rsid w:val="39EC668C"/>
    <w:rsid w:val="39F283A8"/>
    <w:rsid w:val="39F62697"/>
    <w:rsid w:val="39F66609"/>
    <w:rsid w:val="39F6767B"/>
    <w:rsid w:val="39F7B456"/>
    <w:rsid w:val="39FE59AE"/>
    <w:rsid w:val="39FF2CC1"/>
    <w:rsid w:val="39FFA5A0"/>
    <w:rsid w:val="3A01C535"/>
    <w:rsid w:val="3A03EBC2"/>
    <w:rsid w:val="3A079835"/>
    <w:rsid w:val="3A0B95B2"/>
    <w:rsid w:val="3A13DB02"/>
    <w:rsid w:val="3A19F8F5"/>
    <w:rsid w:val="3A1F712B"/>
    <w:rsid w:val="3A2BC8B9"/>
    <w:rsid w:val="3A2DFE60"/>
    <w:rsid w:val="3A33D369"/>
    <w:rsid w:val="3A38052E"/>
    <w:rsid w:val="3A43B0C0"/>
    <w:rsid w:val="3A455FD6"/>
    <w:rsid w:val="3A48FCA6"/>
    <w:rsid w:val="3A490B04"/>
    <w:rsid w:val="3A4AB223"/>
    <w:rsid w:val="3A4B24E7"/>
    <w:rsid w:val="3A4D58EB"/>
    <w:rsid w:val="3A50A1EB"/>
    <w:rsid w:val="3A530F8A"/>
    <w:rsid w:val="3A53C181"/>
    <w:rsid w:val="3A5BEC74"/>
    <w:rsid w:val="3A642753"/>
    <w:rsid w:val="3A67A0E8"/>
    <w:rsid w:val="3A69C1C0"/>
    <w:rsid w:val="3A6A53CF"/>
    <w:rsid w:val="3A6CCA9A"/>
    <w:rsid w:val="3A73809A"/>
    <w:rsid w:val="3A77704C"/>
    <w:rsid w:val="3A799EED"/>
    <w:rsid w:val="3A7A3E24"/>
    <w:rsid w:val="3A8731FC"/>
    <w:rsid w:val="3A8FB099"/>
    <w:rsid w:val="3A948436"/>
    <w:rsid w:val="3A967160"/>
    <w:rsid w:val="3A98F304"/>
    <w:rsid w:val="3AA1E987"/>
    <w:rsid w:val="3AA473D2"/>
    <w:rsid w:val="3AA523DE"/>
    <w:rsid w:val="3AA8EBE5"/>
    <w:rsid w:val="3AAA482D"/>
    <w:rsid w:val="3AAAAE6C"/>
    <w:rsid w:val="3AACBE9F"/>
    <w:rsid w:val="3AAE414D"/>
    <w:rsid w:val="3AAF62CF"/>
    <w:rsid w:val="3AAFBC35"/>
    <w:rsid w:val="3AB69604"/>
    <w:rsid w:val="3AB95ADB"/>
    <w:rsid w:val="3ABF584D"/>
    <w:rsid w:val="3AC0A5C4"/>
    <w:rsid w:val="3ACBC009"/>
    <w:rsid w:val="3ACE32EB"/>
    <w:rsid w:val="3AD4AF2D"/>
    <w:rsid w:val="3AD645EF"/>
    <w:rsid w:val="3AD651E6"/>
    <w:rsid w:val="3AE8B4FA"/>
    <w:rsid w:val="3AEB55BE"/>
    <w:rsid w:val="3AF5BE82"/>
    <w:rsid w:val="3AF6B521"/>
    <w:rsid w:val="3AF6EC24"/>
    <w:rsid w:val="3AFE8940"/>
    <w:rsid w:val="3B04A6F8"/>
    <w:rsid w:val="3B0814F7"/>
    <w:rsid w:val="3B0E36E7"/>
    <w:rsid w:val="3B111A60"/>
    <w:rsid w:val="3B20E79C"/>
    <w:rsid w:val="3B27E410"/>
    <w:rsid w:val="3B2AB960"/>
    <w:rsid w:val="3B2EF00E"/>
    <w:rsid w:val="3B315EAE"/>
    <w:rsid w:val="3B36328F"/>
    <w:rsid w:val="3B373481"/>
    <w:rsid w:val="3B3D0C73"/>
    <w:rsid w:val="3B3F76E3"/>
    <w:rsid w:val="3B3FB461"/>
    <w:rsid w:val="3B480FE3"/>
    <w:rsid w:val="3B48612C"/>
    <w:rsid w:val="3B495594"/>
    <w:rsid w:val="3B574A08"/>
    <w:rsid w:val="3B5795F5"/>
    <w:rsid w:val="3B5F67BC"/>
    <w:rsid w:val="3B63AB89"/>
    <w:rsid w:val="3B682EA6"/>
    <w:rsid w:val="3B694A83"/>
    <w:rsid w:val="3B6951C2"/>
    <w:rsid w:val="3B6B1B50"/>
    <w:rsid w:val="3B6CE232"/>
    <w:rsid w:val="3B6E0D87"/>
    <w:rsid w:val="3B72EBE2"/>
    <w:rsid w:val="3B7A1D2C"/>
    <w:rsid w:val="3B7AB09D"/>
    <w:rsid w:val="3B7AC313"/>
    <w:rsid w:val="3B7D8F20"/>
    <w:rsid w:val="3B843757"/>
    <w:rsid w:val="3B846C91"/>
    <w:rsid w:val="3B8487C2"/>
    <w:rsid w:val="3B94CF65"/>
    <w:rsid w:val="3B9D0198"/>
    <w:rsid w:val="3BA5B886"/>
    <w:rsid w:val="3BA6237A"/>
    <w:rsid w:val="3BA80691"/>
    <w:rsid w:val="3BA98F15"/>
    <w:rsid w:val="3BACCF43"/>
    <w:rsid w:val="3BAE1FE2"/>
    <w:rsid w:val="3BAF8BA1"/>
    <w:rsid w:val="3BB9F020"/>
    <w:rsid w:val="3BC05FE6"/>
    <w:rsid w:val="3BC1CDE3"/>
    <w:rsid w:val="3BCDDC3C"/>
    <w:rsid w:val="3BD2C1B4"/>
    <w:rsid w:val="3BD6B21A"/>
    <w:rsid w:val="3BDA7C20"/>
    <w:rsid w:val="3BDCC135"/>
    <w:rsid w:val="3BE42CB6"/>
    <w:rsid w:val="3BE492E2"/>
    <w:rsid w:val="3BED6695"/>
    <w:rsid w:val="3BED7D47"/>
    <w:rsid w:val="3BEFA3D3"/>
    <w:rsid w:val="3BF16F86"/>
    <w:rsid w:val="3BF42C00"/>
    <w:rsid w:val="3BF5DFC1"/>
    <w:rsid w:val="3C0989F7"/>
    <w:rsid w:val="3C0B25B2"/>
    <w:rsid w:val="3C0E5D25"/>
    <w:rsid w:val="3C0F9284"/>
    <w:rsid w:val="3C105B72"/>
    <w:rsid w:val="3C110406"/>
    <w:rsid w:val="3C11F63D"/>
    <w:rsid w:val="3C15C24F"/>
    <w:rsid w:val="3C19B7C8"/>
    <w:rsid w:val="3C1CA634"/>
    <w:rsid w:val="3C1FAB8D"/>
    <w:rsid w:val="3C2134E3"/>
    <w:rsid w:val="3C238A73"/>
    <w:rsid w:val="3C3622A6"/>
    <w:rsid w:val="3C36DC19"/>
    <w:rsid w:val="3C37D584"/>
    <w:rsid w:val="3C3BB28D"/>
    <w:rsid w:val="3C3D4FC6"/>
    <w:rsid w:val="3C3DA531"/>
    <w:rsid w:val="3C40F766"/>
    <w:rsid w:val="3C45628A"/>
    <w:rsid w:val="3C45A696"/>
    <w:rsid w:val="3C45E1EA"/>
    <w:rsid w:val="3C51E6B9"/>
    <w:rsid w:val="3C5260C2"/>
    <w:rsid w:val="3C55CA66"/>
    <w:rsid w:val="3C56E955"/>
    <w:rsid w:val="3C5AD018"/>
    <w:rsid w:val="3C5E870F"/>
    <w:rsid w:val="3C6A7D80"/>
    <w:rsid w:val="3C7DB914"/>
    <w:rsid w:val="3C802616"/>
    <w:rsid w:val="3C843A24"/>
    <w:rsid w:val="3C87C080"/>
    <w:rsid w:val="3C8D3B63"/>
    <w:rsid w:val="3C935889"/>
    <w:rsid w:val="3C95D196"/>
    <w:rsid w:val="3C963A85"/>
    <w:rsid w:val="3C978089"/>
    <w:rsid w:val="3C9A41F9"/>
    <w:rsid w:val="3C9DF4C5"/>
    <w:rsid w:val="3CA00A9B"/>
    <w:rsid w:val="3CA15755"/>
    <w:rsid w:val="3CA38AD6"/>
    <w:rsid w:val="3CA60F26"/>
    <w:rsid w:val="3CA9C1BB"/>
    <w:rsid w:val="3CADB032"/>
    <w:rsid w:val="3CB08223"/>
    <w:rsid w:val="3CB3DC95"/>
    <w:rsid w:val="3CB40274"/>
    <w:rsid w:val="3CB980CC"/>
    <w:rsid w:val="3CC684EF"/>
    <w:rsid w:val="3CC99FA3"/>
    <w:rsid w:val="3CCD66DF"/>
    <w:rsid w:val="3CDC2E90"/>
    <w:rsid w:val="3CDF661E"/>
    <w:rsid w:val="3CE18900"/>
    <w:rsid w:val="3CE1B3C4"/>
    <w:rsid w:val="3CE2ABF1"/>
    <w:rsid w:val="3CE44CDE"/>
    <w:rsid w:val="3CE4D3D7"/>
    <w:rsid w:val="3CEAA9B8"/>
    <w:rsid w:val="3CF159DB"/>
    <w:rsid w:val="3CF22227"/>
    <w:rsid w:val="3CF2E64C"/>
    <w:rsid w:val="3CF7B8F6"/>
    <w:rsid w:val="3CFA85E3"/>
    <w:rsid w:val="3CFCDD20"/>
    <w:rsid w:val="3CFF9E97"/>
    <w:rsid w:val="3D003653"/>
    <w:rsid w:val="3D039E84"/>
    <w:rsid w:val="3D075345"/>
    <w:rsid w:val="3D0FDD10"/>
    <w:rsid w:val="3D1191C5"/>
    <w:rsid w:val="3D13318A"/>
    <w:rsid w:val="3D14C53A"/>
    <w:rsid w:val="3D1558A6"/>
    <w:rsid w:val="3D156258"/>
    <w:rsid w:val="3D1689EB"/>
    <w:rsid w:val="3D1C8BE4"/>
    <w:rsid w:val="3D235091"/>
    <w:rsid w:val="3D266B5C"/>
    <w:rsid w:val="3D27912E"/>
    <w:rsid w:val="3D287E58"/>
    <w:rsid w:val="3D39486C"/>
    <w:rsid w:val="3D44D6CD"/>
    <w:rsid w:val="3D46D0E9"/>
    <w:rsid w:val="3D47255F"/>
    <w:rsid w:val="3D481F44"/>
    <w:rsid w:val="3D49C747"/>
    <w:rsid w:val="3D4D7590"/>
    <w:rsid w:val="3D4DA006"/>
    <w:rsid w:val="3D4F7DEA"/>
    <w:rsid w:val="3D5A1213"/>
    <w:rsid w:val="3D5F5D32"/>
    <w:rsid w:val="3D626474"/>
    <w:rsid w:val="3D65A3BF"/>
    <w:rsid w:val="3D6C124D"/>
    <w:rsid w:val="3D6C1EDB"/>
    <w:rsid w:val="3D6E2275"/>
    <w:rsid w:val="3D72835B"/>
    <w:rsid w:val="3D732151"/>
    <w:rsid w:val="3D80530A"/>
    <w:rsid w:val="3D847699"/>
    <w:rsid w:val="3D863909"/>
    <w:rsid w:val="3D866F49"/>
    <w:rsid w:val="3D86E528"/>
    <w:rsid w:val="3D8AA2EF"/>
    <w:rsid w:val="3D8C5E09"/>
    <w:rsid w:val="3D8D65A6"/>
    <w:rsid w:val="3D907A0A"/>
    <w:rsid w:val="3D955766"/>
    <w:rsid w:val="3D95E9D7"/>
    <w:rsid w:val="3D9640CB"/>
    <w:rsid w:val="3D96B0A0"/>
    <w:rsid w:val="3D96E546"/>
    <w:rsid w:val="3D980D68"/>
    <w:rsid w:val="3D98F5CA"/>
    <w:rsid w:val="3D9A2902"/>
    <w:rsid w:val="3D9D77C6"/>
    <w:rsid w:val="3DA3424F"/>
    <w:rsid w:val="3DA82B50"/>
    <w:rsid w:val="3DB91B5D"/>
    <w:rsid w:val="3DBEA6F1"/>
    <w:rsid w:val="3DBF4D72"/>
    <w:rsid w:val="3DC90357"/>
    <w:rsid w:val="3DCF7AE4"/>
    <w:rsid w:val="3DD1BD28"/>
    <w:rsid w:val="3DD219C5"/>
    <w:rsid w:val="3DD7DA92"/>
    <w:rsid w:val="3DD8A001"/>
    <w:rsid w:val="3DDDE5E8"/>
    <w:rsid w:val="3DE36E19"/>
    <w:rsid w:val="3DEA3A4C"/>
    <w:rsid w:val="3DF6CA91"/>
    <w:rsid w:val="3DFBE51C"/>
    <w:rsid w:val="3DFC05E8"/>
    <w:rsid w:val="3E05342C"/>
    <w:rsid w:val="3E07262A"/>
    <w:rsid w:val="3E0C13E0"/>
    <w:rsid w:val="3E0E2B6A"/>
    <w:rsid w:val="3E0E3B05"/>
    <w:rsid w:val="3E10B2A7"/>
    <w:rsid w:val="3E131B61"/>
    <w:rsid w:val="3E209185"/>
    <w:rsid w:val="3E2AF5DC"/>
    <w:rsid w:val="3E305029"/>
    <w:rsid w:val="3E327D85"/>
    <w:rsid w:val="3E39C6A8"/>
    <w:rsid w:val="3E3E2595"/>
    <w:rsid w:val="3E45F3B2"/>
    <w:rsid w:val="3E488BFE"/>
    <w:rsid w:val="3E4A3FA6"/>
    <w:rsid w:val="3E4E53A8"/>
    <w:rsid w:val="3E529339"/>
    <w:rsid w:val="3E52BEE8"/>
    <w:rsid w:val="3E52F521"/>
    <w:rsid w:val="3E5532C8"/>
    <w:rsid w:val="3E5B0463"/>
    <w:rsid w:val="3E5C633E"/>
    <w:rsid w:val="3E62CAD1"/>
    <w:rsid w:val="3E64F0BF"/>
    <w:rsid w:val="3E68019C"/>
    <w:rsid w:val="3E6E6C6E"/>
    <w:rsid w:val="3E707320"/>
    <w:rsid w:val="3E719783"/>
    <w:rsid w:val="3E75D058"/>
    <w:rsid w:val="3E7619A1"/>
    <w:rsid w:val="3E76F522"/>
    <w:rsid w:val="3E786081"/>
    <w:rsid w:val="3E7BAB2E"/>
    <w:rsid w:val="3E7C6B39"/>
    <w:rsid w:val="3E8128A4"/>
    <w:rsid w:val="3E825EBB"/>
    <w:rsid w:val="3E8368DC"/>
    <w:rsid w:val="3E8B32AC"/>
    <w:rsid w:val="3E8E1F25"/>
    <w:rsid w:val="3E91DBF9"/>
    <w:rsid w:val="3E9419CB"/>
    <w:rsid w:val="3E945B5D"/>
    <w:rsid w:val="3E98777F"/>
    <w:rsid w:val="3EA9A880"/>
    <w:rsid w:val="3EAB32B8"/>
    <w:rsid w:val="3EB25226"/>
    <w:rsid w:val="3EB57A82"/>
    <w:rsid w:val="3EBE0879"/>
    <w:rsid w:val="3EC4DA5E"/>
    <w:rsid w:val="3ED2DCD9"/>
    <w:rsid w:val="3ED3E37B"/>
    <w:rsid w:val="3ED55703"/>
    <w:rsid w:val="3ED88241"/>
    <w:rsid w:val="3ED9D9CA"/>
    <w:rsid w:val="3EDBF158"/>
    <w:rsid w:val="3EDD4081"/>
    <w:rsid w:val="3EE4AAAB"/>
    <w:rsid w:val="3EE50FA4"/>
    <w:rsid w:val="3EEAC908"/>
    <w:rsid w:val="3EF1381A"/>
    <w:rsid w:val="3EF77E32"/>
    <w:rsid w:val="3F018B79"/>
    <w:rsid w:val="3F07FE2F"/>
    <w:rsid w:val="3F0B7A20"/>
    <w:rsid w:val="3F1B0820"/>
    <w:rsid w:val="3F2547AC"/>
    <w:rsid w:val="3F2A3A19"/>
    <w:rsid w:val="3F2B8840"/>
    <w:rsid w:val="3F2B8855"/>
    <w:rsid w:val="3F3B6DC4"/>
    <w:rsid w:val="3F42657D"/>
    <w:rsid w:val="3F4450AB"/>
    <w:rsid w:val="3F44C12E"/>
    <w:rsid w:val="3F4A5BD6"/>
    <w:rsid w:val="3F4E84C8"/>
    <w:rsid w:val="3F51108C"/>
    <w:rsid w:val="3F555144"/>
    <w:rsid w:val="3F597FFF"/>
    <w:rsid w:val="3F5D902A"/>
    <w:rsid w:val="3F5E05A8"/>
    <w:rsid w:val="3F5F1817"/>
    <w:rsid w:val="3F62E378"/>
    <w:rsid w:val="3F637696"/>
    <w:rsid w:val="3F6F896F"/>
    <w:rsid w:val="3F73A80D"/>
    <w:rsid w:val="3F74DBCF"/>
    <w:rsid w:val="3F7B5741"/>
    <w:rsid w:val="3F806261"/>
    <w:rsid w:val="3F8F9653"/>
    <w:rsid w:val="3F93E0B4"/>
    <w:rsid w:val="3F9716AE"/>
    <w:rsid w:val="3F9964CF"/>
    <w:rsid w:val="3F9EFC31"/>
    <w:rsid w:val="3FA28A16"/>
    <w:rsid w:val="3FA96956"/>
    <w:rsid w:val="3FA9700C"/>
    <w:rsid w:val="3FA9FC55"/>
    <w:rsid w:val="3FAB0976"/>
    <w:rsid w:val="3FB360F0"/>
    <w:rsid w:val="3FB53FB2"/>
    <w:rsid w:val="3FB876C0"/>
    <w:rsid w:val="3FBA3E7A"/>
    <w:rsid w:val="3FBBBC6C"/>
    <w:rsid w:val="3FC35CB0"/>
    <w:rsid w:val="3FC48867"/>
    <w:rsid w:val="3FC71F76"/>
    <w:rsid w:val="3FC8198C"/>
    <w:rsid w:val="3FC8B5B8"/>
    <w:rsid w:val="3FCE8A54"/>
    <w:rsid w:val="3FD34840"/>
    <w:rsid w:val="3FD423C6"/>
    <w:rsid w:val="3FDEF615"/>
    <w:rsid w:val="3FDF42E8"/>
    <w:rsid w:val="3FE3F40B"/>
    <w:rsid w:val="3FE44CDE"/>
    <w:rsid w:val="3FEA2632"/>
    <w:rsid w:val="3FECA5F4"/>
    <w:rsid w:val="3FF2FADA"/>
    <w:rsid w:val="3FFB89C5"/>
    <w:rsid w:val="3FFD80B3"/>
    <w:rsid w:val="400710F2"/>
    <w:rsid w:val="401075E7"/>
    <w:rsid w:val="401A0EE3"/>
    <w:rsid w:val="402306A6"/>
    <w:rsid w:val="40273F71"/>
    <w:rsid w:val="402AFDB1"/>
    <w:rsid w:val="402C5A76"/>
    <w:rsid w:val="402D71AC"/>
    <w:rsid w:val="40308B78"/>
    <w:rsid w:val="403143C8"/>
    <w:rsid w:val="403585C1"/>
    <w:rsid w:val="40382716"/>
    <w:rsid w:val="403F4BF8"/>
    <w:rsid w:val="40444806"/>
    <w:rsid w:val="404AC553"/>
    <w:rsid w:val="404F0E48"/>
    <w:rsid w:val="404FE6D6"/>
    <w:rsid w:val="40525061"/>
    <w:rsid w:val="40536D59"/>
    <w:rsid w:val="405C6E55"/>
    <w:rsid w:val="405FEB96"/>
    <w:rsid w:val="406534B4"/>
    <w:rsid w:val="40663E12"/>
    <w:rsid w:val="406CF7F4"/>
    <w:rsid w:val="407524EE"/>
    <w:rsid w:val="407CE0D2"/>
    <w:rsid w:val="40884F53"/>
    <w:rsid w:val="40889D92"/>
    <w:rsid w:val="4088EF8D"/>
    <w:rsid w:val="4089F101"/>
    <w:rsid w:val="40918162"/>
    <w:rsid w:val="409B0A3D"/>
    <w:rsid w:val="40A2E4C6"/>
    <w:rsid w:val="40A699A3"/>
    <w:rsid w:val="40A8BAA1"/>
    <w:rsid w:val="40A9DA5E"/>
    <w:rsid w:val="40AA392A"/>
    <w:rsid w:val="40B0849A"/>
    <w:rsid w:val="40B204A7"/>
    <w:rsid w:val="40BBDBCE"/>
    <w:rsid w:val="40BD0934"/>
    <w:rsid w:val="40C81203"/>
    <w:rsid w:val="40CBA47D"/>
    <w:rsid w:val="40D3FD99"/>
    <w:rsid w:val="40D43C04"/>
    <w:rsid w:val="40D6572B"/>
    <w:rsid w:val="40D88183"/>
    <w:rsid w:val="40E6DAA3"/>
    <w:rsid w:val="40E98674"/>
    <w:rsid w:val="40EBA777"/>
    <w:rsid w:val="40EDC651"/>
    <w:rsid w:val="40F16269"/>
    <w:rsid w:val="40F21366"/>
    <w:rsid w:val="40F5D1A5"/>
    <w:rsid w:val="40F9FDF8"/>
    <w:rsid w:val="40FCDF02"/>
    <w:rsid w:val="40FE6406"/>
    <w:rsid w:val="4102482B"/>
    <w:rsid w:val="4105A27D"/>
    <w:rsid w:val="4119197D"/>
    <w:rsid w:val="411D9693"/>
    <w:rsid w:val="411FA65F"/>
    <w:rsid w:val="41238504"/>
    <w:rsid w:val="41249926"/>
    <w:rsid w:val="4128F702"/>
    <w:rsid w:val="4132E1A2"/>
    <w:rsid w:val="413301F5"/>
    <w:rsid w:val="413BF31F"/>
    <w:rsid w:val="413D5956"/>
    <w:rsid w:val="413FC8D2"/>
    <w:rsid w:val="4149D73D"/>
    <w:rsid w:val="414C7171"/>
    <w:rsid w:val="414EF081"/>
    <w:rsid w:val="41576096"/>
    <w:rsid w:val="415A9276"/>
    <w:rsid w:val="415E9CD9"/>
    <w:rsid w:val="415F1495"/>
    <w:rsid w:val="416EE0EA"/>
    <w:rsid w:val="4172D070"/>
    <w:rsid w:val="417841B2"/>
    <w:rsid w:val="417B99A9"/>
    <w:rsid w:val="417EEBFB"/>
    <w:rsid w:val="418840EA"/>
    <w:rsid w:val="418F06DA"/>
    <w:rsid w:val="41920111"/>
    <w:rsid w:val="4192A9B5"/>
    <w:rsid w:val="4196499A"/>
    <w:rsid w:val="4196F0D6"/>
    <w:rsid w:val="41981534"/>
    <w:rsid w:val="41A5C430"/>
    <w:rsid w:val="41ABF508"/>
    <w:rsid w:val="41AC2507"/>
    <w:rsid w:val="41AF0061"/>
    <w:rsid w:val="41B6E22F"/>
    <w:rsid w:val="41B9AF54"/>
    <w:rsid w:val="41BA37DC"/>
    <w:rsid w:val="41BCECD9"/>
    <w:rsid w:val="41BF8F1B"/>
    <w:rsid w:val="41C01233"/>
    <w:rsid w:val="41C337BD"/>
    <w:rsid w:val="41CAA2C3"/>
    <w:rsid w:val="41CB8E72"/>
    <w:rsid w:val="41D02F6F"/>
    <w:rsid w:val="41D0C9F0"/>
    <w:rsid w:val="41D35FCF"/>
    <w:rsid w:val="41D9B51D"/>
    <w:rsid w:val="41DBC123"/>
    <w:rsid w:val="41DD580E"/>
    <w:rsid w:val="41E374AC"/>
    <w:rsid w:val="41E3EF52"/>
    <w:rsid w:val="41E71599"/>
    <w:rsid w:val="41EADF57"/>
    <w:rsid w:val="41EF3C6B"/>
    <w:rsid w:val="41F09FBA"/>
    <w:rsid w:val="41F0B452"/>
    <w:rsid w:val="41F88182"/>
    <w:rsid w:val="42092474"/>
    <w:rsid w:val="420E2F85"/>
    <w:rsid w:val="420E9CC2"/>
    <w:rsid w:val="420F349E"/>
    <w:rsid w:val="42121C22"/>
    <w:rsid w:val="421714A5"/>
    <w:rsid w:val="4217B49D"/>
    <w:rsid w:val="421C5BA6"/>
    <w:rsid w:val="4221EDD4"/>
    <w:rsid w:val="4222DC8A"/>
    <w:rsid w:val="4223414D"/>
    <w:rsid w:val="4226A9B3"/>
    <w:rsid w:val="4226E20E"/>
    <w:rsid w:val="42270574"/>
    <w:rsid w:val="4229DB38"/>
    <w:rsid w:val="422CFDC1"/>
    <w:rsid w:val="423145C6"/>
    <w:rsid w:val="42318A0C"/>
    <w:rsid w:val="4231C8F1"/>
    <w:rsid w:val="423AF06F"/>
    <w:rsid w:val="42427C5A"/>
    <w:rsid w:val="42451DD1"/>
    <w:rsid w:val="4248DBCC"/>
    <w:rsid w:val="4255EB19"/>
    <w:rsid w:val="4256E743"/>
    <w:rsid w:val="425B3DDA"/>
    <w:rsid w:val="425BA0D8"/>
    <w:rsid w:val="4267584E"/>
    <w:rsid w:val="42696269"/>
    <w:rsid w:val="426B89ED"/>
    <w:rsid w:val="426FA5A1"/>
    <w:rsid w:val="42755D3B"/>
    <w:rsid w:val="42764A0A"/>
    <w:rsid w:val="4278EF95"/>
    <w:rsid w:val="42792B1A"/>
    <w:rsid w:val="427AFA60"/>
    <w:rsid w:val="427D3A7C"/>
    <w:rsid w:val="427D56E5"/>
    <w:rsid w:val="4281C339"/>
    <w:rsid w:val="4283CE26"/>
    <w:rsid w:val="4285263F"/>
    <w:rsid w:val="4289B426"/>
    <w:rsid w:val="428BC4A4"/>
    <w:rsid w:val="428DD43B"/>
    <w:rsid w:val="428EA5F4"/>
    <w:rsid w:val="4295E5A6"/>
    <w:rsid w:val="4299A580"/>
    <w:rsid w:val="429A1B0F"/>
    <w:rsid w:val="42A0C3AA"/>
    <w:rsid w:val="42A62D64"/>
    <w:rsid w:val="42ACC9FF"/>
    <w:rsid w:val="42AF837C"/>
    <w:rsid w:val="42B8432A"/>
    <w:rsid w:val="42B8B560"/>
    <w:rsid w:val="42BE8CE7"/>
    <w:rsid w:val="42C125A7"/>
    <w:rsid w:val="42C5D2D6"/>
    <w:rsid w:val="42CC9967"/>
    <w:rsid w:val="42D01B5C"/>
    <w:rsid w:val="42D03A05"/>
    <w:rsid w:val="42D248F1"/>
    <w:rsid w:val="42D274DD"/>
    <w:rsid w:val="42D7DEAF"/>
    <w:rsid w:val="42DEF4AC"/>
    <w:rsid w:val="42E0A648"/>
    <w:rsid w:val="42E1FE80"/>
    <w:rsid w:val="42EA7D73"/>
    <w:rsid w:val="42F50566"/>
    <w:rsid w:val="42F6E68F"/>
    <w:rsid w:val="42FC938D"/>
    <w:rsid w:val="42FD84B0"/>
    <w:rsid w:val="4300977C"/>
    <w:rsid w:val="43030883"/>
    <w:rsid w:val="4306A4F2"/>
    <w:rsid w:val="4308A057"/>
    <w:rsid w:val="430D7087"/>
    <w:rsid w:val="4310973B"/>
    <w:rsid w:val="43134108"/>
    <w:rsid w:val="43164E56"/>
    <w:rsid w:val="431D6B0C"/>
    <w:rsid w:val="4320CEE2"/>
    <w:rsid w:val="4324AA96"/>
    <w:rsid w:val="433AF787"/>
    <w:rsid w:val="433EE66F"/>
    <w:rsid w:val="4345E5C3"/>
    <w:rsid w:val="43460DB7"/>
    <w:rsid w:val="43473AF8"/>
    <w:rsid w:val="434827DD"/>
    <w:rsid w:val="4348E586"/>
    <w:rsid w:val="435057B5"/>
    <w:rsid w:val="435526F4"/>
    <w:rsid w:val="435B024C"/>
    <w:rsid w:val="435E5EED"/>
    <w:rsid w:val="43610AFF"/>
    <w:rsid w:val="4361A3F8"/>
    <w:rsid w:val="43646BE8"/>
    <w:rsid w:val="4366220A"/>
    <w:rsid w:val="436D504C"/>
    <w:rsid w:val="4373F811"/>
    <w:rsid w:val="4377DC45"/>
    <w:rsid w:val="4381551E"/>
    <w:rsid w:val="438386DB"/>
    <w:rsid w:val="4383E247"/>
    <w:rsid w:val="43873244"/>
    <w:rsid w:val="4388A418"/>
    <w:rsid w:val="43920A48"/>
    <w:rsid w:val="439A6238"/>
    <w:rsid w:val="439C0459"/>
    <w:rsid w:val="439EF382"/>
    <w:rsid w:val="439FEE30"/>
    <w:rsid w:val="43A4F90C"/>
    <w:rsid w:val="43A8C83F"/>
    <w:rsid w:val="43A93046"/>
    <w:rsid w:val="43BBEAC6"/>
    <w:rsid w:val="43C16CD7"/>
    <w:rsid w:val="43C2F249"/>
    <w:rsid w:val="43C5D345"/>
    <w:rsid w:val="43C67F6A"/>
    <w:rsid w:val="43C76D9C"/>
    <w:rsid w:val="43D47597"/>
    <w:rsid w:val="43D5BA16"/>
    <w:rsid w:val="43D81CFC"/>
    <w:rsid w:val="43DB0364"/>
    <w:rsid w:val="43DFD815"/>
    <w:rsid w:val="43E5CAA7"/>
    <w:rsid w:val="43E60DB5"/>
    <w:rsid w:val="43F5347A"/>
    <w:rsid w:val="43FBCB4C"/>
    <w:rsid w:val="4400F91F"/>
    <w:rsid w:val="4401C614"/>
    <w:rsid w:val="44042CBF"/>
    <w:rsid w:val="4408B309"/>
    <w:rsid w:val="440BF315"/>
    <w:rsid w:val="44122BC8"/>
    <w:rsid w:val="4415A6CC"/>
    <w:rsid w:val="4417CBB4"/>
    <w:rsid w:val="441AF333"/>
    <w:rsid w:val="441FB42F"/>
    <w:rsid w:val="44203C69"/>
    <w:rsid w:val="4423D621"/>
    <w:rsid w:val="44252D8E"/>
    <w:rsid w:val="4430F4E8"/>
    <w:rsid w:val="443D1CB8"/>
    <w:rsid w:val="443FD9D0"/>
    <w:rsid w:val="4440953B"/>
    <w:rsid w:val="44436D2F"/>
    <w:rsid w:val="444491F0"/>
    <w:rsid w:val="44514056"/>
    <w:rsid w:val="44517E07"/>
    <w:rsid w:val="44530434"/>
    <w:rsid w:val="445EB840"/>
    <w:rsid w:val="445F4396"/>
    <w:rsid w:val="446184C6"/>
    <w:rsid w:val="4461EAAA"/>
    <w:rsid w:val="446506C5"/>
    <w:rsid w:val="44757233"/>
    <w:rsid w:val="4486A02D"/>
    <w:rsid w:val="44876845"/>
    <w:rsid w:val="4488732C"/>
    <w:rsid w:val="448D985A"/>
    <w:rsid w:val="44919366"/>
    <w:rsid w:val="4495CEE0"/>
    <w:rsid w:val="4495CFD4"/>
    <w:rsid w:val="449A2FAD"/>
    <w:rsid w:val="449E9F0A"/>
    <w:rsid w:val="449EE0B8"/>
    <w:rsid w:val="44AAC217"/>
    <w:rsid w:val="44ADE295"/>
    <w:rsid w:val="44B3A970"/>
    <w:rsid w:val="44B563A2"/>
    <w:rsid w:val="44B6636B"/>
    <w:rsid w:val="44B75161"/>
    <w:rsid w:val="44BFDF60"/>
    <w:rsid w:val="44C46BF9"/>
    <w:rsid w:val="44C68C2D"/>
    <w:rsid w:val="44CB75A1"/>
    <w:rsid w:val="44CBC4D2"/>
    <w:rsid w:val="44CBD9A5"/>
    <w:rsid w:val="44D13656"/>
    <w:rsid w:val="44D43651"/>
    <w:rsid w:val="44D7D68A"/>
    <w:rsid w:val="44D820FA"/>
    <w:rsid w:val="44E165E7"/>
    <w:rsid w:val="44E1B00F"/>
    <w:rsid w:val="44EBE911"/>
    <w:rsid w:val="44EFC21B"/>
    <w:rsid w:val="44F53BAB"/>
    <w:rsid w:val="44F818A4"/>
    <w:rsid w:val="44FD6D14"/>
    <w:rsid w:val="45021FCA"/>
    <w:rsid w:val="4502C1DA"/>
    <w:rsid w:val="4505AFBF"/>
    <w:rsid w:val="450916EF"/>
    <w:rsid w:val="45096C3C"/>
    <w:rsid w:val="45096D3D"/>
    <w:rsid w:val="450ECE05"/>
    <w:rsid w:val="45118396"/>
    <w:rsid w:val="45126334"/>
    <w:rsid w:val="45133E1F"/>
    <w:rsid w:val="4513F1F5"/>
    <w:rsid w:val="4519A0FA"/>
    <w:rsid w:val="451A20FB"/>
    <w:rsid w:val="451D170A"/>
    <w:rsid w:val="451F8552"/>
    <w:rsid w:val="4521D317"/>
    <w:rsid w:val="45259313"/>
    <w:rsid w:val="4529F4D3"/>
    <w:rsid w:val="453A413F"/>
    <w:rsid w:val="4546164E"/>
    <w:rsid w:val="45473F06"/>
    <w:rsid w:val="45484643"/>
    <w:rsid w:val="45485BEF"/>
    <w:rsid w:val="454A9FAF"/>
    <w:rsid w:val="454AB738"/>
    <w:rsid w:val="454C9931"/>
    <w:rsid w:val="45508A2C"/>
    <w:rsid w:val="455240AF"/>
    <w:rsid w:val="4552CFB2"/>
    <w:rsid w:val="45546E8E"/>
    <w:rsid w:val="4555824A"/>
    <w:rsid w:val="455C0910"/>
    <w:rsid w:val="45648FC3"/>
    <w:rsid w:val="456B052B"/>
    <w:rsid w:val="456C8B5C"/>
    <w:rsid w:val="456D109C"/>
    <w:rsid w:val="4571C2BA"/>
    <w:rsid w:val="4579BB06"/>
    <w:rsid w:val="457CDBFF"/>
    <w:rsid w:val="458210D1"/>
    <w:rsid w:val="4582C65B"/>
    <w:rsid w:val="45833056"/>
    <w:rsid w:val="458444BE"/>
    <w:rsid w:val="45934FC9"/>
    <w:rsid w:val="4594289F"/>
    <w:rsid w:val="4597B321"/>
    <w:rsid w:val="459D17F3"/>
    <w:rsid w:val="45A7DCE4"/>
    <w:rsid w:val="45A86F1C"/>
    <w:rsid w:val="45AA21C2"/>
    <w:rsid w:val="45AA2E06"/>
    <w:rsid w:val="45AD31B2"/>
    <w:rsid w:val="45AE2FCB"/>
    <w:rsid w:val="45AE9E9E"/>
    <w:rsid w:val="45AF53D6"/>
    <w:rsid w:val="45BCFBBA"/>
    <w:rsid w:val="45BDAB08"/>
    <w:rsid w:val="45BF189A"/>
    <w:rsid w:val="45C44BB6"/>
    <w:rsid w:val="45CB64C5"/>
    <w:rsid w:val="45CC705D"/>
    <w:rsid w:val="45D00A73"/>
    <w:rsid w:val="45D513A5"/>
    <w:rsid w:val="45D5ABE6"/>
    <w:rsid w:val="45D5BF00"/>
    <w:rsid w:val="45D68667"/>
    <w:rsid w:val="45D9D25A"/>
    <w:rsid w:val="45DA072D"/>
    <w:rsid w:val="45DB2E9D"/>
    <w:rsid w:val="45DB4AF9"/>
    <w:rsid w:val="45E82726"/>
    <w:rsid w:val="45E9BDF7"/>
    <w:rsid w:val="45F07EDF"/>
    <w:rsid w:val="45F78511"/>
    <w:rsid w:val="45F9768D"/>
    <w:rsid w:val="45F99DE0"/>
    <w:rsid w:val="46049821"/>
    <w:rsid w:val="4605F93C"/>
    <w:rsid w:val="46087F69"/>
    <w:rsid w:val="4608F5AC"/>
    <w:rsid w:val="460A7B34"/>
    <w:rsid w:val="460C4CC4"/>
    <w:rsid w:val="46129365"/>
    <w:rsid w:val="46182E0C"/>
    <w:rsid w:val="46195429"/>
    <w:rsid w:val="461C0FB4"/>
    <w:rsid w:val="461D67A1"/>
    <w:rsid w:val="46228F60"/>
    <w:rsid w:val="462824AD"/>
    <w:rsid w:val="462F19CF"/>
    <w:rsid w:val="4639EFEF"/>
    <w:rsid w:val="463DF159"/>
    <w:rsid w:val="463E798A"/>
    <w:rsid w:val="464714B5"/>
    <w:rsid w:val="4648F5FF"/>
    <w:rsid w:val="464D8F90"/>
    <w:rsid w:val="465B4353"/>
    <w:rsid w:val="465C4520"/>
    <w:rsid w:val="46625849"/>
    <w:rsid w:val="466AB86E"/>
    <w:rsid w:val="4670EDF4"/>
    <w:rsid w:val="4678C883"/>
    <w:rsid w:val="467B977A"/>
    <w:rsid w:val="467E2435"/>
    <w:rsid w:val="467EA329"/>
    <w:rsid w:val="467F5ABA"/>
    <w:rsid w:val="467FF955"/>
    <w:rsid w:val="468101B7"/>
    <w:rsid w:val="468333F8"/>
    <w:rsid w:val="4683ACEA"/>
    <w:rsid w:val="468437B8"/>
    <w:rsid w:val="46845F7A"/>
    <w:rsid w:val="468EC8A1"/>
    <w:rsid w:val="468FE137"/>
    <w:rsid w:val="469DBDD5"/>
    <w:rsid w:val="46A07A6A"/>
    <w:rsid w:val="46A866BD"/>
    <w:rsid w:val="46B604EF"/>
    <w:rsid w:val="46BDFF8B"/>
    <w:rsid w:val="46BFB9E4"/>
    <w:rsid w:val="46C03BBB"/>
    <w:rsid w:val="46C0BBF8"/>
    <w:rsid w:val="46C46455"/>
    <w:rsid w:val="46C7A972"/>
    <w:rsid w:val="46C7FDE8"/>
    <w:rsid w:val="46CDC174"/>
    <w:rsid w:val="46D0139A"/>
    <w:rsid w:val="46D9A7EB"/>
    <w:rsid w:val="46E1F9B4"/>
    <w:rsid w:val="46E6DFE9"/>
    <w:rsid w:val="46E9E189"/>
    <w:rsid w:val="46F11F33"/>
    <w:rsid w:val="470587F9"/>
    <w:rsid w:val="4705D417"/>
    <w:rsid w:val="4706EFC6"/>
    <w:rsid w:val="470D0CD0"/>
    <w:rsid w:val="470FAEBD"/>
    <w:rsid w:val="471144DC"/>
    <w:rsid w:val="47156538"/>
    <w:rsid w:val="47174C8F"/>
    <w:rsid w:val="471C5D24"/>
    <w:rsid w:val="471C5F10"/>
    <w:rsid w:val="471F47A9"/>
    <w:rsid w:val="472207A2"/>
    <w:rsid w:val="472BA2B0"/>
    <w:rsid w:val="472BC1FF"/>
    <w:rsid w:val="472DF97A"/>
    <w:rsid w:val="472F4663"/>
    <w:rsid w:val="4730FB02"/>
    <w:rsid w:val="4736D65D"/>
    <w:rsid w:val="47379706"/>
    <w:rsid w:val="4740D4EC"/>
    <w:rsid w:val="47507315"/>
    <w:rsid w:val="475489A7"/>
    <w:rsid w:val="475AE882"/>
    <w:rsid w:val="475B2961"/>
    <w:rsid w:val="475B7EB4"/>
    <w:rsid w:val="475F6DAC"/>
    <w:rsid w:val="4766C510"/>
    <w:rsid w:val="47692B81"/>
    <w:rsid w:val="4769CC45"/>
    <w:rsid w:val="476C18CF"/>
    <w:rsid w:val="47709D3B"/>
    <w:rsid w:val="477314AF"/>
    <w:rsid w:val="4775BC60"/>
    <w:rsid w:val="477B12ED"/>
    <w:rsid w:val="4780FC4B"/>
    <w:rsid w:val="478303FB"/>
    <w:rsid w:val="478408EC"/>
    <w:rsid w:val="47859947"/>
    <w:rsid w:val="4785DE81"/>
    <w:rsid w:val="47861BF2"/>
    <w:rsid w:val="47988189"/>
    <w:rsid w:val="479B8998"/>
    <w:rsid w:val="479CF0B5"/>
    <w:rsid w:val="479D26A7"/>
    <w:rsid w:val="479F0966"/>
    <w:rsid w:val="47A0C0F6"/>
    <w:rsid w:val="47A2CE6E"/>
    <w:rsid w:val="47B1186F"/>
    <w:rsid w:val="47B3992D"/>
    <w:rsid w:val="47B807AF"/>
    <w:rsid w:val="47B990EF"/>
    <w:rsid w:val="47C0A13E"/>
    <w:rsid w:val="47C260E8"/>
    <w:rsid w:val="47C77C37"/>
    <w:rsid w:val="47CA5BD1"/>
    <w:rsid w:val="47CF21DE"/>
    <w:rsid w:val="47D2BB8E"/>
    <w:rsid w:val="47DD5FF6"/>
    <w:rsid w:val="47DDEE7D"/>
    <w:rsid w:val="47E0F741"/>
    <w:rsid w:val="47E5FE5A"/>
    <w:rsid w:val="47E68F93"/>
    <w:rsid w:val="47EC92AE"/>
    <w:rsid w:val="47FC8E26"/>
    <w:rsid w:val="480CA3AB"/>
    <w:rsid w:val="48107597"/>
    <w:rsid w:val="48153250"/>
    <w:rsid w:val="4815D26C"/>
    <w:rsid w:val="4817AECA"/>
    <w:rsid w:val="481A5067"/>
    <w:rsid w:val="4822FD56"/>
    <w:rsid w:val="4824B86E"/>
    <w:rsid w:val="482CA555"/>
    <w:rsid w:val="483017AB"/>
    <w:rsid w:val="4830BF35"/>
    <w:rsid w:val="4834D5B7"/>
    <w:rsid w:val="48367BAD"/>
    <w:rsid w:val="483C14E3"/>
    <w:rsid w:val="483CD893"/>
    <w:rsid w:val="483D8BBC"/>
    <w:rsid w:val="483EC02B"/>
    <w:rsid w:val="48411A18"/>
    <w:rsid w:val="4844E407"/>
    <w:rsid w:val="48495BBC"/>
    <w:rsid w:val="4849AF47"/>
    <w:rsid w:val="484E42CE"/>
    <w:rsid w:val="484E46C1"/>
    <w:rsid w:val="484EFDE3"/>
    <w:rsid w:val="485A444A"/>
    <w:rsid w:val="48602C18"/>
    <w:rsid w:val="4861961D"/>
    <w:rsid w:val="4866B638"/>
    <w:rsid w:val="4868ED85"/>
    <w:rsid w:val="4869A7E9"/>
    <w:rsid w:val="4872375E"/>
    <w:rsid w:val="4878D5D6"/>
    <w:rsid w:val="48792F1C"/>
    <w:rsid w:val="487B33C6"/>
    <w:rsid w:val="487D37DE"/>
    <w:rsid w:val="4885208C"/>
    <w:rsid w:val="48871CE1"/>
    <w:rsid w:val="488DD7E9"/>
    <w:rsid w:val="48925BC9"/>
    <w:rsid w:val="4894824C"/>
    <w:rsid w:val="489558C3"/>
    <w:rsid w:val="48B2060E"/>
    <w:rsid w:val="48B222B4"/>
    <w:rsid w:val="48B5CE2C"/>
    <w:rsid w:val="48C37B56"/>
    <w:rsid w:val="48C69208"/>
    <w:rsid w:val="48CB86DC"/>
    <w:rsid w:val="48CCB334"/>
    <w:rsid w:val="48DE1C17"/>
    <w:rsid w:val="48E62A17"/>
    <w:rsid w:val="48F88ED5"/>
    <w:rsid w:val="48FB208D"/>
    <w:rsid w:val="48FB5C61"/>
    <w:rsid w:val="48FEAA0B"/>
    <w:rsid w:val="4902BF51"/>
    <w:rsid w:val="49050183"/>
    <w:rsid w:val="491B6375"/>
    <w:rsid w:val="491E3BFC"/>
    <w:rsid w:val="4922424C"/>
    <w:rsid w:val="49269FAC"/>
    <w:rsid w:val="492717AA"/>
    <w:rsid w:val="492B88ED"/>
    <w:rsid w:val="492CD17A"/>
    <w:rsid w:val="492F3829"/>
    <w:rsid w:val="4933A3F3"/>
    <w:rsid w:val="493B6414"/>
    <w:rsid w:val="493EA90D"/>
    <w:rsid w:val="49407A50"/>
    <w:rsid w:val="49460442"/>
    <w:rsid w:val="49470885"/>
    <w:rsid w:val="494A3C81"/>
    <w:rsid w:val="494C1A1B"/>
    <w:rsid w:val="494C7596"/>
    <w:rsid w:val="494C807A"/>
    <w:rsid w:val="494F039B"/>
    <w:rsid w:val="4950F388"/>
    <w:rsid w:val="4953ED7D"/>
    <w:rsid w:val="49562736"/>
    <w:rsid w:val="4956EA4C"/>
    <w:rsid w:val="495F9CA4"/>
    <w:rsid w:val="4961DD5B"/>
    <w:rsid w:val="4964B839"/>
    <w:rsid w:val="496D0782"/>
    <w:rsid w:val="49710AF2"/>
    <w:rsid w:val="49714B92"/>
    <w:rsid w:val="49777C75"/>
    <w:rsid w:val="497A585C"/>
    <w:rsid w:val="497B9F75"/>
    <w:rsid w:val="497BB2A3"/>
    <w:rsid w:val="4980B3FD"/>
    <w:rsid w:val="49810F82"/>
    <w:rsid w:val="498A7460"/>
    <w:rsid w:val="499037DF"/>
    <w:rsid w:val="4993E7E4"/>
    <w:rsid w:val="4996F5DE"/>
    <w:rsid w:val="49997FC4"/>
    <w:rsid w:val="49A0797C"/>
    <w:rsid w:val="49A0F373"/>
    <w:rsid w:val="49A117F0"/>
    <w:rsid w:val="49A15C75"/>
    <w:rsid w:val="49A34044"/>
    <w:rsid w:val="49A4316A"/>
    <w:rsid w:val="49B5EB8A"/>
    <w:rsid w:val="49B87F85"/>
    <w:rsid w:val="49B9A012"/>
    <w:rsid w:val="49B9FCC7"/>
    <w:rsid w:val="49C6E7B8"/>
    <w:rsid w:val="49CBB0DF"/>
    <w:rsid w:val="49CE6DA3"/>
    <w:rsid w:val="49D3EBB8"/>
    <w:rsid w:val="49DDC54F"/>
    <w:rsid w:val="49E6CA99"/>
    <w:rsid w:val="49EDF5CD"/>
    <w:rsid w:val="49EE6D89"/>
    <w:rsid w:val="49EED92B"/>
    <w:rsid w:val="49F9C8D7"/>
    <w:rsid w:val="49FDFB01"/>
    <w:rsid w:val="4A04D986"/>
    <w:rsid w:val="4A07C2FA"/>
    <w:rsid w:val="4A10F4CA"/>
    <w:rsid w:val="4A1598F7"/>
    <w:rsid w:val="4A161C46"/>
    <w:rsid w:val="4A177C00"/>
    <w:rsid w:val="4A19D84B"/>
    <w:rsid w:val="4A1B8869"/>
    <w:rsid w:val="4A1E1748"/>
    <w:rsid w:val="4A228C39"/>
    <w:rsid w:val="4A2E0D7D"/>
    <w:rsid w:val="4A38170E"/>
    <w:rsid w:val="4A3CE57F"/>
    <w:rsid w:val="4A4783D5"/>
    <w:rsid w:val="4A4F83A5"/>
    <w:rsid w:val="4A57D949"/>
    <w:rsid w:val="4A59F9C3"/>
    <w:rsid w:val="4A5A6B17"/>
    <w:rsid w:val="4A5E1368"/>
    <w:rsid w:val="4A67107F"/>
    <w:rsid w:val="4A6D41E8"/>
    <w:rsid w:val="4A76C914"/>
    <w:rsid w:val="4A77D262"/>
    <w:rsid w:val="4A78596B"/>
    <w:rsid w:val="4A7A68A5"/>
    <w:rsid w:val="4A7BEC28"/>
    <w:rsid w:val="4A87FF76"/>
    <w:rsid w:val="4A8BD636"/>
    <w:rsid w:val="4A923EBF"/>
    <w:rsid w:val="4A9473A5"/>
    <w:rsid w:val="4A9D4512"/>
    <w:rsid w:val="4AA32069"/>
    <w:rsid w:val="4AA5BE65"/>
    <w:rsid w:val="4AA82DCF"/>
    <w:rsid w:val="4AB0865C"/>
    <w:rsid w:val="4AB0EB05"/>
    <w:rsid w:val="4AB4A02E"/>
    <w:rsid w:val="4AB95E4B"/>
    <w:rsid w:val="4ABA1F06"/>
    <w:rsid w:val="4ABD89D1"/>
    <w:rsid w:val="4ABF3BE2"/>
    <w:rsid w:val="4AC4ED15"/>
    <w:rsid w:val="4AC83F28"/>
    <w:rsid w:val="4AD0F092"/>
    <w:rsid w:val="4AD69626"/>
    <w:rsid w:val="4AD714C4"/>
    <w:rsid w:val="4AD920F6"/>
    <w:rsid w:val="4AE2A6C4"/>
    <w:rsid w:val="4AE9A0F0"/>
    <w:rsid w:val="4AEF43BA"/>
    <w:rsid w:val="4AF390F1"/>
    <w:rsid w:val="4AF7DEEB"/>
    <w:rsid w:val="4AF958B0"/>
    <w:rsid w:val="4AFAD5EC"/>
    <w:rsid w:val="4AFE2072"/>
    <w:rsid w:val="4B01E5E2"/>
    <w:rsid w:val="4B04C0AD"/>
    <w:rsid w:val="4B163CE0"/>
    <w:rsid w:val="4B17A2D1"/>
    <w:rsid w:val="4B1C8719"/>
    <w:rsid w:val="4B1CB921"/>
    <w:rsid w:val="4B1EB5AE"/>
    <w:rsid w:val="4B22C6AA"/>
    <w:rsid w:val="4B22E155"/>
    <w:rsid w:val="4B252B5A"/>
    <w:rsid w:val="4B28C2C2"/>
    <w:rsid w:val="4B314144"/>
    <w:rsid w:val="4B33BEE9"/>
    <w:rsid w:val="4B368A75"/>
    <w:rsid w:val="4B36CFA3"/>
    <w:rsid w:val="4B39D0BD"/>
    <w:rsid w:val="4B3E9B3E"/>
    <w:rsid w:val="4B4022B4"/>
    <w:rsid w:val="4B43EA0A"/>
    <w:rsid w:val="4B4449D2"/>
    <w:rsid w:val="4B4EFF9A"/>
    <w:rsid w:val="4B4FB4AB"/>
    <w:rsid w:val="4B509A5C"/>
    <w:rsid w:val="4B50C8DD"/>
    <w:rsid w:val="4B58E2DE"/>
    <w:rsid w:val="4B59E8B4"/>
    <w:rsid w:val="4B5A1BC3"/>
    <w:rsid w:val="4B5A399B"/>
    <w:rsid w:val="4B647E7C"/>
    <w:rsid w:val="4B6496FF"/>
    <w:rsid w:val="4B6576B3"/>
    <w:rsid w:val="4B6B30AF"/>
    <w:rsid w:val="4B6BDC16"/>
    <w:rsid w:val="4B73AA79"/>
    <w:rsid w:val="4B781DB4"/>
    <w:rsid w:val="4B79109F"/>
    <w:rsid w:val="4B7926DE"/>
    <w:rsid w:val="4B7C41B0"/>
    <w:rsid w:val="4B8082FE"/>
    <w:rsid w:val="4B80CA9F"/>
    <w:rsid w:val="4B83C8C0"/>
    <w:rsid w:val="4B84F631"/>
    <w:rsid w:val="4B87B994"/>
    <w:rsid w:val="4B889368"/>
    <w:rsid w:val="4B8E3C38"/>
    <w:rsid w:val="4B90B809"/>
    <w:rsid w:val="4B92D233"/>
    <w:rsid w:val="4B9405C4"/>
    <w:rsid w:val="4B94D552"/>
    <w:rsid w:val="4B954922"/>
    <w:rsid w:val="4B96507F"/>
    <w:rsid w:val="4B99186E"/>
    <w:rsid w:val="4B9DE195"/>
    <w:rsid w:val="4BA2BDBD"/>
    <w:rsid w:val="4BA383F4"/>
    <w:rsid w:val="4BAABD99"/>
    <w:rsid w:val="4BB017A3"/>
    <w:rsid w:val="4BB0D42F"/>
    <w:rsid w:val="4BBD403D"/>
    <w:rsid w:val="4BBDA742"/>
    <w:rsid w:val="4BBF5B56"/>
    <w:rsid w:val="4BC1CE15"/>
    <w:rsid w:val="4BCB2941"/>
    <w:rsid w:val="4BCE0650"/>
    <w:rsid w:val="4BCE88A1"/>
    <w:rsid w:val="4BD09E16"/>
    <w:rsid w:val="4BD94E06"/>
    <w:rsid w:val="4BDA0373"/>
    <w:rsid w:val="4BDE2ABD"/>
    <w:rsid w:val="4BE4B334"/>
    <w:rsid w:val="4BEA3B1F"/>
    <w:rsid w:val="4BEE3000"/>
    <w:rsid w:val="4BF01527"/>
    <w:rsid w:val="4BFE246F"/>
    <w:rsid w:val="4C092F7E"/>
    <w:rsid w:val="4C09754E"/>
    <w:rsid w:val="4C0E301E"/>
    <w:rsid w:val="4C1550E0"/>
    <w:rsid w:val="4C1915D6"/>
    <w:rsid w:val="4C1C6F0D"/>
    <w:rsid w:val="4C1CB3ED"/>
    <w:rsid w:val="4C1CCF4A"/>
    <w:rsid w:val="4C1DC94A"/>
    <w:rsid w:val="4C22048F"/>
    <w:rsid w:val="4C33F393"/>
    <w:rsid w:val="4C34867C"/>
    <w:rsid w:val="4C353464"/>
    <w:rsid w:val="4C410716"/>
    <w:rsid w:val="4C437E6B"/>
    <w:rsid w:val="4C43FDBB"/>
    <w:rsid w:val="4C46EB1D"/>
    <w:rsid w:val="4C484458"/>
    <w:rsid w:val="4C4A697F"/>
    <w:rsid w:val="4C561BDF"/>
    <w:rsid w:val="4C58DD4C"/>
    <w:rsid w:val="4C5D62B9"/>
    <w:rsid w:val="4C689CD2"/>
    <w:rsid w:val="4C69D528"/>
    <w:rsid w:val="4C6D5E3A"/>
    <w:rsid w:val="4C6FF791"/>
    <w:rsid w:val="4C71EBCE"/>
    <w:rsid w:val="4C7435EB"/>
    <w:rsid w:val="4C779996"/>
    <w:rsid w:val="4C795BF6"/>
    <w:rsid w:val="4C7BA6E2"/>
    <w:rsid w:val="4C7D222D"/>
    <w:rsid w:val="4C7EC5EF"/>
    <w:rsid w:val="4C8ED7B0"/>
    <w:rsid w:val="4C95C622"/>
    <w:rsid w:val="4CA4EE78"/>
    <w:rsid w:val="4CA5DE35"/>
    <w:rsid w:val="4CA7445C"/>
    <w:rsid w:val="4CA881E6"/>
    <w:rsid w:val="4CAF9F43"/>
    <w:rsid w:val="4CB477E4"/>
    <w:rsid w:val="4CB482DB"/>
    <w:rsid w:val="4CB70248"/>
    <w:rsid w:val="4CBDD2EC"/>
    <w:rsid w:val="4CBE9B88"/>
    <w:rsid w:val="4CC8E79C"/>
    <w:rsid w:val="4CC97620"/>
    <w:rsid w:val="4CC9DA8A"/>
    <w:rsid w:val="4CCDF2C8"/>
    <w:rsid w:val="4CD15D26"/>
    <w:rsid w:val="4CD35BF5"/>
    <w:rsid w:val="4CD4FD7D"/>
    <w:rsid w:val="4CD69D68"/>
    <w:rsid w:val="4CD942B2"/>
    <w:rsid w:val="4CD9D292"/>
    <w:rsid w:val="4CE075EB"/>
    <w:rsid w:val="4CE3BE70"/>
    <w:rsid w:val="4CE48FB3"/>
    <w:rsid w:val="4CE5BA85"/>
    <w:rsid w:val="4CE64B3C"/>
    <w:rsid w:val="4CE780ED"/>
    <w:rsid w:val="4CE85F5A"/>
    <w:rsid w:val="4CE92B1B"/>
    <w:rsid w:val="4CEE769E"/>
    <w:rsid w:val="4CF96733"/>
    <w:rsid w:val="4CFA4062"/>
    <w:rsid w:val="4CFC6509"/>
    <w:rsid w:val="4CFFA3B4"/>
    <w:rsid w:val="4D05DD36"/>
    <w:rsid w:val="4D0CCDA2"/>
    <w:rsid w:val="4D11DF67"/>
    <w:rsid w:val="4D1F17A2"/>
    <w:rsid w:val="4D204FE8"/>
    <w:rsid w:val="4D212FA8"/>
    <w:rsid w:val="4D29647D"/>
    <w:rsid w:val="4D2CD8D3"/>
    <w:rsid w:val="4D3082E6"/>
    <w:rsid w:val="4D382B3E"/>
    <w:rsid w:val="4D3A0391"/>
    <w:rsid w:val="4D3AB752"/>
    <w:rsid w:val="4D3C8703"/>
    <w:rsid w:val="4D457D02"/>
    <w:rsid w:val="4D45ED11"/>
    <w:rsid w:val="4D492F6E"/>
    <w:rsid w:val="4D5146E0"/>
    <w:rsid w:val="4D515AA6"/>
    <w:rsid w:val="4D57780E"/>
    <w:rsid w:val="4D58949F"/>
    <w:rsid w:val="4D5BA2B2"/>
    <w:rsid w:val="4D5EE593"/>
    <w:rsid w:val="4D5F40FA"/>
    <w:rsid w:val="4D5FD914"/>
    <w:rsid w:val="4D60774A"/>
    <w:rsid w:val="4D69C516"/>
    <w:rsid w:val="4D703F97"/>
    <w:rsid w:val="4D7365E4"/>
    <w:rsid w:val="4D81C02B"/>
    <w:rsid w:val="4D86D196"/>
    <w:rsid w:val="4D8AF3E0"/>
    <w:rsid w:val="4D8EFB89"/>
    <w:rsid w:val="4D99B431"/>
    <w:rsid w:val="4D9C18B1"/>
    <w:rsid w:val="4DA2813C"/>
    <w:rsid w:val="4DA6E889"/>
    <w:rsid w:val="4DA823E8"/>
    <w:rsid w:val="4DACAD42"/>
    <w:rsid w:val="4DAE9114"/>
    <w:rsid w:val="4DAEB4CC"/>
    <w:rsid w:val="4DAF3F99"/>
    <w:rsid w:val="4DB1673E"/>
    <w:rsid w:val="4DB745B9"/>
    <w:rsid w:val="4DC64723"/>
    <w:rsid w:val="4DC6F990"/>
    <w:rsid w:val="4DCA3F85"/>
    <w:rsid w:val="4DCD55FE"/>
    <w:rsid w:val="4DD67297"/>
    <w:rsid w:val="4DD96690"/>
    <w:rsid w:val="4DDBB905"/>
    <w:rsid w:val="4DDDAE84"/>
    <w:rsid w:val="4DE233F7"/>
    <w:rsid w:val="4DE604BE"/>
    <w:rsid w:val="4DE63AF2"/>
    <w:rsid w:val="4DE747D1"/>
    <w:rsid w:val="4DEB4CF5"/>
    <w:rsid w:val="4DED38BA"/>
    <w:rsid w:val="4DF6DDEB"/>
    <w:rsid w:val="4DF89634"/>
    <w:rsid w:val="4E00BA9A"/>
    <w:rsid w:val="4E0EFE87"/>
    <w:rsid w:val="4E0F9C13"/>
    <w:rsid w:val="4E16B9B2"/>
    <w:rsid w:val="4E1A2EAC"/>
    <w:rsid w:val="4E1D4297"/>
    <w:rsid w:val="4E1E7925"/>
    <w:rsid w:val="4E22F178"/>
    <w:rsid w:val="4E2527FB"/>
    <w:rsid w:val="4E286D66"/>
    <w:rsid w:val="4E2FB9E2"/>
    <w:rsid w:val="4E31A0FD"/>
    <w:rsid w:val="4E3D02E2"/>
    <w:rsid w:val="4E46B297"/>
    <w:rsid w:val="4E48FE6A"/>
    <w:rsid w:val="4E4A0D5D"/>
    <w:rsid w:val="4E508B59"/>
    <w:rsid w:val="4E51AFE5"/>
    <w:rsid w:val="4E529578"/>
    <w:rsid w:val="4E52A168"/>
    <w:rsid w:val="4E568F6D"/>
    <w:rsid w:val="4E5C3990"/>
    <w:rsid w:val="4E632162"/>
    <w:rsid w:val="4E643C2A"/>
    <w:rsid w:val="4E6722FC"/>
    <w:rsid w:val="4E79330A"/>
    <w:rsid w:val="4E7AC00E"/>
    <w:rsid w:val="4E896EA3"/>
    <w:rsid w:val="4E8A5527"/>
    <w:rsid w:val="4E8B79B0"/>
    <w:rsid w:val="4E8DAAF7"/>
    <w:rsid w:val="4E974E51"/>
    <w:rsid w:val="4E980D4C"/>
    <w:rsid w:val="4EA0495A"/>
    <w:rsid w:val="4EA07C8C"/>
    <w:rsid w:val="4EA4B5DC"/>
    <w:rsid w:val="4EACBEF1"/>
    <w:rsid w:val="4EAD0831"/>
    <w:rsid w:val="4EAD8A57"/>
    <w:rsid w:val="4EAF27AD"/>
    <w:rsid w:val="4EB0B125"/>
    <w:rsid w:val="4EB1A36C"/>
    <w:rsid w:val="4EB1A75F"/>
    <w:rsid w:val="4EB35809"/>
    <w:rsid w:val="4EB67DA0"/>
    <w:rsid w:val="4EB72210"/>
    <w:rsid w:val="4EBCB7C1"/>
    <w:rsid w:val="4EBD9D75"/>
    <w:rsid w:val="4EC46049"/>
    <w:rsid w:val="4ECA02B9"/>
    <w:rsid w:val="4ED19CEE"/>
    <w:rsid w:val="4ED56DED"/>
    <w:rsid w:val="4EDF59D6"/>
    <w:rsid w:val="4EE0ECB3"/>
    <w:rsid w:val="4EE34D3B"/>
    <w:rsid w:val="4EEA7151"/>
    <w:rsid w:val="4EEC2B10"/>
    <w:rsid w:val="4EED8A88"/>
    <w:rsid w:val="4EEE9E36"/>
    <w:rsid w:val="4EEFDAAF"/>
    <w:rsid w:val="4EF2B477"/>
    <w:rsid w:val="4EF8D22A"/>
    <w:rsid w:val="4F013711"/>
    <w:rsid w:val="4F0A2A63"/>
    <w:rsid w:val="4F0BFB63"/>
    <w:rsid w:val="4F0C2A99"/>
    <w:rsid w:val="4F0DE78D"/>
    <w:rsid w:val="4F0EAD4A"/>
    <w:rsid w:val="4F136F53"/>
    <w:rsid w:val="4F15188C"/>
    <w:rsid w:val="4F16F7A6"/>
    <w:rsid w:val="4F173B12"/>
    <w:rsid w:val="4F1E5802"/>
    <w:rsid w:val="4F1EDBDF"/>
    <w:rsid w:val="4F2ACBEA"/>
    <w:rsid w:val="4F2BAC88"/>
    <w:rsid w:val="4F2BBE3E"/>
    <w:rsid w:val="4F3702F1"/>
    <w:rsid w:val="4F371309"/>
    <w:rsid w:val="4F3BBE7D"/>
    <w:rsid w:val="4F3D5DAF"/>
    <w:rsid w:val="4F3D5DCE"/>
    <w:rsid w:val="4F48FBF0"/>
    <w:rsid w:val="4F4B4BD1"/>
    <w:rsid w:val="4F509C76"/>
    <w:rsid w:val="4F551826"/>
    <w:rsid w:val="4F56E499"/>
    <w:rsid w:val="4F599921"/>
    <w:rsid w:val="4F5BBD84"/>
    <w:rsid w:val="4F5CAA9C"/>
    <w:rsid w:val="4F65D9F2"/>
    <w:rsid w:val="4F789E36"/>
    <w:rsid w:val="4F7F0664"/>
    <w:rsid w:val="4F7F2DD5"/>
    <w:rsid w:val="4F8673E6"/>
    <w:rsid w:val="4F883B8C"/>
    <w:rsid w:val="4F89BB18"/>
    <w:rsid w:val="4F8CCDC6"/>
    <w:rsid w:val="4F8E9A19"/>
    <w:rsid w:val="4F8F6354"/>
    <w:rsid w:val="4F90723C"/>
    <w:rsid w:val="4F9D85FE"/>
    <w:rsid w:val="4F9F556C"/>
    <w:rsid w:val="4FA30D9C"/>
    <w:rsid w:val="4FAAA8E9"/>
    <w:rsid w:val="4FAC8106"/>
    <w:rsid w:val="4FACC286"/>
    <w:rsid w:val="4FAEB369"/>
    <w:rsid w:val="4FAEBE56"/>
    <w:rsid w:val="4FB08A39"/>
    <w:rsid w:val="4FBCF4D4"/>
    <w:rsid w:val="4FBD39FB"/>
    <w:rsid w:val="4FBFD415"/>
    <w:rsid w:val="4FC10184"/>
    <w:rsid w:val="4FC1D517"/>
    <w:rsid w:val="4FCF8429"/>
    <w:rsid w:val="4FD13170"/>
    <w:rsid w:val="4FD9436A"/>
    <w:rsid w:val="4FD9E78F"/>
    <w:rsid w:val="4FDFD5B4"/>
    <w:rsid w:val="4FE22153"/>
    <w:rsid w:val="4FE8B5A7"/>
    <w:rsid w:val="4FEFC04F"/>
    <w:rsid w:val="4FF5D1F1"/>
    <w:rsid w:val="5000D091"/>
    <w:rsid w:val="500DB33E"/>
    <w:rsid w:val="50139E2C"/>
    <w:rsid w:val="5014205B"/>
    <w:rsid w:val="501C42C2"/>
    <w:rsid w:val="50243300"/>
    <w:rsid w:val="50293E4B"/>
    <w:rsid w:val="502A2559"/>
    <w:rsid w:val="502A5B3F"/>
    <w:rsid w:val="502DB70C"/>
    <w:rsid w:val="502DBA9B"/>
    <w:rsid w:val="503114C4"/>
    <w:rsid w:val="5031F69F"/>
    <w:rsid w:val="503486B5"/>
    <w:rsid w:val="503B05E6"/>
    <w:rsid w:val="503D344D"/>
    <w:rsid w:val="503EF34F"/>
    <w:rsid w:val="5040C38A"/>
    <w:rsid w:val="50422501"/>
    <w:rsid w:val="5042826B"/>
    <w:rsid w:val="50462CCF"/>
    <w:rsid w:val="5048C5D4"/>
    <w:rsid w:val="504976BB"/>
    <w:rsid w:val="505378B9"/>
    <w:rsid w:val="5054BACA"/>
    <w:rsid w:val="50581ED7"/>
    <w:rsid w:val="505ECD22"/>
    <w:rsid w:val="5069D7E9"/>
    <w:rsid w:val="506D09E4"/>
    <w:rsid w:val="506DE539"/>
    <w:rsid w:val="506FF0D8"/>
    <w:rsid w:val="5071A39D"/>
    <w:rsid w:val="5072A17C"/>
    <w:rsid w:val="5077843A"/>
    <w:rsid w:val="5082522E"/>
    <w:rsid w:val="5084308B"/>
    <w:rsid w:val="5093374A"/>
    <w:rsid w:val="50974726"/>
    <w:rsid w:val="50A3A5EF"/>
    <w:rsid w:val="50A59C3C"/>
    <w:rsid w:val="50A770FE"/>
    <w:rsid w:val="50A9B6CC"/>
    <w:rsid w:val="50AA9E97"/>
    <w:rsid w:val="50AD29C2"/>
    <w:rsid w:val="50AD9C4D"/>
    <w:rsid w:val="50B25294"/>
    <w:rsid w:val="50B40055"/>
    <w:rsid w:val="50B4CCAB"/>
    <w:rsid w:val="50BC200A"/>
    <w:rsid w:val="50C36EE5"/>
    <w:rsid w:val="50C3D752"/>
    <w:rsid w:val="50CA296B"/>
    <w:rsid w:val="50CB140B"/>
    <w:rsid w:val="50CCD06F"/>
    <w:rsid w:val="50CD8A45"/>
    <w:rsid w:val="50CE46D0"/>
    <w:rsid w:val="50D100F5"/>
    <w:rsid w:val="50DD4E51"/>
    <w:rsid w:val="50E5782B"/>
    <w:rsid w:val="50EF7DEC"/>
    <w:rsid w:val="50F74B8F"/>
    <w:rsid w:val="50F766AC"/>
    <w:rsid w:val="510142DA"/>
    <w:rsid w:val="51021AAA"/>
    <w:rsid w:val="51089EDD"/>
    <w:rsid w:val="510F8C25"/>
    <w:rsid w:val="5121E758"/>
    <w:rsid w:val="512233D1"/>
    <w:rsid w:val="512DDEB2"/>
    <w:rsid w:val="51431BD2"/>
    <w:rsid w:val="514C4B5B"/>
    <w:rsid w:val="5153AD21"/>
    <w:rsid w:val="51541403"/>
    <w:rsid w:val="515A6056"/>
    <w:rsid w:val="515C7CA0"/>
    <w:rsid w:val="515D9044"/>
    <w:rsid w:val="51601CDA"/>
    <w:rsid w:val="5163D7BF"/>
    <w:rsid w:val="51656EA0"/>
    <w:rsid w:val="5165A657"/>
    <w:rsid w:val="516D01D1"/>
    <w:rsid w:val="51713284"/>
    <w:rsid w:val="5171EC75"/>
    <w:rsid w:val="5175A7E0"/>
    <w:rsid w:val="51790DE0"/>
    <w:rsid w:val="51811ADD"/>
    <w:rsid w:val="5188F672"/>
    <w:rsid w:val="518A04CA"/>
    <w:rsid w:val="518C4775"/>
    <w:rsid w:val="518C9501"/>
    <w:rsid w:val="518D2D0D"/>
    <w:rsid w:val="51956F23"/>
    <w:rsid w:val="51B52B70"/>
    <w:rsid w:val="51B99C9E"/>
    <w:rsid w:val="51BB6A82"/>
    <w:rsid w:val="51BFE5AD"/>
    <w:rsid w:val="51C1B545"/>
    <w:rsid w:val="51C3F611"/>
    <w:rsid w:val="51C5D962"/>
    <w:rsid w:val="51C7A98E"/>
    <w:rsid w:val="51CCF738"/>
    <w:rsid w:val="51CE97A4"/>
    <w:rsid w:val="51CFB2C3"/>
    <w:rsid w:val="51DADAAF"/>
    <w:rsid w:val="51DD1E09"/>
    <w:rsid w:val="51E28085"/>
    <w:rsid w:val="51E687F5"/>
    <w:rsid w:val="51E8B62E"/>
    <w:rsid w:val="51EC1AAC"/>
    <w:rsid w:val="51F13B5A"/>
    <w:rsid w:val="51FB27A9"/>
    <w:rsid w:val="51FBE5B1"/>
    <w:rsid w:val="51FDD384"/>
    <w:rsid w:val="520295B9"/>
    <w:rsid w:val="52033C73"/>
    <w:rsid w:val="5205BD7F"/>
    <w:rsid w:val="520EDE65"/>
    <w:rsid w:val="521A7DA3"/>
    <w:rsid w:val="521DCAA5"/>
    <w:rsid w:val="52272D40"/>
    <w:rsid w:val="52279394"/>
    <w:rsid w:val="52296700"/>
    <w:rsid w:val="5230CC0C"/>
    <w:rsid w:val="5230D231"/>
    <w:rsid w:val="523D7BF3"/>
    <w:rsid w:val="52424686"/>
    <w:rsid w:val="524A55BC"/>
    <w:rsid w:val="5251CE7B"/>
    <w:rsid w:val="5252EE14"/>
    <w:rsid w:val="52578255"/>
    <w:rsid w:val="5257E7FF"/>
    <w:rsid w:val="525D0866"/>
    <w:rsid w:val="52608405"/>
    <w:rsid w:val="5264F0B8"/>
    <w:rsid w:val="52692C62"/>
    <w:rsid w:val="5274D669"/>
    <w:rsid w:val="527E918C"/>
    <w:rsid w:val="527F3656"/>
    <w:rsid w:val="52807659"/>
    <w:rsid w:val="5285DA96"/>
    <w:rsid w:val="5288FE4A"/>
    <w:rsid w:val="5289D438"/>
    <w:rsid w:val="528B8480"/>
    <w:rsid w:val="5297F415"/>
    <w:rsid w:val="52991E46"/>
    <w:rsid w:val="52A0602B"/>
    <w:rsid w:val="52A6A396"/>
    <w:rsid w:val="52AEC580"/>
    <w:rsid w:val="52B135EE"/>
    <w:rsid w:val="52B182EB"/>
    <w:rsid w:val="52B36C02"/>
    <w:rsid w:val="52BC326D"/>
    <w:rsid w:val="52BC386C"/>
    <w:rsid w:val="52C3DEC4"/>
    <w:rsid w:val="52CC42CD"/>
    <w:rsid w:val="52CD08F5"/>
    <w:rsid w:val="52CEF1A4"/>
    <w:rsid w:val="52DE2B01"/>
    <w:rsid w:val="52E1A407"/>
    <w:rsid w:val="52E249AB"/>
    <w:rsid w:val="52E273E5"/>
    <w:rsid w:val="52E2E193"/>
    <w:rsid w:val="52E338FA"/>
    <w:rsid w:val="52EA9AF6"/>
    <w:rsid w:val="52EB6D11"/>
    <w:rsid w:val="52F18544"/>
    <w:rsid w:val="52FC31E9"/>
    <w:rsid w:val="52FF8C61"/>
    <w:rsid w:val="53083813"/>
    <w:rsid w:val="530AD508"/>
    <w:rsid w:val="53118851"/>
    <w:rsid w:val="53129246"/>
    <w:rsid w:val="531B06B9"/>
    <w:rsid w:val="53282E76"/>
    <w:rsid w:val="532B2FB6"/>
    <w:rsid w:val="532D1FA1"/>
    <w:rsid w:val="5331A23D"/>
    <w:rsid w:val="5332DE74"/>
    <w:rsid w:val="5333257D"/>
    <w:rsid w:val="533A3F8C"/>
    <w:rsid w:val="5344E70F"/>
    <w:rsid w:val="534BB1CE"/>
    <w:rsid w:val="53595C56"/>
    <w:rsid w:val="535B4661"/>
    <w:rsid w:val="535E415E"/>
    <w:rsid w:val="536344CB"/>
    <w:rsid w:val="536643AD"/>
    <w:rsid w:val="536AD079"/>
    <w:rsid w:val="537122C4"/>
    <w:rsid w:val="5373DD03"/>
    <w:rsid w:val="5376B5E8"/>
    <w:rsid w:val="537741D4"/>
    <w:rsid w:val="537A6AD0"/>
    <w:rsid w:val="537BE7DD"/>
    <w:rsid w:val="537D6263"/>
    <w:rsid w:val="537FE4ED"/>
    <w:rsid w:val="5381FA19"/>
    <w:rsid w:val="538A8EA6"/>
    <w:rsid w:val="53990471"/>
    <w:rsid w:val="53A2C779"/>
    <w:rsid w:val="53A58CFD"/>
    <w:rsid w:val="53A912F9"/>
    <w:rsid w:val="53B14AFF"/>
    <w:rsid w:val="53B510C8"/>
    <w:rsid w:val="53B7DDE5"/>
    <w:rsid w:val="53BAB8C3"/>
    <w:rsid w:val="53C3E4BC"/>
    <w:rsid w:val="53C6DCAB"/>
    <w:rsid w:val="53D7190F"/>
    <w:rsid w:val="53E89B8B"/>
    <w:rsid w:val="53EB644A"/>
    <w:rsid w:val="53EEA7E5"/>
    <w:rsid w:val="53F1241B"/>
    <w:rsid w:val="53FC7B6B"/>
    <w:rsid w:val="54066406"/>
    <w:rsid w:val="540D6D29"/>
    <w:rsid w:val="540D7C34"/>
    <w:rsid w:val="5413A4B7"/>
    <w:rsid w:val="541578E9"/>
    <w:rsid w:val="541E6CF4"/>
    <w:rsid w:val="541EC79B"/>
    <w:rsid w:val="54224D2F"/>
    <w:rsid w:val="54252878"/>
    <w:rsid w:val="5429CA6D"/>
    <w:rsid w:val="542D8E3E"/>
    <w:rsid w:val="54324466"/>
    <w:rsid w:val="5439C42D"/>
    <w:rsid w:val="543B6374"/>
    <w:rsid w:val="543D14E6"/>
    <w:rsid w:val="54463915"/>
    <w:rsid w:val="54491401"/>
    <w:rsid w:val="544EB456"/>
    <w:rsid w:val="54521C33"/>
    <w:rsid w:val="54522BD6"/>
    <w:rsid w:val="5457FDE5"/>
    <w:rsid w:val="5458CF32"/>
    <w:rsid w:val="545C564E"/>
    <w:rsid w:val="545FAF25"/>
    <w:rsid w:val="5462F25A"/>
    <w:rsid w:val="5466019A"/>
    <w:rsid w:val="5470D836"/>
    <w:rsid w:val="54712C67"/>
    <w:rsid w:val="5474955B"/>
    <w:rsid w:val="54771E3E"/>
    <w:rsid w:val="547D7B2C"/>
    <w:rsid w:val="547EADF0"/>
    <w:rsid w:val="5482415C"/>
    <w:rsid w:val="5493416E"/>
    <w:rsid w:val="549CD414"/>
    <w:rsid w:val="549F8431"/>
    <w:rsid w:val="54A2100E"/>
    <w:rsid w:val="54A64879"/>
    <w:rsid w:val="54A6C9FD"/>
    <w:rsid w:val="54A885C0"/>
    <w:rsid w:val="54A98EBF"/>
    <w:rsid w:val="54AF4825"/>
    <w:rsid w:val="54B31BFE"/>
    <w:rsid w:val="54B7E30C"/>
    <w:rsid w:val="54BC9788"/>
    <w:rsid w:val="54C147B1"/>
    <w:rsid w:val="54C23709"/>
    <w:rsid w:val="54C2470F"/>
    <w:rsid w:val="54C39932"/>
    <w:rsid w:val="54C84C72"/>
    <w:rsid w:val="54CDF009"/>
    <w:rsid w:val="54CFDD7D"/>
    <w:rsid w:val="54D397A3"/>
    <w:rsid w:val="54D4088D"/>
    <w:rsid w:val="54D97226"/>
    <w:rsid w:val="54DB3A6B"/>
    <w:rsid w:val="54DDB11F"/>
    <w:rsid w:val="54E12461"/>
    <w:rsid w:val="54E1996B"/>
    <w:rsid w:val="54E2ECE4"/>
    <w:rsid w:val="54E5F6CD"/>
    <w:rsid w:val="54E9F2C5"/>
    <w:rsid w:val="54F07943"/>
    <w:rsid w:val="550D7E90"/>
    <w:rsid w:val="550E5C4F"/>
    <w:rsid w:val="551349D4"/>
    <w:rsid w:val="5522865F"/>
    <w:rsid w:val="552581E2"/>
    <w:rsid w:val="55260AEA"/>
    <w:rsid w:val="5527E028"/>
    <w:rsid w:val="552DE4BE"/>
    <w:rsid w:val="553202A7"/>
    <w:rsid w:val="5532B782"/>
    <w:rsid w:val="5538082E"/>
    <w:rsid w:val="55387B4F"/>
    <w:rsid w:val="553F1C56"/>
    <w:rsid w:val="554350B2"/>
    <w:rsid w:val="5543E142"/>
    <w:rsid w:val="554890DE"/>
    <w:rsid w:val="554EA676"/>
    <w:rsid w:val="555C8821"/>
    <w:rsid w:val="5563BA0F"/>
    <w:rsid w:val="55652FB5"/>
    <w:rsid w:val="55677CA5"/>
    <w:rsid w:val="55765205"/>
    <w:rsid w:val="5576E01D"/>
    <w:rsid w:val="557CAC8A"/>
    <w:rsid w:val="558219AB"/>
    <w:rsid w:val="5582A3C6"/>
    <w:rsid w:val="5583ED80"/>
    <w:rsid w:val="5586552F"/>
    <w:rsid w:val="5590A631"/>
    <w:rsid w:val="5592C3D2"/>
    <w:rsid w:val="5596315B"/>
    <w:rsid w:val="559A6376"/>
    <w:rsid w:val="559C1DC5"/>
    <w:rsid w:val="559F0D52"/>
    <w:rsid w:val="55AAEEC7"/>
    <w:rsid w:val="55AAF1A1"/>
    <w:rsid w:val="55ABD413"/>
    <w:rsid w:val="55AC7655"/>
    <w:rsid w:val="55ADC750"/>
    <w:rsid w:val="55AF3A73"/>
    <w:rsid w:val="55B0D46E"/>
    <w:rsid w:val="55C91C4D"/>
    <w:rsid w:val="55C98589"/>
    <w:rsid w:val="55C99133"/>
    <w:rsid w:val="55CC3110"/>
    <w:rsid w:val="55D14DEA"/>
    <w:rsid w:val="55D1D3AC"/>
    <w:rsid w:val="55D1DB60"/>
    <w:rsid w:val="55D68750"/>
    <w:rsid w:val="55D78D14"/>
    <w:rsid w:val="55DC69B3"/>
    <w:rsid w:val="55FAC978"/>
    <w:rsid w:val="5600B3A8"/>
    <w:rsid w:val="56043F4C"/>
    <w:rsid w:val="56079F42"/>
    <w:rsid w:val="5607ED4C"/>
    <w:rsid w:val="561171E7"/>
    <w:rsid w:val="56143AE9"/>
    <w:rsid w:val="5615A0C9"/>
    <w:rsid w:val="56171A53"/>
    <w:rsid w:val="56186506"/>
    <w:rsid w:val="5626EE8E"/>
    <w:rsid w:val="56386888"/>
    <w:rsid w:val="5649D404"/>
    <w:rsid w:val="5649FDF4"/>
    <w:rsid w:val="564B6FD0"/>
    <w:rsid w:val="564BE090"/>
    <w:rsid w:val="564E987C"/>
    <w:rsid w:val="56507F79"/>
    <w:rsid w:val="5652053C"/>
    <w:rsid w:val="5652157E"/>
    <w:rsid w:val="565DE1EC"/>
    <w:rsid w:val="565F39C0"/>
    <w:rsid w:val="56624E66"/>
    <w:rsid w:val="566964F7"/>
    <w:rsid w:val="566AA9BC"/>
    <w:rsid w:val="566C89A7"/>
    <w:rsid w:val="566D16D4"/>
    <w:rsid w:val="566D73B4"/>
    <w:rsid w:val="566F6AFC"/>
    <w:rsid w:val="5677C594"/>
    <w:rsid w:val="567A1ABF"/>
    <w:rsid w:val="567E364A"/>
    <w:rsid w:val="567F9A01"/>
    <w:rsid w:val="56809199"/>
    <w:rsid w:val="56857FC0"/>
    <w:rsid w:val="5694614F"/>
    <w:rsid w:val="5694E30D"/>
    <w:rsid w:val="5699183C"/>
    <w:rsid w:val="569A4635"/>
    <w:rsid w:val="56AF16BF"/>
    <w:rsid w:val="56AF5865"/>
    <w:rsid w:val="56B0F112"/>
    <w:rsid w:val="56B2D15B"/>
    <w:rsid w:val="56B3F8BC"/>
    <w:rsid w:val="56B5B6FB"/>
    <w:rsid w:val="56B9C243"/>
    <w:rsid w:val="56BDDF15"/>
    <w:rsid w:val="56C120D3"/>
    <w:rsid w:val="56C17C33"/>
    <w:rsid w:val="56C22190"/>
    <w:rsid w:val="56C667EC"/>
    <w:rsid w:val="56C767AC"/>
    <w:rsid w:val="56CFAC7F"/>
    <w:rsid w:val="56D4D2EF"/>
    <w:rsid w:val="56DB4516"/>
    <w:rsid w:val="56DD3B02"/>
    <w:rsid w:val="56E11320"/>
    <w:rsid w:val="56E8FD7C"/>
    <w:rsid w:val="56E9F2D6"/>
    <w:rsid w:val="56EA28A6"/>
    <w:rsid w:val="56EC3AD5"/>
    <w:rsid w:val="56ED6529"/>
    <w:rsid w:val="5701F807"/>
    <w:rsid w:val="570BD8E9"/>
    <w:rsid w:val="57124499"/>
    <w:rsid w:val="5713EA3E"/>
    <w:rsid w:val="5713FECA"/>
    <w:rsid w:val="57173954"/>
    <w:rsid w:val="571B35A3"/>
    <w:rsid w:val="571D4F34"/>
    <w:rsid w:val="572126A0"/>
    <w:rsid w:val="572C66C4"/>
    <w:rsid w:val="572D24F5"/>
    <w:rsid w:val="572F4853"/>
    <w:rsid w:val="572FC46B"/>
    <w:rsid w:val="5731FCCC"/>
    <w:rsid w:val="57335A87"/>
    <w:rsid w:val="5735F2BE"/>
    <w:rsid w:val="57370759"/>
    <w:rsid w:val="57406116"/>
    <w:rsid w:val="57474EA5"/>
    <w:rsid w:val="57491506"/>
    <w:rsid w:val="574D3B6E"/>
    <w:rsid w:val="5753F164"/>
    <w:rsid w:val="5755C922"/>
    <w:rsid w:val="575BBD6F"/>
    <w:rsid w:val="5760CDB7"/>
    <w:rsid w:val="5772456B"/>
    <w:rsid w:val="577604AD"/>
    <w:rsid w:val="577935B1"/>
    <w:rsid w:val="577C938E"/>
    <w:rsid w:val="577F8E5D"/>
    <w:rsid w:val="578180C1"/>
    <w:rsid w:val="5781CCF6"/>
    <w:rsid w:val="5786305B"/>
    <w:rsid w:val="5787E9C3"/>
    <w:rsid w:val="578A4F0A"/>
    <w:rsid w:val="578DAD2A"/>
    <w:rsid w:val="57902B71"/>
    <w:rsid w:val="57951432"/>
    <w:rsid w:val="5795E7B7"/>
    <w:rsid w:val="5796028C"/>
    <w:rsid w:val="57979FA1"/>
    <w:rsid w:val="579826D1"/>
    <w:rsid w:val="579892CE"/>
    <w:rsid w:val="579E7511"/>
    <w:rsid w:val="579F6EBD"/>
    <w:rsid w:val="57A3A3DA"/>
    <w:rsid w:val="57B78635"/>
    <w:rsid w:val="57BB4E8D"/>
    <w:rsid w:val="57BC0596"/>
    <w:rsid w:val="57BEAAE7"/>
    <w:rsid w:val="57C1208F"/>
    <w:rsid w:val="57C26428"/>
    <w:rsid w:val="57C382E2"/>
    <w:rsid w:val="57CAB846"/>
    <w:rsid w:val="57D6AF74"/>
    <w:rsid w:val="57D8DB6D"/>
    <w:rsid w:val="57DC4355"/>
    <w:rsid w:val="57DCC56E"/>
    <w:rsid w:val="57E16F38"/>
    <w:rsid w:val="57F33D95"/>
    <w:rsid w:val="57F3829E"/>
    <w:rsid w:val="57F4D3D2"/>
    <w:rsid w:val="57F78244"/>
    <w:rsid w:val="57FBDEE7"/>
    <w:rsid w:val="57FE6B56"/>
    <w:rsid w:val="5800BFF0"/>
    <w:rsid w:val="58045574"/>
    <w:rsid w:val="5806840F"/>
    <w:rsid w:val="580D37A8"/>
    <w:rsid w:val="580F1230"/>
    <w:rsid w:val="5810284F"/>
    <w:rsid w:val="581545CF"/>
    <w:rsid w:val="58183CFF"/>
    <w:rsid w:val="581AFCF2"/>
    <w:rsid w:val="5820BBD9"/>
    <w:rsid w:val="58241B43"/>
    <w:rsid w:val="58274880"/>
    <w:rsid w:val="582C0316"/>
    <w:rsid w:val="582D5E4F"/>
    <w:rsid w:val="582DBC9E"/>
    <w:rsid w:val="5834DBD2"/>
    <w:rsid w:val="58381D24"/>
    <w:rsid w:val="583D650B"/>
    <w:rsid w:val="58403FF4"/>
    <w:rsid w:val="584121B3"/>
    <w:rsid w:val="58489567"/>
    <w:rsid w:val="584B0412"/>
    <w:rsid w:val="58520E53"/>
    <w:rsid w:val="58546C6A"/>
    <w:rsid w:val="5857361C"/>
    <w:rsid w:val="585C40D4"/>
    <w:rsid w:val="5865E0DE"/>
    <w:rsid w:val="586FC0F0"/>
    <w:rsid w:val="5871D3C4"/>
    <w:rsid w:val="5873E5FB"/>
    <w:rsid w:val="58753346"/>
    <w:rsid w:val="5876B878"/>
    <w:rsid w:val="5879CEA4"/>
    <w:rsid w:val="588035C9"/>
    <w:rsid w:val="5880E6FF"/>
    <w:rsid w:val="58843767"/>
    <w:rsid w:val="5887C2A7"/>
    <w:rsid w:val="588C433C"/>
    <w:rsid w:val="588DF89F"/>
    <w:rsid w:val="589797EA"/>
    <w:rsid w:val="5898187A"/>
    <w:rsid w:val="589B7C10"/>
    <w:rsid w:val="58A1297C"/>
    <w:rsid w:val="58A2241F"/>
    <w:rsid w:val="58A872AA"/>
    <w:rsid w:val="58A897B7"/>
    <w:rsid w:val="58AD123C"/>
    <w:rsid w:val="58AE63FD"/>
    <w:rsid w:val="58C41A04"/>
    <w:rsid w:val="58C79759"/>
    <w:rsid w:val="58C95A34"/>
    <w:rsid w:val="58C99416"/>
    <w:rsid w:val="58CA5D7D"/>
    <w:rsid w:val="58D71E38"/>
    <w:rsid w:val="58D8BE8E"/>
    <w:rsid w:val="58DE9C09"/>
    <w:rsid w:val="58DF6888"/>
    <w:rsid w:val="58E5DC0B"/>
    <w:rsid w:val="58E9441D"/>
    <w:rsid w:val="58F35BB5"/>
    <w:rsid w:val="58F62D5F"/>
    <w:rsid w:val="58FB5252"/>
    <w:rsid w:val="59060620"/>
    <w:rsid w:val="5909B1DB"/>
    <w:rsid w:val="590B3CC3"/>
    <w:rsid w:val="590B6D4F"/>
    <w:rsid w:val="591089F8"/>
    <w:rsid w:val="5910E331"/>
    <w:rsid w:val="59152287"/>
    <w:rsid w:val="5918FA63"/>
    <w:rsid w:val="592974AA"/>
    <w:rsid w:val="592EBE30"/>
    <w:rsid w:val="592F8367"/>
    <w:rsid w:val="59367026"/>
    <w:rsid w:val="593A199F"/>
    <w:rsid w:val="5941C313"/>
    <w:rsid w:val="59428BCA"/>
    <w:rsid w:val="5948C62F"/>
    <w:rsid w:val="594BA897"/>
    <w:rsid w:val="594DF625"/>
    <w:rsid w:val="594E8D5B"/>
    <w:rsid w:val="59509B3D"/>
    <w:rsid w:val="5955BFDB"/>
    <w:rsid w:val="5957C7AE"/>
    <w:rsid w:val="59614A18"/>
    <w:rsid w:val="59678E62"/>
    <w:rsid w:val="596ADAF9"/>
    <w:rsid w:val="596E0A61"/>
    <w:rsid w:val="596E5EF1"/>
    <w:rsid w:val="597520A9"/>
    <w:rsid w:val="5978AC22"/>
    <w:rsid w:val="5979343C"/>
    <w:rsid w:val="597E0803"/>
    <w:rsid w:val="5981C60A"/>
    <w:rsid w:val="598462AA"/>
    <w:rsid w:val="598551AD"/>
    <w:rsid w:val="5985A08D"/>
    <w:rsid w:val="5986868F"/>
    <w:rsid w:val="598A41C6"/>
    <w:rsid w:val="598B9481"/>
    <w:rsid w:val="598D2DB6"/>
    <w:rsid w:val="598D5FE8"/>
    <w:rsid w:val="598D80F2"/>
    <w:rsid w:val="59979C92"/>
    <w:rsid w:val="59985280"/>
    <w:rsid w:val="59A644E2"/>
    <w:rsid w:val="59A8064C"/>
    <w:rsid w:val="59A8BCF1"/>
    <w:rsid w:val="59AA45D3"/>
    <w:rsid w:val="59AE654A"/>
    <w:rsid w:val="59B5315C"/>
    <w:rsid w:val="59B9CA95"/>
    <w:rsid w:val="59BA1C0E"/>
    <w:rsid w:val="59BD2FF5"/>
    <w:rsid w:val="59BD4454"/>
    <w:rsid w:val="59D35D2F"/>
    <w:rsid w:val="59D4A0A5"/>
    <w:rsid w:val="59DA3FDD"/>
    <w:rsid w:val="59DC1829"/>
    <w:rsid w:val="59E129A3"/>
    <w:rsid w:val="59E21F7E"/>
    <w:rsid w:val="59E29292"/>
    <w:rsid w:val="59EA7697"/>
    <w:rsid w:val="59ECECED"/>
    <w:rsid w:val="59F494ED"/>
    <w:rsid w:val="59F72133"/>
    <w:rsid w:val="59F9586C"/>
    <w:rsid w:val="59FB1E4F"/>
    <w:rsid w:val="59FE9FD6"/>
    <w:rsid w:val="5A02C6AF"/>
    <w:rsid w:val="5A04A99B"/>
    <w:rsid w:val="5A05D183"/>
    <w:rsid w:val="5A0AA5D7"/>
    <w:rsid w:val="5A0C0992"/>
    <w:rsid w:val="5A0C565F"/>
    <w:rsid w:val="5A0EC0C7"/>
    <w:rsid w:val="5A165459"/>
    <w:rsid w:val="5A16C482"/>
    <w:rsid w:val="5A171E5F"/>
    <w:rsid w:val="5A1D8914"/>
    <w:rsid w:val="5A24FE6C"/>
    <w:rsid w:val="5A265B2D"/>
    <w:rsid w:val="5A26E287"/>
    <w:rsid w:val="5A2D174F"/>
    <w:rsid w:val="5A319397"/>
    <w:rsid w:val="5A32DD10"/>
    <w:rsid w:val="5A376E42"/>
    <w:rsid w:val="5A3780E8"/>
    <w:rsid w:val="5A3C12C6"/>
    <w:rsid w:val="5A41E386"/>
    <w:rsid w:val="5A45E05B"/>
    <w:rsid w:val="5A4814B0"/>
    <w:rsid w:val="5A5BA851"/>
    <w:rsid w:val="5A5DB4F9"/>
    <w:rsid w:val="5A5F0AFD"/>
    <w:rsid w:val="5A7AA7B8"/>
    <w:rsid w:val="5A8A7031"/>
    <w:rsid w:val="5A8B0A59"/>
    <w:rsid w:val="5A8F635B"/>
    <w:rsid w:val="5A926430"/>
    <w:rsid w:val="5A9267AB"/>
    <w:rsid w:val="5A9D1BBB"/>
    <w:rsid w:val="5A9E7D4A"/>
    <w:rsid w:val="5A9F4003"/>
    <w:rsid w:val="5AA07665"/>
    <w:rsid w:val="5AA5FB79"/>
    <w:rsid w:val="5AA6390D"/>
    <w:rsid w:val="5AAAEEC1"/>
    <w:rsid w:val="5AAD93BA"/>
    <w:rsid w:val="5AAE3CB1"/>
    <w:rsid w:val="5AB30A72"/>
    <w:rsid w:val="5AB4D643"/>
    <w:rsid w:val="5AB54D15"/>
    <w:rsid w:val="5ABC5790"/>
    <w:rsid w:val="5ABE5974"/>
    <w:rsid w:val="5ABFF9D7"/>
    <w:rsid w:val="5AC040CE"/>
    <w:rsid w:val="5AC15936"/>
    <w:rsid w:val="5AC25A85"/>
    <w:rsid w:val="5AC9615F"/>
    <w:rsid w:val="5ACF1D85"/>
    <w:rsid w:val="5ACFA423"/>
    <w:rsid w:val="5AD07F9B"/>
    <w:rsid w:val="5AD10E26"/>
    <w:rsid w:val="5AD76133"/>
    <w:rsid w:val="5ADAD446"/>
    <w:rsid w:val="5AE10695"/>
    <w:rsid w:val="5AE5E12B"/>
    <w:rsid w:val="5AE71D75"/>
    <w:rsid w:val="5AEB080D"/>
    <w:rsid w:val="5AF2B851"/>
    <w:rsid w:val="5AFC088A"/>
    <w:rsid w:val="5B011E81"/>
    <w:rsid w:val="5B02363F"/>
    <w:rsid w:val="5B0A1F5C"/>
    <w:rsid w:val="5B101055"/>
    <w:rsid w:val="5B108248"/>
    <w:rsid w:val="5B192563"/>
    <w:rsid w:val="5B1B20E7"/>
    <w:rsid w:val="5B1C7B77"/>
    <w:rsid w:val="5B1CA01A"/>
    <w:rsid w:val="5B22D50F"/>
    <w:rsid w:val="5B252A3C"/>
    <w:rsid w:val="5B29C7C1"/>
    <w:rsid w:val="5B2D863C"/>
    <w:rsid w:val="5B3DDAA9"/>
    <w:rsid w:val="5B3FFF69"/>
    <w:rsid w:val="5B40038E"/>
    <w:rsid w:val="5B42BFFF"/>
    <w:rsid w:val="5B46CF6B"/>
    <w:rsid w:val="5B4931D7"/>
    <w:rsid w:val="5B4939CF"/>
    <w:rsid w:val="5B4C78E1"/>
    <w:rsid w:val="5B4CCA33"/>
    <w:rsid w:val="5B4CCC49"/>
    <w:rsid w:val="5B4FA1AA"/>
    <w:rsid w:val="5B5095B9"/>
    <w:rsid w:val="5B50C503"/>
    <w:rsid w:val="5B5338A6"/>
    <w:rsid w:val="5B55A1BE"/>
    <w:rsid w:val="5B5FEC09"/>
    <w:rsid w:val="5B6B6F37"/>
    <w:rsid w:val="5B6F2C2A"/>
    <w:rsid w:val="5B7482B1"/>
    <w:rsid w:val="5B7D48BC"/>
    <w:rsid w:val="5B82A8EC"/>
    <w:rsid w:val="5B82E9DD"/>
    <w:rsid w:val="5B8484A2"/>
    <w:rsid w:val="5B858BDF"/>
    <w:rsid w:val="5B8A673D"/>
    <w:rsid w:val="5B8BA91B"/>
    <w:rsid w:val="5B8E6D0C"/>
    <w:rsid w:val="5B9016B8"/>
    <w:rsid w:val="5B90B18B"/>
    <w:rsid w:val="5B92331E"/>
    <w:rsid w:val="5B95BD1D"/>
    <w:rsid w:val="5B9E8951"/>
    <w:rsid w:val="5BA0E246"/>
    <w:rsid w:val="5BA46D78"/>
    <w:rsid w:val="5BA5055F"/>
    <w:rsid w:val="5BA54B53"/>
    <w:rsid w:val="5BA60C57"/>
    <w:rsid w:val="5BA6E622"/>
    <w:rsid w:val="5BAF4844"/>
    <w:rsid w:val="5BB159E0"/>
    <w:rsid w:val="5BB89690"/>
    <w:rsid w:val="5BBB3DB6"/>
    <w:rsid w:val="5BBED8A9"/>
    <w:rsid w:val="5BBF87F1"/>
    <w:rsid w:val="5BC2338B"/>
    <w:rsid w:val="5BC5396A"/>
    <w:rsid w:val="5BC71BE8"/>
    <w:rsid w:val="5BD20C9E"/>
    <w:rsid w:val="5BD62B77"/>
    <w:rsid w:val="5BDBEDEE"/>
    <w:rsid w:val="5BDC9BDC"/>
    <w:rsid w:val="5BDD4DD2"/>
    <w:rsid w:val="5BE0A436"/>
    <w:rsid w:val="5BE659B4"/>
    <w:rsid w:val="5BEA895E"/>
    <w:rsid w:val="5BEC6323"/>
    <w:rsid w:val="5BEDF7C1"/>
    <w:rsid w:val="5BEF17B8"/>
    <w:rsid w:val="5BF3BB14"/>
    <w:rsid w:val="5BF66D60"/>
    <w:rsid w:val="5BF871B9"/>
    <w:rsid w:val="5C0DC2D7"/>
    <w:rsid w:val="5C169746"/>
    <w:rsid w:val="5C16D0C1"/>
    <w:rsid w:val="5C1E8BBD"/>
    <w:rsid w:val="5C1F295A"/>
    <w:rsid w:val="5C21FF04"/>
    <w:rsid w:val="5C224309"/>
    <w:rsid w:val="5C228E40"/>
    <w:rsid w:val="5C2869DD"/>
    <w:rsid w:val="5C2CF9F4"/>
    <w:rsid w:val="5C2D2893"/>
    <w:rsid w:val="5C2DE881"/>
    <w:rsid w:val="5C2EC21E"/>
    <w:rsid w:val="5C303453"/>
    <w:rsid w:val="5C3475DC"/>
    <w:rsid w:val="5C3835C5"/>
    <w:rsid w:val="5C41D653"/>
    <w:rsid w:val="5C462E03"/>
    <w:rsid w:val="5C55CD5A"/>
    <w:rsid w:val="5C56C602"/>
    <w:rsid w:val="5C5AF427"/>
    <w:rsid w:val="5C5BE5AF"/>
    <w:rsid w:val="5C5D9570"/>
    <w:rsid w:val="5C658C3C"/>
    <w:rsid w:val="5C65EDC6"/>
    <w:rsid w:val="5C6BACF0"/>
    <w:rsid w:val="5C6FE3B6"/>
    <w:rsid w:val="5C7245B3"/>
    <w:rsid w:val="5C75B1BB"/>
    <w:rsid w:val="5C77267D"/>
    <w:rsid w:val="5C7B0AE3"/>
    <w:rsid w:val="5C7F4673"/>
    <w:rsid w:val="5C7F6C7F"/>
    <w:rsid w:val="5C818353"/>
    <w:rsid w:val="5C8CF7AA"/>
    <w:rsid w:val="5C953816"/>
    <w:rsid w:val="5C977D8F"/>
    <w:rsid w:val="5C99605D"/>
    <w:rsid w:val="5C9C6E82"/>
    <w:rsid w:val="5C9F3FD4"/>
    <w:rsid w:val="5C9F7E03"/>
    <w:rsid w:val="5CA4469A"/>
    <w:rsid w:val="5CA77F88"/>
    <w:rsid w:val="5CABFBFD"/>
    <w:rsid w:val="5CB05DCF"/>
    <w:rsid w:val="5CB0CB52"/>
    <w:rsid w:val="5CC21222"/>
    <w:rsid w:val="5CD3DE40"/>
    <w:rsid w:val="5CD95A79"/>
    <w:rsid w:val="5CDD2BED"/>
    <w:rsid w:val="5CE53584"/>
    <w:rsid w:val="5CE7AB2F"/>
    <w:rsid w:val="5CF5E5F5"/>
    <w:rsid w:val="5CF6B085"/>
    <w:rsid w:val="5CF78767"/>
    <w:rsid w:val="5CF7CC9A"/>
    <w:rsid w:val="5CF8CBB5"/>
    <w:rsid w:val="5D0116D8"/>
    <w:rsid w:val="5D077ABA"/>
    <w:rsid w:val="5D16BC0B"/>
    <w:rsid w:val="5D1A9B73"/>
    <w:rsid w:val="5D1C1AEE"/>
    <w:rsid w:val="5D1C8B6D"/>
    <w:rsid w:val="5D2596C2"/>
    <w:rsid w:val="5D2889EE"/>
    <w:rsid w:val="5D29CD48"/>
    <w:rsid w:val="5D2A457C"/>
    <w:rsid w:val="5D2D7E09"/>
    <w:rsid w:val="5D333278"/>
    <w:rsid w:val="5D350180"/>
    <w:rsid w:val="5D3B4ADD"/>
    <w:rsid w:val="5D419517"/>
    <w:rsid w:val="5D46A0FE"/>
    <w:rsid w:val="5D48E778"/>
    <w:rsid w:val="5D4A2F53"/>
    <w:rsid w:val="5D5461E7"/>
    <w:rsid w:val="5D58E153"/>
    <w:rsid w:val="5D58E986"/>
    <w:rsid w:val="5D591116"/>
    <w:rsid w:val="5D6ABEF2"/>
    <w:rsid w:val="5D6EA98D"/>
    <w:rsid w:val="5D77F835"/>
    <w:rsid w:val="5D799139"/>
    <w:rsid w:val="5D7CB325"/>
    <w:rsid w:val="5D838238"/>
    <w:rsid w:val="5D8919A3"/>
    <w:rsid w:val="5D8B559E"/>
    <w:rsid w:val="5D8E88CC"/>
    <w:rsid w:val="5D90FB56"/>
    <w:rsid w:val="5D918021"/>
    <w:rsid w:val="5D939FA2"/>
    <w:rsid w:val="5D95FE35"/>
    <w:rsid w:val="5D9855BD"/>
    <w:rsid w:val="5D9A6339"/>
    <w:rsid w:val="5DA13592"/>
    <w:rsid w:val="5DA715E8"/>
    <w:rsid w:val="5DACE901"/>
    <w:rsid w:val="5DAE9C7D"/>
    <w:rsid w:val="5DB2EE22"/>
    <w:rsid w:val="5DB3E357"/>
    <w:rsid w:val="5DB5F4E9"/>
    <w:rsid w:val="5DB6434C"/>
    <w:rsid w:val="5DB76DC6"/>
    <w:rsid w:val="5DB9ED9F"/>
    <w:rsid w:val="5DBA29A6"/>
    <w:rsid w:val="5DC419E3"/>
    <w:rsid w:val="5DC46FAC"/>
    <w:rsid w:val="5DC686D9"/>
    <w:rsid w:val="5DCAAD78"/>
    <w:rsid w:val="5DCB143F"/>
    <w:rsid w:val="5DCBD1E7"/>
    <w:rsid w:val="5DCE2E2B"/>
    <w:rsid w:val="5DCEB6BF"/>
    <w:rsid w:val="5DD6884A"/>
    <w:rsid w:val="5DD6CE5C"/>
    <w:rsid w:val="5DE09405"/>
    <w:rsid w:val="5DE14E59"/>
    <w:rsid w:val="5DE51CAE"/>
    <w:rsid w:val="5DEC38D2"/>
    <w:rsid w:val="5DEED825"/>
    <w:rsid w:val="5DFAB968"/>
    <w:rsid w:val="5DFF03FF"/>
    <w:rsid w:val="5E02FA9F"/>
    <w:rsid w:val="5E064332"/>
    <w:rsid w:val="5E099E45"/>
    <w:rsid w:val="5E1055E3"/>
    <w:rsid w:val="5E10C915"/>
    <w:rsid w:val="5E10F839"/>
    <w:rsid w:val="5E1A1CE6"/>
    <w:rsid w:val="5E213259"/>
    <w:rsid w:val="5E21C1A1"/>
    <w:rsid w:val="5E2DC264"/>
    <w:rsid w:val="5E35788C"/>
    <w:rsid w:val="5E358327"/>
    <w:rsid w:val="5E404510"/>
    <w:rsid w:val="5E458406"/>
    <w:rsid w:val="5E4E9B1D"/>
    <w:rsid w:val="5E4EF33B"/>
    <w:rsid w:val="5E4FAF8F"/>
    <w:rsid w:val="5E4FF78B"/>
    <w:rsid w:val="5E551A8A"/>
    <w:rsid w:val="5E555508"/>
    <w:rsid w:val="5E5D497B"/>
    <w:rsid w:val="5E65C55C"/>
    <w:rsid w:val="5E67B5CD"/>
    <w:rsid w:val="5E690B1C"/>
    <w:rsid w:val="5E6EA90A"/>
    <w:rsid w:val="5E73D0D3"/>
    <w:rsid w:val="5E7700F8"/>
    <w:rsid w:val="5E78B275"/>
    <w:rsid w:val="5E7BA351"/>
    <w:rsid w:val="5E80BB63"/>
    <w:rsid w:val="5E80D82B"/>
    <w:rsid w:val="5E8482F3"/>
    <w:rsid w:val="5E8B49BD"/>
    <w:rsid w:val="5E94DEC6"/>
    <w:rsid w:val="5E964F04"/>
    <w:rsid w:val="5E9B0B06"/>
    <w:rsid w:val="5E9C2ABB"/>
    <w:rsid w:val="5E9F0DEA"/>
    <w:rsid w:val="5EA0D312"/>
    <w:rsid w:val="5EA17024"/>
    <w:rsid w:val="5EA29131"/>
    <w:rsid w:val="5EA726BE"/>
    <w:rsid w:val="5EAB125A"/>
    <w:rsid w:val="5EABD501"/>
    <w:rsid w:val="5EB6B548"/>
    <w:rsid w:val="5EB7B852"/>
    <w:rsid w:val="5EB8A35E"/>
    <w:rsid w:val="5EB9E8A3"/>
    <w:rsid w:val="5EBAEBDC"/>
    <w:rsid w:val="5EBE5B48"/>
    <w:rsid w:val="5EC5D857"/>
    <w:rsid w:val="5EC758A7"/>
    <w:rsid w:val="5EDE74A2"/>
    <w:rsid w:val="5EE4A343"/>
    <w:rsid w:val="5EE59C24"/>
    <w:rsid w:val="5EE79842"/>
    <w:rsid w:val="5EE91755"/>
    <w:rsid w:val="5EE9B0F0"/>
    <w:rsid w:val="5EEC6004"/>
    <w:rsid w:val="5EF604B6"/>
    <w:rsid w:val="5EF84302"/>
    <w:rsid w:val="5EF94561"/>
    <w:rsid w:val="5EFD5E96"/>
    <w:rsid w:val="5F00400C"/>
    <w:rsid w:val="5F016B6D"/>
    <w:rsid w:val="5F053027"/>
    <w:rsid w:val="5F10238C"/>
    <w:rsid w:val="5F14B03D"/>
    <w:rsid w:val="5F16475D"/>
    <w:rsid w:val="5F212A68"/>
    <w:rsid w:val="5F3C51D2"/>
    <w:rsid w:val="5F3D944F"/>
    <w:rsid w:val="5F47290E"/>
    <w:rsid w:val="5F4D0C02"/>
    <w:rsid w:val="5F557E3E"/>
    <w:rsid w:val="5F58DABB"/>
    <w:rsid w:val="5F5A58FF"/>
    <w:rsid w:val="5F5AC63A"/>
    <w:rsid w:val="5F5E0E98"/>
    <w:rsid w:val="5F6395D5"/>
    <w:rsid w:val="5F666DA7"/>
    <w:rsid w:val="5F67393A"/>
    <w:rsid w:val="5F6F598F"/>
    <w:rsid w:val="5F72815C"/>
    <w:rsid w:val="5F73C81B"/>
    <w:rsid w:val="5F777DA1"/>
    <w:rsid w:val="5F86CE5B"/>
    <w:rsid w:val="5F8CA539"/>
    <w:rsid w:val="5F91A8EF"/>
    <w:rsid w:val="5F9F0196"/>
    <w:rsid w:val="5FA7A0D0"/>
    <w:rsid w:val="5FAA48F8"/>
    <w:rsid w:val="5FAE8ADA"/>
    <w:rsid w:val="5FB07562"/>
    <w:rsid w:val="5FBE7DD3"/>
    <w:rsid w:val="5FC2C4CA"/>
    <w:rsid w:val="5FC3BDFD"/>
    <w:rsid w:val="5FC5C243"/>
    <w:rsid w:val="5FC66E4C"/>
    <w:rsid w:val="5FC6A2BC"/>
    <w:rsid w:val="5FC84331"/>
    <w:rsid w:val="5FD12217"/>
    <w:rsid w:val="5FD24956"/>
    <w:rsid w:val="5FD2AEDE"/>
    <w:rsid w:val="5FD3484D"/>
    <w:rsid w:val="5FD42143"/>
    <w:rsid w:val="5FD72F8F"/>
    <w:rsid w:val="5FD82F18"/>
    <w:rsid w:val="5FE8DF4D"/>
    <w:rsid w:val="5FECCE16"/>
    <w:rsid w:val="5FECE274"/>
    <w:rsid w:val="5FED2B33"/>
    <w:rsid w:val="5FEEB33A"/>
    <w:rsid w:val="5FEED5CB"/>
    <w:rsid w:val="5FFA3B5E"/>
    <w:rsid w:val="5FFFE0F1"/>
    <w:rsid w:val="6000061A"/>
    <w:rsid w:val="60092C13"/>
    <w:rsid w:val="600D8343"/>
    <w:rsid w:val="600ED601"/>
    <w:rsid w:val="60140C21"/>
    <w:rsid w:val="601916BE"/>
    <w:rsid w:val="601A3940"/>
    <w:rsid w:val="601DFF3E"/>
    <w:rsid w:val="6020097C"/>
    <w:rsid w:val="6021D100"/>
    <w:rsid w:val="6021EFF6"/>
    <w:rsid w:val="602263A2"/>
    <w:rsid w:val="602516EC"/>
    <w:rsid w:val="6027C901"/>
    <w:rsid w:val="602CB318"/>
    <w:rsid w:val="60328F06"/>
    <w:rsid w:val="60331064"/>
    <w:rsid w:val="60372BFA"/>
    <w:rsid w:val="60382837"/>
    <w:rsid w:val="6039F683"/>
    <w:rsid w:val="603C62A8"/>
    <w:rsid w:val="60417F23"/>
    <w:rsid w:val="6043EAF4"/>
    <w:rsid w:val="6047C3C0"/>
    <w:rsid w:val="60481F37"/>
    <w:rsid w:val="6048709B"/>
    <w:rsid w:val="604C6AB8"/>
    <w:rsid w:val="604CAD17"/>
    <w:rsid w:val="604CE679"/>
    <w:rsid w:val="6052B8D6"/>
    <w:rsid w:val="605549EF"/>
    <w:rsid w:val="60596EF8"/>
    <w:rsid w:val="605E56C9"/>
    <w:rsid w:val="606001DA"/>
    <w:rsid w:val="60619506"/>
    <w:rsid w:val="606482E6"/>
    <w:rsid w:val="6065B4D4"/>
    <w:rsid w:val="60771B5C"/>
    <w:rsid w:val="60787F1D"/>
    <w:rsid w:val="607D6135"/>
    <w:rsid w:val="607FD9D7"/>
    <w:rsid w:val="608D811F"/>
    <w:rsid w:val="609287D6"/>
    <w:rsid w:val="60941CE7"/>
    <w:rsid w:val="6096682C"/>
    <w:rsid w:val="609BCD62"/>
    <w:rsid w:val="609BE532"/>
    <w:rsid w:val="60A221EF"/>
    <w:rsid w:val="60A4BFAA"/>
    <w:rsid w:val="60A8C39C"/>
    <w:rsid w:val="60AF3EC1"/>
    <w:rsid w:val="60B052D2"/>
    <w:rsid w:val="60B07FE6"/>
    <w:rsid w:val="60B0C49C"/>
    <w:rsid w:val="60B6CB33"/>
    <w:rsid w:val="60BBCFFD"/>
    <w:rsid w:val="60BE5736"/>
    <w:rsid w:val="60C02333"/>
    <w:rsid w:val="60C39713"/>
    <w:rsid w:val="60CA23E7"/>
    <w:rsid w:val="60CDC1DA"/>
    <w:rsid w:val="60D6D25B"/>
    <w:rsid w:val="60D6D5C4"/>
    <w:rsid w:val="60D82CB6"/>
    <w:rsid w:val="60DC93AB"/>
    <w:rsid w:val="60DD36AD"/>
    <w:rsid w:val="60E10840"/>
    <w:rsid w:val="60E2B2FF"/>
    <w:rsid w:val="60E56CE7"/>
    <w:rsid w:val="60E833CA"/>
    <w:rsid w:val="60E896C6"/>
    <w:rsid w:val="60E9FE6F"/>
    <w:rsid w:val="60EA9927"/>
    <w:rsid w:val="60EA997C"/>
    <w:rsid w:val="60ED0B31"/>
    <w:rsid w:val="60F38B68"/>
    <w:rsid w:val="60F568BD"/>
    <w:rsid w:val="60F5D743"/>
    <w:rsid w:val="60F69DC6"/>
    <w:rsid w:val="60F73B06"/>
    <w:rsid w:val="60F9B8FD"/>
    <w:rsid w:val="60FABA62"/>
    <w:rsid w:val="60FCC0E0"/>
    <w:rsid w:val="60FFC765"/>
    <w:rsid w:val="6102D940"/>
    <w:rsid w:val="6104D93D"/>
    <w:rsid w:val="610C276C"/>
    <w:rsid w:val="611299D2"/>
    <w:rsid w:val="61163A03"/>
    <w:rsid w:val="611799FB"/>
    <w:rsid w:val="611D94E3"/>
    <w:rsid w:val="611E5025"/>
    <w:rsid w:val="611E9F99"/>
    <w:rsid w:val="6122F3CB"/>
    <w:rsid w:val="61253649"/>
    <w:rsid w:val="612A8E89"/>
    <w:rsid w:val="61302F6A"/>
    <w:rsid w:val="61353AB5"/>
    <w:rsid w:val="6138A786"/>
    <w:rsid w:val="613F0618"/>
    <w:rsid w:val="61402C9F"/>
    <w:rsid w:val="61412F98"/>
    <w:rsid w:val="61450AC8"/>
    <w:rsid w:val="614B4DB7"/>
    <w:rsid w:val="614B7BD5"/>
    <w:rsid w:val="614EAECD"/>
    <w:rsid w:val="614FF3AC"/>
    <w:rsid w:val="6151E2B2"/>
    <w:rsid w:val="61562B51"/>
    <w:rsid w:val="615641AC"/>
    <w:rsid w:val="615AD15B"/>
    <w:rsid w:val="615E536C"/>
    <w:rsid w:val="6161F7D1"/>
    <w:rsid w:val="61663EFF"/>
    <w:rsid w:val="61730EC3"/>
    <w:rsid w:val="6176C511"/>
    <w:rsid w:val="6176E3C0"/>
    <w:rsid w:val="617A06E0"/>
    <w:rsid w:val="617A83D0"/>
    <w:rsid w:val="618285FD"/>
    <w:rsid w:val="61894404"/>
    <w:rsid w:val="618C77E0"/>
    <w:rsid w:val="61911719"/>
    <w:rsid w:val="61918B8D"/>
    <w:rsid w:val="619789EC"/>
    <w:rsid w:val="619D5795"/>
    <w:rsid w:val="619DB806"/>
    <w:rsid w:val="619E5921"/>
    <w:rsid w:val="61A0A59D"/>
    <w:rsid w:val="61A12A1D"/>
    <w:rsid w:val="61A23D17"/>
    <w:rsid w:val="61A2E35A"/>
    <w:rsid w:val="61A37476"/>
    <w:rsid w:val="61A66A34"/>
    <w:rsid w:val="61A7230E"/>
    <w:rsid w:val="61A80AD8"/>
    <w:rsid w:val="61AEA2FF"/>
    <w:rsid w:val="61B1C192"/>
    <w:rsid w:val="61B369F5"/>
    <w:rsid w:val="61B8EDB4"/>
    <w:rsid w:val="61BB9A44"/>
    <w:rsid w:val="61BCF774"/>
    <w:rsid w:val="61C0BCA6"/>
    <w:rsid w:val="61C2906F"/>
    <w:rsid w:val="61CAE596"/>
    <w:rsid w:val="61CE8DF1"/>
    <w:rsid w:val="61D50C3A"/>
    <w:rsid w:val="61D7B00B"/>
    <w:rsid w:val="61DA5192"/>
    <w:rsid w:val="61DBFDED"/>
    <w:rsid w:val="61DF3F74"/>
    <w:rsid w:val="61E30347"/>
    <w:rsid w:val="61E5B5B8"/>
    <w:rsid w:val="61E84C45"/>
    <w:rsid w:val="61E90562"/>
    <w:rsid w:val="61EB3352"/>
    <w:rsid w:val="61ED9F08"/>
    <w:rsid w:val="61EE2D21"/>
    <w:rsid w:val="61F79C73"/>
    <w:rsid w:val="61FB4372"/>
    <w:rsid w:val="62098075"/>
    <w:rsid w:val="620AEB94"/>
    <w:rsid w:val="620DE4CC"/>
    <w:rsid w:val="62176EB7"/>
    <w:rsid w:val="6218ABBD"/>
    <w:rsid w:val="621ADBA7"/>
    <w:rsid w:val="6221D09B"/>
    <w:rsid w:val="62246424"/>
    <w:rsid w:val="6229797B"/>
    <w:rsid w:val="6229A317"/>
    <w:rsid w:val="622B173E"/>
    <w:rsid w:val="62351CAA"/>
    <w:rsid w:val="623651A0"/>
    <w:rsid w:val="62398897"/>
    <w:rsid w:val="623B00FC"/>
    <w:rsid w:val="6244C08D"/>
    <w:rsid w:val="62483F00"/>
    <w:rsid w:val="62491211"/>
    <w:rsid w:val="624F3B14"/>
    <w:rsid w:val="6252C8D2"/>
    <w:rsid w:val="62554FD9"/>
    <w:rsid w:val="625B4EA3"/>
    <w:rsid w:val="625E5943"/>
    <w:rsid w:val="625FE0CE"/>
    <w:rsid w:val="6260BE2F"/>
    <w:rsid w:val="6261AAC3"/>
    <w:rsid w:val="626329CF"/>
    <w:rsid w:val="6264D821"/>
    <w:rsid w:val="6266BBB5"/>
    <w:rsid w:val="62674FAF"/>
    <w:rsid w:val="6269B789"/>
    <w:rsid w:val="626C2EB7"/>
    <w:rsid w:val="626D6E19"/>
    <w:rsid w:val="626F555D"/>
    <w:rsid w:val="62749A05"/>
    <w:rsid w:val="62780E39"/>
    <w:rsid w:val="62782E56"/>
    <w:rsid w:val="62812B8F"/>
    <w:rsid w:val="6282CB4A"/>
    <w:rsid w:val="6283364C"/>
    <w:rsid w:val="6283BC9C"/>
    <w:rsid w:val="628ED196"/>
    <w:rsid w:val="628FF8A3"/>
    <w:rsid w:val="629054D3"/>
    <w:rsid w:val="62980C30"/>
    <w:rsid w:val="6299E6BB"/>
    <w:rsid w:val="62A5A932"/>
    <w:rsid w:val="62A63E50"/>
    <w:rsid w:val="62A8453E"/>
    <w:rsid w:val="62AA119D"/>
    <w:rsid w:val="62B399A3"/>
    <w:rsid w:val="62B91F04"/>
    <w:rsid w:val="62BB746F"/>
    <w:rsid w:val="62BC5914"/>
    <w:rsid w:val="62BE233D"/>
    <w:rsid w:val="62BFEC1D"/>
    <w:rsid w:val="62C00784"/>
    <w:rsid w:val="62C24A50"/>
    <w:rsid w:val="62CEA9C1"/>
    <w:rsid w:val="62CF48E9"/>
    <w:rsid w:val="62D3F561"/>
    <w:rsid w:val="62D7A375"/>
    <w:rsid w:val="62DC5467"/>
    <w:rsid w:val="62EA6E09"/>
    <w:rsid w:val="62EF9BC4"/>
    <w:rsid w:val="62F20E0D"/>
    <w:rsid w:val="62F21BEE"/>
    <w:rsid w:val="62F94474"/>
    <w:rsid w:val="62FA7B2B"/>
    <w:rsid w:val="62FBBF86"/>
    <w:rsid w:val="62FC39DD"/>
    <w:rsid w:val="62FD0E78"/>
    <w:rsid w:val="6303846D"/>
    <w:rsid w:val="63057C19"/>
    <w:rsid w:val="63083241"/>
    <w:rsid w:val="6308AD2C"/>
    <w:rsid w:val="630C1DD3"/>
    <w:rsid w:val="630D5E58"/>
    <w:rsid w:val="630FD21D"/>
    <w:rsid w:val="631A33C1"/>
    <w:rsid w:val="631A4193"/>
    <w:rsid w:val="631A8AAE"/>
    <w:rsid w:val="631AAB5B"/>
    <w:rsid w:val="631BD2DF"/>
    <w:rsid w:val="631C4487"/>
    <w:rsid w:val="6324610D"/>
    <w:rsid w:val="632888DD"/>
    <w:rsid w:val="632A438A"/>
    <w:rsid w:val="632A9F8C"/>
    <w:rsid w:val="632DDB0B"/>
    <w:rsid w:val="633353EF"/>
    <w:rsid w:val="6333AF0F"/>
    <w:rsid w:val="6333D040"/>
    <w:rsid w:val="63383919"/>
    <w:rsid w:val="6338E4C7"/>
    <w:rsid w:val="6339E694"/>
    <w:rsid w:val="6339F369"/>
    <w:rsid w:val="633B8FC6"/>
    <w:rsid w:val="633D6C07"/>
    <w:rsid w:val="6343BAFD"/>
    <w:rsid w:val="6346147D"/>
    <w:rsid w:val="63476BED"/>
    <w:rsid w:val="635495C7"/>
    <w:rsid w:val="635B3349"/>
    <w:rsid w:val="635D8C30"/>
    <w:rsid w:val="63638CFE"/>
    <w:rsid w:val="636600B4"/>
    <w:rsid w:val="63695081"/>
    <w:rsid w:val="6369BFD0"/>
    <w:rsid w:val="636F56A9"/>
    <w:rsid w:val="63705419"/>
    <w:rsid w:val="6374CC1E"/>
    <w:rsid w:val="6376D7D0"/>
    <w:rsid w:val="637A7CB4"/>
    <w:rsid w:val="63841CA6"/>
    <w:rsid w:val="6386B82D"/>
    <w:rsid w:val="6387EC72"/>
    <w:rsid w:val="63881E40"/>
    <w:rsid w:val="638AFB18"/>
    <w:rsid w:val="638F2585"/>
    <w:rsid w:val="6390C38E"/>
    <w:rsid w:val="6395FC8A"/>
    <w:rsid w:val="6396D83F"/>
    <w:rsid w:val="63979B5B"/>
    <w:rsid w:val="639B2A7F"/>
    <w:rsid w:val="63AAAC17"/>
    <w:rsid w:val="63AB1C8D"/>
    <w:rsid w:val="63AEE639"/>
    <w:rsid w:val="63B247FC"/>
    <w:rsid w:val="63B55766"/>
    <w:rsid w:val="63B69EB9"/>
    <w:rsid w:val="63BF3C2F"/>
    <w:rsid w:val="63C77AFF"/>
    <w:rsid w:val="63CA5133"/>
    <w:rsid w:val="63D9AAF8"/>
    <w:rsid w:val="63DBC318"/>
    <w:rsid w:val="63DFD733"/>
    <w:rsid w:val="63E1C1E7"/>
    <w:rsid w:val="63E80C9A"/>
    <w:rsid w:val="63EA954D"/>
    <w:rsid w:val="63EBCBAB"/>
    <w:rsid w:val="63F09060"/>
    <w:rsid w:val="63F2ECB6"/>
    <w:rsid w:val="63F3D7B9"/>
    <w:rsid w:val="63F41C43"/>
    <w:rsid w:val="63FF0756"/>
    <w:rsid w:val="640504F5"/>
    <w:rsid w:val="6408C125"/>
    <w:rsid w:val="640B5782"/>
    <w:rsid w:val="64140D2F"/>
    <w:rsid w:val="6414F974"/>
    <w:rsid w:val="6415C49C"/>
    <w:rsid w:val="6416BC3E"/>
    <w:rsid w:val="6417D156"/>
    <w:rsid w:val="641C8B4D"/>
    <w:rsid w:val="64206769"/>
    <w:rsid w:val="642C66DC"/>
    <w:rsid w:val="6434E208"/>
    <w:rsid w:val="6439ED2F"/>
    <w:rsid w:val="643E97CE"/>
    <w:rsid w:val="6445D4CB"/>
    <w:rsid w:val="6447DA8A"/>
    <w:rsid w:val="644A67E7"/>
    <w:rsid w:val="644BDE16"/>
    <w:rsid w:val="64540936"/>
    <w:rsid w:val="6456842C"/>
    <w:rsid w:val="64670A47"/>
    <w:rsid w:val="64683A0E"/>
    <w:rsid w:val="646D2364"/>
    <w:rsid w:val="646D4E0A"/>
    <w:rsid w:val="6470174F"/>
    <w:rsid w:val="64706CFE"/>
    <w:rsid w:val="647EC692"/>
    <w:rsid w:val="64802120"/>
    <w:rsid w:val="648DAD27"/>
    <w:rsid w:val="648FE937"/>
    <w:rsid w:val="64996114"/>
    <w:rsid w:val="649A5ACC"/>
    <w:rsid w:val="649A7902"/>
    <w:rsid w:val="649EE23A"/>
    <w:rsid w:val="64A29CFA"/>
    <w:rsid w:val="64A2C5D9"/>
    <w:rsid w:val="64A646D3"/>
    <w:rsid w:val="64A735F9"/>
    <w:rsid w:val="64AB4647"/>
    <w:rsid w:val="64ACDD7B"/>
    <w:rsid w:val="64CC728E"/>
    <w:rsid w:val="64CF9FF4"/>
    <w:rsid w:val="64D49C4F"/>
    <w:rsid w:val="64D7E0F7"/>
    <w:rsid w:val="64DC46CC"/>
    <w:rsid w:val="64DEF025"/>
    <w:rsid w:val="64E0169D"/>
    <w:rsid w:val="64E53AEA"/>
    <w:rsid w:val="64F3589A"/>
    <w:rsid w:val="64F42DA8"/>
    <w:rsid w:val="64F67B36"/>
    <w:rsid w:val="64F68865"/>
    <w:rsid w:val="64F88382"/>
    <w:rsid w:val="64F909F4"/>
    <w:rsid w:val="64F9A296"/>
    <w:rsid w:val="64FB2DE7"/>
    <w:rsid w:val="64FBF159"/>
    <w:rsid w:val="64FC436A"/>
    <w:rsid w:val="64FE407D"/>
    <w:rsid w:val="64FE42C2"/>
    <w:rsid w:val="650482A9"/>
    <w:rsid w:val="650A0890"/>
    <w:rsid w:val="650E9C70"/>
    <w:rsid w:val="6513C5B6"/>
    <w:rsid w:val="65160230"/>
    <w:rsid w:val="6517CCBD"/>
    <w:rsid w:val="651916CA"/>
    <w:rsid w:val="6519C314"/>
    <w:rsid w:val="651AA31D"/>
    <w:rsid w:val="651C5266"/>
    <w:rsid w:val="65202279"/>
    <w:rsid w:val="652766A0"/>
    <w:rsid w:val="652E2E7F"/>
    <w:rsid w:val="652F33C6"/>
    <w:rsid w:val="65371692"/>
    <w:rsid w:val="6539D5A0"/>
    <w:rsid w:val="653C9945"/>
    <w:rsid w:val="6551A876"/>
    <w:rsid w:val="65592DB8"/>
    <w:rsid w:val="65619696"/>
    <w:rsid w:val="6562C9C9"/>
    <w:rsid w:val="656995E2"/>
    <w:rsid w:val="656C8F0A"/>
    <w:rsid w:val="656CB2BB"/>
    <w:rsid w:val="656E37FB"/>
    <w:rsid w:val="657229E5"/>
    <w:rsid w:val="65782CF3"/>
    <w:rsid w:val="657955F8"/>
    <w:rsid w:val="657AB07E"/>
    <w:rsid w:val="657F3E00"/>
    <w:rsid w:val="65842DA7"/>
    <w:rsid w:val="6587EC2D"/>
    <w:rsid w:val="65880D7F"/>
    <w:rsid w:val="6593DE24"/>
    <w:rsid w:val="65A3A95F"/>
    <w:rsid w:val="65A3CCFA"/>
    <w:rsid w:val="65AAEFFA"/>
    <w:rsid w:val="65AB39AF"/>
    <w:rsid w:val="65AB7BB4"/>
    <w:rsid w:val="65B4F1B7"/>
    <w:rsid w:val="65BD321A"/>
    <w:rsid w:val="65BD3B31"/>
    <w:rsid w:val="65BD73A5"/>
    <w:rsid w:val="65C36B27"/>
    <w:rsid w:val="65CF5BFD"/>
    <w:rsid w:val="65D5236E"/>
    <w:rsid w:val="65D6DB08"/>
    <w:rsid w:val="65DA1646"/>
    <w:rsid w:val="65E0056D"/>
    <w:rsid w:val="65E1B137"/>
    <w:rsid w:val="65E27405"/>
    <w:rsid w:val="65E328A5"/>
    <w:rsid w:val="65FA5EE3"/>
    <w:rsid w:val="65FB79AA"/>
    <w:rsid w:val="65FCCB17"/>
    <w:rsid w:val="66022CB7"/>
    <w:rsid w:val="66097943"/>
    <w:rsid w:val="6609ED70"/>
    <w:rsid w:val="660A7207"/>
    <w:rsid w:val="6613D4D7"/>
    <w:rsid w:val="6616B922"/>
    <w:rsid w:val="66171C2D"/>
    <w:rsid w:val="6619B2D2"/>
    <w:rsid w:val="661A830D"/>
    <w:rsid w:val="661C43E1"/>
    <w:rsid w:val="66201A67"/>
    <w:rsid w:val="6629809D"/>
    <w:rsid w:val="662C8E7D"/>
    <w:rsid w:val="66332208"/>
    <w:rsid w:val="663813A9"/>
    <w:rsid w:val="663930F9"/>
    <w:rsid w:val="663BC366"/>
    <w:rsid w:val="663BF4D2"/>
    <w:rsid w:val="663C1A95"/>
    <w:rsid w:val="66454956"/>
    <w:rsid w:val="66455872"/>
    <w:rsid w:val="66490039"/>
    <w:rsid w:val="664A99B8"/>
    <w:rsid w:val="664C00F9"/>
    <w:rsid w:val="664FDC05"/>
    <w:rsid w:val="6651F7E4"/>
    <w:rsid w:val="66529110"/>
    <w:rsid w:val="6654B444"/>
    <w:rsid w:val="665AC3F6"/>
    <w:rsid w:val="666842CA"/>
    <w:rsid w:val="666B63CF"/>
    <w:rsid w:val="666DD1BF"/>
    <w:rsid w:val="666F532F"/>
    <w:rsid w:val="6671CED1"/>
    <w:rsid w:val="667394B6"/>
    <w:rsid w:val="667C1BD0"/>
    <w:rsid w:val="66813FBA"/>
    <w:rsid w:val="66814CF3"/>
    <w:rsid w:val="66862540"/>
    <w:rsid w:val="668AE17B"/>
    <w:rsid w:val="668B035B"/>
    <w:rsid w:val="668BAE3A"/>
    <w:rsid w:val="668C3C53"/>
    <w:rsid w:val="6692FB9B"/>
    <w:rsid w:val="6693B2E1"/>
    <w:rsid w:val="6694A49C"/>
    <w:rsid w:val="66973E51"/>
    <w:rsid w:val="6698B18D"/>
    <w:rsid w:val="669CE7A3"/>
    <w:rsid w:val="66A6AE57"/>
    <w:rsid w:val="66A854E8"/>
    <w:rsid w:val="66A96B29"/>
    <w:rsid w:val="66AF651A"/>
    <w:rsid w:val="66AFB591"/>
    <w:rsid w:val="66B78274"/>
    <w:rsid w:val="66B7DAFD"/>
    <w:rsid w:val="66BB35D5"/>
    <w:rsid w:val="66BDE7E6"/>
    <w:rsid w:val="66C2432F"/>
    <w:rsid w:val="66CAC45E"/>
    <w:rsid w:val="66CE3B45"/>
    <w:rsid w:val="66CFE133"/>
    <w:rsid w:val="66D1930A"/>
    <w:rsid w:val="66D5A71F"/>
    <w:rsid w:val="66D74F5D"/>
    <w:rsid w:val="66DD4823"/>
    <w:rsid w:val="66DE3E4F"/>
    <w:rsid w:val="66DF7D4E"/>
    <w:rsid w:val="66E221DA"/>
    <w:rsid w:val="66E23A02"/>
    <w:rsid w:val="66E82147"/>
    <w:rsid w:val="66E8B103"/>
    <w:rsid w:val="66E91EB4"/>
    <w:rsid w:val="66F6E4D7"/>
    <w:rsid w:val="66F8703D"/>
    <w:rsid w:val="66FDD5F8"/>
    <w:rsid w:val="66FE0C9E"/>
    <w:rsid w:val="66FEF6E1"/>
    <w:rsid w:val="67045CE8"/>
    <w:rsid w:val="6704FA1B"/>
    <w:rsid w:val="670A6D0E"/>
    <w:rsid w:val="670ACB3D"/>
    <w:rsid w:val="6711742B"/>
    <w:rsid w:val="671F3D18"/>
    <w:rsid w:val="671F723F"/>
    <w:rsid w:val="67264F71"/>
    <w:rsid w:val="672E4493"/>
    <w:rsid w:val="672E5601"/>
    <w:rsid w:val="6730A5EF"/>
    <w:rsid w:val="67313154"/>
    <w:rsid w:val="6732104A"/>
    <w:rsid w:val="6736D9B0"/>
    <w:rsid w:val="673FA8AE"/>
    <w:rsid w:val="6747F79E"/>
    <w:rsid w:val="674A2B05"/>
    <w:rsid w:val="674AA4AD"/>
    <w:rsid w:val="674D0D30"/>
    <w:rsid w:val="6750BAFB"/>
    <w:rsid w:val="67566F5D"/>
    <w:rsid w:val="6758B67A"/>
    <w:rsid w:val="67606456"/>
    <w:rsid w:val="67632D5A"/>
    <w:rsid w:val="67683E5C"/>
    <w:rsid w:val="676DB322"/>
    <w:rsid w:val="676EA8BA"/>
    <w:rsid w:val="6772DD8B"/>
    <w:rsid w:val="6775F84F"/>
    <w:rsid w:val="67772E58"/>
    <w:rsid w:val="67824FC5"/>
    <w:rsid w:val="6787686C"/>
    <w:rsid w:val="67896F34"/>
    <w:rsid w:val="6789BBCC"/>
    <w:rsid w:val="678F6534"/>
    <w:rsid w:val="6791DF80"/>
    <w:rsid w:val="67968C7D"/>
    <w:rsid w:val="6797EE73"/>
    <w:rsid w:val="67994FDE"/>
    <w:rsid w:val="679EFD14"/>
    <w:rsid w:val="67A03929"/>
    <w:rsid w:val="67A27D67"/>
    <w:rsid w:val="67A2A79F"/>
    <w:rsid w:val="67A34DF2"/>
    <w:rsid w:val="67A64442"/>
    <w:rsid w:val="67A8C47F"/>
    <w:rsid w:val="67A9A2D4"/>
    <w:rsid w:val="67AAC0DB"/>
    <w:rsid w:val="67AB7991"/>
    <w:rsid w:val="67AC6785"/>
    <w:rsid w:val="67B780B0"/>
    <w:rsid w:val="67C052AF"/>
    <w:rsid w:val="67C378D0"/>
    <w:rsid w:val="67C5B539"/>
    <w:rsid w:val="67CD24BE"/>
    <w:rsid w:val="67CD5803"/>
    <w:rsid w:val="67CEBB27"/>
    <w:rsid w:val="67D02088"/>
    <w:rsid w:val="67D1AA46"/>
    <w:rsid w:val="67D1FB8E"/>
    <w:rsid w:val="67D86C29"/>
    <w:rsid w:val="67D9E7CE"/>
    <w:rsid w:val="67DD6807"/>
    <w:rsid w:val="67DF5E36"/>
    <w:rsid w:val="67E86740"/>
    <w:rsid w:val="67EC9902"/>
    <w:rsid w:val="67F21940"/>
    <w:rsid w:val="67F277C5"/>
    <w:rsid w:val="67F43774"/>
    <w:rsid w:val="67F76DDB"/>
    <w:rsid w:val="67F8F110"/>
    <w:rsid w:val="67FBF6F1"/>
    <w:rsid w:val="67FCB37F"/>
    <w:rsid w:val="67FD96B2"/>
    <w:rsid w:val="67FDA9E7"/>
    <w:rsid w:val="67FDD852"/>
    <w:rsid w:val="67FE09D2"/>
    <w:rsid w:val="6800903B"/>
    <w:rsid w:val="6806BBD5"/>
    <w:rsid w:val="6806E5B4"/>
    <w:rsid w:val="6809D8FE"/>
    <w:rsid w:val="680BF301"/>
    <w:rsid w:val="6814A7D7"/>
    <w:rsid w:val="68261CC6"/>
    <w:rsid w:val="68266A59"/>
    <w:rsid w:val="68270966"/>
    <w:rsid w:val="682EB5AB"/>
    <w:rsid w:val="68315B29"/>
    <w:rsid w:val="6837532B"/>
    <w:rsid w:val="683C4DD3"/>
    <w:rsid w:val="683E2C86"/>
    <w:rsid w:val="683E7DB8"/>
    <w:rsid w:val="683F9716"/>
    <w:rsid w:val="68458396"/>
    <w:rsid w:val="6845D26F"/>
    <w:rsid w:val="684C96CD"/>
    <w:rsid w:val="684EBD8C"/>
    <w:rsid w:val="684EE65F"/>
    <w:rsid w:val="684F9127"/>
    <w:rsid w:val="6853C3F3"/>
    <w:rsid w:val="68574018"/>
    <w:rsid w:val="685783B7"/>
    <w:rsid w:val="6858079F"/>
    <w:rsid w:val="68643115"/>
    <w:rsid w:val="68656730"/>
    <w:rsid w:val="6868649E"/>
    <w:rsid w:val="686B2706"/>
    <w:rsid w:val="686EE92A"/>
    <w:rsid w:val="6875FF04"/>
    <w:rsid w:val="687A9E72"/>
    <w:rsid w:val="687BE5FF"/>
    <w:rsid w:val="687E9C13"/>
    <w:rsid w:val="687F721E"/>
    <w:rsid w:val="6889D429"/>
    <w:rsid w:val="688C3FB2"/>
    <w:rsid w:val="688ED4C2"/>
    <w:rsid w:val="68985BD7"/>
    <w:rsid w:val="68994CA1"/>
    <w:rsid w:val="689ADB7C"/>
    <w:rsid w:val="689D49FF"/>
    <w:rsid w:val="68AA1C14"/>
    <w:rsid w:val="68AAF906"/>
    <w:rsid w:val="68ABF7F8"/>
    <w:rsid w:val="68AC092E"/>
    <w:rsid w:val="68B03959"/>
    <w:rsid w:val="68B27A67"/>
    <w:rsid w:val="68B2A961"/>
    <w:rsid w:val="68B6A581"/>
    <w:rsid w:val="68B9B27F"/>
    <w:rsid w:val="68B9D5DF"/>
    <w:rsid w:val="68BB1704"/>
    <w:rsid w:val="68BDCD16"/>
    <w:rsid w:val="68C15ED7"/>
    <w:rsid w:val="68CFDEF9"/>
    <w:rsid w:val="68D25E4A"/>
    <w:rsid w:val="68D4A6A1"/>
    <w:rsid w:val="68D4E95D"/>
    <w:rsid w:val="68D50848"/>
    <w:rsid w:val="68D86823"/>
    <w:rsid w:val="68D9F1EB"/>
    <w:rsid w:val="68DCF149"/>
    <w:rsid w:val="68DD71B1"/>
    <w:rsid w:val="68E5D586"/>
    <w:rsid w:val="68F3F922"/>
    <w:rsid w:val="68F9709A"/>
    <w:rsid w:val="6902619E"/>
    <w:rsid w:val="69071990"/>
    <w:rsid w:val="690952C9"/>
    <w:rsid w:val="690D15D4"/>
    <w:rsid w:val="6922C02E"/>
    <w:rsid w:val="6924CCDD"/>
    <w:rsid w:val="6924CFF7"/>
    <w:rsid w:val="69282ACA"/>
    <w:rsid w:val="6928C44C"/>
    <w:rsid w:val="692D756A"/>
    <w:rsid w:val="692E0F50"/>
    <w:rsid w:val="69303AD2"/>
    <w:rsid w:val="693B87E5"/>
    <w:rsid w:val="693C4999"/>
    <w:rsid w:val="693DB86B"/>
    <w:rsid w:val="69447BB6"/>
    <w:rsid w:val="6945558B"/>
    <w:rsid w:val="694710B1"/>
    <w:rsid w:val="694BAFCA"/>
    <w:rsid w:val="694C10F7"/>
    <w:rsid w:val="6952B516"/>
    <w:rsid w:val="6959FEEE"/>
    <w:rsid w:val="69637ED0"/>
    <w:rsid w:val="69651237"/>
    <w:rsid w:val="6965BBDC"/>
    <w:rsid w:val="6967B039"/>
    <w:rsid w:val="69703A4F"/>
    <w:rsid w:val="6972099A"/>
    <w:rsid w:val="697263E3"/>
    <w:rsid w:val="697585B2"/>
    <w:rsid w:val="6978C292"/>
    <w:rsid w:val="6982EA18"/>
    <w:rsid w:val="69877126"/>
    <w:rsid w:val="698BF525"/>
    <w:rsid w:val="6993519B"/>
    <w:rsid w:val="69940A8C"/>
    <w:rsid w:val="69943C64"/>
    <w:rsid w:val="699AE803"/>
    <w:rsid w:val="699BC2C5"/>
    <w:rsid w:val="69A03639"/>
    <w:rsid w:val="69A1D5BA"/>
    <w:rsid w:val="69A7D772"/>
    <w:rsid w:val="69AAD2FC"/>
    <w:rsid w:val="69B3B1E3"/>
    <w:rsid w:val="69C17110"/>
    <w:rsid w:val="69C59A52"/>
    <w:rsid w:val="69C5CFC4"/>
    <w:rsid w:val="69CAA355"/>
    <w:rsid w:val="69D151E8"/>
    <w:rsid w:val="69D32B39"/>
    <w:rsid w:val="69D5004C"/>
    <w:rsid w:val="69D61FFA"/>
    <w:rsid w:val="69D7F3CC"/>
    <w:rsid w:val="69D95905"/>
    <w:rsid w:val="69DACB83"/>
    <w:rsid w:val="69DB1426"/>
    <w:rsid w:val="69DD2046"/>
    <w:rsid w:val="69E33BF0"/>
    <w:rsid w:val="69E36F19"/>
    <w:rsid w:val="69EB11C2"/>
    <w:rsid w:val="69EDFEAB"/>
    <w:rsid w:val="69F131F7"/>
    <w:rsid w:val="69F1DD25"/>
    <w:rsid w:val="69F5FE73"/>
    <w:rsid w:val="69FDA817"/>
    <w:rsid w:val="69FF41B1"/>
    <w:rsid w:val="6A06B40A"/>
    <w:rsid w:val="6A072296"/>
    <w:rsid w:val="6A19ACEC"/>
    <w:rsid w:val="6A1EC4F1"/>
    <w:rsid w:val="6A26497F"/>
    <w:rsid w:val="6A2677D0"/>
    <w:rsid w:val="6A274017"/>
    <w:rsid w:val="6A291251"/>
    <w:rsid w:val="6A2BB50D"/>
    <w:rsid w:val="6A305D81"/>
    <w:rsid w:val="6A3AB02F"/>
    <w:rsid w:val="6A3AEDC1"/>
    <w:rsid w:val="6A3AF4EC"/>
    <w:rsid w:val="6A3B8D73"/>
    <w:rsid w:val="6A3FB3AF"/>
    <w:rsid w:val="6A3FD234"/>
    <w:rsid w:val="6A40B8AC"/>
    <w:rsid w:val="6A4F453B"/>
    <w:rsid w:val="6A4F91D2"/>
    <w:rsid w:val="6A5DCC76"/>
    <w:rsid w:val="6A5F045C"/>
    <w:rsid w:val="6A6891FA"/>
    <w:rsid w:val="6A70D1F1"/>
    <w:rsid w:val="6A918D46"/>
    <w:rsid w:val="6A92646D"/>
    <w:rsid w:val="6A9D150E"/>
    <w:rsid w:val="6A9E62F2"/>
    <w:rsid w:val="6AA779E0"/>
    <w:rsid w:val="6AAAFFAA"/>
    <w:rsid w:val="6AB33E8C"/>
    <w:rsid w:val="6AB5CB85"/>
    <w:rsid w:val="6ABA3452"/>
    <w:rsid w:val="6ABBEB68"/>
    <w:rsid w:val="6AC2CC94"/>
    <w:rsid w:val="6AC884C3"/>
    <w:rsid w:val="6ACB8636"/>
    <w:rsid w:val="6AD0167D"/>
    <w:rsid w:val="6ADC4F6E"/>
    <w:rsid w:val="6ADDAAE9"/>
    <w:rsid w:val="6AE72798"/>
    <w:rsid w:val="6AEA21F5"/>
    <w:rsid w:val="6AEA5042"/>
    <w:rsid w:val="6AEA730C"/>
    <w:rsid w:val="6AED01F9"/>
    <w:rsid w:val="6AEEF891"/>
    <w:rsid w:val="6AF7D192"/>
    <w:rsid w:val="6AF8B3F1"/>
    <w:rsid w:val="6B003BE5"/>
    <w:rsid w:val="6B004FF2"/>
    <w:rsid w:val="6B021D16"/>
    <w:rsid w:val="6B047F17"/>
    <w:rsid w:val="6B050C60"/>
    <w:rsid w:val="6B056CEA"/>
    <w:rsid w:val="6B06F903"/>
    <w:rsid w:val="6B075C26"/>
    <w:rsid w:val="6B0B64BE"/>
    <w:rsid w:val="6B0C34B5"/>
    <w:rsid w:val="6B0E3AFA"/>
    <w:rsid w:val="6B12486A"/>
    <w:rsid w:val="6B1868A0"/>
    <w:rsid w:val="6B1B914E"/>
    <w:rsid w:val="6B234DA0"/>
    <w:rsid w:val="6B28539B"/>
    <w:rsid w:val="6B29A66C"/>
    <w:rsid w:val="6B29B01A"/>
    <w:rsid w:val="6B324C5C"/>
    <w:rsid w:val="6B34FCDD"/>
    <w:rsid w:val="6B3538F7"/>
    <w:rsid w:val="6B3915B6"/>
    <w:rsid w:val="6B3ACFE1"/>
    <w:rsid w:val="6B3D71E4"/>
    <w:rsid w:val="6B3E3B9F"/>
    <w:rsid w:val="6B3F1A6B"/>
    <w:rsid w:val="6B409310"/>
    <w:rsid w:val="6B411F0F"/>
    <w:rsid w:val="6B4544F3"/>
    <w:rsid w:val="6B4B0D74"/>
    <w:rsid w:val="6B4CD87E"/>
    <w:rsid w:val="6B56FF55"/>
    <w:rsid w:val="6B59B782"/>
    <w:rsid w:val="6B651B54"/>
    <w:rsid w:val="6B697767"/>
    <w:rsid w:val="6B6D4C46"/>
    <w:rsid w:val="6B809800"/>
    <w:rsid w:val="6B8E6C61"/>
    <w:rsid w:val="6B920E37"/>
    <w:rsid w:val="6B98D550"/>
    <w:rsid w:val="6B9F7A0F"/>
    <w:rsid w:val="6BA10970"/>
    <w:rsid w:val="6BA54347"/>
    <w:rsid w:val="6BA71DAB"/>
    <w:rsid w:val="6BA74891"/>
    <w:rsid w:val="6BAB3AB8"/>
    <w:rsid w:val="6BAC26FF"/>
    <w:rsid w:val="6BBB6E32"/>
    <w:rsid w:val="6BBD79F5"/>
    <w:rsid w:val="6BC16370"/>
    <w:rsid w:val="6BC27926"/>
    <w:rsid w:val="6BC2E091"/>
    <w:rsid w:val="6BC2F901"/>
    <w:rsid w:val="6BC3EF15"/>
    <w:rsid w:val="6BC6FC46"/>
    <w:rsid w:val="6BC828DA"/>
    <w:rsid w:val="6BC8A3A2"/>
    <w:rsid w:val="6BCC5917"/>
    <w:rsid w:val="6BD0C840"/>
    <w:rsid w:val="6BD26E89"/>
    <w:rsid w:val="6BD34110"/>
    <w:rsid w:val="6BD43ECC"/>
    <w:rsid w:val="6BDA3847"/>
    <w:rsid w:val="6BE57519"/>
    <w:rsid w:val="6BECAB93"/>
    <w:rsid w:val="6BEDC7C7"/>
    <w:rsid w:val="6BF042FD"/>
    <w:rsid w:val="6BF44E08"/>
    <w:rsid w:val="6C0437DF"/>
    <w:rsid w:val="6C09D40A"/>
    <w:rsid w:val="6C0DB766"/>
    <w:rsid w:val="6C0EEF3B"/>
    <w:rsid w:val="6C1A0015"/>
    <w:rsid w:val="6C1BB508"/>
    <w:rsid w:val="6C1DD6D0"/>
    <w:rsid w:val="6C1F9866"/>
    <w:rsid w:val="6C24C863"/>
    <w:rsid w:val="6C265604"/>
    <w:rsid w:val="6C35A778"/>
    <w:rsid w:val="6C397988"/>
    <w:rsid w:val="6C3B94BA"/>
    <w:rsid w:val="6C3F491D"/>
    <w:rsid w:val="6C478C16"/>
    <w:rsid w:val="6C49496C"/>
    <w:rsid w:val="6C4B6D64"/>
    <w:rsid w:val="6C4D45E2"/>
    <w:rsid w:val="6C510153"/>
    <w:rsid w:val="6C59F5F9"/>
    <w:rsid w:val="6C5CD6AD"/>
    <w:rsid w:val="6C64E659"/>
    <w:rsid w:val="6C6536EE"/>
    <w:rsid w:val="6C6B2841"/>
    <w:rsid w:val="6C6E76ED"/>
    <w:rsid w:val="6C73559F"/>
    <w:rsid w:val="6C79DEA5"/>
    <w:rsid w:val="6C7E371D"/>
    <w:rsid w:val="6C81FFAA"/>
    <w:rsid w:val="6C835948"/>
    <w:rsid w:val="6C865870"/>
    <w:rsid w:val="6C8BE0FF"/>
    <w:rsid w:val="6C91D115"/>
    <w:rsid w:val="6C9653B2"/>
    <w:rsid w:val="6C972F17"/>
    <w:rsid w:val="6C9BEF5D"/>
    <w:rsid w:val="6C9E212A"/>
    <w:rsid w:val="6CA3F968"/>
    <w:rsid w:val="6CA445D1"/>
    <w:rsid w:val="6CA6A827"/>
    <w:rsid w:val="6CA76957"/>
    <w:rsid w:val="6CB0A2C0"/>
    <w:rsid w:val="6CB35DEF"/>
    <w:rsid w:val="6CB85EFE"/>
    <w:rsid w:val="6CBC2762"/>
    <w:rsid w:val="6CBE8B29"/>
    <w:rsid w:val="6CBFE8DA"/>
    <w:rsid w:val="6CC3BA13"/>
    <w:rsid w:val="6CC420EE"/>
    <w:rsid w:val="6CC63E87"/>
    <w:rsid w:val="6CC83C2B"/>
    <w:rsid w:val="6CCA9680"/>
    <w:rsid w:val="6CD0A2B1"/>
    <w:rsid w:val="6CD2B2E5"/>
    <w:rsid w:val="6CD4184B"/>
    <w:rsid w:val="6CD86A04"/>
    <w:rsid w:val="6CDE2C9B"/>
    <w:rsid w:val="6CDE91C8"/>
    <w:rsid w:val="6CE0E3D4"/>
    <w:rsid w:val="6CE170C9"/>
    <w:rsid w:val="6CE4B2B9"/>
    <w:rsid w:val="6CE4E858"/>
    <w:rsid w:val="6CE561A1"/>
    <w:rsid w:val="6CE8C1C7"/>
    <w:rsid w:val="6CEFF613"/>
    <w:rsid w:val="6CF6D519"/>
    <w:rsid w:val="6D00D0DD"/>
    <w:rsid w:val="6D0D977E"/>
    <w:rsid w:val="6D0E94D2"/>
    <w:rsid w:val="6D17AAEC"/>
    <w:rsid w:val="6D19525F"/>
    <w:rsid w:val="6D1A1EAA"/>
    <w:rsid w:val="6D1B80E3"/>
    <w:rsid w:val="6D2D4B7B"/>
    <w:rsid w:val="6D2EF403"/>
    <w:rsid w:val="6D30DFC8"/>
    <w:rsid w:val="6D32E96E"/>
    <w:rsid w:val="6D3362FB"/>
    <w:rsid w:val="6D3804B9"/>
    <w:rsid w:val="6D3CD9D1"/>
    <w:rsid w:val="6D3DB9F3"/>
    <w:rsid w:val="6D3E8FA4"/>
    <w:rsid w:val="6D415555"/>
    <w:rsid w:val="6D445E11"/>
    <w:rsid w:val="6D46944B"/>
    <w:rsid w:val="6D482DFC"/>
    <w:rsid w:val="6D4A11DB"/>
    <w:rsid w:val="6D4CA012"/>
    <w:rsid w:val="6D54FA94"/>
    <w:rsid w:val="6D57C0DA"/>
    <w:rsid w:val="6D5A11D8"/>
    <w:rsid w:val="6D65923F"/>
    <w:rsid w:val="6D6D7085"/>
    <w:rsid w:val="6D7B7A54"/>
    <w:rsid w:val="6D7CDB32"/>
    <w:rsid w:val="6D8B690C"/>
    <w:rsid w:val="6D8F109F"/>
    <w:rsid w:val="6D91FF42"/>
    <w:rsid w:val="6D938EE2"/>
    <w:rsid w:val="6D9484A3"/>
    <w:rsid w:val="6D96425C"/>
    <w:rsid w:val="6D97315B"/>
    <w:rsid w:val="6DA51F6B"/>
    <w:rsid w:val="6DA674F4"/>
    <w:rsid w:val="6DA89C8C"/>
    <w:rsid w:val="6DA9CCEB"/>
    <w:rsid w:val="6DBB149C"/>
    <w:rsid w:val="6DBD3542"/>
    <w:rsid w:val="6DC2CBF9"/>
    <w:rsid w:val="6DC3C7BF"/>
    <w:rsid w:val="6DC3DEC7"/>
    <w:rsid w:val="6DC6B5BB"/>
    <w:rsid w:val="6DCC960D"/>
    <w:rsid w:val="6DD81746"/>
    <w:rsid w:val="6DEBEB69"/>
    <w:rsid w:val="6DEBEBCF"/>
    <w:rsid w:val="6DEDBDC7"/>
    <w:rsid w:val="6DEF0A2C"/>
    <w:rsid w:val="6DEF4184"/>
    <w:rsid w:val="6DEFD9FB"/>
    <w:rsid w:val="6DF12015"/>
    <w:rsid w:val="6DFBBF0E"/>
    <w:rsid w:val="6DFFDB57"/>
    <w:rsid w:val="6DFFFDE7"/>
    <w:rsid w:val="6E0715AB"/>
    <w:rsid w:val="6E0A29E2"/>
    <w:rsid w:val="6E0C1564"/>
    <w:rsid w:val="6E10EDA1"/>
    <w:rsid w:val="6E11208B"/>
    <w:rsid w:val="6E12F267"/>
    <w:rsid w:val="6E15C9EF"/>
    <w:rsid w:val="6E18C6FE"/>
    <w:rsid w:val="6E1B93DA"/>
    <w:rsid w:val="6E1BEDA5"/>
    <w:rsid w:val="6E1FAFA3"/>
    <w:rsid w:val="6E1FF9EB"/>
    <w:rsid w:val="6E2009C5"/>
    <w:rsid w:val="6E24A2BB"/>
    <w:rsid w:val="6E258B07"/>
    <w:rsid w:val="6E261778"/>
    <w:rsid w:val="6E284287"/>
    <w:rsid w:val="6E2A08EF"/>
    <w:rsid w:val="6E2C5EB3"/>
    <w:rsid w:val="6E30AB3E"/>
    <w:rsid w:val="6E31A4DA"/>
    <w:rsid w:val="6E33BD23"/>
    <w:rsid w:val="6E352086"/>
    <w:rsid w:val="6E42A383"/>
    <w:rsid w:val="6E47069E"/>
    <w:rsid w:val="6E5923EB"/>
    <w:rsid w:val="6E5D212B"/>
    <w:rsid w:val="6E66C7E6"/>
    <w:rsid w:val="6E6941E0"/>
    <w:rsid w:val="6E6CAA0E"/>
    <w:rsid w:val="6E6D32CC"/>
    <w:rsid w:val="6E6F649C"/>
    <w:rsid w:val="6E6FEA76"/>
    <w:rsid w:val="6E712AED"/>
    <w:rsid w:val="6E781506"/>
    <w:rsid w:val="6E79E53F"/>
    <w:rsid w:val="6E7A804E"/>
    <w:rsid w:val="6E7CEB4E"/>
    <w:rsid w:val="6E8D0109"/>
    <w:rsid w:val="6E8FAF49"/>
    <w:rsid w:val="6E9017C3"/>
    <w:rsid w:val="6E963536"/>
    <w:rsid w:val="6E966C89"/>
    <w:rsid w:val="6EA553BC"/>
    <w:rsid w:val="6EA9BD1E"/>
    <w:rsid w:val="6EAA1583"/>
    <w:rsid w:val="6EACABF4"/>
    <w:rsid w:val="6EADF782"/>
    <w:rsid w:val="6EB109E1"/>
    <w:rsid w:val="6EB57A4E"/>
    <w:rsid w:val="6EB58DE2"/>
    <w:rsid w:val="6EB5F8F3"/>
    <w:rsid w:val="6EB68DFB"/>
    <w:rsid w:val="6EB87BB1"/>
    <w:rsid w:val="6EBA5800"/>
    <w:rsid w:val="6EBBB134"/>
    <w:rsid w:val="6EC3DD91"/>
    <w:rsid w:val="6EC78C01"/>
    <w:rsid w:val="6EC9F397"/>
    <w:rsid w:val="6ECB7ACB"/>
    <w:rsid w:val="6ECEFB05"/>
    <w:rsid w:val="6ED12CA3"/>
    <w:rsid w:val="6ED7C574"/>
    <w:rsid w:val="6EE7344A"/>
    <w:rsid w:val="6EEE20D4"/>
    <w:rsid w:val="6EEEE3B2"/>
    <w:rsid w:val="6EF13B34"/>
    <w:rsid w:val="6EF78025"/>
    <w:rsid w:val="6EF824EF"/>
    <w:rsid w:val="6EFEE71A"/>
    <w:rsid w:val="6F037293"/>
    <w:rsid w:val="6F06D999"/>
    <w:rsid w:val="6F10BF29"/>
    <w:rsid w:val="6F1395D7"/>
    <w:rsid w:val="6F190813"/>
    <w:rsid w:val="6F1A890D"/>
    <w:rsid w:val="6F1B59C8"/>
    <w:rsid w:val="6F1DE3BB"/>
    <w:rsid w:val="6F1DFADA"/>
    <w:rsid w:val="6F2599E0"/>
    <w:rsid w:val="6F46C63B"/>
    <w:rsid w:val="6F4BF5EB"/>
    <w:rsid w:val="6F4F0458"/>
    <w:rsid w:val="6F537A84"/>
    <w:rsid w:val="6F58DE46"/>
    <w:rsid w:val="6F5AAEB4"/>
    <w:rsid w:val="6F5C8704"/>
    <w:rsid w:val="6F5E3DD6"/>
    <w:rsid w:val="6F602E45"/>
    <w:rsid w:val="6F608C2F"/>
    <w:rsid w:val="6F63EEC4"/>
    <w:rsid w:val="6F6C30E5"/>
    <w:rsid w:val="6F6D8D64"/>
    <w:rsid w:val="6F72D124"/>
    <w:rsid w:val="6F77877B"/>
    <w:rsid w:val="6F783713"/>
    <w:rsid w:val="6F78C507"/>
    <w:rsid w:val="6F79295D"/>
    <w:rsid w:val="6F7AE257"/>
    <w:rsid w:val="6F830540"/>
    <w:rsid w:val="6F83CDBB"/>
    <w:rsid w:val="6F850753"/>
    <w:rsid w:val="6F897CD4"/>
    <w:rsid w:val="6F90C1B3"/>
    <w:rsid w:val="6F979B0E"/>
    <w:rsid w:val="6F9E65E1"/>
    <w:rsid w:val="6FA3E968"/>
    <w:rsid w:val="6FA475EC"/>
    <w:rsid w:val="6FA4A388"/>
    <w:rsid w:val="6FA5FFC5"/>
    <w:rsid w:val="6FAB2608"/>
    <w:rsid w:val="6FAB28A3"/>
    <w:rsid w:val="6FACCACB"/>
    <w:rsid w:val="6FB10E24"/>
    <w:rsid w:val="6FB555D2"/>
    <w:rsid w:val="6FB7B8DF"/>
    <w:rsid w:val="6FB80703"/>
    <w:rsid w:val="6FBE80D5"/>
    <w:rsid w:val="6FC1DC5D"/>
    <w:rsid w:val="6FC37601"/>
    <w:rsid w:val="6FC88559"/>
    <w:rsid w:val="6FC9C6A1"/>
    <w:rsid w:val="6FCFFCBC"/>
    <w:rsid w:val="6FD04215"/>
    <w:rsid w:val="6FD15E1C"/>
    <w:rsid w:val="6FD1FFE9"/>
    <w:rsid w:val="6FD21BB4"/>
    <w:rsid w:val="6FD3BB1A"/>
    <w:rsid w:val="6FD8C770"/>
    <w:rsid w:val="6FDD6069"/>
    <w:rsid w:val="6FDF3383"/>
    <w:rsid w:val="6FE394BE"/>
    <w:rsid w:val="6FE6DBFB"/>
    <w:rsid w:val="6FE7A280"/>
    <w:rsid w:val="6FEF7AD1"/>
    <w:rsid w:val="6FF15E6A"/>
    <w:rsid w:val="6FF2D14D"/>
    <w:rsid w:val="6FFA6CC7"/>
    <w:rsid w:val="6FFBDC65"/>
    <w:rsid w:val="6FFD7B7F"/>
    <w:rsid w:val="70006257"/>
    <w:rsid w:val="7002D280"/>
    <w:rsid w:val="7004025E"/>
    <w:rsid w:val="70067AAD"/>
    <w:rsid w:val="7009A4BC"/>
    <w:rsid w:val="700E63E1"/>
    <w:rsid w:val="700E80D0"/>
    <w:rsid w:val="700E9911"/>
    <w:rsid w:val="7013C7B2"/>
    <w:rsid w:val="70155E65"/>
    <w:rsid w:val="7018A631"/>
    <w:rsid w:val="701B8C58"/>
    <w:rsid w:val="701E00D0"/>
    <w:rsid w:val="7024C9FA"/>
    <w:rsid w:val="7025FC32"/>
    <w:rsid w:val="70298C46"/>
    <w:rsid w:val="702A9335"/>
    <w:rsid w:val="703077F6"/>
    <w:rsid w:val="703B854D"/>
    <w:rsid w:val="703F85B7"/>
    <w:rsid w:val="70463037"/>
    <w:rsid w:val="70528009"/>
    <w:rsid w:val="7062433F"/>
    <w:rsid w:val="7062C503"/>
    <w:rsid w:val="706532B5"/>
    <w:rsid w:val="706584A0"/>
    <w:rsid w:val="7068808A"/>
    <w:rsid w:val="706CF8E4"/>
    <w:rsid w:val="706E403B"/>
    <w:rsid w:val="706F0A22"/>
    <w:rsid w:val="7073D33B"/>
    <w:rsid w:val="70755E1F"/>
    <w:rsid w:val="70767B5F"/>
    <w:rsid w:val="707A7920"/>
    <w:rsid w:val="707C2EFA"/>
    <w:rsid w:val="7096FB4A"/>
    <w:rsid w:val="70999F2A"/>
    <w:rsid w:val="709DAE50"/>
    <w:rsid w:val="70A0C7A4"/>
    <w:rsid w:val="70A11B63"/>
    <w:rsid w:val="70A45609"/>
    <w:rsid w:val="70AC07DB"/>
    <w:rsid w:val="70AF840E"/>
    <w:rsid w:val="70B06FDD"/>
    <w:rsid w:val="70B43D2F"/>
    <w:rsid w:val="70BA33BB"/>
    <w:rsid w:val="70BA7EE6"/>
    <w:rsid w:val="70C6D2E5"/>
    <w:rsid w:val="70C841E8"/>
    <w:rsid w:val="70CC90F6"/>
    <w:rsid w:val="70D819AA"/>
    <w:rsid w:val="70DE2385"/>
    <w:rsid w:val="70E53CAD"/>
    <w:rsid w:val="70E89A6F"/>
    <w:rsid w:val="70EB5758"/>
    <w:rsid w:val="70EDDB2D"/>
    <w:rsid w:val="70F1A7CA"/>
    <w:rsid w:val="70F349A0"/>
    <w:rsid w:val="70F43AEC"/>
    <w:rsid w:val="70F98D05"/>
    <w:rsid w:val="70FBE435"/>
    <w:rsid w:val="70FF6EDD"/>
    <w:rsid w:val="710A594C"/>
    <w:rsid w:val="710B4D2A"/>
    <w:rsid w:val="710E7253"/>
    <w:rsid w:val="710F0353"/>
    <w:rsid w:val="71161013"/>
    <w:rsid w:val="7116BAC3"/>
    <w:rsid w:val="711BAD39"/>
    <w:rsid w:val="711DFF23"/>
    <w:rsid w:val="711F2509"/>
    <w:rsid w:val="71248CDF"/>
    <w:rsid w:val="7128E657"/>
    <w:rsid w:val="7129798F"/>
    <w:rsid w:val="7131F6B7"/>
    <w:rsid w:val="71390E78"/>
    <w:rsid w:val="713F08A6"/>
    <w:rsid w:val="71403FD9"/>
    <w:rsid w:val="71445204"/>
    <w:rsid w:val="7144914A"/>
    <w:rsid w:val="71454713"/>
    <w:rsid w:val="71454768"/>
    <w:rsid w:val="71454F8E"/>
    <w:rsid w:val="7147B76A"/>
    <w:rsid w:val="7147F465"/>
    <w:rsid w:val="714877F5"/>
    <w:rsid w:val="7149F5EB"/>
    <w:rsid w:val="714C8B0E"/>
    <w:rsid w:val="714D6249"/>
    <w:rsid w:val="714EC4AB"/>
    <w:rsid w:val="714F8C64"/>
    <w:rsid w:val="71501F63"/>
    <w:rsid w:val="71540AD2"/>
    <w:rsid w:val="71581BB4"/>
    <w:rsid w:val="715F22C8"/>
    <w:rsid w:val="715FBE91"/>
    <w:rsid w:val="71617D5B"/>
    <w:rsid w:val="7161A57A"/>
    <w:rsid w:val="716204B6"/>
    <w:rsid w:val="71645A72"/>
    <w:rsid w:val="716B0F54"/>
    <w:rsid w:val="716E2BD5"/>
    <w:rsid w:val="716F7F7F"/>
    <w:rsid w:val="7172C293"/>
    <w:rsid w:val="7175B27C"/>
    <w:rsid w:val="7175ED32"/>
    <w:rsid w:val="7183992C"/>
    <w:rsid w:val="71872AFE"/>
    <w:rsid w:val="718AD5CF"/>
    <w:rsid w:val="718D706D"/>
    <w:rsid w:val="718E4F1E"/>
    <w:rsid w:val="718E5B48"/>
    <w:rsid w:val="7194C2BE"/>
    <w:rsid w:val="7194D44F"/>
    <w:rsid w:val="7195125F"/>
    <w:rsid w:val="7195B61A"/>
    <w:rsid w:val="719BE866"/>
    <w:rsid w:val="71A4C13F"/>
    <w:rsid w:val="71A613C0"/>
    <w:rsid w:val="71A768CE"/>
    <w:rsid w:val="71A79CBF"/>
    <w:rsid w:val="71AAB665"/>
    <w:rsid w:val="71AE348E"/>
    <w:rsid w:val="71B14831"/>
    <w:rsid w:val="71B2E29A"/>
    <w:rsid w:val="71B3A898"/>
    <w:rsid w:val="71B58EDC"/>
    <w:rsid w:val="71B97F07"/>
    <w:rsid w:val="71BC3B82"/>
    <w:rsid w:val="71BD2BF8"/>
    <w:rsid w:val="71C35B8F"/>
    <w:rsid w:val="71C5EF63"/>
    <w:rsid w:val="71C9DD54"/>
    <w:rsid w:val="71D51FAB"/>
    <w:rsid w:val="71D58779"/>
    <w:rsid w:val="71DDCE28"/>
    <w:rsid w:val="71DE16DC"/>
    <w:rsid w:val="71DE3A8A"/>
    <w:rsid w:val="71E4F433"/>
    <w:rsid w:val="71EF52B2"/>
    <w:rsid w:val="71F0EA0A"/>
    <w:rsid w:val="71F8A7BC"/>
    <w:rsid w:val="71F93C52"/>
    <w:rsid w:val="71FCD93B"/>
    <w:rsid w:val="7200C503"/>
    <w:rsid w:val="7209CAA9"/>
    <w:rsid w:val="720A7E46"/>
    <w:rsid w:val="720BFA0E"/>
    <w:rsid w:val="720CBBE4"/>
    <w:rsid w:val="72179500"/>
    <w:rsid w:val="7217BE4D"/>
    <w:rsid w:val="721F857D"/>
    <w:rsid w:val="7220A1CA"/>
    <w:rsid w:val="7220FFAE"/>
    <w:rsid w:val="7224113A"/>
    <w:rsid w:val="7226F141"/>
    <w:rsid w:val="7228EDA5"/>
    <w:rsid w:val="723137CB"/>
    <w:rsid w:val="723448EB"/>
    <w:rsid w:val="7236FD9D"/>
    <w:rsid w:val="723865DA"/>
    <w:rsid w:val="72398F3C"/>
    <w:rsid w:val="723A2F8E"/>
    <w:rsid w:val="723AC51D"/>
    <w:rsid w:val="723B9029"/>
    <w:rsid w:val="72452DEC"/>
    <w:rsid w:val="724DD5EF"/>
    <w:rsid w:val="72535251"/>
    <w:rsid w:val="7255DD7F"/>
    <w:rsid w:val="72596351"/>
    <w:rsid w:val="7265CC11"/>
    <w:rsid w:val="72664407"/>
    <w:rsid w:val="7268F350"/>
    <w:rsid w:val="727E1206"/>
    <w:rsid w:val="727F2E49"/>
    <w:rsid w:val="7281754E"/>
    <w:rsid w:val="72867223"/>
    <w:rsid w:val="7287057A"/>
    <w:rsid w:val="72876053"/>
    <w:rsid w:val="72904858"/>
    <w:rsid w:val="7292866F"/>
    <w:rsid w:val="7292D01C"/>
    <w:rsid w:val="7295A1B3"/>
    <w:rsid w:val="72967377"/>
    <w:rsid w:val="7296EB9C"/>
    <w:rsid w:val="729BDCAC"/>
    <w:rsid w:val="72A193FB"/>
    <w:rsid w:val="72A3C88B"/>
    <w:rsid w:val="72A6D370"/>
    <w:rsid w:val="72A78C49"/>
    <w:rsid w:val="72A8F921"/>
    <w:rsid w:val="72B3B8EA"/>
    <w:rsid w:val="72B7B1CE"/>
    <w:rsid w:val="72B7BDD9"/>
    <w:rsid w:val="72CC99E2"/>
    <w:rsid w:val="72D21A2A"/>
    <w:rsid w:val="72D35BE7"/>
    <w:rsid w:val="72D43770"/>
    <w:rsid w:val="72D44102"/>
    <w:rsid w:val="72D874AE"/>
    <w:rsid w:val="72DA171D"/>
    <w:rsid w:val="72E1C0F3"/>
    <w:rsid w:val="72E30F11"/>
    <w:rsid w:val="72E376B5"/>
    <w:rsid w:val="73011B49"/>
    <w:rsid w:val="730758BC"/>
    <w:rsid w:val="730AB9AB"/>
    <w:rsid w:val="730F62FD"/>
    <w:rsid w:val="7311A9A2"/>
    <w:rsid w:val="7313545F"/>
    <w:rsid w:val="7319026D"/>
    <w:rsid w:val="731CB784"/>
    <w:rsid w:val="731FA303"/>
    <w:rsid w:val="73224C94"/>
    <w:rsid w:val="73268E89"/>
    <w:rsid w:val="7338244A"/>
    <w:rsid w:val="733A143C"/>
    <w:rsid w:val="733BD08D"/>
    <w:rsid w:val="733F9A43"/>
    <w:rsid w:val="733FD572"/>
    <w:rsid w:val="73400889"/>
    <w:rsid w:val="734071EF"/>
    <w:rsid w:val="7344CE79"/>
    <w:rsid w:val="73486EAC"/>
    <w:rsid w:val="734A7396"/>
    <w:rsid w:val="7352390A"/>
    <w:rsid w:val="7358DF14"/>
    <w:rsid w:val="735916C3"/>
    <w:rsid w:val="735F824A"/>
    <w:rsid w:val="7360DEE3"/>
    <w:rsid w:val="736417F5"/>
    <w:rsid w:val="73668072"/>
    <w:rsid w:val="7366994E"/>
    <w:rsid w:val="736BB34D"/>
    <w:rsid w:val="736D44AD"/>
    <w:rsid w:val="736E82AE"/>
    <w:rsid w:val="737072A0"/>
    <w:rsid w:val="7372355C"/>
    <w:rsid w:val="7373D852"/>
    <w:rsid w:val="7375DC69"/>
    <w:rsid w:val="73783C08"/>
    <w:rsid w:val="7378E23A"/>
    <w:rsid w:val="73828981"/>
    <w:rsid w:val="738DC2EE"/>
    <w:rsid w:val="7393988B"/>
    <w:rsid w:val="73A72BCD"/>
    <w:rsid w:val="73A9850B"/>
    <w:rsid w:val="73ADC4FE"/>
    <w:rsid w:val="73B204C7"/>
    <w:rsid w:val="73BA7665"/>
    <w:rsid w:val="73C58F27"/>
    <w:rsid w:val="73DC9002"/>
    <w:rsid w:val="73DCB3F2"/>
    <w:rsid w:val="73DFCCD5"/>
    <w:rsid w:val="73E7BE07"/>
    <w:rsid w:val="73EE0217"/>
    <w:rsid w:val="73F50927"/>
    <w:rsid w:val="73F55AC7"/>
    <w:rsid w:val="73F569E3"/>
    <w:rsid w:val="73F89A2A"/>
    <w:rsid w:val="73FA5516"/>
    <w:rsid w:val="73FAD40F"/>
    <w:rsid w:val="73FB5EFC"/>
    <w:rsid w:val="740345A3"/>
    <w:rsid w:val="74060848"/>
    <w:rsid w:val="74076785"/>
    <w:rsid w:val="7416BF9A"/>
    <w:rsid w:val="7417CFE8"/>
    <w:rsid w:val="741E8AD4"/>
    <w:rsid w:val="74230E36"/>
    <w:rsid w:val="7423C6BF"/>
    <w:rsid w:val="7431D77C"/>
    <w:rsid w:val="743208CF"/>
    <w:rsid w:val="74370E16"/>
    <w:rsid w:val="743733F4"/>
    <w:rsid w:val="7439C796"/>
    <w:rsid w:val="743C1DC7"/>
    <w:rsid w:val="743F0000"/>
    <w:rsid w:val="7442FB06"/>
    <w:rsid w:val="7443ED91"/>
    <w:rsid w:val="744CF24B"/>
    <w:rsid w:val="74515B74"/>
    <w:rsid w:val="745CD218"/>
    <w:rsid w:val="745CF890"/>
    <w:rsid w:val="747418E1"/>
    <w:rsid w:val="74754DE4"/>
    <w:rsid w:val="74795364"/>
    <w:rsid w:val="747969CC"/>
    <w:rsid w:val="747AD2A9"/>
    <w:rsid w:val="747C2397"/>
    <w:rsid w:val="747D8F95"/>
    <w:rsid w:val="7481D849"/>
    <w:rsid w:val="748A715B"/>
    <w:rsid w:val="748D266B"/>
    <w:rsid w:val="748E57EC"/>
    <w:rsid w:val="748EAEEB"/>
    <w:rsid w:val="74938391"/>
    <w:rsid w:val="74949F85"/>
    <w:rsid w:val="749A9F39"/>
    <w:rsid w:val="749BABD1"/>
    <w:rsid w:val="749CFEE0"/>
    <w:rsid w:val="749EA2BB"/>
    <w:rsid w:val="74A33037"/>
    <w:rsid w:val="74AD6149"/>
    <w:rsid w:val="74BE9728"/>
    <w:rsid w:val="74BEB76A"/>
    <w:rsid w:val="74C307EC"/>
    <w:rsid w:val="74C3B6AE"/>
    <w:rsid w:val="74C61B8E"/>
    <w:rsid w:val="74CC7EAA"/>
    <w:rsid w:val="74CD4E8C"/>
    <w:rsid w:val="74D7C517"/>
    <w:rsid w:val="74DF6C49"/>
    <w:rsid w:val="74E1D504"/>
    <w:rsid w:val="74E711CA"/>
    <w:rsid w:val="74EE4234"/>
    <w:rsid w:val="74F39FC9"/>
    <w:rsid w:val="74FE87AA"/>
    <w:rsid w:val="74FE8A63"/>
    <w:rsid w:val="74FE907A"/>
    <w:rsid w:val="75007D65"/>
    <w:rsid w:val="750423F3"/>
    <w:rsid w:val="7506E8F0"/>
    <w:rsid w:val="750C155A"/>
    <w:rsid w:val="750C4944"/>
    <w:rsid w:val="750DE007"/>
    <w:rsid w:val="750DF7AD"/>
    <w:rsid w:val="751A1C63"/>
    <w:rsid w:val="752E1BD1"/>
    <w:rsid w:val="752E3856"/>
    <w:rsid w:val="752F8398"/>
    <w:rsid w:val="752FCFD3"/>
    <w:rsid w:val="753B6441"/>
    <w:rsid w:val="75410079"/>
    <w:rsid w:val="754908AE"/>
    <w:rsid w:val="754B958C"/>
    <w:rsid w:val="754C499B"/>
    <w:rsid w:val="754F7AB1"/>
    <w:rsid w:val="7553A915"/>
    <w:rsid w:val="7554C6DB"/>
    <w:rsid w:val="755A5511"/>
    <w:rsid w:val="756C2912"/>
    <w:rsid w:val="75701BCB"/>
    <w:rsid w:val="7579841C"/>
    <w:rsid w:val="757AA2CB"/>
    <w:rsid w:val="757B0860"/>
    <w:rsid w:val="7588DBE5"/>
    <w:rsid w:val="758A6BC5"/>
    <w:rsid w:val="758A872D"/>
    <w:rsid w:val="7592779E"/>
    <w:rsid w:val="75950E95"/>
    <w:rsid w:val="7595B8A7"/>
    <w:rsid w:val="7596E459"/>
    <w:rsid w:val="759CEB7B"/>
    <w:rsid w:val="75A9D210"/>
    <w:rsid w:val="75AD2B3F"/>
    <w:rsid w:val="75B90A4D"/>
    <w:rsid w:val="75B9269A"/>
    <w:rsid w:val="75BA0E55"/>
    <w:rsid w:val="75BB4DCF"/>
    <w:rsid w:val="75C0A611"/>
    <w:rsid w:val="75CC47E9"/>
    <w:rsid w:val="75CEAD8D"/>
    <w:rsid w:val="75D290A3"/>
    <w:rsid w:val="75D29DE6"/>
    <w:rsid w:val="75D6166D"/>
    <w:rsid w:val="75DAF178"/>
    <w:rsid w:val="75DBFB42"/>
    <w:rsid w:val="75DD10F4"/>
    <w:rsid w:val="75DD3865"/>
    <w:rsid w:val="75DD721D"/>
    <w:rsid w:val="75DDDE4B"/>
    <w:rsid w:val="75DF08C2"/>
    <w:rsid w:val="75E90E24"/>
    <w:rsid w:val="75E9F7F4"/>
    <w:rsid w:val="75EB38F2"/>
    <w:rsid w:val="75F55BD0"/>
    <w:rsid w:val="75F7CE88"/>
    <w:rsid w:val="75F87718"/>
    <w:rsid w:val="75FB495C"/>
    <w:rsid w:val="76005CE2"/>
    <w:rsid w:val="76027B9C"/>
    <w:rsid w:val="760302C8"/>
    <w:rsid w:val="760859B6"/>
    <w:rsid w:val="760DB2FA"/>
    <w:rsid w:val="760E85D4"/>
    <w:rsid w:val="760ED7AF"/>
    <w:rsid w:val="761A1205"/>
    <w:rsid w:val="761E2F37"/>
    <w:rsid w:val="7626D959"/>
    <w:rsid w:val="762C4B07"/>
    <w:rsid w:val="763CAF31"/>
    <w:rsid w:val="76440734"/>
    <w:rsid w:val="764538C8"/>
    <w:rsid w:val="764740B7"/>
    <w:rsid w:val="764846BE"/>
    <w:rsid w:val="764C3D73"/>
    <w:rsid w:val="764D7A4A"/>
    <w:rsid w:val="764DDFBA"/>
    <w:rsid w:val="765B781B"/>
    <w:rsid w:val="765EC0E5"/>
    <w:rsid w:val="76606911"/>
    <w:rsid w:val="76617BAD"/>
    <w:rsid w:val="7664A9E3"/>
    <w:rsid w:val="76680886"/>
    <w:rsid w:val="766DF34A"/>
    <w:rsid w:val="766E7284"/>
    <w:rsid w:val="766F52D7"/>
    <w:rsid w:val="7673C6FB"/>
    <w:rsid w:val="7676EA95"/>
    <w:rsid w:val="7679E534"/>
    <w:rsid w:val="7682D837"/>
    <w:rsid w:val="76885D4D"/>
    <w:rsid w:val="768C3D33"/>
    <w:rsid w:val="768E4242"/>
    <w:rsid w:val="768FC90A"/>
    <w:rsid w:val="7697FE16"/>
    <w:rsid w:val="76999017"/>
    <w:rsid w:val="76999F41"/>
    <w:rsid w:val="769E05C9"/>
    <w:rsid w:val="76A56CFB"/>
    <w:rsid w:val="76A8D390"/>
    <w:rsid w:val="76A97797"/>
    <w:rsid w:val="76B67BD4"/>
    <w:rsid w:val="76B87DA2"/>
    <w:rsid w:val="76B96374"/>
    <w:rsid w:val="76BDA722"/>
    <w:rsid w:val="76C37BFA"/>
    <w:rsid w:val="76C821E5"/>
    <w:rsid w:val="76C92A34"/>
    <w:rsid w:val="76D2F121"/>
    <w:rsid w:val="76D30743"/>
    <w:rsid w:val="76D3FA20"/>
    <w:rsid w:val="76D65F14"/>
    <w:rsid w:val="76DFCAD6"/>
    <w:rsid w:val="76E307AF"/>
    <w:rsid w:val="76E359DB"/>
    <w:rsid w:val="76EC3C12"/>
    <w:rsid w:val="76F14A10"/>
    <w:rsid w:val="76F1B688"/>
    <w:rsid w:val="76F24BE1"/>
    <w:rsid w:val="76F5A0AC"/>
    <w:rsid w:val="76F62F14"/>
    <w:rsid w:val="76FC1554"/>
    <w:rsid w:val="7704272F"/>
    <w:rsid w:val="7707663A"/>
    <w:rsid w:val="770C421E"/>
    <w:rsid w:val="770D8080"/>
    <w:rsid w:val="770F150F"/>
    <w:rsid w:val="7710834A"/>
    <w:rsid w:val="77116914"/>
    <w:rsid w:val="77148818"/>
    <w:rsid w:val="7715B0B8"/>
    <w:rsid w:val="7718D6CC"/>
    <w:rsid w:val="771E1D03"/>
    <w:rsid w:val="7721FEFE"/>
    <w:rsid w:val="7722F3EB"/>
    <w:rsid w:val="77236252"/>
    <w:rsid w:val="7726427E"/>
    <w:rsid w:val="772751FD"/>
    <w:rsid w:val="77282694"/>
    <w:rsid w:val="772CCD93"/>
    <w:rsid w:val="772E2CC1"/>
    <w:rsid w:val="7735DF26"/>
    <w:rsid w:val="77380E6B"/>
    <w:rsid w:val="773B42F0"/>
    <w:rsid w:val="773DA44E"/>
    <w:rsid w:val="773E1E5B"/>
    <w:rsid w:val="7743666A"/>
    <w:rsid w:val="774D14C5"/>
    <w:rsid w:val="774E2DCF"/>
    <w:rsid w:val="775A3B36"/>
    <w:rsid w:val="775B9E14"/>
    <w:rsid w:val="77642B86"/>
    <w:rsid w:val="776503B3"/>
    <w:rsid w:val="776F8910"/>
    <w:rsid w:val="776FF4E0"/>
    <w:rsid w:val="77747B2D"/>
    <w:rsid w:val="77756A6F"/>
    <w:rsid w:val="777AABAB"/>
    <w:rsid w:val="7780539B"/>
    <w:rsid w:val="7782CFCE"/>
    <w:rsid w:val="77843150"/>
    <w:rsid w:val="77851C4A"/>
    <w:rsid w:val="778D231B"/>
    <w:rsid w:val="7794C178"/>
    <w:rsid w:val="779B98FC"/>
    <w:rsid w:val="779CD281"/>
    <w:rsid w:val="77A4B600"/>
    <w:rsid w:val="77AA45AF"/>
    <w:rsid w:val="77AA9B5D"/>
    <w:rsid w:val="77AA9C68"/>
    <w:rsid w:val="77B7A972"/>
    <w:rsid w:val="77BCEFBD"/>
    <w:rsid w:val="77C1121B"/>
    <w:rsid w:val="77C63979"/>
    <w:rsid w:val="77CAE2BA"/>
    <w:rsid w:val="77CF510E"/>
    <w:rsid w:val="77CF6B0F"/>
    <w:rsid w:val="77D0633D"/>
    <w:rsid w:val="77D19CA6"/>
    <w:rsid w:val="77D2840E"/>
    <w:rsid w:val="77D61A36"/>
    <w:rsid w:val="77D77243"/>
    <w:rsid w:val="77DE0B4E"/>
    <w:rsid w:val="77E3731B"/>
    <w:rsid w:val="77E3FE18"/>
    <w:rsid w:val="77E8437A"/>
    <w:rsid w:val="77EDF137"/>
    <w:rsid w:val="77F51B48"/>
    <w:rsid w:val="77FF6F79"/>
    <w:rsid w:val="77FFBFC2"/>
    <w:rsid w:val="7802D9CB"/>
    <w:rsid w:val="780464C7"/>
    <w:rsid w:val="780492E1"/>
    <w:rsid w:val="78055D8C"/>
    <w:rsid w:val="7807ACFD"/>
    <w:rsid w:val="7807D2CC"/>
    <w:rsid w:val="780E8C16"/>
    <w:rsid w:val="780FF66D"/>
    <w:rsid w:val="7811C3B2"/>
    <w:rsid w:val="7816509F"/>
    <w:rsid w:val="781939E3"/>
    <w:rsid w:val="781975C6"/>
    <w:rsid w:val="781D5AD0"/>
    <w:rsid w:val="7824F265"/>
    <w:rsid w:val="78279AFA"/>
    <w:rsid w:val="7830EA60"/>
    <w:rsid w:val="78337FF2"/>
    <w:rsid w:val="783D1593"/>
    <w:rsid w:val="7844E33A"/>
    <w:rsid w:val="7844E3CB"/>
    <w:rsid w:val="784520BE"/>
    <w:rsid w:val="7845969A"/>
    <w:rsid w:val="78477ACF"/>
    <w:rsid w:val="78529C48"/>
    <w:rsid w:val="785EA5ED"/>
    <w:rsid w:val="7860FD24"/>
    <w:rsid w:val="78671B5C"/>
    <w:rsid w:val="786E51FD"/>
    <w:rsid w:val="78711FE4"/>
    <w:rsid w:val="78718473"/>
    <w:rsid w:val="7872A3F2"/>
    <w:rsid w:val="7875E3AD"/>
    <w:rsid w:val="787C4C66"/>
    <w:rsid w:val="787CCE9C"/>
    <w:rsid w:val="787E0068"/>
    <w:rsid w:val="78826E39"/>
    <w:rsid w:val="7882A293"/>
    <w:rsid w:val="788828D2"/>
    <w:rsid w:val="7888E62E"/>
    <w:rsid w:val="788B6E29"/>
    <w:rsid w:val="788B97DB"/>
    <w:rsid w:val="789169B4"/>
    <w:rsid w:val="789225B5"/>
    <w:rsid w:val="78955835"/>
    <w:rsid w:val="7898D770"/>
    <w:rsid w:val="789BF999"/>
    <w:rsid w:val="789CB9B0"/>
    <w:rsid w:val="789D9960"/>
    <w:rsid w:val="789DF508"/>
    <w:rsid w:val="789FDDBA"/>
    <w:rsid w:val="78A5D4A5"/>
    <w:rsid w:val="78AC5F4E"/>
    <w:rsid w:val="78AF37E7"/>
    <w:rsid w:val="78B09638"/>
    <w:rsid w:val="78B2820D"/>
    <w:rsid w:val="78B37864"/>
    <w:rsid w:val="78B37E2C"/>
    <w:rsid w:val="78B4C235"/>
    <w:rsid w:val="78B66927"/>
    <w:rsid w:val="78B69FEE"/>
    <w:rsid w:val="78BB12F3"/>
    <w:rsid w:val="78BB4FEF"/>
    <w:rsid w:val="78BCF2A2"/>
    <w:rsid w:val="78BEF840"/>
    <w:rsid w:val="78BF9056"/>
    <w:rsid w:val="78C05F7B"/>
    <w:rsid w:val="78C293C6"/>
    <w:rsid w:val="78C96351"/>
    <w:rsid w:val="78D5201C"/>
    <w:rsid w:val="78D8F14F"/>
    <w:rsid w:val="78DB36C2"/>
    <w:rsid w:val="78DE403C"/>
    <w:rsid w:val="78E30912"/>
    <w:rsid w:val="78E85259"/>
    <w:rsid w:val="78E86DCB"/>
    <w:rsid w:val="78EAAA25"/>
    <w:rsid w:val="78ECA9BE"/>
    <w:rsid w:val="78ED02C1"/>
    <w:rsid w:val="78EFBA48"/>
    <w:rsid w:val="78F54A74"/>
    <w:rsid w:val="78FEBE66"/>
    <w:rsid w:val="7901D86D"/>
    <w:rsid w:val="79043875"/>
    <w:rsid w:val="7907A978"/>
    <w:rsid w:val="790D8367"/>
    <w:rsid w:val="791263FD"/>
    <w:rsid w:val="7919E74D"/>
    <w:rsid w:val="791D1D9F"/>
    <w:rsid w:val="791F2E20"/>
    <w:rsid w:val="7923D758"/>
    <w:rsid w:val="79262941"/>
    <w:rsid w:val="7928B4E6"/>
    <w:rsid w:val="792B1EF8"/>
    <w:rsid w:val="792D8004"/>
    <w:rsid w:val="792FBCF6"/>
    <w:rsid w:val="7933620F"/>
    <w:rsid w:val="7936C172"/>
    <w:rsid w:val="7937E7C3"/>
    <w:rsid w:val="793966A5"/>
    <w:rsid w:val="793B26B2"/>
    <w:rsid w:val="79482CB5"/>
    <w:rsid w:val="7949CC0C"/>
    <w:rsid w:val="794A537A"/>
    <w:rsid w:val="794EB77B"/>
    <w:rsid w:val="794FA1F3"/>
    <w:rsid w:val="7954A166"/>
    <w:rsid w:val="79569C45"/>
    <w:rsid w:val="79622B21"/>
    <w:rsid w:val="7966FB1B"/>
    <w:rsid w:val="796EBBE4"/>
    <w:rsid w:val="796FCF10"/>
    <w:rsid w:val="797483C7"/>
    <w:rsid w:val="7974C6DE"/>
    <w:rsid w:val="798A84C4"/>
    <w:rsid w:val="798FBE5C"/>
    <w:rsid w:val="79924045"/>
    <w:rsid w:val="79983BAC"/>
    <w:rsid w:val="799BB014"/>
    <w:rsid w:val="79A5AD88"/>
    <w:rsid w:val="79A910A4"/>
    <w:rsid w:val="79B0E66D"/>
    <w:rsid w:val="79B0F3CF"/>
    <w:rsid w:val="79B701DE"/>
    <w:rsid w:val="79B78423"/>
    <w:rsid w:val="79C47268"/>
    <w:rsid w:val="79CB2475"/>
    <w:rsid w:val="79CC8BB3"/>
    <w:rsid w:val="79CD3B2D"/>
    <w:rsid w:val="79DB5D4C"/>
    <w:rsid w:val="79ECB103"/>
    <w:rsid w:val="79F21629"/>
    <w:rsid w:val="79F5916E"/>
    <w:rsid w:val="79F91C7E"/>
    <w:rsid w:val="79FDC9B4"/>
    <w:rsid w:val="79FDFA94"/>
    <w:rsid w:val="79FF3B0E"/>
    <w:rsid w:val="7A04AFFD"/>
    <w:rsid w:val="7A09EDE1"/>
    <w:rsid w:val="7A0B7E7E"/>
    <w:rsid w:val="7A0EDAC2"/>
    <w:rsid w:val="7A1C32DC"/>
    <w:rsid w:val="7A1C3CC6"/>
    <w:rsid w:val="7A1F7FC0"/>
    <w:rsid w:val="7A204730"/>
    <w:rsid w:val="7A210482"/>
    <w:rsid w:val="7A234A5F"/>
    <w:rsid w:val="7A24ACFB"/>
    <w:rsid w:val="7A2846DD"/>
    <w:rsid w:val="7A347CF7"/>
    <w:rsid w:val="7A351571"/>
    <w:rsid w:val="7A3FD3B0"/>
    <w:rsid w:val="7A3FDDDF"/>
    <w:rsid w:val="7A5207B5"/>
    <w:rsid w:val="7A576DA6"/>
    <w:rsid w:val="7A5DE968"/>
    <w:rsid w:val="7A61E16C"/>
    <w:rsid w:val="7A63FA52"/>
    <w:rsid w:val="7A69007A"/>
    <w:rsid w:val="7A6A8741"/>
    <w:rsid w:val="7A78DDFE"/>
    <w:rsid w:val="7A7A6676"/>
    <w:rsid w:val="7A7AAAA0"/>
    <w:rsid w:val="7A7BD923"/>
    <w:rsid w:val="7A843265"/>
    <w:rsid w:val="7A84505A"/>
    <w:rsid w:val="7A84901E"/>
    <w:rsid w:val="7A8655C4"/>
    <w:rsid w:val="7A8DDAA3"/>
    <w:rsid w:val="7A8DFB56"/>
    <w:rsid w:val="7A8EE53D"/>
    <w:rsid w:val="7A98BE5C"/>
    <w:rsid w:val="7AA98DAB"/>
    <w:rsid w:val="7AAB307B"/>
    <w:rsid w:val="7AB27C42"/>
    <w:rsid w:val="7AB5C5C7"/>
    <w:rsid w:val="7AB9A8F1"/>
    <w:rsid w:val="7ABC0A13"/>
    <w:rsid w:val="7ABE7930"/>
    <w:rsid w:val="7ABF7581"/>
    <w:rsid w:val="7AC6564A"/>
    <w:rsid w:val="7AC9441F"/>
    <w:rsid w:val="7ACA7350"/>
    <w:rsid w:val="7ACC1E23"/>
    <w:rsid w:val="7ACDC598"/>
    <w:rsid w:val="7ACF0E31"/>
    <w:rsid w:val="7ACF3CC9"/>
    <w:rsid w:val="7AD0DBF6"/>
    <w:rsid w:val="7AE926B1"/>
    <w:rsid w:val="7AEB1C00"/>
    <w:rsid w:val="7AEB6F19"/>
    <w:rsid w:val="7AEF01F0"/>
    <w:rsid w:val="7AF455A9"/>
    <w:rsid w:val="7AF56864"/>
    <w:rsid w:val="7AFBBAC5"/>
    <w:rsid w:val="7AFDE8F2"/>
    <w:rsid w:val="7AFFE041"/>
    <w:rsid w:val="7B017DE4"/>
    <w:rsid w:val="7B04BE2D"/>
    <w:rsid w:val="7B04C5F0"/>
    <w:rsid w:val="7B0877D3"/>
    <w:rsid w:val="7B0AC5AB"/>
    <w:rsid w:val="7B0E6D87"/>
    <w:rsid w:val="7B10ABD9"/>
    <w:rsid w:val="7B117B07"/>
    <w:rsid w:val="7B122B1A"/>
    <w:rsid w:val="7B17C4FC"/>
    <w:rsid w:val="7B1B3BBD"/>
    <w:rsid w:val="7B1C15DD"/>
    <w:rsid w:val="7B1E6F18"/>
    <w:rsid w:val="7B20A89C"/>
    <w:rsid w:val="7B273117"/>
    <w:rsid w:val="7B28117E"/>
    <w:rsid w:val="7B2B45C3"/>
    <w:rsid w:val="7B2CFF96"/>
    <w:rsid w:val="7B2D6498"/>
    <w:rsid w:val="7B2D8EFD"/>
    <w:rsid w:val="7B3BF5F7"/>
    <w:rsid w:val="7B3C311D"/>
    <w:rsid w:val="7B3DA39C"/>
    <w:rsid w:val="7B4312B9"/>
    <w:rsid w:val="7B43918A"/>
    <w:rsid w:val="7B462B59"/>
    <w:rsid w:val="7B46A483"/>
    <w:rsid w:val="7B49D9A2"/>
    <w:rsid w:val="7B4B5F7B"/>
    <w:rsid w:val="7B4C12DE"/>
    <w:rsid w:val="7B571B78"/>
    <w:rsid w:val="7B5D1139"/>
    <w:rsid w:val="7B6070DE"/>
    <w:rsid w:val="7B6C7A64"/>
    <w:rsid w:val="7B76BE06"/>
    <w:rsid w:val="7B76D07B"/>
    <w:rsid w:val="7B7B1FE1"/>
    <w:rsid w:val="7B7C6B27"/>
    <w:rsid w:val="7B87512A"/>
    <w:rsid w:val="7B8DAD9D"/>
    <w:rsid w:val="7B95481E"/>
    <w:rsid w:val="7B9C3AF7"/>
    <w:rsid w:val="7BB543DF"/>
    <w:rsid w:val="7BB9D708"/>
    <w:rsid w:val="7BC97BAA"/>
    <w:rsid w:val="7BCCC813"/>
    <w:rsid w:val="7BD4BE17"/>
    <w:rsid w:val="7BD8A8F2"/>
    <w:rsid w:val="7BEA844F"/>
    <w:rsid w:val="7BF1271C"/>
    <w:rsid w:val="7BFEA392"/>
    <w:rsid w:val="7C0CAC23"/>
    <w:rsid w:val="7C1044B6"/>
    <w:rsid w:val="7C10F3C7"/>
    <w:rsid w:val="7C11BAA3"/>
    <w:rsid w:val="7C132B00"/>
    <w:rsid w:val="7C13C2E8"/>
    <w:rsid w:val="7C15764C"/>
    <w:rsid w:val="7C1BC0B2"/>
    <w:rsid w:val="7C20607F"/>
    <w:rsid w:val="7C253B57"/>
    <w:rsid w:val="7C2F34F9"/>
    <w:rsid w:val="7C3147CA"/>
    <w:rsid w:val="7C318BD2"/>
    <w:rsid w:val="7C33854A"/>
    <w:rsid w:val="7C417A93"/>
    <w:rsid w:val="7C4183DC"/>
    <w:rsid w:val="7C4DFFD1"/>
    <w:rsid w:val="7C56C7AD"/>
    <w:rsid w:val="7C5CC018"/>
    <w:rsid w:val="7C65508F"/>
    <w:rsid w:val="7C6BB0B6"/>
    <w:rsid w:val="7C7B148A"/>
    <w:rsid w:val="7C7C4930"/>
    <w:rsid w:val="7C7E2E7B"/>
    <w:rsid w:val="7C889FE3"/>
    <w:rsid w:val="7C8EEAC0"/>
    <w:rsid w:val="7C8FD685"/>
    <w:rsid w:val="7C93AD66"/>
    <w:rsid w:val="7C98E6AE"/>
    <w:rsid w:val="7C9BC412"/>
    <w:rsid w:val="7C9C7B9E"/>
    <w:rsid w:val="7C9E7FB2"/>
    <w:rsid w:val="7CA79D79"/>
    <w:rsid w:val="7CA9E8E2"/>
    <w:rsid w:val="7CAC8AC5"/>
    <w:rsid w:val="7CAD30BC"/>
    <w:rsid w:val="7CB010BE"/>
    <w:rsid w:val="7CB24BAD"/>
    <w:rsid w:val="7CB3A4D2"/>
    <w:rsid w:val="7CB3AC00"/>
    <w:rsid w:val="7CBB62E6"/>
    <w:rsid w:val="7CC0F46A"/>
    <w:rsid w:val="7CCADD24"/>
    <w:rsid w:val="7CD54ECF"/>
    <w:rsid w:val="7CDD4880"/>
    <w:rsid w:val="7CE595D4"/>
    <w:rsid w:val="7CE85E8E"/>
    <w:rsid w:val="7CEBE4BE"/>
    <w:rsid w:val="7CEF7A65"/>
    <w:rsid w:val="7CF2F183"/>
    <w:rsid w:val="7CF47505"/>
    <w:rsid w:val="7CFD5346"/>
    <w:rsid w:val="7D057F1E"/>
    <w:rsid w:val="7D05AA00"/>
    <w:rsid w:val="7D092C5C"/>
    <w:rsid w:val="7D0B2977"/>
    <w:rsid w:val="7D0DA8C2"/>
    <w:rsid w:val="7D0F3937"/>
    <w:rsid w:val="7D128680"/>
    <w:rsid w:val="7D13F11F"/>
    <w:rsid w:val="7D1734AA"/>
    <w:rsid w:val="7D17D285"/>
    <w:rsid w:val="7D2112DF"/>
    <w:rsid w:val="7D214C6B"/>
    <w:rsid w:val="7D2962F1"/>
    <w:rsid w:val="7D2A1B9E"/>
    <w:rsid w:val="7D2BD047"/>
    <w:rsid w:val="7D3432A5"/>
    <w:rsid w:val="7D3D33F9"/>
    <w:rsid w:val="7D41A928"/>
    <w:rsid w:val="7D44E295"/>
    <w:rsid w:val="7D47A030"/>
    <w:rsid w:val="7D48D623"/>
    <w:rsid w:val="7D49C368"/>
    <w:rsid w:val="7D4AE88A"/>
    <w:rsid w:val="7D514EAD"/>
    <w:rsid w:val="7D570A2E"/>
    <w:rsid w:val="7D5A5DC2"/>
    <w:rsid w:val="7D5EB945"/>
    <w:rsid w:val="7D625ED4"/>
    <w:rsid w:val="7D6396A2"/>
    <w:rsid w:val="7D6862D9"/>
    <w:rsid w:val="7D70F708"/>
    <w:rsid w:val="7D752A95"/>
    <w:rsid w:val="7D779029"/>
    <w:rsid w:val="7D7BECE3"/>
    <w:rsid w:val="7D7E10D4"/>
    <w:rsid w:val="7D80F0CE"/>
    <w:rsid w:val="7D84591B"/>
    <w:rsid w:val="7D8620EA"/>
    <w:rsid w:val="7D863AB2"/>
    <w:rsid w:val="7D87FED8"/>
    <w:rsid w:val="7D8A792A"/>
    <w:rsid w:val="7D8AA3BE"/>
    <w:rsid w:val="7D8BB0ED"/>
    <w:rsid w:val="7D8BF2AB"/>
    <w:rsid w:val="7D8E50AC"/>
    <w:rsid w:val="7D911A66"/>
    <w:rsid w:val="7D93CC04"/>
    <w:rsid w:val="7D95C66A"/>
    <w:rsid w:val="7D96B8A2"/>
    <w:rsid w:val="7D9736F5"/>
    <w:rsid w:val="7D973912"/>
    <w:rsid w:val="7D98BAB2"/>
    <w:rsid w:val="7D991D20"/>
    <w:rsid w:val="7D9A162F"/>
    <w:rsid w:val="7D9BC597"/>
    <w:rsid w:val="7DA1C17B"/>
    <w:rsid w:val="7DA661C0"/>
    <w:rsid w:val="7DA8F45B"/>
    <w:rsid w:val="7DA91670"/>
    <w:rsid w:val="7DADFF40"/>
    <w:rsid w:val="7DAF84BE"/>
    <w:rsid w:val="7DB473BC"/>
    <w:rsid w:val="7DB543E9"/>
    <w:rsid w:val="7DB66794"/>
    <w:rsid w:val="7DBCEC66"/>
    <w:rsid w:val="7DC2D22F"/>
    <w:rsid w:val="7DC947E9"/>
    <w:rsid w:val="7DCB2339"/>
    <w:rsid w:val="7DDD5B3C"/>
    <w:rsid w:val="7DE4340E"/>
    <w:rsid w:val="7DE8EF47"/>
    <w:rsid w:val="7DEA537A"/>
    <w:rsid w:val="7DF441F4"/>
    <w:rsid w:val="7DF54C38"/>
    <w:rsid w:val="7DF6358E"/>
    <w:rsid w:val="7DFBADE9"/>
    <w:rsid w:val="7DFBEA04"/>
    <w:rsid w:val="7DFFD46F"/>
    <w:rsid w:val="7E03C699"/>
    <w:rsid w:val="7E072694"/>
    <w:rsid w:val="7E0726D0"/>
    <w:rsid w:val="7E0A6042"/>
    <w:rsid w:val="7E1033C0"/>
    <w:rsid w:val="7E16AE53"/>
    <w:rsid w:val="7E1D9CC3"/>
    <w:rsid w:val="7E1F955F"/>
    <w:rsid w:val="7E1FAF49"/>
    <w:rsid w:val="7E2F633C"/>
    <w:rsid w:val="7E313DEF"/>
    <w:rsid w:val="7E33A785"/>
    <w:rsid w:val="7E39D9C4"/>
    <w:rsid w:val="7E3C0E18"/>
    <w:rsid w:val="7E3EB000"/>
    <w:rsid w:val="7E3EFF13"/>
    <w:rsid w:val="7E412FD7"/>
    <w:rsid w:val="7E43A50F"/>
    <w:rsid w:val="7E4716C3"/>
    <w:rsid w:val="7E4781CC"/>
    <w:rsid w:val="7E5D2726"/>
    <w:rsid w:val="7E68030F"/>
    <w:rsid w:val="7E6B3B69"/>
    <w:rsid w:val="7E6FD34A"/>
    <w:rsid w:val="7E6FD9A1"/>
    <w:rsid w:val="7E71F626"/>
    <w:rsid w:val="7E72B8A4"/>
    <w:rsid w:val="7E751E6D"/>
    <w:rsid w:val="7E79656D"/>
    <w:rsid w:val="7E79CBF2"/>
    <w:rsid w:val="7E7AD04B"/>
    <w:rsid w:val="7E8ABB5E"/>
    <w:rsid w:val="7E93DBD8"/>
    <w:rsid w:val="7E94B5E2"/>
    <w:rsid w:val="7E967BFD"/>
    <w:rsid w:val="7E9798C5"/>
    <w:rsid w:val="7EA2B79A"/>
    <w:rsid w:val="7EA760B7"/>
    <w:rsid w:val="7EAF7B62"/>
    <w:rsid w:val="7EB24B55"/>
    <w:rsid w:val="7EB46683"/>
    <w:rsid w:val="7EB5940E"/>
    <w:rsid w:val="7EB81734"/>
    <w:rsid w:val="7EBA3078"/>
    <w:rsid w:val="7EBB1914"/>
    <w:rsid w:val="7EBD3538"/>
    <w:rsid w:val="7EBF36E2"/>
    <w:rsid w:val="7EC2AA1B"/>
    <w:rsid w:val="7EC37E26"/>
    <w:rsid w:val="7EC3B659"/>
    <w:rsid w:val="7ECC3465"/>
    <w:rsid w:val="7ECF4369"/>
    <w:rsid w:val="7ECFAB69"/>
    <w:rsid w:val="7ED3FD81"/>
    <w:rsid w:val="7EDA8794"/>
    <w:rsid w:val="7EDB9D7A"/>
    <w:rsid w:val="7EE06DA3"/>
    <w:rsid w:val="7EE1EBC5"/>
    <w:rsid w:val="7EE41828"/>
    <w:rsid w:val="7EEC0C35"/>
    <w:rsid w:val="7EEE900F"/>
    <w:rsid w:val="7EEF2F22"/>
    <w:rsid w:val="7EF3DD8B"/>
    <w:rsid w:val="7EF5827D"/>
    <w:rsid w:val="7EF97B09"/>
    <w:rsid w:val="7EF9DD9F"/>
    <w:rsid w:val="7EFB8059"/>
    <w:rsid w:val="7F145216"/>
    <w:rsid w:val="7F1B3080"/>
    <w:rsid w:val="7F1FF831"/>
    <w:rsid w:val="7F2087CF"/>
    <w:rsid w:val="7F25F18F"/>
    <w:rsid w:val="7F3162B4"/>
    <w:rsid w:val="7F3A5109"/>
    <w:rsid w:val="7F3C20D8"/>
    <w:rsid w:val="7F3C350A"/>
    <w:rsid w:val="7F427EAD"/>
    <w:rsid w:val="7F50AA3D"/>
    <w:rsid w:val="7F51F0FC"/>
    <w:rsid w:val="7F522CC9"/>
    <w:rsid w:val="7F55921A"/>
    <w:rsid w:val="7F579270"/>
    <w:rsid w:val="7F61CAE8"/>
    <w:rsid w:val="7F62F7CB"/>
    <w:rsid w:val="7F62FDF5"/>
    <w:rsid w:val="7F639A23"/>
    <w:rsid w:val="7F641F8D"/>
    <w:rsid w:val="7F6B4A51"/>
    <w:rsid w:val="7F6B7A58"/>
    <w:rsid w:val="7F6BE857"/>
    <w:rsid w:val="7F6C6ED8"/>
    <w:rsid w:val="7F6D35E2"/>
    <w:rsid w:val="7F781DD2"/>
    <w:rsid w:val="7F7969BD"/>
    <w:rsid w:val="7F822537"/>
    <w:rsid w:val="7F832C2D"/>
    <w:rsid w:val="7F886F46"/>
    <w:rsid w:val="7F8BB335"/>
    <w:rsid w:val="7F8C5D6A"/>
    <w:rsid w:val="7F8EBB6F"/>
    <w:rsid w:val="7F91BC5A"/>
    <w:rsid w:val="7F935E4F"/>
    <w:rsid w:val="7F95D340"/>
    <w:rsid w:val="7F989C03"/>
    <w:rsid w:val="7F9BC569"/>
    <w:rsid w:val="7F9F62A2"/>
    <w:rsid w:val="7F9FC50F"/>
    <w:rsid w:val="7FA62953"/>
    <w:rsid w:val="7FA8AF6C"/>
    <w:rsid w:val="7FAA3660"/>
    <w:rsid w:val="7FAB4E02"/>
    <w:rsid w:val="7FAE128A"/>
    <w:rsid w:val="7FB4BDD6"/>
    <w:rsid w:val="7FBE4274"/>
    <w:rsid w:val="7FCD50B3"/>
    <w:rsid w:val="7FD07ABC"/>
    <w:rsid w:val="7FE08244"/>
    <w:rsid w:val="7FE34CFC"/>
    <w:rsid w:val="7FE7B478"/>
    <w:rsid w:val="7FF5FA22"/>
    <w:rsid w:val="7FF8C15F"/>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582804C"/>
  <w15:docId w15:val="{C7CEE385-7B39-429C-B340-9EB12473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478"/>
    <w:pPr>
      <w:spacing w:before="120" w:after="120" w:line="360" w:lineRule="auto"/>
    </w:pPr>
    <w:rPr>
      <w:rFonts w:ascii="Times New Roman" w:hAnsi="Times New Roman"/>
      <w:sz w:val="24"/>
    </w:rPr>
  </w:style>
  <w:style w:type="paragraph" w:styleId="Heading1">
    <w:name w:val="heading 1"/>
    <w:basedOn w:val="Normal"/>
    <w:next w:val="Text1"/>
    <w:link w:val="Heading1Char"/>
    <w:uiPriority w:val="9"/>
    <w:qFormat/>
    <w:rsid w:val="00516D21"/>
    <w:pPr>
      <w:keepNext/>
      <w:numPr>
        <w:numId w:val="145"/>
      </w:numPr>
      <w:spacing w:before="360" w:line="240" w:lineRule="auto"/>
      <w:jc w:val="both"/>
      <w:outlineLvl w:val="0"/>
    </w:pPr>
    <w:rPr>
      <w:rFonts w:eastAsia="Times New Roman"/>
      <w:b/>
      <w:smallCaps/>
    </w:rPr>
  </w:style>
  <w:style w:type="paragraph" w:styleId="Heading2">
    <w:name w:val="heading 2"/>
    <w:basedOn w:val="Normal"/>
    <w:next w:val="Text1"/>
    <w:link w:val="Heading2Char"/>
    <w:uiPriority w:val="9"/>
    <w:semiHidden/>
    <w:unhideWhenUsed/>
    <w:qFormat/>
    <w:rsid w:val="00516D21"/>
    <w:pPr>
      <w:keepNext/>
      <w:numPr>
        <w:ilvl w:val="1"/>
        <w:numId w:val="145"/>
      </w:numPr>
      <w:spacing w:line="240" w:lineRule="auto"/>
      <w:jc w:val="both"/>
      <w:outlineLvl w:val="1"/>
    </w:pPr>
    <w:rPr>
      <w:rFonts w:eastAsia="Times New Roman"/>
      <w:b/>
    </w:rPr>
  </w:style>
  <w:style w:type="paragraph" w:styleId="Heading3">
    <w:name w:val="heading 3"/>
    <w:basedOn w:val="Normal"/>
    <w:next w:val="Text1"/>
    <w:link w:val="Heading3Char"/>
    <w:uiPriority w:val="9"/>
    <w:semiHidden/>
    <w:unhideWhenUsed/>
    <w:qFormat/>
    <w:rsid w:val="00516D21"/>
    <w:pPr>
      <w:keepNext/>
      <w:numPr>
        <w:ilvl w:val="2"/>
        <w:numId w:val="145"/>
      </w:numPr>
      <w:spacing w:line="240" w:lineRule="auto"/>
      <w:jc w:val="both"/>
      <w:outlineLvl w:val="2"/>
    </w:pPr>
    <w:rPr>
      <w:rFonts w:eastAsia="Times New Roman"/>
      <w:i/>
    </w:rPr>
  </w:style>
  <w:style w:type="paragraph" w:styleId="Heading4">
    <w:name w:val="heading 4"/>
    <w:basedOn w:val="Normal"/>
    <w:next w:val="Text1"/>
    <w:link w:val="Heading4Char"/>
    <w:uiPriority w:val="9"/>
    <w:semiHidden/>
    <w:unhideWhenUsed/>
    <w:qFormat/>
    <w:rsid w:val="00516D21"/>
    <w:pPr>
      <w:keepNext/>
      <w:numPr>
        <w:ilvl w:val="3"/>
        <w:numId w:val="145"/>
      </w:numPr>
      <w:spacing w:line="240" w:lineRule="auto"/>
      <w:jc w:val="both"/>
      <w:outlineLvl w:val="3"/>
    </w:pPr>
    <w:rPr>
      <w:rFonts w:eastAsia="Times New Roman"/>
    </w:rPr>
  </w:style>
  <w:style w:type="paragraph" w:styleId="Heading5">
    <w:name w:val="heading 5"/>
    <w:basedOn w:val="Normal"/>
    <w:next w:val="Normal"/>
    <w:link w:val="Heading5Char"/>
    <w:rsid w:val="00516D21"/>
    <w:pPr>
      <w:keepNext/>
      <w:keepLines/>
      <w:spacing w:before="220" w:after="40" w:line="240" w:lineRule="auto"/>
      <w:jc w:val="both"/>
      <w:outlineLvl w:val="4"/>
    </w:pPr>
    <w:rPr>
      <w:rFonts w:eastAsia="Times New Roman"/>
      <w:b/>
      <w:sz w:val="22"/>
    </w:rPr>
  </w:style>
  <w:style w:type="paragraph" w:styleId="Heading6">
    <w:name w:val="heading 6"/>
    <w:basedOn w:val="Normal"/>
    <w:next w:val="Normal"/>
    <w:link w:val="Heading6Char"/>
    <w:rsid w:val="00516D21"/>
    <w:pPr>
      <w:keepNext/>
      <w:keepLines/>
      <w:spacing w:before="200" w:after="40" w:line="240" w:lineRule="auto"/>
      <w:jc w:val="both"/>
      <w:outlineLvl w:val="5"/>
    </w:pPr>
    <w:rPr>
      <w:rFonts w:eastAsia="Times New Roman"/>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C3F"/>
    <w:pPr>
      <w:tabs>
        <w:tab w:val="right" w:pos="9638"/>
      </w:tabs>
    </w:pPr>
  </w:style>
  <w:style w:type="character" w:customStyle="1" w:styleId="HeaderChar">
    <w:name w:val="Header Char"/>
    <w:basedOn w:val="DefaultParagraphFont"/>
    <w:link w:val="Header"/>
    <w:uiPriority w:val="99"/>
    <w:rsid w:val="008A5C3F"/>
    <w:rPr>
      <w:rFonts w:ascii="Times New Roman" w:hAnsi="Times New Roman"/>
      <w:sz w:val="24"/>
      <w:bdr w:val="none" w:sz="0" w:space="0" w:color="auto"/>
      <w:shd w:val="clear" w:color="auto" w:fill="auto"/>
    </w:rPr>
  </w:style>
  <w:style w:type="paragraph" w:styleId="Footer">
    <w:name w:val="footer"/>
    <w:basedOn w:val="Normal"/>
    <w:link w:val="FooterChar"/>
    <w:uiPriority w:val="99"/>
    <w:unhideWhenUsed/>
    <w:rsid w:val="008A5C3F"/>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sid w:val="008A5C3F"/>
    <w:rPr>
      <w:rFonts w:ascii="Times New Roman" w:hAnsi="Times New Roman"/>
      <w:sz w:val="24"/>
      <w:bdr w:val="none" w:sz="0" w:space="0" w:color="auto"/>
      <w:shd w:val="clear" w:color="auto" w:fill="auto"/>
    </w:rPr>
  </w:style>
  <w:style w:type="paragraph" w:styleId="FootnoteText">
    <w:name w:val="footnote text"/>
    <w:basedOn w:val="Normal"/>
    <w:link w:val="FootnoteTextChar"/>
    <w:uiPriority w:val="99"/>
    <w:unhideWhenUsed/>
    <w:rsid w:val="008A5C3F"/>
    <w:pPr>
      <w:spacing w:before="0" w:after="0" w:line="240" w:lineRule="auto"/>
      <w:ind w:left="720" w:hanging="720"/>
    </w:pPr>
  </w:style>
  <w:style w:type="character" w:customStyle="1" w:styleId="FootnoteTextChar">
    <w:name w:val="Footnote Text Char"/>
    <w:basedOn w:val="DefaultParagraphFont"/>
    <w:link w:val="FootnoteText"/>
    <w:uiPriority w:val="99"/>
    <w:rsid w:val="008A5C3F"/>
    <w:rPr>
      <w:rFonts w:ascii="Times New Roman" w:hAnsi="Times New Roman"/>
      <w:sz w:val="24"/>
      <w:bdr w:val="none" w:sz="0" w:space="0" w:color="auto"/>
      <w:shd w:val="clear" w:color="auto" w:fill="auto"/>
    </w:rPr>
  </w:style>
  <w:style w:type="paragraph" w:customStyle="1" w:styleId="HeaderLandscape">
    <w:name w:val="HeaderLandscape"/>
    <w:basedOn w:val="Normal"/>
    <w:rsid w:val="008A5C3F"/>
    <w:pPr>
      <w:tabs>
        <w:tab w:val="right" w:pos="14570"/>
      </w:tabs>
    </w:pPr>
  </w:style>
  <w:style w:type="paragraph" w:customStyle="1" w:styleId="FooterLandscape">
    <w:name w:val="FooterLandscape"/>
    <w:basedOn w:val="Normal"/>
    <w:rsid w:val="008A5C3F"/>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unhideWhenUsed/>
    <w:rsid w:val="008A5C3F"/>
    <w:rPr>
      <w:b/>
      <w:bdr w:val="none" w:sz="0" w:space="0" w:color="auto"/>
      <w:shd w:val="clear" w:color="auto" w:fill="auto"/>
      <w:vertAlign w:val="superscript"/>
    </w:rPr>
  </w:style>
  <w:style w:type="paragraph" w:customStyle="1" w:styleId="HeaderCouncil">
    <w:name w:val="Header Council"/>
    <w:basedOn w:val="Normal"/>
    <w:link w:val="HeaderCouncilChar"/>
    <w:rsid w:val="008A5C3F"/>
    <w:pPr>
      <w:spacing w:before="0" w:after="0" w:line="240" w:lineRule="auto"/>
    </w:pPr>
    <w:rPr>
      <w:sz w:val="2"/>
    </w:rPr>
  </w:style>
  <w:style w:type="paragraph" w:customStyle="1" w:styleId="FooterCouncil">
    <w:name w:val="Footer Council"/>
    <w:basedOn w:val="Normal"/>
    <w:link w:val="FooterCouncilChar"/>
    <w:rsid w:val="008A5C3F"/>
    <w:pPr>
      <w:spacing w:before="0" w:after="0" w:line="240" w:lineRule="auto"/>
    </w:pPr>
    <w:rPr>
      <w:sz w:val="2"/>
    </w:rPr>
  </w:style>
  <w:style w:type="paragraph" w:customStyle="1" w:styleId="TechnicalBlock">
    <w:name w:val="Technical Block"/>
    <w:basedOn w:val="Normal"/>
    <w:next w:val="Normal"/>
    <w:link w:val="TechnicalBlockChar"/>
    <w:rsid w:val="00FA0F04"/>
    <w:pPr>
      <w:spacing w:before="0" w:after="240" w:line="240" w:lineRule="auto"/>
      <w:jc w:val="center"/>
    </w:pPr>
    <w:rPr>
      <w:rFonts w:eastAsiaTheme="minorHAnsi"/>
    </w:rPr>
  </w:style>
  <w:style w:type="character" w:customStyle="1" w:styleId="Marker">
    <w:name w:val="Marker"/>
    <w:basedOn w:val="DefaultParagraphFont"/>
    <w:rsid w:val="008A5C3F"/>
    <w:rPr>
      <w:color w:val="0000FF"/>
      <w:bdr w:val="none" w:sz="0" w:space="0" w:color="auto"/>
      <w:shd w:val="clear" w:color="auto" w:fill="auto"/>
    </w:rPr>
  </w:style>
  <w:style w:type="character" w:customStyle="1" w:styleId="Marker1">
    <w:name w:val="Marker1"/>
    <w:basedOn w:val="DefaultParagraphFont"/>
    <w:rsid w:val="008A5C3F"/>
    <w:rPr>
      <w:color w:val="008000"/>
      <w:bdr w:val="none" w:sz="0" w:space="0" w:color="auto"/>
      <w:shd w:val="clear" w:color="auto" w:fill="auto"/>
    </w:rPr>
  </w:style>
  <w:style w:type="paragraph" w:customStyle="1" w:styleId="FinalLine">
    <w:name w:val="Final Line"/>
    <w:basedOn w:val="Normal"/>
    <w:next w:val="Normal"/>
    <w:rsid w:val="008A5C3F"/>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8A5C3F"/>
    <w:pPr>
      <w:pBdr>
        <w:bottom w:val="single" w:sz="4" w:space="0" w:color="000000"/>
      </w:pBdr>
      <w:spacing w:before="360"/>
      <w:ind w:left="5868" w:right="5868"/>
      <w:jc w:val="center"/>
    </w:pPr>
    <w:rPr>
      <w:b/>
    </w:rPr>
  </w:style>
  <w:style w:type="paragraph" w:customStyle="1" w:styleId="EntLogo">
    <w:name w:val="EntLogo"/>
    <w:basedOn w:val="Normal"/>
    <w:rsid w:val="008A5C3F"/>
    <w:pPr>
      <w:tabs>
        <w:tab w:val="right" w:pos="9639"/>
      </w:tabs>
      <w:spacing w:before="0" w:after="0"/>
    </w:pPr>
    <w:rPr>
      <w:b/>
    </w:rPr>
  </w:style>
  <w:style w:type="paragraph" w:customStyle="1" w:styleId="EntEmet">
    <w:name w:val="EntEmet"/>
    <w:basedOn w:val="Normal"/>
    <w:rsid w:val="008A5C3F"/>
    <w:pPr>
      <w:spacing w:before="40" w:after="0" w:line="240" w:lineRule="auto"/>
    </w:pPr>
  </w:style>
  <w:style w:type="paragraph" w:customStyle="1" w:styleId="EntInstit">
    <w:name w:val="EntInstit"/>
    <w:basedOn w:val="Normal"/>
    <w:rsid w:val="008A5C3F"/>
    <w:pPr>
      <w:spacing w:before="0" w:after="0" w:line="240" w:lineRule="auto"/>
      <w:jc w:val="right"/>
    </w:pPr>
    <w:rPr>
      <w:b/>
    </w:rPr>
  </w:style>
  <w:style w:type="paragraph" w:customStyle="1" w:styleId="EntRefer">
    <w:name w:val="EntRefer"/>
    <w:basedOn w:val="Normal"/>
    <w:rsid w:val="008A5C3F"/>
    <w:pPr>
      <w:spacing w:before="0" w:after="0" w:line="240" w:lineRule="auto"/>
    </w:pPr>
    <w:rPr>
      <w:b/>
    </w:rPr>
  </w:style>
  <w:style w:type="paragraph" w:customStyle="1" w:styleId="Genredudocument">
    <w:name w:val="Genre du document"/>
    <w:basedOn w:val="EntRefer"/>
    <w:next w:val="EntRefer"/>
    <w:rsid w:val="008A5C3F"/>
    <w:pPr>
      <w:spacing w:before="240"/>
    </w:pPr>
  </w:style>
  <w:style w:type="paragraph" w:customStyle="1" w:styleId="Languagesconcerned">
    <w:name w:val="Languages concerned"/>
    <w:basedOn w:val="Normal"/>
    <w:next w:val="Procedureapplicable"/>
    <w:rsid w:val="008A5C3F"/>
    <w:pPr>
      <w:spacing w:before="240"/>
    </w:pPr>
  </w:style>
  <w:style w:type="paragraph" w:customStyle="1" w:styleId="Procedureapplicable">
    <w:name w:val="Procedure applicable"/>
    <w:basedOn w:val="Normal"/>
    <w:next w:val="Proceduretype"/>
    <w:rsid w:val="008A5C3F"/>
    <w:pPr>
      <w:spacing w:before="240"/>
    </w:pPr>
  </w:style>
  <w:style w:type="paragraph" w:customStyle="1" w:styleId="Proceduretype">
    <w:name w:val="Procedure type"/>
    <w:basedOn w:val="Normal"/>
    <w:next w:val="Normal"/>
    <w:rsid w:val="008A5C3F"/>
    <w:pPr>
      <w:spacing w:before="240" w:after="0"/>
    </w:pPr>
  </w:style>
  <w:style w:type="paragraph" w:customStyle="1" w:styleId="Agreement">
    <w:name w:val="Agreement"/>
    <w:basedOn w:val="Normal"/>
    <w:next w:val="Normal"/>
    <w:rsid w:val="008A5C3F"/>
    <w:pPr>
      <w:spacing w:before="0"/>
    </w:pPr>
  </w:style>
  <w:style w:type="paragraph" w:customStyle="1" w:styleId="Timelimit">
    <w:name w:val="Time limit"/>
    <w:basedOn w:val="Normal"/>
    <w:next w:val="Normal"/>
    <w:rsid w:val="008A5C3F"/>
    <w:pPr>
      <w:spacing w:before="240"/>
    </w:pPr>
  </w:style>
  <w:style w:type="paragraph" w:customStyle="1" w:styleId="Remarks">
    <w:name w:val="Remarks"/>
    <w:basedOn w:val="Normal"/>
    <w:rsid w:val="008A5C3F"/>
    <w:pPr>
      <w:spacing w:before="240"/>
    </w:pPr>
  </w:style>
  <w:style w:type="paragraph" w:customStyle="1" w:styleId="Correctionnewlanguages">
    <w:name w:val="Correction new languages"/>
    <w:basedOn w:val="Normal"/>
    <w:next w:val="Normal"/>
    <w:rsid w:val="008A5C3F"/>
    <w:pPr>
      <w:spacing w:before="240"/>
    </w:pPr>
  </w:style>
  <w:style w:type="paragraph" w:customStyle="1" w:styleId="Anyobservations">
    <w:name w:val="Any observations"/>
    <w:basedOn w:val="Normal"/>
    <w:next w:val="Normal"/>
    <w:rsid w:val="008A5C3F"/>
    <w:pPr>
      <w:spacing w:before="240"/>
    </w:pPr>
    <w:rPr>
      <w:b/>
    </w:rPr>
  </w:style>
  <w:style w:type="paragraph" w:customStyle="1" w:styleId="Annextitle">
    <w:name w:val="Annex title"/>
    <w:basedOn w:val="Normal"/>
    <w:next w:val="Corrigendumtitle"/>
    <w:rsid w:val="008A5C3F"/>
    <w:pPr>
      <w:spacing w:before="0" w:after="0"/>
      <w:jc w:val="right"/>
    </w:pPr>
    <w:rPr>
      <w:b/>
      <w:u w:val="single"/>
    </w:rPr>
  </w:style>
  <w:style w:type="paragraph" w:customStyle="1" w:styleId="Corrigendumtitle">
    <w:name w:val="Corrigendum title"/>
    <w:basedOn w:val="Normal"/>
    <w:next w:val="Corrigendumto"/>
    <w:rsid w:val="008A5C3F"/>
    <w:pPr>
      <w:spacing w:before="240"/>
      <w:jc w:val="center"/>
    </w:pPr>
    <w:rPr>
      <w:b/>
    </w:rPr>
  </w:style>
  <w:style w:type="paragraph" w:customStyle="1" w:styleId="Corrigendumto">
    <w:name w:val="Corrigendum to"/>
    <w:basedOn w:val="Normal"/>
    <w:next w:val="Referencedocument"/>
    <w:rsid w:val="008A5C3F"/>
    <w:pPr>
      <w:spacing w:after="240"/>
      <w:jc w:val="center"/>
    </w:pPr>
    <w:rPr>
      <w:b/>
    </w:rPr>
  </w:style>
  <w:style w:type="paragraph" w:customStyle="1" w:styleId="Referencedocument">
    <w:name w:val="Reference document"/>
    <w:basedOn w:val="Normal"/>
    <w:rsid w:val="008A5C3F"/>
    <w:pPr>
      <w:spacing w:before="0" w:after="0"/>
      <w:jc w:val="center"/>
    </w:pPr>
  </w:style>
  <w:style w:type="paragraph" w:customStyle="1" w:styleId="Correctionpage">
    <w:name w:val="Correction page"/>
    <w:basedOn w:val="Normal"/>
    <w:next w:val="Correctionfortitle"/>
    <w:rsid w:val="008A5C3F"/>
    <w:pPr>
      <w:keepNext/>
      <w:spacing w:before="240"/>
    </w:pPr>
  </w:style>
  <w:style w:type="paragraph" w:customStyle="1" w:styleId="Correctionfortitle">
    <w:name w:val="Correction for title"/>
    <w:basedOn w:val="Normal"/>
    <w:next w:val="Correctionfortext"/>
    <w:rsid w:val="008A5C3F"/>
    <w:pPr>
      <w:keepNext/>
      <w:spacing w:after="240"/>
    </w:pPr>
    <w:rPr>
      <w:i/>
    </w:rPr>
  </w:style>
  <w:style w:type="paragraph" w:customStyle="1" w:styleId="Correctionfortext">
    <w:name w:val="Correction for text"/>
    <w:basedOn w:val="Normal"/>
    <w:rsid w:val="008A5C3F"/>
    <w:pPr>
      <w:spacing w:before="0" w:after="0"/>
    </w:pPr>
  </w:style>
  <w:style w:type="paragraph" w:customStyle="1" w:styleId="Correctionreadtitle">
    <w:name w:val="Correction read title"/>
    <w:basedOn w:val="Normal"/>
    <w:next w:val="Correctionreadtext"/>
    <w:rsid w:val="008A5C3F"/>
    <w:pPr>
      <w:keepNext/>
      <w:spacing w:after="240"/>
    </w:pPr>
    <w:rPr>
      <w:i/>
    </w:rPr>
  </w:style>
  <w:style w:type="paragraph" w:customStyle="1" w:styleId="Correctionreadtext">
    <w:name w:val="Correction read text"/>
    <w:basedOn w:val="Normal"/>
    <w:rsid w:val="008A5C3F"/>
    <w:pPr>
      <w:spacing w:before="0" w:after="0"/>
    </w:pPr>
  </w:style>
  <w:style w:type="paragraph" w:customStyle="1" w:styleId="Phraseofsignature">
    <w:name w:val="Phrase of signature"/>
    <w:basedOn w:val="Normal"/>
    <w:next w:val="Correctionpage"/>
    <w:rsid w:val="008A5C3F"/>
    <w:pPr>
      <w:spacing w:before="240"/>
    </w:pPr>
  </w:style>
  <w:style w:type="paragraph" w:customStyle="1" w:styleId="HeaderCouncilLarge">
    <w:name w:val="Header Council Large"/>
    <w:basedOn w:val="Normal"/>
    <w:link w:val="HeaderCouncilLargeChar"/>
    <w:rsid w:val="00121F22"/>
    <w:pPr>
      <w:spacing w:before="0" w:after="440"/>
      <w:ind w:left="-1134" w:right="-1134"/>
    </w:pPr>
    <w:rPr>
      <w:rFonts w:eastAsiaTheme="minorHAnsi"/>
      <w:sz w:val="2"/>
    </w:rPr>
  </w:style>
  <w:style w:type="character" w:customStyle="1" w:styleId="TechnicalBlockChar">
    <w:name w:val="Technical Block Char"/>
    <w:basedOn w:val="DefaultParagraphFont"/>
    <w:link w:val="TechnicalBlock"/>
    <w:rsid w:val="00121F22"/>
    <w:rPr>
      <w:rFonts w:ascii="Times New Roman" w:eastAsiaTheme="minorHAnsi" w:hAnsi="Times New Roman"/>
      <w:sz w:val="24"/>
    </w:rPr>
  </w:style>
  <w:style w:type="character" w:customStyle="1" w:styleId="HeaderCouncilLargeChar">
    <w:name w:val="Header Council Large Char"/>
    <w:basedOn w:val="TechnicalBlockChar"/>
    <w:link w:val="HeaderCouncilLarge"/>
    <w:rsid w:val="00121F22"/>
    <w:rPr>
      <w:rFonts w:ascii="Times New Roman" w:eastAsiaTheme="minorHAnsi" w:hAnsi="Times New Roman"/>
      <w:sz w:val="2"/>
    </w:rPr>
  </w:style>
  <w:style w:type="paragraph" w:customStyle="1" w:styleId="FooterText">
    <w:name w:val="Footer Text"/>
    <w:basedOn w:val="Normal"/>
    <w:rsid w:val="00121F22"/>
    <w:pPr>
      <w:spacing w:before="0" w:after="0" w:line="240" w:lineRule="auto"/>
    </w:pPr>
    <w:rPr>
      <w:rFonts w:eastAsia="Times New Roman"/>
    </w:rPr>
  </w:style>
  <w:style w:type="character" w:styleId="PlaceholderText">
    <w:name w:val="Placeholder Text"/>
    <w:basedOn w:val="DefaultParagraphFont"/>
    <w:uiPriority w:val="99"/>
    <w:semiHidden/>
    <w:rsid w:val="00121F22"/>
    <w:rPr>
      <w:color w:val="808080"/>
    </w:rPr>
  </w:style>
  <w:style w:type="character" w:customStyle="1" w:styleId="Heading1Char">
    <w:name w:val="Heading 1 Char"/>
    <w:basedOn w:val="DefaultParagraphFont"/>
    <w:link w:val="Heading1"/>
    <w:uiPriority w:val="9"/>
    <w:rsid w:val="00516D21"/>
    <w:rPr>
      <w:rFonts w:ascii="Times New Roman" w:eastAsia="Times New Roman" w:hAnsi="Times New Roman"/>
      <w:b/>
      <w:smallCaps/>
      <w:sz w:val="24"/>
    </w:rPr>
  </w:style>
  <w:style w:type="character" w:customStyle="1" w:styleId="Heading2Char">
    <w:name w:val="Heading 2 Char"/>
    <w:basedOn w:val="DefaultParagraphFont"/>
    <w:link w:val="Heading2"/>
    <w:uiPriority w:val="9"/>
    <w:semiHidden/>
    <w:rsid w:val="00516D21"/>
    <w:rPr>
      <w:rFonts w:ascii="Times New Roman" w:eastAsia="Times New Roman" w:hAnsi="Times New Roman"/>
      <w:b/>
      <w:sz w:val="24"/>
    </w:rPr>
  </w:style>
  <w:style w:type="character" w:customStyle="1" w:styleId="Heading3Char">
    <w:name w:val="Heading 3 Char"/>
    <w:basedOn w:val="DefaultParagraphFont"/>
    <w:link w:val="Heading3"/>
    <w:uiPriority w:val="9"/>
    <w:semiHidden/>
    <w:rsid w:val="00516D21"/>
    <w:rPr>
      <w:rFonts w:ascii="Times New Roman" w:eastAsia="Times New Roman" w:hAnsi="Times New Roman"/>
      <w:i/>
      <w:sz w:val="24"/>
    </w:rPr>
  </w:style>
  <w:style w:type="character" w:customStyle="1" w:styleId="Heading4Char">
    <w:name w:val="Heading 4 Char"/>
    <w:basedOn w:val="DefaultParagraphFont"/>
    <w:link w:val="Heading4"/>
    <w:uiPriority w:val="9"/>
    <w:semiHidden/>
    <w:rsid w:val="00516D21"/>
    <w:rPr>
      <w:rFonts w:ascii="Times New Roman" w:eastAsia="Times New Roman" w:hAnsi="Times New Roman"/>
      <w:sz w:val="24"/>
    </w:rPr>
  </w:style>
  <w:style w:type="character" w:customStyle="1" w:styleId="Heading5Char">
    <w:name w:val="Heading 5 Char"/>
    <w:basedOn w:val="DefaultParagraphFont"/>
    <w:link w:val="Heading5"/>
    <w:rsid w:val="00516D21"/>
    <w:rPr>
      <w:rFonts w:ascii="Times New Roman" w:eastAsia="Times New Roman" w:hAnsi="Times New Roman"/>
      <w:b/>
      <w:sz w:val="22"/>
    </w:rPr>
  </w:style>
  <w:style w:type="character" w:customStyle="1" w:styleId="Heading6Char">
    <w:name w:val="Heading 6 Char"/>
    <w:basedOn w:val="DefaultParagraphFont"/>
    <w:link w:val="Heading6"/>
    <w:rsid w:val="00516D21"/>
    <w:rPr>
      <w:rFonts w:ascii="Times New Roman" w:eastAsia="Times New Roman" w:hAnsi="Times New Roman"/>
      <w:b/>
    </w:rPr>
  </w:style>
  <w:style w:type="character" w:styleId="CommentReference">
    <w:name w:val="annotation reference"/>
    <w:uiPriority w:val="99"/>
    <w:unhideWhenUsed/>
    <w:rsid w:val="00516D21"/>
    <w:rPr>
      <w:sz w:val="16"/>
    </w:rPr>
  </w:style>
  <w:style w:type="paragraph" w:styleId="CommentText">
    <w:name w:val="annotation text"/>
    <w:basedOn w:val="Normal"/>
    <w:link w:val="CommentTextChar"/>
    <w:uiPriority w:val="99"/>
    <w:unhideWhenUsed/>
    <w:rsid w:val="00516D21"/>
    <w:pPr>
      <w:spacing w:line="240" w:lineRule="auto"/>
      <w:jc w:val="both"/>
    </w:pPr>
    <w:rPr>
      <w:sz w:val="20"/>
    </w:rPr>
  </w:style>
  <w:style w:type="character" w:customStyle="1" w:styleId="CommentTextChar">
    <w:name w:val="Comment Text Char"/>
    <w:basedOn w:val="DefaultParagraphFont"/>
    <w:link w:val="CommentText"/>
    <w:uiPriority w:val="99"/>
    <w:rsid w:val="00516D21"/>
    <w:rPr>
      <w:rFonts w:ascii="Times New Roman" w:hAnsi="Times New Roman"/>
    </w:rPr>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tabulky"/>
    <w:basedOn w:val="Normal"/>
    <w:link w:val="ListParagraphChar"/>
    <w:uiPriority w:val="34"/>
    <w:qFormat/>
    <w:rsid w:val="00516D21"/>
    <w:pPr>
      <w:spacing w:after="160" w:line="259" w:lineRule="auto"/>
      <w:ind w:left="720"/>
      <w:contextualSpacing/>
    </w:pPr>
    <w:rPr>
      <w:rFonts w:ascii="Calibri" w:hAnsi="Calibri"/>
      <w:sz w:val="22"/>
    </w:r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link w:val="ListParagraph"/>
    <w:uiPriority w:val="34"/>
    <w:qFormat/>
    <w:locked/>
    <w:rsid w:val="00516D21"/>
    <w:rPr>
      <w:sz w:val="22"/>
    </w:rPr>
  </w:style>
  <w:style w:type="character" w:styleId="IntenseEmphasis">
    <w:name w:val="Intense Emphasis"/>
    <w:uiPriority w:val="21"/>
    <w:qFormat/>
    <w:rsid w:val="00516D21"/>
    <w:rPr>
      <w:i/>
      <w:color w:val="4F81BD"/>
    </w:rPr>
  </w:style>
  <w:style w:type="paragraph" w:styleId="BalloonText">
    <w:name w:val="Balloon Text"/>
    <w:basedOn w:val="Normal"/>
    <w:link w:val="BalloonTextChar"/>
    <w:uiPriority w:val="99"/>
    <w:semiHidden/>
    <w:unhideWhenUsed/>
    <w:rsid w:val="00516D21"/>
    <w:pPr>
      <w:spacing w:after="0" w:line="240" w:lineRule="auto"/>
      <w:jc w:val="both"/>
    </w:pPr>
    <w:rPr>
      <w:rFonts w:ascii="Segoe UI" w:hAnsi="Segoe UI" w:cs="Segoe UI"/>
      <w:sz w:val="18"/>
    </w:rPr>
  </w:style>
  <w:style w:type="character" w:customStyle="1" w:styleId="BalloonTextChar">
    <w:name w:val="Balloon Text Char"/>
    <w:basedOn w:val="DefaultParagraphFont"/>
    <w:link w:val="BalloonText"/>
    <w:uiPriority w:val="99"/>
    <w:semiHidden/>
    <w:rsid w:val="00516D21"/>
    <w:rPr>
      <w:rFonts w:ascii="Segoe UI" w:hAnsi="Segoe UI" w:cs="Segoe UI"/>
      <w:sz w:val="18"/>
    </w:rPr>
  </w:style>
  <w:style w:type="paragraph" w:styleId="ListBullet">
    <w:name w:val="List Bullet"/>
    <w:basedOn w:val="Normal"/>
    <w:uiPriority w:val="99"/>
    <w:semiHidden/>
    <w:unhideWhenUsed/>
    <w:rsid w:val="00516D21"/>
    <w:pPr>
      <w:numPr>
        <w:numId w:val="131"/>
      </w:numPr>
      <w:spacing w:line="240" w:lineRule="auto"/>
      <w:contextualSpacing/>
      <w:jc w:val="both"/>
    </w:pPr>
  </w:style>
  <w:style w:type="paragraph" w:styleId="ListBullet2">
    <w:name w:val="List Bullet 2"/>
    <w:basedOn w:val="Normal"/>
    <w:uiPriority w:val="99"/>
    <w:semiHidden/>
    <w:unhideWhenUsed/>
    <w:rsid w:val="00516D21"/>
    <w:pPr>
      <w:numPr>
        <w:numId w:val="132"/>
      </w:numPr>
      <w:spacing w:line="240" w:lineRule="auto"/>
      <w:contextualSpacing/>
      <w:jc w:val="both"/>
    </w:pPr>
  </w:style>
  <w:style w:type="paragraph" w:styleId="ListBullet3">
    <w:name w:val="List Bullet 3"/>
    <w:basedOn w:val="Normal"/>
    <w:uiPriority w:val="99"/>
    <w:semiHidden/>
    <w:unhideWhenUsed/>
    <w:rsid w:val="00516D21"/>
    <w:pPr>
      <w:numPr>
        <w:numId w:val="133"/>
      </w:numPr>
      <w:spacing w:line="240" w:lineRule="auto"/>
      <w:contextualSpacing/>
      <w:jc w:val="both"/>
    </w:pPr>
  </w:style>
  <w:style w:type="paragraph" w:styleId="ListBullet4">
    <w:name w:val="List Bullet 4"/>
    <w:basedOn w:val="Normal"/>
    <w:uiPriority w:val="99"/>
    <w:semiHidden/>
    <w:unhideWhenUsed/>
    <w:rsid w:val="00516D21"/>
    <w:pPr>
      <w:numPr>
        <w:numId w:val="134"/>
      </w:numPr>
      <w:spacing w:line="240" w:lineRule="auto"/>
      <w:contextualSpacing/>
      <w:jc w:val="both"/>
    </w:pPr>
  </w:style>
  <w:style w:type="paragraph" w:styleId="CommentSubject">
    <w:name w:val="annotation subject"/>
    <w:basedOn w:val="CommentText"/>
    <w:next w:val="CommentText"/>
    <w:link w:val="CommentSubjectChar"/>
    <w:uiPriority w:val="99"/>
    <w:semiHidden/>
    <w:unhideWhenUsed/>
    <w:rsid w:val="00516D21"/>
    <w:rPr>
      <w:b/>
    </w:rPr>
  </w:style>
  <w:style w:type="character" w:customStyle="1" w:styleId="CommentSubjectChar">
    <w:name w:val="Comment Subject Char"/>
    <w:basedOn w:val="CommentTextChar"/>
    <w:link w:val="CommentSubject"/>
    <w:uiPriority w:val="99"/>
    <w:semiHidden/>
    <w:rsid w:val="00516D21"/>
    <w:rPr>
      <w:rFonts w:ascii="Times New Roman" w:hAnsi="Times New Roman"/>
      <w:b/>
    </w:rPr>
  </w:style>
  <w:style w:type="paragraph" w:styleId="Revision">
    <w:name w:val="Revision"/>
    <w:hidden/>
    <w:uiPriority w:val="99"/>
    <w:semiHidden/>
    <w:rsid w:val="00516D21"/>
    <w:rPr>
      <w:rFonts w:ascii="Times New Roman" w:hAnsi="Times New Roman"/>
      <w:sz w:val="24"/>
    </w:rPr>
  </w:style>
  <w:style w:type="paragraph" w:styleId="Caption">
    <w:name w:val="caption"/>
    <w:basedOn w:val="Normal"/>
    <w:next w:val="Normal"/>
    <w:uiPriority w:val="35"/>
    <w:semiHidden/>
    <w:unhideWhenUsed/>
    <w:qFormat/>
    <w:rsid w:val="00516D21"/>
    <w:pPr>
      <w:spacing w:line="240" w:lineRule="auto"/>
      <w:jc w:val="both"/>
    </w:pPr>
    <w:rPr>
      <w:i/>
      <w:color w:val="1F497D"/>
      <w:sz w:val="18"/>
    </w:rPr>
  </w:style>
  <w:style w:type="paragraph" w:styleId="TableofFigures">
    <w:name w:val="table of figures"/>
    <w:basedOn w:val="Normal"/>
    <w:next w:val="Normal"/>
    <w:uiPriority w:val="99"/>
    <w:semiHidden/>
    <w:unhideWhenUsed/>
    <w:rsid w:val="00516D21"/>
    <w:pPr>
      <w:spacing w:after="0" w:line="240" w:lineRule="auto"/>
      <w:jc w:val="both"/>
    </w:pPr>
  </w:style>
  <w:style w:type="paragraph" w:styleId="ListNumber">
    <w:name w:val="List Number"/>
    <w:basedOn w:val="Normal"/>
    <w:uiPriority w:val="99"/>
    <w:semiHidden/>
    <w:unhideWhenUsed/>
    <w:rsid w:val="00516D21"/>
    <w:pPr>
      <w:numPr>
        <w:numId w:val="136"/>
      </w:numPr>
      <w:spacing w:line="240" w:lineRule="auto"/>
      <w:contextualSpacing/>
      <w:jc w:val="both"/>
    </w:pPr>
  </w:style>
  <w:style w:type="paragraph" w:styleId="ListNumber2">
    <w:name w:val="List Number 2"/>
    <w:basedOn w:val="Normal"/>
    <w:uiPriority w:val="99"/>
    <w:semiHidden/>
    <w:unhideWhenUsed/>
    <w:rsid w:val="00516D21"/>
    <w:pPr>
      <w:numPr>
        <w:numId w:val="137"/>
      </w:numPr>
      <w:spacing w:line="240" w:lineRule="auto"/>
      <w:contextualSpacing/>
      <w:jc w:val="both"/>
    </w:pPr>
  </w:style>
  <w:style w:type="paragraph" w:styleId="ListNumber3">
    <w:name w:val="List Number 3"/>
    <w:basedOn w:val="Normal"/>
    <w:uiPriority w:val="99"/>
    <w:semiHidden/>
    <w:unhideWhenUsed/>
    <w:rsid w:val="00516D21"/>
    <w:pPr>
      <w:numPr>
        <w:numId w:val="138"/>
      </w:numPr>
      <w:spacing w:line="240" w:lineRule="auto"/>
      <w:contextualSpacing/>
      <w:jc w:val="both"/>
    </w:pPr>
  </w:style>
  <w:style w:type="paragraph" w:styleId="ListNumber4">
    <w:name w:val="List Number 4"/>
    <w:basedOn w:val="Normal"/>
    <w:uiPriority w:val="99"/>
    <w:semiHidden/>
    <w:unhideWhenUsed/>
    <w:rsid w:val="00516D21"/>
    <w:pPr>
      <w:numPr>
        <w:numId w:val="139"/>
      </w:numPr>
      <w:spacing w:line="240" w:lineRule="auto"/>
      <w:contextualSpacing/>
      <w:jc w:val="both"/>
    </w:pPr>
  </w:style>
  <w:style w:type="character" w:styleId="Hyperlink">
    <w:name w:val="Hyperlink"/>
    <w:uiPriority w:val="99"/>
    <w:unhideWhenUsed/>
    <w:rsid w:val="00516D21"/>
    <w:rPr>
      <w:color w:val="0000FF"/>
      <w:u w:val="single"/>
    </w:rPr>
  </w:style>
  <w:style w:type="paragraph" w:styleId="TOCHeading">
    <w:name w:val="TOC Heading"/>
    <w:basedOn w:val="Normal"/>
    <w:next w:val="Normal"/>
    <w:uiPriority w:val="39"/>
    <w:semiHidden/>
    <w:unhideWhenUsed/>
    <w:qFormat/>
    <w:rsid w:val="00516D21"/>
    <w:pPr>
      <w:spacing w:after="240" w:line="240" w:lineRule="auto"/>
      <w:jc w:val="center"/>
    </w:pPr>
    <w:rPr>
      <w:b/>
      <w:sz w:val="28"/>
    </w:rPr>
  </w:style>
  <w:style w:type="paragraph" w:styleId="TOC1">
    <w:name w:val="toc 1"/>
    <w:basedOn w:val="Normal"/>
    <w:next w:val="Normal"/>
    <w:uiPriority w:val="39"/>
    <w:semiHidden/>
    <w:unhideWhenUsed/>
    <w:rsid w:val="00516D21"/>
    <w:pPr>
      <w:tabs>
        <w:tab w:val="right" w:leader="dot" w:pos="9071"/>
      </w:tabs>
      <w:spacing w:before="60" w:line="240" w:lineRule="auto"/>
      <w:ind w:left="850" w:hanging="850"/>
    </w:pPr>
  </w:style>
  <w:style w:type="paragraph" w:styleId="TOC2">
    <w:name w:val="toc 2"/>
    <w:basedOn w:val="Normal"/>
    <w:next w:val="Normal"/>
    <w:uiPriority w:val="39"/>
    <w:semiHidden/>
    <w:unhideWhenUsed/>
    <w:rsid w:val="00516D21"/>
    <w:pPr>
      <w:tabs>
        <w:tab w:val="right" w:leader="dot" w:pos="9071"/>
      </w:tabs>
      <w:spacing w:before="60" w:line="240" w:lineRule="auto"/>
      <w:ind w:left="850" w:hanging="850"/>
    </w:pPr>
  </w:style>
  <w:style w:type="paragraph" w:styleId="TOC3">
    <w:name w:val="toc 3"/>
    <w:basedOn w:val="Normal"/>
    <w:next w:val="Normal"/>
    <w:uiPriority w:val="39"/>
    <w:semiHidden/>
    <w:unhideWhenUsed/>
    <w:rsid w:val="00516D21"/>
    <w:pPr>
      <w:tabs>
        <w:tab w:val="right" w:leader="dot" w:pos="9071"/>
      </w:tabs>
      <w:spacing w:before="60" w:line="240" w:lineRule="auto"/>
      <w:ind w:left="850" w:hanging="850"/>
    </w:pPr>
  </w:style>
  <w:style w:type="paragraph" w:styleId="TOC4">
    <w:name w:val="toc 4"/>
    <w:basedOn w:val="Normal"/>
    <w:next w:val="Normal"/>
    <w:uiPriority w:val="39"/>
    <w:semiHidden/>
    <w:unhideWhenUsed/>
    <w:rsid w:val="00516D21"/>
    <w:pPr>
      <w:tabs>
        <w:tab w:val="right" w:leader="dot" w:pos="9071"/>
      </w:tabs>
      <w:spacing w:before="60" w:line="240" w:lineRule="auto"/>
      <w:ind w:left="850" w:hanging="850"/>
    </w:pPr>
  </w:style>
  <w:style w:type="paragraph" w:styleId="TOC5">
    <w:name w:val="toc 5"/>
    <w:basedOn w:val="Normal"/>
    <w:next w:val="Normal"/>
    <w:uiPriority w:val="39"/>
    <w:semiHidden/>
    <w:unhideWhenUsed/>
    <w:rsid w:val="00516D21"/>
    <w:pPr>
      <w:tabs>
        <w:tab w:val="right" w:leader="dot" w:pos="9071"/>
      </w:tabs>
      <w:spacing w:before="300" w:line="240" w:lineRule="auto"/>
    </w:pPr>
  </w:style>
  <w:style w:type="paragraph" w:styleId="TOC6">
    <w:name w:val="toc 6"/>
    <w:basedOn w:val="Normal"/>
    <w:next w:val="Normal"/>
    <w:uiPriority w:val="39"/>
    <w:semiHidden/>
    <w:unhideWhenUsed/>
    <w:rsid w:val="00516D21"/>
    <w:pPr>
      <w:tabs>
        <w:tab w:val="right" w:leader="dot" w:pos="9071"/>
      </w:tabs>
      <w:spacing w:before="240" w:line="240" w:lineRule="auto"/>
    </w:pPr>
  </w:style>
  <w:style w:type="paragraph" w:styleId="TOC7">
    <w:name w:val="toc 7"/>
    <w:basedOn w:val="Normal"/>
    <w:next w:val="Normal"/>
    <w:uiPriority w:val="39"/>
    <w:semiHidden/>
    <w:unhideWhenUsed/>
    <w:rsid w:val="00516D21"/>
    <w:pPr>
      <w:tabs>
        <w:tab w:val="right" w:leader="dot" w:pos="9071"/>
      </w:tabs>
      <w:spacing w:before="180" w:line="240" w:lineRule="auto"/>
    </w:pPr>
  </w:style>
  <w:style w:type="paragraph" w:styleId="TOC8">
    <w:name w:val="toc 8"/>
    <w:basedOn w:val="Normal"/>
    <w:next w:val="Normal"/>
    <w:uiPriority w:val="39"/>
    <w:semiHidden/>
    <w:unhideWhenUsed/>
    <w:rsid w:val="00516D21"/>
    <w:pPr>
      <w:tabs>
        <w:tab w:val="right" w:leader="dot" w:pos="9071"/>
      </w:tabs>
      <w:spacing w:line="240" w:lineRule="auto"/>
    </w:pPr>
  </w:style>
  <w:style w:type="paragraph" w:styleId="TOC9">
    <w:name w:val="toc 9"/>
    <w:basedOn w:val="Normal"/>
    <w:next w:val="Normal"/>
    <w:uiPriority w:val="39"/>
    <w:semiHidden/>
    <w:unhideWhenUsed/>
    <w:rsid w:val="00516D21"/>
    <w:pPr>
      <w:tabs>
        <w:tab w:val="right" w:leader="dot" w:pos="9071"/>
      </w:tabs>
      <w:spacing w:line="240" w:lineRule="auto"/>
      <w:jc w:val="both"/>
    </w:pPr>
  </w:style>
  <w:style w:type="paragraph" w:customStyle="1" w:styleId="HeaderSensitivity">
    <w:name w:val="Header Sensitivity"/>
    <w:basedOn w:val="Normal"/>
    <w:rsid w:val="00516D21"/>
    <w:pPr>
      <w:pBdr>
        <w:top w:val="single" w:sz="4" w:space="1" w:color="auto"/>
        <w:left w:val="single" w:sz="4" w:space="4" w:color="auto"/>
        <w:bottom w:val="single" w:sz="4" w:space="1" w:color="auto"/>
        <w:right w:val="single" w:sz="4" w:space="4" w:color="auto"/>
      </w:pBdr>
      <w:spacing w:before="0" w:line="240" w:lineRule="auto"/>
      <w:ind w:left="113" w:right="113"/>
      <w:jc w:val="center"/>
    </w:pPr>
    <w:rPr>
      <w:b/>
      <w:sz w:val="32"/>
    </w:rPr>
  </w:style>
  <w:style w:type="paragraph" w:customStyle="1" w:styleId="HeaderSensitivityRight">
    <w:name w:val="Header Sensitivity Right"/>
    <w:basedOn w:val="Normal"/>
    <w:rsid w:val="00516D21"/>
    <w:pPr>
      <w:spacing w:before="0" w:line="240" w:lineRule="auto"/>
      <w:jc w:val="right"/>
    </w:pPr>
    <w:rPr>
      <w:sz w:val="28"/>
    </w:rPr>
  </w:style>
  <w:style w:type="paragraph" w:customStyle="1" w:styleId="FooterSensitivity">
    <w:name w:val="Footer Sensitivity"/>
    <w:basedOn w:val="Normal"/>
    <w:rsid w:val="00516D21"/>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Text1">
    <w:name w:val="Text 1"/>
    <w:basedOn w:val="Normal"/>
    <w:rsid w:val="00516D21"/>
    <w:pPr>
      <w:spacing w:line="240" w:lineRule="auto"/>
      <w:ind w:left="850"/>
      <w:jc w:val="both"/>
    </w:pPr>
  </w:style>
  <w:style w:type="paragraph" w:customStyle="1" w:styleId="Text2">
    <w:name w:val="Text 2"/>
    <w:basedOn w:val="Normal"/>
    <w:rsid w:val="00516D21"/>
    <w:pPr>
      <w:spacing w:line="240" w:lineRule="auto"/>
      <w:ind w:left="1417"/>
      <w:jc w:val="both"/>
    </w:pPr>
  </w:style>
  <w:style w:type="paragraph" w:customStyle="1" w:styleId="Text3">
    <w:name w:val="Text 3"/>
    <w:basedOn w:val="Normal"/>
    <w:rsid w:val="00516D21"/>
    <w:pPr>
      <w:spacing w:line="240" w:lineRule="auto"/>
      <w:ind w:left="1984"/>
      <w:jc w:val="both"/>
    </w:pPr>
  </w:style>
  <w:style w:type="paragraph" w:customStyle="1" w:styleId="Text4">
    <w:name w:val="Text 4"/>
    <w:basedOn w:val="Normal"/>
    <w:rsid w:val="00516D21"/>
    <w:pPr>
      <w:spacing w:line="240" w:lineRule="auto"/>
      <w:ind w:left="2551"/>
      <w:jc w:val="both"/>
    </w:pPr>
  </w:style>
  <w:style w:type="paragraph" w:customStyle="1" w:styleId="NormalCentered">
    <w:name w:val="Normal Centered"/>
    <w:basedOn w:val="Normal"/>
    <w:rsid w:val="00516D21"/>
    <w:pPr>
      <w:spacing w:line="240" w:lineRule="auto"/>
      <w:jc w:val="center"/>
    </w:pPr>
  </w:style>
  <w:style w:type="paragraph" w:customStyle="1" w:styleId="NormalLeft">
    <w:name w:val="Normal Left"/>
    <w:basedOn w:val="Normal"/>
    <w:rsid w:val="00516D21"/>
    <w:pPr>
      <w:spacing w:line="240" w:lineRule="auto"/>
    </w:pPr>
  </w:style>
  <w:style w:type="paragraph" w:customStyle="1" w:styleId="NormalRight">
    <w:name w:val="Normal Right"/>
    <w:basedOn w:val="Normal"/>
    <w:rsid w:val="00516D21"/>
    <w:pPr>
      <w:spacing w:line="240" w:lineRule="auto"/>
      <w:jc w:val="right"/>
    </w:pPr>
  </w:style>
  <w:style w:type="paragraph" w:customStyle="1" w:styleId="QuotedText">
    <w:name w:val="Quoted Text"/>
    <w:basedOn w:val="Normal"/>
    <w:rsid w:val="00516D21"/>
    <w:pPr>
      <w:spacing w:line="240" w:lineRule="auto"/>
      <w:ind w:left="1417"/>
      <w:jc w:val="both"/>
    </w:pPr>
  </w:style>
  <w:style w:type="paragraph" w:customStyle="1" w:styleId="Point0">
    <w:name w:val="Point 0"/>
    <w:basedOn w:val="Normal"/>
    <w:rsid w:val="00516D21"/>
    <w:pPr>
      <w:spacing w:line="240" w:lineRule="auto"/>
      <w:ind w:left="850" w:hanging="850"/>
      <w:jc w:val="both"/>
    </w:pPr>
  </w:style>
  <w:style w:type="paragraph" w:customStyle="1" w:styleId="Point1">
    <w:name w:val="Point 1"/>
    <w:basedOn w:val="Normal"/>
    <w:rsid w:val="00516D21"/>
    <w:pPr>
      <w:spacing w:line="240" w:lineRule="auto"/>
      <w:ind w:left="1417" w:hanging="567"/>
      <w:jc w:val="both"/>
    </w:pPr>
  </w:style>
  <w:style w:type="paragraph" w:customStyle="1" w:styleId="Point2">
    <w:name w:val="Point 2"/>
    <w:basedOn w:val="Normal"/>
    <w:rsid w:val="00516D21"/>
    <w:pPr>
      <w:spacing w:line="240" w:lineRule="auto"/>
      <w:ind w:left="1984" w:hanging="567"/>
      <w:jc w:val="both"/>
    </w:pPr>
  </w:style>
  <w:style w:type="paragraph" w:customStyle="1" w:styleId="Point3">
    <w:name w:val="Point 3"/>
    <w:basedOn w:val="Normal"/>
    <w:rsid w:val="00516D21"/>
    <w:pPr>
      <w:spacing w:line="240" w:lineRule="auto"/>
      <w:ind w:left="2551" w:hanging="567"/>
      <w:jc w:val="both"/>
    </w:pPr>
  </w:style>
  <w:style w:type="paragraph" w:customStyle="1" w:styleId="Point4">
    <w:name w:val="Point 4"/>
    <w:basedOn w:val="Normal"/>
    <w:rsid w:val="00516D21"/>
    <w:pPr>
      <w:spacing w:line="240" w:lineRule="auto"/>
      <w:ind w:left="3118" w:hanging="567"/>
      <w:jc w:val="both"/>
    </w:pPr>
  </w:style>
  <w:style w:type="paragraph" w:customStyle="1" w:styleId="Tiret0">
    <w:name w:val="Tiret 0"/>
    <w:basedOn w:val="Point0"/>
    <w:rsid w:val="00516D21"/>
    <w:pPr>
      <w:numPr>
        <w:numId w:val="140"/>
      </w:numPr>
    </w:pPr>
  </w:style>
  <w:style w:type="paragraph" w:customStyle="1" w:styleId="Tiret1">
    <w:name w:val="Tiret 1"/>
    <w:basedOn w:val="Point1"/>
    <w:rsid w:val="00516D21"/>
    <w:pPr>
      <w:numPr>
        <w:numId w:val="141"/>
      </w:numPr>
    </w:pPr>
  </w:style>
  <w:style w:type="paragraph" w:customStyle="1" w:styleId="Tiret2">
    <w:name w:val="Tiret 2"/>
    <w:basedOn w:val="Point2"/>
    <w:rsid w:val="00516D21"/>
    <w:pPr>
      <w:numPr>
        <w:numId w:val="142"/>
      </w:numPr>
    </w:pPr>
  </w:style>
  <w:style w:type="paragraph" w:customStyle="1" w:styleId="Tiret3">
    <w:name w:val="Tiret 3"/>
    <w:basedOn w:val="Point3"/>
    <w:rsid w:val="00516D21"/>
    <w:pPr>
      <w:numPr>
        <w:numId w:val="143"/>
      </w:numPr>
    </w:pPr>
  </w:style>
  <w:style w:type="paragraph" w:customStyle="1" w:styleId="Tiret4">
    <w:name w:val="Tiret 4"/>
    <w:basedOn w:val="Point4"/>
    <w:rsid w:val="00516D21"/>
    <w:pPr>
      <w:numPr>
        <w:numId w:val="144"/>
      </w:numPr>
    </w:pPr>
  </w:style>
  <w:style w:type="paragraph" w:customStyle="1" w:styleId="PointDouble0">
    <w:name w:val="PointDouble 0"/>
    <w:basedOn w:val="Normal"/>
    <w:rsid w:val="00516D21"/>
    <w:pPr>
      <w:tabs>
        <w:tab w:val="left" w:pos="850"/>
      </w:tabs>
      <w:spacing w:line="240" w:lineRule="auto"/>
      <w:ind w:left="1417" w:hanging="1417"/>
      <w:jc w:val="both"/>
    </w:pPr>
  </w:style>
  <w:style w:type="paragraph" w:customStyle="1" w:styleId="PointDouble1">
    <w:name w:val="PointDouble 1"/>
    <w:basedOn w:val="Normal"/>
    <w:rsid w:val="00516D21"/>
    <w:pPr>
      <w:tabs>
        <w:tab w:val="left" w:pos="1417"/>
      </w:tabs>
      <w:spacing w:line="240" w:lineRule="auto"/>
      <w:ind w:left="1984" w:hanging="1134"/>
      <w:jc w:val="both"/>
    </w:pPr>
  </w:style>
  <w:style w:type="paragraph" w:customStyle="1" w:styleId="PointDouble2">
    <w:name w:val="PointDouble 2"/>
    <w:basedOn w:val="Normal"/>
    <w:rsid w:val="00516D21"/>
    <w:pPr>
      <w:tabs>
        <w:tab w:val="left" w:pos="1984"/>
      </w:tabs>
      <w:spacing w:line="240" w:lineRule="auto"/>
      <w:ind w:left="2551" w:hanging="1134"/>
      <w:jc w:val="both"/>
    </w:pPr>
  </w:style>
  <w:style w:type="paragraph" w:customStyle="1" w:styleId="PointDouble3">
    <w:name w:val="PointDouble 3"/>
    <w:basedOn w:val="Normal"/>
    <w:rsid w:val="00516D21"/>
    <w:pPr>
      <w:tabs>
        <w:tab w:val="left" w:pos="2551"/>
      </w:tabs>
      <w:spacing w:line="240" w:lineRule="auto"/>
      <w:ind w:left="3118" w:hanging="1134"/>
      <w:jc w:val="both"/>
    </w:pPr>
  </w:style>
  <w:style w:type="paragraph" w:customStyle="1" w:styleId="PointDouble4">
    <w:name w:val="PointDouble 4"/>
    <w:basedOn w:val="Normal"/>
    <w:rsid w:val="00516D21"/>
    <w:pPr>
      <w:tabs>
        <w:tab w:val="left" w:pos="3118"/>
      </w:tabs>
      <w:spacing w:line="240" w:lineRule="auto"/>
      <w:ind w:left="3685" w:hanging="1134"/>
      <w:jc w:val="both"/>
    </w:pPr>
  </w:style>
  <w:style w:type="paragraph" w:customStyle="1" w:styleId="PointTriple0">
    <w:name w:val="PointTriple 0"/>
    <w:basedOn w:val="Normal"/>
    <w:rsid w:val="00516D21"/>
    <w:pPr>
      <w:tabs>
        <w:tab w:val="left" w:pos="850"/>
        <w:tab w:val="left" w:pos="1417"/>
      </w:tabs>
      <w:spacing w:line="240" w:lineRule="auto"/>
      <w:ind w:left="1984" w:hanging="1984"/>
      <w:jc w:val="both"/>
    </w:pPr>
  </w:style>
  <w:style w:type="paragraph" w:customStyle="1" w:styleId="PointTriple1">
    <w:name w:val="PointTriple 1"/>
    <w:basedOn w:val="Normal"/>
    <w:rsid w:val="00516D21"/>
    <w:pPr>
      <w:tabs>
        <w:tab w:val="left" w:pos="1417"/>
        <w:tab w:val="left" w:pos="1984"/>
      </w:tabs>
      <w:spacing w:line="240" w:lineRule="auto"/>
      <w:ind w:left="2551" w:hanging="1701"/>
      <w:jc w:val="both"/>
    </w:pPr>
  </w:style>
  <w:style w:type="paragraph" w:customStyle="1" w:styleId="PointTriple2">
    <w:name w:val="PointTriple 2"/>
    <w:basedOn w:val="Normal"/>
    <w:rsid w:val="00516D21"/>
    <w:pPr>
      <w:tabs>
        <w:tab w:val="left" w:pos="1984"/>
        <w:tab w:val="left" w:pos="2551"/>
      </w:tabs>
      <w:spacing w:line="240" w:lineRule="auto"/>
      <w:ind w:left="3118" w:hanging="1701"/>
      <w:jc w:val="both"/>
    </w:pPr>
  </w:style>
  <w:style w:type="paragraph" w:customStyle="1" w:styleId="PointTriple3">
    <w:name w:val="PointTriple 3"/>
    <w:basedOn w:val="Normal"/>
    <w:rsid w:val="00516D21"/>
    <w:pPr>
      <w:tabs>
        <w:tab w:val="left" w:pos="2551"/>
        <w:tab w:val="left" w:pos="3118"/>
      </w:tabs>
      <w:spacing w:line="240" w:lineRule="auto"/>
      <w:ind w:left="3685" w:hanging="1701"/>
      <w:jc w:val="both"/>
    </w:pPr>
  </w:style>
  <w:style w:type="paragraph" w:customStyle="1" w:styleId="PointTriple4">
    <w:name w:val="PointTriple 4"/>
    <w:basedOn w:val="Normal"/>
    <w:rsid w:val="00516D21"/>
    <w:pPr>
      <w:tabs>
        <w:tab w:val="left" w:pos="3118"/>
        <w:tab w:val="left" w:pos="3685"/>
      </w:tabs>
      <w:spacing w:line="240" w:lineRule="auto"/>
      <w:ind w:left="4252" w:hanging="1701"/>
      <w:jc w:val="both"/>
    </w:pPr>
  </w:style>
  <w:style w:type="paragraph" w:customStyle="1" w:styleId="NumPar1">
    <w:name w:val="NumPar 1"/>
    <w:basedOn w:val="Normal"/>
    <w:next w:val="Text1"/>
    <w:rsid w:val="00516D21"/>
    <w:pPr>
      <w:numPr>
        <w:numId w:val="135"/>
      </w:numPr>
      <w:spacing w:line="240" w:lineRule="auto"/>
      <w:jc w:val="both"/>
    </w:pPr>
  </w:style>
  <w:style w:type="paragraph" w:customStyle="1" w:styleId="NumPar2">
    <w:name w:val="NumPar 2"/>
    <w:basedOn w:val="Normal"/>
    <w:next w:val="Text1"/>
    <w:rsid w:val="00516D21"/>
    <w:pPr>
      <w:numPr>
        <w:ilvl w:val="1"/>
        <w:numId w:val="135"/>
      </w:numPr>
      <w:spacing w:line="240" w:lineRule="auto"/>
      <w:jc w:val="both"/>
    </w:pPr>
  </w:style>
  <w:style w:type="paragraph" w:customStyle="1" w:styleId="NumPar3">
    <w:name w:val="NumPar 3"/>
    <w:basedOn w:val="Normal"/>
    <w:next w:val="Text1"/>
    <w:rsid w:val="00516D21"/>
    <w:pPr>
      <w:numPr>
        <w:ilvl w:val="2"/>
        <w:numId w:val="135"/>
      </w:numPr>
      <w:spacing w:line="240" w:lineRule="auto"/>
      <w:jc w:val="both"/>
    </w:pPr>
  </w:style>
  <w:style w:type="paragraph" w:customStyle="1" w:styleId="NumPar4">
    <w:name w:val="NumPar 4"/>
    <w:basedOn w:val="Normal"/>
    <w:next w:val="Text1"/>
    <w:rsid w:val="00516D21"/>
    <w:pPr>
      <w:numPr>
        <w:ilvl w:val="3"/>
        <w:numId w:val="135"/>
      </w:numPr>
      <w:spacing w:line="240" w:lineRule="auto"/>
      <w:jc w:val="both"/>
    </w:pPr>
  </w:style>
  <w:style w:type="paragraph" w:customStyle="1" w:styleId="ManualNumPar1">
    <w:name w:val="Manual NumPar 1"/>
    <w:basedOn w:val="Normal"/>
    <w:next w:val="Text1"/>
    <w:rsid w:val="00516D21"/>
    <w:pPr>
      <w:spacing w:line="240" w:lineRule="auto"/>
      <w:ind w:left="850" w:hanging="850"/>
      <w:jc w:val="both"/>
    </w:pPr>
  </w:style>
  <w:style w:type="paragraph" w:customStyle="1" w:styleId="ManualNumPar2">
    <w:name w:val="Manual NumPar 2"/>
    <w:basedOn w:val="Normal"/>
    <w:next w:val="Text1"/>
    <w:rsid w:val="00516D21"/>
    <w:pPr>
      <w:spacing w:line="240" w:lineRule="auto"/>
      <w:ind w:left="850" w:hanging="850"/>
      <w:jc w:val="both"/>
    </w:pPr>
  </w:style>
  <w:style w:type="paragraph" w:customStyle="1" w:styleId="ManualNumPar3">
    <w:name w:val="Manual NumPar 3"/>
    <w:basedOn w:val="Normal"/>
    <w:next w:val="Text1"/>
    <w:rsid w:val="00516D21"/>
    <w:pPr>
      <w:spacing w:line="240" w:lineRule="auto"/>
      <w:ind w:left="850" w:hanging="850"/>
      <w:jc w:val="both"/>
    </w:pPr>
  </w:style>
  <w:style w:type="paragraph" w:customStyle="1" w:styleId="ManualNumPar4">
    <w:name w:val="Manual NumPar 4"/>
    <w:basedOn w:val="Normal"/>
    <w:next w:val="Text1"/>
    <w:rsid w:val="00516D21"/>
    <w:pPr>
      <w:spacing w:line="240" w:lineRule="auto"/>
      <w:ind w:left="850" w:hanging="850"/>
      <w:jc w:val="both"/>
    </w:pPr>
  </w:style>
  <w:style w:type="paragraph" w:customStyle="1" w:styleId="QuotedNumPar">
    <w:name w:val="Quoted NumPar"/>
    <w:basedOn w:val="Normal"/>
    <w:rsid w:val="00516D21"/>
    <w:pPr>
      <w:spacing w:line="240" w:lineRule="auto"/>
      <w:ind w:left="1417" w:hanging="567"/>
      <w:jc w:val="both"/>
    </w:pPr>
  </w:style>
  <w:style w:type="paragraph" w:customStyle="1" w:styleId="ManualHeading1">
    <w:name w:val="Manual Heading 1"/>
    <w:basedOn w:val="Normal"/>
    <w:next w:val="Text1"/>
    <w:rsid w:val="00516D21"/>
    <w:pPr>
      <w:keepNext/>
      <w:tabs>
        <w:tab w:val="left" w:pos="850"/>
      </w:tabs>
      <w:spacing w:before="360" w:line="240" w:lineRule="auto"/>
      <w:ind w:left="850" w:hanging="850"/>
      <w:jc w:val="both"/>
      <w:outlineLvl w:val="0"/>
    </w:pPr>
    <w:rPr>
      <w:b/>
      <w:smallCaps/>
    </w:rPr>
  </w:style>
  <w:style w:type="paragraph" w:customStyle="1" w:styleId="ManualHeading2">
    <w:name w:val="Manual Heading 2"/>
    <w:basedOn w:val="Normal"/>
    <w:next w:val="Text1"/>
    <w:rsid w:val="00516D21"/>
    <w:pPr>
      <w:keepNext/>
      <w:tabs>
        <w:tab w:val="left" w:pos="850"/>
      </w:tabs>
      <w:spacing w:line="240" w:lineRule="auto"/>
      <w:ind w:left="850" w:hanging="850"/>
      <w:jc w:val="both"/>
      <w:outlineLvl w:val="1"/>
    </w:pPr>
    <w:rPr>
      <w:b/>
    </w:rPr>
  </w:style>
  <w:style w:type="paragraph" w:customStyle="1" w:styleId="ManualHeading3">
    <w:name w:val="Manual Heading 3"/>
    <w:basedOn w:val="Normal"/>
    <w:next w:val="Text1"/>
    <w:rsid w:val="00516D21"/>
    <w:pPr>
      <w:keepNext/>
      <w:tabs>
        <w:tab w:val="left" w:pos="850"/>
      </w:tabs>
      <w:spacing w:line="240" w:lineRule="auto"/>
      <w:ind w:left="850" w:hanging="850"/>
      <w:jc w:val="both"/>
      <w:outlineLvl w:val="2"/>
    </w:pPr>
    <w:rPr>
      <w:i/>
    </w:rPr>
  </w:style>
  <w:style w:type="paragraph" w:customStyle="1" w:styleId="ManualHeading4">
    <w:name w:val="Manual Heading 4"/>
    <w:basedOn w:val="Normal"/>
    <w:next w:val="Text1"/>
    <w:rsid w:val="00516D21"/>
    <w:pPr>
      <w:keepNext/>
      <w:tabs>
        <w:tab w:val="left" w:pos="850"/>
      </w:tabs>
      <w:spacing w:line="240" w:lineRule="auto"/>
      <w:ind w:left="850" w:hanging="850"/>
      <w:jc w:val="both"/>
      <w:outlineLvl w:val="3"/>
    </w:pPr>
  </w:style>
  <w:style w:type="paragraph" w:customStyle="1" w:styleId="ChapterTitle">
    <w:name w:val="ChapterTitle"/>
    <w:basedOn w:val="Normal"/>
    <w:next w:val="Normal"/>
    <w:rsid w:val="00516D21"/>
    <w:pPr>
      <w:keepNext/>
      <w:spacing w:after="360" w:line="240" w:lineRule="auto"/>
      <w:jc w:val="center"/>
    </w:pPr>
    <w:rPr>
      <w:b/>
      <w:sz w:val="32"/>
    </w:rPr>
  </w:style>
  <w:style w:type="paragraph" w:customStyle="1" w:styleId="PartTitle">
    <w:name w:val="PartTitle"/>
    <w:basedOn w:val="Normal"/>
    <w:next w:val="ChapterTitle"/>
    <w:rsid w:val="00516D21"/>
    <w:pPr>
      <w:keepNext/>
      <w:pageBreakBefore/>
      <w:spacing w:after="360" w:line="240" w:lineRule="auto"/>
      <w:jc w:val="center"/>
    </w:pPr>
    <w:rPr>
      <w:b/>
      <w:sz w:val="36"/>
    </w:rPr>
  </w:style>
  <w:style w:type="paragraph" w:customStyle="1" w:styleId="SectionTitle">
    <w:name w:val="SectionTitle"/>
    <w:basedOn w:val="Normal"/>
    <w:next w:val="Heading1"/>
    <w:rsid w:val="00516D21"/>
    <w:pPr>
      <w:keepNext/>
      <w:spacing w:after="360" w:line="240" w:lineRule="auto"/>
      <w:jc w:val="center"/>
    </w:pPr>
    <w:rPr>
      <w:b/>
      <w:smallCaps/>
      <w:sz w:val="28"/>
    </w:rPr>
  </w:style>
  <w:style w:type="paragraph" w:customStyle="1" w:styleId="TableTitle">
    <w:name w:val="Table Title"/>
    <w:basedOn w:val="Normal"/>
    <w:next w:val="Normal"/>
    <w:rsid w:val="00516D21"/>
    <w:pPr>
      <w:spacing w:line="240" w:lineRule="auto"/>
      <w:jc w:val="center"/>
    </w:pPr>
    <w:rPr>
      <w:b/>
    </w:rPr>
  </w:style>
  <w:style w:type="character" w:customStyle="1" w:styleId="Marker2">
    <w:name w:val="Marker2"/>
    <w:rsid w:val="00516D21"/>
    <w:rPr>
      <w:color w:val="FF0000"/>
      <w:shd w:val="clear" w:color="auto" w:fill="auto"/>
    </w:rPr>
  </w:style>
  <w:style w:type="paragraph" w:customStyle="1" w:styleId="Point0number">
    <w:name w:val="Point 0 (number)"/>
    <w:basedOn w:val="Normal"/>
    <w:rsid w:val="00516D21"/>
    <w:pPr>
      <w:tabs>
        <w:tab w:val="num" w:pos="850"/>
      </w:tabs>
      <w:spacing w:line="240" w:lineRule="auto"/>
      <w:ind w:left="850" w:hanging="850"/>
      <w:jc w:val="both"/>
    </w:pPr>
  </w:style>
  <w:style w:type="paragraph" w:customStyle="1" w:styleId="Point1number">
    <w:name w:val="Point 1 (number)"/>
    <w:basedOn w:val="Normal"/>
    <w:rsid w:val="00516D21"/>
    <w:pPr>
      <w:numPr>
        <w:ilvl w:val="2"/>
        <w:numId w:val="146"/>
      </w:numPr>
      <w:spacing w:line="240" w:lineRule="auto"/>
      <w:jc w:val="both"/>
    </w:pPr>
  </w:style>
  <w:style w:type="paragraph" w:customStyle="1" w:styleId="Point2number">
    <w:name w:val="Point 2 (number)"/>
    <w:basedOn w:val="Normal"/>
    <w:rsid w:val="00516D21"/>
    <w:pPr>
      <w:numPr>
        <w:ilvl w:val="4"/>
        <w:numId w:val="146"/>
      </w:numPr>
      <w:spacing w:line="240" w:lineRule="auto"/>
      <w:jc w:val="both"/>
    </w:pPr>
  </w:style>
  <w:style w:type="paragraph" w:customStyle="1" w:styleId="Point3number">
    <w:name w:val="Point 3 (number)"/>
    <w:basedOn w:val="Normal"/>
    <w:rsid w:val="00516D21"/>
    <w:pPr>
      <w:numPr>
        <w:ilvl w:val="6"/>
        <w:numId w:val="146"/>
      </w:numPr>
      <w:spacing w:line="240" w:lineRule="auto"/>
      <w:jc w:val="both"/>
    </w:pPr>
  </w:style>
  <w:style w:type="paragraph" w:customStyle="1" w:styleId="Point0letter">
    <w:name w:val="Point 0 (letter)"/>
    <w:basedOn w:val="Normal"/>
    <w:rsid w:val="00516D21"/>
    <w:pPr>
      <w:numPr>
        <w:ilvl w:val="1"/>
        <w:numId w:val="146"/>
      </w:numPr>
      <w:spacing w:line="240" w:lineRule="auto"/>
      <w:jc w:val="both"/>
    </w:pPr>
  </w:style>
  <w:style w:type="paragraph" w:customStyle="1" w:styleId="Point1letter">
    <w:name w:val="Point 1 (letter)"/>
    <w:basedOn w:val="Normal"/>
    <w:rsid w:val="00516D21"/>
    <w:pPr>
      <w:numPr>
        <w:ilvl w:val="3"/>
        <w:numId w:val="146"/>
      </w:numPr>
      <w:spacing w:line="240" w:lineRule="auto"/>
      <w:jc w:val="both"/>
    </w:pPr>
  </w:style>
  <w:style w:type="paragraph" w:customStyle="1" w:styleId="Point2letter">
    <w:name w:val="Point 2 (letter)"/>
    <w:basedOn w:val="Normal"/>
    <w:rsid w:val="00516D21"/>
    <w:pPr>
      <w:numPr>
        <w:ilvl w:val="5"/>
        <w:numId w:val="146"/>
      </w:numPr>
      <w:spacing w:line="240" w:lineRule="auto"/>
      <w:jc w:val="both"/>
    </w:pPr>
  </w:style>
  <w:style w:type="paragraph" w:customStyle="1" w:styleId="Point3letter">
    <w:name w:val="Point 3 (letter)"/>
    <w:basedOn w:val="Normal"/>
    <w:rsid w:val="00516D21"/>
    <w:pPr>
      <w:numPr>
        <w:ilvl w:val="7"/>
        <w:numId w:val="146"/>
      </w:numPr>
      <w:spacing w:line="240" w:lineRule="auto"/>
      <w:jc w:val="both"/>
    </w:pPr>
  </w:style>
  <w:style w:type="paragraph" w:customStyle="1" w:styleId="Point4letter">
    <w:name w:val="Point 4 (letter)"/>
    <w:basedOn w:val="Normal"/>
    <w:rsid w:val="00516D21"/>
    <w:pPr>
      <w:numPr>
        <w:ilvl w:val="8"/>
        <w:numId w:val="146"/>
      </w:numPr>
      <w:spacing w:line="240" w:lineRule="auto"/>
      <w:jc w:val="both"/>
    </w:pPr>
  </w:style>
  <w:style w:type="paragraph" w:customStyle="1" w:styleId="Bullet0">
    <w:name w:val="Bullet 0"/>
    <w:basedOn w:val="Normal"/>
    <w:rsid w:val="00516D21"/>
    <w:pPr>
      <w:numPr>
        <w:numId w:val="147"/>
      </w:numPr>
      <w:spacing w:line="240" w:lineRule="auto"/>
      <w:jc w:val="both"/>
    </w:pPr>
  </w:style>
  <w:style w:type="paragraph" w:customStyle="1" w:styleId="Bullet1">
    <w:name w:val="Bullet 1"/>
    <w:basedOn w:val="Normal"/>
    <w:rsid w:val="00516D21"/>
    <w:pPr>
      <w:numPr>
        <w:numId w:val="148"/>
      </w:numPr>
      <w:spacing w:line="240" w:lineRule="auto"/>
      <w:jc w:val="both"/>
    </w:pPr>
  </w:style>
  <w:style w:type="paragraph" w:customStyle="1" w:styleId="Bullet2">
    <w:name w:val="Bullet 2"/>
    <w:basedOn w:val="Normal"/>
    <w:rsid w:val="00516D21"/>
    <w:pPr>
      <w:numPr>
        <w:numId w:val="149"/>
      </w:numPr>
      <w:spacing w:line="240" w:lineRule="auto"/>
      <w:jc w:val="both"/>
    </w:pPr>
  </w:style>
  <w:style w:type="paragraph" w:customStyle="1" w:styleId="Bullet3">
    <w:name w:val="Bullet 3"/>
    <w:basedOn w:val="Normal"/>
    <w:rsid w:val="00516D21"/>
    <w:pPr>
      <w:numPr>
        <w:numId w:val="150"/>
      </w:numPr>
      <w:spacing w:line="240" w:lineRule="auto"/>
      <w:jc w:val="both"/>
    </w:pPr>
  </w:style>
  <w:style w:type="paragraph" w:customStyle="1" w:styleId="Bullet4">
    <w:name w:val="Bullet 4"/>
    <w:basedOn w:val="Normal"/>
    <w:rsid w:val="00516D21"/>
    <w:pPr>
      <w:numPr>
        <w:numId w:val="151"/>
      </w:numPr>
      <w:spacing w:line="240" w:lineRule="auto"/>
      <w:jc w:val="both"/>
    </w:pPr>
  </w:style>
  <w:style w:type="paragraph" w:customStyle="1" w:styleId="Langue">
    <w:name w:val="Langue"/>
    <w:basedOn w:val="Normal"/>
    <w:next w:val="Rfrenceinterne"/>
    <w:rsid w:val="00516D21"/>
    <w:pPr>
      <w:framePr w:wrap="around" w:vAnchor="page" w:hAnchor="text" w:xAlign="center" w:y="14741"/>
      <w:spacing w:after="600" w:line="240" w:lineRule="auto"/>
      <w:jc w:val="center"/>
    </w:pPr>
    <w:rPr>
      <w:b/>
      <w:caps/>
    </w:rPr>
  </w:style>
  <w:style w:type="paragraph" w:customStyle="1" w:styleId="Nomdelinstitution">
    <w:name w:val="Nom de l'institution"/>
    <w:basedOn w:val="Normal"/>
    <w:next w:val="Emission"/>
    <w:rsid w:val="00516D21"/>
    <w:pPr>
      <w:spacing w:after="0" w:line="240" w:lineRule="auto"/>
    </w:pPr>
    <w:rPr>
      <w:rFonts w:ascii="Arial" w:hAnsi="Arial" w:cs="Arial"/>
    </w:rPr>
  </w:style>
  <w:style w:type="paragraph" w:customStyle="1" w:styleId="Emission">
    <w:name w:val="Emission"/>
    <w:basedOn w:val="Normal"/>
    <w:next w:val="Rfrenceinstitutionnelle"/>
    <w:rsid w:val="00516D21"/>
    <w:pPr>
      <w:spacing w:after="0" w:line="240" w:lineRule="auto"/>
      <w:ind w:left="5103"/>
    </w:pPr>
  </w:style>
  <w:style w:type="paragraph" w:customStyle="1" w:styleId="Rfrenceinstitutionnelle">
    <w:name w:val="Référence institutionnelle"/>
    <w:basedOn w:val="Normal"/>
    <w:next w:val="Confidentialit"/>
    <w:rsid w:val="00516D21"/>
    <w:pPr>
      <w:spacing w:after="240" w:line="240" w:lineRule="auto"/>
      <w:ind w:left="5103"/>
    </w:pPr>
  </w:style>
  <w:style w:type="paragraph" w:customStyle="1" w:styleId="Pagedecouverture">
    <w:name w:val="Page de couverture"/>
    <w:basedOn w:val="Normal"/>
    <w:next w:val="Normal"/>
    <w:rsid w:val="00516D21"/>
    <w:pPr>
      <w:spacing w:after="0" w:line="240" w:lineRule="auto"/>
      <w:jc w:val="both"/>
    </w:pPr>
  </w:style>
  <w:style w:type="paragraph" w:customStyle="1" w:styleId="Declassification">
    <w:name w:val="Declassification"/>
    <w:basedOn w:val="Normal"/>
    <w:next w:val="Normal"/>
    <w:rsid w:val="00516D21"/>
    <w:pPr>
      <w:spacing w:after="0" w:line="240" w:lineRule="auto"/>
      <w:jc w:val="both"/>
    </w:pPr>
  </w:style>
  <w:style w:type="paragraph" w:customStyle="1" w:styleId="Disclaimer">
    <w:name w:val="Disclaimer"/>
    <w:basedOn w:val="Normal"/>
    <w:rsid w:val="00516D21"/>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line="240" w:lineRule="auto"/>
      <w:jc w:val="both"/>
    </w:pPr>
  </w:style>
  <w:style w:type="paragraph" w:customStyle="1" w:styleId="SecurityMarking">
    <w:name w:val="SecurityMarking"/>
    <w:basedOn w:val="Normal"/>
    <w:rsid w:val="00516D21"/>
    <w:pPr>
      <w:spacing w:before="0" w:after="0" w:line="276" w:lineRule="auto"/>
      <w:ind w:left="5103"/>
    </w:pPr>
    <w:rPr>
      <w:rFonts w:eastAsiaTheme="minorHAnsi"/>
      <w:sz w:val="28"/>
    </w:rPr>
  </w:style>
  <w:style w:type="paragraph" w:customStyle="1" w:styleId="DateMarking">
    <w:name w:val="DateMarking"/>
    <w:basedOn w:val="Normal"/>
    <w:rsid w:val="00516D21"/>
    <w:pPr>
      <w:spacing w:before="0" w:after="0" w:line="276" w:lineRule="auto"/>
      <w:ind w:left="5103"/>
    </w:pPr>
    <w:rPr>
      <w:rFonts w:eastAsiaTheme="minorHAnsi"/>
      <w:i/>
      <w:sz w:val="28"/>
    </w:rPr>
  </w:style>
  <w:style w:type="paragraph" w:customStyle="1" w:styleId="ReleasableTo">
    <w:name w:val="ReleasableTo"/>
    <w:basedOn w:val="Normal"/>
    <w:rsid w:val="00516D21"/>
    <w:pPr>
      <w:spacing w:before="0" w:after="0" w:line="276" w:lineRule="auto"/>
      <w:ind w:left="5103"/>
    </w:pPr>
    <w:rPr>
      <w:rFonts w:eastAsiaTheme="minorHAnsi"/>
      <w:i/>
      <w:sz w:val="28"/>
    </w:rPr>
  </w:style>
  <w:style w:type="paragraph" w:customStyle="1" w:styleId="Annexetitreexpos">
    <w:name w:val="Annexe titre (exposé)"/>
    <w:basedOn w:val="Normal"/>
    <w:next w:val="Normal"/>
    <w:rsid w:val="00516D21"/>
    <w:pPr>
      <w:spacing w:line="240" w:lineRule="auto"/>
      <w:jc w:val="center"/>
    </w:pPr>
    <w:rPr>
      <w:b/>
      <w:u w:val="single"/>
    </w:rPr>
  </w:style>
  <w:style w:type="paragraph" w:customStyle="1" w:styleId="Annexetitre">
    <w:name w:val="Annexe titre"/>
    <w:basedOn w:val="Normal"/>
    <w:next w:val="Normal"/>
    <w:rsid w:val="00516D21"/>
    <w:pPr>
      <w:spacing w:line="240" w:lineRule="auto"/>
      <w:jc w:val="center"/>
    </w:pPr>
    <w:rPr>
      <w:b/>
      <w:u w:val="single"/>
    </w:rPr>
  </w:style>
  <w:style w:type="paragraph" w:customStyle="1" w:styleId="Annexetitrefichefinancire">
    <w:name w:val="Annexe titre (fiche financière)"/>
    <w:basedOn w:val="Normal"/>
    <w:next w:val="Normal"/>
    <w:rsid w:val="00516D21"/>
    <w:pPr>
      <w:spacing w:line="240" w:lineRule="auto"/>
      <w:jc w:val="center"/>
    </w:pPr>
    <w:rPr>
      <w:b/>
      <w:u w:val="single"/>
    </w:rPr>
  </w:style>
  <w:style w:type="paragraph" w:customStyle="1" w:styleId="Applicationdirecte">
    <w:name w:val="Application directe"/>
    <w:basedOn w:val="Normal"/>
    <w:next w:val="Fait"/>
    <w:rsid w:val="00516D21"/>
    <w:pPr>
      <w:spacing w:before="480" w:line="240" w:lineRule="auto"/>
      <w:jc w:val="both"/>
    </w:pPr>
  </w:style>
  <w:style w:type="paragraph" w:customStyle="1" w:styleId="Avertissementtitre">
    <w:name w:val="Avertissement titre"/>
    <w:basedOn w:val="Normal"/>
    <w:next w:val="Normal"/>
    <w:rsid w:val="00516D21"/>
    <w:pPr>
      <w:keepNext/>
      <w:spacing w:before="480" w:line="240" w:lineRule="auto"/>
      <w:jc w:val="both"/>
    </w:pPr>
    <w:rPr>
      <w:u w:val="single"/>
    </w:rPr>
  </w:style>
  <w:style w:type="paragraph" w:customStyle="1" w:styleId="Confidence">
    <w:name w:val="Confidence"/>
    <w:basedOn w:val="Normal"/>
    <w:next w:val="Normal"/>
    <w:rsid w:val="00516D21"/>
    <w:pPr>
      <w:spacing w:before="360" w:line="240" w:lineRule="auto"/>
      <w:jc w:val="center"/>
    </w:pPr>
  </w:style>
  <w:style w:type="paragraph" w:customStyle="1" w:styleId="Confidentialit">
    <w:name w:val="Confidentialité"/>
    <w:basedOn w:val="Normal"/>
    <w:next w:val="TypedudocumentPagedecouverture"/>
    <w:rsid w:val="00516D21"/>
    <w:pPr>
      <w:spacing w:before="240" w:after="240" w:line="240" w:lineRule="auto"/>
      <w:ind w:left="5103"/>
    </w:pPr>
    <w:rPr>
      <w:i/>
      <w:sz w:val="32"/>
    </w:rPr>
  </w:style>
  <w:style w:type="paragraph" w:customStyle="1" w:styleId="Considrant">
    <w:name w:val="Considérant"/>
    <w:basedOn w:val="Normal"/>
    <w:rsid w:val="00516D21"/>
    <w:pPr>
      <w:tabs>
        <w:tab w:val="num" w:pos="709"/>
      </w:tabs>
      <w:spacing w:line="240" w:lineRule="auto"/>
      <w:ind w:left="709" w:hanging="709"/>
      <w:jc w:val="both"/>
    </w:pPr>
  </w:style>
  <w:style w:type="paragraph" w:customStyle="1" w:styleId="Corrigendum">
    <w:name w:val="Corrigendum"/>
    <w:basedOn w:val="Normal"/>
    <w:next w:val="Normal"/>
    <w:rsid w:val="00516D21"/>
    <w:pPr>
      <w:spacing w:after="240" w:line="240" w:lineRule="auto"/>
    </w:pPr>
  </w:style>
  <w:style w:type="paragraph" w:customStyle="1" w:styleId="Datedadoption">
    <w:name w:val="Date d'adoption"/>
    <w:basedOn w:val="Normal"/>
    <w:next w:val="IntrtEEE"/>
    <w:rsid w:val="00516D21"/>
    <w:pPr>
      <w:spacing w:before="360" w:after="0" w:line="240" w:lineRule="auto"/>
      <w:jc w:val="center"/>
    </w:pPr>
    <w:rPr>
      <w:b/>
    </w:rPr>
  </w:style>
  <w:style w:type="paragraph" w:customStyle="1" w:styleId="Exposdesmotifstitre">
    <w:name w:val="Exposé des motifs titre"/>
    <w:basedOn w:val="Normal"/>
    <w:next w:val="Normal"/>
    <w:rsid w:val="00516D21"/>
    <w:pPr>
      <w:spacing w:line="240" w:lineRule="auto"/>
      <w:jc w:val="center"/>
    </w:pPr>
    <w:rPr>
      <w:b/>
      <w:u w:val="single"/>
    </w:rPr>
  </w:style>
  <w:style w:type="paragraph" w:customStyle="1" w:styleId="Fait">
    <w:name w:val="Fait à"/>
    <w:basedOn w:val="Normal"/>
    <w:next w:val="Institutionquisigne"/>
    <w:rsid w:val="00516D21"/>
    <w:pPr>
      <w:keepNext/>
      <w:spacing w:after="0" w:line="240" w:lineRule="auto"/>
      <w:jc w:val="both"/>
    </w:pPr>
  </w:style>
  <w:style w:type="paragraph" w:customStyle="1" w:styleId="Formuledadoption">
    <w:name w:val="Formule d'adoption"/>
    <w:basedOn w:val="Normal"/>
    <w:next w:val="Titrearticle"/>
    <w:rsid w:val="00516D21"/>
    <w:pPr>
      <w:keepNext/>
      <w:spacing w:line="240" w:lineRule="auto"/>
      <w:jc w:val="both"/>
    </w:pPr>
  </w:style>
  <w:style w:type="paragraph" w:customStyle="1" w:styleId="Institutionquiagit">
    <w:name w:val="Institution qui agit"/>
    <w:basedOn w:val="Normal"/>
    <w:next w:val="Normal"/>
    <w:rsid w:val="00516D21"/>
    <w:pPr>
      <w:keepNext/>
      <w:spacing w:before="600" w:line="240" w:lineRule="auto"/>
      <w:jc w:val="both"/>
    </w:pPr>
  </w:style>
  <w:style w:type="paragraph" w:customStyle="1" w:styleId="Institutionquisigne">
    <w:name w:val="Institution qui signe"/>
    <w:basedOn w:val="Normal"/>
    <w:next w:val="Personnequisigne"/>
    <w:rsid w:val="00516D21"/>
    <w:pPr>
      <w:keepNext/>
      <w:tabs>
        <w:tab w:val="left" w:pos="4252"/>
      </w:tabs>
      <w:spacing w:before="720" w:after="0" w:line="240" w:lineRule="auto"/>
      <w:jc w:val="both"/>
    </w:pPr>
    <w:rPr>
      <w:i/>
    </w:rPr>
  </w:style>
  <w:style w:type="paragraph" w:customStyle="1" w:styleId="ManualConsidrant">
    <w:name w:val="Manual Considérant"/>
    <w:basedOn w:val="Normal"/>
    <w:rsid w:val="00516D21"/>
    <w:pPr>
      <w:spacing w:line="240" w:lineRule="auto"/>
      <w:ind w:left="709" w:hanging="709"/>
      <w:jc w:val="both"/>
    </w:pPr>
  </w:style>
  <w:style w:type="paragraph" w:customStyle="1" w:styleId="Personnequisigne">
    <w:name w:val="Personne qui signe"/>
    <w:basedOn w:val="Normal"/>
    <w:next w:val="Institutionquisigne"/>
    <w:rsid w:val="00516D21"/>
    <w:pPr>
      <w:tabs>
        <w:tab w:val="left" w:pos="4252"/>
      </w:tabs>
      <w:spacing w:after="0" w:line="240" w:lineRule="auto"/>
    </w:pPr>
    <w:rPr>
      <w:i/>
    </w:rPr>
  </w:style>
  <w:style w:type="paragraph" w:customStyle="1" w:styleId="Rfrenceinterinstitutionnelle">
    <w:name w:val="Référence interinstitutionnelle"/>
    <w:basedOn w:val="Normal"/>
    <w:next w:val="Statut"/>
    <w:rsid w:val="00516D21"/>
    <w:pPr>
      <w:spacing w:after="0" w:line="240" w:lineRule="auto"/>
      <w:ind w:left="5103"/>
    </w:pPr>
  </w:style>
  <w:style w:type="paragraph" w:customStyle="1" w:styleId="Rfrenceinterne">
    <w:name w:val="Référence interne"/>
    <w:basedOn w:val="Normal"/>
    <w:next w:val="Rfrenceinterinstitutionnelle"/>
    <w:rsid w:val="00516D21"/>
    <w:pPr>
      <w:spacing w:after="0" w:line="240" w:lineRule="auto"/>
      <w:ind w:left="5103"/>
    </w:pPr>
  </w:style>
  <w:style w:type="paragraph" w:customStyle="1" w:styleId="Statut">
    <w:name w:val="Statut"/>
    <w:basedOn w:val="Normal"/>
    <w:next w:val="Typedudocument"/>
    <w:rsid w:val="00516D21"/>
    <w:pPr>
      <w:spacing w:after="240" w:line="240" w:lineRule="auto"/>
      <w:jc w:val="center"/>
    </w:pPr>
  </w:style>
  <w:style w:type="paragraph" w:customStyle="1" w:styleId="Titrearticle">
    <w:name w:val="Titre article"/>
    <w:basedOn w:val="Normal"/>
    <w:next w:val="Normal"/>
    <w:rsid w:val="00516D21"/>
    <w:pPr>
      <w:keepNext/>
      <w:spacing w:before="360" w:line="240" w:lineRule="auto"/>
      <w:jc w:val="center"/>
    </w:pPr>
    <w:rPr>
      <w:i/>
    </w:rPr>
  </w:style>
  <w:style w:type="paragraph" w:customStyle="1" w:styleId="Typedudocument">
    <w:name w:val="Type du document"/>
    <w:basedOn w:val="Normal"/>
    <w:next w:val="Accompagnant"/>
    <w:rsid w:val="00516D21"/>
    <w:pPr>
      <w:spacing w:before="360" w:after="180" w:line="240" w:lineRule="auto"/>
      <w:jc w:val="center"/>
    </w:pPr>
    <w:rPr>
      <w:b/>
    </w:rPr>
  </w:style>
  <w:style w:type="character" w:customStyle="1" w:styleId="Added">
    <w:name w:val="Added"/>
    <w:rsid w:val="00516D21"/>
    <w:rPr>
      <w:b/>
      <w:u w:val="single"/>
      <w:shd w:val="clear" w:color="auto" w:fill="auto"/>
    </w:rPr>
  </w:style>
  <w:style w:type="character" w:customStyle="1" w:styleId="Deleted">
    <w:name w:val="Deleted"/>
    <w:rsid w:val="00516D21"/>
    <w:rPr>
      <w:strike/>
      <w:dstrike w:val="0"/>
      <w:shd w:val="clear" w:color="auto" w:fill="auto"/>
    </w:rPr>
  </w:style>
  <w:style w:type="paragraph" w:customStyle="1" w:styleId="Address">
    <w:name w:val="Address"/>
    <w:basedOn w:val="Normal"/>
    <w:next w:val="Normal"/>
    <w:rsid w:val="00516D21"/>
    <w:pPr>
      <w:keepLines/>
      <w:ind w:left="3402"/>
    </w:pPr>
  </w:style>
  <w:style w:type="paragraph" w:customStyle="1" w:styleId="Objetexterne">
    <w:name w:val="Objet externe"/>
    <w:basedOn w:val="Normal"/>
    <w:next w:val="Normal"/>
    <w:rsid w:val="00516D21"/>
    <w:pPr>
      <w:spacing w:line="240" w:lineRule="auto"/>
      <w:jc w:val="both"/>
    </w:pPr>
    <w:rPr>
      <w:i/>
      <w:caps/>
    </w:rPr>
  </w:style>
  <w:style w:type="paragraph" w:customStyle="1" w:styleId="Supertitre">
    <w:name w:val="Supertitre"/>
    <w:basedOn w:val="Normal"/>
    <w:next w:val="Normal"/>
    <w:rsid w:val="00516D21"/>
    <w:pPr>
      <w:spacing w:after="600" w:line="240" w:lineRule="auto"/>
      <w:jc w:val="center"/>
    </w:pPr>
    <w:rPr>
      <w:b/>
    </w:rPr>
  </w:style>
  <w:style w:type="paragraph" w:customStyle="1" w:styleId="Languesfaisantfoi">
    <w:name w:val="Langues faisant foi"/>
    <w:basedOn w:val="Normal"/>
    <w:next w:val="Normal"/>
    <w:rsid w:val="00516D21"/>
    <w:pPr>
      <w:spacing w:before="360" w:after="0" w:line="240" w:lineRule="auto"/>
      <w:jc w:val="center"/>
    </w:pPr>
  </w:style>
  <w:style w:type="paragraph" w:customStyle="1" w:styleId="Rfrencecroise">
    <w:name w:val="Référence croisée"/>
    <w:basedOn w:val="Normal"/>
    <w:rsid w:val="00516D21"/>
    <w:pPr>
      <w:spacing w:after="0" w:line="240" w:lineRule="auto"/>
      <w:jc w:val="center"/>
    </w:pPr>
  </w:style>
  <w:style w:type="paragraph" w:customStyle="1" w:styleId="Fichefinanciretitre">
    <w:name w:val="Fiche financière titre"/>
    <w:basedOn w:val="Normal"/>
    <w:next w:val="Normal"/>
    <w:rsid w:val="00516D21"/>
    <w:pPr>
      <w:spacing w:line="240" w:lineRule="auto"/>
      <w:jc w:val="center"/>
    </w:pPr>
    <w:rPr>
      <w:b/>
      <w:u w:val="single"/>
    </w:rPr>
  </w:style>
  <w:style w:type="paragraph" w:customStyle="1" w:styleId="DatedadoptionPagedecouverture">
    <w:name w:val="Date d'adoption (Page de couverture)"/>
    <w:basedOn w:val="Datedadoption"/>
    <w:next w:val="IntrtEEEPagedecouverture"/>
    <w:rsid w:val="00516D21"/>
  </w:style>
  <w:style w:type="paragraph" w:customStyle="1" w:styleId="RfrenceinterinstitutionnellePagedecouverture">
    <w:name w:val="Référence interinstitutionnelle (Page de couverture)"/>
    <w:basedOn w:val="Rfrenceinterinstitutionnelle"/>
    <w:next w:val="Confidentialit"/>
    <w:rsid w:val="00516D21"/>
  </w:style>
  <w:style w:type="paragraph" w:customStyle="1" w:styleId="StatutPagedecouverture">
    <w:name w:val="Statut (Page de couverture)"/>
    <w:basedOn w:val="Statut"/>
    <w:next w:val="TypedudocumentPagedecouverture"/>
    <w:rsid w:val="00516D21"/>
  </w:style>
  <w:style w:type="paragraph" w:customStyle="1" w:styleId="TypedudocumentPagedecouverture">
    <w:name w:val="Type du document (Page de couverture)"/>
    <w:basedOn w:val="Typedudocument"/>
    <w:next w:val="AccompagnantPagedecouverture"/>
    <w:rsid w:val="00516D21"/>
  </w:style>
  <w:style w:type="paragraph" w:customStyle="1" w:styleId="Volume">
    <w:name w:val="Volume"/>
    <w:basedOn w:val="Normal"/>
    <w:next w:val="Confidentialit"/>
    <w:rsid w:val="00516D21"/>
    <w:pPr>
      <w:spacing w:after="240" w:line="240" w:lineRule="auto"/>
      <w:ind w:left="5103"/>
    </w:pPr>
  </w:style>
  <w:style w:type="paragraph" w:customStyle="1" w:styleId="IntrtEEE">
    <w:name w:val="Intérêt EEE"/>
    <w:basedOn w:val="Languesfaisantfoi"/>
    <w:next w:val="Normal"/>
    <w:rsid w:val="00516D21"/>
    <w:pPr>
      <w:spacing w:after="240"/>
    </w:pPr>
  </w:style>
  <w:style w:type="paragraph" w:customStyle="1" w:styleId="Accompagnant">
    <w:name w:val="Accompagnant"/>
    <w:basedOn w:val="Normal"/>
    <w:next w:val="Typeacteprincipal"/>
    <w:rsid w:val="00516D21"/>
    <w:pPr>
      <w:spacing w:before="180" w:after="240" w:line="240" w:lineRule="auto"/>
      <w:jc w:val="center"/>
    </w:pPr>
    <w:rPr>
      <w:b/>
    </w:rPr>
  </w:style>
  <w:style w:type="paragraph" w:customStyle="1" w:styleId="Typeacteprincipal">
    <w:name w:val="Type acte principal"/>
    <w:basedOn w:val="Normal"/>
    <w:next w:val="Objetacteprincipal"/>
    <w:rsid w:val="00516D21"/>
    <w:pPr>
      <w:spacing w:after="240" w:line="240" w:lineRule="auto"/>
      <w:jc w:val="center"/>
    </w:pPr>
    <w:rPr>
      <w:b/>
    </w:rPr>
  </w:style>
  <w:style w:type="paragraph" w:customStyle="1" w:styleId="Objetacteprincipal">
    <w:name w:val="Objet acte principal"/>
    <w:basedOn w:val="Normal"/>
    <w:next w:val="Titrearticle"/>
    <w:rsid w:val="00516D21"/>
    <w:pPr>
      <w:spacing w:after="360" w:line="240" w:lineRule="auto"/>
      <w:jc w:val="center"/>
    </w:pPr>
    <w:rPr>
      <w:b/>
    </w:rPr>
  </w:style>
  <w:style w:type="paragraph" w:customStyle="1" w:styleId="IntrtEEEPagedecouverture">
    <w:name w:val="Intérêt EEE (Page de couverture)"/>
    <w:basedOn w:val="IntrtEEE"/>
    <w:next w:val="Rfrencecroise"/>
    <w:rsid w:val="00516D21"/>
  </w:style>
  <w:style w:type="paragraph" w:customStyle="1" w:styleId="AccompagnantPagedecouverture">
    <w:name w:val="Accompagnant (Page de couverture)"/>
    <w:basedOn w:val="Accompagnant"/>
    <w:next w:val="TypeacteprincipalPagedecouverture"/>
    <w:rsid w:val="00516D21"/>
  </w:style>
  <w:style w:type="paragraph" w:customStyle="1" w:styleId="TypeacteprincipalPagedecouverture">
    <w:name w:val="Type acte principal (Page de couverture)"/>
    <w:basedOn w:val="Typeacteprincipal"/>
    <w:next w:val="ObjetacteprincipalPagedecouverture"/>
    <w:rsid w:val="00516D21"/>
  </w:style>
  <w:style w:type="paragraph" w:customStyle="1" w:styleId="ObjetacteprincipalPagedecouverture">
    <w:name w:val="Objet acte principal (Page de couverture)"/>
    <w:basedOn w:val="Objetacteprincipal"/>
    <w:next w:val="Rfrencecroise"/>
    <w:rsid w:val="00516D21"/>
  </w:style>
  <w:style w:type="paragraph" w:customStyle="1" w:styleId="LanguesfaisantfoiPagedecouverture">
    <w:name w:val="Langues faisant foi (Page de couverture)"/>
    <w:basedOn w:val="Normal"/>
    <w:next w:val="Normal"/>
    <w:rsid w:val="00516D21"/>
    <w:pPr>
      <w:spacing w:before="360" w:after="0" w:line="240" w:lineRule="auto"/>
      <w:jc w:val="center"/>
    </w:pPr>
  </w:style>
  <w:style w:type="character" w:styleId="FollowedHyperlink">
    <w:name w:val="FollowedHyperlink"/>
    <w:uiPriority w:val="99"/>
    <w:semiHidden/>
    <w:unhideWhenUsed/>
    <w:rsid w:val="00516D21"/>
    <w:rPr>
      <w:color w:val="954F72"/>
      <w:u w:val="single"/>
    </w:rPr>
  </w:style>
  <w:style w:type="paragraph" w:customStyle="1" w:styleId="msonormal0">
    <w:name w:val="msonormal"/>
    <w:basedOn w:val="Normal"/>
    <w:rsid w:val="00516D21"/>
    <w:pPr>
      <w:spacing w:before="100" w:beforeAutospacing="1" w:after="100" w:afterAutospacing="1" w:line="240" w:lineRule="auto"/>
    </w:pPr>
    <w:rPr>
      <w:rFonts w:eastAsia="Times New Roman"/>
    </w:rPr>
  </w:style>
  <w:style w:type="paragraph" w:customStyle="1" w:styleId="xl68">
    <w:name w:val="xl68"/>
    <w:basedOn w:val="Normal"/>
    <w:rsid w:val="00516D21"/>
    <w:pPr>
      <w:pBdr>
        <w:top w:val="single" w:sz="4" w:space="0" w:color="auto"/>
        <w:left w:val="single" w:sz="4" w:space="0" w:color="auto"/>
        <w:bottom w:val="single" w:sz="4" w:space="0" w:color="auto"/>
        <w:right w:val="single" w:sz="4" w:space="0" w:color="auto"/>
      </w:pBdr>
      <w:shd w:val="clear" w:color="B4C7E7" w:fill="BDD7EE"/>
      <w:spacing w:before="100" w:beforeAutospacing="1" w:after="100" w:afterAutospacing="1" w:line="240" w:lineRule="auto"/>
      <w:textAlignment w:val="center"/>
    </w:pPr>
    <w:rPr>
      <w:rFonts w:eastAsia="Times New Roman"/>
      <w:b/>
    </w:rPr>
  </w:style>
  <w:style w:type="paragraph" w:customStyle="1" w:styleId="xl69">
    <w:name w:val="xl69"/>
    <w:basedOn w:val="Normal"/>
    <w:rsid w:val="00516D21"/>
    <w:pPr>
      <w:spacing w:before="100" w:beforeAutospacing="1" w:after="100" w:afterAutospacing="1" w:line="240" w:lineRule="auto"/>
    </w:pPr>
    <w:rPr>
      <w:rFonts w:eastAsia="Times New Roman"/>
      <w:color w:val="000000"/>
    </w:rPr>
  </w:style>
  <w:style w:type="paragraph" w:customStyle="1" w:styleId="xl70">
    <w:name w:val="xl70"/>
    <w:basedOn w:val="Normal"/>
    <w:rsid w:val="00516D21"/>
    <w:pPr>
      <w:pBdr>
        <w:top w:val="single" w:sz="4" w:space="0" w:color="auto"/>
        <w:left w:val="single" w:sz="4" w:space="0" w:color="auto"/>
        <w:bottom w:val="single" w:sz="4" w:space="0" w:color="auto"/>
        <w:right w:val="single" w:sz="4" w:space="0" w:color="auto"/>
      </w:pBdr>
      <w:shd w:val="clear" w:color="B4C7E7" w:fill="BDD7EE"/>
      <w:spacing w:before="100" w:beforeAutospacing="1" w:after="100" w:afterAutospacing="1" w:line="240" w:lineRule="auto"/>
      <w:jc w:val="center"/>
      <w:textAlignment w:val="center"/>
    </w:pPr>
    <w:rPr>
      <w:rFonts w:eastAsia="Times New Roman"/>
      <w:b/>
    </w:rPr>
  </w:style>
  <w:style w:type="paragraph" w:customStyle="1" w:styleId="xl71">
    <w:name w:val="xl71"/>
    <w:basedOn w:val="Normal"/>
    <w:rsid w:val="00516D21"/>
    <w:pPr>
      <w:pBdr>
        <w:top w:val="single" w:sz="4" w:space="0" w:color="auto"/>
        <w:left w:val="single" w:sz="4" w:space="0" w:color="auto"/>
        <w:bottom w:val="single" w:sz="4" w:space="0" w:color="auto"/>
        <w:right w:val="single" w:sz="4" w:space="0" w:color="auto"/>
      </w:pBdr>
      <w:shd w:val="clear" w:color="B4C7E7" w:fill="BDD7EE"/>
      <w:spacing w:before="100" w:beforeAutospacing="1" w:after="100" w:afterAutospacing="1" w:line="240" w:lineRule="auto"/>
      <w:jc w:val="center"/>
      <w:textAlignment w:val="center"/>
    </w:pPr>
    <w:rPr>
      <w:rFonts w:eastAsia="Times New Roman"/>
      <w:b/>
    </w:rPr>
  </w:style>
  <w:style w:type="paragraph" w:customStyle="1" w:styleId="xl72">
    <w:name w:val="xl72"/>
    <w:basedOn w:val="Normal"/>
    <w:rsid w:val="00516D21"/>
    <w:pPr>
      <w:pBdr>
        <w:top w:val="single" w:sz="4" w:space="0" w:color="auto"/>
        <w:left w:val="single" w:sz="4" w:space="0" w:color="auto"/>
        <w:right w:val="single" w:sz="4" w:space="0" w:color="auto"/>
      </w:pBdr>
      <w:shd w:val="clear" w:color="B4C7E7" w:fill="BDD7EE"/>
      <w:spacing w:before="100" w:beforeAutospacing="1" w:after="100" w:afterAutospacing="1" w:line="240" w:lineRule="auto"/>
      <w:jc w:val="center"/>
      <w:textAlignment w:val="center"/>
    </w:pPr>
    <w:rPr>
      <w:rFonts w:eastAsia="Times New Roman"/>
      <w:b/>
    </w:rPr>
  </w:style>
  <w:style w:type="paragraph" w:customStyle="1" w:styleId="xl73">
    <w:name w:val="xl73"/>
    <w:basedOn w:val="Normal"/>
    <w:rsid w:val="00516D21"/>
    <w:pPr>
      <w:pBdr>
        <w:top w:val="single" w:sz="4" w:space="0" w:color="auto"/>
        <w:right w:val="single" w:sz="4" w:space="0" w:color="auto"/>
      </w:pBdr>
      <w:shd w:val="clear" w:color="B4C7E7" w:fill="BDD7EE"/>
      <w:spacing w:before="100" w:beforeAutospacing="1" w:after="100" w:afterAutospacing="1" w:line="240" w:lineRule="auto"/>
      <w:jc w:val="center"/>
      <w:textAlignment w:val="center"/>
    </w:pPr>
    <w:rPr>
      <w:rFonts w:eastAsia="Times New Roman"/>
      <w:b/>
    </w:rPr>
  </w:style>
  <w:style w:type="paragraph" w:customStyle="1" w:styleId="xl74">
    <w:name w:val="xl74"/>
    <w:basedOn w:val="Normal"/>
    <w:rsid w:val="00516D21"/>
    <w:pPr>
      <w:pBdr>
        <w:top w:val="single" w:sz="4" w:space="0" w:color="auto"/>
        <w:left w:val="single" w:sz="4" w:space="0" w:color="auto"/>
        <w:bottom w:val="single" w:sz="4" w:space="0" w:color="auto"/>
        <w:right w:val="single" w:sz="4" w:space="0" w:color="auto"/>
      </w:pBdr>
      <w:shd w:val="clear" w:color="CCFFCC" w:fill="C6EFCE"/>
      <w:spacing w:before="100" w:beforeAutospacing="1" w:after="100" w:afterAutospacing="1" w:line="240" w:lineRule="auto"/>
    </w:pPr>
    <w:rPr>
      <w:rFonts w:eastAsia="Times New Roman"/>
      <w:color w:val="006100"/>
    </w:rPr>
  </w:style>
  <w:style w:type="paragraph" w:customStyle="1" w:styleId="xl75">
    <w:name w:val="xl75"/>
    <w:basedOn w:val="Normal"/>
    <w:rsid w:val="00516D21"/>
    <w:pPr>
      <w:pBdr>
        <w:top w:val="single" w:sz="4" w:space="0" w:color="auto"/>
        <w:left w:val="single" w:sz="4" w:space="0" w:color="auto"/>
        <w:bottom w:val="single" w:sz="4" w:space="0" w:color="auto"/>
      </w:pBdr>
      <w:shd w:val="clear" w:color="B4C7E7" w:fill="BDD7EE"/>
      <w:spacing w:before="100" w:beforeAutospacing="1" w:after="100" w:afterAutospacing="1" w:line="240" w:lineRule="auto"/>
      <w:jc w:val="center"/>
      <w:textAlignment w:val="center"/>
    </w:pPr>
    <w:rPr>
      <w:rFonts w:eastAsia="Times New Roman"/>
      <w:b/>
    </w:rPr>
  </w:style>
  <w:style w:type="paragraph" w:customStyle="1" w:styleId="xl76">
    <w:name w:val="xl76"/>
    <w:basedOn w:val="Normal"/>
    <w:rsid w:val="00516D21"/>
    <w:pPr>
      <w:pBdr>
        <w:top w:val="single" w:sz="4" w:space="0" w:color="auto"/>
        <w:bottom w:val="single" w:sz="4" w:space="0" w:color="auto"/>
      </w:pBdr>
      <w:shd w:val="clear" w:color="B4C7E7" w:fill="BDD7EE"/>
      <w:spacing w:before="100" w:beforeAutospacing="1" w:after="100" w:afterAutospacing="1" w:line="240" w:lineRule="auto"/>
      <w:jc w:val="center"/>
      <w:textAlignment w:val="center"/>
    </w:pPr>
    <w:rPr>
      <w:rFonts w:eastAsia="Times New Roman"/>
      <w:b/>
    </w:rPr>
  </w:style>
  <w:style w:type="paragraph" w:customStyle="1" w:styleId="xl77">
    <w:name w:val="xl77"/>
    <w:basedOn w:val="Normal"/>
    <w:rsid w:val="00516D21"/>
    <w:pPr>
      <w:pBdr>
        <w:top w:val="single" w:sz="4" w:space="0" w:color="auto"/>
        <w:bottom w:val="single" w:sz="4" w:space="0" w:color="auto"/>
        <w:right w:val="single" w:sz="4" w:space="0" w:color="auto"/>
      </w:pBdr>
      <w:shd w:val="clear" w:color="B4C7E7" w:fill="BDD7EE"/>
      <w:spacing w:before="100" w:beforeAutospacing="1" w:after="100" w:afterAutospacing="1" w:line="240" w:lineRule="auto"/>
      <w:jc w:val="center"/>
      <w:textAlignment w:val="center"/>
    </w:pPr>
    <w:rPr>
      <w:rFonts w:eastAsia="Times New Roman"/>
      <w:b/>
    </w:rPr>
  </w:style>
  <w:style w:type="paragraph" w:customStyle="1" w:styleId="xl78">
    <w:name w:val="xl78"/>
    <w:basedOn w:val="Normal"/>
    <w:rsid w:val="00516D21"/>
    <w:pPr>
      <w:spacing w:before="100" w:beforeAutospacing="1" w:after="100" w:afterAutospacing="1" w:line="240" w:lineRule="auto"/>
    </w:pPr>
    <w:rPr>
      <w:rFonts w:eastAsia="Times New Roman"/>
      <w:color w:val="000000"/>
    </w:rPr>
  </w:style>
  <w:style w:type="paragraph" w:customStyle="1" w:styleId="xl79">
    <w:name w:val="xl79"/>
    <w:basedOn w:val="Normal"/>
    <w:rsid w:val="00516D21"/>
    <w:pPr>
      <w:pBdr>
        <w:left w:val="single" w:sz="4" w:space="0" w:color="auto"/>
        <w:bottom w:val="single" w:sz="4" w:space="0" w:color="auto"/>
        <w:right w:val="single" w:sz="4" w:space="0" w:color="auto"/>
      </w:pBdr>
      <w:shd w:val="clear" w:color="CCFFCC" w:fill="C6EFCE"/>
      <w:spacing w:before="100" w:beforeAutospacing="1" w:after="100" w:afterAutospacing="1" w:line="240" w:lineRule="auto"/>
      <w:jc w:val="center"/>
    </w:pPr>
    <w:rPr>
      <w:rFonts w:eastAsia="Times New Roman"/>
      <w:color w:val="006100"/>
    </w:rPr>
  </w:style>
  <w:style w:type="paragraph" w:customStyle="1" w:styleId="xl80">
    <w:name w:val="xl80"/>
    <w:basedOn w:val="Normal"/>
    <w:rsid w:val="00516D21"/>
    <w:pPr>
      <w:pBdr>
        <w:left w:val="single" w:sz="4" w:space="0" w:color="auto"/>
        <w:bottom w:val="single" w:sz="4" w:space="0" w:color="auto"/>
        <w:right w:val="single" w:sz="4" w:space="0" w:color="auto"/>
      </w:pBdr>
      <w:shd w:val="clear" w:color="CCFFCC" w:fill="C6EFCE"/>
      <w:spacing w:before="100" w:beforeAutospacing="1" w:after="100" w:afterAutospacing="1" w:line="240" w:lineRule="auto"/>
    </w:pPr>
    <w:rPr>
      <w:rFonts w:eastAsia="Times New Roman"/>
      <w:color w:val="006100"/>
    </w:rPr>
  </w:style>
  <w:style w:type="paragraph" w:customStyle="1" w:styleId="xl81">
    <w:name w:val="xl81"/>
    <w:basedOn w:val="Normal"/>
    <w:rsid w:val="00516D21"/>
    <w:pPr>
      <w:pBdr>
        <w:top w:val="single" w:sz="4" w:space="0" w:color="auto"/>
        <w:left w:val="single" w:sz="4" w:space="0" w:color="auto"/>
        <w:bottom w:val="single" w:sz="4" w:space="0" w:color="auto"/>
        <w:right w:val="single" w:sz="4" w:space="0" w:color="auto"/>
      </w:pBdr>
      <w:shd w:val="clear" w:color="CCFFCC" w:fill="C6EFCE"/>
      <w:spacing w:before="100" w:beforeAutospacing="1" w:after="100" w:afterAutospacing="1" w:line="240" w:lineRule="auto"/>
    </w:pPr>
    <w:rPr>
      <w:rFonts w:eastAsia="Times New Roman"/>
      <w:color w:val="006100"/>
    </w:rPr>
  </w:style>
  <w:style w:type="paragraph" w:customStyle="1" w:styleId="xl82">
    <w:name w:val="xl82"/>
    <w:basedOn w:val="Normal"/>
    <w:rsid w:val="00516D21"/>
    <w:pPr>
      <w:pBdr>
        <w:left w:val="single" w:sz="4" w:space="0" w:color="auto"/>
        <w:bottom w:val="single" w:sz="4" w:space="0" w:color="auto"/>
        <w:right w:val="single" w:sz="4" w:space="0" w:color="auto"/>
      </w:pBdr>
      <w:shd w:val="clear" w:color="CCFFCC" w:fill="C6EFCE"/>
      <w:spacing w:before="100" w:beforeAutospacing="1" w:after="100" w:afterAutospacing="1" w:line="240" w:lineRule="auto"/>
      <w:textAlignment w:val="top"/>
    </w:pPr>
    <w:rPr>
      <w:rFonts w:eastAsia="Times New Roman"/>
      <w:color w:val="006100"/>
    </w:rPr>
  </w:style>
  <w:style w:type="paragraph" w:customStyle="1" w:styleId="xl83">
    <w:name w:val="xl83"/>
    <w:basedOn w:val="Normal"/>
    <w:rsid w:val="00516D21"/>
    <w:pPr>
      <w:pBdr>
        <w:top w:val="single" w:sz="4" w:space="0" w:color="auto"/>
        <w:left w:val="single" w:sz="4" w:space="0" w:color="auto"/>
        <w:bottom w:val="single" w:sz="4" w:space="0" w:color="auto"/>
        <w:right w:val="single" w:sz="4" w:space="0" w:color="auto"/>
      </w:pBdr>
      <w:shd w:val="clear" w:color="CCFFCC" w:fill="C6EFCE"/>
      <w:spacing w:before="100" w:beforeAutospacing="1" w:after="100" w:afterAutospacing="1" w:line="240" w:lineRule="auto"/>
      <w:jc w:val="center"/>
    </w:pPr>
    <w:rPr>
      <w:rFonts w:eastAsia="Times New Roman"/>
      <w:color w:val="006100"/>
    </w:rPr>
  </w:style>
  <w:style w:type="paragraph" w:customStyle="1" w:styleId="xl84">
    <w:name w:val="xl84"/>
    <w:basedOn w:val="Normal"/>
    <w:rsid w:val="00516D21"/>
    <w:pPr>
      <w:pBdr>
        <w:top w:val="single" w:sz="4" w:space="0" w:color="auto"/>
        <w:left w:val="single" w:sz="4" w:space="0" w:color="auto"/>
        <w:right w:val="single" w:sz="4" w:space="0" w:color="auto"/>
      </w:pBdr>
      <w:shd w:val="clear" w:color="CCFFCC" w:fill="C6EFCE"/>
      <w:spacing w:before="100" w:beforeAutospacing="1" w:after="100" w:afterAutospacing="1" w:line="240" w:lineRule="auto"/>
      <w:textAlignment w:val="top"/>
    </w:pPr>
    <w:rPr>
      <w:rFonts w:eastAsia="Times New Roman"/>
      <w:color w:val="006100"/>
    </w:rPr>
  </w:style>
  <w:style w:type="paragraph" w:customStyle="1" w:styleId="xl85">
    <w:name w:val="xl85"/>
    <w:basedOn w:val="Normal"/>
    <w:rsid w:val="00516D21"/>
    <w:pPr>
      <w:pBdr>
        <w:top w:val="single" w:sz="4" w:space="0" w:color="auto"/>
        <w:left w:val="single" w:sz="4" w:space="0" w:color="auto"/>
        <w:bottom w:val="single" w:sz="4" w:space="0" w:color="auto"/>
        <w:right w:val="single" w:sz="4" w:space="0" w:color="auto"/>
      </w:pBdr>
      <w:shd w:val="clear" w:color="CCFFCC" w:fill="C6EFCE"/>
      <w:spacing w:before="100" w:beforeAutospacing="1" w:after="100" w:afterAutospacing="1" w:line="240" w:lineRule="auto"/>
      <w:textAlignment w:val="top"/>
    </w:pPr>
    <w:rPr>
      <w:rFonts w:eastAsia="Times New Roman"/>
      <w:color w:val="006100"/>
    </w:rPr>
  </w:style>
  <w:style w:type="paragraph" w:customStyle="1" w:styleId="xl86">
    <w:name w:val="xl86"/>
    <w:basedOn w:val="Normal"/>
    <w:rsid w:val="00516D21"/>
    <w:pPr>
      <w:spacing w:before="100" w:beforeAutospacing="1" w:after="100" w:afterAutospacing="1" w:line="240" w:lineRule="auto"/>
      <w:jc w:val="center"/>
    </w:pPr>
    <w:rPr>
      <w:rFonts w:eastAsia="Times New Roman"/>
      <w:color w:val="000000"/>
    </w:rPr>
  </w:style>
  <w:style w:type="paragraph" w:customStyle="1" w:styleId="xl87">
    <w:name w:val="xl87"/>
    <w:basedOn w:val="Normal"/>
    <w:rsid w:val="00516D21"/>
    <w:pPr>
      <w:pBdr>
        <w:top w:val="single" w:sz="4" w:space="0" w:color="auto"/>
        <w:bottom w:val="single" w:sz="4" w:space="0" w:color="auto"/>
        <w:right w:val="single" w:sz="4" w:space="0" w:color="auto"/>
      </w:pBdr>
      <w:shd w:val="clear" w:color="B4C7E7" w:fill="BDD7EE"/>
      <w:spacing w:before="100" w:beforeAutospacing="1" w:after="100" w:afterAutospacing="1" w:line="240" w:lineRule="auto"/>
      <w:textAlignment w:val="center"/>
    </w:pPr>
    <w:rPr>
      <w:rFonts w:eastAsia="Times New Roman"/>
      <w:b/>
    </w:rPr>
  </w:style>
  <w:style w:type="paragraph" w:customStyle="1" w:styleId="xl88">
    <w:name w:val="xl88"/>
    <w:basedOn w:val="Normal"/>
    <w:rsid w:val="00516D21"/>
    <w:pPr>
      <w:spacing w:before="100" w:beforeAutospacing="1" w:after="100" w:afterAutospacing="1" w:line="240" w:lineRule="auto"/>
      <w:jc w:val="center"/>
    </w:pPr>
    <w:rPr>
      <w:rFonts w:eastAsia="Times New Roman"/>
      <w:color w:val="000000"/>
    </w:rPr>
  </w:style>
  <w:style w:type="character" w:customStyle="1" w:styleId="normaltextrun">
    <w:name w:val="normaltextrun"/>
    <w:basedOn w:val="DefaultParagraphFont"/>
    <w:uiPriority w:val="1"/>
    <w:rsid w:val="00516D21"/>
  </w:style>
  <w:style w:type="paragraph" w:customStyle="1" w:styleId="paragraph">
    <w:name w:val="paragraph"/>
    <w:basedOn w:val="Normal"/>
    <w:rsid w:val="00516D21"/>
    <w:pPr>
      <w:spacing w:before="100" w:beforeAutospacing="1" w:after="100" w:afterAutospacing="1" w:line="240" w:lineRule="auto"/>
    </w:pPr>
    <w:rPr>
      <w:rFonts w:eastAsia="Times New Roman"/>
    </w:rPr>
  </w:style>
  <w:style w:type="character" w:customStyle="1" w:styleId="eop">
    <w:name w:val="eop"/>
    <w:basedOn w:val="DefaultParagraphFont"/>
    <w:rsid w:val="00516D21"/>
  </w:style>
  <w:style w:type="character" w:customStyle="1" w:styleId="tabchar">
    <w:name w:val="tabchar"/>
    <w:basedOn w:val="DefaultParagraphFont"/>
    <w:rsid w:val="00516D21"/>
  </w:style>
  <w:style w:type="paragraph" w:styleId="NormalWeb">
    <w:name w:val="Normal (Web)"/>
    <w:basedOn w:val="Normal"/>
    <w:uiPriority w:val="99"/>
    <w:unhideWhenUsed/>
    <w:rsid w:val="00516D21"/>
    <w:pPr>
      <w:spacing w:line="240" w:lineRule="auto"/>
      <w:jc w:val="both"/>
    </w:pPr>
  </w:style>
  <w:style w:type="paragraph" w:styleId="HTMLPreformatted">
    <w:name w:val="HTML Preformatted"/>
    <w:basedOn w:val="Normal"/>
    <w:link w:val="HTMLPreformattedChar"/>
    <w:uiPriority w:val="99"/>
    <w:semiHidden/>
    <w:unhideWhenUsed/>
    <w:rsid w:val="00516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516D21"/>
    <w:rPr>
      <w:rFonts w:ascii="Courier New" w:eastAsia="Times New Roman" w:hAnsi="Courier New" w:cs="Courier New"/>
    </w:rPr>
  </w:style>
  <w:style w:type="table" w:styleId="TableGrid">
    <w:name w:val="Table Grid"/>
    <w:aliases w:val="SGS Table Basic 1,CV table"/>
    <w:basedOn w:val="TableNormal"/>
    <w:uiPriority w:val="39"/>
    <w:rsid w:val="00516D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erCoverPage">
    <w:name w:val="Footer Cover Page"/>
    <w:basedOn w:val="Normal"/>
    <w:link w:val="FooterCoverPageChar"/>
    <w:rsid w:val="00516D21"/>
    <w:pPr>
      <w:keepNext/>
      <w:tabs>
        <w:tab w:val="center" w:pos="4535"/>
        <w:tab w:val="right" w:pos="9071"/>
        <w:tab w:val="right" w:pos="9921"/>
      </w:tabs>
      <w:spacing w:before="360" w:after="0" w:line="240" w:lineRule="auto"/>
      <w:ind w:left="-850" w:right="-850"/>
      <w:outlineLvl w:val="0"/>
    </w:pPr>
  </w:style>
  <w:style w:type="character" w:customStyle="1" w:styleId="FooterCoverPageChar">
    <w:name w:val="Footer Cover Page Char"/>
    <w:link w:val="FooterCoverPage"/>
    <w:rsid w:val="00516D21"/>
    <w:rPr>
      <w:rFonts w:ascii="Times New Roman" w:hAnsi="Times New Roman"/>
      <w:sz w:val="24"/>
    </w:rPr>
  </w:style>
  <w:style w:type="paragraph" w:customStyle="1" w:styleId="HeaderCoverPage">
    <w:name w:val="Header Cover Page"/>
    <w:basedOn w:val="Normal"/>
    <w:link w:val="HeaderCoverPageChar"/>
    <w:rsid w:val="00516D21"/>
    <w:pPr>
      <w:keepNext/>
      <w:tabs>
        <w:tab w:val="center" w:pos="4535"/>
        <w:tab w:val="right" w:pos="9071"/>
      </w:tabs>
      <w:spacing w:before="0" w:line="240" w:lineRule="auto"/>
      <w:jc w:val="both"/>
      <w:outlineLvl w:val="0"/>
    </w:pPr>
  </w:style>
  <w:style w:type="character" w:customStyle="1" w:styleId="HeaderCoverPageChar">
    <w:name w:val="Header Cover Page Char"/>
    <w:link w:val="HeaderCoverPage"/>
    <w:rsid w:val="00516D21"/>
    <w:rPr>
      <w:rFonts w:ascii="Times New Roman" w:hAnsi="Times New Roman"/>
      <w:sz w:val="24"/>
    </w:rPr>
  </w:style>
  <w:style w:type="paragraph" w:styleId="Title">
    <w:name w:val="Title"/>
    <w:basedOn w:val="Normal"/>
    <w:next w:val="Normal"/>
    <w:link w:val="TitleChar"/>
    <w:rsid w:val="00516D21"/>
    <w:pPr>
      <w:keepNext/>
      <w:keepLines/>
      <w:spacing w:before="480" w:line="240" w:lineRule="auto"/>
      <w:jc w:val="both"/>
    </w:pPr>
    <w:rPr>
      <w:rFonts w:eastAsia="Times New Roman"/>
      <w:b/>
      <w:sz w:val="72"/>
    </w:rPr>
  </w:style>
  <w:style w:type="character" w:customStyle="1" w:styleId="TitleChar">
    <w:name w:val="Title Char"/>
    <w:basedOn w:val="DefaultParagraphFont"/>
    <w:link w:val="Title"/>
    <w:rsid w:val="00516D21"/>
    <w:rPr>
      <w:rFonts w:ascii="Times New Roman" w:eastAsia="Times New Roman" w:hAnsi="Times New Roman"/>
      <w:b/>
      <w:sz w:val="72"/>
    </w:rPr>
  </w:style>
  <w:style w:type="paragraph" w:styleId="Subtitle">
    <w:name w:val="Subtitle"/>
    <w:basedOn w:val="Normal"/>
    <w:next w:val="Normal"/>
    <w:link w:val="SubtitleChar"/>
    <w:rsid w:val="00516D21"/>
    <w:pPr>
      <w:keepNext/>
      <w:keepLines/>
      <w:spacing w:before="360" w:after="80" w:line="240" w:lineRule="auto"/>
      <w:jc w:val="both"/>
    </w:pPr>
    <w:rPr>
      <w:rFonts w:ascii="Georgia" w:eastAsia="Georgia" w:hAnsi="Georgia" w:cs="Georgia"/>
      <w:i/>
      <w:color w:val="666666"/>
      <w:sz w:val="48"/>
    </w:rPr>
  </w:style>
  <w:style w:type="character" w:customStyle="1" w:styleId="SubtitleChar">
    <w:name w:val="Subtitle Char"/>
    <w:basedOn w:val="DefaultParagraphFont"/>
    <w:link w:val="Subtitle"/>
    <w:rsid w:val="00516D21"/>
    <w:rPr>
      <w:rFonts w:ascii="Georgia" w:eastAsia="Georgia" w:hAnsi="Georgia" w:cs="Georgia"/>
      <w:i/>
      <w:color w:val="666666"/>
      <w:sz w:val="48"/>
    </w:rPr>
  </w:style>
  <w:style w:type="paragraph" w:customStyle="1" w:styleId="K-TextInfo">
    <w:name w:val="K-Text_Info"/>
    <w:basedOn w:val="Normal"/>
    <w:link w:val="K-TextInfoChar"/>
    <w:qFormat/>
    <w:rsid w:val="00516D21"/>
    <w:pPr>
      <w:autoSpaceDE w:val="0"/>
      <w:autoSpaceDN w:val="0"/>
      <w:adjustRightInd w:val="0"/>
      <w:spacing w:line="240" w:lineRule="auto"/>
      <w:jc w:val="both"/>
    </w:pPr>
    <w:rPr>
      <w:i/>
      <w:color w:val="548DD4"/>
      <w:sz w:val="23"/>
    </w:rPr>
  </w:style>
  <w:style w:type="character" w:customStyle="1" w:styleId="K-TextInfoChar">
    <w:name w:val="K-Text_Info Char"/>
    <w:link w:val="K-TextInfo"/>
    <w:rsid w:val="00516D21"/>
    <w:rPr>
      <w:rFonts w:ascii="Times New Roman" w:hAnsi="Times New Roman"/>
      <w:i/>
      <w:color w:val="548DD4"/>
      <w:sz w:val="23"/>
    </w:rPr>
  </w:style>
  <w:style w:type="table" w:customStyle="1" w:styleId="1">
    <w:name w:val="1"/>
    <w:basedOn w:val="TableNormal"/>
    <w:rsid w:val="00516D21"/>
    <w:pPr>
      <w:spacing w:before="120"/>
      <w:jc w:val="both"/>
    </w:pPr>
    <w:rPr>
      <w:rFonts w:ascii="Times New Roman" w:eastAsia="Times New Roman" w:hAnsi="Times New Roman"/>
      <w:sz w:val="24"/>
    </w:rPr>
    <w:tblPr>
      <w:tblStyleRowBandSize w:val="1"/>
      <w:tblStyleColBandSize w:val="1"/>
      <w:tblCellMar>
        <w:left w:w="115" w:type="dxa"/>
        <w:right w:w="115" w:type="dxa"/>
      </w:tblCellMar>
    </w:tblPr>
  </w:style>
  <w:style w:type="character" w:styleId="Emphasis">
    <w:name w:val="Emphasis"/>
    <w:uiPriority w:val="20"/>
    <w:qFormat/>
    <w:rsid w:val="00516D21"/>
    <w:rPr>
      <w:i/>
    </w:rPr>
  </w:style>
  <w:style w:type="character" w:customStyle="1" w:styleId="scxw43392095">
    <w:name w:val="scxw43392095"/>
    <w:rsid w:val="00516D21"/>
  </w:style>
  <w:style w:type="paragraph" w:customStyle="1" w:styleId="EntText">
    <w:name w:val="EntText"/>
    <w:basedOn w:val="Normal"/>
    <w:rsid w:val="00516D21"/>
    <w:rPr>
      <w:rFonts w:eastAsiaTheme="minorHAnsi"/>
    </w:rPr>
  </w:style>
  <w:style w:type="paragraph" w:customStyle="1" w:styleId="Lignefinal">
    <w:name w:val="Ligne final"/>
    <w:basedOn w:val="Normal"/>
    <w:next w:val="Normal"/>
    <w:rsid w:val="00516D21"/>
    <w:pPr>
      <w:pBdr>
        <w:bottom w:val="single" w:sz="4" w:space="0" w:color="000000"/>
      </w:pBdr>
      <w:spacing w:before="360"/>
      <w:ind w:left="3400" w:right="3400"/>
      <w:jc w:val="center"/>
    </w:pPr>
    <w:rPr>
      <w:rFonts w:eastAsiaTheme="minorHAnsi"/>
      <w:b/>
    </w:rPr>
  </w:style>
  <w:style w:type="paragraph" w:customStyle="1" w:styleId="pj">
    <w:name w:val="p.j."/>
    <w:basedOn w:val="Normal"/>
    <w:link w:val="pjChar"/>
    <w:rsid w:val="00516D21"/>
    <w:pPr>
      <w:spacing w:before="1200" w:line="240" w:lineRule="auto"/>
      <w:ind w:left="1440" w:hanging="1440"/>
    </w:pPr>
  </w:style>
  <w:style w:type="character" w:customStyle="1" w:styleId="pjChar">
    <w:name w:val="p.j. Char"/>
    <w:basedOn w:val="TechnicalBlockChar"/>
    <w:link w:val="pj"/>
    <w:rsid w:val="00516D21"/>
    <w:rPr>
      <w:rFonts w:ascii="Times New Roman" w:eastAsiaTheme="minorHAnsi" w:hAnsi="Times New Roman"/>
      <w:sz w:val="24"/>
    </w:rPr>
  </w:style>
  <w:style w:type="paragraph" w:customStyle="1" w:styleId="nbbordered">
    <w:name w:val="nb bordered"/>
    <w:basedOn w:val="Normal"/>
    <w:link w:val="nbborderedChar"/>
    <w:rsid w:val="00516D21"/>
    <w:pPr>
      <w:pBdr>
        <w:top w:val="single" w:sz="4" w:space="1" w:color="auto"/>
        <w:left w:val="single" w:sz="4" w:space="4" w:color="auto"/>
        <w:bottom w:val="single" w:sz="4" w:space="1" w:color="auto"/>
        <w:right w:val="single" w:sz="4" w:space="4" w:color="auto"/>
        <w:between w:val="single" w:sz="4" w:space="0" w:color="auto"/>
      </w:pBdr>
      <w:spacing w:after="160" w:line="240" w:lineRule="auto"/>
      <w:ind w:left="480" w:hanging="480"/>
    </w:pPr>
    <w:rPr>
      <w:b/>
    </w:rPr>
  </w:style>
  <w:style w:type="character" w:customStyle="1" w:styleId="nbborderedChar">
    <w:name w:val="nb bordered Char"/>
    <w:basedOn w:val="TechnicalBlockChar"/>
    <w:link w:val="nbbordered"/>
    <w:rsid w:val="00516D21"/>
    <w:rPr>
      <w:rFonts w:ascii="Times New Roman" w:eastAsiaTheme="minorHAnsi" w:hAnsi="Times New Roman"/>
      <w:b/>
      <w:sz w:val="24"/>
    </w:rPr>
  </w:style>
  <w:style w:type="character" w:customStyle="1" w:styleId="HeaderCouncilChar">
    <w:name w:val="Header Council Char"/>
    <w:basedOn w:val="DefaultParagraphFont"/>
    <w:link w:val="HeaderCouncil"/>
    <w:rsid w:val="00516D21"/>
    <w:rPr>
      <w:rFonts w:ascii="Times New Roman" w:hAnsi="Times New Roman"/>
      <w:sz w:val="2"/>
    </w:rPr>
  </w:style>
  <w:style w:type="character" w:customStyle="1" w:styleId="FooterCouncilChar">
    <w:name w:val="Footer Council Char"/>
    <w:basedOn w:val="DefaultParagraphFont"/>
    <w:link w:val="FooterCouncil"/>
    <w:rsid w:val="00516D21"/>
    <w:rPr>
      <w:rFonts w:ascii="Times New Roman" w:hAnsi="Times New Roman"/>
      <w:sz w:val="2"/>
    </w:rPr>
  </w:style>
  <w:style w:type="character" w:customStyle="1" w:styleId="Mention1">
    <w:name w:val="Mention1"/>
    <w:basedOn w:val="DefaultParagraphFont"/>
    <w:uiPriority w:val="99"/>
    <w:unhideWhenUsed/>
    <w:rsid w:val="00EF1A82"/>
    <w:rPr>
      <w:color w:val="2B579A"/>
      <w:shd w:val="clear" w:color="auto" w:fill="E6E6E6"/>
    </w:rPr>
  </w:style>
  <w:style w:type="paragraph" w:customStyle="1" w:styleId="K-Text">
    <w:name w:val="K-Text"/>
    <w:basedOn w:val="Normal"/>
    <w:link w:val="K-TextChar"/>
    <w:uiPriority w:val="1"/>
    <w:qFormat/>
    <w:rsid w:val="00F97503"/>
    <w:pPr>
      <w:jc w:val="both"/>
    </w:pPr>
    <w:rPr>
      <w:rFonts w:eastAsiaTheme="minorEastAsia"/>
      <w:sz w:val="23"/>
    </w:rPr>
  </w:style>
  <w:style w:type="character" w:customStyle="1" w:styleId="K-TextChar">
    <w:name w:val="K-Text Char"/>
    <w:basedOn w:val="DefaultParagraphFont"/>
    <w:link w:val="K-Text"/>
    <w:uiPriority w:val="1"/>
    <w:rsid w:val="00F97503"/>
    <w:rPr>
      <w:rFonts w:ascii="Times New Roman" w:eastAsiaTheme="minorEastAsia" w:hAnsi="Times New Roman"/>
      <w:sz w:val="23"/>
    </w:rPr>
  </w:style>
  <w:style w:type="paragraph" w:customStyle="1" w:styleId="TableParagraph">
    <w:name w:val="Table Paragraph"/>
    <w:basedOn w:val="Normal"/>
    <w:uiPriority w:val="1"/>
    <w:qFormat/>
    <w:rsid w:val="005E60F6"/>
    <w:pPr>
      <w:widowControl w:val="0"/>
      <w:spacing w:after="0"/>
    </w:pPr>
    <w:rPr>
      <w:rFonts w:eastAsia="Times New Roman"/>
    </w:rPr>
  </w:style>
  <w:style w:type="paragraph" w:customStyle="1" w:styleId="P68B1DB1-K-TextInfo20">
    <w:name w:val="P68B1DB1-K-TextInfo20"/>
    <w:basedOn w:val="Normal"/>
    <w:uiPriority w:val="1"/>
    <w:rsid w:val="00FD5BE1"/>
    <w:pPr>
      <w:jc w:val="both"/>
    </w:pPr>
    <w:rPr>
      <w:rFonts w:asciiTheme="minorHAnsi" w:eastAsiaTheme="minorEastAsia" w:hAnsiTheme="minorHAnsi" w:cstheme="minorBidi"/>
      <w:color w:val="000000" w:themeColor="text1"/>
      <w:sz w:val="22"/>
    </w:rPr>
  </w:style>
  <w:style w:type="paragraph" w:customStyle="1" w:styleId="P68B1DB1-Normln5">
    <w:name w:val="P68B1DB1-Normln5"/>
    <w:basedOn w:val="Normal"/>
    <w:uiPriority w:val="1"/>
    <w:rsid w:val="31DBF541"/>
    <w:pPr>
      <w:spacing w:after="160"/>
    </w:pPr>
    <w:rPr>
      <w:rFonts w:asciiTheme="minorHAnsi" w:eastAsiaTheme="minorEastAsia" w:hAnsiTheme="minorHAnsi" w:cstheme="minorBidi"/>
    </w:rPr>
  </w:style>
  <w:style w:type="paragraph" w:customStyle="1" w:styleId="P68B1DB1-Normln35">
    <w:name w:val="P68B1DB1-Normln35"/>
    <w:basedOn w:val="Normal"/>
    <w:uiPriority w:val="1"/>
    <w:rsid w:val="00543F46"/>
    <w:pPr>
      <w:spacing w:after="160"/>
    </w:pPr>
    <w:rPr>
      <w:rFonts w:asciiTheme="minorHAnsi" w:hAnsiTheme="minorHAnsi" w:cstheme="minorBidi"/>
    </w:rPr>
  </w:style>
  <w:style w:type="character" w:customStyle="1" w:styleId="Mention20">
    <w:name w:val="Mention20"/>
    <w:basedOn w:val="DefaultParagraphFont"/>
    <w:uiPriority w:val="99"/>
    <w:unhideWhenUsed/>
    <w:rsid w:val="00E86212"/>
    <w:rPr>
      <w:color w:val="2B579A"/>
      <w:shd w:val="clear" w:color="auto" w:fill="E1DFDD"/>
    </w:rPr>
  </w:style>
  <w:style w:type="character" w:customStyle="1" w:styleId="Mention2">
    <w:name w:val="Mention2"/>
    <w:basedOn w:val="DefaultParagraphFont"/>
    <w:uiPriority w:val="99"/>
    <w:unhideWhenUsed/>
    <w:rsid w:val="00540802"/>
    <w:rPr>
      <w:color w:val="2B579A"/>
      <w:shd w:val="clear" w:color="auto" w:fill="E1DFDD"/>
    </w:rPr>
  </w:style>
  <w:style w:type="character" w:customStyle="1" w:styleId="Mention200">
    <w:name w:val="Mention200"/>
    <w:basedOn w:val="DefaultParagraphFont"/>
    <w:uiPriority w:val="99"/>
    <w:unhideWhenUsed/>
    <w:rsid w:val="00E86212"/>
    <w:rPr>
      <w:color w:val="2B579A"/>
      <w:shd w:val="clear" w:color="auto" w:fill="E1DFDD"/>
    </w:rPr>
  </w:style>
  <w:style w:type="character" w:customStyle="1" w:styleId="Mention3">
    <w:name w:val="Mention3"/>
    <w:basedOn w:val="DefaultParagraphFont"/>
    <w:uiPriority w:val="99"/>
    <w:unhideWhenUsed/>
    <w:rsid w:val="002A530A"/>
    <w:rPr>
      <w:color w:val="2B579A"/>
      <w:shd w:val="clear" w:color="auto" w:fill="E6E6E6"/>
    </w:rPr>
  </w:style>
  <w:style w:type="paragraph" w:customStyle="1" w:styleId="P68B1DB1-Normal6">
    <w:name w:val="P68B1DB1-Normal6"/>
    <w:basedOn w:val="Normal"/>
    <w:uiPriority w:val="1"/>
    <w:rsid w:val="00E4134E"/>
    <w:rPr>
      <w:rFonts w:ascii="Calibri" w:hAnsi="Calibri" w:cs="Calibri"/>
    </w:rPr>
  </w:style>
  <w:style w:type="paragraph" w:customStyle="1" w:styleId="P68B1DB1-Normln3">
    <w:name w:val="P68B1DB1-Normln3"/>
    <w:basedOn w:val="Normal"/>
    <w:uiPriority w:val="1"/>
    <w:rsid w:val="00E4134E"/>
    <w:rPr>
      <w:rFonts w:ascii="Calibri" w:eastAsia="Roboto Condensed" w:hAnsi="Calibri" w:cs="Calibri"/>
    </w:rPr>
  </w:style>
  <w:style w:type="paragraph" w:customStyle="1" w:styleId="P68B1DB1-Normln32">
    <w:name w:val="P68B1DB1-Normln32"/>
    <w:basedOn w:val="Normal"/>
    <w:uiPriority w:val="1"/>
    <w:rsid w:val="00E4134E"/>
    <w:rPr>
      <w:rFonts w:ascii="Calibri Light" w:eastAsia="Calibri Light" w:hAnsi="Calibri Light" w:cs="Calibri Light"/>
    </w:rPr>
  </w:style>
  <w:style w:type="character" w:customStyle="1" w:styleId="Mention4">
    <w:name w:val="Mention4"/>
    <w:basedOn w:val="DefaultParagraphFont"/>
    <w:uiPriority w:val="99"/>
    <w:unhideWhenUsed/>
    <w:rsid w:val="005A6FB3"/>
    <w:rPr>
      <w:color w:val="2B579A"/>
      <w:shd w:val="clear" w:color="auto" w:fill="E1DFDD"/>
    </w:rPr>
  </w:style>
  <w:style w:type="character" w:customStyle="1" w:styleId="Mention40">
    <w:name w:val="Mention40"/>
    <w:basedOn w:val="DefaultParagraphFont"/>
    <w:uiPriority w:val="99"/>
    <w:unhideWhenUsed/>
    <w:rsid w:val="005A6FB3"/>
    <w:rPr>
      <w:color w:val="2B579A"/>
      <w:shd w:val="clear" w:color="auto" w:fill="E1DFDD"/>
    </w:rPr>
  </w:style>
  <w:style w:type="character" w:customStyle="1" w:styleId="UnresolvedMention1">
    <w:name w:val="Unresolved Mention1"/>
    <w:basedOn w:val="DefaultParagraphFont"/>
    <w:uiPriority w:val="99"/>
    <w:unhideWhenUsed/>
    <w:rsid w:val="00386E06"/>
    <w:rPr>
      <w:color w:val="605E5C"/>
      <w:shd w:val="clear" w:color="auto" w:fill="E1DFDD"/>
    </w:rPr>
  </w:style>
  <w:style w:type="paragraph" w:styleId="NoSpacing">
    <w:name w:val="No Spacing"/>
    <w:uiPriority w:val="1"/>
    <w:qFormat/>
    <w:rsid w:val="00EB06EF"/>
    <w:rPr>
      <w:rFonts w:ascii="Times New Roman" w:hAnsi="Times New Roman"/>
      <w:sz w:val="24"/>
    </w:rPr>
  </w:style>
  <w:style w:type="paragraph" w:customStyle="1" w:styleId="pf0">
    <w:name w:val="pf0"/>
    <w:basedOn w:val="Normal"/>
    <w:rsid w:val="00167EDC"/>
    <w:pPr>
      <w:spacing w:before="100" w:beforeAutospacing="1" w:after="100" w:afterAutospacing="1" w:line="240" w:lineRule="auto"/>
    </w:pPr>
    <w:rPr>
      <w:rFonts w:eastAsia="Times New Roman"/>
    </w:rPr>
  </w:style>
  <w:style w:type="character" w:customStyle="1" w:styleId="cf01">
    <w:name w:val="cf01"/>
    <w:basedOn w:val="DefaultParagraphFont"/>
    <w:rsid w:val="00167EDC"/>
    <w:rPr>
      <w:rFonts w:ascii="Segoe UI" w:hAnsi="Segoe UI" w:cs="Segoe UI" w:hint="default"/>
      <w:sz w:val="18"/>
    </w:rPr>
  </w:style>
  <w:style w:type="character" w:customStyle="1" w:styleId="cf21">
    <w:name w:val="cf21"/>
    <w:basedOn w:val="DefaultParagraphFont"/>
    <w:rsid w:val="00167EDC"/>
    <w:rPr>
      <w:rFonts w:ascii="Segoe UI" w:hAnsi="Segoe UI" w:cs="Segoe UI" w:hint="default"/>
      <w:sz w:val="18"/>
    </w:rPr>
  </w:style>
  <w:style w:type="character" w:customStyle="1" w:styleId="Mention400">
    <w:name w:val="Mention400"/>
    <w:basedOn w:val="DefaultParagraphFont"/>
    <w:uiPriority w:val="99"/>
    <w:unhideWhenUsed/>
    <w:rsid w:val="006138E7"/>
    <w:rPr>
      <w:color w:val="2B579A"/>
      <w:shd w:val="clear" w:color="auto" w:fill="E1DFDD"/>
    </w:rPr>
  </w:style>
  <w:style w:type="character" w:customStyle="1" w:styleId="Mention4000">
    <w:name w:val="Mention4000"/>
    <w:basedOn w:val="DefaultParagraphFont"/>
    <w:uiPriority w:val="99"/>
    <w:unhideWhenUsed/>
    <w:rsid w:val="006138E7"/>
    <w:rPr>
      <w:color w:val="2B579A"/>
      <w:shd w:val="clear" w:color="auto" w:fill="E1DFDD"/>
    </w:rPr>
  </w:style>
  <w:style w:type="character" w:customStyle="1" w:styleId="Mention40000">
    <w:name w:val="Mention40000"/>
    <w:basedOn w:val="DefaultParagraphFont"/>
    <w:uiPriority w:val="99"/>
    <w:unhideWhenUsed/>
    <w:rsid w:val="006138E7"/>
    <w:rPr>
      <w:color w:val="2B579A"/>
      <w:shd w:val="clear" w:color="auto" w:fill="E1DFDD"/>
    </w:rPr>
  </w:style>
  <w:style w:type="paragraph" w:customStyle="1" w:styleId="LegalNumPar">
    <w:name w:val="LegalNumPar"/>
    <w:basedOn w:val="Normal"/>
    <w:rsid w:val="006138E7"/>
    <w:pPr>
      <w:spacing w:before="0" w:after="160" w:line="259" w:lineRule="auto"/>
      <w:ind w:left="476" w:hanging="476"/>
    </w:pPr>
    <w:rPr>
      <w:rFonts w:asciiTheme="minorHAnsi" w:eastAsiaTheme="minorHAnsi" w:hAnsiTheme="minorHAnsi" w:cstheme="minorBidi"/>
      <w:sz w:val="22"/>
    </w:rPr>
  </w:style>
  <w:style w:type="paragraph" w:customStyle="1" w:styleId="LegalNumPar2">
    <w:name w:val="LegalNumPar2"/>
    <w:basedOn w:val="Normal"/>
    <w:rsid w:val="006138E7"/>
    <w:pPr>
      <w:spacing w:before="0" w:after="160" w:line="259" w:lineRule="auto"/>
      <w:ind w:left="953" w:hanging="477"/>
    </w:pPr>
    <w:rPr>
      <w:rFonts w:asciiTheme="minorHAnsi" w:eastAsiaTheme="minorHAnsi" w:hAnsiTheme="minorHAnsi" w:cstheme="minorBidi"/>
      <w:sz w:val="22"/>
    </w:rPr>
  </w:style>
  <w:style w:type="paragraph" w:customStyle="1" w:styleId="LegalNumPar3">
    <w:name w:val="LegalNumPar3"/>
    <w:basedOn w:val="Normal"/>
    <w:rsid w:val="006138E7"/>
    <w:pPr>
      <w:spacing w:before="0" w:after="160" w:line="259" w:lineRule="auto"/>
      <w:ind w:left="1429" w:hanging="476"/>
    </w:pPr>
    <w:rPr>
      <w:rFonts w:asciiTheme="minorHAnsi" w:eastAsiaTheme="minorHAnsi" w:hAnsiTheme="minorHAnsi" w:cstheme="minorBidi"/>
      <w:sz w:val="22"/>
    </w:rPr>
  </w:style>
  <w:style w:type="character" w:customStyle="1" w:styleId="Mention400000">
    <w:name w:val="Mention400000"/>
    <w:basedOn w:val="DefaultParagraphFont"/>
    <w:uiPriority w:val="99"/>
    <w:unhideWhenUsed/>
    <w:rsid w:val="005D5607"/>
    <w:rPr>
      <w:color w:val="2B579A"/>
      <w:shd w:val="clear" w:color="auto" w:fill="E1DFDD"/>
    </w:rPr>
  </w:style>
  <w:style w:type="character" w:customStyle="1" w:styleId="Mention5">
    <w:name w:val="Mention5"/>
    <w:basedOn w:val="DefaultParagraphFont"/>
    <w:uiPriority w:val="99"/>
    <w:unhideWhenUsed/>
    <w:rsid w:val="005D5607"/>
    <w:rPr>
      <w:color w:val="2B579A"/>
      <w:shd w:val="clear" w:color="auto" w:fill="E6E6E6"/>
    </w:rPr>
  </w:style>
  <w:style w:type="character" w:customStyle="1" w:styleId="Mention6">
    <w:name w:val="Mention6"/>
    <w:basedOn w:val="DefaultParagraphFont"/>
    <w:uiPriority w:val="99"/>
    <w:unhideWhenUsed/>
    <w:rsid w:val="00BD32EE"/>
    <w:rPr>
      <w:color w:val="2B579A"/>
      <w:shd w:val="clear" w:color="auto" w:fill="E1DFDD"/>
    </w:rPr>
  </w:style>
  <w:style w:type="character" w:customStyle="1" w:styleId="Mention7">
    <w:name w:val="Mention7"/>
    <w:basedOn w:val="DefaultParagraphFont"/>
    <w:uiPriority w:val="99"/>
    <w:unhideWhenUsed/>
    <w:rsid w:val="00784A06"/>
    <w:rPr>
      <w:color w:val="2B579A"/>
      <w:shd w:val="clear" w:color="auto" w:fill="E1DFDD"/>
    </w:rPr>
  </w:style>
  <w:style w:type="paragraph" w:customStyle="1" w:styleId="P68B1DB1-Normal1">
    <w:name w:val="P68B1DB1-Normal1"/>
    <w:basedOn w:val="Normal"/>
    <w:rPr>
      <w:b/>
      <w:smallCaps/>
      <w:u w:val="single"/>
    </w:rPr>
  </w:style>
  <w:style w:type="paragraph" w:customStyle="1" w:styleId="P68B1DB1-Normal2">
    <w:name w:val="P68B1DB1-Normal2"/>
    <w:basedOn w:val="Normal"/>
    <w:rPr>
      <w:b/>
      <w:smallCaps/>
    </w:rPr>
  </w:style>
  <w:style w:type="paragraph" w:customStyle="1" w:styleId="P68B1DB1-Normal3">
    <w:name w:val="P68B1DB1-Normal3"/>
    <w:basedOn w:val="Normal"/>
    <w:rPr>
      <w:rFonts w:eastAsia="Times New Roman"/>
    </w:rPr>
  </w:style>
  <w:style w:type="paragraph" w:customStyle="1" w:styleId="P68B1DB1-Normal4">
    <w:name w:val="P68B1DB1-Normal4"/>
    <w:basedOn w:val="Normal"/>
    <w:rPr>
      <w:rFonts w:eastAsia="Times New Roman"/>
      <w:color w:val="000000"/>
    </w:rPr>
  </w:style>
  <w:style w:type="paragraph" w:customStyle="1" w:styleId="P68B1DB1-Normal5">
    <w:name w:val="P68B1DB1-Normal5"/>
    <w:basedOn w:val="Normal"/>
    <w:rPr>
      <w:b/>
      <w:u w:val="single"/>
    </w:rPr>
  </w:style>
  <w:style w:type="paragraph" w:customStyle="1" w:styleId="P68B1DB1-Normal7">
    <w:name w:val="P68B1DB1-Normal7"/>
    <w:basedOn w:val="Normal"/>
    <w:rPr>
      <w:b/>
    </w:rPr>
  </w:style>
  <w:style w:type="paragraph" w:customStyle="1" w:styleId="P68B1DB1-Normal8">
    <w:name w:val="P68B1DB1-Normal8"/>
    <w:basedOn w:val="Normal"/>
    <w:rPr>
      <w:b/>
      <w:color w:val="000000"/>
      <w:u w:val="single"/>
    </w:rPr>
  </w:style>
  <w:style w:type="paragraph" w:customStyle="1" w:styleId="P68B1DB1-Normal9">
    <w:name w:val="P68B1DB1-Normal9"/>
    <w:basedOn w:val="Normal"/>
    <w:rPr>
      <w:rFonts w:eastAsia="Times New Roman"/>
      <w:b/>
      <w:sz w:val="18"/>
    </w:rPr>
  </w:style>
  <w:style w:type="paragraph" w:customStyle="1" w:styleId="P68B1DB1-Normal10">
    <w:name w:val="P68B1DB1-Normal10"/>
    <w:basedOn w:val="Normal"/>
    <w:rPr>
      <w:rFonts w:eastAsia="Times New Roman"/>
      <w:sz w:val="18"/>
    </w:rPr>
  </w:style>
  <w:style w:type="paragraph" w:customStyle="1" w:styleId="P68B1DB1-Normal11">
    <w:name w:val="P68B1DB1-Normal11"/>
    <w:basedOn w:val="Normal"/>
    <w:rPr>
      <w:rFonts w:eastAsia="Times New Roman"/>
      <w:color w:val="006100"/>
      <w:sz w:val="18"/>
    </w:rPr>
  </w:style>
  <w:style w:type="paragraph" w:customStyle="1" w:styleId="P68B1DB1-Normal12">
    <w:name w:val="P68B1DB1-Normal12"/>
    <w:basedOn w:val="Normal"/>
    <w:rPr>
      <w:sz w:val="18"/>
    </w:rPr>
  </w:style>
  <w:style w:type="paragraph" w:customStyle="1" w:styleId="P68B1DB1-Normal13">
    <w:name w:val="P68B1DB1-Normal13"/>
    <w:basedOn w:val="Normal"/>
    <w:rPr>
      <w:color w:val="000000"/>
    </w:rPr>
  </w:style>
  <w:style w:type="paragraph" w:customStyle="1" w:styleId="P68B1DB1-Normal14">
    <w:name w:val="P68B1DB1-Normal14"/>
    <w:basedOn w:val="Normal"/>
    <w:rPr>
      <w:b/>
      <w:color w:val="000000"/>
    </w:rPr>
  </w:style>
  <w:style w:type="paragraph" w:customStyle="1" w:styleId="P68B1DB1-Normal15">
    <w:name w:val="P68B1DB1-Normal15"/>
    <w:basedOn w:val="Normal"/>
    <w:rPr>
      <w:rFonts w:eastAsia="Times New Roman"/>
      <w:color w:val="004300"/>
      <w:sz w:val="18"/>
    </w:rPr>
  </w:style>
  <w:style w:type="paragraph" w:customStyle="1" w:styleId="P68B1DB1-Normal16">
    <w:name w:val="P68B1DB1-Normal16"/>
    <w:basedOn w:val="Normal"/>
    <w:rPr>
      <w:color w:val="004300"/>
      <w:sz w:val="18"/>
    </w:rPr>
  </w:style>
  <w:style w:type="paragraph" w:customStyle="1" w:styleId="P68B1DB1-P68B1DB1-Normln3517">
    <w:name w:val="P68B1DB1-P68B1DB1-Normln3517"/>
    <w:basedOn w:val="P68B1DB1-Normln35"/>
    <w:rPr>
      <w:rFonts w:ascii="Times New Roman" w:eastAsia="Times New Roman" w:hAnsi="Times New Roman" w:cs="Times New Roman"/>
      <w:b/>
      <w:color w:val="000000" w:themeColor="text1"/>
    </w:rPr>
  </w:style>
  <w:style w:type="paragraph" w:customStyle="1" w:styleId="P68B1DB1-Normal18">
    <w:name w:val="P68B1DB1-Normal18"/>
    <w:basedOn w:val="Normal"/>
    <w:rPr>
      <w:rFonts w:eastAsia="Times New Roman"/>
      <w:b/>
      <w:color w:val="000000" w:themeColor="text1"/>
    </w:rPr>
  </w:style>
  <w:style w:type="paragraph" w:customStyle="1" w:styleId="P68B1DB1-P68B1DB1-Normln3519">
    <w:name w:val="P68B1DB1-P68B1DB1-Normln3519"/>
    <w:basedOn w:val="P68B1DB1-Normln35"/>
    <w:rPr>
      <w:rFonts w:ascii="Times New Roman" w:eastAsia="Times New Roman" w:hAnsi="Times New Roman" w:cs="Times New Roman"/>
      <w:color w:val="000000" w:themeColor="text1"/>
    </w:rPr>
  </w:style>
  <w:style w:type="paragraph" w:customStyle="1" w:styleId="P68B1DB1-ListParagraph20">
    <w:name w:val="P68B1DB1-ListParagraph20"/>
    <w:basedOn w:val="ListParagraph"/>
    <w:rPr>
      <w:rFonts w:ascii="Times New Roman" w:hAnsi="Times New Roman"/>
      <w:color w:val="004300"/>
      <w:sz w:val="18"/>
    </w:rPr>
  </w:style>
  <w:style w:type="paragraph" w:customStyle="1" w:styleId="P68B1DB1-ListParagraph21">
    <w:name w:val="P68B1DB1-ListParagraph21"/>
    <w:basedOn w:val="ListParagraph"/>
    <w:rPr>
      <w:color w:val="004300"/>
      <w:sz w:val="18"/>
    </w:rPr>
  </w:style>
  <w:style w:type="paragraph" w:customStyle="1" w:styleId="P68B1DB1-Normal22">
    <w:name w:val="P68B1DB1-Normal22"/>
    <w:basedOn w:val="Normal"/>
    <w:rPr>
      <w:color w:val="000000"/>
      <w:shd w:val="clear" w:color="auto" w:fill="FFFFFF"/>
    </w:rPr>
  </w:style>
  <w:style w:type="paragraph" w:customStyle="1" w:styleId="P68B1DB1-ListParagraph23">
    <w:name w:val="P68B1DB1-ListParagraph23"/>
    <w:basedOn w:val="ListParagraph"/>
    <w:rPr>
      <w:rFonts w:ascii="Times New Roman" w:hAnsi="Times New Roman"/>
      <w:sz w:val="24"/>
    </w:rPr>
  </w:style>
  <w:style w:type="paragraph" w:customStyle="1" w:styleId="P68B1DB1-LegalNumPar24">
    <w:name w:val="P68B1DB1-LegalNumPar24"/>
    <w:basedOn w:val="LegalNumPar"/>
    <w:rPr>
      <w:rFonts w:ascii="Times New Roman" w:hAnsi="Times New Roman" w:cs="Times New Roman"/>
      <w:sz w:val="24"/>
    </w:rPr>
  </w:style>
  <w:style w:type="paragraph" w:customStyle="1" w:styleId="P68B1DB1-LegalNumPar225">
    <w:name w:val="P68B1DB1-LegalNumPar225"/>
    <w:basedOn w:val="LegalNumPar2"/>
    <w:rPr>
      <w:rFonts w:ascii="Times New Roman" w:hAnsi="Times New Roman" w:cs="Times New Roman"/>
      <w:sz w:val="24"/>
    </w:rPr>
  </w:style>
  <w:style w:type="paragraph" w:customStyle="1" w:styleId="P68B1DB1-Normal26">
    <w:name w:val="P68B1DB1-Normal26"/>
    <w:basedOn w:val="Normal"/>
    <w:rPr>
      <w:rFonts w:eastAsia="Times New Roman"/>
      <w:b/>
    </w:rPr>
  </w:style>
  <w:style w:type="paragraph" w:customStyle="1" w:styleId="P68B1DB1-Normal27">
    <w:name w:val="P68B1DB1-Normal27"/>
    <w:basedOn w:val="Normal"/>
    <w:rPr>
      <w:b/>
      <w:sz w:val="18"/>
    </w:rPr>
  </w:style>
  <w:style w:type="paragraph" w:customStyle="1" w:styleId="P68B1DB1-Normal28">
    <w:name w:val="P68B1DB1-Normal28"/>
    <w:basedOn w:val="Normal"/>
    <w:rPr>
      <w:color w:val="006100"/>
      <w:sz w:val="18"/>
    </w:rPr>
  </w:style>
  <w:style w:type="paragraph" w:customStyle="1" w:styleId="P68B1DB1-ListParagraph29">
    <w:name w:val="P68B1DB1-ListParagraph29"/>
    <w:basedOn w:val="ListParagraph"/>
    <w:rPr>
      <w:rFonts w:ascii="Times New Roman" w:eastAsia="Times New Roman" w:hAnsi="Times New Roman"/>
      <w:sz w:val="24"/>
    </w:rPr>
  </w:style>
  <w:style w:type="paragraph" w:customStyle="1" w:styleId="P68B1DB1-Normal30">
    <w:name w:val="P68B1DB1-Normal30"/>
    <w:basedOn w:val="Normal"/>
    <w:rPr>
      <w:rFonts w:eastAsia="Times New Roman"/>
      <w:b/>
      <w:color w:val="000000" w:themeColor="text1"/>
      <w:sz w:val="18"/>
    </w:rPr>
  </w:style>
  <w:style w:type="paragraph" w:customStyle="1" w:styleId="P68B1DB1-ListParagraph31">
    <w:name w:val="P68B1DB1-ListParagraph31"/>
    <w:basedOn w:val="ListParagraph"/>
    <w:rPr>
      <w:rFonts w:ascii="Times New Roman" w:eastAsia="Times New Roman" w:hAnsi="Times New Roman"/>
      <w:color w:val="006100"/>
      <w:sz w:val="18"/>
    </w:rPr>
  </w:style>
  <w:style w:type="paragraph" w:customStyle="1" w:styleId="P68B1DB1-Normal32">
    <w:name w:val="P68B1DB1-Normal32"/>
    <w:basedOn w:val="Normal"/>
    <w:rPr>
      <w:rFonts w:eastAsia="Times New Roman"/>
      <w:b/>
      <w:u w:val="single"/>
    </w:rPr>
  </w:style>
  <w:style w:type="paragraph" w:customStyle="1" w:styleId="P68B1DB1-Normal33">
    <w:name w:val="P68B1DB1-Normal33"/>
    <w:basedOn w:val="Normal"/>
    <w:rPr>
      <w:rFonts w:eastAsia="Times New Roman"/>
      <w:b/>
      <w:color w:val="000000" w:themeColor="text1"/>
      <w:u w:val="single"/>
    </w:rPr>
  </w:style>
  <w:style w:type="paragraph" w:customStyle="1" w:styleId="P68B1DB1-Normal34">
    <w:name w:val="P68B1DB1-Normal34"/>
    <w:basedOn w:val="Normal"/>
    <w:rPr>
      <w:rFonts w:ascii="Calibri" w:hAnsi="Calibri"/>
      <w:sz w:val="22"/>
    </w:rPr>
  </w:style>
  <w:style w:type="paragraph" w:customStyle="1" w:styleId="P68B1DB1-Normal35">
    <w:name w:val="P68B1DB1-Normal35"/>
    <w:basedOn w:val="Normal"/>
    <w:rPr>
      <w:color w:val="006100"/>
      <w:sz w:val="18"/>
      <w:u w:val="single"/>
    </w:rPr>
  </w:style>
  <w:style w:type="paragraph" w:customStyle="1" w:styleId="P68B1DB1-Normal36">
    <w:name w:val="P68B1DB1-Normal36"/>
    <w:basedOn w:val="Normal"/>
    <w:rPr>
      <w:rFonts w:eastAsia="Times New Roman"/>
      <w:b/>
      <w:smallCaps/>
    </w:rPr>
  </w:style>
  <w:style w:type="paragraph" w:customStyle="1" w:styleId="P68B1DB1-Normal37">
    <w:name w:val="P68B1DB1-Normal37"/>
    <w:basedOn w:val="Normal"/>
    <w:rPr>
      <w:rFonts w:ascii="Times" w:eastAsia="Times" w:hAnsi="Times" w:cs="Times"/>
      <w:color w:val="000000"/>
    </w:rPr>
  </w:style>
  <w:style w:type="paragraph" w:customStyle="1" w:styleId="P68B1DB1-Normal38">
    <w:name w:val="P68B1DB1-Normal38"/>
    <w:basedOn w:val="Normal"/>
    <w:rPr>
      <w:rFonts w:ascii="Times" w:eastAsia="Times" w:hAnsi="Times" w:cs="Times"/>
    </w:rPr>
  </w:style>
  <w:style w:type="paragraph" w:customStyle="1" w:styleId="P68B1DB1-ListParagraph39">
    <w:name w:val="P68B1DB1-ListParagraph39"/>
    <w:basedOn w:val="ListParagraph"/>
    <w:rPr>
      <w:rFonts w:ascii="Times New Roman" w:eastAsia="Times New Roman" w:hAnsi="Times New Roman"/>
      <w:color w:val="000000" w:themeColor="text1"/>
      <w:sz w:val="24"/>
    </w:rPr>
  </w:style>
  <w:style w:type="paragraph" w:customStyle="1" w:styleId="P68B1DB1-NormalWeb40">
    <w:name w:val="P68B1DB1-NormalWeb40"/>
    <w:basedOn w:val="NormalWeb"/>
    <w:rPr>
      <w:rFonts w:eastAsia="Times New Roman"/>
      <w:color w:val="004300"/>
      <w:sz w:val="18"/>
    </w:rPr>
  </w:style>
  <w:style w:type="paragraph" w:customStyle="1" w:styleId="P68B1DB1-Normal41">
    <w:name w:val="P68B1DB1-Normal41"/>
    <w:basedOn w:val="Normal"/>
    <w:rPr>
      <w:color w:val="006666"/>
      <w:sz w:val="18"/>
    </w:rPr>
  </w:style>
  <w:style w:type="paragraph" w:customStyle="1" w:styleId="P68B1DB1-ListParagraph42">
    <w:name w:val="P68B1DB1-ListParagraph42"/>
    <w:basedOn w:val="ListParagraph"/>
    <w:rPr>
      <w:rFonts w:ascii="Times New Roman" w:hAnsi="Times New Roman"/>
      <w:color w:val="006100"/>
      <w:sz w:val="18"/>
    </w:rPr>
  </w:style>
  <w:style w:type="paragraph" w:customStyle="1" w:styleId="P68B1DB1-ListParagraph43">
    <w:name w:val="P68B1DB1-ListParagraph43"/>
    <w:basedOn w:val="ListParagraph"/>
    <w:rPr>
      <w:color w:val="006100"/>
      <w:sz w:val="18"/>
    </w:rPr>
  </w:style>
  <w:style w:type="paragraph" w:customStyle="1" w:styleId="P68B1DB1-Normal44">
    <w:name w:val="P68B1DB1-Normal44"/>
    <w:basedOn w:val="Normal"/>
    <w:rPr>
      <w:u w:val="single"/>
    </w:rPr>
  </w:style>
  <w:style w:type="paragraph" w:customStyle="1" w:styleId="P68B1DB1-Normal45">
    <w:name w:val="P68B1DB1-Normal45"/>
    <w:basedOn w:val="Normal"/>
    <w:rPr>
      <w:rFonts w:eastAsia="Times New Roman"/>
      <w:i/>
      <w:color w:val="000000" w:themeColor="text1"/>
    </w:rPr>
  </w:style>
  <w:style w:type="paragraph" w:customStyle="1" w:styleId="P68B1DB1-ListParagraph46">
    <w:name w:val="P68B1DB1-ListParagraph46"/>
    <w:basedOn w:val="ListParagraph"/>
    <w:rPr>
      <w:rFonts w:eastAsia="Times New Roman"/>
      <w:color w:val="000000" w:themeColor="text1"/>
    </w:rPr>
  </w:style>
  <w:style w:type="paragraph" w:customStyle="1" w:styleId="P68B1DB1-Normal47">
    <w:name w:val="P68B1DB1-Normal47"/>
    <w:basedOn w:val="Normal"/>
    <w:rPr>
      <w:rFonts w:eastAsia="Times New Roman"/>
      <w:color w:val="385724"/>
      <w:sz w:val="18"/>
    </w:rPr>
  </w:style>
  <w:style w:type="paragraph" w:customStyle="1" w:styleId="P68B1DB1-K-Text48">
    <w:name w:val="P68B1DB1-K-Text48"/>
    <w:basedOn w:val="K-Text"/>
    <w:rPr>
      <w:b/>
      <w:smallCaps/>
    </w:rPr>
  </w:style>
  <w:style w:type="paragraph" w:customStyle="1" w:styleId="P68B1DB1-ListParagraph49">
    <w:name w:val="P68B1DB1-ListParagraph49"/>
    <w:basedOn w:val="ListParagraph"/>
    <w:rPr>
      <w:sz w:val="18"/>
    </w:rPr>
  </w:style>
  <w:style w:type="paragraph" w:customStyle="1" w:styleId="P68B1DB1-P68B1DB1-K-TextInfo2050">
    <w:name w:val="P68B1DB1-P68B1DB1-K-TextInfo2050"/>
    <w:basedOn w:val="P68B1DB1-K-TextInfo20"/>
    <w:rPr>
      <w:rFonts w:ascii="Times New Roman" w:eastAsia="Times New Roman" w:hAnsi="Times New Roman" w:cs="Times New Roman"/>
      <w:sz w:val="24"/>
    </w:rPr>
  </w:style>
  <w:style w:type="paragraph" w:customStyle="1" w:styleId="P68B1DB1-P68B1DB1-K-TextInfo2051">
    <w:name w:val="P68B1DB1-P68B1DB1-K-TextInfo2051"/>
    <w:basedOn w:val="P68B1DB1-K-TextInfo20"/>
    <w:rPr>
      <w:rFonts w:ascii="Times New Roman" w:eastAsia="Times New Roman" w:hAnsi="Times New Roman" w:cs="Times New Roman"/>
      <w:b/>
      <w:sz w:val="24"/>
      <w:u w:val="single"/>
    </w:rPr>
  </w:style>
  <w:style w:type="paragraph" w:customStyle="1" w:styleId="P68B1DB1-P68B1DB1-K-TextInfo2052">
    <w:name w:val="P68B1DB1-P68B1DB1-K-TextInfo2052"/>
    <w:basedOn w:val="P68B1DB1-K-TextInfo20"/>
    <w:rPr>
      <w:rFonts w:ascii="Times New Roman" w:eastAsia="Times New Roman" w:hAnsi="Times New Roman" w:cs="Times New Roman"/>
      <w:b/>
      <w:sz w:val="24"/>
    </w:rPr>
  </w:style>
  <w:style w:type="paragraph" w:customStyle="1" w:styleId="P68B1DB1-Normal53">
    <w:name w:val="P68B1DB1-Normal53"/>
    <w:basedOn w:val="Normal"/>
    <w:rPr>
      <w:rFonts w:eastAsia="Times New Roman"/>
      <w:color w:val="FF0000"/>
      <w:sz w:val="18"/>
    </w:rPr>
  </w:style>
  <w:style w:type="paragraph" w:customStyle="1" w:styleId="P68B1DB1-ListParagraph54">
    <w:name w:val="P68B1DB1-ListParagraph54"/>
    <w:basedOn w:val="ListParagraph"/>
    <w:rPr>
      <w:rFonts w:ascii="Times New Roman" w:eastAsia="Times New Roman" w:hAnsi="Times New Roman"/>
      <w:color w:val="004300"/>
      <w:sz w:val="18"/>
    </w:rPr>
  </w:style>
  <w:style w:type="paragraph" w:customStyle="1" w:styleId="P68B1DB1-Normal55">
    <w:name w:val="P68B1DB1-Normal55"/>
    <w:basedOn w:val="Normal"/>
    <w:rPr>
      <w:rFonts w:eastAsia="Times New Roman"/>
      <w:b/>
      <w:color w:val="000000"/>
      <w:sz w:val="22"/>
    </w:rPr>
  </w:style>
  <w:style w:type="paragraph" w:customStyle="1" w:styleId="P68B1DB1-Normal56">
    <w:name w:val="P68B1DB1-Normal56"/>
    <w:basedOn w:val="Normal"/>
    <w:rPr>
      <w:rFonts w:eastAsia="Times New Roman"/>
      <w:color w:val="004300"/>
      <w:sz w:val="20"/>
    </w:rPr>
  </w:style>
  <w:style w:type="paragraph" w:customStyle="1" w:styleId="P68B1DB1-Normal57">
    <w:name w:val="P68B1DB1-Normal57"/>
    <w:basedOn w:val="Normal"/>
    <w:rPr>
      <w:rFonts w:eastAsia="Times New Roman"/>
      <w:color w:val="006100"/>
      <w:sz w:val="20"/>
    </w:rPr>
  </w:style>
  <w:style w:type="paragraph" w:customStyle="1" w:styleId="P68B1DB1-Normal58">
    <w:name w:val="P68B1DB1-Normal58"/>
    <w:basedOn w:val="Normal"/>
    <w:rPr>
      <w:rFonts w:eastAsia="Times New Roman"/>
      <w:color w:val="385724"/>
      <w:sz w:val="20"/>
    </w:rPr>
  </w:style>
  <w:style w:type="paragraph" w:customStyle="1" w:styleId="P68B1DB1-Normal59">
    <w:name w:val="P68B1DB1-Normal59"/>
    <w:basedOn w:val="Normal"/>
    <w:rPr>
      <w:rFonts w:eastAsia="Times New Roman"/>
      <w:b/>
      <w:color w:val="006100"/>
      <w:sz w:val="20"/>
    </w:rPr>
  </w:style>
  <w:style w:type="paragraph" w:customStyle="1" w:styleId="P68B1DB1-Normal60">
    <w:name w:val="P68B1DB1-Normal60"/>
    <w:basedOn w:val="Normal"/>
    <w:rPr>
      <w:rFonts w:eastAsia="Times New Roman"/>
      <w:b/>
      <w:color w:val="004300"/>
      <w:sz w:val="20"/>
    </w:rPr>
  </w:style>
  <w:style w:type="paragraph" w:customStyle="1" w:styleId="P68B1DB1-Normal61">
    <w:name w:val="P68B1DB1-Normal61"/>
    <w:basedOn w:val="Normal"/>
    <w:rPr>
      <w:rFonts w:eastAsia="Times New Roman"/>
      <w:sz w:val="20"/>
    </w:rPr>
  </w:style>
  <w:style w:type="paragraph" w:customStyle="1" w:styleId="P68B1DB1-Normal62">
    <w:name w:val="P68B1DB1-Normal62"/>
    <w:basedOn w:val="Normal"/>
    <w:rPr>
      <w:rFonts w:eastAsia="Times New Roman"/>
      <w:color w:val="004300"/>
    </w:rPr>
  </w:style>
  <w:style w:type="paragraph" w:customStyle="1" w:styleId="P68B1DB1-Normal63">
    <w:name w:val="P68B1DB1-Normal63"/>
    <w:basedOn w:val="Normal"/>
    <w:rPr>
      <w:rFonts w:eastAsia="Times New Roman"/>
      <w:color w:val="006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99517">
      <w:bodyDiv w:val="1"/>
      <w:marLeft w:val="0"/>
      <w:marRight w:val="0"/>
      <w:marTop w:val="0"/>
      <w:marBottom w:val="0"/>
      <w:divBdr>
        <w:top w:val="none" w:sz="0" w:space="0" w:color="auto"/>
        <w:left w:val="none" w:sz="0" w:space="0" w:color="auto"/>
        <w:bottom w:val="none" w:sz="0" w:space="0" w:color="auto"/>
        <w:right w:val="none" w:sz="0" w:space="0" w:color="auto"/>
      </w:divBdr>
      <w:divsChild>
        <w:div w:id="668411635">
          <w:marLeft w:val="0"/>
          <w:marRight w:val="0"/>
          <w:marTop w:val="0"/>
          <w:marBottom w:val="0"/>
          <w:divBdr>
            <w:top w:val="none" w:sz="0" w:space="0" w:color="auto"/>
            <w:left w:val="none" w:sz="0" w:space="0" w:color="auto"/>
            <w:bottom w:val="none" w:sz="0" w:space="0" w:color="auto"/>
            <w:right w:val="none" w:sz="0" w:space="0" w:color="auto"/>
          </w:divBdr>
          <w:divsChild>
            <w:div w:id="1525746146">
              <w:marLeft w:val="0"/>
              <w:marRight w:val="0"/>
              <w:marTop w:val="0"/>
              <w:marBottom w:val="0"/>
              <w:divBdr>
                <w:top w:val="none" w:sz="0" w:space="0" w:color="auto"/>
                <w:left w:val="none" w:sz="0" w:space="0" w:color="auto"/>
                <w:bottom w:val="none" w:sz="0" w:space="0" w:color="auto"/>
                <w:right w:val="none" w:sz="0" w:space="0" w:color="auto"/>
              </w:divBdr>
            </w:div>
          </w:divsChild>
        </w:div>
        <w:div w:id="1324359203">
          <w:marLeft w:val="0"/>
          <w:marRight w:val="0"/>
          <w:marTop w:val="0"/>
          <w:marBottom w:val="0"/>
          <w:divBdr>
            <w:top w:val="none" w:sz="0" w:space="0" w:color="auto"/>
            <w:left w:val="none" w:sz="0" w:space="0" w:color="auto"/>
            <w:bottom w:val="none" w:sz="0" w:space="0" w:color="auto"/>
            <w:right w:val="none" w:sz="0" w:space="0" w:color="auto"/>
          </w:divBdr>
          <w:divsChild>
            <w:div w:id="367724195">
              <w:marLeft w:val="0"/>
              <w:marRight w:val="0"/>
              <w:marTop w:val="0"/>
              <w:marBottom w:val="0"/>
              <w:divBdr>
                <w:top w:val="none" w:sz="0" w:space="0" w:color="auto"/>
                <w:left w:val="none" w:sz="0" w:space="0" w:color="auto"/>
                <w:bottom w:val="none" w:sz="0" w:space="0" w:color="auto"/>
                <w:right w:val="none" w:sz="0" w:space="0" w:color="auto"/>
              </w:divBdr>
            </w:div>
            <w:div w:id="439109172">
              <w:marLeft w:val="0"/>
              <w:marRight w:val="0"/>
              <w:marTop w:val="0"/>
              <w:marBottom w:val="0"/>
              <w:divBdr>
                <w:top w:val="none" w:sz="0" w:space="0" w:color="auto"/>
                <w:left w:val="none" w:sz="0" w:space="0" w:color="auto"/>
                <w:bottom w:val="none" w:sz="0" w:space="0" w:color="auto"/>
                <w:right w:val="none" w:sz="0" w:space="0" w:color="auto"/>
              </w:divBdr>
            </w:div>
            <w:div w:id="578097593">
              <w:marLeft w:val="0"/>
              <w:marRight w:val="0"/>
              <w:marTop w:val="0"/>
              <w:marBottom w:val="0"/>
              <w:divBdr>
                <w:top w:val="none" w:sz="0" w:space="0" w:color="auto"/>
                <w:left w:val="none" w:sz="0" w:space="0" w:color="auto"/>
                <w:bottom w:val="none" w:sz="0" w:space="0" w:color="auto"/>
                <w:right w:val="none" w:sz="0" w:space="0" w:color="auto"/>
              </w:divBdr>
            </w:div>
            <w:div w:id="806093178">
              <w:marLeft w:val="0"/>
              <w:marRight w:val="0"/>
              <w:marTop w:val="0"/>
              <w:marBottom w:val="0"/>
              <w:divBdr>
                <w:top w:val="none" w:sz="0" w:space="0" w:color="auto"/>
                <w:left w:val="none" w:sz="0" w:space="0" w:color="auto"/>
                <w:bottom w:val="none" w:sz="0" w:space="0" w:color="auto"/>
                <w:right w:val="none" w:sz="0" w:space="0" w:color="auto"/>
              </w:divBdr>
            </w:div>
            <w:div w:id="1082996040">
              <w:marLeft w:val="0"/>
              <w:marRight w:val="0"/>
              <w:marTop w:val="0"/>
              <w:marBottom w:val="0"/>
              <w:divBdr>
                <w:top w:val="none" w:sz="0" w:space="0" w:color="auto"/>
                <w:left w:val="none" w:sz="0" w:space="0" w:color="auto"/>
                <w:bottom w:val="none" w:sz="0" w:space="0" w:color="auto"/>
                <w:right w:val="none" w:sz="0" w:space="0" w:color="auto"/>
              </w:divBdr>
            </w:div>
            <w:div w:id="1288050707">
              <w:marLeft w:val="0"/>
              <w:marRight w:val="0"/>
              <w:marTop w:val="0"/>
              <w:marBottom w:val="0"/>
              <w:divBdr>
                <w:top w:val="none" w:sz="0" w:space="0" w:color="auto"/>
                <w:left w:val="none" w:sz="0" w:space="0" w:color="auto"/>
                <w:bottom w:val="none" w:sz="0" w:space="0" w:color="auto"/>
                <w:right w:val="none" w:sz="0" w:space="0" w:color="auto"/>
              </w:divBdr>
            </w:div>
            <w:div w:id="1382946647">
              <w:marLeft w:val="0"/>
              <w:marRight w:val="0"/>
              <w:marTop w:val="0"/>
              <w:marBottom w:val="0"/>
              <w:divBdr>
                <w:top w:val="none" w:sz="0" w:space="0" w:color="auto"/>
                <w:left w:val="none" w:sz="0" w:space="0" w:color="auto"/>
                <w:bottom w:val="none" w:sz="0" w:space="0" w:color="auto"/>
                <w:right w:val="none" w:sz="0" w:space="0" w:color="auto"/>
              </w:divBdr>
            </w:div>
            <w:div w:id="165375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3478">
      <w:bodyDiv w:val="1"/>
      <w:marLeft w:val="0"/>
      <w:marRight w:val="0"/>
      <w:marTop w:val="0"/>
      <w:marBottom w:val="0"/>
      <w:divBdr>
        <w:top w:val="none" w:sz="0" w:space="0" w:color="auto"/>
        <w:left w:val="none" w:sz="0" w:space="0" w:color="auto"/>
        <w:bottom w:val="none" w:sz="0" w:space="0" w:color="auto"/>
        <w:right w:val="none" w:sz="0" w:space="0" w:color="auto"/>
      </w:divBdr>
    </w:div>
    <w:div w:id="256333047">
      <w:bodyDiv w:val="1"/>
      <w:marLeft w:val="0"/>
      <w:marRight w:val="0"/>
      <w:marTop w:val="0"/>
      <w:marBottom w:val="0"/>
      <w:divBdr>
        <w:top w:val="none" w:sz="0" w:space="0" w:color="auto"/>
        <w:left w:val="none" w:sz="0" w:space="0" w:color="auto"/>
        <w:bottom w:val="none" w:sz="0" w:space="0" w:color="auto"/>
        <w:right w:val="none" w:sz="0" w:space="0" w:color="auto"/>
      </w:divBdr>
      <w:divsChild>
        <w:div w:id="355928686">
          <w:marLeft w:val="0"/>
          <w:marRight w:val="0"/>
          <w:marTop w:val="0"/>
          <w:marBottom w:val="0"/>
          <w:divBdr>
            <w:top w:val="none" w:sz="0" w:space="0" w:color="auto"/>
            <w:left w:val="none" w:sz="0" w:space="0" w:color="auto"/>
            <w:bottom w:val="none" w:sz="0" w:space="0" w:color="auto"/>
            <w:right w:val="none" w:sz="0" w:space="0" w:color="auto"/>
          </w:divBdr>
        </w:div>
        <w:div w:id="620042090">
          <w:marLeft w:val="0"/>
          <w:marRight w:val="0"/>
          <w:marTop w:val="0"/>
          <w:marBottom w:val="0"/>
          <w:divBdr>
            <w:top w:val="none" w:sz="0" w:space="0" w:color="auto"/>
            <w:left w:val="none" w:sz="0" w:space="0" w:color="auto"/>
            <w:bottom w:val="none" w:sz="0" w:space="0" w:color="auto"/>
            <w:right w:val="none" w:sz="0" w:space="0" w:color="auto"/>
          </w:divBdr>
        </w:div>
        <w:div w:id="1005941668">
          <w:marLeft w:val="0"/>
          <w:marRight w:val="0"/>
          <w:marTop w:val="0"/>
          <w:marBottom w:val="0"/>
          <w:divBdr>
            <w:top w:val="none" w:sz="0" w:space="0" w:color="auto"/>
            <w:left w:val="none" w:sz="0" w:space="0" w:color="auto"/>
            <w:bottom w:val="none" w:sz="0" w:space="0" w:color="auto"/>
            <w:right w:val="none" w:sz="0" w:space="0" w:color="auto"/>
          </w:divBdr>
        </w:div>
        <w:div w:id="1342246316">
          <w:marLeft w:val="0"/>
          <w:marRight w:val="0"/>
          <w:marTop w:val="0"/>
          <w:marBottom w:val="0"/>
          <w:divBdr>
            <w:top w:val="none" w:sz="0" w:space="0" w:color="auto"/>
            <w:left w:val="none" w:sz="0" w:space="0" w:color="auto"/>
            <w:bottom w:val="none" w:sz="0" w:space="0" w:color="auto"/>
            <w:right w:val="none" w:sz="0" w:space="0" w:color="auto"/>
          </w:divBdr>
        </w:div>
      </w:divsChild>
    </w:div>
    <w:div w:id="334961256">
      <w:bodyDiv w:val="1"/>
      <w:marLeft w:val="0"/>
      <w:marRight w:val="0"/>
      <w:marTop w:val="0"/>
      <w:marBottom w:val="0"/>
      <w:divBdr>
        <w:top w:val="none" w:sz="0" w:space="0" w:color="auto"/>
        <w:left w:val="none" w:sz="0" w:space="0" w:color="auto"/>
        <w:bottom w:val="none" w:sz="0" w:space="0" w:color="auto"/>
        <w:right w:val="none" w:sz="0" w:space="0" w:color="auto"/>
      </w:divBdr>
      <w:divsChild>
        <w:div w:id="299724681">
          <w:marLeft w:val="0"/>
          <w:marRight w:val="0"/>
          <w:marTop w:val="0"/>
          <w:marBottom w:val="0"/>
          <w:divBdr>
            <w:top w:val="none" w:sz="0" w:space="0" w:color="auto"/>
            <w:left w:val="none" w:sz="0" w:space="0" w:color="auto"/>
            <w:bottom w:val="none" w:sz="0" w:space="0" w:color="auto"/>
            <w:right w:val="none" w:sz="0" w:space="0" w:color="auto"/>
          </w:divBdr>
          <w:divsChild>
            <w:div w:id="188805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61708">
      <w:bodyDiv w:val="1"/>
      <w:marLeft w:val="0"/>
      <w:marRight w:val="0"/>
      <w:marTop w:val="0"/>
      <w:marBottom w:val="0"/>
      <w:divBdr>
        <w:top w:val="none" w:sz="0" w:space="0" w:color="auto"/>
        <w:left w:val="none" w:sz="0" w:space="0" w:color="auto"/>
        <w:bottom w:val="none" w:sz="0" w:space="0" w:color="auto"/>
        <w:right w:val="none" w:sz="0" w:space="0" w:color="auto"/>
      </w:divBdr>
    </w:div>
    <w:div w:id="547642492">
      <w:bodyDiv w:val="1"/>
      <w:marLeft w:val="0"/>
      <w:marRight w:val="0"/>
      <w:marTop w:val="0"/>
      <w:marBottom w:val="0"/>
      <w:divBdr>
        <w:top w:val="none" w:sz="0" w:space="0" w:color="auto"/>
        <w:left w:val="none" w:sz="0" w:space="0" w:color="auto"/>
        <w:bottom w:val="none" w:sz="0" w:space="0" w:color="auto"/>
        <w:right w:val="none" w:sz="0" w:space="0" w:color="auto"/>
      </w:divBdr>
      <w:divsChild>
        <w:div w:id="494803827">
          <w:marLeft w:val="0"/>
          <w:marRight w:val="0"/>
          <w:marTop w:val="0"/>
          <w:marBottom w:val="0"/>
          <w:divBdr>
            <w:top w:val="none" w:sz="0" w:space="0" w:color="auto"/>
            <w:left w:val="none" w:sz="0" w:space="0" w:color="auto"/>
            <w:bottom w:val="none" w:sz="0" w:space="0" w:color="auto"/>
            <w:right w:val="none" w:sz="0" w:space="0" w:color="auto"/>
          </w:divBdr>
          <w:divsChild>
            <w:div w:id="138722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85277">
      <w:bodyDiv w:val="1"/>
      <w:marLeft w:val="0"/>
      <w:marRight w:val="0"/>
      <w:marTop w:val="0"/>
      <w:marBottom w:val="0"/>
      <w:divBdr>
        <w:top w:val="none" w:sz="0" w:space="0" w:color="auto"/>
        <w:left w:val="none" w:sz="0" w:space="0" w:color="auto"/>
        <w:bottom w:val="none" w:sz="0" w:space="0" w:color="auto"/>
        <w:right w:val="none" w:sz="0" w:space="0" w:color="auto"/>
      </w:divBdr>
      <w:divsChild>
        <w:div w:id="1625312566">
          <w:marLeft w:val="0"/>
          <w:marRight w:val="0"/>
          <w:marTop w:val="0"/>
          <w:marBottom w:val="0"/>
          <w:divBdr>
            <w:top w:val="none" w:sz="0" w:space="0" w:color="auto"/>
            <w:left w:val="none" w:sz="0" w:space="0" w:color="auto"/>
            <w:bottom w:val="none" w:sz="0" w:space="0" w:color="auto"/>
            <w:right w:val="none" w:sz="0" w:space="0" w:color="auto"/>
          </w:divBdr>
        </w:div>
        <w:div w:id="1951349857">
          <w:marLeft w:val="0"/>
          <w:marRight w:val="0"/>
          <w:marTop w:val="0"/>
          <w:marBottom w:val="0"/>
          <w:divBdr>
            <w:top w:val="none" w:sz="0" w:space="0" w:color="auto"/>
            <w:left w:val="none" w:sz="0" w:space="0" w:color="auto"/>
            <w:bottom w:val="none" w:sz="0" w:space="0" w:color="auto"/>
            <w:right w:val="none" w:sz="0" w:space="0" w:color="auto"/>
          </w:divBdr>
        </w:div>
      </w:divsChild>
    </w:div>
    <w:div w:id="569076618">
      <w:bodyDiv w:val="1"/>
      <w:marLeft w:val="0"/>
      <w:marRight w:val="0"/>
      <w:marTop w:val="0"/>
      <w:marBottom w:val="0"/>
      <w:divBdr>
        <w:top w:val="none" w:sz="0" w:space="0" w:color="auto"/>
        <w:left w:val="none" w:sz="0" w:space="0" w:color="auto"/>
        <w:bottom w:val="none" w:sz="0" w:space="0" w:color="auto"/>
        <w:right w:val="none" w:sz="0" w:space="0" w:color="auto"/>
      </w:divBdr>
      <w:divsChild>
        <w:div w:id="502671417">
          <w:marLeft w:val="0"/>
          <w:marRight w:val="0"/>
          <w:marTop w:val="0"/>
          <w:marBottom w:val="0"/>
          <w:divBdr>
            <w:top w:val="none" w:sz="0" w:space="0" w:color="auto"/>
            <w:left w:val="none" w:sz="0" w:space="0" w:color="auto"/>
            <w:bottom w:val="none" w:sz="0" w:space="0" w:color="auto"/>
            <w:right w:val="none" w:sz="0" w:space="0" w:color="auto"/>
          </w:divBdr>
        </w:div>
        <w:div w:id="1546602105">
          <w:marLeft w:val="0"/>
          <w:marRight w:val="0"/>
          <w:marTop w:val="0"/>
          <w:marBottom w:val="0"/>
          <w:divBdr>
            <w:top w:val="none" w:sz="0" w:space="0" w:color="auto"/>
            <w:left w:val="none" w:sz="0" w:space="0" w:color="auto"/>
            <w:bottom w:val="none" w:sz="0" w:space="0" w:color="auto"/>
            <w:right w:val="none" w:sz="0" w:space="0" w:color="auto"/>
          </w:divBdr>
        </w:div>
      </w:divsChild>
    </w:div>
    <w:div w:id="639072383">
      <w:bodyDiv w:val="1"/>
      <w:marLeft w:val="0"/>
      <w:marRight w:val="0"/>
      <w:marTop w:val="0"/>
      <w:marBottom w:val="0"/>
      <w:divBdr>
        <w:top w:val="none" w:sz="0" w:space="0" w:color="auto"/>
        <w:left w:val="none" w:sz="0" w:space="0" w:color="auto"/>
        <w:bottom w:val="none" w:sz="0" w:space="0" w:color="auto"/>
        <w:right w:val="none" w:sz="0" w:space="0" w:color="auto"/>
      </w:divBdr>
    </w:div>
    <w:div w:id="706685077">
      <w:bodyDiv w:val="1"/>
      <w:marLeft w:val="0"/>
      <w:marRight w:val="0"/>
      <w:marTop w:val="0"/>
      <w:marBottom w:val="0"/>
      <w:divBdr>
        <w:top w:val="none" w:sz="0" w:space="0" w:color="auto"/>
        <w:left w:val="none" w:sz="0" w:space="0" w:color="auto"/>
        <w:bottom w:val="none" w:sz="0" w:space="0" w:color="auto"/>
        <w:right w:val="none" w:sz="0" w:space="0" w:color="auto"/>
      </w:divBdr>
    </w:div>
    <w:div w:id="758989584">
      <w:bodyDiv w:val="1"/>
      <w:marLeft w:val="0"/>
      <w:marRight w:val="0"/>
      <w:marTop w:val="0"/>
      <w:marBottom w:val="0"/>
      <w:divBdr>
        <w:top w:val="none" w:sz="0" w:space="0" w:color="auto"/>
        <w:left w:val="none" w:sz="0" w:space="0" w:color="auto"/>
        <w:bottom w:val="none" w:sz="0" w:space="0" w:color="auto"/>
        <w:right w:val="none" w:sz="0" w:space="0" w:color="auto"/>
      </w:divBdr>
    </w:div>
    <w:div w:id="812452305">
      <w:bodyDiv w:val="1"/>
      <w:marLeft w:val="0"/>
      <w:marRight w:val="0"/>
      <w:marTop w:val="0"/>
      <w:marBottom w:val="0"/>
      <w:divBdr>
        <w:top w:val="none" w:sz="0" w:space="0" w:color="auto"/>
        <w:left w:val="none" w:sz="0" w:space="0" w:color="auto"/>
        <w:bottom w:val="none" w:sz="0" w:space="0" w:color="auto"/>
        <w:right w:val="none" w:sz="0" w:space="0" w:color="auto"/>
      </w:divBdr>
      <w:divsChild>
        <w:div w:id="560141428">
          <w:marLeft w:val="0"/>
          <w:marRight w:val="0"/>
          <w:marTop w:val="0"/>
          <w:marBottom w:val="0"/>
          <w:divBdr>
            <w:top w:val="none" w:sz="0" w:space="0" w:color="auto"/>
            <w:left w:val="none" w:sz="0" w:space="0" w:color="auto"/>
            <w:bottom w:val="none" w:sz="0" w:space="0" w:color="auto"/>
            <w:right w:val="none" w:sz="0" w:space="0" w:color="auto"/>
          </w:divBdr>
          <w:divsChild>
            <w:div w:id="146600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7349">
      <w:bodyDiv w:val="1"/>
      <w:marLeft w:val="0"/>
      <w:marRight w:val="0"/>
      <w:marTop w:val="0"/>
      <w:marBottom w:val="0"/>
      <w:divBdr>
        <w:top w:val="none" w:sz="0" w:space="0" w:color="auto"/>
        <w:left w:val="none" w:sz="0" w:space="0" w:color="auto"/>
        <w:bottom w:val="none" w:sz="0" w:space="0" w:color="auto"/>
        <w:right w:val="none" w:sz="0" w:space="0" w:color="auto"/>
      </w:divBdr>
      <w:divsChild>
        <w:div w:id="47800662">
          <w:marLeft w:val="0"/>
          <w:marRight w:val="0"/>
          <w:marTop w:val="0"/>
          <w:marBottom w:val="0"/>
          <w:divBdr>
            <w:top w:val="none" w:sz="0" w:space="0" w:color="auto"/>
            <w:left w:val="none" w:sz="0" w:space="0" w:color="auto"/>
            <w:bottom w:val="none" w:sz="0" w:space="0" w:color="auto"/>
            <w:right w:val="none" w:sz="0" w:space="0" w:color="auto"/>
          </w:divBdr>
        </w:div>
        <w:div w:id="264070755">
          <w:marLeft w:val="0"/>
          <w:marRight w:val="0"/>
          <w:marTop w:val="0"/>
          <w:marBottom w:val="0"/>
          <w:divBdr>
            <w:top w:val="none" w:sz="0" w:space="0" w:color="auto"/>
            <w:left w:val="none" w:sz="0" w:space="0" w:color="auto"/>
            <w:bottom w:val="none" w:sz="0" w:space="0" w:color="auto"/>
            <w:right w:val="none" w:sz="0" w:space="0" w:color="auto"/>
          </w:divBdr>
        </w:div>
        <w:div w:id="549459279">
          <w:marLeft w:val="0"/>
          <w:marRight w:val="0"/>
          <w:marTop w:val="0"/>
          <w:marBottom w:val="0"/>
          <w:divBdr>
            <w:top w:val="none" w:sz="0" w:space="0" w:color="auto"/>
            <w:left w:val="none" w:sz="0" w:space="0" w:color="auto"/>
            <w:bottom w:val="none" w:sz="0" w:space="0" w:color="auto"/>
            <w:right w:val="none" w:sz="0" w:space="0" w:color="auto"/>
          </w:divBdr>
        </w:div>
        <w:div w:id="967395093">
          <w:marLeft w:val="0"/>
          <w:marRight w:val="0"/>
          <w:marTop w:val="0"/>
          <w:marBottom w:val="0"/>
          <w:divBdr>
            <w:top w:val="none" w:sz="0" w:space="0" w:color="auto"/>
            <w:left w:val="none" w:sz="0" w:space="0" w:color="auto"/>
            <w:bottom w:val="none" w:sz="0" w:space="0" w:color="auto"/>
            <w:right w:val="none" w:sz="0" w:space="0" w:color="auto"/>
          </w:divBdr>
        </w:div>
      </w:divsChild>
    </w:div>
    <w:div w:id="891771771">
      <w:bodyDiv w:val="1"/>
      <w:marLeft w:val="0"/>
      <w:marRight w:val="0"/>
      <w:marTop w:val="0"/>
      <w:marBottom w:val="0"/>
      <w:divBdr>
        <w:top w:val="none" w:sz="0" w:space="0" w:color="auto"/>
        <w:left w:val="none" w:sz="0" w:space="0" w:color="auto"/>
        <w:bottom w:val="none" w:sz="0" w:space="0" w:color="auto"/>
        <w:right w:val="none" w:sz="0" w:space="0" w:color="auto"/>
      </w:divBdr>
      <w:divsChild>
        <w:div w:id="130484314">
          <w:marLeft w:val="0"/>
          <w:marRight w:val="0"/>
          <w:marTop w:val="0"/>
          <w:marBottom w:val="0"/>
          <w:divBdr>
            <w:top w:val="none" w:sz="0" w:space="0" w:color="auto"/>
            <w:left w:val="none" w:sz="0" w:space="0" w:color="auto"/>
            <w:bottom w:val="none" w:sz="0" w:space="0" w:color="auto"/>
            <w:right w:val="none" w:sz="0" w:space="0" w:color="auto"/>
          </w:divBdr>
        </w:div>
        <w:div w:id="160585055">
          <w:marLeft w:val="0"/>
          <w:marRight w:val="0"/>
          <w:marTop w:val="0"/>
          <w:marBottom w:val="0"/>
          <w:divBdr>
            <w:top w:val="none" w:sz="0" w:space="0" w:color="auto"/>
            <w:left w:val="none" w:sz="0" w:space="0" w:color="auto"/>
            <w:bottom w:val="none" w:sz="0" w:space="0" w:color="auto"/>
            <w:right w:val="none" w:sz="0" w:space="0" w:color="auto"/>
          </w:divBdr>
        </w:div>
        <w:div w:id="920716081">
          <w:marLeft w:val="0"/>
          <w:marRight w:val="0"/>
          <w:marTop w:val="0"/>
          <w:marBottom w:val="0"/>
          <w:divBdr>
            <w:top w:val="none" w:sz="0" w:space="0" w:color="auto"/>
            <w:left w:val="none" w:sz="0" w:space="0" w:color="auto"/>
            <w:bottom w:val="none" w:sz="0" w:space="0" w:color="auto"/>
            <w:right w:val="none" w:sz="0" w:space="0" w:color="auto"/>
          </w:divBdr>
        </w:div>
        <w:div w:id="976758980">
          <w:marLeft w:val="0"/>
          <w:marRight w:val="0"/>
          <w:marTop w:val="0"/>
          <w:marBottom w:val="0"/>
          <w:divBdr>
            <w:top w:val="none" w:sz="0" w:space="0" w:color="auto"/>
            <w:left w:val="none" w:sz="0" w:space="0" w:color="auto"/>
            <w:bottom w:val="none" w:sz="0" w:space="0" w:color="auto"/>
            <w:right w:val="none" w:sz="0" w:space="0" w:color="auto"/>
          </w:divBdr>
        </w:div>
        <w:div w:id="1754621640">
          <w:marLeft w:val="0"/>
          <w:marRight w:val="0"/>
          <w:marTop w:val="0"/>
          <w:marBottom w:val="0"/>
          <w:divBdr>
            <w:top w:val="none" w:sz="0" w:space="0" w:color="auto"/>
            <w:left w:val="none" w:sz="0" w:space="0" w:color="auto"/>
            <w:bottom w:val="none" w:sz="0" w:space="0" w:color="auto"/>
            <w:right w:val="none" w:sz="0" w:space="0" w:color="auto"/>
          </w:divBdr>
        </w:div>
      </w:divsChild>
    </w:div>
    <w:div w:id="936526673">
      <w:bodyDiv w:val="1"/>
      <w:marLeft w:val="0"/>
      <w:marRight w:val="0"/>
      <w:marTop w:val="0"/>
      <w:marBottom w:val="0"/>
      <w:divBdr>
        <w:top w:val="none" w:sz="0" w:space="0" w:color="auto"/>
        <w:left w:val="none" w:sz="0" w:space="0" w:color="auto"/>
        <w:bottom w:val="none" w:sz="0" w:space="0" w:color="auto"/>
        <w:right w:val="none" w:sz="0" w:space="0" w:color="auto"/>
      </w:divBdr>
    </w:div>
    <w:div w:id="1001008619">
      <w:bodyDiv w:val="1"/>
      <w:marLeft w:val="0"/>
      <w:marRight w:val="0"/>
      <w:marTop w:val="0"/>
      <w:marBottom w:val="0"/>
      <w:divBdr>
        <w:top w:val="none" w:sz="0" w:space="0" w:color="auto"/>
        <w:left w:val="none" w:sz="0" w:space="0" w:color="auto"/>
        <w:bottom w:val="none" w:sz="0" w:space="0" w:color="auto"/>
        <w:right w:val="none" w:sz="0" w:space="0" w:color="auto"/>
      </w:divBdr>
    </w:div>
    <w:div w:id="1110969800">
      <w:bodyDiv w:val="1"/>
      <w:marLeft w:val="0"/>
      <w:marRight w:val="0"/>
      <w:marTop w:val="0"/>
      <w:marBottom w:val="0"/>
      <w:divBdr>
        <w:top w:val="none" w:sz="0" w:space="0" w:color="auto"/>
        <w:left w:val="none" w:sz="0" w:space="0" w:color="auto"/>
        <w:bottom w:val="none" w:sz="0" w:space="0" w:color="auto"/>
        <w:right w:val="none" w:sz="0" w:space="0" w:color="auto"/>
      </w:divBdr>
    </w:div>
    <w:div w:id="1119640671">
      <w:bodyDiv w:val="1"/>
      <w:marLeft w:val="0"/>
      <w:marRight w:val="0"/>
      <w:marTop w:val="0"/>
      <w:marBottom w:val="0"/>
      <w:divBdr>
        <w:top w:val="none" w:sz="0" w:space="0" w:color="auto"/>
        <w:left w:val="none" w:sz="0" w:space="0" w:color="auto"/>
        <w:bottom w:val="none" w:sz="0" w:space="0" w:color="auto"/>
        <w:right w:val="none" w:sz="0" w:space="0" w:color="auto"/>
      </w:divBdr>
      <w:divsChild>
        <w:div w:id="84806601">
          <w:marLeft w:val="0"/>
          <w:marRight w:val="0"/>
          <w:marTop w:val="0"/>
          <w:marBottom w:val="0"/>
          <w:divBdr>
            <w:top w:val="none" w:sz="0" w:space="0" w:color="auto"/>
            <w:left w:val="none" w:sz="0" w:space="0" w:color="auto"/>
            <w:bottom w:val="none" w:sz="0" w:space="0" w:color="auto"/>
            <w:right w:val="none" w:sz="0" w:space="0" w:color="auto"/>
          </w:divBdr>
        </w:div>
        <w:div w:id="290941950">
          <w:marLeft w:val="0"/>
          <w:marRight w:val="0"/>
          <w:marTop w:val="0"/>
          <w:marBottom w:val="0"/>
          <w:divBdr>
            <w:top w:val="none" w:sz="0" w:space="0" w:color="auto"/>
            <w:left w:val="none" w:sz="0" w:space="0" w:color="auto"/>
            <w:bottom w:val="none" w:sz="0" w:space="0" w:color="auto"/>
            <w:right w:val="none" w:sz="0" w:space="0" w:color="auto"/>
          </w:divBdr>
        </w:div>
        <w:div w:id="555817574">
          <w:marLeft w:val="0"/>
          <w:marRight w:val="0"/>
          <w:marTop w:val="0"/>
          <w:marBottom w:val="0"/>
          <w:divBdr>
            <w:top w:val="none" w:sz="0" w:space="0" w:color="auto"/>
            <w:left w:val="none" w:sz="0" w:space="0" w:color="auto"/>
            <w:bottom w:val="none" w:sz="0" w:space="0" w:color="auto"/>
            <w:right w:val="none" w:sz="0" w:space="0" w:color="auto"/>
          </w:divBdr>
        </w:div>
        <w:div w:id="595138582">
          <w:marLeft w:val="0"/>
          <w:marRight w:val="0"/>
          <w:marTop w:val="0"/>
          <w:marBottom w:val="0"/>
          <w:divBdr>
            <w:top w:val="none" w:sz="0" w:space="0" w:color="auto"/>
            <w:left w:val="none" w:sz="0" w:space="0" w:color="auto"/>
            <w:bottom w:val="none" w:sz="0" w:space="0" w:color="auto"/>
            <w:right w:val="none" w:sz="0" w:space="0" w:color="auto"/>
          </w:divBdr>
        </w:div>
        <w:div w:id="1214074904">
          <w:marLeft w:val="0"/>
          <w:marRight w:val="0"/>
          <w:marTop w:val="0"/>
          <w:marBottom w:val="0"/>
          <w:divBdr>
            <w:top w:val="none" w:sz="0" w:space="0" w:color="auto"/>
            <w:left w:val="none" w:sz="0" w:space="0" w:color="auto"/>
            <w:bottom w:val="none" w:sz="0" w:space="0" w:color="auto"/>
            <w:right w:val="none" w:sz="0" w:space="0" w:color="auto"/>
          </w:divBdr>
        </w:div>
      </w:divsChild>
    </w:div>
    <w:div w:id="1156649094">
      <w:bodyDiv w:val="1"/>
      <w:marLeft w:val="0"/>
      <w:marRight w:val="0"/>
      <w:marTop w:val="0"/>
      <w:marBottom w:val="0"/>
      <w:divBdr>
        <w:top w:val="none" w:sz="0" w:space="0" w:color="auto"/>
        <w:left w:val="none" w:sz="0" w:space="0" w:color="auto"/>
        <w:bottom w:val="none" w:sz="0" w:space="0" w:color="auto"/>
        <w:right w:val="none" w:sz="0" w:space="0" w:color="auto"/>
      </w:divBdr>
      <w:divsChild>
        <w:div w:id="1123813769">
          <w:marLeft w:val="0"/>
          <w:marRight w:val="0"/>
          <w:marTop w:val="0"/>
          <w:marBottom w:val="0"/>
          <w:divBdr>
            <w:top w:val="none" w:sz="0" w:space="0" w:color="auto"/>
            <w:left w:val="none" w:sz="0" w:space="0" w:color="auto"/>
            <w:bottom w:val="none" w:sz="0" w:space="0" w:color="auto"/>
            <w:right w:val="none" w:sz="0" w:space="0" w:color="auto"/>
          </w:divBdr>
        </w:div>
        <w:div w:id="1279340906">
          <w:marLeft w:val="0"/>
          <w:marRight w:val="0"/>
          <w:marTop w:val="0"/>
          <w:marBottom w:val="0"/>
          <w:divBdr>
            <w:top w:val="none" w:sz="0" w:space="0" w:color="auto"/>
            <w:left w:val="none" w:sz="0" w:space="0" w:color="auto"/>
            <w:bottom w:val="none" w:sz="0" w:space="0" w:color="auto"/>
            <w:right w:val="none" w:sz="0" w:space="0" w:color="auto"/>
          </w:divBdr>
        </w:div>
        <w:div w:id="1395154348">
          <w:marLeft w:val="0"/>
          <w:marRight w:val="0"/>
          <w:marTop w:val="0"/>
          <w:marBottom w:val="0"/>
          <w:divBdr>
            <w:top w:val="none" w:sz="0" w:space="0" w:color="auto"/>
            <w:left w:val="none" w:sz="0" w:space="0" w:color="auto"/>
            <w:bottom w:val="none" w:sz="0" w:space="0" w:color="auto"/>
            <w:right w:val="none" w:sz="0" w:space="0" w:color="auto"/>
          </w:divBdr>
        </w:div>
      </w:divsChild>
    </w:div>
    <w:div w:id="1165516431">
      <w:bodyDiv w:val="1"/>
      <w:marLeft w:val="0"/>
      <w:marRight w:val="0"/>
      <w:marTop w:val="0"/>
      <w:marBottom w:val="0"/>
      <w:divBdr>
        <w:top w:val="none" w:sz="0" w:space="0" w:color="auto"/>
        <w:left w:val="none" w:sz="0" w:space="0" w:color="auto"/>
        <w:bottom w:val="none" w:sz="0" w:space="0" w:color="auto"/>
        <w:right w:val="none" w:sz="0" w:space="0" w:color="auto"/>
      </w:divBdr>
      <w:divsChild>
        <w:div w:id="148595697">
          <w:marLeft w:val="0"/>
          <w:marRight w:val="0"/>
          <w:marTop w:val="0"/>
          <w:marBottom w:val="0"/>
          <w:divBdr>
            <w:top w:val="none" w:sz="0" w:space="0" w:color="auto"/>
            <w:left w:val="none" w:sz="0" w:space="0" w:color="auto"/>
            <w:bottom w:val="none" w:sz="0" w:space="0" w:color="auto"/>
            <w:right w:val="none" w:sz="0" w:space="0" w:color="auto"/>
          </w:divBdr>
        </w:div>
        <w:div w:id="733309040">
          <w:marLeft w:val="0"/>
          <w:marRight w:val="0"/>
          <w:marTop w:val="0"/>
          <w:marBottom w:val="0"/>
          <w:divBdr>
            <w:top w:val="none" w:sz="0" w:space="0" w:color="auto"/>
            <w:left w:val="none" w:sz="0" w:space="0" w:color="auto"/>
            <w:bottom w:val="none" w:sz="0" w:space="0" w:color="auto"/>
            <w:right w:val="none" w:sz="0" w:space="0" w:color="auto"/>
          </w:divBdr>
        </w:div>
        <w:div w:id="747847653">
          <w:marLeft w:val="0"/>
          <w:marRight w:val="0"/>
          <w:marTop w:val="0"/>
          <w:marBottom w:val="0"/>
          <w:divBdr>
            <w:top w:val="none" w:sz="0" w:space="0" w:color="auto"/>
            <w:left w:val="none" w:sz="0" w:space="0" w:color="auto"/>
            <w:bottom w:val="none" w:sz="0" w:space="0" w:color="auto"/>
            <w:right w:val="none" w:sz="0" w:space="0" w:color="auto"/>
          </w:divBdr>
        </w:div>
        <w:div w:id="1177231259">
          <w:marLeft w:val="0"/>
          <w:marRight w:val="0"/>
          <w:marTop w:val="0"/>
          <w:marBottom w:val="0"/>
          <w:divBdr>
            <w:top w:val="none" w:sz="0" w:space="0" w:color="auto"/>
            <w:left w:val="none" w:sz="0" w:space="0" w:color="auto"/>
            <w:bottom w:val="none" w:sz="0" w:space="0" w:color="auto"/>
            <w:right w:val="none" w:sz="0" w:space="0" w:color="auto"/>
          </w:divBdr>
        </w:div>
      </w:divsChild>
    </w:div>
    <w:div w:id="1174304359">
      <w:bodyDiv w:val="1"/>
      <w:marLeft w:val="0"/>
      <w:marRight w:val="0"/>
      <w:marTop w:val="0"/>
      <w:marBottom w:val="0"/>
      <w:divBdr>
        <w:top w:val="none" w:sz="0" w:space="0" w:color="auto"/>
        <w:left w:val="none" w:sz="0" w:space="0" w:color="auto"/>
        <w:bottom w:val="none" w:sz="0" w:space="0" w:color="auto"/>
        <w:right w:val="none" w:sz="0" w:space="0" w:color="auto"/>
      </w:divBdr>
    </w:div>
    <w:div w:id="1353993029">
      <w:bodyDiv w:val="1"/>
      <w:marLeft w:val="0"/>
      <w:marRight w:val="0"/>
      <w:marTop w:val="0"/>
      <w:marBottom w:val="0"/>
      <w:divBdr>
        <w:top w:val="none" w:sz="0" w:space="0" w:color="auto"/>
        <w:left w:val="none" w:sz="0" w:space="0" w:color="auto"/>
        <w:bottom w:val="none" w:sz="0" w:space="0" w:color="auto"/>
        <w:right w:val="none" w:sz="0" w:space="0" w:color="auto"/>
      </w:divBdr>
      <w:divsChild>
        <w:div w:id="38014115">
          <w:marLeft w:val="0"/>
          <w:marRight w:val="0"/>
          <w:marTop w:val="0"/>
          <w:marBottom w:val="0"/>
          <w:divBdr>
            <w:top w:val="none" w:sz="0" w:space="0" w:color="auto"/>
            <w:left w:val="none" w:sz="0" w:space="0" w:color="auto"/>
            <w:bottom w:val="none" w:sz="0" w:space="0" w:color="auto"/>
            <w:right w:val="none" w:sz="0" w:space="0" w:color="auto"/>
          </w:divBdr>
        </w:div>
        <w:div w:id="1282609172">
          <w:marLeft w:val="0"/>
          <w:marRight w:val="0"/>
          <w:marTop w:val="0"/>
          <w:marBottom w:val="0"/>
          <w:divBdr>
            <w:top w:val="none" w:sz="0" w:space="0" w:color="auto"/>
            <w:left w:val="none" w:sz="0" w:space="0" w:color="auto"/>
            <w:bottom w:val="none" w:sz="0" w:space="0" w:color="auto"/>
            <w:right w:val="none" w:sz="0" w:space="0" w:color="auto"/>
          </w:divBdr>
          <w:divsChild>
            <w:div w:id="667369819">
              <w:marLeft w:val="0"/>
              <w:marRight w:val="0"/>
              <w:marTop w:val="30"/>
              <w:marBottom w:val="30"/>
              <w:divBdr>
                <w:top w:val="none" w:sz="0" w:space="0" w:color="auto"/>
                <w:left w:val="none" w:sz="0" w:space="0" w:color="auto"/>
                <w:bottom w:val="none" w:sz="0" w:space="0" w:color="auto"/>
                <w:right w:val="none" w:sz="0" w:space="0" w:color="auto"/>
              </w:divBdr>
              <w:divsChild>
                <w:div w:id="19281927">
                  <w:marLeft w:val="0"/>
                  <w:marRight w:val="0"/>
                  <w:marTop w:val="0"/>
                  <w:marBottom w:val="0"/>
                  <w:divBdr>
                    <w:top w:val="none" w:sz="0" w:space="0" w:color="auto"/>
                    <w:left w:val="none" w:sz="0" w:space="0" w:color="auto"/>
                    <w:bottom w:val="none" w:sz="0" w:space="0" w:color="auto"/>
                    <w:right w:val="none" w:sz="0" w:space="0" w:color="auto"/>
                  </w:divBdr>
                  <w:divsChild>
                    <w:div w:id="143397589">
                      <w:marLeft w:val="0"/>
                      <w:marRight w:val="0"/>
                      <w:marTop w:val="0"/>
                      <w:marBottom w:val="0"/>
                      <w:divBdr>
                        <w:top w:val="none" w:sz="0" w:space="0" w:color="auto"/>
                        <w:left w:val="none" w:sz="0" w:space="0" w:color="auto"/>
                        <w:bottom w:val="none" w:sz="0" w:space="0" w:color="auto"/>
                        <w:right w:val="none" w:sz="0" w:space="0" w:color="auto"/>
                      </w:divBdr>
                    </w:div>
                  </w:divsChild>
                </w:div>
                <w:div w:id="64301887">
                  <w:marLeft w:val="0"/>
                  <w:marRight w:val="0"/>
                  <w:marTop w:val="0"/>
                  <w:marBottom w:val="0"/>
                  <w:divBdr>
                    <w:top w:val="none" w:sz="0" w:space="0" w:color="auto"/>
                    <w:left w:val="none" w:sz="0" w:space="0" w:color="auto"/>
                    <w:bottom w:val="none" w:sz="0" w:space="0" w:color="auto"/>
                    <w:right w:val="none" w:sz="0" w:space="0" w:color="auto"/>
                  </w:divBdr>
                  <w:divsChild>
                    <w:div w:id="1651251525">
                      <w:marLeft w:val="0"/>
                      <w:marRight w:val="0"/>
                      <w:marTop w:val="0"/>
                      <w:marBottom w:val="0"/>
                      <w:divBdr>
                        <w:top w:val="none" w:sz="0" w:space="0" w:color="auto"/>
                        <w:left w:val="none" w:sz="0" w:space="0" w:color="auto"/>
                        <w:bottom w:val="none" w:sz="0" w:space="0" w:color="auto"/>
                        <w:right w:val="none" w:sz="0" w:space="0" w:color="auto"/>
                      </w:divBdr>
                    </w:div>
                  </w:divsChild>
                </w:div>
                <w:div w:id="133522149">
                  <w:marLeft w:val="0"/>
                  <w:marRight w:val="0"/>
                  <w:marTop w:val="0"/>
                  <w:marBottom w:val="0"/>
                  <w:divBdr>
                    <w:top w:val="none" w:sz="0" w:space="0" w:color="auto"/>
                    <w:left w:val="none" w:sz="0" w:space="0" w:color="auto"/>
                    <w:bottom w:val="none" w:sz="0" w:space="0" w:color="auto"/>
                    <w:right w:val="none" w:sz="0" w:space="0" w:color="auto"/>
                  </w:divBdr>
                  <w:divsChild>
                    <w:div w:id="1242058354">
                      <w:marLeft w:val="0"/>
                      <w:marRight w:val="0"/>
                      <w:marTop w:val="0"/>
                      <w:marBottom w:val="0"/>
                      <w:divBdr>
                        <w:top w:val="none" w:sz="0" w:space="0" w:color="auto"/>
                        <w:left w:val="none" w:sz="0" w:space="0" w:color="auto"/>
                        <w:bottom w:val="none" w:sz="0" w:space="0" w:color="auto"/>
                        <w:right w:val="none" w:sz="0" w:space="0" w:color="auto"/>
                      </w:divBdr>
                    </w:div>
                  </w:divsChild>
                </w:div>
                <w:div w:id="313459070">
                  <w:marLeft w:val="0"/>
                  <w:marRight w:val="0"/>
                  <w:marTop w:val="0"/>
                  <w:marBottom w:val="0"/>
                  <w:divBdr>
                    <w:top w:val="none" w:sz="0" w:space="0" w:color="auto"/>
                    <w:left w:val="none" w:sz="0" w:space="0" w:color="auto"/>
                    <w:bottom w:val="none" w:sz="0" w:space="0" w:color="auto"/>
                    <w:right w:val="none" w:sz="0" w:space="0" w:color="auto"/>
                  </w:divBdr>
                  <w:divsChild>
                    <w:div w:id="519707110">
                      <w:marLeft w:val="0"/>
                      <w:marRight w:val="0"/>
                      <w:marTop w:val="0"/>
                      <w:marBottom w:val="0"/>
                      <w:divBdr>
                        <w:top w:val="none" w:sz="0" w:space="0" w:color="auto"/>
                        <w:left w:val="none" w:sz="0" w:space="0" w:color="auto"/>
                        <w:bottom w:val="none" w:sz="0" w:space="0" w:color="auto"/>
                        <w:right w:val="none" w:sz="0" w:space="0" w:color="auto"/>
                      </w:divBdr>
                    </w:div>
                  </w:divsChild>
                </w:div>
                <w:div w:id="324018323">
                  <w:marLeft w:val="0"/>
                  <w:marRight w:val="0"/>
                  <w:marTop w:val="0"/>
                  <w:marBottom w:val="0"/>
                  <w:divBdr>
                    <w:top w:val="none" w:sz="0" w:space="0" w:color="auto"/>
                    <w:left w:val="none" w:sz="0" w:space="0" w:color="auto"/>
                    <w:bottom w:val="none" w:sz="0" w:space="0" w:color="auto"/>
                    <w:right w:val="none" w:sz="0" w:space="0" w:color="auto"/>
                  </w:divBdr>
                  <w:divsChild>
                    <w:div w:id="1570382007">
                      <w:marLeft w:val="0"/>
                      <w:marRight w:val="0"/>
                      <w:marTop w:val="0"/>
                      <w:marBottom w:val="0"/>
                      <w:divBdr>
                        <w:top w:val="none" w:sz="0" w:space="0" w:color="auto"/>
                        <w:left w:val="none" w:sz="0" w:space="0" w:color="auto"/>
                        <w:bottom w:val="none" w:sz="0" w:space="0" w:color="auto"/>
                        <w:right w:val="none" w:sz="0" w:space="0" w:color="auto"/>
                      </w:divBdr>
                    </w:div>
                    <w:div w:id="1895117296">
                      <w:marLeft w:val="0"/>
                      <w:marRight w:val="0"/>
                      <w:marTop w:val="0"/>
                      <w:marBottom w:val="0"/>
                      <w:divBdr>
                        <w:top w:val="none" w:sz="0" w:space="0" w:color="auto"/>
                        <w:left w:val="none" w:sz="0" w:space="0" w:color="auto"/>
                        <w:bottom w:val="none" w:sz="0" w:space="0" w:color="auto"/>
                        <w:right w:val="none" w:sz="0" w:space="0" w:color="auto"/>
                      </w:divBdr>
                    </w:div>
                  </w:divsChild>
                </w:div>
                <w:div w:id="344673917">
                  <w:marLeft w:val="0"/>
                  <w:marRight w:val="0"/>
                  <w:marTop w:val="0"/>
                  <w:marBottom w:val="0"/>
                  <w:divBdr>
                    <w:top w:val="none" w:sz="0" w:space="0" w:color="auto"/>
                    <w:left w:val="none" w:sz="0" w:space="0" w:color="auto"/>
                    <w:bottom w:val="none" w:sz="0" w:space="0" w:color="auto"/>
                    <w:right w:val="none" w:sz="0" w:space="0" w:color="auto"/>
                  </w:divBdr>
                  <w:divsChild>
                    <w:div w:id="1249582676">
                      <w:marLeft w:val="0"/>
                      <w:marRight w:val="0"/>
                      <w:marTop w:val="0"/>
                      <w:marBottom w:val="0"/>
                      <w:divBdr>
                        <w:top w:val="none" w:sz="0" w:space="0" w:color="auto"/>
                        <w:left w:val="none" w:sz="0" w:space="0" w:color="auto"/>
                        <w:bottom w:val="none" w:sz="0" w:space="0" w:color="auto"/>
                        <w:right w:val="none" w:sz="0" w:space="0" w:color="auto"/>
                      </w:divBdr>
                    </w:div>
                  </w:divsChild>
                </w:div>
                <w:div w:id="393742499">
                  <w:marLeft w:val="0"/>
                  <w:marRight w:val="0"/>
                  <w:marTop w:val="0"/>
                  <w:marBottom w:val="0"/>
                  <w:divBdr>
                    <w:top w:val="none" w:sz="0" w:space="0" w:color="auto"/>
                    <w:left w:val="none" w:sz="0" w:space="0" w:color="auto"/>
                    <w:bottom w:val="none" w:sz="0" w:space="0" w:color="auto"/>
                    <w:right w:val="none" w:sz="0" w:space="0" w:color="auto"/>
                  </w:divBdr>
                  <w:divsChild>
                    <w:div w:id="114569423">
                      <w:marLeft w:val="0"/>
                      <w:marRight w:val="0"/>
                      <w:marTop w:val="0"/>
                      <w:marBottom w:val="0"/>
                      <w:divBdr>
                        <w:top w:val="none" w:sz="0" w:space="0" w:color="auto"/>
                        <w:left w:val="none" w:sz="0" w:space="0" w:color="auto"/>
                        <w:bottom w:val="none" w:sz="0" w:space="0" w:color="auto"/>
                        <w:right w:val="none" w:sz="0" w:space="0" w:color="auto"/>
                      </w:divBdr>
                    </w:div>
                    <w:div w:id="217664668">
                      <w:marLeft w:val="0"/>
                      <w:marRight w:val="0"/>
                      <w:marTop w:val="0"/>
                      <w:marBottom w:val="0"/>
                      <w:divBdr>
                        <w:top w:val="none" w:sz="0" w:space="0" w:color="auto"/>
                        <w:left w:val="none" w:sz="0" w:space="0" w:color="auto"/>
                        <w:bottom w:val="none" w:sz="0" w:space="0" w:color="auto"/>
                        <w:right w:val="none" w:sz="0" w:space="0" w:color="auto"/>
                      </w:divBdr>
                    </w:div>
                  </w:divsChild>
                </w:div>
                <w:div w:id="411244653">
                  <w:marLeft w:val="0"/>
                  <w:marRight w:val="0"/>
                  <w:marTop w:val="0"/>
                  <w:marBottom w:val="0"/>
                  <w:divBdr>
                    <w:top w:val="none" w:sz="0" w:space="0" w:color="auto"/>
                    <w:left w:val="none" w:sz="0" w:space="0" w:color="auto"/>
                    <w:bottom w:val="none" w:sz="0" w:space="0" w:color="auto"/>
                    <w:right w:val="none" w:sz="0" w:space="0" w:color="auto"/>
                  </w:divBdr>
                  <w:divsChild>
                    <w:div w:id="117993634">
                      <w:marLeft w:val="0"/>
                      <w:marRight w:val="0"/>
                      <w:marTop w:val="0"/>
                      <w:marBottom w:val="0"/>
                      <w:divBdr>
                        <w:top w:val="none" w:sz="0" w:space="0" w:color="auto"/>
                        <w:left w:val="none" w:sz="0" w:space="0" w:color="auto"/>
                        <w:bottom w:val="none" w:sz="0" w:space="0" w:color="auto"/>
                        <w:right w:val="none" w:sz="0" w:space="0" w:color="auto"/>
                      </w:divBdr>
                    </w:div>
                  </w:divsChild>
                </w:div>
                <w:div w:id="668558492">
                  <w:marLeft w:val="0"/>
                  <w:marRight w:val="0"/>
                  <w:marTop w:val="0"/>
                  <w:marBottom w:val="0"/>
                  <w:divBdr>
                    <w:top w:val="none" w:sz="0" w:space="0" w:color="auto"/>
                    <w:left w:val="none" w:sz="0" w:space="0" w:color="auto"/>
                    <w:bottom w:val="none" w:sz="0" w:space="0" w:color="auto"/>
                    <w:right w:val="none" w:sz="0" w:space="0" w:color="auto"/>
                  </w:divBdr>
                  <w:divsChild>
                    <w:div w:id="1857576928">
                      <w:marLeft w:val="0"/>
                      <w:marRight w:val="0"/>
                      <w:marTop w:val="0"/>
                      <w:marBottom w:val="0"/>
                      <w:divBdr>
                        <w:top w:val="none" w:sz="0" w:space="0" w:color="auto"/>
                        <w:left w:val="none" w:sz="0" w:space="0" w:color="auto"/>
                        <w:bottom w:val="none" w:sz="0" w:space="0" w:color="auto"/>
                        <w:right w:val="none" w:sz="0" w:space="0" w:color="auto"/>
                      </w:divBdr>
                    </w:div>
                  </w:divsChild>
                </w:div>
                <w:div w:id="756710020">
                  <w:marLeft w:val="0"/>
                  <w:marRight w:val="0"/>
                  <w:marTop w:val="0"/>
                  <w:marBottom w:val="0"/>
                  <w:divBdr>
                    <w:top w:val="none" w:sz="0" w:space="0" w:color="auto"/>
                    <w:left w:val="none" w:sz="0" w:space="0" w:color="auto"/>
                    <w:bottom w:val="none" w:sz="0" w:space="0" w:color="auto"/>
                    <w:right w:val="none" w:sz="0" w:space="0" w:color="auto"/>
                  </w:divBdr>
                  <w:divsChild>
                    <w:div w:id="486437850">
                      <w:marLeft w:val="0"/>
                      <w:marRight w:val="0"/>
                      <w:marTop w:val="0"/>
                      <w:marBottom w:val="0"/>
                      <w:divBdr>
                        <w:top w:val="none" w:sz="0" w:space="0" w:color="auto"/>
                        <w:left w:val="none" w:sz="0" w:space="0" w:color="auto"/>
                        <w:bottom w:val="none" w:sz="0" w:space="0" w:color="auto"/>
                        <w:right w:val="none" w:sz="0" w:space="0" w:color="auto"/>
                      </w:divBdr>
                    </w:div>
                  </w:divsChild>
                </w:div>
                <w:div w:id="774443580">
                  <w:marLeft w:val="0"/>
                  <w:marRight w:val="0"/>
                  <w:marTop w:val="0"/>
                  <w:marBottom w:val="0"/>
                  <w:divBdr>
                    <w:top w:val="none" w:sz="0" w:space="0" w:color="auto"/>
                    <w:left w:val="none" w:sz="0" w:space="0" w:color="auto"/>
                    <w:bottom w:val="none" w:sz="0" w:space="0" w:color="auto"/>
                    <w:right w:val="none" w:sz="0" w:space="0" w:color="auto"/>
                  </w:divBdr>
                  <w:divsChild>
                    <w:div w:id="2003191948">
                      <w:marLeft w:val="0"/>
                      <w:marRight w:val="0"/>
                      <w:marTop w:val="0"/>
                      <w:marBottom w:val="0"/>
                      <w:divBdr>
                        <w:top w:val="none" w:sz="0" w:space="0" w:color="auto"/>
                        <w:left w:val="none" w:sz="0" w:space="0" w:color="auto"/>
                        <w:bottom w:val="none" w:sz="0" w:space="0" w:color="auto"/>
                        <w:right w:val="none" w:sz="0" w:space="0" w:color="auto"/>
                      </w:divBdr>
                    </w:div>
                  </w:divsChild>
                </w:div>
                <w:div w:id="802770658">
                  <w:marLeft w:val="0"/>
                  <w:marRight w:val="0"/>
                  <w:marTop w:val="0"/>
                  <w:marBottom w:val="0"/>
                  <w:divBdr>
                    <w:top w:val="none" w:sz="0" w:space="0" w:color="auto"/>
                    <w:left w:val="none" w:sz="0" w:space="0" w:color="auto"/>
                    <w:bottom w:val="none" w:sz="0" w:space="0" w:color="auto"/>
                    <w:right w:val="none" w:sz="0" w:space="0" w:color="auto"/>
                  </w:divBdr>
                  <w:divsChild>
                    <w:div w:id="1586038972">
                      <w:marLeft w:val="0"/>
                      <w:marRight w:val="0"/>
                      <w:marTop w:val="0"/>
                      <w:marBottom w:val="0"/>
                      <w:divBdr>
                        <w:top w:val="none" w:sz="0" w:space="0" w:color="auto"/>
                        <w:left w:val="none" w:sz="0" w:space="0" w:color="auto"/>
                        <w:bottom w:val="none" w:sz="0" w:space="0" w:color="auto"/>
                        <w:right w:val="none" w:sz="0" w:space="0" w:color="auto"/>
                      </w:divBdr>
                    </w:div>
                  </w:divsChild>
                </w:div>
                <w:div w:id="837578354">
                  <w:marLeft w:val="0"/>
                  <w:marRight w:val="0"/>
                  <w:marTop w:val="0"/>
                  <w:marBottom w:val="0"/>
                  <w:divBdr>
                    <w:top w:val="none" w:sz="0" w:space="0" w:color="auto"/>
                    <w:left w:val="none" w:sz="0" w:space="0" w:color="auto"/>
                    <w:bottom w:val="none" w:sz="0" w:space="0" w:color="auto"/>
                    <w:right w:val="none" w:sz="0" w:space="0" w:color="auto"/>
                  </w:divBdr>
                  <w:divsChild>
                    <w:div w:id="1601839758">
                      <w:marLeft w:val="0"/>
                      <w:marRight w:val="0"/>
                      <w:marTop w:val="0"/>
                      <w:marBottom w:val="0"/>
                      <w:divBdr>
                        <w:top w:val="none" w:sz="0" w:space="0" w:color="auto"/>
                        <w:left w:val="none" w:sz="0" w:space="0" w:color="auto"/>
                        <w:bottom w:val="none" w:sz="0" w:space="0" w:color="auto"/>
                        <w:right w:val="none" w:sz="0" w:space="0" w:color="auto"/>
                      </w:divBdr>
                    </w:div>
                  </w:divsChild>
                </w:div>
                <w:div w:id="929703241">
                  <w:marLeft w:val="0"/>
                  <w:marRight w:val="0"/>
                  <w:marTop w:val="0"/>
                  <w:marBottom w:val="0"/>
                  <w:divBdr>
                    <w:top w:val="none" w:sz="0" w:space="0" w:color="auto"/>
                    <w:left w:val="none" w:sz="0" w:space="0" w:color="auto"/>
                    <w:bottom w:val="none" w:sz="0" w:space="0" w:color="auto"/>
                    <w:right w:val="none" w:sz="0" w:space="0" w:color="auto"/>
                  </w:divBdr>
                  <w:divsChild>
                    <w:div w:id="848526533">
                      <w:marLeft w:val="0"/>
                      <w:marRight w:val="0"/>
                      <w:marTop w:val="0"/>
                      <w:marBottom w:val="0"/>
                      <w:divBdr>
                        <w:top w:val="none" w:sz="0" w:space="0" w:color="auto"/>
                        <w:left w:val="none" w:sz="0" w:space="0" w:color="auto"/>
                        <w:bottom w:val="none" w:sz="0" w:space="0" w:color="auto"/>
                        <w:right w:val="none" w:sz="0" w:space="0" w:color="auto"/>
                      </w:divBdr>
                    </w:div>
                  </w:divsChild>
                </w:div>
                <w:div w:id="961417747">
                  <w:marLeft w:val="0"/>
                  <w:marRight w:val="0"/>
                  <w:marTop w:val="0"/>
                  <w:marBottom w:val="0"/>
                  <w:divBdr>
                    <w:top w:val="none" w:sz="0" w:space="0" w:color="auto"/>
                    <w:left w:val="none" w:sz="0" w:space="0" w:color="auto"/>
                    <w:bottom w:val="none" w:sz="0" w:space="0" w:color="auto"/>
                    <w:right w:val="none" w:sz="0" w:space="0" w:color="auto"/>
                  </w:divBdr>
                  <w:divsChild>
                    <w:div w:id="1352143763">
                      <w:marLeft w:val="0"/>
                      <w:marRight w:val="0"/>
                      <w:marTop w:val="0"/>
                      <w:marBottom w:val="0"/>
                      <w:divBdr>
                        <w:top w:val="none" w:sz="0" w:space="0" w:color="auto"/>
                        <w:left w:val="none" w:sz="0" w:space="0" w:color="auto"/>
                        <w:bottom w:val="none" w:sz="0" w:space="0" w:color="auto"/>
                        <w:right w:val="none" w:sz="0" w:space="0" w:color="auto"/>
                      </w:divBdr>
                    </w:div>
                    <w:div w:id="1961647619">
                      <w:marLeft w:val="0"/>
                      <w:marRight w:val="0"/>
                      <w:marTop w:val="0"/>
                      <w:marBottom w:val="0"/>
                      <w:divBdr>
                        <w:top w:val="none" w:sz="0" w:space="0" w:color="auto"/>
                        <w:left w:val="none" w:sz="0" w:space="0" w:color="auto"/>
                        <w:bottom w:val="none" w:sz="0" w:space="0" w:color="auto"/>
                        <w:right w:val="none" w:sz="0" w:space="0" w:color="auto"/>
                      </w:divBdr>
                    </w:div>
                  </w:divsChild>
                </w:div>
                <w:div w:id="1026516099">
                  <w:marLeft w:val="0"/>
                  <w:marRight w:val="0"/>
                  <w:marTop w:val="0"/>
                  <w:marBottom w:val="0"/>
                  <w:divBdr>
                    <w:top w:val="none" w:sz="0" w:space="0" w:color="auto"/>
                    <w:left w:val="none" w:sz="0" w:space="0" w:color="auto"/>
                    <w:bottom w:val="none" w:sz="0" w:space="0" w:color="auto"/>
                    <w:right w:val="none" w:sz="0" w:space="0" w:color="auto"/>
                  </w:divBdr>
                  <w:divsChild>
                    <w:div w:id="995257607">
                      <w:marLeft w:val="0"/>
                      <w:marRight w:val="0"/>
                      <w:marTop w:val="0"/>
                      <w:marBottom w:val="0"/>
                      <w:divBdr>
                        <w:top w:val="none" w:sz="0" w:space="0" w:color="auto"/>
                        <w:left w:val="none" w:sz="0" w:space="0" w:color="auto"/>
                        <w:bottom w:val="none" w:sz="0" w:space="0" w:color="auto"/>
                        <w:right w:val="none" w:sz="0" w:space="0" w:color="auto"/>
                      </w:divBdr>
                    </w:div>
                    <w:div w:id="1219365940">
                      <w:marLeft w:val="0"/>
                      <w:marRight w:val="0"/>
                      <w:marTop w:val="0"/>
                      <w:marBottom w:val="0"/>
                      <w:divBdr>
                        <w:top w:val="none" w:sz="0" w:space="0" w:color="auto"/>
                        <w:left w:val="none" w:sz="0" w:space="0" w:color="auto"/>
                        <w:bottom w:val="none" w:sz="0" w:space="0" w:color="auto"/>
                        <w:right w:val="none" w:sz="0" w:space="0" w:color="auto"/>
                      </w:divBdr>
                    </w:div>
                  </w:divsChild>
                </w:div>
                <w:div w:id="1130056324">
                  <w:marLeft w:val="0"/>
                  <w:marRight w:val="0"/>
                  <w:marTop w:val="0"/>
                  <w:marBottom w:val="0"/>
                  <w:divBdr>
                    <w:top w:val="none" w:sz="0" w:space="0" w:color="auto"/>
                    <w:left w:val="none" w:sz="0" w:space="0" w:color="auto"/>
                    <w:bottom w:val="none" w:sz="0" w:space="0" w:color="auto"/>
                    <w:right w:val="none" w:sz="0" w:space="0" w:color="auto"/>
                  </w:divBdr>
                  <w:divsChild>
                    <w:div w:id="651760102">
                      <w:marLeft w:val="0"/>
                      <w:marRight w:val="0"/>
                      <w:marTop w:val="0"/>
                      <w:marBottom w:val="0"/>
                      <w:divBdr>
                        <w:top w:val="none" w:sz="0" w:space="0" w:color="auto"/>
                        <w:left w:val="none" w:sz="0" w:space="0" w:color="auto"/>
                        <w:bottom w:val="none" w:sz="0" w:space="0" w:color="auto"/>
                        <w:right w:val="none" w:sz="0" w:space="0" w:color="auto"/>
                      </w:divBdr>
                    </w:div>
                  </w:divsChild>
                </w:div>
                <w:div w:id="1158962278">
                  <w:marLeft w:val="0"/>
                  <w:marRight w:val="0"/>
                  <w:marTop w:val="0"/>
                  <w:marBottom w:val="0"/>
                  <w:divBdr>
                    <w:top w:val="none" w:sz="0" w:space="0" w:color="auto"/>
                    <w:left w:val="none" w:sz="0" w:space="0" w:color="auto"/>
                    <w:bottom w:val="none" w:sz="0" w:space="0" w:color="auto"/>
                    <w:right w:val="none" w:sz="0" w:space="0" w:color="auto"/>
                  </w:divBdr>
                  <w:divsChild>
                    <w:div w:id="1160583004">
                      <w:marLeft w:val="0"/>
                      <w:marRight w:val="0"/>
                      <w:marTop w:val="0"/>
                      <w:marBottom w:val="0"/>
                      <w:divBdr>
                        <w:top w:val="none" w:sz="0" w:space="0" w:color="auto"/>
                        <w:left w:val="none" w:sz="0" w:space="0" w:color="auto"/>
                        <w:bottom w:val="none" w:sz="0" w:space="0" w:color="auto"/>
                        <w:right w:val="none" w:sz="0" w:space="0" w:color="auto"/>
                      </w:divBdr>
                    </w:div>
                  </w:divsChild>
                </w:div>
                <w:div w:id="1204053080">
                  <w:marLeft w:val="0"/>
                  <w:marRight w:val="0"/>
                  <w:marTop w:val="0"/>
                  <w:marBottom w:val="0"/>
                  <w:divBdr>
                    <w:top w:val="none" w:sz="0" w:space="0" w:color="auto"/>
                    <w:left w:val="none" w:sz="0" w:space="0" w:color="auto"/>
                    <w:bottom w:val="none" w:sz="0" w:space="0" w:color="auto"/>
                    <w:right w:val="none" w:sz="0" w:space="0" w:color="auto"/>
                  </w:divBdr>
                  <w:divsChild>
                    <w:div w:id="62410717">
                      <w:marLeft w:val="0"/>
                      <w:marRight w:val="0"/>
                      <w:marTop w:val="0"/>
                      <w:marBottom w:val="0"/>
                      <w:divBdr>
                        <w:top w:val="none" w:sz="0" w:space="0" w:color="auto"/>
                        <w:left w:val="none" w:sz="0" w:space="0" w:color="auto"/>
                        <w:bottom w:val="none" w:sz="0" w:space="0" w:color="auto"/>
                        <w:right w:val="none" w:sz="0" w:space="0" w:color="auto"/>
                      </w:divBdr>
                    </w:div>
                    <w:div w:id="291180251">
                      <w:marLeft w:val="0"/>
                      <w:marRight w:val="0"/>
                      <w:marTop w:val="0"/>
                      <w:marBottom w:val="0"/>
                      <w:divBdr>
                        <w:top w:val="none" w:sz="0" w:space="0" w:color="auto"/>
                        <w:left w:val="none" w:sz="0" w:space="0" w:color="auto"/>
                        <w:bottom w:val="none" w:sz="0" w:space="0" w:color="auto"/>
                        <w:right w:val="none" w:sz="0" w:space="0" w:color="auto"/>
                      </w:divBdr>
                    </w:div>
                    <w:div w:id="313150057">
                      <w:marLeft w:val="0"/>
                      <w:marRight w:val="0"/>
                      <w:marTop w:val="0"/>
                      <w:marBottom w:val="0"/>
                      <w:divBdr>
                        <w:top w:val="none" w:sz="0" w:space="0" w:color="auto"/>
                        <w:left w:val="none" w:sz="0" w:space="0" w:color="auto"/>
                        <w:bottom w:val="none" w:sz="0" w:space="0" w:color="auto"/>
                        <w:right w:val="none" w:sz="0" w:space="0" w:color="auto"/>
                      </w:divBdr>
                    </w:div>
                    <w:div w:id="573052494">
                      <w:marLeft w:val="0"/>
                      <w:marRight w:val="0"/>
                      <w:marTop w:val="0"/>
                      <w:marBottom w:val="0"/>
                      <w:divBdr>
                        <w:top w:val="none" w:sz="0" w:space="0" w:color="auto"/>
                        <w:left w:val="none" w:sz="0" w:space="0" w:color="auto"/>
                        <w:bottom w:val="none" w:sz="0" w:space="0" w:color="auto"/>
                        <w:right w:val="none" w:sz="0" w:space="0" w:color="auto"/>
                      </w:divBdr>
                    </w:div>
                    <w:div w:id="949822397">
                      <w:marLeft w:val="0"/>
                      <w:marRight w:val="0"/>
                      <w:marTop w:val="0"/>
                      <w:marBottom w:val="0"/>
                      <w:divBdr>
                        <w:top w:val="none" w:sz="0" w:space="0" w:color="auto"/>
                        <w:left w:val="none" w:sz="0" w:space="0" w:color="auto"/>
                        <w:bottom w:val="none" w:sz="0" w:space="0" w:color="auto"/>
                        <w:right w:val="none" w:sz="0" w:space="0" w:color="auto"/>
                      </w:divBdr>
                    </w:div>
                    <w:div w:id="1126630479">
                      <w:marLeft w:val="0"/>
                      <w:marRight w:val="0"/>
                      <w:marTop w:val="0"/>
                      <w:marBottom w:val="0"/>
                      <w:divBdr>
                        <w:top w:val="none" w:sz="0" w:space="0" w:color="auto"/>
                        <w:left w:val="none" w:sz="0" w:space="0" w:color="auto"/>
                        <w:bottom w:val="none" w:sz="0" w:space="0" w:color="auto"/>
                        <w:right w:val="none" w:sz="0" w:space="0" w:color="auto"/>
                      </w:divBdr>
                    </w:div>
                    <w:div w:id="1192957695">
                      <w:marLeft w:val="0"/>
                      <w:marRight w:val="0"/>
                      <w:marTop w:val="0"/>
                      <w:marBottom w:val="0"/>
                      <w:divBdr>
                        <w:top w:val="none" w:sz="0" w:space="0" w:color="auto"/>
                        <w:left w:val="none" w:sz="0" w:space="0" w:color="auto"/>
                        <w:bottom w:val="none" w:sz="0" w:space="0" w:color="auto"/>
                        <w:right w:val="none" w:sz="0" w:space="0" w:color="auto"/>
                      </w:divBdr>
                    </w:div>
                    <w:div w:id="1200554081">
                      <w:marLeft w:val="0"/>
                      <w:marRight w:val="0"/>
                      <w:marTop w:val="0"/>
                      <w:marBottom w:val="0"/>
                      <w:divBdr>
                        <w:top w:val="none" w:sz="0" w:space="0" w:color="auto"/>
                        <w:left w:val="none" w:sz="0" w:space="0" w:color="auto"/>
                        <w:bottom w:val="none" w:sz="0" w:space="0" w:color="auto"/>
                        <w:right w:val="none" w:sz="0" w:space="0" w:color="auto"/>
                      </w:divBdr>
                    </w:div>
                    <w:div w:id="1877347456">
                      <w:marLeft w:val="0"/>
                      <w:marRight w:val="0"/>
                      <w:marTop w:val="0"/>
                      <w:marBottom w:val="0"/>
                      <w:divBdr>
                        <w:top w:val="none" w:sz="0" w:space="0" w:color="auto"/>
                        <w:left w:val="none" w:sz="0" w:space="0" w:color="auto"/>
                        <w:bottom w:val="none" w:sz="0" w:space="0" w:color="auto"/>
                        <w:right w:val="none" w:sz="0" w:space="0" w:color="auto"/>
                      </w:divBdr>
                    </w:div>
                  </w:divsChild>
                </w:div>
                <w:div w:id="1324897599">
                  <w:marLeft w:val="0"/>
                  <w:marRight w:val="0"/>
                  <w:marTop w:val="0"/>
                  <w:marBottom w:val="0"/>
                  <w:divBdr>
                    <w:top w:val="none" w:sz="0" w:space="0" w:color="auto"/>
                    <w:left w:val="none" w:sz="0" w:space="0" w:color="auto"/>
                    <w:bottom w:val="none" w:sz="0" w:space="0" w:color="auto"/>
                    <w:right w:val="none" w:sz="0" w:space="0" w:color="auto"/>
                  </w:divBdr>
                  <w:divsChild>
                    <w:div w:id="1252205125">
                      <w:marLeft w:val="0"/>
                      <w:marRight w:val="0"/>
                      <w:marTop w:val="0"/>
                      <w:marBottom w:val="0"/>
                      <w:divBdr>
                        <w:top w:val="none" w:sz="0" w:space="0" w:color="auto"/>
                        <w:left w:val="none" w:sz="0" w:space="0" w:color="auto"/>
                        <w:bottom w:val="none" w:sz="0" w:space="0" w:color="auto"/>
                        <w:right w:val="none" w:sz="0" w:space="0" w:color="auto"/>
                      </w:divBdr>
                    </w:div>
                  </w:divsChild>
                </w:div>
                <w:div w:id="1333144144">
                  <w:marLeft w:val="0"/>
                  <w:marRight w:val="0"/>
                  <w:marTop w:val="0"/>
                  <w:marBottom w:val="0"/>
                  <w:divBdr>
                    <w:top w:val="none" w:sz="0" w:space="0" w:color="auto"/>
                    <w:left w:val="none" w:sz="0" w:space="0" w:color="auto"/>
                    <w:bottom w:val="none" w:sz="0" w:space="0" w:color="auto"/>
                    <w:right w:val="none" w:sz="0" w:space="0" w:color="auto"/>
                  </w:divBdr>
                  <w:divsChild>
                    <w:div w:id="1663465743">
                      <w:marLeft w:val="0"/>
                      <w:marRight w:val="0"/>
                      <w:marTop w:val="0"/>
                      <w:marBottom w:val="0"/>
                      <w:divBdr>
                        <w:top w:val="none" w:sz="0" w:space="0" w:color="auto"/>
                        <w:left w:val="none" w:sz="0" w:space="0" w:color="auto"/>
                        <w:bottom w:val="none" w:sz="0" w:space="0" w:color="auto"/>
                        <w:right w:val="none" w:sz="0" w:space="0" w:color="auto"/>
                      </w:divBdr>
                    </w:div>
                  </w:divsChild>
                </w:div>
                <w:div w:id="1358847754">
                  <w:marLeft w:val="0"/>
                  <w:marRight w:val="0"/>
                  <w:marTop w:val="0"/>
                  <w:marBottom w:val="0"/>
                  <w:divBdr>
                    <w:top w:val="none" w:sz="0" w:space="0" w:color="auto"/>
                    <w:left w:val="none" w:sz="0" w:space="0" w:color="auto"/>
                    <w:bottom w:val="none" w:sz="0" w:space="0" w:color="auto"/>
                    <w:right w:val="none" w:sz="0" w:space="0" w:color="auto"/>
                  </w:divBdr>
                  <w:divsChild>
                    <w:div w:id="1681078048">
                      <w:marLeft w:val="0"/>
                      <w:marRight w:val="0"/>
                      <w:marTop w:val="0"/>
                      <w:marBottom w:val="0"/>
                      <w:divBdr>
                        <w:top w:val="none" w:sz="0" w:space="0" w:color="auto"/>
                        <w:left w:val="none" w:sz="0" w:space="0" w:color="auto"/>
                        <w:bottom w:val="none" w:sz="0" w:space="0" w:color="auto"/>
                        <w:right w:val="none" w:sz="0" w:space="0" w:color="auto"/>
                      </w:divBdr>
                    </w:div>
                  </w:divsChild>
                </w:div>
                <w:div w:id="1439374898">
                  <w:marLeft w:val="0"/>
                  <w:marRight w:val="0"/>
                  <w:marTop w:val="0"/>
                  <w:marBottom w:val="0"/>
                  <w:divBdr>
                    <w:top w:val="none" w:sz="0" w:space="0" w:color="auto"/>
                    <w:left w:val="none" w:sz="0" w:space="0" w:color="auto"/>
                    <w:bottom w:val="none" w:sz="0" w:space="0" w:color="auto"/>
                    <w:right w:val="none" w:sz="0" w:space="0" w:color="auto"/>
                  </w:divBdr>
                  <w:divsChild>
                    <w:div w:id="1248265215">
                      <w:marLeft w:val="0"/>
                      <w:marRight w:val="0"/>
                      <w:marTop w:val="0"/>
                      <w:marBottom w:val="0"/>
                      <w:divBdr>
                        <w:top w:val="none" w:sz="0" w:space="0" w:color="auto"/>
                        <w:left w:val="none" w:sz="0" w:space="0" w:color="auto"/>
                        <w:bottom w:val="none" w:sz="0" w:space="0" w:color="auto"/>
                        <w:right w:val="none" w:sz="0" w:space="0" w:color="auto"/>
                      </w:divBdr>
                    </w:div>
                  </w:divsChild>
                </w:div>
                <w:div w:id="1468739056">
                  <w:marLeft w:val="0"/>
                  <w:marRight w:val="0"/>
                  <w:marTop w:val="0"/>
                  <w:marBottom w:val="0"/>
                  <w:divBdr>
                    <w:top w:val="none" w:sz="0" w:space="0" w:color="auto"/>
                    <w:left w:val="none" w:sz="0" w:space="0" w:color="auto"/>
                    <w:bottom w:val="none" w:sz="0" w:space="0" w:color="auto"/>
                    <w:right w:val="none" w:sz="0" w:space="0" w:color="auto"/>
                  </w:divBdr>
                  <w:divsChild>
                    <w:div w:id="1847747760">
                      <w:marLeft w:val="0"/>
                      <w:marRight w:val="0"/>
                      <w:marTop w:val="0"/>
                      <w:marBottom w:val="0"/>
                      <w:divBdr>
                        <w:top w:val="none" w:sz="0" w:space="0" w:color="auto"/>
                        <w:left w:val="none" w:sz="0" w:space="0" w:color="auto"/>
                        <w:bottom w:val="none" w:sz="0" w:space="0" w:color="auto"/>
                        <w:right w:val="none" w:sz="0" w:space="0" w:color="auto"/>
                      </w:divBdr>
                    </w:div>
                  </w:divsChild>
                </w:div>
                <w:div w:id="1486823060">
                  <w:marLeft w:val="0"/>
                  <w:marRight w:val="0"/>
                  <w:marTop w:val="0"/>
                  <w:marBottom w:val="0"/>
                  <w:divBdr>
                    <w:top w:val="none" w:sz="0" w:space="0" w:color="auto"/>
                    <w:left w:val="none" w:sz="0" w:space="0" w:color="auto"/>
                    <w:bottom w:val="none" w:sz="0" w:space="0" w:color="auto"/>
                    <w:right w:val="none" w:sz="0" w:space="0" w:color="auto"/>
                  </w:divBdr>
                  <w:divsChild>
                    <w:div w:id="297147296">
                      <w:marLeft w:val="0"/>
                      <w:marRight w:val="0"/>
                      <w:marTop w:val="0"/>
                      <w:marBottom w:val="0"/>
                      <w:divBdr>
                        <w:top w:val="none" w:sz="0" w:space="0" w:color="auto"/>
                        <w:left w:val="none" w:sz="0" w:space="0" w:color="auto"/>
                        <w:bottom w:val="none" w:sz="0" w:space="0" w:color="auto"/>
                        <w:right w:val="none" w:sz="0" w:space="0" w:color="auto"/>
                      </w:divBdr>
                    </w:div>
                  </w:divsChild>
                </w:div>
                <w:div w:id="1540779229">
                  <w:marLeft w:val="0"/>
                  <w:marRight w:val="0"/>
                  <w:marTop w:val="0"/>
                  <w:marBottom w:val="0"/>
                  <w:divBdr>
                    <w:top w:val="none" w:sz="0" w:space="0" w:color="auto"/>
                    <w:left w:val="none" w:sz="0" w:space="0" w:color="auto"/>
                    <w:bottom w:val="none" w:sz="0" w:space="0" w:color="auto"/>
                    <w:right w:val="none" w:sz="0" w:space="0" w:color="auto"/>
                  </w:divBdr>
                  <w:divsChild>
                    <w:div w:id="1137457225">
                      <w:marLeft w:val="0"/>
                      <w:marRight w:val="0"/>
                      <w:marTop w:val="0"/>
                      <w:marBottom w:val="0"/>
                      <w:divBdr>
                        <w:top w:val="none" w:sz="0" w:space="0" w:color="auto"/>
                        <w:left w:val="none" w:sz="0" w:space="0" w:color="auto"/>
                        <w:bottom w:val="none" w:sz="0" w:space="0" w:color="auto"/>
                        <w:right w:val="none" w:sz="0" w:space="0" w:color="auto"/>
                      </w:divBdr>
                    </w:div>
                  </w:divsChild>
                </w:div>
                <w:div w:id="1549106507">
                  <w:marLeft w:val="0"/>
                  <w:marRight w:val="0"/>
                  <w:marTop w:val="0"/>
                  <w:marBottom w:val="0"/>
                  <w:divBdr>
                    <w:top w:val="none" w:sz="0" w:space="0" w:color="auto"/>
                    <w:left w:val="none" w:sz="0" w:space="0" w:color="auto"/>
                    <w:bottom w:val="none" w:sz="0" w:space="0" w:color="auto"/>
                    <w:right w:val="none" w:sz="0" w:space="0" w:color="auto"/>
                  </w:divBdr>
                  <w:divsChild>
                    <w:div w:id="1088498757">
                      <w:marLeft w:val="0"/>
                      <w:marRight w:val="0"/>
                      <w:marTop w:val="0"/>
                      <w:marBottom w:val="0"/>
                      <w:divBdr>
                        <w:top w:val="none" w:sz="0" w:space="0" w:color="auto"/>
                        <w:left w:val="none" w:sz="0" w:space="0" w:color="auto"/>
                        <w:bottom w:val="none" w:sz="0" w:space="0" w:color="auto"/>
                        <w:right w:val="none" w:sz="0" w:space="0" w:color="auto"/>
                      </w:divBdr>
                    </w:div>
                  </w:divsChild>
                </w:div>
                <w:div w:id="1615479858">
                  <w:marLeft w:val="0"/>
                  <w:marRight w:val="0"/>
                  <w:marTop w:val="0"/>
                  <w:marBottom w:val="0"/>
                  <w:divBdr>
                    <w:top w:val="none" w:sz="0" w:space="0" w:color="auto"/>
                    <w:left w:val="none" w:sz="0" w:space="0" w:color="auto"/>
                    <w:bottom w:val="none" w:sz="0" w:space="0" w:color="auto"/>
                    <w:right w:val="none" w:sz="0" w:space="0" w:color="auto"/>
                  </w:divBdr>
                  <w:divsChild>
                    <w:div w:id="630790785">
                      <w:marLeft w:val="0"/>
                      <w:marRight w:val="0"/>
                      <w:marTop w:val="0"/>
                      <w:marBottom w:val="0"/>
                      <w:divBdr>
                        <w:top w:val="none" w:sz="0" w:space="0" w:color="auto"/>
                        <w:left w:val="none" w:sz="0" w:space="0" w:color="auto"/>
                        <w:bottom w:val="none" w:sz="0" w:space="0" w:color="auto"/>
                        <w:right w:val="none" w:sz="0" w:space="0" w:color="auto"/>
                      </w:divBdr>
                    </w:div>
                  </w:divsChild>
                </w:div>
                <w:div w:id="1741755021">
                  <w:marLeft w:val="0"/>
                  <w:marRight w:val="0"/>
                  <w:marTop w:val="0"/>
                  <w:marBottom w:val="0"/>
                  <w:divBdr>
                    <w:top w:val="none" w:sz="0" w:space="0" w:color="auto"/>
                    <w:left w:val="none" w:sz="0" w:space="0" w:color="auto"/>
                    <w:bottom w:val="none" w:sz="0" w:space="0" w:color="auto"/>
                    <w:right w:val="none" w:sz="0" w:space="0" w:color="auto"/>
                  </w:divBdr>
                  <w:divsChild>
                    <w:div w:id="436799972">
                      <w:marLeft w:val="0"/>
                      <w:marRight w:val="0"/>
                      <w:marTop w:val="0"/>
                      <w:marBottom w:val="0"/>
                      <w:divBdr>
                        <w:top w:val="none" w:sz="0" w:space="0" w:color="auto"/>
                        <w:left w:val="none" w:sz="0" w:space="0" w:color="auto"/>
                        <w:bottom w:val="none" w:sz="0" w:space="0" w:color="auto"/>
                        <w:right w:val="none" w:sz="0" w:space="0" w:color="auto"/>
                      </w:divBdr>
                    </w:div>
                  </w:divsChild>
                </w:div>
                <w:div w:id="1872918999">
                  <w:marLeft w:val="0"/>
                  <w:marRight w:val="0"/>
                  <w:marTop w:val="0"/>
                  <w:marBottom w:val="0"/>
                  <w:divBdr>
                    <w:top w:val="none" w:sz="0" w:space="0" w:color="auto"/>
                    <w:left w:val="none" w:sz="0" w:space="0" w:color="auto"/>
                    <w:bottom w:val="none" w:sz="0" w:space="0" w:color="auto"/>
                    <w:right w:val="none" w:sz="0" w:space="0" w:color="auto"/>
                  </w:divBdr>
                  <w:divsChild>
                    <w:div w:id="1073965920">
                      <w:marLeft w:val="0"/>
                      <w:marRight w:val="0"/>
                      <w:marTop w:val="0"/>
                      <w:marBottom w:val="0"/>
                      <w:divBdr>
                        <w:top w:val="none" w:sz="0" w:space="0" w:color="auto"/>
                        <w:left w:val="none" w:sz="0" w:space="0" w:color="auto"/>
                        <w:bottom w:val="none" w:sz="0" w:space="0" w:color="auto"/>
                        <w:right w:val="none" w:sz="0" w:space="0" w:color="auto"/>
                      </w:divBdr>
                    </w:div>
                    <w:div w:id="1185098977">
                      <w:marLeft w:val="0"/>
                      <w:marRight w:val="0"/>
                      <w:marTop w:val="0"/>
                      <w:marBottom w:val="0"/>
                      <w:divBdr>
                        <w:top w:val="none" w:sz="0" w:space="0" w:color="auto"/>
                        <w:left w:val="none" w:sz="0" w:space="0" w:color="auto"/>
                        <w:bottom w:val="none" w:sz="0" w:space="0" w:color="auto"/>
                        <w:right w:val="none" w:sz="0" w:space="0" w:color="auto"/>
                      </w:divBdr>
                    </w:div>
                  </w:divsChild>
                </w:div>
                <w:div w:id="1922836296">
                  <w:marLeft w:val="0"/>
                  <w:marRight w:val="0"/>
                  <w:marTop w:val="0"/>
                  <w:marBottom w:val="0"/>
                  <w:divBdr>
                    <w:top w:val="none" w:sz="0" w:space="0" w:color="auto"/>
                    <w:left w:val="none" w:sz="0" w:space="0" w:color="auto"/>
                    <w:bottom w:val="none" w:sz="0" w:space="0" w:color="auto"/>
                    <w:right w:val="none" w:sz="0" w:space="0" w:color="auto"/>
                  </w:divBdr>
                  <w:divsChild>
                    <w:div w:id="1198352291">
                      <w:marLeft w:val="0"/>
                      <w:marRight w:val="0"/>
                      <w:marTop w:val="0"/>
                      <w:marBottom w:val="0"/>
                      <w:divBdr>
                        <w:top w:val="none" w:sz="0" w:space="0" w:color="auto"/>
                        <w:left w:val="none" w:sz="0" w:space="0" w:color="auto"/>
                        <w:bottom w:val="none" w:sz="0" w:space="0" w:color="auto"/>
                        <w:right w:val="none" w:sz="0" w:space="0" w:color="auto"/>
                      </w:divBdr>
                    </w:div>
                    <w:div w:id="1359967115">
                      <w:marLeft w:val="0"/>
                      <w:marRight w:val="0"/>
                      <w:marTop w:val="0"/>
                      <w:marBottom w:val="0"/>
                      <w:divBdr>
                        <w:top w:val="none" w:sz="0" w:space="0" w:color="auto"/>
                        <w:left w:val="none" w:sz="0" w:space="0" w:color="auto"/>
                        <w:bottom w:val="none" w:sz="0" w:space="0" w:color="auto"/>
                        <w:right w:val="none" w:sz="0" w:space="0" w:color="auto"/>
                      </w:divBdr>
                    </w:div>
                  </w:divsChild>
                </w:div>
                <w:div w:id="1931312825">
                  <w:marLeft w:val="0"/>
                  <w:marRight w:val="0"/>
                  <w:marTop w:val="0"/>
                  <w:marBottom w:val="0"/>
                  <w:divBdr>
                    <w:top w:val="none" w:sz="0" w:space="0" w:color="auto"/>
                    <w:left w:val="none" w:sz="0" w:space="0" w:color="auto"/>
                    <w:bottom w:val="none" w:sz="0" w:space="0" w:color="auto"/>
                    <w:right w:val="none" w:sz="0" w:space="0" w:color="auto"/>
                  </w:divBdr>
                  <w:divsChild>
                    <w:div w:id="2057583670">
                      <w:marLeft w:val="0"/>
                      <w:marRight w:val="0"/>
                      <w:marTop w:val="0"/>
                      <w:marBottom w:val="0"/>
                      <w:divBdr>
                        <w:top w:val="none" w:sz="0" w:space="0" w:color="auto"/>
                        <w:left w:val="none" w:sz="0" w:space="0" w:color="auto"/>
                        <w:bottom w:val="none" w:sz="0" w:space="0" w:color="auto"/>
                        <w:right w:val="none" w:sz="0" w:space="0" w:color="auto"/>
                      </w:divBdr>
                    </w:div>
                  </w:divsChild>
                </w:div>
                <w:div w:id="1979415821">
                  <w:marLeft w:val="0"/>
                  <w:marRight w:val="0"/>
                  <w:marTop w:val="0"/>
                  <w:marBottom w:val="0"/>
                  <w:divBdr>
                    <w:top w:val="none" w:sz="0" w:space="0" w:color="auto"/>
                    <w:left w:val="none" w:sz="0" w:space="0" w:color="auto"/>
                    <w:bottom w:val="none" w:sz="0" w:space="0" w:color="auto"/>
                    <w:right w:val="none" w:sz="0" w:space="0" w:color="auto"/>
                  </w:divBdr>
                  <w:divsChild>
                    <w:div w:id="784226390">
                      <w:marLeft w:val="0"/>
                      <w:marRight w:val="0"/>
                      <w:marTop w:val="0"/>
                      <w:marBottom w:val="0"/>
                      <w:divBdr>
                        <w:top w:val="none" w:sz="0" w:space="0" w:color="auto"/>
                        <w:left w:val="none" w:sz="0" w:space="0" w:color="auto"/>
                        <w:bottom w:val="none" w:sz="0" w:space="0" w:color="auto"/>
                        <w:right w:val="none" w:sz="0" w:space="0" w:color="auto"/>
                      </w:divBdr>
                    </w:div>
                  </w:divsChild>
                </w:div>
                <w:div w:id="1994024198">
                  <w:marLeft w:val="0"/>
                  <w:marRight w:val="0"/>
                  <w:marTop w:val="0"/>
                  <w:marBottom w:val="0"/>
                  <w:divBdr>
                    <w:top w:val="none" w:sz="0" w:space="0" w:color="auto"/>
                    <w:left w:val="none" w:sz="0" w:space="0" w:color="auto"/>
                    <w:bottom w:val="none" w:sz="0" w:space="0" w:color="auto"/>
                    <w:right w:val="none" w:sz="0" w:space="0" w:color="auto"/>
                  </w:divBdr>
                  <w:divsChild>
                    <w:div w:id="1530681049">
                      <w:marLeft w:val="0"/>
                      <w:marRight w:val="0"/>
                      <w:marTop w:val="0"/>
                      <w:marBottom w:val="0"/>
                      <w:divBdr>
                        <w:top w:val="none" w:sz="0" w:space="0" w:color="auto"/>
                        <w:left w:val="none" w:sz="0" w:space="0" w:color="auto"/>
                        <w:bottom w:val="none" w:sz="0" w:space="0" w:color="auto"/>
                        <w:right w:val="none" w:sz="0" w:space="0" w:color="auto"/>
                      </w:divBdr>
                    </w:div>
                  </w:divsChild>
                </w:div>
                <w:div w:id="2058045937">
                  <w:marLeft w:val="0"/>
                  <w:marRight w:val="0"/>
                  <w:marTop w:val="0"/>
                  <w:marBottom w:val="0"/>
                  <w:divBdr>
                    <w:top w:val="none" w:sz="0" w:space="0" w:color="auto"/>
                    <w:left w:val="none" w:sz="0" w:space="0" w:color="auto"/>
                    <w:bottom w:val="none" w:sz="0" w:space="0" w:color="auto"/>
                    <w:right w:val="none" w:sz="0" w:space="0" w:color="auto"/>
                  </w:divBdr>
                  <w:divsChild>
                    <w:div w:id="8350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653549">
      <w:bodyDiv w:val="1"/>
      <w:marLeft w:val="0"/>
      <w:marRight w:val="0"/>
      <w:marTop w:val="0"/>
      <w:marBottom w:val="0"/>
      <w:divBdr>
        <w:top w:val="none" w:sz="0" w:space="0" w:color="auto"/>
        <w:left w:val="none" w:sz="0" w:space="0" w:color="auto"/>
        <w:bottom w:val="none" w:sz="0" w:space="0" w:color="auto"/>
        <w:right w:val="none" w:sz="0" w:space="0" w:color="auto"/>
      </w:divBdr>
    </w:div>
    <w:div w:id="1660767361">
      <w:bodyDiv w:val="1"/>
      <w:marLeft w:val="0"/>
      <w:marRight w:val="0"/>
      <w:marTop w:val="0"/>
      <w:marBottom w:val="0"/>
      <w:divBdr>
        <w:top w:val="none" w:sz="0" w:space="0" w:color="auto"/>
        <w:left w:val="none" w:sz="0" w:space="0" w:color="auto"/>
        <w:bottom w:val="none" w:sz="0" w:space="0" w:color="auto"/>
        <w:right w:val="none" w:sz="0" w:space="0" w:color="auto"/>
      </w:divBdr>
      <w:divsChild>
        <w:div w:id="758982862">
          <w:marLeft w:val="0"/>
          <w:marRight w:val="0"/>
          <w:marTop w:val="0"/>
          <w:marBottom w:val="0"/>
          <w:divBdr>
            <w:top w:val="none" w:sz="0" w:space="0" w:color="auto"/>
            <w:left w:val="none" w:sz="0" w:space="0" w:color="auto"/>
            <w:bottom w:val="none" w:sz="0" w:space="0" w:color="auto"/>
            <w:right w:val="none" w:sz="0" w:space="0" w:color="auto"/>
          </w:divBdr>
          <w:divsChild>
            <w:div w:id="389691488">
              <w:marLeft w:val="0"/>
              <w:marRight w:val="0"/>
              <w:marTop w:val="0"/>
              <w:marBottom w:val="0"/>
              <w:divBdr>
                <w:top w:val="none" w:sz="0" w:space="0" w:color="auto"/>
                <w:left w:val="none" w:sz="0" w:space="0" w:color="auto"/>
                <w:bottom w:val="none" w:sz="0" w:space="0" w:color="auto"/>
                <w:right w:val="none" w:sz="0" w:space="0" w:color="auto"/>
              </w:divBdr>
            </w:div>
          </w:divsChild>
        </w:div>
        <w:div w:id="799690146">
          <w:marLeft w:val="0"/>
          <w:marRight w:val="0"/>
          <w:marTop w:val="0"/>
          <w:marBottom w:val="0"/>
          <w:divBdr>
            <w:top w:val="none" w:sz="0" w:space="0" w:color="auto"/>
            <w:left w:val="none" w:sz="0" w:space="0" w:color="auto"/>
            <w:bottom w:val="none" w:sz="0" w:space="0" w:color="auto"/>
            <w:right w:val="none" w:sz="0" w:space="0" w:color="auto"/>
          </w:divBdr>
          <w:divsChild>
            <w:div w:id="64761433">
              <w:marLeft w:val="0"/>
              <w:marRight w:val="0"/>
              <w:marTop w:val="0"/>
              <w:marBottom w:val="0"/>
              <w:divBdr>
                <w:top w:val="none" w:sz="0" w:space="0" w:color="auto"/>
                <w:left w:val="none" w:sz="0" w:space="0" w:color="auto"/>
                <w:bottom w:val="none" w:sz="0" w:space="0" w:color="auto"/>
                <w:right w:val="none" w:sz="0" w:space="0" w:color="auto"/>
              </w:divBdr>
            </w:div>
            <w:div w:id="339966958">
              <w:marLeft w:val="0"/>
              <w:marRight w:val="0"/>
              <w:marTop w:val="0"/>
              <w:marBottom w:val="0"/>
              <w:divBdr>
                <w:top w:val="none" w:sz="0" w:space="0" w:color="auto"/>
                <w:left w:val="none" w:sz="0" w:space="0" w:color="auto"/>
                <w:bottom w:val="none" w:sz="0" w:space="0" w:color="auto"/>
                <w:right w:val="none" w:sz="0" w:space="0" w:color="auto"/>
              </w:divBdr>
            </w:div>
          </w:divsChild>
        </w:div>
        <w:div w:id="1136990403">
          <w:marLeft w:val="0"/>
          <w:marRight w:val="0"/>
          <w:marTop w:val="0"/>
          <w:marBottom w:val="0"/>
          <w:divBdr>
            <w:top w:val="none" w:sz="0" w:space="0" w:color="auto"/>
            <w:left w:val="none" w:sz="0" w:space="0" w:color="auto"/>
            <w:bottom w:val="none" w:sz="0" w:space="0" w:color="auto"/>
            <w:right w:val="none" w:sz="0" w:space="0" w:color="auto"/>
          </w:divBdr>
          <w:divsChild>
            <w:div w:id="801731094">
              <w:marLeft w:val="0"/>
              <w:marRight w:val="0"/>
              <w:marTop w:val="0"/>
              <w:marBottom w:val="0"/>
              <w:divBdr>
                <w:top w:val="none" w:sz="0" w:space="0" w:color="auto"/>
                <w:left w:val="none" w:sz="0" w:space="0" w:color="auto"/>
                <w:bottom w:val="none" w:sz="0" w:space="0" w:color="auto"/>
                <w:right w:val="none" w:sz="0" w:space="0" w:color="auto"/>
              </w:divBdr>
            </w:div>
            <w:div w:id="150235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91315">
      <w:bodyDiv w:val="1"/>
      <w:marLeft w:val="0"/>
      <w:marRight w:val="0"/>
      <w:marTop w:val="0"/>
      <w:marBottom w:val="0"/>
      <w:divBdr>
        <w:top w:val="none" w:sz="0" w:space="0" w:color="auto"/>
        <w:left w:val="none" w:sz="0" w:space="0" w:color="auto"/>
        <w:bottom w:val="none" w:sz="0" w:space="0" w:color="auto"/>
        <w:right w:val="none" w:sz="0" w:space="0" w:color="auto"/>
      </w:divBdr>
    </w:div>
    <w:div w:id="1711958183">
      <w:bodyDiv w:val="1"/>
      <w:marLeft w:val="0"/>
      <w:marRight w:val="0"/>
      <w:marTop w:val="0"/>
      <w:marBottom w:val="0"/>
      <w:divBdr>
        <w:top w:val="none" w:sz="0" w:space="0" w:color="auto"/>
        <w:left w:val="none" w:sz="0" w:space="0" w:color="auto"/>
        <w:bottom w:val="none" w:sz="0" w:space="0" w:color="auto"/>
        <w:right w:val="none" w:sz="0" w:space="0" w:color="auto"/>
      </w:divBdr>
      <w:divsChild>
        <w:div w:id="395857503">
          <w:marLeft w:val="0"/>
          <w:marRight w:val="0"/>
          <w:marTop w:val="0"/>
          <w:marBottom w:val="0"/>
          <w:divBdr>
            <w:top w:val="none" w:sz="0" w:space="0" w:color="auto"/>
            <w:left w:val="none" w:sz="0" w:space="0" w:color="auto"/>
            <w:bottom w:val="none" w:sz="0" w:space="0" w:color="auto"/>
            <w:right w:val="none" w:sz="0" w:space="0" w:color="auto"/>
          </w:divBdr>
        </w:div>
        <w:div w:id="475882786">
          <w:marLeft w:val="0"/>
          <w:marRight w:val="0"/>
          <w:marTop w:val="0"/>
          <w:marBottom w:val="0"/>
          <w:divBdr>
            <w:top w:val="none" w:sz="0" w:space="0" w:color="auto"/>
            <w:left w:val="none" w:sz="0" w:space="0" w:color="auto"/>
            <w:bottom w:val="none" w:sz="0" w:space="0" w:color="auto"/>
            <w:right w:val="none" w:sz="0" w:space="0" w:color="auto"/>
          </w:divBdr>
        </w:div>
        <w:div w:id="491533231">
          <w:marLeft w:val="0"/>
          <w:marRight w:val="0"/>
          <w:marTop w:val="0"/>
          <w:marBottom w:val="0"/>
          <w:divBdr>
            <w:top w:val="none" w:sz="0" w:space="0" w:color="auto"/>
            <w:left w:val="none" w:sz="0" w:space="0" w:color="auto"/>
            <w:bottom w:val="none" w:sz="0" w:space="0" w:color="auto"/>
            <w:right w:val="none" w:sz="0" w:space="0" w:color="auto"/>
          </w:divBdr>
        </w:div>
        <w:div w:id="526915196">
          <w:marLeft w:val="0"/>
          <w:marRight w:val="0"/>
          <w:marTop w:val="0"/>
          <w:marBottom w:val="0"/>
          <w:divBdr>
            <w:top w:val="none" w:sz="0" w:space="0" w:color="auto"/>
            <w:left w:val="none" w:sz="0" w:space="0" w:color="auto"/>
            <w:bottom w:val="none" w:sz="0" w:space="0" w:color="auto"/>
            <w:right w:val="none" w:sz="0" w:space="0" w:color="auto"/>
          </w:divBdr>
        </w:div>
        <w:div w:id="1119880713">
          <w:marLeft w:val="0"/>
          <w:marRight w:val="0"/>
          <w:marTop w:val="0"/>
          <w:marBottom w:val="0"/>
          <w:divBdr>
            <w:top w:val="none" w:sz="0" w:space="0" w:color="auto"/>
            <w:left w:val="none" w:sz="0" w:space="0" w:color="auto"/>
            <w:bottom w:val="none" w:sz="0" w:space="0" w:color="auto"/>
            <w:right w:val="none" w:sz="0" w:space="0" w:color="auto"/>
          </w:divBdr>
        </w:div>
        <w:div w:id="1240477760">
          <w:marLeft w:val="0"/>
          <w:marRight w:val="0"/>
          <w:marTop w:val="0"/>
          <w:marBottom w:val="0"/>
          <w:divBdr>
            <w:top w:val="none" w:sz="0" w:space="0" w:color="auto"/>
            <w:left w:val="none" w:sz="0" w:space="0" w:color="auto"/>
            <w:bottom w:val="none" w:sz="0" w:space="0" w:color="auto"/>
            <w:right w:val="none" w:sz="0" w:space="0" w:color="auto"/>
          </w:divBdr>
        </w:div>
        <w:div w:id="1545019329">
          <w:marLeft w:val="0"/>
          <w:marRight w:val="0"/>
          <w:marTop w:val="0"/>
          <w:marBottom w:val="0"/>
          <w:divBdr>
            <w:top w:val="none" w:sz="0" w:space="0" w:color="auto"/>
            <w:left w:val="none" w:sz="0" w:space="0" w:color="auto"/>
            <w:bottom w:val="none" w:sz="0" w:space="0" w:color="auto"/>
            <w:right w:val="none" w:sz="0" w:space="0" w:color="auto"/>
          </w:divBdr>
        </w:div>
      </w:divsChild>
    </w:div>
    <w:div w:id="1816531326">
      <w:bodyDiv w:val="1"/>
      <w:marLeft w:val="0"/>
      <w:marRight w:val="0"/>
      <w:marTop w:val="0"/>
      <w:marBottom w:val="0"/>
      <w:divBdr>
        <w:top w:val="none" w:sz="0" w:space="0" w:color="auto"/>
        <w:left w:val="none" w:sz="0" w:space="0" w:color="auto"/>
        <w:bottom w:val="none" w:sz="0" w:space="0" w:color="auto"/>
        <w:right w:val="none" w:sz="0" w:space="0" w:color="auto"/>
      </w:divBdr>
      <w:divsChild>
        <w:div w:id="244531127">
          <w:marLeft w:val="0"/>
          <w:marRight w:val="0"/>
          <w:marTop w:val="0"/>
          <w:marBottom w:val="0"/>
          <w:divBdr>
            <w:top w:val="none" w:sz="0" w:space="0" w:color="auto"/>
            <w:left w:val="none" w:sz="0" w:space="0" w:color="auto"/>
            <w:bottom w:val="none" w:sz="0" w:space="0" w:color="auto"/>
            <w:right w:val="none" w:sz="0" w:space="0" w:color="auto"/>
          </w:divBdr>
          <w:divsChild>
            <w:div w:id="173960997">
              <w:marLeft w:val="0"/>
              <w:marRight w:val="0"/>
              <w:marTop w:val="0"/>
              <w:marBottom w:val="0"/>
              <w:divBdr>
                <w:top w:val="none" w:sz="0" w:space="0" w:color="auto"/>
                <w:left w:val="none" w:sz="0" w:space="0" w:color="auto"/>
                <w:bottom w:val="none" w:sz="0" w:space="0" w:color="auto"/>
                <w:right w:val="none" w:sz="0" w:space="0" w:color="auto"/>
              </w:divBdr>
            </w:div>
            <w:div w:id="214202078">
              <w:marLeft w:val="0"/>
              <w:marRight w:val="0"/>
              <w:marTop w:val="0"/>
              <w:marBottom w:val="0"/>
              <w:divBdr>
                <w:top w:val="none" w:sz="0" w:space="0" w:color="auto"/>
                <w:left w:val="none" w:sz="0" w:space="0" w:color="auto"/>
                <w:bottom w:val="none" w:sz="0" w:space="0" w:color="auto"/>
                <w:right w:val="none" w:sz="0" w:space="0" w:color="auto"/>
              </w:divBdr>
            </w:div>
            <w:div w:id="1089808966">
              <w:marLeft w:val="0"/>
              <w:marRight w:val="0"/>
              <w:marTop w:val="0"/>
              <w:marBottom w:val="0"/>
              <w:divBdr>
                <w:top w:val="none" w:sz="0" w:space="0" w:color="auto"/>
                <w:left w:val="none" w:sz="0" w:space="0" w:color="auto"/>
                <w:bottom w:val="none" w:sz="0" w:space="0" w:color="auto"/>
                <w:right w:val="none" w:sz="0" w:space="0" w:color="auto"/>
              </w:divBdr>
            </w:div>
            <w:div w:id="1213493390">
              <w:marLeft w:val="0"/>
              <w:marRight w:val="0"/>
              <w:marTop w:val="0"/>
              <w:marBottom w:val="0"/>
              <w:divBdr>
                <w:top w:val="none" w:sz="0" w:space="0" w:color="auto"/>
                <w:left w:val="none" w:sz="0" w:space="0" w:color="auto"/>
                <w:bottom w:val="none" w:sz="0" w:space="0" w:color="auto"/>
                <w:right w:val="none" w:sz="0" w:space="0" w:color="auto"/>
              </w:divBdr>
            </w:div>
            <w:div w:id="1350718337">
              <w:marLeft w:val="0"/>
              <w:marRight w:val="0"/>
              <w:marTop w:val="0"/>
              <w:marBottom w:val="0"/>
              <w:divBdr>
                <w:top w:val="none" w:sz="0" w:space="0" w:color="auto"/>
                <w:left w:val="none" w:sz="0" w:space="0" w:color="auto"/>
                <w:bottom w:val="none" w:sz="0" w:space="0" w:color="auto"/>
                <w:right w:val="none" w:sz="0" w:space="0" w:color="auto"/>
              </w:divBdr>
            </w:div>
            <w:div w:id="1500971507">
              <w:marLeft w:val="0"/>
              <w:marRight w:val="0"/>
              <w:marTop w:val="0"/>
              <w:marBottom w:val="0"/>
              <w:divBdr>
                <w:top w:val="none" w:sz="0" w:space="0" w:color="auto"/>
                <w:left w:val="none" w:sz="0" w:space="0" w:color="auto"/>
                <w:bottom w:val="none" w:sz="0" w:space="0" w:color="auto"/>
                <w:right w:val="none" w:sz="0" w:space="0" w:color="auto"/>
              </w:divBdr>
            </w:div>
            <w:div w:id="1626542457">
              <w:marLeft w:val="0"/>
              <w:marRight w:val="0"/>
              <w:marTop w:val="0"/>
              <w:marBottom w:val="0"/>
              <w:divBdr>
                <w:top w:val="none" w:sz="0" w:space="0" w:color="auto"/>
                <w:left w:val="none" w:sz="0" w:space="0" w:color="auto"/>
                <w:bottom w:val="none" w:sz="0" w:space="0" w:color="auto"/>
                <w:right w:val="none" w:sz="0" w:space="0" w:color="auto"/>
              </w:divBdr>
            </w:div>
            <w:div w:id="17807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3661">
      <w:bodyDiv w:val="1"/>
      <w:marLeft w:val="0"/>
      <w:marRight w:val="0"/>
      <w:marTop w:val="0"/>
      <w:marBottom w:val="0"/>
      <w:divBdr>
        <w:top w:val="none" w:sz="0" w:space="0" w:color="auto"/>
        <w:left w:val="none" w:sz="0" w:space="0" w:color="auto"/>
        <w:bottom w:val="none" w:sz="0" w:space="0" w:color="auto"/>
        <w:right w:val="none" w:sz="0" w:space="0" w:color="auto"/>
      </w:divBdr>
    </w:div>
    <w:div w:id="1886210529">
      <w:bodyDiv w:val="1"/>
      <w:marLeft w:val="0"/>
      <w:marRight w:val="0"/>
      <w:marTop w:val="0"/>
      <w:marBottom w:val="0"/>
      <w:divBdr>
        <w:top w:val="none" w:sz="0" w:space="0" w:color="auto"/>
        <w:left w:val="none" w:sz="0" w:space="0" w:color="auto"/>
        <w:bottom w:val="none" w:sz="0" w:space="0" w:color="auto"/>
        <w:right w:val="none" w:sz="0" w:space="0" w:color="auto"/>
      </w:divBdr>
    </w:div>
    <w:div w:id="1913733170">
      <w:bodyDiv w:val="1"/>
      <w:marLeft w:val="0"/>
      <w:marRight w:val="0"/>
      <w:marTop w:val="0"/>
      <w:marBottom w:val="0"/>
      <w:divBdr>
        <w:top w:val="none" w:sz="0" w:space="0" w:color="auto"/>
        <w:left w:val="none" w:sz="0" w:space="0" w:color="auto"/>
        <w:bottom w:val="none" w:sz="0" w:space="0" w:color="auto"/>
        <w:right w:val="none" w:sz="0" w:space="0" w:color="auto"/>
      </w:divBdr>
    </w:div>
    <w:div w:id="1945990450">
      <w:bodyDiv w:val="1"/>
      <w:marLeft w:val="0"/>
      <w:marRight w:val="0"/>
      <w:marTop w:val="0"/>
      <w:marBottom w:val="0"/>
      <w:divBdr>
        <w:top w:val="none" w:sz="0" w:space="0" w:color="auto"/>
        <w:left w:val="none" w:sz="0" w:space="0" w:color="auto"/>
        <w:bottom w:val="none" w:sz="0" w:space="0" w:color="auto"/>
        <w:right w:val="none" w:sz="0" w:space="0" w:color="auto"/>
      </w:divBdr>
      <w:divsChild>
        <w:div w:id="353924314">
          <w:marLeft w:val="0"/>
          <w:marRight w:val="0"/>
          <w:marTop w:val="0"/>
          <w:marBottom w:val="0"/>
          <w:divBdr>
            <w:top w:val="none" w:sz="0" w:space="0" w:color="auto"/>
            <w:left w:val="none" w:sz="0" w:space="0" w:color="auto"/>
            <w:bottom w:val="none" w:sz="0" w:space="0" w:color="auto"/>
            <w:right w:val="none" w:sz="0" w:space="0" w:color="auto"/>
          </w:divBdr>
        </w:div>
        <w:div w:id="1064181572">
          <w:marLeft w:val="0"/>
          <w:marRight w:val="0"/>
          <w:marTop w:val="0"/>
          <w:marBottom w:val="0"/>
          <w:divBdr>
            <w:top w:val="none" w:sz="0" w:space="0" w:color="auto"/>
            <w:left w:val="none" w:sz="0" w:space="0" w:color="auto"/>
            <w:bottom w:val="none" w:sz="0" w:space="0" w:color="auto"/>
            <w:right w:val="none" w:sz="0" w:space="0" w:color="auto"/>
          </w:divBdr>
        </w:div>
      </w:divsChild>
    </w:div>
    <w:div w:id="1990088227">
      <w:bodyDiv w:val="1"/>
      <w:marLeft w:val="0"/>
      <w:marRight w:val="0"/>
      <w:marTop w:val="0"/>
      <w:marBottom w:val="0"/>
      <w:divBdr>
        <w:top w:val="none" w:sz="0" w:space="0" w:color="auto"/>
        <w:left w:val="none" w:sz="0" w:space="0" w:color="auto"/>
        <w:bottom w:val="none" w:sz="0" w:space="0" w:color="auto"/>
        <w:right w:val="none" w:sz="0" w:space="0" w:color="auto"/>
      </w:divBdr>
    </w:div>
    <w:div w:id="2120295286">
      <w:bodyDiv w:val="1"/>
      <w:marLeft w:val="0"/>
      <w:marRight w:val="0"/>
      <w:marTop w:val="0"/>
      <w:marBottom w:val="0"/>
      <w:divBdr>
        <w:top w:val="none" w:sz="0" w:space="0" w:color="auto"/>
        <w:left w:val="none" w:sz="0" w:space="0" w:color="auto"/>
        <w:bottom w:val="none" w:sz="0" w:space="0" w:color="auto"/>
        <w:right w:val="none" w:sz="0" w:space="0" w:color="auto"/>
      </w:divBdr>
    </w:div>
    <w:div w:id="212225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footer" Target="footer53.xml"/><Relationship Id="rId299" Type="http://schemas.openxmlformats.org/officeDocument/2006/relationships/footer" Target="footer144.xml"/><Relationship Id="rId21" Type="http://schemas.openxmlformats.org/officeDocument/2006/relationships/footer" Target="footer5.xml"/><Relationship Id="rId63" Type="http://schemas.openxmlformats.org/officeDocument/2006/relationships/footer" Target="footer26.xml"/><Relationship Id="rId159" Type="http://schemas.openxmlformats.org/officeDocument/2006/relationships/footer" Target="footer74.xml"/><Relationship Id="rId324" Type="http://schemas.openxmlformats.org/officeDocument/2006/relationships/header" Target="header157.xml"/><Relationship Id="rId366" Type="http://schemas.openxmlformats.org/officeDocument/2006/relationships/header" Target="header178.xml"/><Relationship Id="rId531" Type="http://schemas.openxmlformats.org/officeDocument/2006/relationships/footer" Target="footer260.xml"/><Relationship Id="rId170" Type="http://schemas.openxmlformats.org/officeDocument/2006/relationships/footer" Target="footer79.xml"/><Relationship Id="rId226" Type="http://schemas.openxmlformats.org/officeDocument/2006/relationships/header" Target="header108.xml"/><Relationship Id="rId433" Type="http://schemas.openxmlformats.org/officeDocument/2006/relationships/header" Target="header212.xml"/><Relationship Id="rId268" Type="http://schemas.openxmlformats.org/officeDocument/2006/relationships/header" Target="header129.xml"/><Relationship Id="rId475" Type="http://schemas.openxmlformats.org/officeDocument/2006/relationships/header" Target="header233.xml"/><Relationship Id="rId32" Type="http://schemas.openxmlformats.org/officeDocument/2006/relationships/footer" Target="footer10.xml"/><Relationship Id="rId74" Type="http://schemas.openxmlformats.org/officeDocument/2006/relationships/footer" Target="footer31.xml"/><Relationship Id="rId128" Type="http://schemas.openxmlformats.org/officeDocument/2006/relationships/footer" Target="footer58.xml"/><Relationship Id="rId335" Type="http://schemas.openxmlformats.org/officeDocument/2006/relationships/footer" Target="footer162.xml"/><Relationship Id="rId377" Type="http://schemas.openxmlformats.org/officeDocument/2006/relationships/footer" Target="footer183.xml"/><Relationship Id="rId500" Type="http://schemas.openxmlformats.org/officeDocument/2006/relationships/footer" Target="footer244.xml"/><Relationship Id="rId5" Type="http://schemas.openxmlformats.org/officeDocument/2006/relationships/numbering" Target="numbering.xml"/><Relationship Id="rId181" Type="http://schemas.openxmlformats.org/officeDocument/2006/relationships/header" Target="header86.xml"/><Relationship Id="rId237" Type="http://schemas.openxmlformats.org/officeDocument/2006/relationships/footer" Target="footer113.xml"/><Relationship Id="rId402" Type="http://schemas.openxmlformats.org/officeDocument/2006/relationships/header" Target="header196.xml"/><Relationship Id="rId279" Type="http://schemas.openxmlformats.org/officeDocument/2006/relationships/footer" Target="footer134.xml"/><Relationship Id="rId444" Type="http://schemas.openxmlformats.org/officeDocument/2006/relationships/header" Target="header217.xml"/><Relationship Id="rId486" Type="http://schemas.openxmlformats.org/officeDocument/2006/relationships/header" Target="header238.xml"/><Relationship Id="rId43" Type="http://schemas.openxmlformats.org/officeDocument/2006/relationships/header" Target="header17.xml"/><Relationship Id="rId139" Type="http://schemas.openxmlformats.org/officeDocument/2006/relationships/header" Target="header65.xml"/><Relationship Id="rId290" Type="http://schemas.openxmlformats.org/officeDocument/2006/relationships/footer" Target="footer139.xml"/><Relationship Id="rId304" Type="http://schemas.openxmlformats.org/officeDocument/2006/relationships/header" Target="header147.xml"/><Relationship Id="rId346" Type="http://schemas.openxmlformats.org/officeDocument/2006/relationships/header" Target="header168.xml"/><Relationship Id="rId388" Type="http://schemas.openxmlformats.org/officeDocument/2006/relationships/header" Target="header189.xml"/><Relationship Id="rId511" Type="http://schemas.openxmlformats.org/officeDocument/2006/relationships/header" Target="header251.xml"/><Relationship Id="rId85" Type="http://schemas.openxmlformats.org/officeDocument/2006/relationships/header" Target="header38.xml"/><Relationship Id="rId150" Type="http://schemas.openxmlformats.org/officeDocument/2006/relationships/header" Target="header70.xml"/><Relationship Id="rId192" Type="http://schemas.openxmlformats.org/officeDocument/2006/relationships/header" Target="header91.xml"/><Relationship Id="rId206" Type="http://schemas.openxmlformats.org/officeDocument/2006/relationships/footer" Target="footer97.xml"/><Relationship Id="rId413" Type="http://schemas.openxmlformats.org/officeDocument/2006/relationships/footer" Target="footer201.xml"/><Relationship Id="rId248" Type="http://schemas.openxmlformats.org/officeDocument/2006/relationships/footer" Target="footer118.xml"/><Relationship Id="rId455" Type="http://schemas.openxmlformats.org/officeDocument/2006/relationships/footer" Target="footer222.xml"/><Relationship Id="rId497" Type="http://schemas.openxmlformats.org/officeDocument/2006/relationships/footer" Target="footer243.xml"/><Relationship Id="rId12" Type="http://schemas.openxmlformats.org/officeDocument/2006/relationships/header" Target="header1.xml"/><Relationship Id="rId108" Type="http://schemas.openxmlformats.org/officeDocument/2006/relationships/header" Target="header49.xml"/><Relationship Id="rId315" Type="http://schemas.openxmlformats.org/officeDocument/2006/relationships/footer" Target="footer152.xml"/><Relationship Id="rId357" Type="http://schemas.openxmlformats.org/officeDocument/2006/relationships/footer" Target="footer173.xml"/><Relationship Id="rId522" Type="http://schemas.openxmlformats.org/officeDocument/2006/relationships/header" Target="header256.xml"/><Relationship Id="rId54" Type="http://schemas.openxmlformats.org/officeDocument/2006/relationships/header" Target="header22.xml"/><Relationship Id="rId96" Type="http://schemas.openxmlformats.org/officeDocument/2006/relationships/header" Target="header43.xml"/><Relationship Id="rId161" Type="http://schemas.openxmlformats.org/officeDocument/2006/relationships/footer" Target="footer75.xml"/><Relationship Id="rId217" Type="http://schemas.openxmlformats.org/officeDocument/2006/relationships/header" Target="header104.xml"/><Relationship Id="rId399" Type="http://schemas.openxmlformats.org/officeDocument/2006/relationships/footer" Target="footer194.xml"/><Relationship Id="rId259" Type="http://schemas.openxmlformats.org/officeDocument/2006/relationships/header" Target="header125.xml"/><Relationship Id="rId424" Type="http://schemas.openxmlformats.org/officeDocument/2006/relationships/header" Target="header207.xml"/><Relationship Id="rId466" Type="http://schemas.openxmlformats.org/officeDocument/2006/relationships/header" Target="header228.xml"/><Relationship Id="rId23" Type="http://schemas.openxmlformats.org/officeDocument/2006/relationships/footer" Target="footer6.xml"/><Relationship Id="rId119" Type="http://schemas.openxmlformats.org/officeDocument/2006/relationships/footer" Target="footer54.xml"/><Relationship Id="rId270" Type="http://schemas.openxmlformats.org/officeDocument/2006/relationships/header" Target="header130.xml"/><Relationship Id="rId326" Type="http://schemas.openxmlformats.org/officeDocument/2006/relationships/footer" Target="footer157.xml"/><Relationship Id="rId533" Type="http://schemas.openxmlformats.org/officeDocument/2006/relationships/footer" Target="footer261.xml"/><Relationship Id="rId65" Type="http://schemas.openxmlformats.org/officeDocument/2006/relationships/footer" Target="footer27.xml"/><Relationship Id="rId130" Type="http://schemas.openxmlformats.org/officeDocument/2006/relationships/header" Target="header60.xml"/><Relationship Id="rId368" Type="http://schemas.openxmlformats.org/officeDocument/2006/relationships/footer" Target="footer178.xml"/><Relationship Id="rId172" Type="http://schemas.openxmlformats.org/officeDocument/2006/relationships/header" Target="header81.xml"/><Relationship Id="rId228" Type="http://schemas.openxmlformats.org/officeDocument/2006/relationships/header" Target="header109.xml"/><Relationship Id="rId435" Type="http://schemas.openxmlformats.org/officeDocument/2006/relationships/footer" Target="footer212.xml"/><Relationship Id="rId477" Type="http://schemas.openxmlformats.org/officeDocument/2006/relationships/footer" Target="footer233.xml"/><Relationship Id="rId281" Type="http://schemas.openxmlformats.org/officeDocument/2006/relationships/footer" Target="footer135.xml"/><Relationship Id="rId337" Type="http://schemas.openxmlformats.org/officeDocument/2006/relationships/header" Target="header164.xml"/><Relationship Id="rId502" Type="http://schemas.openxmlformats.org/officeDocument/2006/relationships/header" Target="header246.xml"/><Relationship Id="rId34" Type="http://schemas.openxmlformats.org/officeDocument/2006/relationships/header" Target="header12.xml"/><Relationship Id="rId76" Type="http://schemas.openxmlformats.org/officeDocument/2006/relationships/header" Target="header33.xml"/><Relationship Id="rId141" Type="http://schemas.openxmlformats.org/officeDocument/2006/relationships/footer" Target="footer65.xml"/><Relationship Id="rId379" Type="http://schemas.openxmlformats.org/officeDocument/2006/relationships/header" Target="header185.xml"/><Relationship Id="rId7" Type="http://schemas.openxmlformats.org/officeDocument/2006/relationships/settings" Target="settings.xml"/><Relationship Id="rId183" Type="http://schemas.openxmlformats.org/officeDocument/2006/relationships/footer" Target="footer86.xml"/><Relationship Id="rId239" Type="http://schemas.openxmlformats.org/officeDocument/2006/relationships/footer" Target="footer114.xml"/><Relationship Id="rId390" Type="http://schemas.openxmlformats.org/officeDocument/2006/relationships/header" Target="header190.xml"/><Relationship Id="rId404" Type="http://schemas.openxmlformats.org/officeDocument/2006/relationships/footer" Target="footer196.xml"/><Relationship Id="rId446" Type="http://schemas.openxmlformats.org/officeDocument/2006/relationships/footer" Target="footer217.xml"/><Relationship Id="rId250" Type="http://schemas.openxmlformats.org/officeDocument/2006/relationships/header" Target="header120.xml"/><Relationship Id="rId292" Type="http://schemas.openxmlformats.org/officeDocument/2006/relationships/header" Target="header141.xml"/><Relationship Id="rId306" Type="http://schemas.openxmlformats.org/officeDocument/2006/relationships/header" Target="header148.xml"/><Relationship Id="rId488" Type="http://schemas.openxmlformats.org/officeDocument/2006/relationships/footer" Target="footer238.xml"/><Relationship Id="rId45" Type="http://schemas.openxmlformats.org/officeDocument/2006/relationships/footer" Target="footer17.xml"/><Relationship Id="rId87" Type="http://schemas.openxmlformats.org/officeDocument/2006/relationships/footer" Target="footer38.xml"/><Relationship Id="rId110" Type="http://schemas.openxmlformats.org/officeDocument/2006/relationships/footer" Target="footer49.xml"/><Relationship Id="rId348" Type="http://schemas.openxmlformats.org/officeDocument/2006/relationships/header" Target="header169.xml"/><Relationship Id="rId513" Type="http://schemas.openxmlformats.org/officeDocument/2006/relationships/footer" Target="footer251.xml"/><Relationship Id="rId152" Type="http://schemas.openxmlformats.org/officeDocument/2006/relationships/footer" Target="footer70.xml"/><Relationship Id="rId194" Type="http://schemas.openxmlformats.org/officeDocument/2006/relationships/footer" Target="footer91.xml"/><Relationship Id="rId208" Type="http://schemas.openxmlformats.org/officeDocument/2006/relationships/header" Target="header99.xml"/><Relationship Id="rId415" Type="http://schemas.openxmlformats.org/officeDocument/2006/relationships/header" Target="header203.xml"/><Relationship Id="rId457" Type="http://schemas.openxmlformats.org/officeDocument/2006/relationships/header" Target="header224.xml"/><Relationship Id="rId261" Type="http://schemas.openxmlformats.org/officeDocument/2006/relationships/footer" Target="footer125.xml"/><Relationship Id="rId499" Type="http://schemas.openxmlformats.org/officeDocument/2006/relationships/header" Target="header245.xml"/><Relationship Id="rId14" Type="http://schemas.openxmlformats.org/officeDocument/2006/relationships/footer" Target="footer1.xml"/><Relationship Id="rId56" Type="http://schemas.openxmlformats.org/officeDocument/2006/relationships/footer" Target="footer22.xml"/><Relationship Id="rId317" Type="http://schemas.openxmlformats.org/officeDocument/2006/relationships/footer" Target="footer153.xml"/><Relationship Id="rId359" Type="http://schemas.openxmlformats.org/officeDocument/2006/relationships/footer" Target="footer174.xml"/><Relationship Id="rId524" Type="http://schemas.openxmlformats.org/officeDocument/2006/relationships/footer" Target="footer256.xml"/><Relationship Id="rId98" Type="http://schemas.openxmlformats.org/officeDocument/2006/relationships/footer" Target="footer43.xml"/><Relationship Id="rId121" Type="http://schemas.openxmlformats.org/officeDocument/2006/relationships/header" Target="header56.xml"/><Relationship Id="rId163" Type="http://schemas.openxmlformats.org/officeDocument/2006/relationships/header" Target="header77.xml"/><Relationship Id="rId219" Type="http://schemas.openxmlformats.org/officeDocument/2006/relationships/footer" Target="footer104.xml"/><Relationship Id="rId370" Type="http://schemas.openxmlformats.org/officeDocument/2006/relationships/header" Target="header180.xml"/><Relationship Id="rId426" Type="http://schemas.openxmlformats.org/officeDocument/2006/relationships/header" Target="header208.xml"/><Relationship Id="rId230" Type="http://schemas.openxmlformats.org/officeDocument/2006/relationships/footer" Target="footer109.xml"/><Relationship Id="rId468" Type="http://schemas.openxmlformats.org/officeDocument/2006/relationships/header" Target="header229.xml"/><Relationship Id="rId25" Type="http://schemas.openxmlformats.org/officeDocument/2006/relationships/header" Target="header8.xml"/><Relationship Id="rId46" Type="http://schemas.openxmlformats.org/officeDocument/2006/relationships/header" Target="header18.xml"/><Relationship Id="rId67" Type="http://schemas.openxmlformats.org/officeDocument/2006/relationships/header" Target="header29.xml"/><Relationship Id="rId272" Type="http://schemas.openxmlformats.org/officeDocument/2006/relationships/footer" Target="footer130.xml"/><Relationship Id="rId293" Type="http://schemas.openxmlformats.org/officeDocument/2006/relationships/footer" Target="footer141.xml"/><Relationship Id="rId307" Type="http://schemas.openxmlformats.org/officeDocument/2006/relationships/header" Target="header149.xml"/><Relationship Id="rId328" Type="http://schemas.openxmlformats.org/officeDocument/2006/relationships/header" Target="header159.xml"/><Relationship Id="rId349" Type="http://schemas.openxmlformats.org/officeDocument/2006/relationships/header" Target="header170.xml"/><Relationship Id="rId514" Type="http://schemas.openxmlformats.org/officeDocument/2006/relationships/header" Target="header252.xml"/><Relationship Id="rId535" Type="http://schemas.openxmlformats.org/officeDocument/2006/relationships/theme" Target="theme/theme1.xml"/><Relationship Id="rId88" Type="http://schemas.openxmlformats.org/officeDocument/2006/relationships/header" Target="header39.xml"/><Relationship Id="rId111" Type="http://schemas.openxmlformats.org/officeDocument/2006/relationships/footer" Target="footer50.xml"/><Relationship Id="rId132" Type="http://schemas.openxmlformats.org/officeDocument/2006/relationships/header" Target="header61.xml"/><Relationship Id="rId153" Type="http://schemas.openxmlformats.org/officeDocument/2006/relationships/footer" Target="footer71.xml"/><Relationship Id="rId174" Type="http://schemas.openxmlformats.org/officeDocument/2006/relationships/header" Target="header82.xml"/><Relationship Id="rId195" Type="http://schemas.openxmlformats.org/officeDocument/2006/relationships/footer" Target="footer92.xml"/><Relationship Id="rId209" Type="http://schemas.openxmlformats.org/officeDocument/2006/relationships/footer" Target="footer99.xml"/><Relationship Id="rId360" Type="http://schemas.openxmlformats.org/officeDocument/2006/relationships/header" Target="header175.xml"/><Relationship Id="rId381" Type="http://schemas.openxmlformats.org/officeDocument/2006/relationships/footer" Target="footer185.xml"/><Relationship Id="rId416" Type="http://schemas.openxmlformats.org/officeDocument/2006/relationships/footer" Target="footer202.xml"/><Relationship Id="rId220" Type="http://schemas.openxmlformats.org/officeDocument/2006/relationships/header" Target="header105.xml"/><Relationship Id="rId241" Type="http://schemas.openxmlformats.org/officeDocument/2006/relationships/header" Target="header116.xml"/><Relationship Id="rId437" Type="http://schemas.openxmlformats.org/officeDocument/2006/relationships/footer" Target="footer213.xml"/><Relationship Id="rId458" Type="http://schemas.openxmlformats.org/officeDocument/2006/relationships/footer" Target="footer223.xml"/><Relationship Id="rId479" Type="http://schemas.openxmlformats.org/officeDocument/2006/relationships/footer" Target="footer234.xml"/><Relationship Id="rId15" Type="http://schemas.openxmlformats.org/officeDocument/2006/relationships/footer" Target="footer2.xml"/><Relationship Id="rId36" Type="http://schemas.openxmlformats.org/officeDocument/2006/relationships/header" Target="header13.xml"/><Relationship Id="rId57" Type="http://schemas.openxmlformats.org/officeDocument/2006/relationships/footer" Target="footer23.xml"/><Relationship Id="rId262" Type="http://schemas.openxmlformats.org/officeDocument/2006/relationships/header" Target="header126.xml"/><Relationship Id="rId283" Type="http://schemas.openxmlformats.org/officeDocument/2006/relationships/header" Target="header137.xml"/><Relationship Id="rId318" Type="http://schemas.openxmlformats.org/officeDocument/2006/relationships/header" Target="header154.xml"/><Relationship Id="rId339" Type="http://schemas.openxmlformats.org/officeDocument/2006/relationships/footer" Target="footer164.xml"/><Relationship Id="rId490" Type="http://schemas.openxmlformats.org/officeDocument/2006/relationships/header" Target="header240.xml"/><Relationship Id="rId504" Type="http://schemas.openxmlformats.org/officeDocument/2006/relationships/header" Target="header247.xml"/><Relationship Id="rId525" Type="http://schemas.openxmlformats.org/officeDocument/2006/relationships/footer" Target="footer257.xml"/><Relationship Id="rId78" Type="http://schemas.openxmlformats.org/officeDocument/2006/relationships/header" Target="header34.xml"/><Relationship Id="rId99" Type="http://schemas.openxmlformats.org/officeDocument/2006/relationships/footer" Target="footer44.xml"/><Relationship Id="rId101" Type="http://schemas.openxmlformats.org/officeDocument/2006/relationships/footer" Target="footer45.xml"/><Relationship Id="rId122" Type="http://schemas.openxmlformats.org/officeDocument/2006/relationships/footer" Target="footer55.xml"/><Relationship Id="rId143" Type="http://schemas.openxmlformats.org/officeDocument/2006/relationships/footer" Target="footer66.xml"/><Relationship Id="rId164" Type="http://schemas.openxmlformats.org/officeDocument/2006/relationships/footer" Target="footer76.xml"/><Relationship Id="rId185" Type="http://schemas.openxmlformats.org/officeDocument/2006/relationships/footer" Target="footer87.xml"/><Relationship Id="rId350" Type="http://schemas.openxmlformats.org/officeDocument/2006/relationships/footer" Target="footer169.xml"/><Relationship Id="rId371" Type="http://schemas.openxmlformats.org/officeDocument/2006/relationships/footer" Target="footer180.xml"/><Relationship Id="rId406" Type="http://schemas.openxmlformats.org/officeDocument/2006/relationships/header" Target="header198.xml"/><Relationship Id="rId9" Type="http://schemas.openxmlformats.org/officeDocument/2006/relationships/footnotes" Target="footnotes.xml"/><Relationship Id="rId210" Type="http://schemas.openxmlformats.org/officeDocument/2006/relationships/header" Target="header100.xml"/><Relationship Id="rId392" Type="http://schemas.openxmlformats.org/officeDocument/2006/relationships/footer" Target="footer190.xml"/><Relationship Id="rId427" Type="http://schemas.openxmlformats.org/officeDocument/2006/relationships/header" Target="header209.xml"/><Relationship Id="rId448" Type="http://schemas.openxmlformats.org/officeDocument/2006/relationships/header" Target="header219.xml"/><Relationship Id="rId469" Type="http://schemas.openxmlformats.org/officeDocument/2006/relationships/header" Target="header230.xml"/><Relationship Id="rId26" Type="http://schemas.openxmlformats.org/officeDocument/2006/relationships/footer" Target="footer7.xml"/><Relationship Id="rId231" Type="http://schemas.openxmlformats.org/officeDocument/2006/relationships/footer" Target="footer110.xml"/><Relationship Id="rId252" Type="http://schemas.openxmlformats.org/officeDocument/2006/relationships/header" Target="header121.xml"/><Relationship Id="rId273" Type="http://schemas.openxmlformats.org/officeDocument/2006/relationships/footer" Target="footer131.xml"/><Relationship Id="rId294" Type="http://schemas.openxmlformats.org/officeDocument/2006/relationships/header" Target="header142.xml"/><Relationship Id="rId308" Type="http://schemas.openxmlformats.org/officeDocument/2006/relationships/footer" Target="footer148.xml"/><Relationship Id="rId329" Type="http://schemas.openxmlformats.org/officeDocument/2006/relationships/footer" Target="footer159.xml"/><Relationship Id="rId480" Type="http://schemas.openxmlformats.org/officeDocument/2006/relationships/header" Target="header235.xml"/><Relationship Id="rId515" Type="http://schemas.openxmlformats.org/officeDocument/2006/relationships/footer" Target="footer252.xml"/><Relationship Id="rId536" Type="http://schemas.microsoft.com/office/2019/05/relationships/documenttasks" Target="documenttasks/documenttasks1.xml"/><Relationship Id="rId47" Type="http://schemas.openxmlformats.org/officeDocument/2006/relationships/footer" Target="footer18.xml"/><Relationship Id="rId68" Type="http://schemas.openxmlformats.org/officeDocument/2006/relationships/footer" Target="footer28.xml"/><Relationship Id="rId89" Type="http://schemas.openxmlformats.org/officeDocument/2006/relationships/footer" Target="footer39.xml"/><Relationship Id="rId112" Type="http://schemas.openxmlformats.org/officeDocument/2006/relationships/header" Target="header51.xml"/><Relationship Id="rId133" Type="http://schemas.openxmlformats.org/officeDocument/2006/relationships/header" Target="header62.xml"/><Relationship Id="rId154" Type="http://schemas.openxmlformats.org/officeDocument/2006/relationships/header" Target="header72.xml"/><Relationship Id="rId175" Type="http://schemas.openxmlformats.org/officeDocument/2006/relationships/header" Target="header83.xml"/><Relationship Id="rId340" Type="http://schemas.openxmlformats.org/officeDocument/2006/relationships/header" Target="header165.xml"/><Relationship Id="rId361" Type="http://schemas.openxmlformats.org/officeDocument/2006/relationships/header" Target="header176.xml"/><Relationship Id="rId196" Type="http://schemas.openxmlformats.org/officeDocument/2006/relationships/header" Target="header93.xml"/><Relationship Id="rId200" Type="http://schemas.openxmlformats.org/officeDocument/2006/relationships/footer" Target="footer94.xml"/><Relationship Id="rId382" Type="http://schemas.openxmlformats.org/officeDocument/2006/relationships/header" Target="header186.xml"/><Relationship Id="rId417" Type="http://schemas.openxmlformats.org/officeDocument/2006/relationships/footer" Target="footer203.xml"/><Relationship Id="rId438" Type="http://schemas.openxmlformats.org/officeDocument/2006/relationships/header" Target="header214.xml"/><Relationship Id="rId459" Type="http://schemas.openxmlformats.org/officeDocument/2006/relationships/footer" Target="footer224.xml"/><Relationship Id="rId16" Type="http://schemas.openxmlformats.org/officeDocument/2006/relationships/header" Target="header3.xml"/><Relationship Id="rId221" Type="http://schemas.openxmlformats.org/officeDocument/2006/relationships/footer" Target="footer105.xml"/><Relationship Id="rId242" Type="http://schemas.openxmlformats.org/officeDocument/2006/relationships/footer" Target="footer115.xml"/><Relationship Id="rId263" Type="http://schemas.openxmlformats.org/officeDocument/2006/relationships/footer" Target="footer126.xml"/><Relationship Id="rId284" Type="http://schemas.openxmlformats.org/officeDocument/2006/relationships/footer" Target="footer136.xml"/><Relationship Id="rId319" Type="http://schemas.openxmlformats.org/officeDocument/2006/relationships/header" Target="header155.xml"/><Relationship Id="rId470" Type="http://schemas.openxmlformats.org/officeDocument/2006/relationships/footer" Target="footer229.xml"/><Relationship Id="rId491" Type="http://schemas.openxmlformats.org/officeDocument/2006/relationships/footer" Target="footer240.xml"/><Relationship Id="rId505" Type="http://schemas.openxmlformats.org/officeDocument/2006/relationships/header" Target="header248.xml"/><Relationship Id="rId526" Type="http://schemas.openxmlformats.org/officeDocument/2006/relationships/header" Target="header258.xml"/><Relationship Id="rId37" Type="http://schemas.openxmlformats.org/officeDocument/2006/relationships/header" Target="header14.xml"/><Relationship Id="rId58" Type="http://schemas.openxmlformats.org/officeDocument/2006/relationships/header" Target="header24.xml"/><Relationship Id="rId79" Type="http://schemas.openxmlformats.org/officeDocument/2006/relationships/header" Target="header35.xml"/><Relationship Id="rId102" Type="http://schemas.openxmlformats.org/officeDocument/2006/relationships/header" Target="header46.xml"/><Relationship Id="rId123" Type="http://schemas.openxmlformats.org/officeDocument/2006/relationships/footer" Target="footer56.xml"/><Relationship Id="rId144" Type="http://schemas.openxmlformats.org/officeDocument/2006/relationships/header" Target="header67.xml"/><Relationship Id="rId330" Type="http://schemas.openxmlformats.org/officeDocument/2006/relationships/header" Target="header160.xml"/><Relationship Id="rId90" Type="http://schemas.openxmlformats.org/officeDocument/2006/relationships/header" Target="header40.xml"/><Relationship Id="rId165" Type="http://schemas.openxmlformats.org/officeDocument/2006/relationships/footer" Target="footer77.xml"/><Relationship Id="rId186" Type="http://schemas.openxmlformats.org/officeDocument/2006/relationships/header" Target="header88.xml"/><Relationship Id="rId351" Type="http://schemas.openxmlformats.org/officeDocument/2006/relationships/footer" Target="footer170.xml"/><Relationship Id="rId372" Type="http://schemas.openxmlformats.org/officeDocument/2006/relationships/header" Target="header181.xml"/><Relationship Id="rId393" Type="http://schemas.openxmlformats.org/officeDocument/2006/relationships/footer" Target="footer191.xml"/><Relationship Id="rId407" Type="http://schemas.openxmlformats.org/officeDocument/2006/relationships/footer" Target="footer198.xml"/><Relationship Id="rId428" Type="http://schemas.openxmlformats.org/officeDocument/2006/relationships/footer" Target="footer208.xml"/><Relationship Id="rId449" Type="http://schemas.openxmlformats.org/officeDocument/2006/relationships/footer" Target="footer219.xml"/><Relationship Id="rId211" Type="http://schemas.openxmlformats.org/officeDocument/2006/relationships/header" Target="header101.xml"/><Relationship Id="rId232" Type="http://schemas.openxmlformats.org/officeDocument/2006/relationships/header" Target="header111.xml"/><Relationship Id="rId253" Type="http://schemas.openxmlformats.org/officeDocument/2006/relationships/header" Target="header122.xml"/><Relationship Id="rId274" Type="http://schemas.openxmlformats.org/officeDocument/2006/relationships/header" Target="header132.xml"/><Relationship Id="rId295" Type="http://schemas.openxmlformats.org/officeDocument/2006/relationships/header" Target="header143.xml"/><Relationship Id="rId309" Type="http://schemas.openxmlformats.org/officeDocument/2006/relationships/footer" Target="footer149.xml"/><Relationship Id="rId460" Type="http://schemas.openxmlformats.org/officeDocument/2006/relationships/header" Target="header225.xml"/><Relationship Id="rId481" Type="http://schemas.openxmlformats.org/officeDocument/2006/relationships/header" Target="header236.xml"/><Relationship Id="rId516" Type="http://schemas.openxmlformats.org/officeDocument/2006/relationships/header" Target="header253.xml"/><Relationship Id="rId27" Type="http://schemas.openxmlformats.org/officeDocument/2006/relationships/footer" Target="footer8.xml"/><Relationship Id="rId48" Type="http://schemas.openxmlformats.org/officeDocument/2006/relationships/header" Target="header19.xml"/><Relationship Id="rId69" Type="http://schemas.openxmlformats.org/officeDocument/2006/relationships/footer" Target="footer29.xml"/><Relationship Id="rId113" Type="http://schemas.openxmlformats.org/officeDocument/2006/relationships/footer" Target="footer51.xml"/><Relationship Id="rId134" Type="http://schemas.openxmlformats.org/officeDocument/2006/relationships/footer" Target="footer61.xml"/><Relationship Id="rId320" Type="http://schemas.openxmlformats.org/officeDocument/2006/relationships/footer" Target="footer154.xml"/><Relationship Id="rId80" Type="http://schemas.openxmlformats.org/officeDocument/2006/relationships/footer" Target="footer34.xml"/><Relationship Id="rId155" Type="http://schemas.openxmlformats.org/officeDocument/2006/relationships/footer" Target="footer72.xml"/><Relationship Id="rId176" Type="http://schemas.openxmlformats.org/officeDocument/2006/relationships/footer" Target="footer82.xml"/><Relationship Id="rId197" Type="http://schemas.openxmlformats.org/officeDocument/2006/relationships/footer" Target="footer93.xml"/><Relationship Id="rId341" Type="http://schemas.openxmlformats.org/officeDocument/2006/relationships/footer" Target="footer165.xml"/><Relationship Id="rId362" Type="http://schemas.openxmlformats.org/officeDocument/2006/relationships/footer" Target="footer175.xml"/><Relationship Id="rId383" Type="http://schemas.openxmlformats.org/officeDocument/2006/relationships/footer" Target="footer186.xml"/><Relationship Id="rId418" Type="http://schemas.openxmlformats.org/officeDocument/2006/relationships/header" Target="header204.xml"/><Relationship Id="rId439" Type="http://schemas.openxmlformats.org/officeDocument/2006/relationships/header" Target="header215.xml"/><Relationship Id="rId201" Type="http://schemas.openxmlformats.org/officeDocument/2006/relationships/footer" Target="footer95.xml"/><Relationship Id="rId222" Type="http://schemas.openxmlformats.org/officeDocument/2006/relationships/header" Target="header106.xml"/><Relationship Id="rId243" Type="http://schemas.openxmlformats.org/officeDocument/2006/relationships/footer" Target="footer116.xml"/><Relationship Id="rId264" Type="http://schemas.openxmlformats.org/officeDocument/2006/relationships/header" Target="header127.xml"/><Relationship Id="rId285" Type="http://schemas.openxmlformats.org/officeDocument/2006/relationships/footer" Target="footer137.xml"/><Relationship Id="rId450" Type="http://schemas.openxmlformats.org/officeDocument/2006/relationships/header" Target="header220.xml"/><Relationship Id="rId471" Type="http://schemas.openxmlformats.org/officeDocument/2006/relationships/footer" Target="footer230.xml"/><Relationship Id="rId506" Type="http://schemas.openxmlformats.org/officeDocument/2006/relationships/footer" Target="footer247.xml"/><Relationship Id="rId17" Type="http://schemas.openxmlformats.org/officeDocument/2006/relationships/footer" Target="footer3.xml"/><Relationship Id="rId38" Type="http://schemas.openxmlformats.org/officeDocument/2006/relationships/footer" Target="footer13.xml"/><Relationship Id="rId59" Type="http://schemas.openxmlformats.org/officeDocument/2006/relationships/footer" Target="footer24.xml"/><Relationship Id="rId103" Type="http://schemas.openxmlformats.org/officeDocument/2006/relationships/header" Target="header47.xml"/><Relationship Id="rId124" Type="http://schemas.openxmlformats.org/officeDocument/2006/relationships/header" Target="header57.xml"/><Relationship Id="rId310" Type="http://schemas.openxmlformats.org/officeDocument/2006/relationships/header" Target="header150.xml"/><Relationship Id="rId492" Type="http://schemas.openxmlformats.org/officeDocument/2006/relationships/header" Target="header241.xml"/><Relationship Id="rId527" Type="http://schemas.openxmlformats.org/officeDocument/2006/relationships/footer" Target="footer258.xml"/><Relationship Id="rId70" Type="http://schemas.openxmlformats.org/officeDocument/2006/relationships/header" Target="header30.xml"/><Relationship Id="rId91" Type="http://schemas.openxmlformats.org/officeDocument/2006/relationships/header" Target="header41.xml"/><Relationship Id="rId145" Type="http://schemas.openxmlformats.org/officeDocument/2006/relationships/header" Target="header68.xml"/><Relationship Id="rId166" Type="http://schemas.openxmlformats.org/officeDocument/2006/relationships/header" Target="header78.xml"/><Relationship Id="rId187" Type="http://schemas.openxmlformats.org/officeDocument/2006/relationships/header" Target="header89.xml"/><Relationship Id="rId331" Type="http://schemas.openxmlformats.org/officeDocument/2006/relationships/header" Target="header161.xml"/><Relationship Id="rId352" Type="http://schemas.openxmlformats.org/officeDocument/2006/relationships/header" Target="header171.xml"/><Relationship Id="rId373" Type="http://schemas.openxmlformats.org/officeDocument/2006/relationships/header" Target="header182.xml"/><Relationship Id="rId394" Type="http://schemas.openxmlformats.org/officeDocument/2006/relationships/header" Target="header192.xml"/><Relationship Id="rId408" Type="http://schemas.openxmlformats.org/officeDocument/2006/relationships/header" Target="header199.xml"/><Relationship Id="rId429" Type="http://schemas.openxmlformats.org/officeDocument/2006/relationships/footer" Target="footer209.xml"/><Relationship Id="rId1" Type="http://schemas.openxmlformats.org/officeDocument/2006/relationships/customXml" Target="../customXml/item1.xml"/><Relationship Id="rId212" Type="http://schemas.openxmlformats.org/officeDocument/2006/relationships/footer" Target="footer100.xml"/><Relationship Id="rId233" Type="http://schemas.openxmlformats.org/officeDocument/2006/relationships/footer" Target="footer111.xml"/><Relationship Id="rId254" Type="http://schemas.openxmlformats.org/officeDocument/2006/relationships/footer" Target="footer121.xml"/><Relationship Id="rId440" Type="http://schemas.openxmlformats.org/officeDocument/2006/relationships/footer" Target="footer214.xml"/><Relationship Id="rId28" Type="http://schemas.openxmlformats.org/officeDocument/2006/relationships/header" Target="header9.xml"/><Relationship Id="rId49" Type="http://schemas.openxmlformats.org/officeDocument/2006/relationships/header" Target="header20.xml"/><Relationship Id="rId114" Type="http://schemas.openxmlformats.org/officeDocument/2006/relationships/header" Target="header52.xml"/><Relationship Id="rId275" Type="http://schemas.openxmlformats.org/officeDocument/2006/relationships/footer" Target="footer132.xml"/><Relationship Id="rId296" Type="http://schemas.openxmlformats.org/officeDocument/2006/relationships/footer" Target="footer142.xml"/><Relationship Id="rId300" Type="http://schemas.openxmlformats.org/officeDocument/2006/relationships/header" Target="header145.xml"/><Relationship Id="rId461" Type="http://schemas.openxmlformats.org/officeDocument/2006/relationships/footer" Target="footer225.xml"/><Relationship Id="rId482" Type="http://schemas.openxmlformats.org/officeDocument/2006/relationships/footer" Target="footer235.xml"/><Relationship Id="rId517" Type="http://schemas.openxmlformats.org/officeDocument/2006/relationships/header" Target="header254.xml"/><Relationship Id="rId60" Type="http://schemas.openxmlformats.org/officeDocument/2006/relationships/header" Target="header25.xml"/><Relationship Id="rId81" Type="http://schemas.openxmlformats.org/officeDocument/2006/relationships/footer" Target="footer35.xml"/><Relationship Id="rId135" Type="http://schemas.openxmlformats.org/officeDocument/2006/relationships/footer" Target="footer62.xml"/><Relationship Id="rId156" Type="http://schemas.openxmlformats.org/officeDocument/2006/relationships/header" Target="header73.xml"/><Relationship Id="rId177" Type="http://schemas.openxmlformats.org/officeDocument/2006/relationships/footer" Target="footer83.xml"/><Relationship Id="rId198" Type="http://schemas.openxmlformats.org/officeDocument/2006/relationships/header" Target="header94.xml"/><Relationship Id="rId321" Type="http://schemas.openxmlformats.org/officeDocument/2006/relationships/footer" Target="footer155.xml"/><Relationship Id="rId342" Type="http://schemas.openxmlformats.org/officeDocument/2006/relationships/header" Target="header166.xml"/><Relationship Id="rId363" Type="http://schemas.openxmlformats.org/officeDocument/2006/relationships/footer" Target="footer176.xml"/><Relationship Id="rId384" Type="http://schemas.openxmlformats.org/officeDocument/2006/relationships/header" Target="header187.xml"/><Relationship Id="rId419" Type="http://schemas.openxmlformats.org/officeDocument/2006/relationships/footer" Target="footer204.xml"/><Relationship Id="rId202" Type="http://schemas.openxmlformats.org/officeDocument/2006/relationships/header" Target="header96.xml"/><Relationship Id="rId223" Type="http://schemas.openxmlformats.org/officeDocument/2006/relationships/header" Target="header107.xml"/><Relationship Id="rId244" Type="http://schemas.openxmlformats.org/officeDocument/2006/relationships/header" Target="header117.xml"/><Relationship Id="rId430" Type="http://schemas.openxmlformats.org/officeDocument/2006/relationships/header" Target="header210.xml"/><Relationship Id="rId18" Type="http://schemas.openxmlformats.org/officeDocument/2006/relationships/header" Target="header4.xml"/><Relationship Id="rId39" Type="http://schemas.openxmlformats.org/officeDocument/2006/relationships/footer" Target="footer14.xml"/><Relationship Id="rId265" Type="http://schemas.openxmlformats.org/officeDocument/2006/relationships/header" Target="header128.xml"/><Relationship Id="rId286" Type="http://schemas.openxmlformats.org/officeDocument/2006/relationships/header" Target="header138.xml"/><Relationship Id="rId451" Type="http://schemas.openxmlformats.org/officeDocument/2006/relationships/header" Target="header221.xml"/><Relationship Id="rId472" Type="http://schemas.openxmlformats.org/officeDocument/2006/relationships/header" Target="header231.xml"/><Relationship Id="rId493" Type="http://schemas.openxmlformats.org/officeDocument/2006/relationships/header" Target="header242.xml"/><Relationship Id="rId507" Type="http://schemas.openxmlformats.org/officeDocument/2006/relationships/footer" Target="footer248.xml"/><Relationship Id="rId528" Type="http://schemas.openxmlformats.org/officeDocument/2006/relationships/header" Target="header259.xml"/><Relationship Id="rId50" Type="http://schemas.openxmlformats.org/officeDocument/2006/relationships/footer" Target="footer19.xml"/><Relationship Id="rId104" Type="http://schemas.openxmlformats.org/officeDocument/2006/relationships/footer" Target="footer46.xml"/><Relationship Id="rId125" Type="http://schemas.openxmlformats.org/officeDocument/2006/relationships/footer" Target="footer57.xml"/><Relationship Id="rId146" Type="http://schemas.openxmlformats.org/officeDocument/2006/relationships/footer" Target="footer67.xml"/><Relationship Id="rId167" Type="http://schemas.openxmlformats.org/officeDocument/2006/relationships/footer" Target="footer78.xml"/><Relationship Id="rId188" Type="http://schemas.openxmlformats.org/officeDocument/2006/relationships/footer" Target="footer88.xml"/><Relationship Id="rId311" Type="http://schemas.openxmlformats.org/officeDocument/2006/relationships/footer" Target="footer150.xml"/><Relationship Id="rId332" Type="http://schemas.openxmlformats.org/officeDocument/2006/relationships/footer" Target="footer160.xml"/><Relationship Id="rId353" Type="http://schemas.openxmlformats.org/officeDocument/2006/relationships/footer" Target="footer171.xml"/><Relationship Id="rId374" Type="http://schemas.openxmlformats.org/officeDocument/2006/relationships/footer" Target="footer181.xml"/><Relationship Id="rId395" Type="http://schemas.openxmlformats.org/officeDocument/2006/relationships/footer" Target="footer192.xml"/><Relationship Id="rId409" Type="http://schemas.openxmlformats.org/officeDocument/2006/relationships/header" Target="header200.xml"/><Relationship Id="rId71" Type="http://schemas.openxmlformats.org/officeDocument/2006/relationships/footer" Target="footer30.xml"/><Relationship Id="rId92" Type="http://schemas.openxmlformats.org/officeDocument/2006/relationships/footer" Target="footer40.xml"/><Relationship Id="rId213" Type="http://schemas.openxmlformats.org/officeDocument/2006/relationships/footer" Target="footer101.xml"/><Relationship Id="rId234" Type="http://schemas.openxmlformats.org/officeDocument/2006/relationships/header" Target="header112.xml"/><Relationship Id="rId420" Type="http://schemas.openxmlformats.org/officeDocument/2006/relationships/header" Target="header205.xml"/><Relationship Id="rId2" Type="http://schemas.openxmlformats.org/officeDocument/2006/relationships/customXml" Target="../customXml/item2.xml"/><Relationship Id="rId29" Type="http://schemas.openxmlformats.org/officeDocument/2006/relationships/footer" Target="footer9.xml"/><Relationship Id="rId255" Type="http://schemas.openxmlformats.org/officeDocument/2006/relationships/footer" Target="footer122.xml"/><Relationship Id="rId276" Type="http://schemas.openxmlformats.org/officeDocument/2006/relationships/header" Target="header133.xml"/><Relationship Id="rId297" Type="http://schemas.openxmlformats.org/officeDocument/2006/relationships/footer" Target="footer143.xml"/><Relationship Id="rId441" Type="http://schemas.openxmlformats.org/officeDocument/2006/relationships/footer" Target="footer215.xml"/><Relationship Id="rId462" Type="http://schemas.openxmlformats.org/officeDocument/2006/relationships/header" Target="header226.xml"/><Relationship Id="rId483" Type="http://schemas.openxmlformats.org/officeDocument/2006/relationships/footer" Target="footer236.xml"/><Relationship Id="rId518" Type="http://schemas.openxmlformats.org/officeDocument/2006/relationships/footer" Target="footer253.xml"/><Relationship Id="rId40" Type="http://schemas.openxmlformats.org/officeDocument/2006/relationships/header" Target="header15.xml"/><Relationship Id="rId115" Type="http://schemas.openxmlformats.org/officeDocument/2006/relationships/header" Target="header53.xml"/><Relationship Id="rId136" Type="http://schemas.openxmlformats.org/officeDocument/2006/relationships/header" Target="header63.xml"/><Relationship Id="rId157" Type="http://schemas.openxmlformats.org/officeDocument/2006/relationships/header" Target="header74.xml"/><Relationship Id="rId178" Type="http://schemas.openxmlformats.org/officeDocument/2006/relationships/header" Target="header84.xml"/><Relationship Id="rId301" Type="http://schemas.openxmlformats.org/officeDocument/2006/relationships/header" Target="header146.xml"/><Relationship Id="rId322" Type="http://schemas.openxmlformats.org/officeDocument/2006/relationships/header" Target="header156.xml"/><Relationship Id="rId343" Type="http://schemas.openxmlformats.org/officeDocument/2006/relationships/header" Target="header167.xml"/><Relationship Id="rId364" Type="http://schemas.openxmlformats.org/officeDocument/2006/relationships/header" Target="header177.xml"/><Relationship Id="rId61" Type="http://schemas.openxmlformats.org/officeDocument/2006/relationships/header" Target="header26.xml"/><Relationship Id="rId82" Type="http://schemas.openxmlformats.org/officeDocument/2006/relationships/header" Target="header36.xml"/><Relationship Id="rId199" Type="http://schemas.openxmlformats.org/officeDocument/2006/relationships/header" Target="header95.xml"/><Relationship Id="rId203" Type="http://schemas.openxmlformats.org/officeDocument/2006/relationships/footer" Target="footer96.xml"/><Relationship Id="rId385" Type="http://schemas.openxmlformats.org/officeDocument/2006/relationships/header" Target="header188.xml"/><Relationship Id="rId19" Type="http://schemas.openxmlformats.org/officeDocument/2006/relationships/header" Target="header5.xml"/><Relationship Id="rId224" Type="http://schemas.openxmlformats.org/officeDocument/2006/relationships/footer" Target="footer106.xml"/><Relationship Id="rId245" Type="http://schemas.openxmlformats.org/officeDocument/2006/relationships/footer" Target="footer117.xml"/><Relationship Id="rId266" Type="http://schemas.openxmlformats.org/officeDocument/2006/relationships/footer" Target="footer127.xml"/><Relationship Id="rId287" Type="http://schemas.openxmlformats.org/officeDocument/2006/relationships/footer" Target="footer138.xml"/><Relationship Id="rId410" Type="http://schemas.openxmlformats.org/officeDocument/2006/relationships/footer" Target="footer199.xml"/><Relationship Id="rId431" Type="http://schemas.openxmlformats.org/officeDocument/2006/relationships/footer" Target="footer210.xml"/><Relationship Id="rId452" Type="http://schemas.openxmlformats.org/officeDocument/2006/relationships/footer" Target="footer220.xml"/><Relationship Id="rId473" Type="http://schemas.openxmlformats.org/officeDocument/2006/relationships/footer" Target="footer231.xml"/><Relationship Id="rId494" Type="http://schemas.openxmlformats.org/officeDocument/2006/relationships/footer" Target="footer241.xml"/><Relationship Id="rId508" Type="http://schemas.openxmlformats.org/officeDocument/2006/relationships/header" Target="header249.xml"/><Relationship Id="rId529" Type="http://schemas.openxmlformats.org/officeDocument/2006/relationships/header" Target="header260.xml"/><Relationship Id="rId30" Type="http://schemas.openxmlformats.org/officeDocument/2006/relationships/header" Target="header10.xml"/><Relationship Id="rId105" Type="http://schemas.openxmlformats.org/officeDocument/2006/relationships/footer" Target="footer47.xml"/><Relationship Id="rId126" Type="http://schemas.openxmlformats.org/officeDocument/2006/relationships/header" Target="header58.xml"/><Relationship Id="rId147" Type="http://schemas.openxmlformats.org/officeDocument/2006/relationships/footer" Target="footer68.xml"/><Relationship Id="rId168" Type="http://schemas.openxmlformats.org/officeDocument/2006/relationships/header" Target="header79.xml"/><Relationship Id="rId312" Type="http://schemas.openxmlformats.org/officeDocument/2006/relationships/header" Target="header151.xml"/><Relationship Id="rId333" Type="http://schemas.openxmlformats.org/officeDocument/2006/relationships/footer" Target="footer161.xml"/><Relationship Id="rId354" Type="http://schemas.openxmlformats.org/officeDocument/2006/relationships/header" Target="header172.xml"/><Relationship Id="rId51" Type="http://schemas.openxmlformats.org/officeDocument/2006/relationships/footer" Target="footer20.xml"/><Relationship Id="rId72" Type="http://schemas.openxmlformats.org/officeDocument/2006/relationships/header" Target="header31.xml"/><Relationship Id="rId93" Type="http://schemas.openxmlformats.org/officeDocument/2006/relationships/footer" Target="footer41.xml"/><Relationship Id="rId189" Type="http://schemas.openxmlformats.org/officeDocument/2006/relationships/footer" Target="footer89.xml"/><Relationship Id="rId375" Type="http://schemas.openxmlformats.org/officeDocument/2006/relationships/footer" Target="footer182.xml"/><Relationship Id="rId396" Type="http://schemas.openxmlformats.org/officeDocument/2006/relationships/header" Target="header193.xml"/><Relationship Id="rId3" Type="http://schemas.openxmlformats.org/officeDocument/2006/relationships/customXml" Target="../customXml/item3.xml"/><Relationship Id="rId214" Type="http://schemas.openxmlformats.org/officeDocument/2006/relationships/header" Target="header102.xml"/><Relationship Id="rId235" Type="http://schemas.openxmlformats.org/officeDocument/2006/relationships/header" Target="header113.xml"/><Relationship Id="rId256" Type="http://schemas.openxmlformats.org/officeDocument/2006/relationships/header" Target="header123.xml"/><Relationship Id="rId277" Type="http://schemas.openxmlformats.org/officeDocument/2006/relationships/header" Target="header134.xml"/><Relationship Id="rId298" Type="http://schemas.openxmlformats.org/officeDocument/2006/relationships/header" Target="header144.xml"/><Relationship Id="rId400" Type="http://schemas.openxmlformats.org/officeDocument/2006/relationships/header" Target="header195.xml"/><Relationship Id="rId421" Type="http://schemas.openxmlformats.org/officeDocument/2006/relationships/header" Target="header206.xml"/><Relationship Id="rId442" Type="http://schemas.openxmlformats.org/officeDocument/2006/relationships/header" Target="header216.xml"/><Relationship Id="rId463" Type="http://schemas.openxmlformats.org/officeDocument/2006/relationships/header" Target="header227.xml"/><Relationship Id="rId484" Type="http://schemas.openxmlformats.org/officeDocument/2006/relationships/header" Target="header237.xml"/><Relationship Id="rId519" Type="http://schemas.openxmlformats.org/officeDocument/2006/relationships/footer" Target="footer254.xml"/><Relationship Id="rId116" Type="http://schemas.openxmlformats.org/officeDocument/2006/relationships/footer" Target="footer52.xml"/><Relationship Id="rId137" Type="http://schemas.openxmlformats.org/officeDocument/2006/relationships/footer" Target="footer63.xml"/><Relationship Id="rId158" Type="http://schemas.openxmlformats.org/officeDocument/2006/relationships/footer" Target="footer73.xml"/><Relationship Id="rId302" Type="http://schemas.openxmlformats.org/officeDocument/2006/relationships/footer" Target="footer145.xml"/><Relationship Id="rId323" Type="http://schemas.openxmlformats.org/officeDocument/2006/relationships/footer" Target="footer156.xml"/><Relationship Id="rId344" Type="http://schemas.openxmlformats.org/officeDocument/2006/relationships/footer" Target="footer166.xml"/><Relationship Id="rId530" Type="http://schemas.openxmlformats.org/officeDocument/2006/relationships/footer" Target="footer259.xml"/><Relationship Id="rId20" Type="http://schemas.openxmlformats.org/officeDocument/2006/relationships/footer" Target="footer4.xml"/><Relationship Id="rId41" Type="http://schemas.openxmlformats.org/officeDocument/2006/relationships/footer" Target="footer15.xml"/><Relationship Id="rId62" Type="http://schemas.openxmlformats.org/officeDocument/2006/relationships/footer" Target="footer25.xml"/><Relationship Id="rId83" Type="http://schemas.openxmlformats.org/officeDocument/2006/relationships/footer" Target="footer36.xml"/><Relationship Id="rId179" Type="http://schemas.openxmlformats.org/officeDocument/2006/relationships/footer" Target="footer84.xml"/><Relationship Id="rId365" Type="http://schemas.openxmlformats.org/officeDocument/2006/relationships/footer" Target="footer177.xml"/><Relationship Id="rId386" Type="http://schemas.openxmlformats.org/officeDocument/2006/relationships/footer" Target="footer187.xml"/><Relationship Id="rId190" Type="http://schemas.openxmlformats.org/officeDocument/2006/relationships/header" Target="header90.xml"/><Relationship Id="rId204" Type="http://schemas.openxmlformats.org/officeDocument/2006/relationships/header" Target="header97.xml"/><Relationship Id="rId225" Type="http://schemas.openxmlformats.org/officeDocument/2006/relationships/footer" Target="footer107.xml"/><Relationship Id="rId246" Type="http://schemas.openxmlformats.org/officeDocument/2006/relationships/header" Target="header118.xml"/><Relationship Id="rId267" Type="http://schemas.openxmlformats.org/officeDocument/2006/relationships/footer" Target="footer128.xml"/><Relationship Id="rId288" Type="http://schemas.openxmlformats.org/officeDocument/2006/relationships/header" Target="header139.xml"/><Relationship Id="rId411" Type="http://schemas.openxmlformats.org/officeDocument/2006/relationships/footer" Target="footer200.xml"/><Relationship Id="rId432" Type="http://schemas.openxmlformats.org/officeDocument/2006/relationships/header" Target="header211.xml"/><Relationship Id="rId453" Type="http://schemas.openxmlformats.org/officeDocument/2006/relationships/footer" Target="footer221.xml"/><Relationship Id="rId474" Type="http://schemas.openxmlformats.org/officeDocument/2006/relationships/header" Target="header232.xml"/><Relationship Id="rId509" Type="http://schemas.openxmlformats.org/officeDocument/2006/relationships/footer" Target="footer249.xml"/><Relationship Id="rId106" Type="http://schemas.openxmlformats.org/officeDocument/2006/relationships/header" Target="header48.xml"/><Relationship Id="rId127" Type="http://schemas.openxmlformats.org/officeDocument/2006/relationships/header" Target="header59.xml"/><Relationship Id="rId313" Type="http://schemas.openxmlformats.org/officeDocument/2006/relationships/header" Target="header152.xml"/><Relationship Id="rId495" Type="http://schemas.openxmlformats.org/officeDocument/2006/relationships/footer" Target="footer242.xml"/><Relationship Id="rId10" Type="http://schemas.openxmlformats.org/officeDocument/2006/relationships/endnotes" Target="endnotes.xml"/><Relationship Id="rId31" Type="http://schemas.openxmlformats.org/officeDocument/2006/relationships/header" Target="header11.xml"/><Relationship Id="rId52" Type="http://schemas.openxmlformats.org/officeDocument/2006/relationships/header" Target="header21.xml"/><Relationship Id="rId73" Type="http://schemas.openxmlformats.org/officeDocument/2006/relationships/header" Target="header32.xml"/><Relationship Id="rId94" Type="http://schemas.openxmlformats.org/officeDocument/2006/relationships/header" Target="header42.xml"/><Relationship Id="rId148" Type="http://schemas.openxmlformats.org/officeDocument/2006/relationships/header" Target="header69.xml"/><Relationship Id="rId169" Type="http://schemas.openxmlformats.org/officeDocument/2006/relationships/header" Target="header80.xml"/><Relationship Id="rId334" Type="http://schemas.openxmlformats.org/officeDocument/2006/relationships/header" Target="header162.xml"/><Relationship Id="rId355" Type="http://schemas.openxmlformats.org/officeDocument/2006/relationships/header" Target="header173.xml"/><Relationship Id="rId376" Type="http://schemas.openxmlformats.org/officeDocument/2006/relationships/header" Target="header183.xml"/><Relationship Id="rId397" Type="http://schemas.openxmlformats.org/officeDocument/2006/relationships/header" Target="header194.xml"/><Relationship Id="rId520" Type="http://schemas.openxmlformats.org/officeDocument/2006/relationships/header" Target="header255.xml"/><Relationship Id="rId4" Type="http://schemas.openxmlformats.org/officeDocument/2006/relationships/customXml" Target="../customXml/item4.xml"/><Relationship Id="rId180" Type="http://schemas.openxmlformats.org/officeDocument/2006/relationships/header" Target="header85.xml"/><Relationship Id="rId215" Type="http://schemas.openxmlformats.org/officeDocument/2006/relationships/footer" Target="footer102.xml"/><Relationship Id="rId236" Type="http://schemas.openxmlformats.org/officeDocument/2006/relationships/footer" Target="footer112.xml"/><Relationship Id="rId257" Type="http://schemas.openxmlformats.org/officeDocument/2006/relationships/footer" Target="footer123.xml"/><Relationship Id="rId278" Type="http://schemas.openxmlformats.org/officeDocument/2006/relationships/footer" Target="footer133.xml"/><Relationship Id="rId401" Type="http://schemas.openxmlformats.org/officeDocument/2006/relationships/footer" Target="footer195.xml"/><Relationship Id="rId422" Type="http://schemas.openxmlformats.org/officeDocument/2006/relationships/footer" Target="footer205.xml"/><Relationship Id="rId443" Type="http://schemas.openxmlformats.org/officeDocument/2006/relationships/footer" Target="footer216.xml"/><Relationship Id="rId464" Type="http://schemas.openxmlformats.org/officeDocument/2006/relationships/footer" Target="footer226.xml"/><Relationship Id="rId303" Type="http://schemas.openxmlformats.org/officeDocument/2006/relationships/footer" Target="footer146.xml"/><Relationship Id="rId485" Type="http://schemas.openxmlformats.org/officeDocument/2006/relationships/footer" Target="footer237.xml"/><Relationship Id="rId42" Type="http://schemas.openxmlformats.org/officeDocument/2006/relationships/header" Target="header16.xml"/><Relationship Id="rId84" Type="http://schemas.openxmlformats.org/officeDocument/2006/relationships/header" Target="header37.xml"/><Relationship Id="rId138" Type="http://schemas.openxmlformats.org/officeDocument/2006/relationships/header" Target="header64.xml"/><Relationship Id="rId345" Type="http://schemas.openxmlformats.org/officeDocument/2006/relationships/footer" Target="footer167.xml"/><Relationship Id="rId387" Type="http://schemas.openxmlformats.org/officeDocument/2006/relationships/footer" Target="footer188.xml"/><Relationship Id="rId510" Type="http://schemas.openxmlformats.org/officeDocument/2006/relationships/header" Target="header250.xml"/><Relationship Id="rId191" Type="http://schemas.openxmlformats.org/officeDocument/2006/relationships/footer" Target="footer90.xml"/><Relationship Id="rId205" Type="http://schemas.openxmlformats.org/officeDocument/2006/relationships/header" Target="header98.xml"/><Relationship Id="rId247" Type="http://schemas.openxmlformats.org/officeDocument/2006/relationships/header" Target="header119.xml"/><Relationship Id="rId412" Type="http://schemas.openxmlformats.org/officeDocument/2006/relationships/header" Target="header201.xml"/><Relationship Id="rId107" Type="http://schemas.openxmlformats.org/officeDocument/2006/relationships/footer" Target="footer48.xml"/><Relationship Id="rId289" Type="http://schemas.openxmlformats.org/officeDocument/2006/relationships/header" Target="header140.xml"/><Relationship Id="rId454" Type="http://schemas.openxmlformats.org/officeDocument/2006/relationships/header" Target="header222.xml"/><Relationship Id="rId496" Type="http://schemas.openxmlformats.org/officeDocument/2006/relationships/header" Target="header243.xml"/><Relationship Id="rId11" Type="http://schemas.openxmlformats.org/officeDocument/2006/relationships/image" Target="media/image1.emf"/><Relationship Id="rId53" Type="http://schemas.openxmlformats.org/officeDocument/2006/relationships/footer" Target="footer21.xml"/><Relationship Id="rId149" Type="http://schemas.openxmlformats.org/officeDocument/2006/relationships/footer" Target="footer69.xml"/><Relationship Id="rId314" Type="http://schemas.openxmlformats.org/officeDocument/2006/relationships/footer" Target="footer151.xml"/><Relationship Id="rId356" Type="http://schemas.openxmlformats.org/officeDocument/2006/relationships/footer" Target="footer172.xml"/><Relationship Id="rId398" Type="http://schemas.openxmlformats.org/officeDocument/2006/relationships/footer" Target="footer193.xml"/><Relationship Id="rId521" Type="http://schemas.openxmlformats.org/officeDocument/2006/relationships/footer" Target="footer255.xml"/><Relationship Id="rId95" Type="http://schemas.openxmlformats.org/officeDocument/2006/relationships/footer" Target="footer42.xml"/><Relationship Id="rId160" Type="http://schemas.openxmlformats.org/officeDocument/2006/relationships/header" Target="header75.xml"/><Relationship Id="rId216" Type="http://schemas.openxmlformats.org/officeDocument/2006/relationships/header" Target="header103.xml"/><Relationship Id="rId423" Type="http://schemas.openxmlformats.org/officeDocument/2006/relationships/footer" Target="footer206.xml"/><Relationship Id="rId258" Type="http://schemas.openxmlformats.org/officeDocument/2006/relationships/header" Target="header124.xml"/><Relationship Id="rId465" Type="http://schemas.openxmlformats.org/officeDocument/2006/relationships/footer" Target="footer227.xml"/><Relationship Id="rId22" Type="http://schemas.openxmlformats.org/officeDocument/2006/relationships/header" Target="header6.xml"/><Relationship Id="rId64" Type="http://schemas.openxmlformats.org/officeDocument/2006/relationships/header" Target="header27.xml"/><Relationship Id="rId118" Type="http://schemas.openxmlformats.org/officeDocument/2006/relationships/header" Target="header54.xml"/><Relationship Id="rId325" Type="http://schemas.openxmlformats.org/officeDocument/2006/relationships/header" Target="header158.xml"/><Relationship Id="rId367" Type="http://schemas.openxmlformats.org/officeDocument/2006/relationships/header" Target="header179.xml"/><Relationship Id="rId532" Type="http://schemas.openxmlformats.org/officeDocument/2006/relationships/header" Target="header261.xml"/><Relationship Id="rId171" Type="http://schemas.openxmlformats.org/officeDocument/2006/relationships/footer" Target="footer80.xml"/><Relationship Id="rId227" Type="http://schemas.openxmlformats.org/officeDocument/2006/relationships/footer" Target="footer108.xml"/><Relationship Id="rId269" Type="http://schemas.openxmlformats.org/officeDocument/2006/relationships/footer" Target="footer129.xml"/><Relationship Id="rId434" Type="http://schemas.openxmlformats.org/officeDocument/2006/relationships/footer" Target="footer211.xml"/><Relationship Id="rId476" Type="http://schemas.openxmlformats.org/officeDocument/2006/relationships/footer" Target="footer232.xml"/><Relationship Id="rId33" Type="http://schemas.openxmlformats.org/officeDocument/2006/relationships/footer" Target="footer11.xml"/><Relationship Id="rId129" Type="http://schemas.openxmlformats.org/officeDocument/2006/relationships/footer" Target="footer59.xml"/><Relationship Id="rId280" Type="http://schemas.openxmlformats.org/officeDocument/2006/relationships/header" Target="header135.xml"/><Relationship Id="rId336" Type="http://schemas.openxmlformats.org/officeDocument/2006/relationships/header" Target="header163.xml"/><Relationship Id="rId501" Type="http://schemas.openxmlformats.org/officeDocument/2006/relationships/footer" Target="footer245.xml"/><Relationship Id="rId75" Type="http://schemas.openxmlformats.org/officeDocument/2006/relationships/footer" Target="footer32.xml"/><Relationship Id="rId140" Type="http://schemas.openxmlformats.org/officeDocument/2006/relationships/footer" Target="footer64.xml"/><Relationship Id="rId182" Type="http://schemas.openxmlformats.org/officeDocument/2006/relationships/footer" Target="footer85.xml"/><Relationship Id="rId378" Type="http://schemas.openxmlformats.org/officeDocument/2006/relationships/header" Target="header184.xml"/><Relationship Id="rId403" Type="http://schemas.openxmlformats.org/officeDocument/2006/relationships/header" Target="header197.xml"/><Relationship Id="rId6" Type="http://schemas.openxmlformats.org/officeDocument/2006/relationships/styles" Target="styles.xml"/><Relationship Id="rId238" Type="http://schemas.openxmlformats.org/officeDocument/2006/relationships/header" Target="header114.xml"/><Relationship Id="rId445" Type="http://schemas.openxmlformats.org/officeDocument/2006/relationships/header" Target="header218.xml"/><Relationship Id="rId487" Type="http://schemas.openxmlformats.org/officeDocument/2006/relationships/header" Target="header239.xml"/><Relationship Id="rId291" Type="http://schemas.openxmlformats.org/officeDocument/2006/relationships/footer" Target="footer140.xml"/><Relationship Id="rId305" Type="http://schemas.openxmlformats.org/officeDocument/2006/relationships/footer" Target="footer147.xml"/><Relationship Id="rId347" Type="http://schemas.openxmlformats.org/officeDocument/2006/relationships/footer" Target="footer168.xml"/><Relationship Id="rId512" Type="http://schemas.openxmlformats.org/officeDocument/2006/relationships/footer" Target="footer250.xml"/><Relationship Id="rId44" Type="http://schemas.openxmlformats.org/officeDocument/2006/relationships/footer" Target="footer16.xml"/><Relationship Id="rId86" Type="http://schemas.openxmlformats.org/officeDocument/2006/relationships/footer" Target="footer37.xml"/><Relationship Id="rId151" Type="http://schemas.openxmlformats.org/officeDocument/2006/relationships/header" Target="header71.xml"/><Relationship Id="rId389" Type="http://schemas.openxmlformats.org/officeDocument/2006/relationships/footer" Target="footer189.xml"/><Relationship Id="rId193" Type="http://schemas.openxmlformats.org/officeDocument/2006/relationships/header" Target="header92.xml"/><Relationship Id="rId207" Type="http://schemas.openxmlformats.org/officeDocument/2006/relationships/footer" Target="footer98.xml"/><Relationship Id="rId249" Type="http://schemas.openxmlformats.org/officeDocument/2006/relationships/footer" Target="footer119.xml"/><Relationship Id="rId414" Type="http://schemas.openxmlformats.org/officeDocument/2006/relationships/header" Target="header202.xml"/><Relationship Id="rId456" Type="http://schemas.openxmlformats.org/officeDocument/2006/relationships/header" Target="header223.xml"/><Relationship Id="rId498" Type="http://schemas.openxmlformats.org/officeDocument/2006/relationships/header" Target="header244.xml"/><Relationship Id="rId13" Type="http://schemas.openxmlformats.org/officeDocument/2006/relationships/header" Target="header2.xml"/><Relationship Id="rId109" Type="http://schemas.openxmlformats.org/officeDocument/2006/relationships/header" Target="header50.xml"/><Relationship Id="rId260" Type="http://schemas.openxmlformats.org/officeDocument/2006/relationships/footer" Target="footer124.xml"/><Relationship Id="rId316" Type="http://schemas.openxmlformats.org/officeDocument/2006/relationships/header" Target="header153.xml"/><Relationship Id="rId523" Type="http://schemas.openxmlformats.org/officeDocument/2006/relationships/header" Target="header257.xml"/><Relationship Id="rId55" Type="http://schemas.openxmlformats.org/officeDocument/2006/relationships/header" Target="header23.xml"/><Relationship Id="rId97" Type="http://schemas.openxmlformats.org/officeDocument/2006/relationships/header" Target="header44.xml"/><Relationship Id="rId120" Type="http://schemas.openxmlformats.org/officeDocument/2006/relationships/header" Target="header55.xml"/><Relationship Id="rId358" Type="http://schemas.openxmlformats.org/officeDocument/2006/relationships/header" Target="header174.xml"/><Relationship Id="rId162" Type="http://schemas.openxmlformats.org/officeDocument/2006/relationships/header" Target="header76.xml"/><Relationship Id="rId218" Type="http://schemas.openxmlformats.org/officeDocument/2006/relationships/footer" Target="footer103.xml"/><Relationship Id="rId425" Type="http://schemas.openxmlformats.org/officeDocument/2006/relationships/footer" Target="footer207.xml"/><Relationship Id="rId467" Type="http://schemas.openxmlformats.org/officeDocument/2006/relationships/footer" Target="footer228.xml"/><Relationship Id="rId271" Type="http://schemas.openxmlformats.org/officeDocument/2006/relationships/header" Target="header131.xml"/><Relationship Id="rId24" Type="http://schemas.openxmlformats.org/officeDocument/2006/relationships/header" Target="header7.xml"/><Relationship Id="rId66" Type="http://schemas.openxmlformats.org/officeDocument/2006/relationships/header" Target="header28.xml"/><Relationship Id="rId131" Type="http://schemas.openxmlformats.org/officeDocument/2006/relationships/footer" Target="footer60.xml"/><Relationship Id="rId327" Type="http://schemas.openxmlformats.org/officeDocument/2006/relationships/footer" Target="footer158.xml"/><Relationship Id="rId369" Type="http://schemas.openxmlformats.org/officeDocument/2006/relationships/footer" Target="footer179.xml"/><Relationship Id="rId534" Type="http://schemas.openxmlformats.org/officeDocument/2006/relationships/fontTable" Target="fontTable.xml"/><Relationship Id="rId173" Type="http://schemas.openxmlformats.org/officeDocument/2006/relationships/footer" Target="footer81.xml"/><Relationship Id="rId229" Type="http://schemas.openxmlformats.org/officeDocument/2006/relationships/header" Target="header110.xml"/><Relationship Id="rId380" Type="http://schemas.openxmlformats.org/officeDocument/2006/relationships/footer" Target="footer184.xml"/><Relationship Id="rId436" Type="http://schemas.openxmlformats.org/officeDocument/2006/relationships/header" Target="header213.xml"/><Relationship Id="rId240" Type="http://schemas.openxmlformats.org/officeDocument/2006/relationships/header" Target="header115.xml"/><Relationship Id="rId478" Type="http://schemas.openxmlformats.org/officeDocument/2006/relationships/header" Target="header234.xml"/><Relationship Id="rId35" Type="http://schemas.openxmlformats.org/officeDocument/2006/relationships/footer" Target="footer12.xml"/><Relationship Id="rId77" Type="http://schemas.openxmlformats.org/officeDocument/2006/relationships/footer" Target="footer33.xml"/><Relationship Id="rId100" Type="http://schemas.openxmlformats.org/officeDocument/2006/relationships/header" Target="header45.xml"/><Relationship Id="rId282" Type="http://schemas.openxmlformats.org/officeDocument/2006/relationships/header" Target="header136.xml"/><Relationship Id="rId338" Type="http://schemas.openxmlformats.org/officeDocument/2006/relationships/footer" Target="footer163.xml"/><Relationship Id="rId503" Type="http://schemas.openxmlformats.org/officeDocument/2006/relationships/footer" Target="footer246.xml"/><Relationship Id="rId8" Type="http://schemas.openxmlformats.org/officeDocument/2006/relationships/webSettings" Target="webSettings.xml"/><Relationship Id="rId142" Type="http://schemas.openxmlformats.org/officeDocument/2006/relationships/header" Target="header66.xml"/><Relationship Id="rId184" Type="http://schemas.openxmlformats.org/officeDocument/2006/relationships/header" Target="header87.xml"/><Relationship Id="rId391" Type="http://schemas.openxmlformats.org/officeDocument/2006/relationships/header" Target="header191.xml"/><Relationship Id="rId405" Type="http://schemas.openxmlformats.org/officeDocument/2006/relationships/footer" Target="footer197.xml"/><Relationship Id="rId447" Type="http://schemas.openxmlformats.org/officeDocument/2006/relationships/footer" Target="footer218.xml"/><Relationship Id="rId251" Type="http://schemas.openxmlformats.org/officeDocument/2006/relationships/footer" Target="footer120.xml"/><Relationship Id="rId489" Type="http://schemas.openxmlformats.org/officeDocument/2006/relationships/footer" Target="footer239.xml"/></Relationships>
</file>

<file path=word/documenttasks/documenttasks1.xml><?xml version="1.0" encoding="utf-8"?>
<t:Tasks xmlns:t="http://schemas.microsoft.com/office/tasks/2019/documenttasks" xmlns:oel="http://schemas.microsoft.com/office/2019/extlst">
  <t:Task id="{F3525B35-895C-4310-99DB-62942347238E}">
    <t:Anchor>
      <t:Comment id="300003841"/>
    </t:Anchor>
    <t:History>
      <t:Event id="{25C082A1-F087-4F2D-9DA1-D0BADC88BCDB}" time="2023-08-31T10:16:41.442Z">
        <t:Attribution userId="S::pierre.braun@ec.europa.eu::4db60750-1009-4778-93d3-5932503cfbf0" userProvider="AD" userName="BRAUN Pierre (SG-RECOVER)"/>
        <t:Anchor>
          <t:Comment id="1468592145"/>
        </t:Anchor>
        <t:Create/>
      </t:Event>
      <t:Event id="{9B255922-180F-4581-BCE5-D835106760AF}" time="2023-08-31T10:16:41.442Z">
        <t:Attribution userId="S::pierre.braun@ec.europa.eu::4db60750-1009-4778-93d3-5932503cfbf0" userProvider="AD" userName="BRAUN Pierre (SG-RECOVER)"/>
        <t:Anchor>
          <t:Comment id="1468592145"/>
        </t:Anchor>
        <t:Assign userId="S::Viktor.BORECKY@ec.europa.eu::56484f08-4a11-481f-953f-f639a70c440d" userProvider="AD" userName="BORECKY Viktor (SG-RECOVER)"/>
      </t:Event>
      <t:Event id="{76693B00-B283-4C27-A1E6-E6F7B7423575}" time="2023-08-31T10:16:41.442Z">
        <t:Attribution userId="S::pierre.braun@ec.europa.eu::4db60750-1009-4778-93d3-5932503cfbf0" userProvider="AD" userName="BRAUN Pierre (SG-RECOVER)"/>
        <t:Anchor>
          <t:Comment id="1468592145"/>
        </t:Anchor>
        <t:SetTitle title="@BORECKY Viktor (SG-RECOVER)"/>
      </t:Event>
    </t:History>
  </t:Task>
  <t:Task id="{C5FE4C36-E59C-4BD5-89DD-C6327B5BBB28}">
    <t:Anchor>
      <t:Comment id="1806348563"/>
    </t:Anchor>
    <t:History>
      <t:Event id="{92755D31-0E92-423A-9884-9CA74766FCC7}" time="2023-08-31T10:16:30.273Z">
        <t:Attribution userId="S::pierre.braun@ec.europa.eu::4db60750-1009-4778-93d3-5932503cfbf0" userProvider="AD" userName="BRAUN Pierre (SG-RECOVER)"/>
        <t:Anchor>
          <t:Comment id="1522183723"/>
        </t:Anchor>
        <t:Create/>
      </t:Event>
      <t:Event id="{C0C588FA-864E-48B0-A379-EF685368B05D}" time="2023-08-31T10:16:30.273Z">
        <t:Attribution userId="S::pierre.braun@ec.europa.eu::4db60750-1009-4778-93d3-5932503cfbf0" userProvider="AD" userName="BRAUN Pierre (SG-RECOVER)"/>
        <t:Anchor>
          <t:Comment id="1522183723"/>
        </t:Anchor>
        <t:Assign userId="S::Viktor.BORECKY@ec.europa.eu::56484f08-4a11-481f-953f-f639a70c440d" userProvider="AD" userName="BORECKY Viktor (SG-RECOVER)"/>
      </t:Event>
      <t:Event id="{744FEE5A-2EF8-4B6C-8A3F-B713761F30CC}" time="2023-08-31T10:16:30.273Z">
        <t:Attribution userId="S::pierre.braun@ec.europa.eu::4db60750-1009-4778-93d3-5932503cfbf0" userProvider="AD" userName="BRAUN Pierre (SG-RECOVER)"/>
        <t:Anchor>
          <t:Comment id="1522183723"/>
        </t:Anchor>
        <t:SetTitle title="@BORECKY Viktor (SG-RECOVER)"/>
      </t:Event>
    </t:History>
  </t:Task>
  <t:Task id="{6504AA64-60A8-4F79-9B8F-4EFD8B085836}">
    <t:Anchor>
      <t:Comment id="677711658"/>
    </t:Anchor>
    <t:History>
      <t:Event id="{6726D18A-241E-4A2D-AEE0-C2DDDD31078F}" time="2023-07-24T14:00:57.343Z">
        <t:Attribution userId="S::lucianajulia.pace@ec.europa.eu::3b9ac415-a39d-43f8-8440-e20353d666a5" userProvider="AD" userName="PACE Lucianajulia (SG-RECOVER)"/>
        <t:Anchor>
          <t:Comment id="1446213569"/>
        </t:Anchor>
        <t:Create/>
      </t:Event>
      <t:Event id="{ACF273EB-4610-4B44-AC98-3FAE6798BB02}" time="2023-07-24T14:00:57.343Z">
        <t:Attribution userId="S::lucianajulia.pace@ec.europa.eu::3b9ac415-a39d-43f8-8440-e20353d666a5" userProvider="AD" userName="PACE Lucianajulia (SG-RECOVER)"/>
        <t:Anchor>
          <t:Comment id="1446213569"/>
        </t:Anchor>
        <t:Assign userId="S::Veronica.VECCHIO@ec.europa.eu::d5c4ccd5-582d-45c1-8b25-53f374ea35d1" userProvider="AD" userName="VECCHIO Veronica (SG-RECOVER)"/>
      </t:Event>
      <t:Event id="{1CD38E6C-8C08-4D27-A7F7-8F974E20D9BD}" time="2023-07-24T14:00:57.343Z">
        <t:Attribution userId="S::lucianajulia.pace@ec.europa.eu::3b9ac415-a39d-43f8-8440-e20353d666a5" userProvider="AD" userName="PACE Lucianajulia (SG-RECOVER)"/>
        <t:Anchor>
          <t:Comment id="1446213569"/>
        </t:Anchor>
        <t:SetTitle title="@VECCHIO Veronica (SG-RECOVER) it is still correct since we did not modify the number of projects (M/T #5 and #6). But obviously is not needed, would be an extra thing to check, if the can 'simplify' I would remove this para entirely or remove the numbers"/>
      </t:Event>
      <t:Event id="{FA4F90C7-77A9-470B-90C4-DAF414D6159C}" time="2023-08-30T09:44:58.27Z">
        <t:Attribution userId="S::lucianajulia.pace@ec.europa.eu::3b9ac415-a39d-43f8-8440-e20353d666a5" userProvider="AD" userName="PACE Lucianajulia (SG-RECOV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094E9F29D6C04F85860C631ABC812A" ma:contentTypeVersion="7" ma:contentTypeDescription="Create a new document." ma:contentTypeScope="" ma:versionID="8ed1ac75ea9c93cadbac586546f141ad">
  <xsd:schema xmlns:xsd="http://www.w3.org/2001/XMLSchema" xmlns:xs="http://www.w3.org/2001/XMLSchema" xmlns:p="http://schemas.microsoft.com/office/2006/metadata/properties" xmlns:ns2="1700ab43-7395-48ff-866c-657c86ba7f4e" xmlns:ns3="e6c3bc29-9e11-4027-900b-c73633d7928a" targetNamespace="http://schemas.microsoft.com/office/2006/metadata/properties" ma:root="true" ma:fieldsID="d2a3655aee8b5587f3c1d14e28210649" ns2:_="" ns3:_="">
    <xsd:import namespace="1700ab43-7395-48ff-866c-657c86ba7f4e"/>
    <xsd:import namespace="e6c3bc29-9e11-4027-900b-c73633d79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0ab43-7395-48ff-866c-657c86ba7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c3bc29-9e11-4027-900b-c73633d792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6c3bc29-9e11-4027-900b-c73633d7928a">
      <UserInfo>
        <DisplayName>SOLZBACHER Clara (SG-RECOVER)</DisplayName>
        <AccountId>553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B57A9-50C7-49E1-9465-3E4E19454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0ab43-7395-48ff-866c-657c86ba7f4e"/>
    <ds:schemaRef ds:uri="e6c3bc29-9e11-4027-900b-c73633d79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063D08-B121-46EE-BA9C-694460AF17C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6c3bc29-9e11-4027-900b-c73633d7928a"/>
    <ds:schemaRef ds:uri="1700ab43-7395-48ff-866c-657c86ba7f4e"/>
    <ds:schemaRef ds:uri="http://www.w3.org/XML/1998/namespace"/>
    <ds:schemaRef ds:uri="http://purl.org/dc/dcmitype/"/>
  </ds:schemaRefs>
</ds:datastoreItem>
</file>

<file path=customXml/itemProps3.xml><?xml version="1.0" encoding="utf-8"?>
<ds:datastoreItem xmlns:ds="http://schemas.openxmlformats.org/officeDocument/2006/customXml" ds:itemID="{6BB6DE65-F16F-41F1-ABBC-D1E6407B9DD6}">
  <ds:schemaRefs>
    <ds:schemaRef ds:uri="http://schemas.microsoft.com/sharepoint/v3/contenttype/forms"/>
  </ds:schemaRefs>
</ds:datastoreItem>
</file>

<file path=customXml/itemProps4.xml><?xml version="1.0" encoding="utf-8"?>
<ds:datastoreItem xmlns:ds="http://schemas.openxmlformats.org/officeDocument/2006/customXml" ds:itemID="{A6FA7240-78A7-40A4-B709-2F1AD6FE9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25</Pages>
  <Words>99111</Words>
  <Characters>564933</Characters>
  <Application>Microsoft Office Word</Application>
  <DocSecurity>0</DocSecurity>
  <Lines>4707</Lines>
  <Paragraphs>1325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662719</CharactersWithSpaces>
  <SharedDoc>false</SharedDoc>
  <HLinks>
    <vt:vector size="12" baseType="variant">
      <vt:variant>
        <vt:i4>1048692</vt:i4>
      </vt:variant>
      <vt:variant>
        <vt:i4>3</vt:i4>
      </vt:variant>
      <vt:variant>
        <vt:i4>0</vt:i4>
      </vt:variant>
      <vt:variant>
        <vt:i4>5</vt:i4>
      </vt:variant>
      <vt:variant>
        <vt:lpwstr>mailto:Lucia.VARGAS-MARTINEZ@ec.europa.eu</vt:lpwstr>
      </vt:variant>
      <vt:variant>
        <vt:lpwstr/>
      </vt:variant>
      <vt:variant>
        <vt:i4>4194427</vt:i4>
      </vt:variant>
      <vt:variant>
        <vt:i4>0</vt:i4>
      </vt:variant>
      <vt:variant>
        <vt:i4>0</vt:i4>
      </vt:variant>
      <vt:variant>
        <vt:i4>5</vt:i4>
      </vt:variant>
      <vt:variant>
        <vt:lpwstr>mailto:Jachym.HERCHER@ec.europa.eu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BERTOLINI Elena (SG-RECOVER)</dc:creator>
  <cp:keywords/>
  <cp:lastModifiedBy>EC CoDe</cp:lastModifiedBy>
  <cp:revision>22</cp:revision>
  <cp:lastPrinted>2023-08-10T01:08:00Z</cp:lastPrinted>
  <dcterms:created xsi:type="dcterms:W3CDTF">2023-09-25T13:38:00Z</dcterms:created>
  <dcterms:modified xsi:type="dcterms:W3CDTF">2023-10-09T17:35:00Z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0x01010062094E9F29D6C04F85860C631ABC812A</vt:lpwstr>
  </property>
  <property fmtid="{D5CDD505-2E9C-101B-9397-08002B2CF9AE}" pid="3" name="MSIP_Label_6bd9ddd1-4d20-43f6-abfa-fc3c07406f94_Enabled">
    <vt:lpwstr>true</vt:lpwstr>
  </property>
  <property fmtid="{D5CDD505-2E9C-101B-9397-08002B2CF9AE}" pid="4" name="MSIP_Label_6bd9ddd1-4d20-43f6-abfa-fc3c07406f94_SetDate">
    <vt:lpwstr>2023-07-10T11:19:36Z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76317aee-d8f5-4d64-88bc-81ac0b687d24</vt:lpwstr>
  </property>
  <property fmtid="{D5CDD505-2E9C-101B-9397-08002B2CF9AE}" pid="9" name="MSIP_Label_6bd9ddd1-4d20-43f6-abfa-fc3c07406f94_ContentBits">
    <vt:lpwstr>0</vt:lpwstr>
  </property>
  <property fmtid="{D5CDD505-2E9C-101B-9397-08002B2CF9AE}" pid="10" name="Level of sensitivity">
    <vt:lpwstr>Standard treatment</vt:lpwstr>
  </property>
  <property fmtid="{D5CDD505-2E9C-101B-9397-08002B2CF9AE}" pid="11" name="First annex">
    <vt:lpwstr>1</vt:lpwstr>
  </property>
  <property fmtid="{D5CDD505-2E9C-101B-9397-08002B2CF9AE}" pid="12" name="Last annex">
    <vt:lpwstr>1</vt:lpwstr>
  </property>
  <property fmtid="{D5CDD505-2E9C-101B-9397-08002B2CF9AE}" pid="13" name="Unique annex">
    <vt:lpwstr>1</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y fmtid="{D5CDD505-2E9C-101B-9397-08002B2CF9AE}" pid="17" name="CPTemplateID">
    <vt:lpwstr>CP-036</vt:lpwstr>
  </property>
  <property fmtid="{D5CDD505-2E9C-101B-9397-08002B2CF9AE}" pid="18" name="Last edited using">
    <vt:lpwstr>LW 9.0, Build 20230317</vt:lpwstr>
  </property>
  <property fmtid="{D5CDD505-2E9C-101B-9397-08002B2CF9AE}" pid="19" name="Created using">
    <vt:lpwstr>LW 9.0, Build 20230317</vt:lpwstr>
  </property>
</Properties>
</file>