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32FF6" w14:textId="6CD63228" w:rsidR="00B858D4" w:rsidRPr="0084037D" w:rsidRDefault="009E1819" w:rsidP="009E1819">
      <w:pPr>
        <w:pStyle w:val="Pagedecouverture"/>
        <w:rPr>
          <w:noProof/>
        </w:rPr>
      </w:pPr>
      <w:r>
        <w:rPr>
          <w:noProof/>
        </w:rPr>
        <w:pict w14:anchorId="11A7A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D68BB7C-C907-4646-9E73-AB7B2DC97261" style="width:455.25pt;height:355.5pt">
            <v:imagedata r:id="rId11" o:title=""/>
          </v:shape>
        </w:pict>
      </w:r>
    </w:p>
    <w:p w14:paraId="4E53AA10" w14:textId="77777777" w:rsidR="00B858D4" w:rsidRPr="0084037D" w:rsidRDefault="00B858D4" w:rsidP="00B858D4">
      <w:pPr>
        <w:rPr>
          <w:noProof/>
        </w:rPr>
        <w:sectPr w:rsidR="00B858D4" w:rsidRPr="0084037D" w:rsidSect="009E1819">
          <w:footerReference w:type="default" r:id="rId12"/>
          <w:footnotePr>
            <w:numRestart w:val="eachSect"/>
          </w:footnotePr>
          <w:pgSz w:w="11907" w:h="16839"/>
          <w:pgMar w:top="1134" w:right="1417" w:bottom="1134" w:left="1417" w:header="709" w:footer="709" w:gutter="0"/>
          <w:pgNumType w:start="0"/>
          <w:cols w:space="720"/>
          <w:docGrid w:linePitch="360"/>
        </w:sectPr>
      </w:pPr>
    </w:p>
    <w:p w14:paraId="7AB01366" w14:textId="77777777" w:rsidR="008D2FA3" w:rsidRPr="0084037D" w:rsidRDefault="00B858D4" w:rsidP="007E3AC5">
      <w:pPr>
        <w:pStyle w:val="Exposdesmotifstitre"/>
        <w:rPr>
          <w:noProof/>
        </w:rPr>
      </w:pPr>
      <w:bookmarkStart w:id="0" w:name="_GoBack"/>
      <w:bookmarkEnd w:id="0"/>
      <w:r w:rsidRPr="0084037D">
        <w:rPr>
          <w:noProof/>
        </w:rPr>
        <w:lastRenderedPageBreak/>
        <w:t>EXPLANATORY MEMORANDUM</w:t>
      </w:r>
    </w:p>
    <w:p w14:paraId="4FE51AAD" w14:textId="77777777" w:rsidR="00B858D4" w:rsidRPr="0084037D" w:rsidRDefault="00B858D4" w:rsidP="008154B4">
      <w:pPr>
        <w:pStyle w:val="ManualHeading1"/>
        <w:rPr>
          <w:noProof/>
        </w:rPr>
      </w:pPr>
      <w:r w:rsidRPr="0084037D">
        <w:rPr>
          <w:noProof/>
        </w:rPr>
        <w:t>1.</w:t>
      </w:r>
      <w:r w:rsidRPr="0084037D">
        <w:rPr>
          <w:noProof/>
        </w:rPr>
        <w:tab/>
        <w:t>CONTEXT OF THE PROPOSAL</w:t>
      </w:r>
    </w:p>
    <w:p w14:paraId="233D4AF9" w14:textId="77777777" w:rsidR="008D2FA3" w:rsidRPr="0084037D" w:rsidRDefault="00B858D4" w:rsidP="007E3AC5">
      <w:pPr>
        <w:pStyle w:val="ManualHeading2"/>
        <w:rPr>
          <w:rFonts w:eastAsia="Arial Unicode MS"/>
          <w:noProof/>
        </w:rPr>
      </w:pPr>
      <w:r w:rsidRPr="0084037D">
        <w:rPr>
          <w:rFonts w:eastAsia="Arial Unicode MS"/>
          <w:noProof/>
          <w:color w:val="000000"/>
          <w:u w:color="000000"/>
          <w:bdr w:val="nil"/>
          <w:lang w:val="en-US" w:eastAsia="en-GB"/>
        </w:rPr>
        <w:t>•</w:t>
      </w:r>
      <w:r w:rsidRPr="0084037D">
        <w:rPr>
          <w:rFonts w:eastAsia="Arial Unicode MS"/>
          <w:noProof/>
          <w:color w:val="000000"/>
          <w:u w:color="000000"/>
          <w:bdr w:val="nil"/>
          <w:lang w:val="en-US" w:eastAsia="en-GB"/>
        </w:rPr>
        <w:tab/>
      </w:r>
      <w:r w:rsidRPr="0084037D">
        <w:rPr>
          <w:rFonts w:eastAsia="Arial Unicode MS"/>
          <w:noProof/>
        </w:rPr>
        <w:t>Reasons for and objectives of the proposal</w:t>
      </w:r>
    </w:p>
    <w:p w14:paraId="0171EA0F" w14:textId="77777777" w:rsidR="008D2FA3" w:rsidRPr="0084037D" w:rsidRDefault="00935BEA" w:rsidP="008D2FA3">
      <w:pPr>
        <w:pBdr>
          <w:top w:val="nil"/>
          <w:left w:val="nil"/>
          <w:bottom w:val="nil"/>
          <w:right w:val="nil"/>
          <w:between w:val="nil"/>
          <w:bar w:val="nil"/>
        </w:pBdr>
        <w:spacing w:before="0" w:after="240"/>
        <w:rPr>
          <w:rFonts w:eastAsia="Arial Unicode MS"/>
          <w:noProof/>
        </w:rPr>
      </w:pPr>
      <w:r w:rsidRPr="0084037D">
        <w:rPr>
          <w:rFonts w:eastAsia="Arial Unicode MS"/>
          <w:noProof/>
        </w:rPr>
        <w:t>Regulation (EU) No 1380/2013 of the European Parliament and of the Council on the Common Fisheries Policy</w:t>
      </w:r>
      <w:r w:rsidR="008D2FA3" w:rsidRPr="0084037D">
        <w:rPr>
          <w:rFonts w:eastAsia="Arial Unicode MS"/>
          <w:noProof/>
        </w:rPr>
        <w:t xml:space="preserve"> </w:t>
      </w:r>
      <w:r w:rsidRPr="0084037D">
        <w:rPr>
          <w:rFonts w:eastAsia="Arial Unicode MS"/>
          <w:noProof/>
        </w:rPr>
        <w:t>(</w:t>
      </w:r>
      <w:r w:rsidR="008D2FA3" w:rsidRPr="0084037D">
        <w:rPr>
          <w:rFonts w:eastAsia="Arial Unicode MS"/>
          <w:noProof/>
        </w:rPr>
        <w:t>CFP Basic Regulation</w:t>
      </w:r>
      <w:r w:rsidRPr="0084037D">
        <w:rPr>
          <w:rFonts w:eastAsia="Arial Unicode MS"/>
          <w:noProof/>
        </w:rPr>
        <w:t>)</w:t>
      </w:r>
      <w:r w:rsidR="001B2A8B" w:rsidRPr="0084037D">
        <w:rPr>
          <w:rStyle w:val="FootnoteReference"/>
          <w:rFonts w:eastAsia="Arial Unicode MS"/>
          <w:noProof/>
        </w:rPr>
        <w:footnoteReference w:id="1"/>
      </w:r>
      <w:r w:rsidRPr="0084037D">
        <w:rPr>
          <w:rFonts w:eastAsia="Arial Unicode MS"/>
          <w:noProof/>
        </w:rPr>
        <w:t xml:space="preserve"> </w:t>
      </w:r>
      <w:r w:rsidR="008D2FA3" w:rsidRPr="0084037D">
        <w:rPr>
          <w:rFonts w:eastAsia="Arial Unicode MS"/>
          <w:noProof/>
        </w:rPr>
        <w:t>seeks to ensure that living aquatic resources are exploited under sustainable economic, environmental and social conditions. One important tool in this respect is the annual fixing of fishing opportunities. All fishing opportunities regulations must limit the harvesting of fish stocks to levels consistent with the overall objectives of the common fisheries policy (CFP).</w:t>
      </w:r>
    </w:p>
    <w:p w14:paraId="0A2CEC63" w14:textId="77777777" w:rsidR="008D2FA3" w:rsidRPr="0084037D" w:rsidRDefault="008D2FA3" w:rsidP="008D2FA3">
      <w:pPr>
        <w:pBdr>
          <w:top w:val="nil"/>
          <w:left w:val="nil"/>
          <w:bottom w:val="nil"/>
          <w:right w:val="nil"/>
          <w:between w:val="nil"/>
          <w:bar w:val="nil"/>
        </w:pBdr>
        <w:spacing w:before="0" w:after="240"/>
        <w:rPr>
          <w:rFonts w:eastAsia="Arial Unicode MS"/>
          <w:noProof/>
        </w:rPr>
      </w:pPr>
      <w:r w:rsidRPr="0084037D">
        <w:rPr>
          <w:rFonts w:eastAsia="Arial Unicode MS"/>
          <w:noProof/>
        </w:rPr>
        <w:t>The objective of this proposal is to fix the fishing opportunities for certain stocks and groups of stocks in the Mediterranean and the Black Seas.</w:t>
      </w:r>
    </w:p>
    <w:p w14:paraId="78754883" w14:textId="77777777" w:rsidR="008D2FA3" w:rsidRPr="0084037D" w:rsidRDefault="009623DE" w:rsidP="008D2FA3">
      <w:pPr>
        <w:pBdr>
          <w:top w:val="nil"/>
          <w:left w:val="nil"/>
          <w:bottom w:val="nil"/>
          <w:right w:val="nil"/>
          <w:between w:val="nil"/>
          <w:bar w:val="nil"/>
        </w:pBdr>
        <w:spacing w:before="0" w:after="240"/>
        <w:rPr>
          <w:rFonts w:eastAsia="Arial Unicode MS"/>
          <w:noProof/>
        </w:rPr>
      </w:pPr>
      <w:r w:rsidRPr="0084037D">
        <w:rPr>
          <w:rFonts w:eastAsia="Arial Unicode MS"/>
          <w:noProof/>
        </w:rPr>
        <w:t xml:space="preserve">In </w:t>
      </w:r>
      <w:r w:rsidR="0009602B" w:rsidRPr="0084037D">
        <w:rPr>
          <w:rFonts w:eastAsia="Arial Unicode MS"/>
          <w:noProof/>
        </w:rPr>
        <w:t>line with</w:t>
      </w:r>
      <w:r w:rsidR="008D2FA3" w:rsidRPr="0084037D">
        <w:rPr>
          <w:rFonts w:eastAsia="Arial Unicode MS"/>
          <w:noProof/>
        </w:rPr>
        <w:t xml:space="preserve"> the multiannual plan for demersal stocks in the western Mediterranean,</w:t>
      </w:r>
      <w:r w:rsidR="005E1DC7" w:rsidRPr="0084037D">
        <w:rPr>
          <w:rStyle w:val="FootnoteReference"/>
          <w:noProof/>
        </w:rPr>
        <w:footnoteReference w:id="2"/>
      </w:r>
      <w:r w:rsidR="008D2FA3" w:rsidRPr="0084037D">
        <w:rPr>
          <w:rFonts w:eastAsia="Arial Unicode MS"/>
          <w:noProof/>
        </w:rPr>
        <w:t xml:space="preserve"> this proposal</w:t>
      </w:r>
      <w:r w:rsidR="00837B2F" w:rsidRPr="0084037D">
        <w:rPr>
          <w:rFonts w:eastAsia="Arial Unicode MS"/>
          <w:noProof/>
        </w:rPr>
        <w:t xml:space="preserve"> proposes to</w:t>
      </w:r>
      <w:r w:rsidR="008D2FA3" w:rsidRPr="0084037D">
        <w:rPr>
          <w:rFonts w:eastAsia="Arial Unicode MS"/>
          <w:noProof/>
        </w:rPr>
        <w:t xml:space="preserve"> fix fishing opportunities, expressed in terms of maximum allowable fishing effort</w:t>
      </w:r>
      <w:r w:rsidR="00935BEA" w:rsidRPr="0084037D">
        <w:rPr>
          <w:rFonts w:eastAsia="Arial Unicode MS"/>
          <w:noProof/>
        </w:rPr>
        <w:t xml:space="preserve"> and maximum catch limits for shrimps</w:t>
      </w:r>
      <w:r w:rsidR="008D2FA3" w:rsidRPr="0084037D">
        <w:rPr>
          <w:rFonts w:eastAsia="Arial Unicode MS"/>
          <w:noProof/>
        </w:rPr>
        <w:t>, for the Member States concerned (Spain, France and Italy).</w:t>
      </w:r>
    </w:p>
    <w:p w14:paraId="466BB7EC" w14:textId="77777777" w:rsidR="008D2FA3" w:rsidRPr="0084037D" w:rsidRDefault="008D2FA3" w:rsidP="008D2FA3">
      <w:pPr>
        <w:pBdr>
          <w:top w:val="nil"/>
          <w:left w:val="nil"/>
          <w:bottom w:val="nil"/>
          <w:right w:val="nil"/>
          <w:between w:val="nil"/>
          <w:bar w:val="nil"/>
        </w:pBdr>
        <w:spacing w:before="0" w:after="240"/>
        <w:rPr>
          <w:rFonts w:eastAsia="Arial Unicode MS"/>
          <w:noProof/>
        </w:rPr>
      </w:pPr>
      <w:r w:rsidRPr="0084037D">
        <w:rPr>
          <w:rFonts w:eastAsia="Arial Unicode MS"/>
          <w:noProof/>
        </w:rPr>
        <w:t xml:space="preserve">This proposal also </w:t>
      </w:r>
      <w:r w:rsidR="00837B2F" w:rsidRPr="0084037D">
        <w:rPr>
          <w:rFonts w:eastAsia="Arial Unicode MS"/>
          <w:noProof/>
        </w:rPr>
        <w:t xml:space="preserve">proposes to </w:t>
      </w:r>
      <w:r w:rsidRPr="0084037D">
        <w:rPr>
          <w:rFonts w:eastAsia="Arial Unicode MS"/>
          <w:noProof/>
        </w:rPr>
        <w:t>fix fishing opportunities pursuant to agreements reached in the framework of the General Fisheries Commission for the Mediterranean (GFCM), a regional fisheries management organisation responsible for the conservation and management of living marine resources in the Mediterranean and Black Seas. The European Union is a member of the GFCM, together with Bulgaria, Croatia, Cyprus, France, Greece, Italy, Malta, Romania, Slovenia and Spain. Measures adopted in the framework of the GFCM are binding on its members.</w:t>
      </w:r>
    </w:p>
    <w:p w14:paraId="2D7BB160" w14:textId="77777777" w:rsidR="008D2FA3" w:rsidRPr="0084037D" w:rsidRDefault="008D2FA3" w:rsidP="008D2FA3">
      <w:pPr>
        <w:pBdr>
          <w:top w:val="nil"/>
          <w:left w:val="nil"/>
          <w:bottom w:val="nil"/>
          <w:right w:val="nil"/>
          <w:between w:val="nil"/>
          <w:bar w:val="nil"/>
        </w:pBdr>
        <w:spacing w:before="0" w:after="240"/>
        <w:rPr>
          <w:rFonts w:eastAsia="Arial Unicode MS"/>
          <w:noProof/>
        </w:rPr>
      </w:pPr>
      <w:r w:rsidRPr="0084037D">
        <w:rPr>
          <w:rFonts w:eastAsia="Arial Unicode MS"/>
          <w:noProof/>
        </w:rPr>
        <w:t xml:space="preserve">Finally, this proposal </w:t>
      </w:r>
      <w:r w:rsidR="00837B2F" w:rsidRPr="0084037D">
        <w:rPr>
          <w:rFonts w:eastAsia="Arial Unicode MS"/>
          <w:noProof/>
        </w:rPr>
        <w:t xml:space="preserve">proposes to </w:t>
      </w:r>
      <w:r w:rsidRPr="0084037D">
        <w:rPr>
          <w:rFonts w:eastAsia="Arial Unicode MS"/>
          <w:noProof/>
        </w:rPr>
        <w:t>fix an autonomous quota for Black Sea sprat in order not to increase the current level of fishing mortality. It also</w:t>
      </w:r>
      <w:r w:rsidR="005E1DC7" w:rsidRPr="0084037D">
        <w:rPr>
          <w:rFonts w:eastAsia="Arial Unicode MS"/>
          <w:noProof/>
        </w:rPr>
        <w:t xml:space="preserve"> </w:t>
      </w:r>
      <w:r w:rsidR="00935BEA" w:rsidRPr="0084037D">
        <w:rPr>
          <w:rFonts w:eastAsia="Arial Unicode MS"/>
          <w:noProof/>
        </w:rPr>
        <w:t>implement</w:t>
      </w:r>
      <w:r w:rsidR="00955179" w:rsidRPr="0084037D">
        <w:rPr>
          <w:rFonts w:eastAsia="Arial Unicode MS"/>
          <w:noProof/>
        </w:rPr>
        <w:t>s</w:t>
      </w:r>
      <w:r w:rsidRPr="0084037D">
        <w:rPr>
          <w:rFonts w:eastAsia="Arial Unicode MS"/>
          <w:noProof/>
        </w:rPr>
        <w:t xml:space="preserve"> </w:t>
      </w:r>
      <w:r w:rsidR="005E1DC7" w:rsidRPr="0084037D">
        <w:rPr>
          <w:rFonts w:eastAsia="Arial Unicode MS"/>
          <w:noProof/>
        </w:rPr>
        <w:t xml:space="preserve">into Union law the </w:t>
      </w:r>
      <w:r w:rsidRPr="0084037D">
        <w:rPr>
          <w:rFonts w:eastAsia="Arial Unicode MS"/>
          <w:noProof/>
        </w:rPr>
        <w:t>total allowable catch (TAC) and quotas for turbot as established by the GFCM.</w:t>
      </w:r>
    </w:p>
    <w:p w14:paraId="7D508524" w14:textId="77777777" w:rsidR="00B858D4" w:rsidRPr="0084037D" w:rsidRDefault="008D2FA3" w:rsidP="008D2FA3">
      <w:pPr>
        <w:pBdr>
          <w:top w:val="nil"/>
          <w:left w:val="nil"/>
          <w:bottom w:val="nil"/>
          <w:right w:val="nil"/>
          <w:between w:val="nil"/>
          <w:bar w:val="nil"/>
        </w:pBdr>
        <w:spacing w:before="0" w:after="240"/>
        <w:rPr>
          <w:rFonts w:eastAsia="Arial Unicode MS"/>
          <w:noProof/>
        </w:rPr>
      </w:pPr>
      <w:r w:rsidRPr="0084037D">
        <w:rPr>
          <w:rFonts w:eastAsia="Arial Unicode MS"/>
          <w:noProof/>
        </w:rPr>
        <w:t xml:space="preserve">The ultimate objective </w:t>
      </w:r>
      <w:r w:rsidR="005E1DC7" w:rsidRPr="0084037D">
        <w:rPr>
          <w:rFonts w:eastAsia="Arial Unicode MS"/>
          <w:noProof/>
        </w:rPr>
        <w:t xml:space="preserve">of the proposal </w:t>
      </w:r>
      <w:r w:rsidRPr="0084037D">
        <w:rPr>
          <w:rFonts w:eastAsia="Arial Unicode MS"/>
          <w:noProof/>
        </w:rPr>
        <w:t xml:space="preserve">is to achieve and maintain stock levels that can deliver maximum sustainable yield (MSY). </w:t>
      </w:r>
      <w:r w:rsidR="0009602B" w:rsidRPr="0084037D">
        <w:rPr>
          <w:rFonts w:eastAsia="Arial Unicode MS"/>
          <w:noProof/>
        </w:rPr>
        <w:t>T</w:t>
      </w:r>
      <w:r w:rsidRPr="0084037D">
        <w:rPr>
          <w:rFonts w:eastAsia="Arial Unicode MS"/>
          <w:noProof/>
        </w:rPr>
        <w:t>he multiannual plan for demersal stocks in the western Mediterranean is intended to achieve fishing mortality at MSY on a progressive, incremental basis by 2020 where possible, and by 1 January 2025 at the latest.</w:t>
      </w:r>
    </w:p>
    <w:p w14:paraId="1510AB0B" w14:textId="77777777" w:rsidR="00B858D4" w:rsidRPr="0084037D" w:rsidRDefault="00B858D4" w:rsidP="008154B4">
      <w:pPr>
        <w:pStyle w:val="ManualHeading2"/>
        <w:rPr>
          <w:rFonts w:eastAsia="Arial Unicode MS"/>
          <w:noProof/>
        </w:rPr>
      </w:pPr>
      <w:r w:rsidRPr="0084037D">
        <w:rPr>
          <w:rFonts w:eastAsia="Arial Unicode MS"/>
          <w:noProof/>
          <w:color w:val="000000"/>
          <w:u w:color="000000"/>
          <w:bdr w:val="nil"/>
          <w:lang w:val="en-US" w:eastAsia="en-GB"/>
        </w:rPr>
        <w:t>•</w:t>
      </w:r>
      <w:r w:rsidRPr="0084037D">
        <w:rPr>
          <w:rFonts w:eastAsia="Arial Unicode MS"/>
          <w:noProof/>
          <w:color w:val="000000"/>
          <w:u w:color="000000"/>
          <w:bdr w:val="nil"/>
          <w:lang w:val="en-US" w:eastAsia="en-GB"/>
        </w:rPr>
        <w:tab/>
      </w:r>
      <w:r w:rsidRPr="0084037D">
        <w:rPr>
          <w:rFonts w:eastAsia="Arial Unicode MS"/>
          <w:noProof/>
        </w:rPr>
        <w:t>Consistency with existing policy provisions in the policy area</w:t>
      </w:r>
    </w:p>
    <w:p w14:paraId="3B7E8D4D" w14:textId="77777777" w:rsidR="008D2FA3" w:rsidRPr="0084037D" w:rsidRDefault="008D2FA3" w:rsidP="003B6F86">
      <w:pPr>
        <w:rPr>
          <w:noProof/>
        </w:rPr>
      </w:pPr>
      <w:r w:rsidRPr="0084037D">
        <w:rPr>
          <w:noProof/>
        </w:rPr>
        <w:t>The proposed measures are designed in accordance with the objectives and rules of the CFP.</w:t>
      </w:r>
    </w:p>
    <w:p w14:paraId="00FFA7AE" w14:textId="77777777" w:rsidR="00B858D4" w:rsidRPr="0084037D" w:rsidRDefault="00B858D4" w:rsidP="008154B4">
      <w:pPr>
        <w:pStyle w:val="ManualHeading2"/>
        <w:rPr>
          <w:rFonts w:eastAsia="Arial Unicode MS"/>
          <w:noProof/>
        </w:rPr>
      </w:pPr>
      <w:r w:rsidRPr="0084037D">
        <w:rPr>
          <w:rFonts w:eastAsia="Arial Unicode MS"/>
          <w:noProof/>
          <w:color w:val="000000"/>
          <w:u w:color="000000"/>
          <w:bdr w:val="nil"/>
          <w:lang w:val="en-US" w:eastAsia="en-GB"/>
        </w:rPr>
        <w:t>•</w:t>
      </w:r>
      <w:r w:rsidRPr="0084037D">
        <w:rPr>
          <w:rFonts w:eastAsia="Arial Unicode MS"/>
          <w:noProof/>
          <w:color w:val="000000"/>
          <w:u w:color="000000"/>
          <w:bdr w:val="nil"/>
          <w:lang w:val="en-US" w:eastAsia="en-GB"/>
        </w:rPr>
        <w:tab/>
      </w:r>
      <w:r w:rsidRPr="0084037D">
        <w:rPr>
          <w:rFonts w:eastAsia="Arial Unicode MS"/>
          <w:noProof/>
        </w:rPr>
        <w:t>Consistency with other Union policies</w:t>
      </w:r>
    </w:p>
    <w:p w14:paraId="6AD0767B" w14:textId="77777777" w:rsidR="008D2FA3" w:rsidRPr="0084037D" w:rsidRDefault="008D2FA3" w:rsidP="008154B4">
      <w:pPr>
        <w:pBdr>
          <w:top w:val="nil"/>
          <w:left w:val="nil"/>
          <w:bottom w:val="nil"/>
          <w:right w:val="nil"/>
          <w:between w:val="nil"/>
          <w:bar w:val="nil"/>
        </w:pBdr>
        <w:spacing w:before="0" w:after="240"/>
        <w:rPr>
          <w:rFonts w:eastAsia="Arial Unicode MS"/>
          <w:noProof/>
        </w:rPr>
      </w:pPr>
      <w:r w:rsidRPr="0084037D">
        <w:rPr>
          <w:noProof/>
        </w:rPr>
        <w:t xml:space="preserve">The proposed measures are consistent with the </w:t>
      </w:r>
      <w:r w:rsidR="00955179" w:rsidRPr="0084037D">
        <w:rPr>
          <w:noProof/>
        </w:rPr>
        <w:t xml:space="preserve">other </w:t>
      </w:r>
      <w:r w:rsidRPr="0084037D">
        <w:rPr>
          <w:noProof/>
        </w:rPr>
        <w:t>Union polic</w:t>
      </w:r>
      <w:r w:rsidR="00955179" w:rsidRPr="0084037D">
        <w:rPr>
          <w:noProof/>
        </w:rPr>
        <w:t>ies, in particular with the policies in the field of the environment</w:t>
      </w:r>
      <w:r w:rsidRPr="0084037D">
        <w:rPr>
          <w:noProof/>
        </w:rPr>
        <w:t>.</w:t>
      </w:r>
    </w:p>
    <w:p w14:paraId="5A5E3655" w14:textId="77777777" w:rsidR="00B858D4" w:rsidRPr="0084037D" w:rsidRDefault="00B858D4" w:rsidP="008154B4">
      <w:pPr>
        <w:pStyle w:val="ManualHeading1"/>
        <w:rPr>
          <w:noProof/>
        </w:rPr>
      </w:pPr>
      <w:r w:rsidRPr="0084037D">
        <w:rPr>
          <w:noProof/>
        </w:rPr>
        <w:lastRenderedPageBreak/>
        <w:t>2.</w:t>
      </w:r>
      <w:r w:rsidRPr="0084037D">
        <w:rPr>
          <w:noProof/>
        </w:rPr>
        <w:tab/>
        <w:t>LEGAL BASIS, SUBSIDIARITY AND PROPORTIONALITY</w:t>
      </w:r>
    </w:p>
    <w:p w14:paraId="6B57449A" w14:textId="77777777" w:rsidR="0013763F" w:rsidRPr="0084037D" w:rsidRDefault="00B858D4" w:rsidP="0013763F">
      <w:pPr>
        <w:pStyle w:val="ManualHeading2"/>
        <w:rPr>
          <w:noProof/>
        </w:rPr>
      </w:pPr>
      <w:r w:rsidRPr="0084037D">
        <w:rPr>
          <w:rFonts w:eastAsia="Arial Unicode MS"/>
          <w:noProof/>
          <w:u w:color="000000"/>
          <w:bdr w:val="nil"/>
          <w:lang w:val="en-US" w:eastAsia="en-GB"/>
        </w:rPr>
        <w:t>•</w:t>
      </w:r>
      <w:r w:rsidRPr="0084037D">
        <w:rPr>
          <w:rFonts w:eastAsia="Arial Unicode MS"/>
          <w:noProof/>
          <w:u w:color="000000"/>
          <w:bdr w:val="nil"/>
          <w:lang w:val="en-US" w:eastAsia="en-GB"/>
        </w:rPr>
        <w:tab/>
        <w:t>Legal basis</w:t>
      </w:r>
    </w:p>
    <w:p w14:paraId="0DEFAD1A" w14:textId="77777777" w:rsidR="0013763F" w:rsidRPr="0084037D" w:rsidRDefault="0013763F" w:rsidP="0013763F">
      <w:pPr>
        <w:pBdr>
          <w:top w:val="nil"/>
          <w:left w:val="nil"/>
          <w:bottom w:val="nil"/>
          <w:right w:val="nil"/>
          <w:between w:val="nil"/>
          <w:bar w:val="nil"/>
        </w:pBdr>
        <w:spacing w:before="0" w:after="240"/>
        <w:rPr>
          <w:noProof/>
        </w:rPr>
      </w:pPr>
      <w:r w:rsidRPr="0084037D">
        <w:rPr>
          <w:noProof/>
        </w:rPr>
        <w:t>The legal basis of this proposal is Article 43(3) of the Treaty on the Functioning of the European Union (TFEU).</w:t>
      </w:r>
    </w:p>
    <w:p w14:paraId="3ED07A50" w14:textId="77777777" w:rsidR="00B858D4" w:rsidRPr="0084037D" w:rsidRDefault="00B858D4" w:rsidP="008154B4">
      <w:pPr>
        <w:pStyle w:val="ManualHeading2"/>
        <w:rPr>
          <w:rFonts w:eastAsia="Arial Unicode MS"/>
          <w:noProof/>
          <w:u w:color="000000"/>
          <w:bdr w:val="nil"/>
          <w:lang w:val="en-US" w:eastAsia="en-GB"/>
        </w:rPr>
      </w:pPr>
      <w:r w:rsidRPr="0084037D">
        <w:rPr>
          <w:rFonts w:eastAsia="Arial Unicode MS"/>
          <w:noProof/>
          <w:u w:color="000000"/>
          <w:bdr w:val="nil"/>
          <w:lang w:val="en-US" w:eastAsia="en-GB"/>
        </w:rPr>
        <w:t>•</w:t>
      </w:r>
      <w:r w:rsidRPr="0084037D">
        <w:rPr>
          <w:rFonts w:eastAsia="Arial Unicode MS"/>
          <w:noProof/>
          <w:u w:color="000000"/>
          <w:bdr w:val="nil"/>
          <w:lang w:val="en-US" w:eastAsia="en-GB"/>
        </w:rPr>
        <w:tab/>
        <w:t xml:space="preserve">Subsidiarity (for non-exclusive competence) </w:t>
      </w:r>
    </w:p>
    <w:p w14:paraId="5EF12DEC" w14:textId="77777777" w:rsidR="00B858D4" w:rsidRPr="0084037D" w:rsidRDefault="0013763F" w:rsidP="008154B4">
      <w:pPr>
        <w:pBdr>
          <w:top w:val="nil"/>
          <w:left w:val="nil"/>
          <w:bottom w:val="nil"/>
          <w:right w:val="nil"/>
          <w:between w:val="nil"/>
          <w:bar w:val="nil"/>
        </w:pBdr>
        <w:spacing w:before="0" w:after="240"/>
        <w:rPr>
          <w:rFonts w:eastAsia="Arial Unicode MS"/>
          <w:noProof/>
        </w:rPr>
      </w:pPr>
      <w:r w:rsidRPr="0084037D">
        <w:rPr>
          <w:noProof/>
        </w:rPr>
        <w:t>The proposal falls under the Union’s exclusive competence, as referred to in Article 3(1)(d) TFEU. The subsidiarity principle therefore does not apply.</w:t>
      </w:r>
    </w:p>
    <w:p w14:paraId="657B8EEC" w14:textId="77777777" w:rsidR="00B858D4" w:rsidRPr="0084037D" w:rsidRDefault="00B858D4" w:rsidP="0013763F">
      <w:pPr>
        <w:pStyle w:val="ManualHeading2"/>
        <w:ind w:left="0" w:firstLine="0"/>
        <w:rPr>
          <w:rFonts w:eastAsia="Arial Unicode MS"/>
          <w:noProof/>
          <w:u w:color="000000"/>
          <w:bdr w:val="nil"/>
          <w:lang w:val="en-US" w:eastAsia="en-GB"/>
        </w:rPr>
      </w:pPr>
      <w:r w:rsidRPr="0084037D">
        <w:rPr>
          <w:rFonts w:eastAsia="Arial Unicode MS"/>
          <w:noProof/>
          <w:u w:color="000000"/>
          <w:bdr w:val="nil"/>
          <w:lang w:val="en-US" w:eastAsia="en-GB"/>
        </w:rPr>
        <w:t>•</w:t>
      </w:r>
      <w:r w:rsidRPr="0084037D">
        <w:rPr>
          <w:rFonts w:eastAsia="Arial Unicode MS"/>
          <w:noProof/>
          <w:u w:color="000000"/>
          <w:bdr w:val="nil"/>
          <w:lang w:val="en-US" w:eastAsia="en-GB"/>
        </w:rPr>
        <w:tab/>
        <w:t>Proportionality</w:t>
      </w:r>
    </w:p>
    <w:p w14:paraId="5026EBEB" w14:textId="77777777" w:rsidR="0013763F" w:rsidRPr="0084037D" w:rsidRDefault="0013763F" w:rsidP="0013763F">
      <w:pPr>
        <w:pBdr>
          <w:top w:val="nil"/>
          <w:left w:val="nil"/>
          <w:bottom w:val="nil"/>
          <w:right w:val="nil"/>
          <w:between w:val="nil"/>
          <w:bar w:val="nil"/>
        </w:pBdr>
        <w:spacing w:before="0" w:after="240"/>
        <w:rPr>
          <w:noProof/>
        </w:rPr>
      </w:pPr>
      <w:r w:rsidRPr="0084037D">
        <w:rPr>
          <w:noProof/>
        </w:rPr>
        <w:t>The proposal complies with the proportionality principle because the CFP is a common policy</w:t>
      </w:r>
      <w:r w:rsidR="00FE2638" w:rsidRPr="0084037D">
        <w:rPr>
          <w:noProof/>
        </w:rPr>
        <w:t xml:space="preserve"> so that each EU regional sea</w:t>
      </w:r>
      <w:r w:rsidR="00116EBA" w:rsidRPr="0084037D">
        <w:rPr>
          <w:noProof/>
        </w:rPr>
        <w:t>-</w:t>
      </w:r>
      <w:r w:rsidR="00FE2638" w:rsidRPr="0084037D">
        <w:rPr>
          <w:noProof/>
        </w:rPr>
        <w:t>basin (e.g. Baltic, Mediterranean) is the object of a Fishing Opportunities regulation securing thus level playing field in the implementation of the CFP</w:t>
      </w:r>
      <w:r w:rsidRPr="0084037D">
        <w:rPr>
          <w:noProof/>
        </w:rPr>
        <w:t>. Article 43(3) TFEU requires the Council to adopt measures on the fixing and allocation of fishing opportunities.</w:t>
      </w:r>
    </w:p>
    <w:p w14:paraId="00357DB4" w14:textId="77777777" w:rsidR="0013763F" w:rsidRPr="0084037D" w:rsidRDefault="0013763F" w:rsidP="0013763F">
      <w:pPr>
        <w:pBdr>
          <w:top w:val="nil"/>
          <w:left w:val="nil"/>
          <w:bottom w:val="nil"/>
          <w:right w:val="nil"/>
          <w:between w:val="nil"/>
          <w:bar w:val="nil"/>
        </w:pBdr>
        <w:spacing w:before="0" w:after="240"/>
        <w:rPr>
          <w:noProof/>
        </w:rPr>
      </w:pPr>
      <w:r w:rsidRPr="0084037D">
        <w:rPr>
          <w:noProof/>
        </w:rPr>
        <w:t xml:space="preserve">The </w:t>
      </w:r>
      <w:r w:rsidR="005E1DC7" w:rsidRPr="0084037D">
        <w:rPr>
          <w:noProof/>
        </w:rPr>
        <w:t>proposal</w:t>
      </w:r>
      <w:r w:rsidRPr="0084037D">
        <w:rPr>
          <w:noProof/>
        </w:rPr>
        <w:t xml:space="preserve"> allocate</w:t>
      </w:r>
      <w:r w:rsidR="00955179" w:rsidRPr="0084037D">
        <w:rPr>
          <w:noProof/>
        </w:rPr>
        <w:t>s</w:t>
      </w:r>
      <w:r w:rsidRPr="0084037D">
        <w:rPr>
          <w:noProof/>
        </w:rPr>
        <w:t xml:space="preserve"> fishing opportunities to Member States. Under Articles 16</w:t>
      </w:r>
      <w:r w:rsidR="00955179" w:rsidRPr="0084037D">
        <w:rPr>
          <w:noProof/>
        </w:rPr>
        <w:t>(6) and (7)</w:t>
      </w:r>
      <w:r w:rsidRPr="0084037D">
        <w:rPr>
          <w:noProof/>
        </w:rPr>
        <w:t xml:space="preserve"> and </w:t>
      </w:r>
      <w:r w:rsidR="00955179" w:rsidRPr="0084037D">
        <w:rPr>
          <w:noProof/>
        </w:rPr>
        <w:t xml:space="preserve">Article </w:t>
      </w:r>
      <w:r w:rsidRPr="0084037D">
        <w:rPr>
          <w:noProof/>
        </w:rPr>
        <w:t xml:space="preserve">17 of the CFP Basic Regulation, Member States are free to </w:t>
      </w:r>
      <w:r w:rsidR="00955179" w:rsidRPr="0084037D">
        <w:rPr>
          <w:noProof/>
        </w:rPr>
        <w:t>decide how the fi</w:t>
      </w:r>
      <w:r w:rsidR="00BA1092" w:rsidRPr="0084037D">
        <w:rPr>
          <w:noProof/>
        </w:rPr>
        <w:t>s</w:t>
      </w:r>
      <w:r w:rsidR="00955179" w:rsidRPr="0084037D">
        <w:rPr>
          <w:noProof/>
        </w:rPr>
        <w:t>hing opportunities allocated to them may be allocated to fishing vessels flying their flag in accordance with certain criteria set out in those Articles</w:t>
      </w:r>
      <w:r w:rsidRPr="0084037D">
        <w:rPr>
          <w:noProof/>
        </w:rPr>
        <w:t xml:space="preserve">. Therefore, </w:t>
      </w:r>
      <w:r w:rsidR="00955179" w:rsidRPr="0084037D">
        <w:rPr>
          <w:noProof/>
        </w:rPr>
        <w:t>Member States</w:t>
      </w:r>
      <w:r w:rsidR="00BA1092" w:rsidRPr="0084037D">
        <w:rPr>
          <w:noProof/>
        </w:rPr>
        <w:t xml:space="preserve"> </w:t>
      </w:r>
      <w:r w:rsidRPr="0084037D">
        <w:rPr>
          <w:noProof/>
        </w:rPr>
        <w:t xml:space="preserve">have </w:t>
      </w:r>
      <w:r w:rsidR="00955179" w:rsidRPr="0084037D">
        <w:rPr>
          <w:noProof/>
        </w:rPr>
        <w:t xml:space="preserve">the necessary margin of </w:t>
      </w:r>
      <w:r w:rsidRPr="0084037D">
        <w:rPr>
          <w:noProof/>
        </w:rPr>
        <w:t xml:space="preserve">discretion </w:t>
      </w:r>
      <w:r w:rsidR="00955179" w:rsidRPr="0084037D">
        <w:rPr>
          <w:noProof/>
        </w:rPr>
        <w:t>while distributing the allocated fishing opportunities</w:t>
      </w:r>
      <w:r w:rsidRPr="0084037D">
        <w:rPr>
          <w:noProof/>
        </w:rPr>
        <w:t xml:space="preserve"> in line with their social and economic models.</w:t>
      </w:r>
    </w:p>
    <w:p w14:paraId="1F240203" w14:textId="77777777" w:rsidR="00B858D4" w:rsidRPr="0084037D" w:rsidRDefault="00B858D4" w:rsidP="008154B4">
      <w:pPr>
        <w:pStyle w:val="ManualHeading2"/>
        <w:rPr>
          <w:rFonts w:eastAsia="Arial Unicode MS"/>
          <w:noProof/>
          <w:u w:color="000000"/>
          <w:bdr w:val="nil"/>
          <w:lang w:val="en-US" w:eastAsia="en-GB"/>
        </w:rPr>
      </w:pPr>
      <w:r w:rsidRPr="0084037D">
        <w:rPr>
          <w:rFonts w:eastAsia="Arial Unicode MS"/>
          <w:noProof/>
          <w:u w:color="000000"/>
          <w:bdr w:val="nil"/>
          <w:lang w:val="en-US" w:eastAsia="en-GB"/>
        </w:rPr>
        <w:t>•</w:t>
      </w:r>
      <w:r w:rsidRPr="0084037D">
        <w:rPr>
          <w:rFonts w:eastAsia="Arial Unicode MS"/>
          <w:noProof/>
          <w:u w:color="000000"/>
          <w:bdr w:val="nil"/>
          <w:lang w:val="en-US" w:eastAsia="en-GB"/>
        </w:rPr>
        <w:tab/>
        <w:t>Choice of the instrument</w:t>
      </w:r>
    </w:p>
    <w:p w14:paraId="436DF998" w14:textId="77777777" w:rsidR="00B76224" w:rsidRPr="0084037D" w:rsidRDefault="00955179" w:rsidP="0013763F">
      <w:pPr>
        <w:pBdr>
          <w:top w:val="nil"/>
          <w:left w:val="nil"/>
          <w:bottom w:val="nil"/>
          <w:right w:val="nil"/>
          <w:between w:val="nil"/>
          <w:bar w:val="nil"/>
        </w:pBdr>
        <w:spacing w:before="0" w:after="240"/>
        <w:rPr>
          <w:rFonts w:eastAsia="Arial Unicode MS"/>
          <w:noProof/>
        </w:rPr>
      </w:pPr>
      <w:r w:rsidRPr="0084037D">
        <w:rPr>
          <w:rFonts w:eastAsia="Arial Unicode MS"/>
          <w:noProof/>
        </w:rPr>
        <w:t>A regulation is considered the most appropriate instrument as it makes it possible to set requirements that apply directly to Member States and relevant economic operators. This will help ensure that the requirements are implemented in a timely and harmonised way, leading to greater legal certainty</w:t>
      </w:r>
      <w:r w:rsidR="00B76224" w:rsidRPr="0084037D">
        <w:rPr>
          <w:rFonts w:eastAsia="Arial Unicode MS"/>
          <w:noProof/>
        </w:rPr>
        <w:t>.</w:t>
      </w:r>
    </w:p>
    <w:p w14:paraId="6D0D0F89" w14:textId="77777777" w:rsidR="00B858D4" w:rsidRPr="0084037D" w:rsidRDefault="00B858D4" w:rsidP="008154B4">
      <w:pPr>
        <w:pStyle w:val="ManualHeading1"/>
        <w:rPr>
          <w:noProof/>
        </w:rPr>
      </w:pPr>
      <w:r w:rsidRPr="0084037D">
        <w:rPr>
          <w:noProof/>
        </w:rPr>
        <w:t>3.</w:t>
      </w:r>
      <w:r w:rsidRPr="0084037D">
        <w:rPr>
          <w:noProof/>
        </w:rPr>
        <w:tab/>
        <w:t>RESULTS OF EX-POST EVALUATIONS, STAKEHOLDER CONSULTATIONS AND IMPACT ASSESSMENTS</w:t>
      </w:r>
    </w:p>
    <w:p w14:paraId="2919FA60" w14:textId="77777777" w:rsidR="00B858D4" w:rsidRPr="0084037D" w:rsidRDefault="00B858D4" w:rsidP="008154B4">
      <w:pPr>
        <w:pStyle w:val="ManualHeading2"/>
        <w:rPr>
          <w:rFonts w:eastAsia="Arial Unicode MS"/>
          <w:noProof/>
          <w:u w:color="000000"/>
          <w:bdr w:val="nil"/>
          <w:lang w:val="en-US" w:eastAsia="en-GB"/>
        </w:rPr>
      </w:pPr>
      <w:r w:rsidRPr="0084037D">
        <w:rPr>
          <w:rFonts w:eastAsia="Arial Unicode MS"/>
          <w:noProof/>
          <w:u w:color="000000"/>
          <w:bdr w:val="nil"/>
          <w:lang w:val="en-US" w:eastAsia="en-GB"/>
        </w:rPr>
        <w:t>•</w:t>
      </w:r>
      <w:r w:rsidRPr="0084037D">
        <w:rPr>
          <w:rFonts w:eastAsia="Arial Unicode MS"/>
          <w:noProof/>
          <w:u w:color="000000"/>
          <w:bdr w:val="nil"/>
          <w:lang w:val="en-US" w:eastAsia="en-GB"/>
        </w:rPr>
        <w:tab/>
        <w:t>Ex-post evaluations/fitness checks of existing legislation</w:t>
      </w:r>
    </w:p>
    <w:p w14:paraId="64A6F53D" w14:textId="77777777" w:rsidR="0013763F" w:rsidRPr="0084037D" w:rsidRDefault="0013763F" w:rsidP="0013763F">
      <w:pPr>
        <w:pBdr>
          <w:top w:val="nil"/>
          <w:left w:val="nil"/>
          <w:bottom w:val="nil"/>
          <w:right w:val="nil"/>
          <w:between w:val="nil"/>
          <w:bar w:val="nil"/>
        </w:pBdr>
        <w:spacing w:before="0" w:after="240"/>
        <w:rPr>
          <w:rFonts w:eastAsia="Arial Unicode MS"/>
          <w:noProof/>
        </w:rPr>
      </w:pPr>
      <w:r w:rsidRPr="0084037D">
        <w:rPr>
          <w:noProof/>
        </w:rPr>
        <w:t>Not applicable.</w:t>
      </w:r>
    </w:p>
    <w:p w14:paraId="741B001F" w14:textId="77777777" w:rsidR="00B858D4" w:rsidRPr="0084037D" w:rsidRDefault="00B858D4" w:rsidP="008154B4">
      <w:pPr>
        <w:pStyle w:val="ManualHeading2"/>
        <w:rPr>
          <w:rFonts w:eastAsia="Arial Unicode MS"/>
          <w:noProof/>
          <w:u w:color="000000"/>
          <w:bdr w:val="nil"/>
          <w:lang w:val="en-US" w:eastAsia="en-GB"/>
        </w:rPr>
      </w:pPr>
      <w:r w:rsidRPr="0084037D">
        <w:rPr>
          <w:rFonts w:eastAsia="Arial Unicode MS"/>
          <w:noProof/>
          <w:u w:color="000000"/>
          <w:bdr w:val="nil"/>
          <w:lang w:val="en-US" w:eastAsia="en-GB"/>
        </w:rPr>
        <w:t>•</w:t>
      </w:r>
      <w:r w:rsidRPr="0084037D">
        <w:rPr>
          <w:rFonts w:eastAsia="Arial Unicode MS"/>
          <w:noProof/>
          <w:u w:color="000000"/>
          <w:bdr w:val="nil"/>
          <w:lang w:val="en-US" w:eastAsia="en-GB"/>
        </w:rPr>
        <w:tab/>
        <w:t>Stakeholder consultations</w:t>
      </w:r>
    </w:p>
    <w:p w14:paraId="4AE092BB" w14:textId="77777777" w:rsidR="0013763F" w:rsidRPr="0084037D" w:rsidRDefault="0013763F" w:rsidP="0013763F">
      <w:pPr>
        <w:pBdr>
          <w:top w:val="nil"/>
          <w:left w:val="nil"/>
          <w:bottom w:val="nil"/>
          <w:right w:val="nil"/>
          <w:between w:val="nil"/>
          <w:bar w:val="nil"/>
        </w:pBdr>
        <w:spacing w:before="0" w:after="240"/>
        <w:rPr>
          <w:noProof/>
          <w:lang w:val="en-US"/>
        </w:rPr>
      </w:pPr>
      <w:r w:rsidRPr="0084037D">
        <w:rPr>
          <w:noProof/>
        </w:rPr>
        <w:t xml:space="preserve">Interested parties were consulted by means of the Commission’s Communication to the European Parliament and the Council </w:t>
      </w:r>
      <w:r w:rsidR="00207729" w:rsidRPr="0084037D">
        <w:rPr>
          <w:i/>
          <w:noProof/>
        </w:rPr>
        <w:t>S</w:t>
      </w:r>
      <w:r w:rsidRPr="0084037D">
        <w:rPr>
          <w:i/>
          <w:noProof/>
        </w:rPr>
        <w:t>ustainable fishing in the EU: state of play and orientations for 202</w:t>
      </w:r>
      <w:r w:rsidR="008056B5" w:rsidRPr="0084037D">
        <w:rPr>
          <w:i/>
          <w:noProof/>
        </w:rPr>
        <w:t>4</w:t>
      </w:r>
      <w:r w:rsidR="00955179" w:rsidRPr="0084037D">
        <w:rPr>
          <w:iCs/>
          <w:noProof/>
        </w:rPr>
        <w:t xml:space="preserve"> (COM(2023</w:t>
      </w:r>
      <w:r w:rsidR="006C7E08" w:rsidRPr="0084037D">
        <w:rPr>
          <w:iCs/>
          <w:noProof/>
        </w:rPr>
        <w:t>) 303 final)</w:t>
      </w:r>
      <w:r w:rsidRPr="0084037D">
        <w:rPr>
          <w:noProof/>
        </w:rPr>
        <w:t xml:space="preserve">. </w:t>
      </w:r>
    </w:p>
    <w:p w14:paraId="2469F850" w14:textId="77777777" w:rsidR="00B858D4" w:rsidRPr="0084037D" w:rsidRDefault="00B858D4" w:rsidP="008154B4">
      <w:pPr>
        <w:pStyle w:val="ManualHeading2"/>
        <w:rPr>
          <w:rFonts w:eastAsia="Arial Unicode MS"/>
          <w:noProof/>
          <w:u w:color="000000"/>
          <w:bdr w:val="nil"/>
          <w:lang w:val="en-US" w:eastAsia="en-GB"/>
        </w:rPr>
      </w:pPr>
      <w:r w:rsidRPr="0084037D">
        <w:rPr>
          <w:rFonts w:eastAsia="Arial Unicode MS"/>
          <w:noProof/>
          <w:u w:color="000000"/>
          <w:bdr w:val="nil"/>
          <w:lang w:val="en-US" w:eastAsia="en-GB"/>
        </w:rPr>
        <w:t>•</w:t>
      </w:r>
      <w:r w:rsidRPr="0084037D">
        <w:rPr>
          <w:rFonts w:eastAsia="Arial Unicode MS"/>
          <w:noProof/>
          <w:u w:color="000000"/>
          <w:bdr w:val="nil"/>
          <w:lang w:val="en-US" w:eastAsia="en-GB"/>
        </w:rPr>
        <w:tab/>
        <w:t>Collection and use of expertise</w:t>
      </w:r>
    </w:p>
    <w:p w14:paraId="1067C984" w14:textId="77777777" w:rsidR="00B858D4" w:rsidRPr="0084037D" w:rsidRDefault="0013763F" w:rsidP="008154B4">
      <w:pPr>
        <w:pBdr>
          <w:top w:val="nil"/>
          <w:left w:val="nil"/>
          <w:bottom w:val="nil"/>
          <w:right w:val="nil"/>
          <w:between w:val="nil"/>
          <w:bar w:val="nil"/>
        </w:pBdr>
        <w:spacing w:before="0" w:after="240"/>
        <w:rPr>
          <w:rFonts w:eastAsia="Arial Unicode MS"/>
          <w:noProof/>
        </w:rPr>
      </w:pPr>
      <w:r w:rsidRPr="0084037D">
        <w:rPr>
          <w:rFonts w:eastAsia="Arial Unicode MS"/>
          <w:noProof/>
        </w:rPr>
        <w:t>The assessment of the state of stocks in the Mediterranean and Black Seas is based on the most recent work by the Scientific, Technical and Economic Committee for Fisheries</w:t>
      </w:r>
      <w:r w:rsidR="00F626EE" w:rsidRPr="0084037D">
        <w:rPr>
          <w:rFonts w:eastAsia="Arial Unicode MS"/>
          <w:noProof/>
        </w:rPr>
        <w:t xml:space="preserve"> and </w:t>
      </w:r>
      <w:r w:rsidRPr="0084037D">
        <w:rPr>
          <w:rFonts w:eastAsia="Arial Unicode MS"/>
          <w:noProof/>
        </w:rPr>
        <w:t xml:space="preserve">the GFCM Scientific Advisory Committee on Fisheries. </w:t>
      </w:r>
    </w:p>
    <w:p w14:paraId="78AA861F" w14:textId="77777777" w:rsidR="00B858D4" w:rsidRPr="0084037D" w:rsidRDefault="00B858D4" w:rsidP="008154B4">
      <w:pPr>
        <w:pStyle w:val="ManualHeading2"/>
        <w:rPr>
          <w:rFonts w:eastAsia="Arial Unicode MS"/>
          <w:noProof/>
          <w:u w:color="000000"/>
          <w:bdr w:val="nil"/>
          <w:lang w:val="en-US" w:eastAsia="en-GB"/>
        </w:rPr>
      </w:pPr>
      <w:r w:rsidRPr="0084037D">
        <w:rPr>
          <w:rFonts w:eastAsia="Arial Unicode MS"/>
          <w:noProof/>
          <w:u w:color="000000"/>
          <w:bdr w:val="nil"/>
          <w:lang w:val="en-US" w:eastAsia="en-GB"/>
        </w:rPr>
        <w:t>•</w:t>
      </w:r>
      <w:r w:rsidRPr="0084037D">
        <w:rPr>
          <w:rFonts w:eastAsia="Arial Unicode MS"/>
          <w:noProof/>
          <w:u w:color="000000"/>
          <w:bdr w:val="nil"/>
          <w:lang w:val="en-US" w:eastAsia="en-GB"/>
        </w:rPr>
        <w:tab/>
        <w:t>Impact assessment</w:t>
      </w:r>
    </w:p>
    <w:p w14:paraId="40E843CE" w14:textId="77777777" w:rsidR="0013763F" w:rsidRPr="0084037D" w:rsidRDefault="0013763F" w:rsidP="0013763F">
      <w:pPr>
        <w:pBdr>
          <w:top w:val="nil"/>
          <w:left w:val="nil"/>
          <w:bottom w:val="nil"/>
          <w:right w:val="nil"/>
          <w:between w:val="nil"/>
          <w:bar w:val="nil"/>
        </w:pBdr>
        <w:spacing w:before="0" w:after="240"/>
        <w:rPr>
          <w:noProof/>
        </w:rPr>
      </w:pPr>
      <w:r w:rsidRPr="0084037D">
        <w:rPr>
          <w:noProof/>
        </w:rPr>
        <w:t>The scope of fishing opportunities regulations is circumscribed by Article 43(3) TFEU.</w:t>
      </w:r>
    </w:p>
    <w:p w14:paraId="297E0915" w14:textId="77777777" w:rsidR="0013763F" w:rsidRPr="0084037D" w:rsidRDefault="0013763F" w:rsidP="0013763F">
      <w:pPr>
        <w:pBdr>
          <w:top w:val="nil"/>
          <w:left w:val="nil"/>
          <w:bottom w:val="nil"/>
          <w:right w:val="nil"/>
          <w:between w:val="nil"/>
          <w:bar w:val="nil"/>
        </w:pBdr>
        <w:spacing w:before="0" w:after="240"/>
        <w:rPr>
          <w:noProof/>
        </w:rPr>
      </w:pPr>
      <w:r w:rsidRPr="0084037D">
        <w:rPr>
          <w:noProof/>
        </w:rPr>
        <w:lastRenderedPageBreak/>
        <w:t>The multiannual plan</w:t>
      </w:r>
      <w:r w:rsidR="001B2A8B" w:rsidRPr="0084037D">
        <w:rPr>
          <w:noProof/>
        </w:rPr>
        <w:t xml:space="preserve"> for demersal fisheries in the western Mediterranean</w:t>
      </w:r>
      <w:r w:rsidRPr="0084037D">
        <w:rPr>
          <w:noProof/>
        </w:rPr>
        <w:t xml:space="preserve"> introduced a fishing effort regime to tackle the problem of overfishing in the western Mediterranean demersal fisheries.</w:t>
      </w:r>
      <w:r w:rsidR="00185C90" w:rsidRPr="0084037D">
        <w:rPr>
          <w:noProof/>
        </w:rPr>
        <w:t xml:space="preserve"> </w:t>
      </w:r>
      <w:r w:rsidR="00DA2523" w:rsidRPr="0084037D">
        <w:rPr>
          <w:noProof/>
        </w:rPr>
        <w:t>In addition</w:t>
      </w:r>
      <w:r w:rsidR="0097478B" w:rsidRPr="0084037D">
        <w:rPr>
          <w:noProof/>
        </w:rPr>
        <w:t xml:space="preserve">, </w:t>
      </w:r>
      <w:r w:rsidR="0009701F" w:rsidRPr="0084037D">
        <w:rPr>
          <w:noProof/>
        </w:rPr>
        <w:t>A</w:t>
      </w:r>
      <w:r w:rsidR="0097478B" w:rsidRPr="0084037D">
        <w:rPr>
          <w:noProof/>
        </w:rPr>
        <w:t>rt</w:t>
      </w:r>
      <w:r w:rsidR="0009701F" w:rsidRPr="0084037D">
        <w:rPr>
          <w:noProof/>
        </w:rPr>
        <w:t>icle</w:t>
      </w:r>
      <w:r w:rsidR="0097478B" w:rsidRPr="0084037D">
        <w:rPr>
          <w:noProof/>
        </w:rPr>
        <w:t xml:space="preserve"> 7</w:t>
      </w:r>
      <w:r w:rsidR="005E1DC7" w:rsidRPr="0084037D">
        <w:rPr>
          <w:noProof/>
        </w:rPr>
        <w:t>(</w:t>
      </w:r>
      <w:r w:rsidR="0009701F" w:rsidRPr="0084037D">
        <w:rPr>
          <w:noProof/>
        </w:rPr>
        <w:t>3</w:t>
      </w:r>
      <w:r w:rsidR="005E1DC7" w:rsidRPr="0084037D">
        <w:rPr>
          <w:noProof/>
        </w:rPr>
        <w:t>)</w:t>
      </w:r>
      <w:r w:rsidR="0009701F" w:rsidRPr="0084037D">
        <w:rPr>
          <w:noProof/>
        </w:rPr>
        <w:t xml:space="preserve">(b) </w:t>
      </w:r>
      <w:r w:rsidR="005E1DC7" w:rsidRPr="0084037D">
        <w:rPr>
          <w:noProof/>
        </w:rPr>
        <w:t xml:space="preserve">of the multiannual plan provides </w:t>
      </w:r>
      <w:r w:rsidR="0009701F" w:rsidRPr="0084037D">
        <w:rPr>
          <w:noProof/>
        </w:rPr>
        <w:t xml:space="preserve">for the possibility that the fishing effort decrease may be supplemented with any relevant technical or other conservation measures adopted in accordance with Union law, in order to achieve </w:t>
      </w:r>
      <w:r w:rsidR="00DE265A" w:rsidRPr="0084037D">
        <w:rPr>
          <w:noProof/>
        </w:rPr>
        <w:t>the value of the estimated fishing mortality that, with a given fishing pattern and under current average environmental conditions, gives the long-term maximum yield</w:t>
      </w:r>
      <w:r w:rsidR="00DE265A" w:rsidRPr="0084037D">
        <w:rPr>
          <w:noProof/>
          <w:sz w:val="19"/>
          <w:szCs w:val="19"/>
        </w:rPr>
        <w:t xml:space="preserve"> </w:t>
      </w:r>
      <w:r w:rsidR="00DE265A" w:rsidRPr="0084037D">
        <w:rPr>
          <w:noProof/>
        </w:rPr>
        <w:t>(</w:t>
      </w:r>
      <w:r w:rsidR="0009701F" w:rsidRPr="0084037D">
        <w:rPr>
          <w:noProof/>
        </w:rPr>
        <w:t>Fmsy</w:t>
      </w:r>
      <w:r w:rsidR="00DE265A" w:rsidRPr="0084037D">
        <w:rPr>
          <w:noProof/>
        </w:rPr>
        <w:t>)</w:t>
      </w:r>
      <w:r w:rsidR="0009701F" w:rsidRPr="0084037D">
        <w:rPr>
          <w:noProof/>
        </w:rPr>
        <w:t xml:space="preserve"> by 1 January 2025.</w:t>
      </w:r>
      <w:r w:rsidR="0097478B" w:rsidRPr="0084037D">
        <w:rPr>
          <w:noProof/>
        </w:rPr>
        <w:t xml:space="preserve"> </w:t>
      </w:r>
      <w:r w:rsidR="00DA2523" w:rsidRPr="0084037D">
        <w:rPr>
          <w:noProof/>
        </w:rPr>
        <w:t>Based on the scientific advice, Council Regulation (EU) 2022/110 (2022 Fishing Opportunities</w:t>
      </w:r>
      <w:r w:rsidR="005E1DC7" w:rsidRPr="0084037D">
        <w:rPr>
          <w:noProof/>
        </w:rPr>
        <w:t xml:space="preserve"> Regulation</w:t>
      </w:r>
      <w:r w:rsidR="00DA2523" w:rsidRPr="0084037D">
        <w:rPr>
          <w:noProof/>
        </w:rPr>
        <w:t>)</w:t>
      </w:r>
      <w:r w:rsidR="001B2A8B" w:rsidRPr="0084037D">
        <w:rPr>
          <w:rStyle w:val="FootnoteReference"/>
          <w:noProof/>
        </w:rPr>
        <w:footnoteReference w:id="3"/>
      </w:r>
      <w:r w:rsidR="00DA2523" w:rsidRPr="0084037D">
        <w:rPr>
          <w:noProof/>
        </w:rPr>
        <w:t xml:space="preserve"> introduced an effort regime for long</w:t>
      </w:r>
      <w:r w:rsidR="005A2CDB" w:rsidRPr="0084037D">
        <w:rPr>
          <w:noProof/>
        </w:rPr>
        <w:t>l</w:t>
      </w:r>
      <w:r w:rsidR="00DA2523" w:rsidRPr="0084037D">
        <w:rPr>
          <w:noProof/>
        </w:rPr>
        <w:t>iners and catch limits for the shrimps</w:t>
      </w:r>
      <w:r w:rsidR="00123AA5" w:rsidRPr="0084037D">
        <w:rPr>
          <w:noProof/>
        </w:rPr>
        <w:t xml:space="preserve"> and Council Regulation (EU) 2023/195 (2023 Fishing Opportunites Regulation)</w:t>
      </w:r>
      <w:r w:rsidR="00123AA5" w:rsidRPr="0084037D">
        <w:rPr>
          <w:rStyle w:val="FootnoteReference"/>
          <w:noProof/>
        </w:rPr>
        <w:footnoteReference w:id="4"/>
      </w:r>
      <w:r w:rsidR="00123AA5" w:rsidRPr="0084037D">
        <w:rPr>
          <w:noProof/>
        </w:rPr>
        <w:t xml:space="preserve">  maintained that regime. </w:t>
      </w:r>
      <w:r w:rsidR="00123AA5" w:rsidRPr="0084037D">
        <w:rPr>
          <w:i/>
          <w:noProof/>
        </w:rPr>
        <w:t xml:space="preserve"> </w:t>
      </w:r>
    </w:p>
    <w:p w14:paraId="632F3CE6" w14:textId="77777777" w:rsidR="0013763F" w:rsidRPr="0084037D" w:rsidRDefault="0013763F" w:rsidP="0013763F">
      <w:pPr>
        <w:pBdr>
          <w:top w:val="nil"/>
          <w:left w:val="nil"/>
          <w:bottom w:val="nil"/>
          <w:right w:val="nil"/>
          <w:between w:val="nil"/>
          <w:bar w:val="nil"/>
        </w:pBdr>
        <w:spacing w:before="0" w:after="240"/>
        <w:rPr>
          <w:noProof/>
        </w:rPr>
      </w:pPr>
      <w:r w:rsidRPr="0084037D">
        <w:rPr>
          <w:noProof/>
        </w:rPr>
        <w:t xml:space="preserve">As regards the fishing opportunities established by the GFCM in the Mediterranean and Black Seas, this proposal </w:t>
      </w:r>
      <w:r w:rsidR="00F626EE" w:rsidRPr="0084037D">
        <w:rPr>
          <w:noProof/>
        </w:rPr>
        <w:t xml:space="preserve">proposes to </w:t>
      </w:r>
      <w:r w:rsidRPr="0084037D">
        <w:rPr>
          <w:noProof/>
        </w:rPr>
        <w:t xml:space="preserve">implement internationally agreed measures. Any elements relevant to </w:t>
      </w:r>
      <w:r w:rsidR="00F626EE" w:rsidRPr="0084037D">
        <w:rPr>
          <w:noProof/>
        </w:rPr>
        <w:t xml:space="preserve">the </w:t>
      </w:r>
      <w:r w:rsidRPr="0084037D">
        <w:rPr>
          <w:noProof/>
        </w:rPr>
        <w:t>assess</w:t>
      </w:r>
      <w:r w:rsidR="00F626EE" w:rsidRPr="0084037D">
        <w:rPr>
          <w:noProof/>
        </w:rPr>
        <w:t>ment of</w:t>
      </w:r>
      <w:r w:rsidRPr="0084037D">
        <w:rPr>
          <w:noProof/>
        </w:rPr>
        <w:t xml:space="preserve"> possible impacts of the fishing opportunities are dealt with in the preparation and conduct phase of international negotiations in the framework of which the Union’s fishing opportunities are agreed with third parties.</w:t>
      </w:r>
    </w:p>
    <w:p w14:paraId="26402E54" w14:textId="77777777" w:rsidR="0013763F" w:rsidRPr="0084037D" w:rsidRDefault="0013763F" w:rsidP="0013763F">
      <w:pPr>
        <w:pBdr>
          <w:top w:val="nil"/>
          <w:left w:val="nil"/>
          <w:bottom w:val="nil"/>
          <w:right w:val="nil"/>
          <w:between w:val="nil"/>
          <w:bar w:val="nil"/>
        </w:pBdr>
        <w:spacing w:before="0" w:after="240"/>
        <w:rPr>
          <w:noProof/>
        </w:rPr>
      </w:pPr>
      <w:r w:rsidRPr="0084037D">
        <w:rPr>
          <w:noProof/>
        </w:rPr>
        <w:t xml:space="preserve">The proposal reflects not only short-term concerns, but also a longer-term approach whereby fishing effort is gradually adjusted to long-term sustainable levels. </w:t>
      </w:r>
    </w:p>
    <w:p w14:paraId="073E2024" w14:textId="77777777" w:rsidR="00B858D4" w:rsidRPr="0084037D" w:rsidRDefault="00B858D4" w:rsidP="008154B4">
      <w:pPr>
        <w:pStyle w:val="ManualHeading2"/>
        <w:rPr>
          <w:rFonts w:eastAsia="Arial Unicode MS"/>
          <w:noProof/>
          <w:u w:color="000000"/>
          <w:bdr w:val="nil"/>
          <w:lang w:val="en-US" w:eastAsia="en-GB"/>
        </w:rPr>
      </w:pPr>
      <w:r w:rsidRPr="0084037D">
        <w:rPr>
          <w:rFonts w:eastAsia="Arial Unicode MS"/>
          <w:noProof/>
          <w:u w:color="000000"/>
          <w:bdr w:val="nil"/>
          <w:lang w:val="en-US" w:eastAsia="en-GB"/>
        </w:rPr>
        <w:t>•</w:t>
      </w:r>
      <w:r w:rsidRPr="0084037D">
        <w:rPr>
          <w:rFonts w:eastAsia="Arial Unicode MS"/>
          <w:noProof/>
          <w:u w:color="000000"/>
          <w:bdr w:val="nil"/>
          <w:lang w:val="en-US" w:eastAsia="en-GB"/>
        </w:rPr>
        <w:tab/>
        <w:t>Regulatory fitness and simplification</w:t>
      </w:r>
    </w:p>
    <w:p w14:paraId="7563AD76" w14:textId="77777777" w:rsidR="005D5ADD" w:rsidRPr="0084037D" w:rsidRDefault="005D5ADD" w:rsidP="005D5ADD">
      <w:pPr>
        <w:pBdr>
          <w:top w:val="nil"/>
          <w:left w:val="nil"/>
          <w:bottom w:val="nil"/>
          <w:right w:val="nil"/>
          <w:between w:val="nil"/>
          <w:bar w:val="nil"/>
        </w:pBdr>
        <w:spacing w:before="0" w:after="240"/>
        <w:rPr>
          <w:rFonts w:eastAsia="Arial Unicode MS"/>
          <w:noProof/>
        </w:rPr>
      </w:pPr>
      <w:r w:rsidRPr="0084037D">
        <w:rPr>
          <w:noProof/>
        </w:rPr>
        <w:t>Not applicable.</w:t>
      </w:r>
    </w:p>
    <w:p w14:paraId="0C028467" w14:textId="77777777" w:rsidR="00B858D4" w:rsidRPr="0084037D" w:rsidRDefault="00B858D4" w:rsidP="008154B4">
      <w:pPr>
        <w:pStyle w:val="ManualHeading2"/>
        <w:rPr>
          <w:rFonts w:eastAsia="Arial Unicode MS"/>
          <w:noProof/>
          <w:u w:color="000000"/>
          <w:bdr w:val="nil"/>
          <w:lang w:val="en-US" w:eastAsia="en-GB"/>
        </w:rPr>
      </w:pPr>
      <w:r w:rsidRPr="0084037D">
        <w:rPr>
          <w:rFonts w:eastAsia="Arial Unicode MS"/>
          <w:noProof/>
          <w:u w:color="000000"/>
          <w:bdr w:val="nil"/>
          <w:lang w:val="en-US" w:eastAsia="en-GB"/>
        </w:rPr>
        <w:t>•</w:t>
      </w:r>
      <w:r w:rsidRPr="0084037D">
        <w:rPr>
          <w:rFonts w:eastAsia="Arial Unicode MS"/>
          <w:noProof/>
          <w:u w:color="000000"/>
          <w:bdr w:val="nil"/>
          <w:lang w:val="en-US" w:eastAsia="en-GB"/>
        </w:rPr>
        <w:tab/>
        <w:t>Fundamental rights</w:t>
      </w:r>
    </w:p>
    <w:p w14:paraId="579E12B2" w14:textId="77777777" w:rsidR="00C35FB6" w:rsidRPr="0084037D" w:rsidRDefault="006C7E08" w:rsidP="00A62250">
      <w:pPr>
        <w:pStyle w:val="ManualHeading1"/>
        <w:ind w:left="0" w:firstLine="0"/>
        <w:rPr>
          <w:b w:val="0"/>
          <w:bCs/>
          <w:smallCaps w:val="0"/>
          <w:noProof/>
        </w:rPr>
      </w:pPr>
      <w:r w:rsidRPr="0084037D">
        <w:rPr>
          <w:b w:val="0"/>
          <w:bCs/>
          <w:smallCaps w:val="0"/>
          <w:noProof/>
        </w:rPr>
        <w:t>The proposal respects fundamental rights and in particular those recognised by the Charter of</w:t>
      </w:r>
      <w:r w:rsidR="00C35FB6" w:rsidRPr="0084037D">
        <w:rPr>
          <w:b w:val="0"/>
          <w:bCs/>
          <w:smallCaps w:val="0"/>
          <w:noProof/>
        </w:rPr>
        <w:t xml:space="preserve"> </w:t>
      </w:r>
      <w:r w:rsidRPr="0084037D">
        <w:rPr>
          <w:b w:val="0"/>
          <w:bCs/>
          <w:smallCaps w:val="0"/>
          <w:noProof/>
        </w:rPr>
        <w:t>Fundamental Rights of the European Union.</w:t>
      </w:r>
    </w:p>
    <w:p w14:paraId="6640281A" w14:textId="77777777" w:rsidR="00B858D4" w:rsidRPr="0084037D" w:rsidRDefault="00C35FB6" w:rsidP="008154B4">
      <w:pPr>
        <w:pStyle w:val="ManualHeading1"/>
        <w:rPr>
          <w:noProof/>
        </w:rPr>
      </w:pPr>
      <w:r w:rsidRPr="0084037D">
        <w:rPr>
          <w:noProof/>
        </w:rPr>
        <w:t>4</w:t>
      </w:r>
      <w:r w:rsidR="00B858D4" w:rsidRPr="0084037D">
        <w:rPr>
          <w:noProof/>
        </w:rPr>
        <w:t>.</w:t>
      </w:r>
      <w:r w:rsidR="00B858D4" w:rsidRPr="0084037D">
        <w:rPr>
          <w:noProof/>
        </w:rPr>
        <w:tab/>
        <w:t>BUDGETARY IMPLICATIONS</w:t>
      </w:r>
    </w:p>
    <w:p w14:paraId="464F6DCC" w14:textId="77777777" w:rsidR="005D5ADD" w:rsidRPr="0084037D" w:rsidRDefault="005D5ADD" w:rsidP="005D5ADD">
      <w:pPr>
        <w:pBdr>
          <w:top w:val="nil"/>
          <w:left w:val="nil"/>
          <w:bottom w:val="nil"/>
          <w:right w:val="nil"/>
          <w:between w:val="nil"/>
          <w:bar w:val="nil"/>
        </w:pBdr>
        <w:spacing w:before="0" w:after="240"/>
        <w:rPr>
          <w:rFonts w:eastAsia="Arial Unicode MS"/>
          <w:noProof/>
        </w:rPr>
      </w:pPr>
      <w:r w:rsidRPr="0084037D">
        <w:rPr>
          <w:noProof/>
        </w:rPr>
        <w:t>The proposal has no budgetary implications.</w:t>
      </w:r>
    </w:p>
    <w:p w14:paraId="70340AB7" w14:textId="77777777" w:rsidR="00B858D4" w:rsidRPr="0084037D" w:rsidRDefault="00B858D4" w:rsidP="008154B4">
      <w:pPr>
        <w:pStyle w:val="ManualHeading1"/>
        <w:rPr>
          <w:noProof/>
        </w:rPr>
      </w:pPr>
      <w:r w:rsidRPr="0084037D">
        <w:rPr>
          <w:noProof/>
        </w:rPr>
        <w:t>5.</w:t>
      </w:r>
      <w:r w:rsidRPr="0084037D">
        <w:rPr>
          <w:noProof/>
        </w:rPr>
        <w:tab/>
        <w:t>OTHER ELEMENTS</w:t>
      </w:r>
    </w:p>
    <w:p w14:paraId="178C05FE" w14:textId="77777777" w:rsidR="00B858D4" w:rsidRPr="0084037D" w:rsidRDefault="00B858D4" w:rsidP="008154B4">
      <w:pPr>
        <w:pStyle w:val="ManualHeading2"/>
        <w:rPr>
          <w:rFonts w:eastAsia="Arial Unicode MS"/>
          <w:noProof/>
          <w:u w:color="000000"/>
          <w:bdr w:val="nil"/>
          <w:lang w:val="en-US" w:eastAsia="en-GB"/>
        </w:rPr>
      </w:pPr>
      <w:r w:rsidRPr="0084037D">
        <w:rPr>
          <w:rFonts w:eastAsia="Arial Unicode MS"/>
          <w:noProof/>
          <w:u w:color="000000"/>
          <w:bdr w:val="nil"/>
          <w:lang w:val="en-US" w:eastAsia="en-GB"/>
        </w:rPr>
        <w:t>•</w:t>
      </w:r>
      <w:r w:rsidRPr="0084037D">
        <w:rPr>
          <w:rFonts w:eastAsia="Arial Unicode MS"/>
          <w:noProof/>
          <w:u w:color="000000"/>
          <w:bdr w:val="nil"/>
          <w:lang w:val="en-US" w:eastAsia="en-GB"/>
        </w:rPr>
        <w:tab/>
        <w:t>Implementation plans and monitoring, evaluation and reporting arrangements</w:t>
      </w:r>
    </w:p>
    <w:p w14:paraId="71CEB052" w14:textId="77777777" w:rsidR="00B858D4" w:rsidRPr="0084037D" w:rsidRDefault="004D3D81" w:rsidP="00C35FB6">
      <w:pPr>
        <w:pBdr>
          <w:top w:val="nil"/>
          <w:left w:val="nil"/>
          <w:bottom w:val="nil"/>
          <w:right w:val="nil"/>
          <w:between w:val="nil"/>
          <w:bar w:val="nil"/>
        </w:pBdr>
        <w:spacing w:before="0" w:after="240"/>
        <w:rPr>
          <w:noProof/>
        </w:rPr>
      </w:pPr>
      <w:r w:rsidRPr="0084037D">
        <w:rPr>
          <w:noProof/>
        </w:rPr>
        <w:t>Monitoring and</w:t>
      </w:r>
      <w:r w:rsidR="006C7E08" w:rsidRPr="0084037D">
        <w:rPr>
          <w:noProof/>
        </w:rPr>
        <w:t xml:space="preserve"> </w:t>
      </w:r>
      <w:r w:rsidRPr="0084037D">
        <w:rPr>
          <w:noProof/>
        </w:rPr>
        <w:t>compliance will be ensured in accordance with Council Regulation (EC) No 1224/2009</w:t>
      </w:r>
      <w:r w:rsidR="005346BC" w:rsidRPr="0084037D">
        <w:rPr>
          <w:rStyle w:val="FootnoteReference"/>
          <w:noProof/>
        </w:rPr>
        <w:footnoteReference w:id="5"/>
      </w:r>
      <w:r w:rsidRPr="0084037D">
        <w:rPr>
          <w:noProof/>
        </w:rPr>
        <w:t>.</w:t>
      </w:r>
    </w:p>
    <w:p w14:paraId="214F2BD5" w14:textId="77777777" w:rsidR="00B858D4" w:rsidRPr="0084037D" w:rsidRDefault="00B858D4" w:rsidP="008154B4">
      <w:pPr>
        <w:pStyle w:val="ManualHeading2"/>
        <w:rPr>
          <w:rFonts w:eastAsia="Arial Unicode MS"/>
          <w:noProof/>
          <w:u w:color="000000"/>
          <w:bdr w:val="nil"/>
          <w:lang w:val="en-US" w:eastAsia="en-GB"/>
        </w:rPr>
      </w:pPr>
      <w:r w:rsidRPr="0084037D">
        <w:rPr>
          <w:rFonts w:eastAsia="Arial Unicode MS"/>
          <w:noProof/>
          <w:u w:color="000000"/>
          <w:bdr w:val="nil"/>
          <w:lang w:val="en-US" w:eastAsia="en-GB"/>
        </w:rPr>
        <w:lastRenderedPageBreak/>
        <w:t>•</w:t>
      </w:r>
      <w:r w:rsidRPr="0084037D">
        <w:rPr>
          <w:rFonts w:eastAsia="Arial Unicode MS"/>
          <w:noProof/>
          <w:u w:color="000000"/>
          <w:bdr w:val="nil"/>
          <w:lang w:val="en-US" w:eastAsia="en-GB"/>
        </w:rPr>
        <w:tab/>
        <w:t>Detailed explanation of the specific provisions of the proposal</w:t>
      </w:r>
    </w:p>
    <w:p w14:paraId="75514F89" w14:textId="77777777" w:rsidR="007E3AC5" w:rsidRPr="0084037D" w:rsidRDefault="004D3D81" w:rsidP="004D3D81">
      <w:pPr>
        <w:pBdr>
          <w:top w:val="nil"/>
          <w:left w:val="nil"/>
          <w:bottom w:val="nil"/>
          <w:right w:val="nil"/>
          <w:between w:val="nil"/>
          <w:bar w:val="nil"/>
        </w:pBdr>
        <w:rPr>
          <w:noProof/>
          <w:szCs w:val="24"/>
        </w:rPr>
      </w:pPr>
      <w:r w:rsidRPr="0084037D">
        <w:rPr>
          <w:noProof/>
          <w:szCs w:val="24"/>
        </w:rPr>
        <w:t xml:space="preserve">The proposal </w:t>
      </w:r>
      <w:r w:rsidR="00F626EE" w:rsidRPr="0084037D">
        <w:rPr>
          <w:noProof/>
          <w:szCs w:val="24"/>
        </w:rPr>
        <w:t xml:space="preserve">proposes to </w:t>
      </w:r>
      <w:r w:rsidR="007C06E0" w:rsidRPr="0084037D">
        <w:rPr>
          <w:noProof/>
          <w:szCs w:val="24"/>
        </w:rPr>
        <w:t xml:space="preserve">fix </w:t>
      </w:r>
      <w:r w:rsidRPr="0084037D">
        <w:rPr>
          <w:noProof/>
          <w:szCs w:val="24"/>
        </w:rPr>
        <w:t>fishing opportunities for 202</w:t>
      </w:r>
      <w:r w:rsidR="001C55CA" w:rsidRPr="0084037D">
        <w:rPr>
          <w:noProof/>
          <w:szCs w:val="24"/>
        </w:rPr>
        <w:t>4</w:t>
      </w:r>
      <w:r w:rsidRPr="0084037D">
        <w:rPr>
          <w:noProof/>
          <w:szCs w:val="24"/>
        </w:rPr>
        <w:t xml:space="preserve"> for certain stocks or groups of stocks in the Mediterranean and Black Seas, in particular:</w:t>
      </w:r>
    </w:p>
    <w:p w14:paraId="4B652DB6" w14:textId="77777777" w:rsidR="004D3D81" w:rsidRPr="0084037D" w:rsidRDefault="004D3D81" w:rsidP="004D3D81">
      <w:pPr>
        <w:pBdr>
          <w:top w:val="nil"/>
          <w:left w:val="nil"/>
          <w:bottom w:val="nil"/>
          <w:right w:val="nil"/>
          <w:between w:val="nil"/>
          <w:bar w:val="nil"/>
        </w:pBdr>
        <w:rPr>
          <w:b/>
          <w:noProof/>
          <w:szCs w:val="24"/>
          <w:lang w:val="en-US"/>
        </w:rPr>
      </w:pPr>
      <w:r w:rsidRPr="0084037D">
        <w:rPr>
          <w:b/>
          <w:noProof/>
          <w:szCs w:val="24"/>
        </w:rPr>
        <w:t>A.</w:t>
      </w:r>
      <w:r w:rsidRPr="0084037D">
        <w:rPr>
          <w:b/>
          <w:noProof/>
          <w:szCs w:val="24"/>
        </w:rPr>
        <w:tab/>
        <w:t xml:space="preserve">Implementation of the western Mediterranean multiannual management plan </w:t>
      </w:r>
    </w:p>
    <w:p w14:paraId="03976B2C" w14:textId="77777777" w:rsidR="007E3AC5" w:rsidRPr="0084037D" w:rsidRDefault="004D3D81" w:rsidP="00771361">
      <w:pPr>
        <w:rPr>
          <w:noProof/>
        </w:rPr>
      </w:pPr>
      <w:r w:rsidRPr="0084037D">
        <w:rPr>
          <w:noProof/>
        </w:rPr>
        <w:t xml:space="preserve">Under the multiannual plan for </w:t>
      </w:r>
      <w:r w:rsidR="00F626EE" w:rsidRPr="0084037D">
        <w:rPr>
          <w:noProof/>
        </w:rPr>
        <w:t xml:space="preserve">demersal fisheries in the western Mediterranean, </w:t>
      </w:r>
      <w:r w:rsidRPr="0084037D">
        <w:rPr>
          <w:noProof/>
        </w:rPr>
        <w:t xml:space="preserve">the Council is to set a maximum allowable fishing effort </w:t>
      </w:r>
      <w:r w:rsidR="00233190" w:rsidRPr="0084037D">
        <w:rPr>
          <w:noProof/>
        </w:rPr>
        <w:t xml:space="preserve">for trawl vessels exploiting demersal stocks in the western Mediterranean, </w:t>
      </w:r>
      <w:r w:rsidRPr="0084037D">
        <w:rPr>
          <w:noProof/>
        </w:rPr>
        <w:t>for each fishing effort group</w:t>
      </w:r>
      <w:r w:rsidR="00233190" w:rsidRPr="0084037D">
        <w:rPr>
          <w:noProof/>
        </w:rPr>
        <w:t>,</w:t>
      </w:r>
      <w:r w:rsidRPr="0084037D">
        <w:rPr>
          <w:noProof/>
        </w:rPr>
        <w:t xml:space="preserve"> by Member State and for the stock groups in Annex I to the plan. </w:t>
      </w:r>
    </w:p>
    <w:p w14:paraId="62F73878" w14:textId="77777777" w:rsidR="004D3D81" w:rsidRPr="0084037D" w:rsidRDefault="004D3D81" w:rsidP="004D3D81">
      <w:pPr>
        <w:pBdr>
          <w:top w:val="nil"/>
          <w:left w:val="nil"/>
          <w:bottom w:val="nil"/>
          <w:right w:val="nil"/>
          <w:between w:val="nil"/>
          <w:bar w:val="nil"/>
        </w:pBdr>
        <w:rPr>
          <w:noProof/>
          <w:szCs w:val="24"/>
        </w:rPr>
      </w:pPr>
      <w:r w:rsidRPr="0084037D">
        <w:rPr>
          <w:noProof/>
          <w:szCs w:val="24"/>
        </w:rPr>
        <w:t>In 202</w:t>
      </w:r>
      <w:r w:rsidR="00A045EF" w:rsidRPr="0084037D">
        <w:rPr>
          <w:noProof/>
          <w:szCs w:val="24"/>
        </w:rPr>
        <w:t>2</w:t>
      </w:r>
      <w:r w:rsidRPr="0084037D">
        <w:rPr>
          <w:noProof/>
          <w:szCs w:val="24"/>
        </w:rPr>
        <w:t xml:space="preserve">, scientific advice from both </w:t>
      </w:r>
      <w:r w:rsidR="00F626EE" w:rsidRPr="0084037D">
        <w:rPr>
          <w:noProof/>
          <w:szCs w:val="24"/>
        </w:rPr>
        <w:t xml:space="preserve">the </w:t>
      </w:r>
      <w:r w:rsidRPr="0084037D">
        <w:rPr>
          <w:noProof/>
          <w:szCs w:val="24"/>
        </w:rPr>
        <w:t xml:space="preserve">STECF and the </w:t>
      </w:r>
      <w:r w:rsidR="005E1DC7" w:rsidRPr="0084037D">
        <w:rPr>
          <w:noProof/>
          <w:szCs w:val="24"/>
        </w:rPr>
        <w:t xml:space="preserve">GFCM </w:t>
      </w:r>
      <w:r w:rsidRPr="0084037D">
        <w:rPr>
          <w:noProof/>
          <w:szCs w:val="24"/>
        </w:rPr>
        <w:t xml:space="preserve">Scientific Advisory Committee recommended that, in order to attain MSY for demersal stocks in the western Mediterranean, swift action </w:t>
      </w:r>
      <w:r w:rsidR="00F626EE" w:rsidRPr="0084037D">
        <w:rPr>
          <w:noProof/>
          <w:szCs w:val="24"/>
        </w:rPr>
        <w:t xml:space="preserve">ought to </w:t>
      </w:r>
      <w:r w:rsidRPr="0084037D">
        <w:rPr>
          <w:noProof/>
          <w:szCs w:val="24"/>
        </w:rPr>
        <w:t xml:space="preserve">be undertaken and real reductions in fishing mortality be adopted. The stocks of hake and </w:t>
      </w:r>
      <w:r w:rsidR="00A045EF" w:rsidRPr="0084037D">
        <w:rPr>
          <w:noProof/>
          <w:szCs w:val="24"/>
        </w:rPr>
        <w:t xml:space="preserve">one stock of </w:t>
      </w:r>
      <w:r w:rsidRPr="0084037D">
        <w:rPr>
          <w:noProof/>
          <w:szCs w:val="24"/>
        </w:rPr>
        <w:t xml:space="preserve">deep-water shrimps were so overexploited that STECF </w:t>
      </w:r>
      <w:r w:rsidR="00A045EF" w:rsidRPr="0084037D">
        <w:rPr>
          <w:noProof/>
          <w:szCs w:val="24"/>
        </w:rPr>
        <w:t>estimated</w:t>
      </w:r>
      <w:r w:rsidRPr="0084037D">
        <w:rPr>
          <w:noProof/>
          <w:szCs w:val="24"/>
        </w:rPr>
        <w:t xml:space="preserve"> </w:t>
      </w:r>
      <w:r w:rsidR="007F0D48" w:rsidRPr="0084037D">
        <w:rPr>
          <w:noProof/>
          <w:szCs w:val="24"/>
        </w:rPr>
        <w:t xml:space="preserve">them </w:t>
      </w:r>
      <w:r w:rsidRPr="0084037D">
        <w:rPr>
          <w:noProof/>
          <w:szCs w:val="24"/>
        </w:rPr>
        <w:t>at a level below B</w:t>
      </w:r>
      <w:r w:rsidRPr="0084037D">
        <w:rPr>
          <w:noProof/>
          <w:szCs w:val="24"/>
          <w:vertAlign w:val="subscript"/>
        </w:rPr>
        <w:t>lim</w:t>
      </w:r>
      <w:r w:rsidR="00DE265A" w:rsidRPr="0084037D">
        <w:rPr>
          <w:noProof/>
          <w:szCs w:val="24"/>
        </w:rPr>
        <w:t>, that is the limit reference point, expressed as spawning stock biomass and provided for in the best available scientific advice, in particular by STECF, or a similar independent scientific body recognised at Union or international level, below which there may be reduced reproductive capacity</w:t>
      </w:r>
      <w:r w:rsidRPr="0084037D">
        <w:rPr>
          <w:noProof/>
          <w:szCs w:val="24"/>
        </w:rPr>
        <w:t xml:space="preserve"> </w:t>
      </w:r>
    </w:p>
    <w:p w14:paraId="413E4A5B" w14:textId="77777777" w:rsidR="004D3D81" w:rsidRPr="0084037D" w:rsidRDefault="00F626EE" w:rsidP="004D3D81">
      <w:pPr>
        <w:pBdr>
          <w:top w:val="nil"/>
          <w:left w:val="nil"/>
          <w:bottom w:val="nil"/>
          <w:right w:val="nil"/>
          <w:between w:val="nil"/>
          <w:bar w:val="nil"/>
        </w:pBdr>
        <w:rPr>
          <w:noProof/>
          <w:szCs w:val="24"/>
        </w:rPr>
      </w:pPr>
      <w:r w:rsidRPr="0084037D">
        <w:rPr>
          <w:noProof/>
          <w:szCs w:val="24"/>
        </w:rPr>
        <w:t xml:space="preserve">The </w:t>
      </w:r>
      <w:r w:rsidR="004D3D81" w:rsidRPr="0084037D">
        <w:rPr>
          <w:noProof/>
          <w:szCs w:val="24"/>
        </w:rPr>
        <w:t xml:space="preserve">STECF </w:t>
      </w:r>
      <w:r w:rsidR="00935BEA" w:rsidRPr="0084037D">
        <w:rPr>
          <w:noProof/>
          <w:szCs w:val="24"/>
        </w:rPr>
        <w:t>(STECF-2</w:t>
      </w:r>
      <w:r w:rsidR="00A045EF" w:rsidRPr="0084037D">
        <w:rPr>
          <w:noProof/>
          <w:szCs w:val="24"/>
        </w:rPr>
        <w:t>2</w:t>
      </w:r>
      <w:r w:rsidR="00935BEA" w:rsidRPr="0084037D">
        <w:rPr>
          <w:noProof/>
          <w:szCs w:val="24"/>
        </w:rPr>
        <w:t>-</w:t>
      </w:r>
      <w:r w:rsidR="00A045EF" w:rsidRPr="0084037D">
        <w:rPr>
          <w:noProof/>
          <w:szCs w:val="24"/>
        </w:rPr>
        <w:t xml:space="preserve">11 </w:t>
      </w:r>
      <w:r w:rsidR="00935BEA" w:rsidRPr="0084037D">
        <w:rPr>
          <w:noProof/>
          <w:szCs w:val="24"/>
        </w:rPr>
        <w:t>and PLEN-</w:t>
      </w:r>
      <w:r w:rsidR="00A045EF" w:rsidRPr="0084037D">
        <w:rPr>
          <w:noProof/>
          <w:szCs w:val="24"/>
        </w:rPr>
        <w:t>22</w:t>
      </w:r>
      <w:r w:rsidR="00935BEA" w:rsidRPr="0084037D">
        <w:rPr>
          <w:noProof/>
          <w:szCs w:val="24"/>
        </w:rPr>
        <w:t xml:space="preserve">-03) </w:t>
      </w:r>
      <w:r w:rsidR="004D3D81" w:rsidRPr="0084037D">
        <w:rPr>
          <w:noProof/>
          <w:szCs w:val="24"/>
        </w:rPr>
        <w:t xml:space="preserve">advised that a holistic approach, combining effort measures </w:t>
      </w:r>
      <w:r w:rsidR="004E54BC" w:rsidRPr="0084037D">
        <w:rPr>
          <w:noProof/>
          <w:szCs w:val="24"/>
        </w:rPr>
        <w:t xml:space="preserve">for both trawlers and longliners </w:t>
      </w:r>
      <w:r w:rsidR="004D3D81" w:rsidRPr="0084037D">
        <w:rPr>
          <w:noProof/>
          <w:szCs w:val="24"/>
        </w:rPr>
        <w:t>and catch limits</w:t>
      </w:r>
      <w:r w:rsidR="004E54BC" w:rsidRPr="0084037D">
        <w:rPr>
          <w:noProof/>
          <w:szCs w:val="24"/>
        </w:rPr>
        <w:t xml:space="preserve"> for deep-water shrimps</w:t>
      </w:r>
      <w:r w:rsidR="004D3D81" w:rsidRPr="0084037D">
        <w:rPr>
          <w:noProof/>
          <w:szCs w:val="24"/>
        </w:rPr>
        <w:t xml:space="preserve">, </w:t>
      </w:r>
      <w:r w:rsidR="005434F8" w:rsidRPr="0084037D">
        <w:rPr>
          <w:noProof/>
          <w:szCs w:val="24"/>
        </w:rPr>
        <w:t>was</w:t>
      </w:r>
      <w:r w:rsidR="004D3D81" w:rsidRPr="0084037D">
        <w:rPr>
          <w:noProof/>
          <w:szCs w:val="24"/>
        </w:rPr>
        <w:t xml:space="preserve"> </w:t>
      </w:r>
      <w:r w:rsidR="007E3AC5" w:rsidRPr="0084037D">
        <w:rPr>
          <w:noProof/>
          <w:szCs w:val="24"/>
        </w:rPr>
        <w:t>necessary</w:t>
      </w:r>
      <w:r w:rsidR="004D3D81" w:rsidRPr="0084037D">
        <w:rPr>
          <w:noProof/>
          <w:szCs w:val="24"/>
        </w:rPr>
        <w:t xml:space="preserve"> to reduce urgently fishing mortality, in particular for hake and deep-water shrimp stocks. </w:t>
      </w:r>
      <w:r w:rsidR="004E54BC" w:rsidRPr="0084037D">
        <w:rPr>
          <w:noProof/>
          <w:szCs w:val="24"/>
        </w:rPr>
        <w:t xml:space="preserve">This approach </w:t>
      </w:r>
      <w:r w:rsidRPr="0084037D">
        <w:rPr>
          <w:noProof/>
          <w:szCs w:val="24"/>
        </w:rPr>
        <w:t>was</w:t>
      </w:r>
      <w:r w:rsidR="004E54BC" w:rsidRPr="0084037D">
        <w:rPr>
          <w:noProof/>
          <w:szCs w:val="24"/>
        </w:rPr>
        <w:t xml:space="preserve"> implemented </w:t>
      </w:r>
      <w:r w:rsidRPr="0084037D">
        <w:rPr>
          <w:noProof/>
          <w:szCs w:val="24"/>
        </w:rPr>
        <w:t xml:space="preserve">by </w:t>
      </w:r>
      <w:r w:rsidR="005E1DC7" w:rsidRPr="0084037D">
        <w:rPr>
          <w:noProof/>
          <w:szCs w:val="24"/>
        </w:rPr>
        <w:t xml:space="preserve">the </w:t>
      </w:r>
      <w:r w:rsidR="00935BEA" w:rsidRPr="0084037D">
        <w:rPr>
          <w:noProof/>
          <w:szCs w:val="24"/>
        </w:rPr>
        <w:t xml:space="preserve">2022 </w:t>
      </w:r>
      <w:r w:rsidR="005D004A" w:rsidRPr="0084037D">
        <w:rPr>
          <w:noProof/>
          <w:szCs w:val="24"/>
        </w:rPr>
        <w:t xml:space="preserve">and 2023 </w:t>
      </w:r>
      <w:r w:rsidR="00935BEA" w:rsidRPr="0084037D">
        <w:rPr>
          <w:noProof/>
          <w:szCs w:val="24"/>
        </w:rPr>
        <w:t>Fishing Opportunities</w:t>
      </w:r>
      <w:r w:rsidR="005E1DC7" w:rsidRPr="0084037D">
        <w:rPr>
          <w:noProof/>
          <w:szCs w:val="24"/>
        </w:rPr>
        <w:t xml:space="preserve"> </w:t>
      </w:r>
      <w:r w:rsidR="005E1DC7" w:rsidRPr="0084037D">
        <w:rPr>
          <w:noProof/>
        </w:rPr>
        <w:t>Regulation</w:t>
      </w:r>
      <w:r w:rsidR="006C7E08" w:rsidRPr="0084037D">
        <w:rPr>
          <w:noProof/>
        </w:rPr>
        <w:t>s</w:t>
      </w:r>
      <w:r w:rsidR="005434F8" w:rsidRPr="0084037D">
        <w:rPr>
          <w:noProof/>
          <w:szCs w:val="24"/>
        </w:rPr>
        <w:t xml:space="preserve">, and the Commission proposes to continue implementing </w:t>
      </w:r>
      <w:r w:rsidR="00593086" w:rsidRPr="0084037D">
        <w:rPr>
          <w:noProof/>
          <w:szCs w:val="24"/>
        </w:rPr>
        <w:t>such an approach in 202</w:t>
      </w:r>
      <w:r w:rsidR="005D004A" w:rsidRPr="0084037D">
        <w:rPr>
          <w:noProof/>
          <w:szCs w:val="24"/>
        </w:rPr>
        <w:t>4</w:t>
      </w:r>
      <w:r w:rsidR="005434F8" w:rsidRPr="0084037D">
        <w:rPr>
          <w:noProof/>
          <w:szCs w:val="24"/>
        </w:rPr>
        <w:t xml:space="preserve">. </w:t>
      </w:r>
    </w:p>
    <w:p w14:paraId="0DB75B14" w14:textId="77777777" w:rsidR="00DE3AFB" w:rsidRPr="0084037D" w:rsidRDefault="005434F8" w:rsidP="004D3D81">
      <w:pPr>
        <w:pBdr>
          <w:top w:val="nil"/>
          <w:left w:val="nil"/>
          <w:bottom w:val="nil"/>
          <w:right w:val="nil"/>
          <w:between w:val="nil"/>
          <w:bar w:val="nil"/>
        </w:pBdr>
        <w:rPr>
          <w:noProof/>
          <w:szCs w:val="24"/>
        </w:rPr>
      </w:pPr>
      <w:r w:rsidRPr="0084037D">
        <w:rPr>
          <w:noProof/>
          <w:szCs w:val="24"/>
        </w:rPr>
        <w:t xml:space="preserve">This </w:t>
      </w:r>
      <w:r w:rsidR="00DE3AFB" w:rsidRPr="0084037D">
        <w:rPr>
          <w:noProof/>
          <w:szCs w:val="24"/>
        </w:rPr>
        <w:t>proposal includes a series o</w:t>
      </w:r>
      <w:r w:rsidR="00935BEA" w:rsidRPr="0084037D">
        <w:rPr>
          <w:noProof/>
          <w:szCs w:val="24"/>
        </w:rPr>
        <w:t>f</w:t>
      </w:r>
      <w:r w:rsidR="00DE3AFB" w:rsidRPr="0084037D">
        <w:rPr>
          <w:noProof/>
          <w:szCs w:val="24"/>
        </w:rPr>
        <w:t xml:space="preserve"> </w:t>
      </w:r>
      <w:r w:rsidR="00935BEA" w:rsidRPr="0084037D">
        <w:rPr>
          <w:noProof/>
          <w:szCs w:val="24"/>
        </w:rPr>
        <w:t>“pro memoria”</w:t>
      </w:r>
      <w:r w:rsidR="00A21729" w:rsidRPr="0084037D">
        <w:rPr>
          <w:noProof/>
          <w:szCs w:val="24"/>
        </w:rPr>
        <w:t xml:space="preserve"> </w:t>
      </w:r>
      <w:r w:rsidR="00935BEA" w:rsidRPr="0084037D">
        <w:rPr>
          <w:noProof/>
          <w:szCs w:val="24"/>
        </w:rPr>
        <w:t xml:space="preserve">(pm) </w:t>
      </w:r>
      <w:r w:rsidR="00DE3AFB" w:rsidRPr="0084037D">
        <w:rPr>
          <w:noProof/>
          <w:szCs w:val="24"/>
        </w:rPr>
        <w:t>for the level of the fishing effort, as well as the level of catches, and it will be completed at a later stage, when the</w:t>
      </w:r>
      <w:r w:rsidR="004E54BC" w:rsidRPr="0084037D">
        <w:rPr>
          <w:noProof/>
          <w:szCs w:val="24"/>
        </w:rPr>
        <w:t xml:space="preserve"> STECF advice will be available. </w:t>
      </w:r>
      <w:r w:rsidR="00974354" w:rsidRPr="0084037D">
        <w:rPr>
          <w:noProof/>
          <w:szCs w:val="24"/>
        </w:rPr>
        <w:t xml:space="preserve"> </w:t>
      </w:r>
    </w:p>
    <w:p w14:paraId="4E2DD5D2" w14:textId="77777777" w:rsidR="004D3D81" w:rsidRPr="0084037D" w:rsidRDefault="004D3D81" w:rsidP="004D3D81">
      <w:pPr>
        <w:pStyle w:val="Text1"/>
        <w:ind w:left="0"/>
        <w:rPr>
          <w:noProof/>
        </w:rPr>
      </w:pPr>
      <w:r w:rsidRPr="0084037D">
        <w:rPr>
          <w:noProof/>
        </w:rPr>
        <w:t xml:space="preserve">Furthermore, in order to promote the use of the selectivity of the gears and to establish </w:t>
      </w:r>
      <w:r w:rsidR="005434F8" w:rsidRPr="0084037D">
        <w:rPr>
          <w:noProof/>
        </w:rPr>
        <w:t xml:space="preserve">efficient </w:t>
      </w:r>
      <w:r w:rsidRPr="0084037D">
        <w:rPr>
          <w:noProof/>
        </w:rPr>
        <w:t xml:space="preserve">closure areas to protect juveniles and spawners, </w:t>
      </w:r>
      <w:r w:rsidR="00593086" w:rsidRPr="0084037D">
        <w:rPr>
          <w:noProof/>
        </w:rPr>
        <w:t xml:space="preserve">the </w:t>
      </w:r>
      <w:r w:rsidR="00A045EF" w:rsidRPr="0084037D">
        <w:rPr>
          <w:noProof/>
        </w:rPr>
        <w:t xml:space="preserve">2023 </w:t>
      </w:r>
      <w:r w:rsidR="00593086" w:rsidRPr="0084037D">
        <w:rPr>
          <w:noProof/>
        </w:rPr>
        <w:t xml:space="preserve">Fishing Opportunities </w:t>
      </w:r>
      <w:r w:rsidRPr="0084037D">
        <w:rPr>
          <w:noProof/>
        </w:rPr>
        <w:t xml:space="preserve">Regulation </w:t>
      </w:r>
      <w:r w:rsidR="00A045EF" w:rsidRPr="0084037D">
        <w:rPr>
          <w:noProof/>
        </w:rPr>
        <w:t>maintained the</w:t>
      </w:r>
      <w:r w:rsidRPr="0084037D">
        <w:rPr>
          <w:noProof/>
        </w:rPr>
        <w:t xml:space="preserve"> compensation mechanism </w:t>
      </w:r>
      <w:r w:rsidR="00A045EF" w:rsidRPr="0084037D">
        <w:rPr>
          <w:noProof/>
        </w:rPr>
        <w:t xml:space="preserve">established in the 2022 Fishing Opportunities Regulation </w:t>
      </w:r>
      <w:r w:rsidRPr="0084037D">
        <w:rPr>
          <w:noProof/>
        </w:rPr>
        <w:t>in relation to the effort regime for trawlers</w:t>
      </w:r>
      <w:r w:rsidR="00A045EF" w:rsidRPr="0084037D">
        <w:rPr>
          <w:noProof/>
        </w:rPr>
        <w:t>. T</w:t>
      </w:r>
      <w:r w:rsidR="00F626EE" w:rsidRPr="0084037D">
        <w:rPr>
          <w:noProof/>
        </w:rPr>
        <w:t xml:space="preserve">he Commission proposes to </w:t>
      </w:r>
      <w:r w:rsidR="00123AA5" w:rsidRPr="0084037D">
        <w:rPr>
          <w:noProof/>
        </w:rPr>
        <w:t>maintain</w:t>
      </w:r>
      <w:r w:rsidR="00F626EE" w:rsidRPr="0084037D">
        <w:rPr>
          <w:noProof/>
        </w:rPr>
        <w:t xml:space="preserve"> this mechanism in 202</w:t>
      </w:r>
      <w:r w:rsidR="005D004A" w:rsidRPr="0084037D">
        <w:rPr>
          <w:noProof/>
        </w:rPr>
        <w:t>4</w:t>
      </w:r>
      <w:r w:rsidRPr="0084037D">
        <w:rPr>
          <w:noProof/>
        </w:rPr>
        <w:t xml:space="preserve">. </w:t>
      </w:r>
    </w:p>
    <w:p w14:paraId="4F70C509" w14:textId="77777777" w:rsidR="004D3D81" w:rsidRPr="0084037D" w:rsidRDefault="004D3D81" w:rsidP="00771361">
      <w:pPr>
        <w:rPr>
          <w:b/>
          <w:bCs/>
          <w:noProof/>
        </w:rPr>
      </w:pPr>
      <w:r w:rsidRPr="0084037D">
        <w:rPr>
          <w:b/>
          <w:bCs/>
          <w:noProof/>
        </w:rPr>
        <w:t>B.</w:t>
      </w:r>
      <w:r w:rsidRPr="0084037D">
        <w:rPr>
          <w:b/>
          <w:bCs/>
          <w:noProof/>
        </w:rPr>
        <w:tab/>
        <w:t xml:space="preserve">GFCM measures applicable in the Mediterranean Sea </w:t>
      </w:r>
    </w:p>
    <w:p w14:paraId="3443CBC1" w14:textId="7CBE83BB" w:rsidR="004D3D81" w:rsidRPr="0084037D" w:rsidRDefault="00974354" w:rsidP="00F85AAD">
      <w:pPr>
        <w:pStyle w:val="Tiret0"/>
        <w:numPr>
          <w:ilvl w:val="0"/>
          <w:numId w:val="17"/>
        </w:numPr>
        <w:rPr>
          <w:noProof/>
        </w:rPr>
      </w:pPr>
      <w:r w:rsidRPr="0084037D">
        <w:rPr>
          <w:noProof/>
        </w:rPr>
        <w:t>F</w:t>
      </w:r>
      <w:r w:rsidR="004D3D81" w:rsidRPr="0084037D">
        <w:rPr>
          <w:noProof/>
        </w:rPr>
        <w:t>ishing harvest limits and limits on the number of fishing authorisations for red coral in the entire Mediterranean Sea (GSAs 1 to 27)</w:t>
      </w:r>
    </w:p>
    <w:p w14:paraId="27EC6AA7" w14:textId="65B03375" w:rsidR="004D3D81" w:rsidRPr="0084037D" w:rsidRDefault="006C7E08" w:rsidP="002F6A65">
      <w:pPr>
        <w:pStyle w:val="Tiret0"/>
        <w:rPr>
          <w:noProof/>
        </w:rPr>
      </w:pPr>
      <w:r w:rsidRPr="0084037D">
        <w:rPr>
          <w:noProof/>
        </w:rPr>
        <w:t>M</w:t>
      </w:r>
      <w:r w:rsidR="00207729" w:rsidRPr="0084037D">
        <w:rPr>
          <w:noProof/>
        </w:rPr>
        <w:t xml:space="preserve">aximum catch limits for deepwater rose shrimp and maximum allowable fishing effort for and fleet capacity for hake in the Strait of Sicily (GSA 12 to 16) </w:t>
      </w:r>
    </w:p>
    <w:p w14:paraId="33C463B5" w14:textId="736C3298" w:rsidR="006C7E08" w:rsidRPr="0084037D" w:rsidRDefault="006C7E08" w:rsidP="002F6A65">
      <w:pPr>
        <w:pStyle w:val="Tiret0"/>
        <w:rPr>
          <w:noProof/>
        </w:rPr>
      </w:pPr>
      <w:r w:rsidRPr="0084037D">
        <w:rPr>
          <w:noProof/>
        </w:rPr>
        <w:t>M</w:t>
      </w:r>
      <w:r w:rsidR="0080741C" w:rsidRPr="0084037D">
        <w:rPr>
          <w:noProof/>
        </w:rPr>
        <w:t xml:space="preserve">aximum </w:t>
      </w:r>
      <w:r w:rsidR="00DC422F" w:rsidRPr="0084037D">
        <w:rPr>
          <w:noProof/>
        </w:rPr>
        <w:t xml:space="preserve">fleet capacity and </w:t>
      </w:r>
      <w:r w:rsidR="0080741C" w:rsidRPr="0084037D">
        <w:rPr>
          <w:noProof/>
        </w:rPr>
        <w:t>catch limits for giant red shrimp and blue and red shrimp in the Strait of Sicily (GSAs 12 to 16), the Ionian Sea (GSAs 19 to 21) and the Levant Sea (GSAs 24 to 27)</w:t>
      </w:r>
    </w:p>
    <w:p w14:paraId="1031E4D5" w14:textId="11B519C0" w:rsidR="008275C8" w:rsidRPr="0084037D" w:rsidRDefault="006C7E08" w:rsidP="002F6A65">
      <w:pPr>
        <w:pStyle w:val="Tiret0"/>
        <w:rPr>
          <w:noProof/>
        </w:rPr>
      </w:pPr>
      <w:r w:rsidRPr="0084037D">
        <w:rPr>
          <w:noProof/>
        </w:rPr>
        <w:t>M</w:t>
      </w:r>
      <w:r w:rsidR="008275C8" w:rsidRPr="0084037D">
        <w:rPr>
          <w:noProof/>
        </w:rPr>
        <w:t>aximum level of catches and maximum number of longlines and handlines for blackspot seabrem in the Alboran Sea (GSA 1 to 3)</w:t>
      </w:r>
    </w:p>
    <w:p w14:paraId="65247D31" w14:textId="65151DF8" w:rsidR="004D3D81" w:rsidRPr="0084037D" w:rsidRDefault="00974354" w:rsidP="002F6A65">
      <w:pPr>
        <w:pStyle w:val="Tiret0"/>
        <w:rPr>
          <w:noProof/>
        </w:rPr>
      </w:pPr>
      <w:r w:rsidRPr="0084037D">
        <w:rPr>
          <w:noProof/>
        </w:rPr>
        <w:t>M</w:t>
      </w:r>
      <w:r w:rsidR="00947E31" w:rsidRPr="0084037D">
        <w:rPr>
          <w:noProof/>
        </w:rPr>
        <w:t xml:space="preserve">easures for </w:t>
      </w:r>
      <w:r w:rsidR="004D3D81" w:rsidRPr="0084037D">
        <w:rPr>
          <w:noProof/>
        </w:rPr>
        <w:t xml:space="preserve">small pelagic stocks under the </w:t>
      </w:r>
      <w:r w:rsidR="00F90414" w:rsidRPr="0084037D">
        <w:rPr>
          <w:noProof/>
        </w:rPr>
        <w:t xml:space="preserve">2021 </w:t>
      </w:r>
      <w:r w:rsidR="005E1DC7" w:rsidRPr="0084037D">
        <w:rPr>
          <w:noProof/>
        </w:rPr>
        <w:t xml:space="preserve">GFCM Multiannual management plan for small pelagic species </w:t>
      </w:r>
      <w:r w:rsidR="004D3D81" w:rsidRPr="0084037D">
        <w:rPr>
          <w:noProof/>
        </w:rPr>
        <w:t>in the Adriatic Sea (GSAs 17 and 18)</w:t>
      </w:r>
      <w:r w:rsidR="00123AA5" w:rsidRPr="0084037D">
        <w:rPr>
          <w:noProof/>
        </w:rPr>
        <w:t xml:space="preserve"> </w:t>
      </w:r>
    </w:p>
    <w:p w14:paraId="43E3BB62" w14:textId="77777777" w:rsidR="00947E31" w:rsidRPr="0084037D" w:rsidRDefault="004D3D81" w:rsidP="00771361">
      <w:pPr>
        <w:rPr>
          <w:noProof/>
        </w:rPr>
      </w:pPr>
      <w:r w:rsidRPr="0084037D">
        <w:rPr>
          <w:noProof/>
        </w:rPr>
        <w:lastRenderedPageBreak/>
        <w:t>The Commission proposes to continue</w:t>
      </w:r>
      <w:r w:rsidR="000B72D6" w:rsidRPr="0084037D">
        <w:rPr>
          <w:noProof/>
        </w:rPr>
        <w:t xml:space="preserve"> in 202</w:t>
      </w:r>
      <w:r w:rsidR="00E3289C" w:rsidRPr="0084037D">
        <w:rPr>
          <w:noProof/>
        </w:rPr>
        <w:t>4</w:t>
      </w:r>
      <w:r w:rsidRPr="0084037D">
        <w:rPr>
          <w:noProof/>
        </w:rPr>
        <w:t xml:space="preserve"> the implementation of the provisions of </w:t>
      </w:r>
      <w:r w:rsidR="00123AA5" w:rsidRPr="0084037D">
        <w:rPr>
          <w:noProof/>
        </w:rPr>
        <w:t xml:space="preserve">the </w:t>
      </w:r>
      <w:r w:rsidRPr="0084037D">
        <w:rPr>
          <w:noProof/>
        </w:rPr>
        <w:t>plan</w:t>
      </w:r>
      <w:r w:rsidR="00593086" w:rsidRPr="0084037D">
        <w:rPr>
          <w:noProof/>
        </w:rPr>
        <w:t>, which</w:t>
      </w:r>
      <w:r w:rsidRPr="0084037D">
        <w:rPr>
          <w:noProof/>
        </w:rPr>
        <w:t xml:space="preserve"> follows a two-step approach, with a transitional period </w:t>
      </w:r>
      <w:r w:rsidR="00123AA5" w:rsidRPr="0084037D">
        <w:rPr>
          <w:noProof/>
        </w:rPr>
        <w:t xml:space="preserve">of </w:t>
      </w:r>
      <w:r w:rsidR="00A62250" w:rsidRPr="0084037D">
        <w:rPr>
          <w:noProof/>
        </w:rPr>
        <w:t>three</w:t>
      </w:r>
      <w:r w:rsidR="00123AA5" w:rsidRPr="0084037D">
        <w:rPr>
          <w:noProof/>
        </w:rPr>
        <w:t xml:space="preserve"> years followed by </w:t>
      </w:r>
      <w:r w:rsidRPr="0084037D">
        <w:rPr>
          <w:noProof/>
        </w:rPr>
        <w:t>long-term measures</w:t>
      </w:r>
      <w:r w:rsidR="00123AA5" w:rsidRPr="0084037D">
        <w:rPr>
          <w:noProof/>
        </w:rPr>
        <w:t xml:space="preserve"> for a period of </w:t>
      </w:r>
      <w:r w:rsidR="00A62250" w:rsidRPr="0084037D">
        <w:rPr>
          <w:noProof/>
        </w:rPr>
        <w:t>five</w:t>
      </w:r>
      <w:r w:rsidR="00123AA5" w:rsidRPr="0084037D">
        <w:rPr>
          <w:noProof/>
        </w:rPr>
        <w:t xml:space="preserve"> years</w:t>
      </w:r>
      <w:r w:rsidRPr="0084037D">
        <w:rPr>
          <w:noProof/>
        </w:rPr>
        <w:t>.</w:t>
      </w:r>
    </w:p>
    <w:p w14:paraId="12987EBD" w14:textId="77777777" w:rsidR="002F044E" w:rsidRPr="0084037D" w:rsidRDefault="000B72D6" w:rsidP="00D63054">
      <w:pPr>
        <w:rPr>
          <w:noProof/>
        </w:rPr>
      </w:pPr>
      <w:r w:rsidRPr="0084037D">
        <w:rPr>
          <w:noProof/>
        </w:rPr>
        <w:t>202</w:t>
      </w:r>
      <w:r w:rsidR="00EF50F0" w:rsidRPr="0084037D">
        <w:rPr>
          <w:noProof/>
        </w:rPr>
        <w:t>4</w:t>
      </w:r>
      <w:r w:rsidRPr="0084037D">
        <w:rPr>
          <w:noProof/>
        </w:rPr>
        <w:t xml:space="preserve"> is </w:t>
      </w:r>
      <w:r w:rsidR="004D3D81" w:rsidRPr="0084037D">
        <w:rPr>
          <w:noProof/>
        </w:rPr>
        <w:t xml:space="preserve">the </w:t>
      </w:r>
      <w:r w:rsidR="00EF50F0" w:rsidRPr="0084037D">
        <w:rPr>
          <w:noProof/>
        </w:rPr>
        <w:t xml:space="preserve">third </w:t>
      </w:r>
      <w:r w:rsidR="004D3D81" w:rsidRPr="0084037D">
        <w:rPr>
          <w:noProof/>
        </w:rPr>
        <w:t>year of the transitional period</w:t>
      </w:r>
      <w:r w:rsidRPr="0084037D">
        <w:rPr>
          <w:noProof/>
        </w:rPr>
        <w:t xml:space="preserve"> and</w:t>
      </w:r>
      <w:r w:rsidR="004D3D81" w:rsidRPr="0084037D">
        <w:rPr>
          <w:noProof/>
        </w:rPr>
        <w:t xml:space="preserve"> </w:t>
      </w:r>
      <w:r w:rsidR="00287EB1" w:rsidRPr="0084037D">
        <w:rPr>
          <w:noProof/>
        </w:rPr>
        <w:t>the Commission</w:t>
      </w:r>
      <w:r w:rsidR="004D3D81" w:rsidRPr="0084037D">
        <w:rPr>
          <w:noProof/>
        </w:rPr>
        <w:t xml:space="preserve"> propose</w:t>
      </w:r>
      <w:r w:rsidR="00287EB1" w:rsidRPr="0084037D">
        <w:rPr>
          <w:noProof/>
        </w:rPr>
        <w:t>s</w:t>
      </w:r>
      <w:r w:rsidR="004D3D81" w:rsidRPr="0084037D">
        <w:rPr>
          <w:noProof/>
        </w:rPr>
        <w:t xml:space="preserve"> to continue </w:t>
      </w:r>
      <w:r w:rsidR="00287EB1" w:rsidRPr="0084037D">
        <w:rPr>
          <w:noProof/>
        </w:rPr>
        <w:t xml:space="preserve">the implementation of the catch limits with </w:t>
      </w:r>
      <w:r w:rsidR="004D3D81" w:rsidRPr="0084037D">
        <w:rPr>
          <w:noProof/>
        </w:rPr>
        <w:t xml:space="preserve">the transitional internal share between Italy and Croatia and the transitional reserve for Slovenia, as well as the fleet capacity ceiling for purse seiners and pelagic trawlers targeting small </w:t>
      </w:r>
      <w:r w:rsidR="00587A30" w:rsidRPr="0084037D">
        <w:rPr>
          <w:noProof/>
        </w:rPr>
        <w:t>pelagic stocks</w:t>
      </w:r>
      <w:r w:rsidR="004D3D81" w:rsidRPr="0084037D">
        <w:rPr>
          <w:noProof/>
        </w:rPr>
        <w:t>.</w:t>
      </w:r>
      <w:r w:rsidR="00FD198B" w:rsidRPr="0084037D">
        <w:rPr>
          <w:noProof/>
        </w:rPr>
        <w:t>This capacity ceiling should be the same as in the 2023 Fishing Opportunities Regulation and based on the capacity reported to GFCM in 2014.</w:t>
      </w:r>
    </w:p>
    <w:p w14:paraId="7F42CDDB" w14:textId="6218AE19" w:rsidR="004D3D81" w:rsidRPr="0084037D" w:rsidRDefault="00974354" w:rsidP="00723239">
      <w:pPr>
        <w:pStyle w:val="Tiret0"/>
        <w:numPr>
          <w:ilvl w:val="0"/>
          <w:numId w:val="14"/>
        </w:numPr>
        <w:rPr>
          <w:noProof/>
        </w:rPr>
      </w:pPr>
      <w:r w:rsidRPr="0084037D">
        <w:rPr>
          <w:noProof/>
        </w:rPr>
        <w:t>M</w:t>
      </w:r>
      <w:r w:rsidR="00947E31" w:rsidRPr="0084037D">
        <w:rPr>
          <w:noProof/>
        </w:rPr>
        <w:t xml:space="preserve">easures for </w:t>
      </w:r>
      <w:r w:rsidR="004D3D81" w:rsidRPr="0084037D">
        <w:rPr>
          <w:noProof/>
        </w:rPr>
        <w:t>demersal stocks under the</w:t>
      </w:r>
      <w:r w:rsidR="006202E1" w:rsidRPr="0084037D">
        <w:rPr>
          <w:noProof/>
        </w:rPr>
        <w:t xml:space="preserve"> 2019 GFCM Multiannual management plan for demersal species</w:t>
      </w:r>
      <w:r w:rsidR="004D3D81" w:rsidRPr="0084037D">
        <w:rPr>
          <w:noProof/>
        </w:rPr>
        <w:t xml:space="preserve"> in the Adriatic Sea (GSAs 17 and 18):</w:t>
      </w:r>
    </w:p>
    <w:p w14:paraId="40E0496A" w14:textId="77777777" w:rsidR="00947E31" w:rsidRPr="0084037D" w:rsidRDefault="00801F50" w:rsidP="002F6A65">
      <w:pPr>
        <w:pStyle w:val="Text1"/>
        <w:rPr>
          <w:noProof/>
        </w:rPr>
      </w:pPr>
      <w:r w:rsidRPr="0084037D">
        <w:rPr>
          <w:noProof/>
        </w:rPr>
        <w:t>At its 4</w:t>
      </w:r>
      <w:r w:rsidR="00312191" w:rsidRPr="0084037D">
        <w:rPr>
          <w:noProof/>
        </w:rPr>
        <w:t>6</w:t>
      </w:r>
      <w:r w:rsidRPr="0084037D">
        <w:rPr>
          <w:noProof/>
          <w:vertAlign w:val="superscript"/>
        </w:rPr>
        <w:t>th</w:t>
      </w:r>
      <w:r w:rsidRPr="0084037D">
        <w:rPr>
          <w:noProof/>
        </w:rPr>
        <w:t xml:space="preserve"> </w:t>
      </w:r>
      <w:r w:rsidR="007C06E0" w:rsidRPr="0084037D">
        <w:rPr>
          <w:noProof/>
        </w:rPr>
        <w:t xml:space="preserve">annual </w:t>
      </w:r>
      <w:r w:rsidRPr="0084037D">
        <w:rPr>
          <w:noProof/>
        </w:rPr>
        <w:t>session in November 202</w:t>
      </w:r>
      <w:r w:rsidR="00312191" w:rsidRPr="0084037D">
        <w:rPr>
          <w:noProof/>
        </w:rPr>
        <w:t>3</w:t>
      </w:r>
      <w:r w:rsidRPr="0084037D">
        <w:rPr>
          <w:noProof/>
        </w:rPr>
        <w:t>, the</w:t>
      </w:r>
      <w:r w:rsidR="004D3D81" w:rsidRPr="0084037D">
        <w:rPr>
          <w:noProof/>
        </w:rPr>
        <w:t xml:space="preserve"> GFCM </w:t>
      </w:r>
      <w:r w:rsidR="000B72D6" w:rsidRPr="0084037D">
        <w:rPr>
          <w:noProof/>
        </w:rPr>
        <w:t xml:space="preserve">should </w:t>
      </w:r>
      <w:r w:rsidR="004D3D81" w:rsidRPr="0084037D">
        <w:rPr>
          <w:noProof/>
        </w:rPr>
        <w:t>adopt a new recommendation reducing for 202</w:t>
      </w:r>
      <w:r w:rsidR="00312191" w:rsidRPr="0084037D">
        <w:rPr>
          <w:noProof/>
        </w:rPr>
        <w:t>4</w:t>
      </w:r>
      <w:r w:rsidR="004D3D81" w:rsidRPr="0084037D">
        <w:rPr>
          <w:noProof/>
        </w:rPr>
        <w:t xml:space="preserve"> the fishing effort </w:t>
      </w:r>
      <w:r w:rsidR="00947E31" w:rsidRPr="0084037D">
        <w:rPr>
          <w:noProof/>
        </w:rPr>
        <w:t xml:space="preserve">for otter-trawlers (OTB) and </w:t>
      </w:r>
      <w:r w:rsidR="004D3D81" w:rsidRPr="0084037D">
        <w:rPr>
          <w:noProof/>
        </w:rPr>
        <w:t>for beam-trawlers (TBB). The</w:t>
      </w:r>
      <w:r w:rsidRPr="0084037D">
        <w:rPr>
          <w:noProof/>
        </w:rPr>
        <w:t xml:space="preserve"> </w:t>
      </w:r>
      <w:r w:rsidR="004D3D81" w:rsidRPr="0084037D">
        <w:rPr>
          <w:noProof/>
        </w:rPr>
        <w:t xml:space="preserve">proposal </w:t>
      </w:r>
      <w:r w:rsidR="00C60AE3" w:rsidRPr="0084037D">
        <w:rPr>
          <w:noProof/>
        </w:rPr>
        <w:t>will</w:t>
      </w:r>
      <w:r w:rsidR="004D3D81" w:rsidRPr="0084037D">
        <w:rPr>
          <w:noProof/>
        </w:rPr>
        <w:t xml:space="preserve"> be </w:t>
      </w:r>
      <w:r w:rsidR="00935BEA" w:rsidRPr="0084037D">
        <w:rPr>
          <w:noProof/>
        </w:rPr>
        <w:t>updated by way of a non-paper</w:t>
      </w:r>
      <w:r w:rsidR="004D3D81" w:rsidRPr="0084037D">
        <w:rPr>
          <w:noProof/>
        </w:rPr>
        <w:t xml:space="preserve"> </w:t>
      </w:r>
      <w:r w:rsidRPr="0084037D">
        <w:rPr>
          <w:noProof/>
        </w:rPr>
        <w:t xml:space="preserve">with the levels of the reduction, </w:t>
      </w:r>
      <w:r w:rsidR="004D3D81" w:rsidRPr="0084037D">
        <w:rPr>
          <w:noProof/>
        </w:rPr>
        <w:t xml:space="preserve">after the GFCM annual session. </w:t>
      </w:r>
    </w:p>
    <w:p w14:paraId="776D2EE9" w14:textId="77777777" w:rsidR="004D3D81" w:rsidRPr="0084037D" w:rsidRDefault="004D3D81" w:rsidP="002F6A65">
      <w:pPr>
        <w:pStyle w:val="Text1"/>
        <w:rPr>
          <w:noProof/>
        </w:rPr>
      </w:pPr>
      <w:r w:rsidRPr="0084037D">
        <w:rPr>
          <w:noProof/>
        </w:rPr>
        <w:t>The maximum fleet capacity from the 202</w:t>
      </w:r>
      <w:r w:rsidR="00312191" w:rsidRPr="0084037D">
        <w:rPr>
          <w:noProof/>
        </w:rPr>
        <w:t>3</w:t>
      </w:r>
      <w:r w:rsidRPr="0084037D">
        <w:rPr>
          <w:noProof/>
        </w:rPr>
        <w:t xml:space="preserve"> Fishing Opportunities Regulation </w:t>
      </w:r>
      <w:r w:rsidR="000B72D6" w:rsidRPr="0084037D">
        <w:rPr>
          <w:noProof/>
        </w:rPr>
        <w:t>sh</w:t>
      </w:r>
      <w:r w:rsidRPr="0084037D">
        <w:rPr>
          <w:noProof/>
        </w:rPr>
        <w:t>ould remain in place for 202</w:t>
      </w:r>
      <w:r w:rsidR="00312191" w:rsidRPr="0084037D">
        <w:rPr>
          <w:noProof/>
        </w:rPr>
        <w:t>4</w:t>
      </w:r>
      <w:r w:rsidRPr="0084037D">
        <w:rPr>
          <w:noProof/>
        </w:rPr>
        <w:t xml:space="preserve">. </w:t>
      </w:r>
    </w:p>
    <w:p w14:paraId="32ADA4D2" w14:textId="77777777" w:rsidR="0080741C" w:rsidRPr="0084037D" w:rsidRDefault="004D3D81" w:rsidP="002F6A65">
      <w:pPr>
        <w:pStyle w:val="Text1"/>
        <w:rPr>
          <w:noProof/>
        </w:rPr>
      </w:pPr>
      <w:r w:rsidRPr="0084037D">
        <w:rPr>
          <w:noProof/>
        </w:rPr>
        <w:t>The proposal includes a series of placeholders, for stocks where the GFCM transitional measures are expiring at the end of 202</w:t>
      </w:r>
      <w:r w:rsidR="00020FAD" w:rsidRPr="0084037D">
        <w:rPr>
          <w:noProof/>
        </w:rPr>
        <w:t>3</w:t>
      </w:r>
      <w:r w:rsidRPr="0084037D">
        <w:rPr>
          <w:noProof/>
        </w:rPr>
        <w:t xml:space="preserve"> and for which the GFCM should adopt </w:t>
      </w:r>
      <w:r w:rsidR="00801F50" w:rsidRPr="0084037D">
        <w:rPr>
          <w:noProof/>
        </w:rPr>
        <w:t>new measures at its 4</w:t>
      </w:r>
      <w:r w:rsidR="00312191" w:rsidRPr="0084037D">
        <w:rPr>
          <w:noProof/>
        </w:rPr>
        <w:t>6</w:t>
      </w:r>
      <w:r w:rsidR="00801F50" w:rsidRPr="0084037D">
        <w:rPr>
          <w:noProof/>
          <w:vertAlign w:val="superscript"/>
        </w:rPr>
        <w:t>th</w:t>
      </w:r>
      <w:r w:rsidR="00801F50" w:rsidRPr="0084037D">
        <w:rPr>
          <w:noProof/>
        </w:rPr>
        <w:t xml:space="preserve"> annual session in November 202</w:t>
      </w:r>
      <w:r w:rsidR="00312191" w:rsidRPr="0084037D">
        <w:rPr>
          <w:noProof/>
        </w:rPr>
        <w:t>3</w:t>
      </w:r>
      <w:r w:rsidR="00E3289C" w:rsidRPr="0084037D">
        <w:rPr>
          <w:noProof/>
        </w:rPr>
        <w:t>, such as dolphinfish</w:t>
      </w:r>
      <w:r w:rsidR="00207729" w:rsidRPr="0084037D">
        <w:rPr>
          <w:noProof/>
        </w:rPr>
        <w:t xml:space="preserve">. </w:t>
      </w:r>
      <w:r w:rsidR="00E3289C" w:rsidRPr="0084037D">
        <w:rPr>
          <w:noProof/>
        </w:rPr>
        <w:t>The proposal will be updated by way of a non-paper with the new measures, after the GFCM annual session.</w:t>
      </w:r>
    </w:p>
    <w:p w14:paraId="4A98CFA6" w14:textId="77777777" w:rsidR="000E0EEF" w:rsidRPr="0084037D" w:rsidRDefault="004D3D81" w:rsidP="000E0EEF">
      <w:pPr>
        <w:rPr>
          <w:b/>
          <w:bCs/>
          <w:noProof/>
        </w:rPr>
      </w:pPr>
      <w:r w:rsidRPr="0084037D">
        <w:rPr>
          <w:b/>
          <w:bCs/>
          <w:noProof/>
        </w:rPr>
        <w:t>C.</w:t>
      </w:r>
      <w:r w:rsidRPr="0084037D">
        <w:rPr>
          <w:b/>
          <w:bCs/>
          <w:noProof/>
        </w:rPr>
        <w:tab/>
        <w:t xml:space="preserve">GFCM measures applicable in the Black Sea </w:t>
      </w:r>
    </w:p>
    <w:p w14:paraId="6362F875" w14:textId="11BD77D0" w:rsidR="000E0EEF" w:rsidRPr="0084037D" w:rsidRDefault="00E70628" w:rsidP="00723239">
      <w:pPr>
        <w:pStyle w:val="Tiret0"/>
        <w:numPr>
          <w:ilvl w:val="0"/>
          <w:numId w:val="15"/>
        </w:numPr>
        <w:rPr>
          <w:noProof/>
        </w:rPr>
      </w:pPr>
      <w:r w:rsidRPr="0084037D">
        <w:rPr>
          <w:noProof/>
        </w:rPr>
        <w:t>A</w:t>
      </w:r>
      <w:r w:rsidR="004D3D81" w:rsidRPr="0084037D">
        <w:rPr>
          <w:noProof/>
        </w:rPr>
        <w:t xml:space="preserve">n autonomous quota for sprat, based on scientific advice </w:t>
      </w:r>
    </w:p>
    <w:p w14:paraId="66E28295" w14:textId="4829F1EC" w:rsidR="000E0EEF" w:rsidRPr="0084037D" w:rsidRDefault="00E70628" w:rsidP="00723239">
      <w:pPr>
        <w:pStyle w:val="Tiret0"/>
        <w:numPr>
          <w:ilvl w:val="0"/>
          <w:numId w:val="16"/>
        </w:numPr>
        <w:rPr>
          <w:noProof/>
        </w:rPr>
      </w:pPr>
      <w:r w:rsidRPr="0084037D">
        <w:rPr>
          <w:noProof/>
        </w:rPr>
        <w:t>The</w:t>
      </w:r>
      <w:r w:rsidR="004D3D81" w:rsidRPr="0084037D">
        <w:rPr>
          <w:noProof/>
        </w:rPr>
        <w:t xml:space="preserve"> TAC and quota allocation for turbot under the </w:t>
      </w:r>
      <w:r w:rsidR="00F90414" w:rsidRPr="0084037D">
        <w:rPr>
          <w:noProof/>
        </w:rPr>
        <w:t xml:space="preserve">2017 </w:t>
      </w:r>
      <w:r w:rsidR="00593086" w:rsidRPr="0084037D">
        <w:rPr>
          <w:noProof/>
        </w:rPr>
        <w:t xml:space="preserve">GFCM </w:t>
      </w:r>
      <w:r w:rsidR="004D3D81" w:rsidRPr="0084037D">
        <w:rPr>
          <w:noProof/>
        </w:rPr>
        <w:t xml:space="preserve">multiannual management plan for turbot fisheries, implementing Recommendation GFCM/43/2019/3 (GSA 29) </w:t>
      </w:r>
    </w:p>
    <w:p w14:paraId="1AB8856B" w14:textId="77777777" w:rsidR="004D3D81" w:rsidRPr="0084037D" w:rsidRDefault="004D3D81" w:rsidP="000E0EEF">
      <w:pPr>
        <w:rPr>
          <w:noProof/>
        </w:rPr>
      </w:pPr>
      <w:r w:rsidRPr="0084037D">
        <w:rPr>
          <w:noProof/>
        </w:rPr>
        <w:t xml:space="preserve">Regarding the </w:t>
      </w:r>
      <w:r w:rsidR="00941548" w:rsidRPr="0084037D">
        <w:rPr>
          <w:noProof/>
        </w:rPr>
        <w:t xml:space="preserve">levels of the </w:t>
      </w:r>
      <w:r w:rsidRPr="0084037D">
        <w:rPr>
          <w:noProof/>
        </w:rPr>
        <w:t xml:space="preserve">TAC and quotas for turbot, the proposal will be </w:t>
      </w:r>
      <w:r w:rsidR="000B72D6" w:rsidRPr="0084037D">
        <w:rPr>
          <w:noProof/>
        </w:rPr>
        <w:t xml:space="preserve">updated </w:t>
      </w:r>
      <w:r w:rsidRPr="0084037D">
        <w:rPr>
          <w:noProof/>
        </w:rPr>
        <w:t xml:space="preserve">after the </w:t>
      </w:r>
      <w:r w:rsidR="00C60AE3" w:rsidRPr="0084037D">
        <w:rPr>
          <w:noProof/>
        </w:rPr>
        <w:t>4</w:t>
      </w:r>
      <w:r w:rsidR="00312191" w:rsidRPr="0084037D">
        <w:rPr>
          <w:noProof/>
        </w:rPr>
        <w:t>6</w:t>
      </w:r>
      <w:r w:rsidR="00C60AE3" w:rsidRPr="0084037D">
        <w:rPr>
          <w:noProof/>
          <w:vertAlign w:val="superscript"/>
        </w:rPr>
        <w:t>th</w:t>
      </w:r>
      <w:r w:rsidR="00C60AE3" w:rsidRPr="0084037D">
        <w:rPr>
          <w:noProof/>
        </w:rPr>
        <w:t xml:space="preserve"> </w:t>
      </w:r>
      <w:r w:rsidRPr="0084037D">
        <w:rPr>
          <w:noProof/>
        </w:rPr>
        <w:t>GFCM annual session</w:t>
      </w:r>
      <w:r w:rsidR="007C06E0" w:rsidRPr="0084037D">
        <w:rPr>
          <w:noProof/>
        </w:rPr>
        <w:t xml:space="preserve"> in November 202</w:t>
      </w:r>
      <w:r w:rsidR="00312191" w:rsidRPr="0084037D">
        <w:rPr>
          <w:noProof/>
        </w:rPr>
        <w:t>3</w:t>
      </w:r>
      <w:r w:rsidRPr="0084037D">
        <w:rPr>
          <w:noProof/>
        </w:rPr>
        <w:t xml:space="preserve">. </w:t>
      </w:r>
      <w:r w:rsidR="00941548" w:rsidRPr="0084037D">
        <w:rPr>
          <w:noProof/>
        </w:rPr>
        <w:t xml:space="preserve"> </w:t>
      </w:r>
    </w:p>
    <w:p w14:paraId="33E313F1" w14:textId="77777777" w:rsidR="000B72D6" w:rsidRPr="0084037D" w:rsidRDefault="004D3D81" w:rsidP="004D3D81">
      <w:pPr>
        <w:rPr>
          <w:noProof/>
          <w:szCs w:val="24"/>
        </w:rPr>
      </w:pPr>
      <w:r w:rsidRPr="0084037D">
        <w:rPr>
          <w:noProof/>
          <w:szCs w:val="24"/>
        </w:rPr>
        <w:t xml:space="preserve">The GFCM recommendations </w:t>
      </w:r>
      <w:r w:rsidR="0097478B" w:rsidRPr="0084037D">
        <w:rPr>
          <w:noProof/>
          <w:szCs w:val="24"/>
        </w:rPr>
        <w:t xml:space="preserve">up to 2017 </w:t>
      </w:r>
      <w:r w:rsidR="00593086" w:rsidRPr="0084037D">
        <w:rPr>
          <w:noProof/>
          <w:szCs w:val="24"/>
        </w:rPr>
        <w:t xml:space="preserve">have been </w:t>
      </w:r>
      <w:r w:rsidRPr="0084037D">
        <w:rPr>
          <w:noProof/>
          <w:szCs w:val="24"/>
        </w:rPr>
        <w:t>implemented into U</w:t>
      </w:r>
      <w:r w:rsidR="006C7E08" w:rsidRPr="0084037D">
        <w:rPr>
          <w:noProof/>
          <w:szCs w:val="24"/>
        </w:rPr>
        <w:t>nion</w:t>
      </w:r>
      <w:r w:rsidRPr="0084037D">
        <w:rPr>
          <w:noProof/>
          <w:szCs w:val="24"/>
        </w:rPr>
        <w:t xml:space="preserve"> law </w:t>
      </w:r>
      <w:r w:rsidR="000B72D6" w:rsidRPr="0084037D">
        <w:rPr>
          <w:noProof/>
          <w:szCs w:val="24"/>
        </w:rPr>
        <w:t>pursuant to</w:t>
      </w:r>
      <w:r w:rsidRPr="0084037D">
        <w:rPr>
          <w:noProof/>
          <w:szCs w:val="24"/>
        </w:rPr>
        <w:t xml:space="preserve"> Regulation (EU) No 1343/2011</w:t>
      </w:r>
      <w:r w:rsidR="00593086" w:rsidRPr="0084037D">
        <w:rPr>
          <w:noProof/>
          <w:szCs w:val="24"/>
        </w:rPr>
        <w:t xml:space="preserve"> (as amended)</w:t>
      </w:r>
      <w:r w:rsidR="0032564A" w:rsidRPr="0084037D">
        <w:rPr>
          <w:rStyle w:val="FootnoteReference"/>
          <w:noProof/>
          <w:szCs w:val="24"/>
        </w:rPr>
        <w:footnoteReference w:id="6"/>
      </w:r>
      <w:r w:rsidR="00593086" w:rsidRPr="0084037D">
        <w:rPr>
          <w:noProof/>
          <w:szCs w:val="24"/>
        </w:rPr>
        <w:t xml:space="preserve"> </w:t>
      </w:r>
      <w:r w:rsidRPr="0084037D">
        <w:rPr>
          <w:noProof/>
          <w:szCs w:val="24"/>
        </w:rPr>
        <w:t xml:space="preserve">and the Commission has </w:t>
      </w:r>
      <w:r w:rsidR="006C7E08" w:rsidRPr="0084037D">
        <w:rPr>
          <w:noProof/>
          <w:szCs w:val="24"/>
        </w:rPr>
        <w:t xml:space="preserve">put forward </w:t>
      </w:r>
      <w:r w:rsidRPr="0084037D">
        <w:rPr>
          <w:noProof/>
          <w:szCs w:val="24"/>
        </w:rPr>
        <w:t>a proposal to implement the Recommendations adopted by the GFCM in 2018 and 2019</w:t>
      </w:r>
      <w:r w:rsidR="00BE287E" w:rsidRPr="0084037D">
        <w:rPr>
          <w:noProof/>
          <w:szCs w:val="24"/>
        </w:rPr>
        <w:t xml:space="preserve"> (</w:t>
      </w:r>
      <w:r w:rsidR="00BE287E" w:rsidRPr="0084037D">
        <w:rPr>
          <w:noProof/>
          <w:color w:val="333333"/>
          <w:szCs w:val="24"/>
          <w:shd w:val="clear" w:color="auto" w:fill="FFFFFF"/>
        </w:rPr>
        <w:t>COM/2021/434 final)</w:t>
      </w:r>
      <w:r w:rsidR="00A62250" w:rsidRPr="0084037D">
        <w:rPr>
          <w:noProof/>
          <w:color w:val="333333"/>
          <w:szCs w:val="24"/>
          <w:shd w:val="clear" w:color="auto" w:fill="FFFFFF"/>
        </w:rPr>
        <w:t>, on which</w:t>
      </w:r>
      <w:r w:rsidR="006202E1" w:rsidRPr="0084037D">
        <w:rPr>
          <w:noProof/>
          <w:szCs w:val="24"/>
        </w:rPr>
        <w:t xml:space="preserve"> the co-legislators reached a political agreement on the file in </w:t>
      </w:r>
      <w:r w:rsidR="00B6201E" w:rsidRPr="0084037D">
        <w:rPr>
          <w:noProof/>
          <w:szCs w:val="24"/>
        </w:rPr>
        <w:t>J</w:t>
      </w:r>
      <w:r w:rsidR="006202E1" w:rsidRPr="0084037D">
        <w:rPr>
          <w:noProof/>
          <w:szCs w:val="24"/>
        </w:rPr>
        <w:t>uly 2023</w:t>
      </w:r>
      <w:r w:rsidR="006202E1" w:rsidRPr="0084037D">
        <w:rPr>
          <w:rStyle w:val="FootnoteReference"/>
          <w:noProof/>
          <w:szCs w:val="24"/>
        </w:rPr>
        <w:footnoteReference w:id="7"/>
      </w:r>
      <w:r w:rsidR="00A62250" w:rsidRPr="0084037D">
        <w:rPr>
          <w:noProof/>
          <w:szCs w:val="24"/>
        </w:rPr>
        <w:t>.</w:t>
      </w:r>
      <w:r w:rsidR="006202E1" w:rsidRPr="0084037D" w:rsidDel="006202E1">
        <w:rPr>
          <w:noProof/>
          <w:szCs w:val="24"/>
        </w:rPr>
        <w:t xml:space="preserve"> </w:t>
      </w:r>
    </w:p>
    <w:p w14:paraId="2980D5A0" w14:textId="77777777" w:rsidR="00B858D4" w:rsidRPr="0084037D" w:rsidRDefault="004D3D81" w:rsidP="008154B4">
      <w:pPr>
        <w:rPr>
          <w:noProof/>
          <w:szCs w:val="24"/>
        </w:rPr>
      </w:pPr>
      <w:r w:rsidRPr="0084037D">
        <w:rPr>
          <w:noProof/>
          <w:szCs w:val="24"/>
        </w:rPr>
        <w:t xml:space="preserve">Measures functionally linked to the fishing opportunities, such as spawning closures, </w:t>
      </w:r>
      <w:r w:rsidR="00593086" w:rsidRPr="0084037D">
        <w:rPr>
          <w:noProof/>
          <w:szCs w:val="24"/>
        </w:rPr>
        <w:t xml:space="preserve">are </w:t>
      </w:r>
      <w:r w:rsidRPr="0084037D">
        <w:rPr>
          <w:noProof/>
          <w:szCs w:val="24"/>
        </w:rPr>
        <w:t>part of this</w:t>
      </w:r>
      <w:r w:rsidR="000B72D6" w:rsidRPr="0084037D">
        <w:rPr>
          <w:noProof/>
          <w:szCs w:val="24"/>
        </w:rPr>
        <w:t xml:space="preserve"> </w:t>
      </w:r>
      <w:r w:rsidR="00593086" w:rsidRPr="0084037D">
        <w:rPr>
          <w:noProof/>
          <w:szCs w:val="24"/>
        </w:rPr>
        <w:t>proposal</w:t>
      </w:r>
      <w:r w:rsidRPr="0084037D">
        <w:rPr>
          <w:noProof/>
          <w:szCs w:val="24"/>
        </w:rPr>
        <w:t>, as without such closure periods (such as for turbot in the Black Sea)</w:t>
      </w:r>
      <w:r w:rsidR="00593086" w:rsidRPr="0084037D">
        <w:rPr>
          <w:noProof/>
          <w:szCs w:val="24"/>
        </w:rPr>
        <w:t>,</w:t>
      </w:r>
      <w:r w:rsidRPr="0084037D">
        <w:rPr>
          <w:noProof/>
          <w:szCs w:val="24"/>
        </w:rPr>
        <w:t xml:space="preserve"> the fishing opportunities could not be established at the same level. The extent of the closure period may vary, depending on the state of the stock as assessed by the scientific advice.</w:t>
      </w:r>
      <w:r w:rsidR="00863D50" w:rsidRPr="0084037D">
        <w:rPr>
          <w:noProof/>
          <w:szCs w:val="24"/>
        </w:rPr>
        <w:t xml:space="preserve"> </w:t>
      </w:r>
    </w:p>
    <w:p w14:paraId="4E902321" w14:textId="77777777" w:rsidR="00B52751" w:rsidRPr="0084037D" w:rsidRDefault="00B52751" w:rsidP="00B52751">
      <w:pPr>
        <w:rPr>
          <w:noProof/>
        </w:rPr>
      </w:pPr>
      <w:r w:rsidRPr="0084037D">
        <w:rPr>
          <w:noProof/>
        </w:rPr>
        <w:lastRenderedPageBreak/>
        <w:t>Council Regulation (EC) No 847/96</w:t>
      </w:r>
      <w:r w:rsidR="00E87CA4" w:rsidRPr="0084037D">
        <w:rPr>
          <w:rStyle w:val="FootnoteReference"/>
          <w:noProof/>
        </w:rPr>
        <w:footnoteReference w:id="8"/>
      </w:r>
      <w:r w:rsidRPr="0084037D">
        <w:rPr>
          <w:noProof/>
        </w:rPr>
        <w:t xml:space="preserve"> lays down further conditions for year-to-year management of fishing opportunities including, under its Articles 3 and 4, flexibility provisions for stocks subject to precautionary and analytical TACs, respectively. Its Article 2 stipulates that when fixing the TACs, the Council must decide to which stocks Articles 3 and 4 should not apply, in particular based on the biological status of the stocks. Article 15(9) of the CFP Basic Regulation also lays down a year-to-year flexibility mechanism for all stocks that are subject to the landing obligation. Therefore, and to avoid excessive flexibility that would undermine the principle of rational and responsible exploitation of living marine biological resources and make it difficult to achieve the CFP objectives, it should be clarified that Articles 3 and 4 of Regulation (EC) No 847/96 only apply where Member States do not </w:t>
      </w:r>
      <w:r w:rsidRPr="0084037D">
        <w:rPr>
          <w:iCs/>
          <w:noProof/>
        </w:rPr>
        <w:t>use the year-to-year flexibility provided for in Article 15(9) of the CFP Basic Regulation.</w:t>
      </w:r>
      <w:r w:rsidRPr="0084037D">
        <w:rPr>
          <w:noProof/>
        </w:rPr>
        <w:t xml:space="preserve"> </w:t>
      </w:r>
    </w:p>
    <w:p w14:paraId="0AA0982F" w14:textId="77777777" w:rsidR="00B52751" w:rsidRPr="0084037D" w:rsidRDefault="00B52751" w:rsidP="008154B4">
      <w:pPr>
        <w:rPr>
          <w:noProof/>
          <w:szCs w:val="24"/>
        </w:rPr>
        <w:sectPr w:rsidR="00B52751" w:rsidRPr="0084037D" w:rsidSect="009E1819">
          <w:footerReference w:type="default" r:id="rId13"/>
          <w:footerReference w:type="first" r:id="rId14"/>
          <w:footnotePr>
            <w:numRestart w:val="eachSect"/>
          </w:footnotePr>
          <w:pgSz w:w="11907" w:h="16839"/>
          <w:pgMar w:top="1134" w:right="1417" w:bottom="1134" w:left="1417" w:header="709" w:footer="709" w:gutter="0"/>
          <w:cols w:space="708"/>
          <w:docGrid w:linePitch="360"/>
        </w:sectPr>
      </w:pPr>
    </w:p>
    <w:p w14:paraId="4DFB0BD4" w14:textId="10771209" w:rsidR="005224C2" w:rsidRPr="0084037D" w:rsidRDefault="00EA58BA" w:rsidP="00EA58BA">
      <w:pPr>
        <w:pStyle w:val="Rfrenceinterinstitutionnelle"/>
        <w:rPr>
          <w:noProof/>
        </w:rPr>
      </w:pPr>
      <w:r w:rsidRPr="00EA58BA">
        <w:lastRenderedPageBreak/>
        <w:t>2023/0350 (NLE)</w:t>
      </w:r>
    </w:p>
    <w:p w14:paraId="3301AC2B" w14:textId="6E507223" w:rsidR="00B858D4" w:rsidRPr="0084037D" w:rsidRDefault="002F6A65" w:rsidP="002F6A65">
      <w:pPr>
        <w:pStyle w:val="Statut"/>
        <w:rPr>
          <w:noProof/>
        </w:rPr>
      </w:pPr>
      <w:r w:rsidRPr="002F6A65">
        <w:rPr>
          <w:noProof/>
        </w:rPr>
        <w:t>Proposal for a</w:t>
      </w:r>
    </w:p>
    <w:p w14:paraId="6236B387" w14:textId="30AC46EB" w:rsidR="00B858D4" w:rsidRPr="0084037D" w:rsidRDefault="002F6A65" w:rsidP="002F6A65">
      <w:pPr>
        <w:pStyle w:val="Typedudocument"/>
        <w:rPr>
          <w:noProof/>
        </w:rPr>
      </w:pPr>
      <w:r w:rsidRPr="002F6A65">
        <w:rPr>
          <w:noProof/>
        </w:rPr>
        <w:t>COUNCIL REGULATION</w:t>
      </w:r>
    </w:p>
    <w:p w14:paraId="67922DF0" w14:textId="3E3035BB" w:rsidR="00B858D4" w:rsidRPr="0084037D" w:rsidRDefault="002F6A65" w:rsidP="002F6A65">
      <w:pPr>
        <w:pStyle w:val="Titreobjet"/>
        <w:rPr>
          <w:noProof/>
        </w:rPr>
      </w:pPr>
      <w:r w:rsidRPr="002F6A65">
        <w:rPr>
          <w:noProof/>
        </w:rPr>
        <w:t>fixing the fishing opportunities for certain fish stocks and groups of fish stocks applicable in the Mediterranean and Black Seas for 2024</w:t>
      </w:r>
    </w:p>
    <w:p w14:paraId="6DF93F9A" w14:textId="77777777" w:rsidR="00B858D4" w:rsidRPr="0084037D" w:rsidRDefault="00B858D4" w:rsidP="008154B4">
      <w:pPr>
        <w:pStyle w:val="Institutionquiagit"/>
        <w:rPr>
          <w:noProof/>
        </w:rPr>
      </w:pPr>
      <w:r w:rsidRPr="0084037D">
        <w:rPr>
          <w:noProof/>
        </w:rPr>
        <w:t xml:space="preserve">THE COUNCIL OF THE EUROPEAN </w:t>
      </w:r>
      <w:smartTag w:uri="urn:schemas-microsoft-com:office:smarttags" w:element="place">
        <w:r w:rsidRPr="0084037D">
          <w:rPr>
            <w:noProof/>
          </w:rPr>
          <w:t>UNION</w:t>
        </w:r>
      </w:smartTag>
      <w:r w:rsidRPr="0084037D">
        <w:rPr>
          <w:noProof/>
        </w:rPr>
        <w:t>,</w:t>
      </w:r>
    </w:p>
    <w:p w14:paraId="0E09FAF9" w14:textId="77777777" w:rsidR="00B858D4" w:rsidRPr="0084037D" w:rsidRDefault="00B858D4" w:rsidP="008154B4">
      <w:pPr>
        <w:rPr>
          <w:noProof/>
        </w:rPr>
      </w:pPr>
      <w:r w:rsidRPr="0084037D">
        <w:rPr>
          <w:noProof/>
        </w:rPr>
        <w:t xml:space="preserve">Having regard to the Treaty on the Functioning of the European Union, and in particular Article </w:t>
      </w:r>
      <w:r w:rsidR="008D3B67" w:rsidRPr="0084037D">
        <w:rPr>
          <w:noProof/>
        </w:rPr>
        <w:t>43(3)</w:t>
      </w:r>
      <w:r w:rsidRPr="0084037D">
        <w:rPr>
          <w:noProof/>
        </w:rPr>
        <w:t xml:space="preserve"> thereof,</w:t>
      </w:r>
    </w:p>
    <w:p w14:paraId="2FEDD808" w14:textId="77777777" w:rsidR="00B858D4" w:rsidRPr="0084037D" w:rsidRDefault="00B858D4" w:rsidP="008154B4">
      <w:pPr>
        <w:rPr>
          <w:noProof/>
        </w:rPr>
      </w:pPr>
      <w:r w:rsidRPr="0084037D">
        <w:rPr>
          <w:noProof/>
        </w:rPr>
        <w:t>Having regard to the proposal from the European Commission,</w:t>
      </w:r>
    </w:p>
    <w:p w14:paraId="52857FE0" w14:textId="77777777" w:rsidR="00B858D4" w:rsidRPr="0084037D" w:rsidRDefault="00B858D4" w:rsidP="008154B4">
      <w:pPr>
        <w:rPr>
          <w:noProof/>
        </w:rPr>
      </w:pPr>
      <w:r w:rsidRPr="0084037D">
        <w:rPr>
          <w:noProof/>
        </w:rPr>
        <w:t>Whereas:</w:t>
      </w:r>
    </w:p>
    <w:p w14:paraId="66878D76" w14:textId="4D45FEDA" w:rsidR="008D3B67" w:rsidRPr="0084037D" w:rsidRDefault="004700A6" w:rsidP="004700A6">
      <w:pPr>
        <w:pStyle w:val="ManualConsidrant"/>
        <w:rPr>
          <w:noProof/>
        </w:rPr>
      </w:pPr>
      <w:r w:rsidRPr="004700A6">
        <w:t>(1)</w:t>
      </w:r>
      <w:r w:rsidRPr="004700A6">
        <w:tab/>
      </w:r>
      <w:r w:rsidR="008D3B67" w:rsidRPr="0084037D">
        <w:rPr>
          <w:noProof/>
          <w:lang w:val="mt-MT"/>
        </w:rPr>
        <w:t xml:space="preserve">Article 6 of </w:t>
      </w:r>
      <w:r w:rsidR="008D3B67" w:rsidRPr="0084037D">
        <w:rPr>
          <w:noProof/>
        </w:rPr>
        <w:t>Regulation (EU) No 1380/2013 of the European Parliament and of the Counci</w:t>
      </w:r>
      <w:r w:rsidR="00A045EF" w:rsidRPr="0084037D">
        <w:rPr>
          <w:noProof/>
        </w:rPr>
        <w:t>l</w:t>
      </w:r>
      <w:r w:rsidR="008D3B67" w:rsidRPr="0084037D">
        <w:rPr>
          <w:rStyle w:val="FootnoteReference"/>
          <w:noProof/>
        </w:rPr>
        <w:footnoteReference w:id="9"/>
      </w:r>
      <w:r w:rsidR="00535D68" w:rsidRPr="0084037D">
        <w:rPr>
          <w:noProof/>
        </w:rPr>
        <w:t xml:space="preserve"> </w:t>
      </w:r>
      <w:r w:rsidR="008D3B67" w:rsidRPr="0084037D">
        <w:rPr>
          <w:noProof/>
        </w:rPr>
        <w:t xml:space="preserve">requires </w:t>
      </w:r>
      <w:r w:rsidR="006C7E08" w:rsidRPr="0084037D">
        <w:rPr>
          <w:noProof/>
        </w:rPr>
        <w:t xml:space="preserve">the adoption of </w:t>
      </w:r>
      <w:r w:rsidR="008D3B67" w:rsidRPr="0084037D">
        <w:rPr>
          <w:noProof/>
        </w:rPr>
        <w:t>conservation measures taking into account available scientific, technical and economic advice, including, where relevant, reports drawn up by the Scientific, Technical and Economic Committee for Fisheries</w:t>
      </w:r>
      <w:r w:rsidR="00484E26" w:rsidRPr="0084037D">
        <w:rPr>
          <w:noProof/>
        </w:rPr>
        <w:t xml:space="preserve"> (STECF)</w:t>
      </w:r>
      <w:r w:rsidR="008D3B67" w:rsidRPr="0084037D">
        <w:rPr>
          <w:noProof/>
        </w:rPr>
        <w:t xml:space="preserve">, as well as advice received from </w:t>
      </w:r>
      <w:r w:rsidR="00023167" w:rsidRPr="0084037D">
        <w:rPr>
          <w:noProof/>
        </w:rPr>
        <w:t>a</w:t>
      </w:r>
      <w:r w:rsidR="008D3B67" w:rsidRPr="0084037D">
        <w:rPr>
          <w:noProof/>
        </w:rPr>
        <w:t xml:space="preserve">dvisory </w:t>
      </w:r>
      <w:r w:rsidR="00023167" w:rsidRPr="0084037D">
        <w:rPr>
          <w:noProof/>
        </w:rPr>
        <w:t>c</w:t>
      </w:r>
      <w:r w:rsidR="008D3B67" w:rsidRPr="0084037D">
        <w:rPr>
          <w:noProof/>
        </w:rPr>
        <w:t>ouncils.</w:t>
      </w:r>
    </w:p>
    <w:p w14:paraId="794AE6F1" w14:textId="56BA89D1" w:rsidR="001D2F0F" w:rsidRPr="0084037D" w:rsidRDefault="004700A6" w:rsidP="004700A6">
      <w:pPr>
        <w:pStyle w:val="ManualConsidrant"/>
        <w:rPr>
          <w:noProof/>
        </w:rPr>
      </w:pPr>
      <w:r w:rsidRPr="004700A6">
        <w:t>(2)</w:t>
      </w:r>
      <w:r w:rsidRPr="004700A6">
        <w:tab/>
      </w:r>
      <w:r w:rsidR="00023167" w:rsidRPr="0084037D">
        <w:rPr>
          <w:noProof/>
        </w:rPr>
        <w:t>T</w:t>
      </w:r>
      <w:r w:rsidR="001D2F0F" w:rsidRPr="0084037D">
        <w:rPr>
          <w:noProof/>
        </w:rPr>
        <w:t xml:space="preserve">he Council </w:t>
      </w:r>
      <w:r w:rsidR="008F5CB2" w:rsidRPr="0084037D">
        <w:rPr>
          <w:noProof/>
        </w:rPr>
        <w:t xml:space="preserve">is </w:t>
      </w:r>
      <w:r w:rsidR="001D2F0F" w:rsidRPr="0084037D">
        <w:rPr>
          <w:noProof/>
        </w:rPr>
        <w:t xml:space="preserve">to adopt measures on the fixing and allocation of fishing opportunities, including, certain conditions functionally linked </w:t>
      </w:r>
      <w:r w:rsidR="00023167" w:rsidRPr="0084037D">
        <w:rPr>
          <w:noProof/>
        </w:rPr>
        <w:t>to th</w:t>
      </w:r>
      <w:r w:rsidR="00922E55" w:rsidRPr="0084037D">
        <w:rPr>
          <w:noProof/>
        </w:rPr>
        <w:t>o</w:t>
      </w:r>
      <w:r w:rsidR="00023167" w:rsidRPr="0084037D">
        <w:rPr>
          <w:noProof/>
        </w:rPr>
        <w:t>se fishing o</w:t>
      </w:r>
      <w:r w:rsidR="00C56CF9" w:rsidRPr="0084037D">
        <w:rPr>
          <w:noProof/>
        </w:rPr>
        <w:t>p</w:t>
      </w:r>
      <w:r w:rsidR="00023167" w:rsidRPr="0084037D">
        <w:rPr>
          <w:noProof/>
        </w:rPr>
        <w:t>p</w:t>
      </w:r>
      <w:r w:rsidR="00C56CF9" w:rsidRPr="0084037D">
        <w:rPr>
          <w:noProof/>
        </w:rPr>
        <w:t>o</w:t>
      </w:r>
      <w:r w:rsidR="00023167" w:rsidRPr="0084037D">
        <w:rPr>
          <w:noProof/>
        </w:rPr>
        <w:t>rtunities</w:t>
      </w:r>
      <w:r w:rsidR="001D2F0F" w:rsidRPr="0084037D">
        <w:rPr>
          <w:noProof/>
        </w:rPr>
        <w:t xml:space="preserve">, as appropriate. </w:t>
      </w:r>
      <w:r w:rsidR="0032629B" w:rsidRPr="0084037D">
        <w:rPr>
          <w:noProof/>
        </w:rPr>
        <w:t xml:space="preserve">Under Article 16(4) of Regulation (EU) No 1380/2013, fishing opportunities are to be fixed in accordance with the objectives of the </w:t>
      </w:r>
      <w:r w:rsidR="00CA02D3" w:rsidRPr="0084037D">
        <w:rPr>
          <w:noProof/>
        </w:rPr>
        <w:t>C</w:t>
      </w:r>
      <w:r w:rsidR="0032629B" w:rsidRPr="0084037D">
        <w:rPr>
          <w:noProof/>
        </w:rPr>
        <w:t xml:space="preserve">ommon </w:t>
      </w:r>
      <w:r w:rsidR="00CA02D3" w:rsidRPr="0084037D">
        <w:rPr>
          <w:noProof/>
        </w:rPr>
        <w:t>F</w:t>
      </w:r>
      <w:r w:rsidR="0032629B" w:rsidRPr="0084037D">
        <w:rPr>
          <w:noProof/>
        </w:rPr>
        <w:t xml:space="preserve">isheries </w:t>
      </w:r>
      <w:r w:rsidR="00CA02D3" w:rsidRPr="0084037D">
        <w:rPr>
          <w:noProof/>
        </w:rPr>
        <w:t>P</w:t>
      </w:r>
      <w:r w:rsidR="0032629B" w:rsidRPr="0084037D">
        <w:rPr>
          <w:noProof/>
        </w:rPr>
        <w:t xml:space="preserve">olicy (CFP) as set out in Article 2(2) of that Regulation. </w:t>
      </w:r>
      <w:r w:rsidR="001D2F0F" w:rsidRPr="0084037D">
        <w:rPr>
          <w:noProof/>
        </w:rPr>
        <w:t>Article 16(1) of Regulation (EU) No 1380/2013 provides that fishing opportunities should be allocated to Member States in such a way as to ensure the relative stability of fishing activities of each Member State for each fish stock or fishery</w:t>
      </w:r>
      <w:r w:rsidR="001D2F0F" w:rsidRPr="0084037D">
        <w:rPr>
          <w:i/>
          <w:noProof/>
        </w:rPr>
        <w:t>.</w:t>
      </w:r>
      <w:r w:rsidR="001D2F0F" w:rsidRPr="0084037D">
        <w:rPr>
          <w:noProof/>
        </w:rPr>
        <w:t xml:space="preserve"> </w:t>
      </w:r>
    </w:p>
    <w:p w14:paraId="498AAE27" w14:textId="6F5CD093" w:rsidR="00B76224" w:rsidRPr="0084037D" w:rsidRDefault="004700A6" w:rsidP="004700A6">
      <w:pPr>
        <w:pStyle w:val="ManualConsidrant"/>
        <w:rPr>
          <w:noProof/>
        </w:rPr>
      </w:pPr>
      <w:r w:rsidRPr="004700A6">
        <w:t>(3)</w:t>
      </w:r>
      <w:r w:rsidRPr="004700A6">
        <w:tab/>
      </w:r>
      <w:r w:rsidR="003D0945" w:rsidRPr="0084037D">
        <w:rPr>
          <w:noProof/>
        </w:rPr>
        <w:t xml:space="preserve">Therefore, in accordance with Regulation (EU) No 1380/2013, </w:t>
      </w:r>
      <w:r w:rsidR="00CC68E0" w:rsidRPr="0084037D">
        <w:rPr>
          <w:noProof/>
        </w:rPr>
        <w:t xml:space="preserve">total allowable catches (TACs) should be set </w:t>
      </w:r>
      <w:r w:rsidR="00EE5B5D" w:rsidRPr="0084037D">
        <w:rPr>
          <w:noProof/>
        </w:rPr>
        <w:t>on the basis of</w:t>
      </w:r>
      <w:r w:rsidR="00F603EC" w:rsidRPr="0084037D">
        <w:rPr>
          <w:noProof/>
        </w:rPr>
        <w:t xml:space="preserve"> available scientific advice, taking into account biological and socio-economic aspects whilst ensuring fair treatment between fishing sectors, as well as the opinions expressed during the consultation</w:t>
      </w:r>
      <w:r w:rsidR="00CC68E0" w:rsidRPr="0084037D">
        <w:rPr>
          <w:noProof/>
        </w:rPr>
        <w:t>s</w:t>
      </w:r>
      <w:r w:rsidR="00F603EC" w:rsidRPr="0084037D">
        <w:rPr>
          <w:noProof/>
        </w:rPr>
        <w:t xml:space="preserve"> with stakeholders.</w:t>
      </w:r>
    </w:p>
    <w:p w14:paraId="6847D8B8" w14:textId="6B31C4EE" w:rsidR="00F603EC" w:rsidRPr="00BF423F" w:rsidRDefault="004700A6" w:rsidP="004700A6">
      <w:pPr>
        <w:pStyle w:val="ManualConsidrant"/>
        <w:rPr>
          <w:noProof/>
        </w:rPr>
      </w:pPr>
      <w:r w:rsidRPr="004700A6">
        <w:t>(4)</w:t>
      </w:r>
      <w:r w:rsidRPr="004700A6">
        <w:tab/>
      </w:r>
      <w:r w:rsidR="00A62250" w:rsidRPr="0084037D">
        <w:rPr>
          <w:noProof/>
        </w:rPr>
        <w:t>Regulation (EU) 2019/1022 of the European Parliament and of the Council</w:t>
      </w:r>
      <w:r w:rsidR="00A62250" w:rsidRPr="0084037D">
        <w:rPr>
          <w:rStyle w:val="FootnoteReference"/>
          <w:noProof/>
        </w:rPr>
        <w:footnoteReference w:id="10"/>
      </w:r>
      <w:r w:rsidR="00A62250" w:rsidRPr="0084037D">
        <w:rPr>
          <w:noProof/>
        </w:rPr>
        <w:t xml:space="preserve"> established a</w:t>
      </w:r>
      <w:r w:rsidR="00F603EC" w:rsidRPr="0084037D">
        <w:rPr>
          <w:noProof/>
        </w:rPr>
        <w:t xml:space="preserve"> </w:t>
      </w:r>
      <w:r w:rsidR="007C06E0" w:rsidRPr="0084037D">
        <w:rPr>
          <w:noProof/>
        </w:rPr>
        <w:t>m</w:t>
      </w:r>
      <w:r w:rsidR="00F603EC" w:rsidRPr="0084037D">
        <w:rPr>
          <w:noProof/>
        </w:rPr>
        <w:t>ultiannual pla</w:t>
      </w:r>
      <w:r w:rsidR="006D2F14" w:rsidRPr="0084037D">
        <w:rPr>
          <w:noProof/>
        </w:rPr>
        <w:t>n</w:t>
      </w:r>
      <w:r w:rsidR="00F603EC" w:rsidRPr="0084037D">
        <w:rPr>
          <w:noProof/>
        </w:rPr>
        <w:t xml:space="preserve"> for the fisheries exploiting demersal stocks in the western Mediterranean Sea </w:t>
      </w:r>
      <w:r w:rsidR="007241BA" w:rsidRPr="0084037D">
        <w:rPr>
          <w:noProof/>
          <w:lang w:val="mt-MT"/>
        </w:rPr>
        <w:t>(the plan)</w:t>
      </w:r>
      <w:r w:rsidR="00F603EC" w:rsidRPr="0084037D">
        <w:rPr>
          <w:noProof/>
        </w:rPr>
        <w:t xml:space="preserve">. The plan aims to </w:t>
      </w:r>
      <w:r w:rsidR="006D2F14" w:rsidRPr="0084037D">
        <w:rPr>
          <w:noProof/>
        </w:rPr>
        <w:t xml:space="preserve">reach and maintain </w:t>
      </w:r>
      <w:r w:rsidR="004E218B" w:rsidRPr="0084037D">
        <w:rPr>
          <w:noProof/>
        </w:rPr>
        <w:t xml:space="preserve">the </w:t>
      </w:r>
      <w:r w:rsidR="004215FC" w:rsidRPr="0084037D">
        <w:rPr>
          <w:noProof/>
        </w:rPr>
        <w:t>maximum sustainable yield (</w:t>
      </w:r>
      <w:r w:rsidR="006D2F14" w:rsidRPr="0084037D">
        <w:rPr>
          <w:noProof/>
        </w:rPr>
        <w:t>MSY</w:t>
      </w:r>
      <w:r w:rsidR="004215FC" w:rsidRPr="0084037D">
        <w:rPr>
          <w:noProof/>
        </w:rPr>
        <w:t>)</w:t>
      </w:r>
      <w:r w:rsidR="006D2F14" w:rsidRPr="0084037D">
        <w:rPr>
          <w:noProof/>
        </w:rPr>
        <w:t xml:space="preserve"> for target stocks, </w:t>
      </w:r>
      <w:r w:rsidR="00F603EC" w:rsidRPr="0084037D">
        <w:rPr>
          <w:noProof/>
        </w:rPr>
        <w:t>ensur</w:t>
      </w:r>
      <w:r w:rsidR="006D2F14" w:rsidRPr="0084037D">
        <w:rPr>
          <w:noProof/>
        </w:rPr>
        <w:t>ing</w:t>
      </w:r>
      <w:r w:rsidR="00F603EC" w:rsidRPr="0084037D">
        <w:rPr>
          <w:noProof/>
        </w:rPr>
        <w:t xml:space="preserve"> that exploitation of living marine biological resources restores and maintains populations of harvested species above levels which can produce the MSY. </w:t>
      </w:r>
    </w:p>
    <w:p w14:paraId="275200C8" w14:textId="206F5C39" w:rsidR="00F603EC" w:rsidRPr="0084037D" w:rsidRDefault="004700A6" w:rsidP="004700A6">
      <w:pPr>
        <w:pStyle w:val="ManualConsidrant"/>
        <w:rPr>
          <w:i/>
          <w:iCs/>
          <w:noProof/>
        </w:rPr>
      </w:pPr>
      <w:r w:rsidRPr="004700A6">
        <w:lastRenderedPageBreak/>
        <w:t>(5)</w:t>
      </w:r>
      <w:r w:rsidRPr="004700A6">
        <w:tab/>
      </w:r>
      <w:r w:rsidR="00F603EC" w:rsidRPr="00BF423F">
        <w:rPr>
          <w:noProof/>
        </w:rPr>
        <w:t xml:space="preserve">In accordance with </w:t>
      </w:r>
      <w:r w:rsidR="00E70628" w:rsidRPr="00BF423F">
        <w:rPr>
          <w:noProof/>
        </w:rPr>
        <w:t xml:space="preserve">Article 4(1) of </w:t>
      </w:r>
      <w:r w:rsidR="007E6C8C" w:rsidRPr="00BF423F">
        <w:rPr>
          <w:noProof/>
        </w:rPr>
        <w:t>the plan</w:t>
      </w:r>
      <w:r w:rsidR="00F603EC" w:rsidRPr="00BF423F">
        <w:rPr>
          <w:noProof/>
        </w:rPr>
        <w:t xml:space="preserve">, fishing opportunities for stocks listed in </w:t>
      </w:r>
      <w:r w:rsidR="00F603EC" w:rsidRPr="0084037D">
        <w:rPr>
          <w:noProof/>
        </w:rPr>
        <w:t xml:space="preserve">Article 1 of that </w:t>
      </w:r>
      <w:r w:rsidR="00546186" w:rsidRPr="0084037D">
        <w:rPr>
          <w:noProof/>
        </w:rPr>
        <w:t>R</w:t>
      </w:r>
      <w:r w:rsidR="00F603EC" w:rsidRPr="0084037D">
        <w:rPr>
          <w:noProof/>
        </w:rPr>
        <w:t xml:space="preserve">egulation </w:t>
      </w:r>
      <w:r w:rsidR="007241BA" w:rsidRPr="0084037D">
        <w:rPr>
          <w:noProof/>
        </w:rPr>
        <w:t>are to</w:t>
      </w:r>
      <w:r w:rsidR="00F603EC" w:rsidRPr="0084037D">
        <w:rPr>
          <w:noProof/>
        </w:rPr>
        <w:t xml:space="preserve"> be fixed to achieve fishing mortality at </w:t>
      </w:r>
      <w:r w:rsidR="005434F8" w:rsidRPr="0084037D">
        <w:rPr>
          <w:noProof/>
        </w:rPr>
        <w:t>MSY</w:t>
      </w:r>
      <w:r w:rsidR="00F603EC" w:rsidRPr="0084037D">
        <w:rPr>
          <w:noProof/>
        </w:rPr>
        <w:t xml:space="preserve"> on a progressive, incremental basis by 2020 where possible, and by 1 January 2025 at the latest. Fishing opportunities </w:t>
      </w:r>
      <w:r w:rsidR="00DA646D" w:rsidRPr="0084037D">
        <w:rPr>
          <w:noProof/>
        </w:rPr>
        <w:t>are to</w:t>
      </w:r>
      <w:r w:rsidR="00F603EC" w:rsidRPr="0084037D">
        <w:rPr>
          <w:noProof/>
        </w:rPr>
        <w:t xml:space="preserve"> be expressed as maximum allowable fishing effort </w:t>
      </w:r>
      <w:r w:rsidR="007E3819" w:rsidRPr="0084037D">
        <w:rPr>
          <w:noProof/>
        </w:rPr>
        <w:t>for trawl</w:t>
      </w:r>
      <w:r w:rsidR="003073BE" w:rsidRPr="0084037D">
        <w:rPr>
          <w:noProof/>
        </w:rPr>
        <w:t>er</w:t>
      </w:r>
      <w:r w:rsidR="007E3819" w:rsidRPr="0084037D">
        <w:rPr>
          <w:noProof/>
        </w:rPr>
        <w:t>s and longliners</w:t>
      </w:r>
      <w:r w:rsidR="001F2712" w:rsidRPr="0084037D">
        <w:rPr>
          <w:noProof/>
        </w:rPr>
        <w:t xml:space="preserve"> </w:t>
      </w:r>
      <w:r w:rsidR="00F603EC" w:rsidRPr="0084037D">
        <w:rPr>
          <w:noProof/>
        </w:rPr>
        <w:t xml:space="preserve">and fixed in accordance with the fishing effort regime laid down in Article 7 of </w:t>
      </w:r>
      <w:r w:rsidR="007E6C8C" w:rsidRPr="0084037D">
        <w:rPr>
          <w:noProof/>
        </w:rPr>
        <w:t>the plan</w:t>
      </w:r>
      <w:r w:rsidR="00DA646D" w:rsidRPr="0084037D">
        <w:rPr>
          <w:noProof/>
        </w:rPr>
        <w:t>,</w:t>
      </w:r>
      <w:r w:rsidR="00F603EC" w:rsidRPr="0084037D">
        <w:rPr>
          <w:noProof/>
        </w:rPr>
        <w:t xml:space="preserve"> as </w:t>
      </w:r>
      <w:r w:rsidR="009F6E96" w:rsidRPr="0084037D">
        <w:rPr>
          <w:noProof/>
        </w:rPr>
        <w:t xml:space="preserve">well as </w:t>
      </w:r>
      <w:r w:rsidR="00DA646D" w:rsidRPr="0084037D">
        <w:rPr>
          <w:noProof/>
        </w:rPr>
        <w:t xml:space="preserve">as </w:t>
      </w:r>
      <w:r w:rsidR="00F603EC" w:rsidRPr="0084037D">
        <w:rPr>
          <w:noProof/>
        </w:rPr>
        <w:t>maximum catch limits</w:t>
      </w:r>
      <w:r w:rsidR="003073BE" w:rsidRPr="0084037D">
        <w:rPr>
          <w:noProof/>
        </w:rPr>
        <w:t xml:space="preserve"> </w:t>
      </w:r>
      <w:r w:rsidR="00F603EC" w:rsidRPr="0084037D">
        <w:rPr>
          <w:noProof/>
        </w:rPr>
        <w:t>for blue and red shrimp (</w:t>
      </w:r>
      <w:r w:rsidR="00F603EC" w:rsidRPr="0084037D">
        <w:rPr>
          <w:i/>
          <w:noProof/>
        </w:rPr>
        <w:t>Aristeus antennatus</w:t>
      </w:r>
      <w:r w:rsidR="00F603EC" w:rsidRPr="0084037D">
        <w:rPr>
          <w:noProof/>
        </w:rPr>
        <w:t>) and giant red shrimp (</w:t>
      </w:r>
      <w:r w:rsidR="00F603EC" w:rsidRPr="0084037D">
        <w:rPr>
          <w:i/>
          <w:noProof/>
        </w:rPr>
        <w:t>Aristaeomorpha foliacea</w:t>
      </w:r>
      <w:r w:rsidR="00F603EC" w:rsidRPr="0084037D">
        <w:rPr>
          <w:noProof/>
        </w:rPr>
        <w:t xml:space="preserve">) </w:t>
      </w:r>
      <w:r w:rsidR="001F2712" w:rsidRPr="0084037D">
        <w:rPr>
          <w:noProof/>
        </w:rPr>
        <w:t xml:space="preserve">in deep waters </w:t>
      </w:r>
      <w:r w:rsidR="00F603EC" w:rsidRPr="0084037D">
        <w:rPr>
          <w:noProof/>
        </w:rPr>
        <w:t>in accordance with scientific advice</w:t>
      </w:r>
      <w:r w:rsidR="00A0342A" w:rsidRPr="0084037D">
        <w:rPr>
          <w:noProof/>
        </w:rPr>
        <w:t xml:space="preserve"> and Article 7(3), point (b), of </w:t>
      </w:r>
      <w:r w:rsidR="0067187A" w:rsidRPr="0084037D">
        <w:rPr>
          <w:noProof/>
        </w:rPr>
        <w:t>the plan</w:t>
      </w:r>
      <w:r w:rsidR="00F603EC" w:rsidRPr="0084037D">
        <w:rPr>
          <w:noProof/>
        </w:rPr>
        <w:t>.</w:t>
      </w:r>
    </w:p>
    <w:p w14:paraId="0FF4CEC1" w14:textId="3E6E16D9" w:rsidR="005F0623" w:rsidRPr="0084037D" w:rsidRDefault="004700A6" w:rsidP="004700A6">
      <w:pPr>
        <w:pStyle w:val="ManualConsidrant"/>
        <w:rPr>
          <w:i/>
          <w:noProof/>
        </w:rPr>
      </w:pPr>
      <w:r w:rsidRPr="004700A6">
        <w:t>(6)</w:t>
      </w:r>
      <w:r w:rsidRPr="004700A6">
        <w:tab/>
      </w:r>
      <w:r w:rsidR="00F603EC" w:rsidRPr="0023032E">
        <w:rPr>
          <w:iCs/>
          <w:noProof/>
        </w:rPr>
        <w:t>[</w:t>
      </w:r>
      <w:r w:rsidR="00F603EC" w:rsidRPr="0084037D">
        <w:rPr>
          <w:i/>
          <w:noProof/>
        </w:rPr>
        <w:t xml:space="preserve">placeholder </w:t>
      </w:r>
      <w:r w:rsidR="00A62250" w:rsidRPr="0084037D">
        <w:rPr>
          <w:i/>
          <w:noProof/>
        </w:rPr>
        <w:t>pending STECF advice</w:t>
      </w:r>
      <w:r w:rsidR="00F603EC" w:rsidRPr="0084037D">
        <w:rPr>
          <w:iCs/>
          <w:noProof/>
        </w:rPr>
        <w:t>]</w:t>
      </w:r>
      <w:r w:rsidR="00F603EC" w:rsidRPr="0084037D">
        <w:rPr>
          <w:noProof/>
        </w:rPr>
        <w:t xml:space="preserve"> </w:t>
      </w:r>
      <w:r w:rsidR="00BD60A4" w:rsidRPr="0084037D">
        <w:rPr>
          <w:noProof/>
        </w:rPr>
        <w:t>Based on such advice, f</w:t>
      </w:r>
      <w:r w:rsidR="00F603EC" w:rsidRPr="0084037D">
        <w:rPr>
          <w:noProof/>
        </w:rPr>
        <w:t>or 202</w:t>
      </w:r>
      <w:r w:rsidR="00691AF2" w:rsidRPr="0084037D">
        <w:rPr>
          <w:noProof/>
        </w:rPr>
        <w:t>4</w:t>
      </w:r>
      <w:r w:rsidR="00F603EC" w:rsidRPr="0084037D">
        <w:rPr>
          <w:noProof/>
        </w:rPr>
        <w:t>, the maximum allowable fishing effort of trawl</w:t>
      </w:r>
      <w:r w:rsidR="00116EBA" w:rsidRPr="0084037D">
        <w:rPr>
          <w:noProof/>
        </w:rPr>
        <w:t>er</w:t>
      </w:r>
      <w:r w:rsidR="00F603EC" w:rsidRPr="0084037D">
        <w:rPr>
          <w:noProof/>
        </w:rPr>
        <w:t>s</w:t>
      </w:r>
      <w:r w:rsidR="00116EBA" w:rsidRPr="0084037D">
        <w:rPr>
          <w:noProof/>
        </w:rPr>
        <w:t xml:space="preserve"> in the </w:t>
      </w:r>
      <w:r w:rsidR="00CD1BDA" w:rsidRPr="0084037D">
        <w:rPr>
          <w:noProof/>
        </w:rPr>
        <w:t>w</w:t>
      </w:r>
      <w:r w:rsidR="00116EBA" w:rsidRPr="0084037D">
        <w:rPr>
          <w:noProof/>
        </w:rPr>
        <w:t>estern Mediterranean Sea</w:t>
      </w:r>
      <w:r w:rsidR="00F603EC" w:rsidRPr="0084037D">
        <w:rPr>
          <w:noProof/>
        </w:rPr>
        <w:t xml:space="preserve"> sh</w:t>
      </w:r>
      <w:r w:rsidR="007E3819" w:rsidRPr="0084037D">
        <w:rPr>
          <w:noProof/>
        </w:rPr>
        <w:t>ould therefore be reduced by pm</w:t>
      </w:r>
      <w:r w:rsidR="00DA646D" w:rsidRPr="0084037D">
        <w:rPr>
          <w:noProof/>
        </w:rPr>
        <w:t> </w:t>
      </w:r>
      <w:r w:rsidR="00F603EC" w:rsidRPr="0084037D">
        <w:rPr>
          <w:noProof/>
        </w:rPr>
        <w:t xml:space="preserve">% compared to the </w:t>
      </w:r>
      <w:r w:rsidR="004C47D0" w:rsidRPr="0084037D">
        <w:rPr>
          <w:noProof/>
        </w:rPr>
        <w:t>baseline between</w:t>
      </w:r>
      <w:r w:rsidR="002A649D" w:rsidRPr="0084037D">
        <w:rPr>
          <w:noProof/>
        </w:rPr>
        <w:t xml:space="preserve"> </w:t>
      </w:r>
      <w:r w:rsidR="00F603EC" w:rsidRPr="0084037D">
        <w:rPr>
          <w:noProof/>
        </w:rPr>
        <w:t>2015</w:t>
      </w:r>
      <w:r w:rsidR="004C47D0" w:rsidRPr="0084037D">
        <w:rPr>
          <w:noProof/>
        </w:rPr>
        <w:t xml:space="preserve"> and </w:t>
      </w:r>
      <w:r w:rsidR="007E3819" w:rsidRPr="0084037D">
        <w:rPr>
          <w:noProof/>
        </w:rPr>
        <w:t>20</w:t>
      </w:r>
      <w:r w:rsidR="00F603EC" w:rsidRPr="0084037D">
        <w:rPr>
          <w:noProof/>
        </w:rPr>
        <w:t>17, to be deducted from the maximum allowable fishing effort set for 202</w:t>
      </w:r>
      <w:r w:rsidR="00691AF2" w:rsidRPr="0084037D">
        <w:rPr>
          <w:noProof/>
        </w:rPr>
        <w:t>3</w:t>
      </w:r>
      <w:r w:rsidR="00F603EC" w:rsidRPr="0084037D">
        <w:rPr>
          <w:noProof/>
        </w:rPr>
        <w:t xml:space="preserve"> by Council Regulation (EU)</w:t>
      </w:r>
      <w:r w:rsidR="00A21729" w:rsidRPr="0084037D">
        <w:rPr>
          <w:noProof/>
        </w:rPr>
        <w:t xml:space="preserve"> </w:t>
      </w:r>
      <w:r w:rsidR="00F603EC" w:rsidRPr="0084037D">
        <w:rPr>
          <w:noProof/>
        </w:rPr>
        <w:t>202</w:t>
      </w:r>
      <w:r w:rsidR="00A045EF" w:rsidRPr="0084037D">
        <w:rPr>
          <w:noProof/>
        </w:rPr>
        <w:t>3</w:t>
      </w:r>
      <w:r w:rsidR="007E3819" w:rsidRPr="0084037D">
        <w:rPr>
          <w:noProof/>
        </w:rPr>
        <w:t>/1</w:t>
      </w:r>
      <w:r w:rsidR="00A045EF" w:rsidRPr="0084037D">
        <w:rPr>
          <w:noProof/>
        </w:rPr>
        <w:t>95</w:t>
      </w:r>
      <w:r w:rsidR="00F603EC" w:rsidRPr="0084037D">
        <w:rPr>
          <w:rStyle w:val="FootnoteReference"/>
          <w:noProof/>
        </w:rPr>
        <w:footnoteReference w:id="11"/>
      </w:r>
      <w:r w:rsidR="00F603EC" w:rsidRPr="0084037D">
        <w:rPr>
          <w:noProof/>
        </w:rPr>
        <w:t xml:space="preserve">. </w:t>
      </w:r>
      <w:r w:rsidR="00C63CAE" w:rsidRPr="0084037D">
        <w:rPr>
          <w:i/>
          <w:noProof/>
        </w:rPr>
        <w:t xml:space="preserve"> </w:t>
      </w:r>
    </w:p>
    <w:p w14:paraId="3DAC6A46" w14:textId="5BF7AC0B" w:rsidR="00DC199D" w:rsidRPr="0084037D" w:rsidRDefault="004700A6" w:rsidP="004700A6">
      <w:pPr>
        <w:pStyle w:val="ManualConsidrant"/>
        <w:rPr>
          <w:noProof/>
        </w:rPr>
      </w:pPr>
      <w:r w:rsidRPr="004700A6">
        <w:t>(7)</w:t>
      </w:r>
      <w:r w:rsidRPr="004700A6">
        <w:tab/>
      </w:r>
      <w:r w:rsidR="007E3819" w:rsidRPr="0084037D">
        <w:rPr>
          <w:noProof/>
        </w:rPr>
        <w:t>[</w:t>
      </w:r>
      <w:r w:rsidR="007E3819" w:rsidRPr="0084037D">
        <w:rPr>
          <w:i/>
          <w:noProof/>
        </w:rPr>
        <w:t xml:space="preserve">placeholder </w:t>
      </w:r>
      <w:r w:rsidR="002A76EB" w:rsidRPr="0084037D">
        <w:rPr>
          <w:i/>
          <w:noProof/>
        </w:rPr>
        <w:t>pending STECF</w:t>
      </w:r>
      <w:r w:rsidR="007E3819" w:rsidRPr="0084037D">
        <w:rPr>
          <w:i/>
          <w:noProof/>
        </w:rPr>
        <w:t xml:space="preserve"> advice</w:t>
      </w:r>
      <w:r w:rsidR="007E3819" w:rsidRPr="0084037D">
        <w:rPr>
          <w:noProof/>
        </w:rPr>
        <w:t xml:space="preserve">]. </w:t>
      </w:r>
      <w:r w:rsidR="00BD60A4" w:rsidRPr="0084037D">
        <w:rPr>
          <w:noProof/>
        </w:rPr>
        <w:t>Based on such advice, f</w:t>
      </w:r>
      <w:r w:rsidR="00F603EC" w:rsidRPr="0084037D">
        <w:rPr>
          <w:noProof/>
        </w:rPr>
        <w:t>or 202</w:t>
      </w:r>
      <w:r w:rsidR="00691AF2" w:rsidRPr="0084037D">
        <w:rPr>
          <w:noProof/>
        </w:rPr>
        <w:t>4</w:t>
      </w:r>
      <w:r w:rsidR="00F603EC" w:rsidRPr="0084037D">
        <w:rPr>
          <w:noProof/>
        </w:rPr>
        <w:t>, the maximum allowable fishing effort of longliners</w:t>
      </w:r>
      <w:r w:rsidR="0009701F" w:rsidRPr="0084037D">
        <w:rPr>
          <w:noProof/>
        </w:rPr>
        <w:t xml:space="preserve"> </w:t>
      </w:r>
      <w:r w:rsidR="00F603EC" w:rsidRPr="0084037D">
        <w:rPr>
          <w:noProof/>
        </w:rPr>
        <w:t xml:space="preserve">should </w:t>
      </w:r>
      <w:r w:rsidR="00593086" w:rsidRPr="0084037D">
        <w:rPr>
          <w:noProof/>
        </w:rPr>
        <w:t xml:space="preserve">therefore </w:t>
      </w:r>
      <w:r w:rsidR="00F603EC" w:rsidRPr="0084037D">
        <w:rPr>
          <w:noProof/>
        </w:rPr>
        <w:t xml:space="preserve">be </w:t>
      </w:r>
      <w:r w:rsidR="007F0D48" w:rsidRPr="0084037D">
        <w:rPr>
          <w:noProof/>
        </w:rPr>
        <w:t xml:space="preserve">pm </w:t>
      </w:r>
      <w:r w:rsidR="00F603EC" w:rsidRPr="0084037D">
        <w:rPr>
          <w:noProof/>
        </w:rPr>
        <w:t xml:space="preserve">compared to the </w:t>
      </w:r>
      <w:r w:rsidR="006017B1" w:rsidRPr="0084037D">
        <w:rPr>
          <w:noProof/>
        </w:rPr>
        <w:t xml:space="preserve">baseline between </w:t>
      </w:r>
      <w:r w:rsidR="00F603EC" w:rsidRPr="0084037D">
        <w:rPr>
          <w:noProof/>
        </w:rPr>
        <w:t>2015</w:t>
      </w:r>
      <w:r w:rsidR="00EE5B5D" w:rsidRPr="0084037D">
        <w:rPr>
          <w:noProof/>
        </w:rPr>
        <w:t xml:space="preserve"> </w:t>
      </w:r>
      <w:r w:rsidR="006017B1" w:rsidRPr="0084037D">
        <w:rPr>
          <w:noProof/>
        </w:rPr>
        <w:t>and</w:t>
      </w:r>
      <w:r w:rsidR="008D152E" w:rsidRPr="0084037D">
        <w:rPr>
          <w:noProof/>
        </w:rPr>
        <w:t xml:space="preserve"> </w:t>
      </w:r>
      <w:r w:rsidR="007E3819" w:rsidRPr="0084037D">
        <w:rPr>
          <w:noProof/>
        </w:rPr>
        <w:t>20</w:t>
      </w:r>
      <w:r w:rsidR="00EE5B5D" w:rsidRPr="0084037D">
        <w:rPr>
          <w:noProof/>
        </w:rPr>
        <w:t>17</w:t>
      </w:r>
      <w:r w:rsidR="007F0D48" w:rsidRPr="0084037D">
        <w:rPr>
          <w:noProof/>
        </w:rPr>
        <w:t>.</w:t>
      </w:r>
      <w:bookmarkStart w:id="1" w:name="_Hlk140653533"/>
    </w:p>
    <w:bookmarkEnd w:id="1"/>
    <w:p w14:paraId="1A75E70F" w14:textId="2ED5D275" w:rsidR="005434F8" w:rsidRPr="0084037D" w:rsidRDefault="004700A6" w:rsidP="004700A6">
      <w:pPr>
        <w:pStyle w:val="ManualConsidrant"/>
        <w:rPr>
          <w:noProof/>
        </w:rPr>
      </w:pPr>
      <w:r w:rsidRPr="004700A6">
        <w:t>(8)</w:t>
      </w:r>
      <w:r w:rsidRPr="004700A6">
        <w:tab/>
      </w:r>
      <w:r w:rsidR="005434F8" w:rsidRPr="0084037D">
        <w:rPr>
          <w:noProof/>
        </w:rPr>
        <w:t>[</w:t>
      </w:r>
      <w:r w:rsidR="005434F8" w:rsidRPr="0084037D">
        <w:rPr>
          <w:i/>
          <w:noProof/>
        </w:rPr>
        <w:t xml:space="preserve">placeholder </w:t>
      </w:r>
      <w:r w:rsidR="002A76EB" w:rsidRPr="0084037D">
        <w:rPr>
          <w:i/>
          <w:noProof/>
        </w:rPr>
        <w:t>pending</w:t>
      </w:r>
      <w:r w:rsidR="005434F8" w:rsidRPr="0084037D">
        <w:rPr>
          <w:i/>
          <w:noProof/>
        </w:rPr>
        <w:t xml:space="preserve"> </w:t>
      </w:r>
      <w:r w:rsidR="002A76EB" w:rsidRPr="0084037D">
        <w:rPr>
          <w:i/>
          <w:noProof/>
        </w:rPr>
        <w:t xml:space="preserve">STECF </w:t>
      </w:r>
      <w:r w:rsidR="005434F8" w:rsidRPr="0084037D">
        <w:rPr>
          <w:i/>
          <w:noProof/>
        </w:rPr>
        <w:t>advice</w:t>
      </w:r>
      <w:r w:rsidR="007506A7" w:rsidRPr="0084037D">
        <w:rPr>
          <w:noProof/>
        </w:rPr>
        <w:t>]</w:t>
      </w:r>
      <w:r w:rsidR="005434F8" w:rsidRPr="0084037D">
        <w:rPr>
          <w:noProof/>
        </w:rPr>
        <w:t xml:space="preserve"> </w:t>
      </w:r>
      <w:r w:rsidR="00DC199D" w:rsidRPr="0084037D">
        <w:rPr>
          <w:noProof/>
        </w:rPr>
        <w:t>In light of the scientific advice, for 202</w:t>
      </w:r>
      <w:r w:rsidR="00873436" w:rsidRPr="0084037D">
        <w:rPr>
          <w:noProof/>
        </w:rPr>
        <w:t>4</w:t>
      </w:r>
      <w:r w:rsidR="00DC199D" w:rsidRPr="0084037D">
        <w:rPr>
          <w:noProof/>
        </w:rPr>
        <w:t>, the maximum catch limits for blue and red shrimp in GSAs 1</w:t>
      </w:r>
      <w:r w:rsidR="003974D6" w:rsidRPr="0084037D">
        <w:rPr>
          <w:noProof/>
        </w:rPr>
        <w:t xml:space="preserve">, </w:t>
      </w:r>
      <w:r w:rsidR="00DC199D" w:rsidRPr="0084037D">
        <w:rPr>
          <w:noProof/>
        </w:rPr>
        <w:t>2</w:t>
      </w:r>
      <w:r w:rsidR="003974D6" w:rsidRPr="0084037D">
        <w:rPr>
          <w:noProof/>
        </w:rPr>
        <w:t xml:space="preserve">, </w:t>
      </w:r>
      <w:r w:rsidR="00DC199D" w:rsidRPr="0084037D">
        <w:rPr>
          <w:noProof/>
        </w:rPr>
        <w:t>5</w:t>
      </w:r>
      <w:r w:rsidR="003974D6" w:rsidRPr="0084037D">
        <w:rPr>
          <w:noProof/>
        </w:rPr>
        <w:t xml:space="preserve">, </w:t>
      </w:r>
      <w:r w:rsidR="00DC199D" w:rsidRPr="0084037D">
        <w:rPr>
          <w:noProof/>
        </w:rPr>
        <w:t>6</w:t>
      </w:r>
      <w:r w:rsidR="003974D6" w:rsidRPr="0084037D">
        <w:rPr>
          <w:noProof/>
        </w:rPr>
        <w:t xml:space="preserve"> and </w:t>
      </w:r>
      <w:r w:rsidR="00DC199D" w:rsidRPr="0084037D">
        <w:rPr>
          <w:noProof/>
        </w:rPr>
        <w:t xml:space="preserve">7 should </w:t>
      </w:r>
      <w:r w:rsidR="005F0851" w:rsidRPr="0084037D">
        <w:rPr>
          <w:noProof/>
        </w:rPr>
        <w:t xml:space="preserve">therefore </w:t>
      </w:r>
      <w:r w:rsidR="00DC199D" w:rsidRPr="0084037D">
        <w:rPr>
          <w:noProof/>
        </w:rPr>
        <w:t>be pm %.</w:t>
      </w:r>
    </w:p>
    <w:p w14:paraId="382DE5F1" w14:textId="1708273B" w:rsidR="00923948" w:rsidRPr="0084037D" w:rsidRDefault="004700A6" w:rsidP="004700A6">
      <w:pPr>
        <w:pStyle w:val="ManualConsidrant"/>
        <w:rPr>
          <w:noProof/>
        </w:rPr>
      </w:pPr>
      <w:r w:rsidRPr="004700A6">
        <w:t>(9)</w:t>
      </w:r>
      <w:r w:rsidRPr="004700A6">
        <w:tab/>
      </w:r>
      <w:r w:rsidR="002A76EB" w:rsidRPr="0084037D">
        <w:rPr>
          <w:noProof/>
        </w:rPr>
        <w:t>[</w:t>
      </w:r>
      <w:r w:rsidR="002A76EB" w:rsidRPr="0084037D">
        <w:rPr>
          <w:i/>
          <w:iCs/>
          <w:noProof/>
        </w:rPr>
        <w:t>placeholder pending STECF advice</w:t>
      </w:r>
      <w:r w:rsidR="00AF2A84" w:rsidRPr="0084037D">
        <w:rPr>
          <w:noProof/>
        </w:rPr>
        <w:t>]</w:t>
      </w:r>
      <w:r w:rsidR="00DC199D" w:rsidRPr="0084037D">
        <w:rPr>
          <w:noProof/>
        </w:rPr>
        <w:t xml:space="preserve"> In light of the scientific advice, for 202</w:t>
      </w:r>
      <w:r w:rsidR="00C7705C" w:rsidRPr="0084037D">
        <w:rPr>
          <w:noProof/>
        </w:rPr>
        <w:t>4</w:t>
      </w:r>
      <w:r w:rsidR="00DC199D" w:rsidRPr="0084037D">
        <w:rPr>
          <w:noProof/>
        </w:rPr>
        <w:t>, the maximum catch limits for blue and red shrimp in GSAs 8</w:t>
      </w:r>
      <w:r w:rsidR="0092677E" w:rsidRPr="0084037D">
        <w:rPr>
          <w:noProof/>
        </w:rPr>
        <w:t xml:space="preserve">, </w:t>
      </w:r>
      <w:r w:rsidR="00DC199D" w:rsidRPr="0084037D">
        <w:rPr>
          <w:noProof/>
        </w:rPr>
        <w:t>9</w:t>
      </w:r>
      <w:r w:rsidR="0092677E" w:rsidRPr="0084037D">
        <w:rPr>
          <w:noProof/>
        </w:rPr>
        <w:t xml:space="preserve">, </w:t>
      </w:r>
      <w:r w:rsidR="00DC199D" w:rsidRPr="0084037D">
        <w:rPr>
          <w:noProof/>
        </w:rPr>
        <w:t>10</w:t>
      </w:r>
      <w:r w:rsidR="0092677E" w:rsidRPr="0084037D">
        <w:rPr>
          <w:noProof/>
        </w:rPr>
        <w:t xml:space="preserve"> and </w:t>
      </w:r>
      <w:r w:rsidR="00DC199D" w:rsidRPr="0084037D">
        <w:rPr>
          <w:noProof/>
        </w:rPr>
        <w:t xml:space="preserve">11 should be </w:t>
      </w:r>
      <w:r w:rsidR="00C7705C" w:rsidRPr="0084037D">
        <w:rPr>
          <w:noProof/>
        </w:rPr>
        <w:t>pm</w:t>
      </w:r>
      <w:r w:rsidR="00DC199D" w:rsidRPr="0084037D">
        <w:rPr>
          <w:noProof/>
        </w:rPr>
        <w:t xml:space="preserve"> %.</w:t>
      </w:r>
    </w:p>
    <w:p w14:paraId="53DB30EE" w14:textId="0499B02B" w:rsidR="008154B4" w:rsidRPr="0084037D" w:rsidRDefault="004700A6" w:rsidP="004700A6">
      <w:pPr>
        <w:pStyle w:val="ManualConsidrant"/>
        <w:rPr>
          <w:noProof/>
        </w:rPr>
      </w:pPr>
      <w:r w:rsidRPr="004700A6">
        <w:t>(10)</w:t>
      </w:r>
      <w:r w:rsidRPr="004700A6">
        <w:tab/>
      </w:r>
      <w:r w:rsidR="00C7705C" w:rsidRPr="0084037D">
        <w:rPr>
          <w:iCs/>
          <w:noProof/>
        </w:rPr>
        <w:t>[</w:t>
      </w:r>
      <w:r w:rsidR="00C7705C" w:rsidRPr="0084037D">
        <w:rPr>
          <w:i/>
          <w:noProof/>
        </w:rPr>
        <w:t>placeholder pending final STECF advice</w:t>
      </w:r>
      <w:r w:rsidR="00C7705C" w:rsidRPr="0084037D">
        <w:rPr>
          <w:iCs/>
          <w:noProof/>
        </w:rPr>
        <w:t>]</w:t>
      </w:r>
      <w:r w:rsidR="00C7705C" w:rsidRPr="0084037D">
        <w:rPr>
          <w:noProof/>
        </w:rPr>
        <w:t xml:space="preserve"> In accordance with Article 7(3), point (b), of the plan, it is therefore appropriate to continue setting maximum catch limits to complement the trawling effort regime with maximum catch limits. In light of the scientific advice, for 2024, the maximum catch limits for giant red shrimp in GSAs 8</w:t>
      </w:r>
      <w:r w:rsidR="006C4025" w:rsidRPr="0084037D">
        <w:rPr>
          <w:noProof/>
        </w:rPr>
        <w:t xml:space="preserve">, </w:t>
      </w:r>
      <w:r w:rsidR="00C7705C" w:rsidRPr="0084037D">
        <w:rPr>
          <w:noProof/>
        </w:rPr>
        <w:t>9</w:t>
      </w:r>
      <w:r w:rsidR="006C4025" w:rsidRPr="0084037D">
        <w:rPr>
          <w:noProof/>
        </w:rPr>
        <w:t xml:space="preserve">, </w:t>
      </w:r>
      <w:r w:rsidR="00C7705C" w:rsidRPr="0084037D">
        <w:rPr>
          <w:noProof/>
        </w:rPr>
        <w:t>10</w:t>
      </w:r>
      <w:r w:rsidR="006C4025" w:rsidRPr="0084037D">
        <w:rPr>
          <w:noProof/>
        </w:rPr>
        <w:t xml:space="preserve"> and </w:t>
      </w:r>
      <w:r w:rsidR="00C7705C" w:rsidRPr="0084037D">
        <w:rPr>
          <w:noProof/>
        </w:rPr>
        <w:t>11 should be pm %</w:t>
      </w:r>
      <w:r w:rsidR="00B003C9" w:rsidRPr="0084037D">
        <w:rPr>
          <w:noProof/>
        </w:rPr>
        <w:t>.</w:t>
      </w:r>
    </w:p>
    <w:p w14:paraId="1AF10742" w14:textId="17431C19" w:rsidR="002F044E" w:rsidRPr="0084037D" w:rsidRDefault="004700A6" w:rsidP="004700A6">
      <w:pPr>
        <w:pStyle w:val="ManualConsidrant"/>
        <w:rPr>
          <w:noProof/>
        </w:rPr>
      </w:pPr>
      <w:r w:rsidRPr="004700A6">
        <w:t>(11)</w:t>
      </w:r>
      <w:r w:rsidRPr="004700A6">
        <w:tab/>
      </w:r>
      <w:r w:rsidR="00F603EC" w:rsidRPr="0084037D">
        <w:rPr>
          <w:noProof/>
        </w:rPr>
        <w:t>At its 43</w:t>
      </w:r>
      <w:r w:rsidR="00F603EC" w:rsidRPr="0084037D">
        <w:rPr>
          <w:noProof/>
          <w:vertAlign w:val="superscript"/>
        </w:rPr>
        <w:t>rd</w:t>
      </w:r>
      <w:r w:rsidR="00F603EC" w:rsidRPr="0084037D">
        <w:rPr>
          <w:noProof/>
        </w:rPr>
        <w:t xml:space="preserve"> annual meeting in 2019, the GFCM adopted Recommendation GFCM/43/2019/5 on a multiannual management plan for sustainable demersal fisheries in the Adriatic Sea (GFCM geographical subareas 17 and 18</w:t>
      </w:r>
      <w:bookmarkStart w:id="2" w:name="_Hlk140654589"/>
      <w:r w:rsidR="00F603EC" w:rsidRPr="0084037D">
        <w:rPr>
          <w:noProof/>
        </w:rPr>
        <w:t>)</w:t>
      </w:r>
      <w:r w:rsidR="00B559EA" w:rsidRPr="0084037D">
        <w:rPr>
          <w:rStyle w:val="FootnoteReference"/>
          <w:noProof/>
        </w:rPr>
        <w:footnoteReference w:id="12"/>
      </w:r>
      <w:r w:rsidR="00F603EC" w:rsidRPr="0084037D">
        <w:rPr>
          <w:noProof/>
        </w:rPr>
        <w:t>,</w:t>
      </w:r>
      <w:bookmarkEnd w:id="2"/>
      <w:r w:rsidR="00F603EC" w:rsidRPr="0084037D">
        <w:rPr>
          <w:i/>
          <w:iCs/>
          <w:noProof/>
        </w:rPr>
        <w:t xml:space="preserve"> </w:t>
      </w:r>
      <w:r w:rsidR="00F603EC" w:rsidRPr="0084037D">
        <w:rPr>
          <w:noProof/>
        </w:rPr>
        <w:t xml:space="preserve">which introduced </w:t>
      </w:r>
      <w:r w:rsidR="00A62250" w:rsidRPr="0084037D">
        <w:rPr>
          <w:noProof/>
        </w:rPr>
        <w:t>from 2020 to 202</w:t>
      </w:r>
      <w:r w:rsidR="0067187A" w:rsidRPr="0084037D">
        <w:rPr>
          <w:noProof/>
        </w:rPr>
        <w:t>6</w:t>
      </w:r>
      <w:r w:rsidR="00A62250" w:rsidRPr="0084037D">
        <w:rPr>
          <w:noProof/>
        </w:rPr>
        <w:t xml:space="preserve"> </w:t>
      </w:r>
      <w:r w:rsidR="00F603EC" w:rsidRPr="0084037D">
        <w:rPr>
          <w:noProof/>
        </w:rPr>
        <w:t xml:space="preserve">a fishing effort regime </w:t>
      </w:r>
      <w:r w:rsidR="00F603EC" w:rsidRPr="0084037D">
        <w:rPr>
          <w:noProof/>
          <w:lang w:val="mt-MT"/>
        </w:rPr>
        <w:t xml:space="preserve">and a fleet capacity ceiling </w:t>
      </w:r>
      <w:r w:rsidR="00F603EC" w:rsidRPr="0084037D">
        <w:rPr>
          <w:noProof/>
        </w:rPr>
        <w:t xml:space="preserve">for certain demersal stocks. Those measures </w:t>
      </w:r>
      <w:r w:rsidR="00A62250" w:rsidRPr="0084037D">
        <w:rPr>
          <w:noProof/>
        </w:rPr>
        <w:t xml:space="preserve">for 2024 should therefore </w:t>
      </w:r>
      <w:r w:rsidR="00B559EA" w:rsidRPr="0084037D">
        <w:rPr>
          <w:noProof/>
        </w:rPr>
        <w:t xml:space="preserve">be </w:t>
      </w:r>
      <w:r w:rsidR="00F603EC" w:rsidRPr="0084037D">
        <w:rPr>
          <w:noProof/>
        </w:rPr>
        <w:t xml:space="preserve">implemented in Union law. </w:t>
      </w:r>
    </w:p>
    <w:p w14:paraId="2BB03EED" w14:textId="459C4656" w:rsidR="002F044E" w:rsidRPr="0084037D" w:rsidRDefault="004700A6" w:rsidP="004700A6">
      <w:pPr>
        <w:pStyle w:val="ManualConsidrant"/>
        <w:rPr>
          <w:noProof/>
        </w:rPr>
      </w:pPr>
      <w:r w:rsidRPr="004700A6">
        <w:t>(12)</w:t>
      </w:r>
      <w:r w:rsidRPr="004700A6">
        <w:tab/>
      </w:r>
      <w:r w:rsidR="002F044E" w:rsidRPr="0084037D">
        <w:rPr>
          <w:noProof/>
        </w:rPr>
        <w:t xml:space="preserve">[placeholder </w:t>
      </w:r>
      <w:r w:rsidR="00172EB3" w:rsidRPr="0084037D">
        <w:rPr>
          <w:noProof/>
        </w:rPr>
        <w:t xml:space="preserve">new </w:t>
      </w:r>
      <w:r w:rsidR="002F044E" w:rsidRPr="0084037D">
        <w:rPr>
          <w:noProof/>
        </w:rPr>
        <w:t>measures</w:t>
      </w:r>
      <w:r w:rsidR="00172EB3" w:rsidRPr="0084037D">
        <w:rPr>
          <w:noProof/>
        </w:rPr>
        <w:t xml:space="preserve"> for demersal stocks in the Adriatic Sea</w:t>
      </w:r>
      <w:r w:rsidR="002F044E" w:rsidRPr="0084037D">
        <w:rPr>
          <w:noProof/>
        </w:rPr>
        <w:t xml:space="preserve"> from GFCM 46</w:t>
      </w:r>
      <w:r w:rsidR="002F044E" w:rsidRPr="0084037D">
        <w:rPr>
          <w:noProof/>
          <w:vertAlign w:val="superscript"/>
        </w:rPr>
        <w:t>th</w:t>
      </w:r>
      <w:r w:rsidR="002F044E" w:rsidRPr="0084037D">
        <w:rPr>
          <w:noProof/>
        </w:rPr>
        <w:t xml:space="preserve"> annual session]</w:t>
      </w:r>
    </w:p>
    <w:p w14:paraId="236ADCAC" w14:textId="14A2D399" w:rsidR="002F044E" w:rsidRPr="0084037D" w:rsidRDefault="004700A6" w:rsidP="004700A6">
      <w:pPr>
        <w:pStyle w:val="ManualConsidrant"/>
        <w:rPr>
          <w:noProof/>
        </w:rPr>
      </w:pPr>
      <w:r w:rsidRPr="004700A6">
        <w:t>(13)</w:t>
      </w:r>
      <w:r w:rsidRPr="004700A6">
        <w:tab/>
      </w:r>
      <w:r w:rsidR="00A358E0" w:rsidRPr="0084037D">
        <w:rPr>
          <w:noProof/>
        </w:rPr>
        <w:t>At its 44</w:t>
      </w:r>
      <w:r w:rsidR="00A358E0" w:rsidRPr="0084037D">
        <w:rPr>
          <w:noProof/>
          <w:vertAlign w:val="superscript"/>
        </w:rPr>
        <w:t>th</w:t>
      </w:r>
      <w:r w:rsidR="00A358E0" w:rsidRPr="0084037D">
        <w:rPr>
          <w:noProof/>
        </w:rPr>
        <w:t xml:space="preserve"> annual meeting in 2021, the GFCM adopted Recommendation GFCM/44/2021/20 on a multiannual management plan for the sustainable exploitation of small pelagic stocks the Adriatic Sea (GFCM geographical subareas 17 and 18)</w:t>
      </w:r>
      <w:r w:rsidR="00A92FE7" w:rsidRPr="0084037D">
        <w:rPr>
          <w:rStyle w:val="FootnoteReference"/>
          <w:noProof/>
        </w:rPr>
        <w:footnoteReference w:id="13"/>
      </w:r>
      <w:r w:rsidR="00A358E0" w:rsidRPr="0084037D">
        <w:rPr>
          <w:noProof/>
        </w:rPr>
        <w:t>,</w:t>
      </w:r>
      <w:r w:rsidR="00A62250" w:rsidRPr="0084037D">
        <w:rPr>
          <w:i/>
          <w:iCs/>
          <w:noProof/>
        </w:rPr>
        <w:t xml:space="preserve"> </w:t>
      </w:r>
      <w:r w:rsidR="00A358E0" w:rsidRPr="0084037D">
        <w:rPr>
          <w:noProof/>
        </w:rPr>
        <w:t xml:space="preserve"> which introduced </w:t>
      </w:r>
      <w:r w:rsidR="00A62250" w:rsidRPr="0084037D">
        <w:rPr>
          <w:noProof/>
        </w:rPr>
        <w:t>from 2022 to 202</w:t>
      </w:r>
      <w:r w:rsidR="000C2016" w:rsidRPr="0084037D">
        <w:rPr>
          <w:noProof/>
        </w:rPr>
        <w:t>9</w:t>
      </w:r>
      <w:r w:rsidR="00A62250" w:rsidRPr="0084037D">
        <w:rPr>
          <w:noProof/>
        </w:rPr>
        <w:t xml:space="preserve"> </w:t>
      </w:r>
      <w:r w:rsidR="00A358E0" w:rsidRPr="0084037D">
        <w:rPr>
          <w:noProof/>
        </w:rPr>
        <w:t xml:space="preserve">a maximum level of catches and a related fleet capacity ceiling for purse seiners and </w:t>
      </w:r>
      <w:r w:rsidR="003073BE" w:rsidRPr="0084037D">
        <w:rPr>
          <w:noProof/>
        </w:rPr>
        <w:t xml:space="preserve">pelagic </w:t>
      </w:r>
      <w:r w:rsidR="00A358E0" w:rsidRPr="0084037D">
        <w:rPr>
          <w:noProof/>
        </w:rPr>
        <w:t>trawlers</w:t>
      </w:r>
      <w:r w:rsidR="000E681B" w:rsidRPr="0084037D">
        <w:rPr>
          <w:noProof/>
        </w:rPr>
        <w:t xml:space="preserve"> </w:t>
      </w:r>
      <w:r w:rsidR="00A358E0" w:rsidRPr="0084037D">
        <w:rPr>
          <w:noProof/>
        </w:rPr>
        <w:t>targeting small pelagics</w:t>
      </w:r>
      <w:r w:rsidR="003073BE" w:rsidRPr="0084037D">
        <w:rPr>
          <w:noProof/>
        </w:rPr>
        <w:t xml:space="preserve">, with a </w:t>
      </w:r>
      <w:r w:rsidR="003073BE" w:rsidRPr="0084037D">
        <w:rPr>
          <w:noProof/>
        </w:rPr>
        <w:lastRenderedPageBreak/>
        <w:t xml:space="preserve">derogation for the national fleets of less than </w:t>
      </w:r>
      <w:r w:rsidR="00F51201" w:rsidRPr="0084037D">
        <w:rPr>
          <w:noProof/>
        </w:rPr>
        <w:t>10</w:t>
      </w:r>
      <w:r w:rsidR="003073BE" w:rsidRPr="0084037D">
        <w:rPr>
          <w:noProof/>
        </w:rPr>
        <w:t xml:space="preserve"> purse seiners or pelagic trawlers actively fishing for small pelagic stocks</w:t>
      </w:r>
      <w:r w:rsidR="00A358E0" w:rsidRPr="0084037D">
        <w:rPr>
          <w:noProof/>
        </w:rPr>
        <w:t xml:space="preserve">. </w:t>
      </w:r>
      <w:r w:rsidR="00A62250" w:rsidRPr="0084037D">
        <w:rPr>
          <w:noProof/>
        </w:rPr>
        <w:t>Those measures for 2024 should therefore be implemented in Union law.</w:t>
      </w:r>
    </w:p>
    <w:p w14:paraId="55A06C67" w14:textId="3ADB92FD" w:rsidR="002F044E" w:rsidRPr="0084037D" w:rsidRDefault="004700A6" w:rsidP="004700A6">
      <w:pPr>
        <w:pStyle w:val="ManualConsidrant"/>
        <w:rPr>
          <w:noProof/>
        </w:rPr>
      </w:pPr>
      <w:r w:rsidRPr="004700A6">
        <w:t>(14)</w:t>
      </w:r>
      <w:r w:rsidRPr="004700A6">
        <w:tab/>
      </w:r>
      <w:r w:rsidR="00210011" w:rsidRPr="0084037D">
        <w:rPr>
          <w:noProof/>
        </w:rPr>
        <w:t>[placehold</w:t>
      </w:r>
      <w:r w:rsidR="00D668EF" w:rsidRPr="0084037D">
        <w:rPr>
          <w:noProof/>
        </w:rPr>
        <w:t>e</w:t>
      </w:r>
      <w:r w:rsidR="00210011" w:rsidRPr="0084037D">
        <w:rPr>
          <w:noProof/>
        </w:rPr>
        <w:t>r</w:t>
      </w:r>
      <w:r w:rsidR="000A587A" w:rsidRPr="0084037D">
        <w:rPr>
          <w:noProof/>
        </w:rPr>
        <w:t xml:space="preserve"> </w:t>
      </w:r>
      <w:r w:rsidR="00172EB3" w:rsidRPr="0084037D">
        <w:rPr>
          <w:noProof/>
        </w:rPr>
        <w:t xml:space="preserve">new </w:t>
      </w:r>
      <w:r w:rsidR="00210011" w:rsidRPr="0084037D">
        <w:rPr>
          <w:noProof/>
        </w:rPr>
        <w:t>measures</w:t>
      </w:r>
      <w:r w:rsidR="00172EB3" w:rsidRPr="0084037D">
        <w:rPr>
          <w:noProof/>
        </w:rPr>
        <w:t xml:space="preserve"> for small pelagic stocks in the Adriatc Sea</w:t>
      </w:r>
      <w:r w:rsidR="00210011" w:rsidRPr="0084037D">
        <w:rPr>
          <w:noProof/>
        </w:rPr>
        <w:t xml:space="preserve"> from GFCM 46</w:t>
      </w:r>
      <w:r w:rsidR="00210011" w:rsidRPr="0084037D">
        <w:rPr>
          <w:noProof/>
          <w:vertAlign w:val="superscript"/>
        </w:rPr>
        <w:t>th</w:t>
      </w:r>
      <w:r w:rsidR="00210011" w:rsidRPr="0084037D">
        <w:rPr>
          <w:noProof/>
        </w:rPr>
        <w:t xml:space="preserve"> annual session]</w:t>
      </w:r>
    </w:p>
    <w:p w14:paraId="066B94EC" w14:textId="22B5FDF0" w:rsidR="002F044E" w:rsidRPr="0084037D" w:rsidRDefault="004700A6" w:rsidP="004700A6">
      <w:pPr>
        <w:pStyle w:val="ManualConsidrant"/>
        <w:rPr>
          <w:noProof/>
        </w:rPr>
      </w:pPr>
      <w:r w:rsidRPr="004700A6">
        <w:t>(15)</w:t>
      </w:r>
      <w:r w:rsidRPr="004700A6">
        <w:tab/>
      </w:r>
      <w:r w:rsidR="00F603EC" w:rsidRPr="0084037D">
        <w:rPr>
          <w:noProof/>
        </w:rPr>
        <w:t xml:space="preserve">Taking into account the particularities of the Slovenian fleet and </w:t>
      </w:r>
      <w:r w:rsidR="00E448E2" w:rsidRPr="0084037D">
        <w:rPr>
          <w:noProof/>
        </w:rPr>
        <w:t xml:space="preserve">its </w:t>
      </w:r>
      <w:r w:rsidR="00F603EC" w:rsidRPr="0084037D">
        <w:rPr>
          <w:noProof/>
        </w:rPr>
        <w:t xml:space="preserve">marginal impact on the stocks of small pelagic and demersal stocks, </w:t>
      </w:r>
      <w:r w:rsidR="00A62250" w:rsidRPr="0084037D">
        <w:rPr>
          <w:noProof/>
        </w:rPr>
        <w:t>and in accordance with paragrap</w:t>
      </w:r>
      <w:r w:rsidR="000872F8" w:rsidRPr="0084037D">
        <w:rPr>
          <w:noProof/>
        </w:rPr>
        <w:t>h</w:t>
      </w:r>
      <w:r w:rsidR="00A62250" w:rsidRPr="0084037D">
        <w:rPr>
          <w:noProof/>
        </w:rPr>
        <w:t xml:space="preserve"> 33 of Recommendation GFCM/44/2021/20 and of paragraph 13 of Recommendation GFCM/43/2019/5, </w:t>
      </w:r>
      <w:r w:rsidR="00F603EC" w:rsidRPr="0084037D">
        <w:rPr>
          <w:noProof/>
        </w:rPr>
        <w:t xml:space="preserve">it is appropriate to preserve existing fishing patterns and to ensure access by the Slovenian fleet to a minimum quantity of small pelagic species and a minimum effort </w:t>
      </w:r>
      <w:r w:rsidR="00DE265A" w:rsidRPr="0084037D">
        <w:rPr>
          <w:noProof/>
        </w:rPr>
        <w:t xml:space="preserve">allocation </w:t>
      </w:r>
      <w:r w:rsidR="00F603EC" w:rsidRPr="0084037D">
        <w:rPr>
          <w:noProof/>
        </w:rPr>
        <w:t>for demersal stocks</w:t>
      </w:r>
      <w:r w:rsidR="00A62250" w:rsidRPr="0084037D">
        <w:rPr>
          <w:noProof/>
        </w:rPr>
        <w:t>.</w:t>
      </w:r>
    </w:p>
    <w:p w14:paraId="683CCB9E" w14:textId="16826053" w:rsidR="00210011" w:rsidRPr="0084037D" w:rsidRDefault="004700A6" w:rsidP="004700A6">
      <w:pPr>
        <w:pStyle w:val="ManualConsidrant"/>
        <w:rPr>
          <w:noProof/>
        </w:rPr>
      </w:pPr>
      <w:r w:rsidRPr="004700A6">
        <w:t>(16)</w:t>
      </w:r>
      <w:r w:rsidRPr="004700A6">
        <w:tab/>
      </w:r>
      <w:r w:rsidR="00210011" w:rsidRPr="0084037D">
        <w:rPr>
          <w:noProof/>
        </w:rPr>
        <w:t>[Placeholder new measures</w:t>
      </w:r>
      <w:r w:rsidR="000A587A" w:rsidRPr="0084037D">
        <w:rPr>
          <w:noProof/>
        </w:rPr>
        <w:t xml:space="preserve"> for red coral </w:t>
      </w:r>
      <w:r w:rsidR="00210011" w:rsidRPr="0084037D">
        <w:rPr>
          <w:noProof/>
        </w:rPr>
        <w:t>from GFCM 46</w:t>
      </w:r>
      <w:r w:rsidR="00210011" w:rsidRPr="0084037D">
        <w:rPr>
          <w:noProof/>
          <w:vertAlign w:val="superscript"/>
        </w:rPr>
        <w:t>th</w:t>
      </w:r>
      <w:r w:rsidR="00210011" w:rsidRPr="0084037D">
        <w:rPr>
          <w:noProof/>
        </w:rPr>
        <w:t xml:space="preserve"> annual session ]</w:t>
      </w:r>
    </w:p>
    <w:p w14:paraId="7F5C5AD7" w14:textId="71C10FA7" w:rsidR="008154B4" w:rsidRPr="0084037D" w:rsidRDefault="004700A6" w:rsidP="004700A6">
      <w:pPr>
        <w:pStyle w:val="ManualConsidrant"/>
        <w:rPr>
          <w:noProof/>
        </w:rPr>
      </w:pPr>
      <w:r w:rsidRPr="004700A6">
        <w:t>(17)</w:t>
      </w:r>
      <w:r w:rsidRPr="004700A6">
        <w:tab/>
      </w:r>
      <w:r w:rsidR="00210011" w:rsidRPr="0084037D">
        <w:rPr>
          <w:noProof/>
        </w:rPr>
        <w:t>[placeholder new measures for common dolphinfish</w:t>
      </w:r>
      <w:r w:rsidR="00347CE7" w:rsidRPr="0084037D">
        <w:rPr>
          <w:noProof/>
        </w:rPr>
        <w:t xml:space="preserve"> from GFCM 46</w:t>
      </w:r>
      <w:r w:rsidR="00347CE7" w:rsidRPr="0084037D">
        <w:rPr>
          <w:noProof/>
          <w:vertAlign w:val="superscript"/>
        </w:rPr>
        <w:t>th</w:t>
      </w:r>
      <w:r w:rsidR="00347CE7" w:rsidRPr="0084037D">
        <w:rPr>
          <w:noProof/>
        </w:rPr>
        <w:t xml:space="preserve"> annual session</w:t>
      </w:r>
      <w:r w:rsidR="00210011" w:rsidRPr="0084037D">
        <w:rPr>
          <w:noProof/>
        </w:rPr>
        <w:t>]</w:t>
      </w:r>
    </w:p>
    <w:p w14:paraId="1515E045" w14:textId="3E9B9572" w:rsidR="00210011" w:rsidRPr="0084037D" w:rsidRDefault="004700A6" w:rsidP="004700A6">
      <w:pPr>
        <w:pStyle w:val="ManualConsidrant"/>
        <w:rPr>
          <w:noProof/>
        </w:rPr>
      </w:pPr>
      <w:r w:rsidRPr="004700A6">
        <w:t>(18)</w:t>
      </w:r>
      <w:r w:rsidRPr="004700A6">
        <w:tab/>
      </w:r>
      <w:r w:rsidR="00210011" w:rsidRPr="0084037D">
        <w:rPr>
          <w:noProof/>
        </w:rPr>
        <w:t>At its 45th annual meeting in 2022, the GFCM adopted Recommendation GFCM/45/2022/4 on a multiannual management plan for the sustainable exploitation of demersal stocks in the Strait of Sicily (geographical subareas 12 to 16)</w:t>
      </w:r>
      <w:r w:rsidR="000A587A" w:rsidRPr="0084037D">
        <w:rPr>
          <w:rStyle w:val="FootnoteReference"/>
          <w:noProof/>
        </w:rPr>
        <w:footnoteReference w:id="14"/>
      </w:r>
      <w:r w:rsidR="00210011" w:rsidRPr="0084037D">
        <w:rPr>
          <w:noProof/>
        </w:rPr>
        <w:t>, repealing Recommendations GFCM/44/2021/12 and GFCM/42/2018/5.</w:t>
      </w:r>
      <w:r w:rsidR="00C85D6C" w:rsidRPr="0084037D">
        <w:rPr>
          <w:noProof/>
        </w:rPr>
        <w:t xml:space="preserve"> </w:t>
      </w:r>
      <w:r w:rsidR="00210011" w:rsidRPr="0084037D">
        <w:rPr>
          <w:noProof/>
        </w:rPr>
        <w:t xml:space="preserve">Recommendation </w:t>
      </w:r>
      <w:r w:rsidR="00EF3518" w:rsidRPr="0084037D">
        <w:rPr>
          <w:noProof/>
        </w:rPr>
        <w:t>GFCM/45/2022/4</w:t>
      </w:r>
      <w:r w:rsidR="00C85D6C" w:rsidRPr="0084037D">
        <w:rPr>
          <w:noProof/>
        </w:rPr>
        <w:t xml:space="preserve"> </w:t>
      </w:r>
      <w:r w:rsidR="00210011" w:rsidRPr="0084037D">
        <w:rPr>
          <w:noProof/>
        </w:rPr>
        <w:t xml:space="preserve">introduced an effort regime for hake and catch limits for deep-water rose shrimps, as well as a fishing capacity freeze. </w:t>
      </w:r>
      <w:r w:rsidR="00C40C5A" w:rsidRPr="0084037D">
        <w:rPr>
          <w:noProof/>
        </w:rPr>
        <w:t>For 2024, th</w:t>
      </w:r>
      <w:r w:rsidR="00EF3518" w:rsidRPr="0084037D">
        <w:rPr>
          <w:noProof/>
        </w:rPr>
        <w:t>at</w:t>
      </w:r>
      <w:r w:rsidR="00C40C5A" w:rsidRPr="0084037D">
        <w:rPr>
          <w:noProof/>
        </w:rPr>
        <w:t xml:space="preserve"> </w:t>
      </w:r>
      <w:r w:rsidR="007115C5" w:rsidRPr="0084037D">
        <w:rPr>
          <w:noProof/>
        </w:rPr>
        <w:t>R</w:t>
      </w:r>
      <w:r w:rsidR="00C40C5A" w:rsidRPr="0084037D">
        <w:rPr>
          <w:noProof/>
        </w:rPr>
        <w:t xml:space="preserve">ecommendation </w:t>
      </w:r>
      <w:r w:rsidR="0032629B" w:rsidRPr="0084037D">
        <w:rPr>
          <w:noProof/>
        </w:rPr>
        <w:t xml:space="preserve">provides for </w:t>
      </w:r>
      <w:r w:rsidR="00C40C5A" w:rsidRPr="0084037D">
        <w:rPr>
          <w:noProof/>
        </w:rPr>
        <w:t>a reduction of 3</w:t>
      </w:r>
      <w:r w:rsidR="00AE41EB" w:rsidRPr="0084037D">
        <w:rPr>
          <w:noProof/>
        </w:rPr>
        <w:t> </w:t>
      </w:r>
      <w:r w:rsidR="00C40C5A" w:rsidRPr="0084037D">
        <w:rPr>
          <w:noProof/>
        </w:rPr>
        <w:t>% of the catch limits for deep-water rose shrimps</w:t>
      </w:r>
      <w:r w:rsidR="00FC5F63" w:rsidRPr="0084037D">
        <w:rPr>
          <w:noProof/>
        </w:rPr>
        <w:t xml:space="preserve">. </w:t>
      </w:r>
      <w:r w:rsidR="00FC5F63" w:rsidRPr="0084037D" w:rsidDel="000872F8">
        <w:rPr>
          <w:noProof/>
        </w:rPr>
        <w:t xml:space="preserve">In order to </w:t>
      </w:r>
      <w:r w:rsidR="000872F8" w:rsidRPr="0084037D">
        <w:rPr>
          <w:noProof/>
        </w:rPr>
        <w:t xml:space="preserve">implement </w:t>
      </w:r>
      <w:r w:rsidR="00FC5F63" w:rsidRPr="0084037D" w:rsidDel="000872F8">
        <w:rPr>
          <w:noProof/>
        </w:rPr>
        <w:t xml:space="preserve">those </w:t>
      </w:r>
      <w:r w:rsidR="000872F8" w:rsidRPr="0084037D">
        <w:rPr>
          <w:noProof/>
        </w:rPr>
        <w:t>measures</w:t>
      </w:r>
      <w:r w:rsidR="000872F8" w:rsidRPr="0084037D" w:rsidDel="000872F8">
        <w:rPr>
          <w:noProof/>
        </w:rPr>
        <w:t xml:space="preserve"> </w:t>
      </w:r>
      <w:r w:rsidR="00FC5F63" w:rsidRPr="0084037D" w:rsidDel="000872F8">
        <w:rPr>
          <w:noProof/>
        </w:rPr>
        <w:t>in Union law, 3%</w:t>
      </w:r>
      <w:r w:rsidR="00C40C5A" w:rsidRPr="0084037D" w:rsidDel="000872F8">
        <w:rPr>
          <w:noProof/>
        </w:rPr>
        <w:t xml:space="preserve"> </w:t>
      </w:r>
      <w:r w:rsidR="000872F8" w:rsidRPr="0084037D">
        <w:rPr>
          <w:noProof/>
        </w:rPr>
        <w:t xml:space="preserve">should therefore </w:t>
      </w:r>
      <w:r w:rsidR="00BA51C1" w:rsidRPr="0084037D" w:rsidDel="000872F8">
        <w:rPr>
          <w:noProof/>
        </w:rPr>
        <w:t xml:space="preserve">be deducted from the maximum allowable catch limits </w:t>
      </w:r>
      <w:r w:rsidR="00FC5F63" w:rsidRPr="0084037D" w:rsidDel="000872F8">
        <w:rPr>
          <w:noProof/>
        </w:rPr>
        <w:t xml:space="preserve">for deep-water rose shrimp </w:t>
      </w:r>
      <w:r w:rsidR="00BA51C1" w:rsidRPr="0084037D" w:rsidDel="000872F8">
        <w:rPr>
          <w:noProof/>
        </w:rPr>
        <w:t>set for 2023 by Council Regulation (EU) 2023/195</w:t>
      </w:r>
      <w:r w:rsidR="00C40C5A" w:rsidRPr="0084037D" w:rsidDel="000872F8">
        <w:rPr>
          <w:noProof/>
        </w:rPr>
        <w:t>.</w:t>
      </w:r>
    </w:p>
    <w:p w14:paraId="03497BC8" w14:textId="7D0186C1" w:rsidR="008154B4" w:rsidRPr="0084037D" w:rsidRDefault="004700A6" w:rsidP="004700A6">
      <w:pPr>
        <w:pStyle w:val="ManualConsidrant"/>
        <w:rPr>
          <w:noProof/>
        </w:rPr>
      </w:pPr>
      <w:r w:rsidRPr="004700A6">
        <w:t>(19)</w:t>
      </w:r>
      <w:r w:rsidRPr="004700A6">
        <w:tab/>
      </w:r>
      <w:r w:rsidR="00EE0CA5" w:rsidRPr="0084037D">
        <w:rPr>
          <w:noProof/>
        </w:rPr>
        <w:t>At its 45th annual meeting in 2022, the GFCM adopted Recommendation GFCM/45/2022/5 on a multiannual management plan for the sustainable exploitation of giant red shrimp and blue and red shrimp stocks in the Strait of Sicily (geographical subareas 12 to 16)</w:t>
      </w:r>
      <w:r w:rsidR="00FC5F63" w:rsidRPr="0084037D">
        <w:rPr>
          <w:rStyle w:val="FootnoteReference"/>
          <w:noProof/>
        </w:rPr>
        <w:footnoteReference w:id="15"/>
      </w:r>
      <w:r w:rsidR="00EE0CA5" w:rsidRPr="0084037D">
        <w:rPr>
          <w:noProof/>
        </w:rPr>
        <w:t xml:space="preserve">, repealing Recommendations GFCM/44/2021/7 and GFCM/43/2019/6. Recommendation </w:t>
      </w:r>
      <w:r w:rsidR="007115C5" w:rsidRPr="0084037D">
        <w:rPr>
          <w:noProof/>
        </w:rPr>
        <w:t xml:space="preserve">GFCM/45/2022/5 </w:t>
      </w:r>
      <w:r w:rsidR="00EE0CA5" w:rsidRPr="0084037D">
        <w:rPr>
          <w:noProof/>
        </w:rPr>
        <w:t>introduced a catch limit and a fishing capacity freeze.</w:t>
      </w:r>
      <w:r w:rsidR="00EF3518" w:rsidRPr="0084037D">
        <w:rPr>
          <w:noProof/>
        </w:rPr>
        <w:t xml:space="preserve"> </w:t>
      </w:r>
      <w:r w:rsidR="00BA51C1" w:rsidRPr="0084037D">
        <w:rPr>
          <w:noProof/>
        </w:rPr>
        <w:t>For 2024, th</w:t>
      </w:r>
      <w:r w:rsidR="007115C5" w:rsidRPr="0084037D">
        <w:rPr>
          <w:noProof/>
        </w:rPr>
        <w:t>at</w:t>
      </w:r>
      <w:r w:rsidR="00BA51C1" w:rsidRPr="0084037D">
        <w:rPr>
          <w:noProof/>
        </w:rPr>
        <w:t xml:space="preserve"> recommendation </w:t>
      </w:r>
      <w:r w:rsidR="00E23EB0" w:rsidRPr="0084037D">
        <w:rPr>
          <w:noProof/>
        </w:rPr>
        <w:t xml:space="preserve">provides for </w:t>
      </w:r>
      <w:r w:rsidR="00BA51C1" w:rsidRPr="0084037D">
        <w:rPr>
          <w:noProof/>
        </w:rPr>
        <w:t>a reduction of 3</w:t>
      </w:r>
      <w:r w:rsidR="00F065F8" w:rsidRPr="0084037D">
        <w:rPr>
          <w:noProof/>
        </w:rPr>
        <w:t> </w:t>
      </w:r>
      <w:r w:rsidR="00BA51C1" w:rsidRPr="0084037D">
        <w:rPr>
          <w:noProof/>
        </w:rPr>
        <w:t>% of the catch limits for giant red shrimp and blue and red shrimp</w:t>
      </w:r>
      <w:r w:rsidR="00FC5F63" w:rsidRPr="0084037D">
        <w:rPr>
          <w:noProof/>
        </w:rPr>
        <w:t xml:space="preserve">. </w:t>
      </w:r>
      <w:r w:rsidR="00FC5F63" w:rsidRPr="0084037D" w:rsidDel="000872F8">
        <w:rPr>
          <w:noProof/>
        </w:rPr>
        <w:t xml:space="preserve">In order to </w:t>
      </w:r>
      <w:r w:rsidR="000872F8" w:rsidRPr="0084037D">
        <w:rPr>
          <w:noProof/>
        </w:rPr>
        <w:t>implement</w:t>
      </w:r>
      <w:r w:rsidR="00FC5F63" w:rsidRPr="0084037D" w:rsidDel="000872F8">
        <w:rPr>
          <w:noProof/>
        </w:rPr>
        <w:t xml:space="preserve"> those </w:t>
      </w:r>
      <w:r w:rsidR="000872F8" w:rsidRPr="0084037D">
        <w:rPr>
          <w:noProof/>
        </w:rPr>
        <w:t>measures</w:t>
      </w:r>
      <w:r w:rsidR="000872F8" w:rsidRPr="0084037D" w:rsidDel="000872F8">
        <w:rPr>
          <w:noProof/>
        </w:rPr>
        <w:t xml:space="preserve"> </w:t>
      </w:r>
      <w:r w:rsidR="00FC5F63" w:rsidRPr="0084037D" w:rsidDel="000872F8">
        <w:rPr>
          <w:noProof/>
        </w:rPr>
        <w:t xml:space="preserve">in Union law, 3% </w:t>
      </w:r>
      <w:r w:rsidR="000872F8" w:rsidRPr="0084037D">
        <w:rPr>
          <w:noProof/>
        </w:rPr>
        <w:t xml:space="preserve">should therefore </w:t>
      </w:r>
      <w:r w:rsidR="00BA51C1" w:rsidRPr="0084037D" w:rsidDel="000872F8">
        <w:rPr>
          <w:noProof/>
        </w:rPr>
        <w:t xml:space="preserve">be deducted from the maximum allowable catch limits </w:t>
      </w:r>
      <w:r w:rsidR="00FC5F63" w:rsidRPr="0084037D" w:rsidDel="000872F8">
        <w:rPr>
          <w:noProof/>
        </w:rPr>
        <w:t xml:space="preserve">for giant red shrimp and blue and red shrimp </w:t>
      </w:r>
      <w:r w:rsidR="00BA51C1" w:rsidRPr="0084037D" w:rsidDel="000872F8">
        <w:rPr>
          <w:noProof/>
        </w:rPr>
        <w:t>set for 2023 by Council Regulation (EU) 2023/195.</w:t>
      </w:r>
    </w:p>
    <w:p w14:paraId="351E4A6D" w14:textId="2F30C4FA" w:rsidR="008154B4" w:rsidRPr="0084037D" w:rsidRDefault="004700A6" w:rsidP="004700A6">
      <w:pPr>
        <w:pStyle w:val="ManualConsidrant"/>
        <w:rPr>
          <w:noProof/>
        </w:rPr>
      </w:pPr>
      <w:r w:rsidRPr="004700A6">
        <w:t>(20)</w:t>
      </w:r>
      <w:r w:rsidRPr="004700A6">
        <w:tab/>
      </w:r>
      <w:r w:rsidR="00EE0CA5" w:rsidRPr="0084037D">
        <w:rPr>
          <w:noProof/>
        </w:rPr>
        <w:t xml:space="preserve">At its 45th annual meeting in 2022, the GFCM adopted Recommendation </w:t>
      </w:r>
      <w:bookmarkStart w:id="3" w:name="_Hlk139990266"/>
      <w:r w:rsidR="00EE0CA5" w:rsidRPr="0084037D">
        <w:rPr>
          <w:noProof/>
        </w:rPr>
        <w:t>GFCM/45/2022/6</w:t>
      </w:r>
      <w:bookmarkEnd w:id="3"/>
      <w:r w:rsidR="00EE0CA5" w:rsidRPr="0084037D">
        <w:rPr>
          <w:noProof/>
        </w:rPr>
        <w:t xml:space="preserve"> on a multiannual management plan for the sustainable exploitation of giant red shrimp and blue and red shrimp stocks in the Ionian Sea (geographical subareas 19 to 21)</w:t>
      </w:r>
      <w:r w:rsidR="00427962" w:rsidRPr="0084037D">
        <w:rPr>
          <w:rStyle w:val="FootnoteReference"/>
          <w:noProof/>
        </w:rPr>
        <w:footnoteReference w:id="16"/>
      </w:r>
      <w:r w:rsidR="00EE0CA5" w:rsidRPr="0084037D">
        <w:rPr>
          <w:noProof/>
        </w:rPr>
        <w:t xml:space="preserve">, repealing Recommendations GFCM/44/2021/8 and GFCM/42/2018/4. Recommendation </w:t>
      </w:r>
      <w:r w:rsidR="007115C5" w:rsidRPr="0084037D">
        <w:rPr>
          <w:noProof/>
        </w:rPr>
        <w:t xml:space="preserve">GFCM/45/2022/6 </w:t>
      </w:r>
      <w:r w:rsidR="00EE0CA5" w:rsidRPr="0084037D">
        <w:rPr>
          <w:noProof/>
        </w:rPr>
        <w:t xml:space="preserve">introduced a catch limit and a fishing capacity freeze. </w:t>
      </w:r>
      <w:r w:rsidR="00BA51C1" w:rsidRPr="0084037D">
        <w:rPr>
          <w:noProof/>
        </w:rPr>
        <w:t>For 2024, th</w:t>
      </w:r>
      <w:r w:rsidR="007115C5" w:rsidRPr="0084037D">
        <w:rPr>
          <w:noProof/>
        </w:rPr>
        <w:t>at</w:t>
      </w:r>
      <w:r w:rsidR="00BA51C1" w:rsidRPr="0084037D">
        <w:rPr>
          <w:noProof/>
        </w:rPr>
        <w:t xml:space="preserve"> </w:t>
      </w:r>
      <w:r w:rsidR="007115C5" w:rsidRPr="0084037D">
        <w:rPr>
          <w:noProof/>
        </w:rPr>
        <w:t>R</w:t>
      </w:r>
      <w:r w:rsidR="00BA51C1" w:rsidRPr="0084037D">
        <w:rPr>
          <w:noProof/>
        </w:rPr>
        <w:t xml:space="preserve">ecommendation </w:t>
      </w:r>
      <w:r w:rsidR="00E23EB0" w:rsidRPr="0084037D">
        <w:rPr>
          <w:noProof/>
        </w:rPr>
        <w:t xml:space="preserve">provides for </w:t>
      </w:r>
      <w:r w:rsidR="00BA51C1" w:rsidRPr="0084037D">
        <w:rPr>
          <w:noProof/>
        </w:rPr>
        <w:t>a reduction of 3</w:t>
      </w:r>
      <w:r w:rsidR="00F065F8" w:rsidRPr="0084037D">
        <w:rPr>
          <w:noProof/>
        </w:rPr>
        <w:t> </w:t>
      </w:r>
      <w:r w:rsidR="00BA51C1" w:rsidRPr="0084037D">
        <w:rPr>
          <w:noProof/>
        </w:rPr>
        <w:t xml:space="preserve">% of the catch limits for </w:t>
      </w:r>
      <w:bookmarkStart w:id="4" w:name="_Hlk141362640"/>
      <w:r w:rsidR="00BA51C1" w:rsidRPr="0084037D">
        <w:rPr>
          <w:noProof/>
        </w:rPr>
        <w:t>giant red shrimp and blue and red shrimp</w:t>
      </w:r>
      <w:bookmarkEnd w:id="4"/>
      <w:r w:rsidR="00427962" w:rsidRPr="0084037D">
        <w:rPr>
          <w:noProof/>
        </w:rPr>
        <w:t xml:space="preserve">. In order to </w:t>
      </w:r>
      <w:r w:rsidR="000872F8" w:rsidRPr="0084037D">
        <w:rPr>
          <w:noProof/>
        </w:rPr>
        <w:t>implement</w:t>
      </w:r>
      <w:r w:rsidR="00427962" w:rsidRPr="0084037D">
        <w:rPr>
          <w:noProof/>
        </w:rPr>
        <w:t xml:space="preserve"> those </w:t>
      </w:r>
      <w:r w:rsidR="000872F8" w:rsidRPr="0084037D">
        <w:rPr>
          <w:noProof/>
        </w:rPr>
        <w:t xml:space="preserve">measures </w:t>
      </w:r>
      <w:r w:rsidR="00427962" w:rsidRPr="0084037D">
        <w:rPr>
          <w:noProof/>
        </w:rPr>
        <w:t xml:space="preserve">in Union law, 3% </w:t>
      </w:r>
      <w:r w:rsidR="000872F8" w:rsidRPr="0084037D">
        <w:rPr>
          <w:noProof/>
        </w:rPr>
        <w:t xml:space="preserve">should therefore </w:t>
      </w:r>
      <w:r w:rsidR="00BA51C1" w:rsidRPr="0084037D">
        <w:rPr>
          <w:noProof/>
        </w:rPr>
        <w:t xml:space="preserve">be deducted from the </w:t>
      </w:r>
      <w:r w:rsidR="00BA51C1" w:rsidRPr="0084037D">
        <w:rPr>
          <w:noProof/>
        </w:rPr>
        <w:lastRenderedPageBreak/>
        <w:t xml:space="preserve">maximum allowable catch limits </w:t>
      </w:r>
      <w:r w:rsidR="00427962" w:rsidRPr="0084037D">
        <w:rPr>
          <w:noProof/>
        </w:rPr>
        <w:t xml:space="preserve">for giant red shrimp and blue and red shrimp </w:t>
      </w:r>
      <w:r w:rsidR="00BA51C1" w:rsidRPr="0084037D">
        <w:rPr>
          <w:noProof/>
        </w:rPr>
        <w:t>set for 2023 by Council Regulation (EU) 2023/195.</w:t>
      </w:r>
    </w:p>
    <w:p w14:paraId="6619F5DD" w14:textId="79683E73" w:rsidR="008154B4" w:rsidRPr="0084037D" w:rsidRDefault="004700A6" w:rsidP="004700A6">
      <w:pPr>
        <w:pStyle w:val="ManualConsidrant"/>
        <w:rPr>
          <w:noProof/>
        </w:rPr>
      </w:pPr>
      <w:r w:rsidRPr="004700A6">
        <w:t>(21)</w:t>
      </w:r>
      <w:r w:rsidRPr="004700A6">
        <w:tab/>
      </w:r>
      <w:r w:rsidR="00EE0CA5" w:rsidRPr="0084037D">
        <w:rPr>
          <w:noProof/>
        </w:rPr>
        <w:t>At its 45th annual meeting in 2022, the GFCM adopted Recommendation GFCM/45/2022/7 on a multiannual management plan for the sustainable exploitation of giant red shrimp and blue and red shrimp stocks in the Levant Sea (geographical subareas 24 to 27)</w:t>
      </w:r>
      <w:r w:rsidR="00691069" w:rsidRPr="0084037D">
        <w:rPr>
          <w:rStyle w:val="FootnoteReference"/>
          <w:noProof/>
        </w:rPr>
        <w:footnoteReference w:id="17"/>
      </w:r>
      <w:r w:rsidR="00EE0CA5" w:rsidRPr="0084037D">
        <w:rPr>
          <w:noProof/>
        </w:rPr>
        <w:t>, repealing Recommendations GFCM/44/2021/8 and GFCM/42/2018/4.</w:t>
      </w:r>
      <w:r w:rsidR="00032875" w:rsidRPr="0084037D">
        <w:rPr>
          <w:noProof/>
        </w:rPr>
        <w:t xml:space="preserve"> </w:t>
      </w:r>
      <w:r w:rsidR="00EE0CA5" w:rsidRPr="0084037D">
        <w:rPr>
          <w:noProof/>
        </w:rPr>
        <w:t xml:space="preserve">Recommendation </w:t>
      </w:r>
      <w:r w:rsidR="00187BD9" w:rsidRPr="0084037D">
        <w:rPr>
          <w:noProof/>
        </w:rPr>
        <w:t xml:space="preserve">GFCM/45/2022/7 </w:t>
      </w:r>
      <w:r w:rsidR="00EE0CA5" w:rsidRPr="0084037D">
        <w:rPr>
          <w:noProof/>
        </w:rPr>
        <w:t xml:space="preserve">introduced a catch limit and a fishing capacity freeze. </w:t>
      </w:r>
      <w:r w:rsidR="00BA51C1" w:rsidRPr="0084037D">
        <w:rPr>
          <w:noProof/>
        </w:rPr>
        <w:t>For 2024, th</w:t>
      </w:r>
      <w:r w:rsidR="009B729F" w:rsidRPr="0084037D">
        <w:rPr>
          <w:noProof/>
        </w:rPr>
        <w:t>at</w:t>
      </w:r>
      <w:r w:rsidR="00BA51C1" w:rsidRPr="0084037D">
        <w:rPr>
          <w:noProof/>
        </w:rPr>
        <w:t xml:space="preserve"> </w:t>
      </w:r>
      <w:r w:rsidR="009B729F" w:rsidRPr="0084037D">
        <w:rPr>
          <w:noProof/>
        </w:rPr>
        <w:t>R</w:t>
      </w:r>
      <w:r w:rsidR="00BA51C1" w:rsidRPr="0084037D">
        <w:rPr>
          <w:noProof/>
        </w:rPr>
        <w:t xml:space="preserve">ecommendation </w:t>
      </w:r>
      <w:r w:rsidR="00E23EB0" w:rsidRPr="0084037D">
        <w:rPr>
          <w:noProof/>
        </w:rPr>
        <w:t xml:space="preserve">provides for </w:t>
      </w:r>
      <w:r w:rsidR="00BA51C1" w:rsidRPr="0084037D">
        <w:rPr>
          <w:noProof/>
        </w:rPr>
        <w:t>a reduction of 3% of the catch limits for giant red shrimp and blue and red shrimp</w:t>
      </w:r>
      <w:r w:rsidR="00691069" w:rsidRPr="0084037D">
        <w:rPr>
          <w:noProof/>
        </w:rPr>
        <w:t xml:space="preserve">. </w:t>
      </w:r>
      <w:r w:rsidR="00342F8D" w:rsidRPr="0084037D">
        <w:rPr>
          <w:noProof/>
        </w:rPr>
        <w:t xml:space="preserve">In order to </w:t>
      </w:r>
      <w:r w:rsidR="000872F8" w:rsidRPr="0084037D">
        <w:rPr>
          <w:noProof/>
        </w:rPr>
        <w:t xml:space="preserve">implement those measures </w:t>
      </w:r>
      <w:r w:rsidR="00342F8D" w:rsidRPr="0084037D">
        <w:rPr>
          <w:noProof/>
        </w:rPr>
        <w:t xml:space="preserve">in Union law, 3% </w:t>
      </w:r>
      <w:r w:rsidR="000872F8" w:rsidRPr="0084037D">
        <w:rPr>
          <w:noProof/>
        </w:rPr>
        <w:t>should therefore</w:t>
      </w:r>
      <w:r w:rsidR="00BA51C1" w:rsidRPr="0084037D">
        <w:rPr>
          <w:noProof/>
        </w:rPr>
        <w:t xml:space="preserve"> be deducted from the maximum allowable catch limits set </w:t>
      </w:r>
      <w:r w:rsidR="00342F8D" w:rsidRPr="0084037D">
        <w:rPr>
          <w:noProof/>
        </w:rPr>
        <w:t xml:space="preserve">for giant red shrimp and blue and red shrimp </w:t>
      </w:r>
      <w:r w:rsidR="00BA51C1" w:rsidRPr="0084037D">
        <w:rPr>
          <w:noProof/>
        </w:rPr>
        <w:t xml:space="preserve">for 2023 by Council Regulation (EU) 2023/195. </w:t>
      </w:r>
    </w:p>
    <w:p w14:paraId="0CFA0DF5" w14:textId="7FB90E58" w:rsidR="002F044E" w:rsidRPr="0084037D" w:rsidRDefault="004700A6" w:rsidP="004700A6">
      <w:pPr>
        <w:pStyle w:val="ManualConsidrant"/>
        <w:rPr>
          <w:noProof/>
        </w:rPr>
      </w:pPr>
      <w:r w:rsidRPr="004700A6">
        <w:t>(22)</w:t>
      </w:r>
      <w:r w:rsidRPr="004700A6">
        <w:tab/>
      </w:r>
      <w:r w:rsidR="00EE0CA5" w:rsidRPr="0084037D">
        <w:rPr>
          <w:noProof/>
        </w:rPr>
        <w:t>At its 45th annual meeting in 2022, the GFCM adopted Recommendation GFCM/45/2022/3 on a multiannual management plan for the sustainable exploitation of blackspot seabream in the Alboran Sea (geographical subareas 1 to 3)</w:t>
      </w:r>
      <w:r w:rsidR="00342F8D" w:rsidRPr="0084037D">
        <w:rPr>
          <w:rStyle w:val="FootnoteReference"/>
          <w:noProof/>
        </w:rPr>
        <w:footnoteReference w:id="18"/>
      </w:r>
      <w:r w:rsidR="00EE0CA5" w:rsidRPr="0084037D">
        <w:rPr>
          <w:noProof/>
        </w:rPr>
        <w:t xml:space="preserve">, repealing Recommendations GFCM/44/2021/4, GFCM/43/2019/2 and GFCM/41/2017/2. Recommendation </w:t>
      </w:r>
      <w:r w:rsidR="00D278FF" w:rsidRPr="0084037D">
        <w:rPr>
          <w:noProof/>
        </w:rPr>
        <w:t xml:space="preserve">GFCM/45/2022/3 </w:t>
      </w:r>
      <w:r w:rsidR="00EE0CA5" w:rsidRPr="0084037D">
        <w:rPr>
          <w:noProof/>
        </w:rPr>
        <w:t xml:space="preserve">introduced maximum levels of catches for 2023, 2024 and 2025, a maximum number of longlines and handlines authorised and new measures for recreational fisheries. </w:t>
      </w:r>
      <w:r w:rsidR="00EF4CEF" w:rsidRPr="0084037D">
        <w:rPr>
          <w:noProof/>
        </w:rPr>
        <w:t>In order to implement those measures in</w:t>
      </w:r>
      <w:r w:rsidR="00E15109" w:rsidRPr="0084037D">
        <w:rPr>
          <w:noProof/>
        </w:rPr>
        <w:t xml:space="preserve"> Union law, 7% </w:t>
      </w:r>
      <w:r w:rsidR="000872F8" w:rsidRPr="0084037D">
        <w:rPr>
          <w:noProof/>
        </w:rPr>
        <w:t>should</w:t>
      </w:r>
      <w:r w:rsidR="00E15109" w:rsidRPr="0084037D">
        <w:rPr>
          <w:noProof/>
        </w:rPr>
        <w:t xml:space="preserve"> </w:t>
      </w:r>
      <w:r w:rsidR="000872F8" w:rsidRPr="0084037D">
        <w:rPr>
          <w:noProof/>
        </w:rPr>
        <w:t xml:space="preserve">therefore </w:t>
      </w:r>
      <w:r w:rsidR="00E15109" w:rsidRPr="0084037D">
        <w:rPr>
          <w:noProof/>
        </w:rPr>
        <w:t>be deducted from the maximum allowable catch limits set for blackspot seabream for 2023 by Council Regulation (EU) 2023/195.</w:t>
      </w:r>
    </w:p>
    <w:p w14:paraId="6FF62E57" w14:textId="21602004" w:rsidR="00D855EA" w:rsidRPr="0084037D" w:rsidRDefault="004700A6" w:rsidP="004700A6">
      <w:pPr>
        <w:pStyle w:val="ManualConsidrant"/>
        <w:rPr>
          <w:rStyle w:val="CommentReference"/>
          <w:noProof/>
          <w:sz w:val="24"/>
          <w:szCs w:val="22"/>
        </w:rPr>
      </w:pPr>
      <w:r w:rsidRPr="004700A6">
        <w:rPr>
          <w:rStyle w:val="CommentReference"/>
        </w:rPr>
        <w:t>(23)</w:t>
      </w:r>
      <w:r w:rsidRPr="004700A6">
        <w:rPr>
          <w:rStyle w:val="CommentReference"/>
        </w:rPr>
        <w:tab/>
      </w:r>
      <w:r w:rsidR="00F603EC" w:rsidRPr="0084037D">
        <w:rPr>
          <w:noProof/>
        </w:rPr>
        <w:t>At its 43rd annual meeting in 2019, the GFCM adopted Recommendation GFCM/43/2019/3</w:t>
      </w:r>
      <w:r w:rsidR="00744246" w:rsidRPr="0084037D">
        <w:rPr>
          <w:rStyle w:val="FootnoteReference"/>
          <w:noProof/>
        </w:rPr>
        <w:footnoteReference w:id="19"/>
      </w:r>
      <w:r w:rsidR="00F603EC" w:rsidRPr="0084037D">
        <w:rPr>
          <w:noProof/>
        </w:rPr>
        <w:t xml:space="preserve"> amending Recommendation GFCM/41/2017/4 on a multiannual management plan for turbot fisheries in the Black Sea (GFCM geographical subarea 29). </w:t>
      </w:r>
      <w:r w:rsidR="00E448E2" w:rsidRPr="0084037D">
        <w:rPr>
          <w:noProof/>
        </w:rPr>
        <w:t>R</w:t>
      </w:r>
      <w:r w:rsidR="00F603EC" w:rsidRPr="0084037D">
        <w:rPr>
          <w:noProof/>
        </w:rPr>
        <w:t xml:space="preserve">ecommendation </w:t>
      </w:r>
      <w:r w:rsidR="00E448E2" w:rsidRPr="0084037D">
        <w:rPr>
          <w:noProof/>
        </w:rPr>
        <w:t xml:space="preserve">GFCM/43/2019/3 </w:t>
      </w:r>
      <w:r w:rsidR="00F603EC" w:rsidRPr="0084037D">
        <w:rPr>
          <w:noProof/>
        </w:rPr>
        <w:t xml:space="preserve">introduced </w:t>
      </w:r>
      <w:r w:rsidR="000872F8" w:rsidRPr="0084037D">
        <w:rPr>
          <w:noProof/>
        </w:rPr>
        <w:t>from 2020 to 202</w:t>
      </w:r>
      <w:r w:rsidR="00B27303" w:rsidRPr="0084037D">
        <w:rPr>
          <w:noProof/>
        </w:rPr>
        <w:t>4</w:t>
      </w:r>
      <w:r w:rsidR="000872F8" w:rsidRPr="0084037D">
        <w:rPr>
          <w:noProof/>
        </w:rPr>
        <w:t xml:space="preserve"> </w:t>
      </w:r>
      <w:r w:rsidR="00F603EC" w:rsidRPr="0084037D">
        <w:rPr>
          <w:noProof/>
        </w:rPr>
        <w:t xml:space="preserve">an updated regional </w:t>
      </w:r>
      <w:r w:rsidR="00436A77" w:rsidRPr="0084037D">
        <w:rPr>
          <w:noProof/>
        </w:rPr>
        <w:t>TAC</w:t>
      </w:r>
      <w:r w:rsidR="00F603EC" w:rsidRPr="0084037D">
        <w:rPr>
          <w:noProof/>
        </w:rPr>
        <w:t xml:space="preserve"> and a quota allocation scheme for turbot, as well as further conservation measures, in particular a two</w:t>
      </w:r>
      <w:r w:rsidR="000F1D8D" w:rsidRPr="0084037D">
        <w:rPr>
          <w:noProof/>
        </w:rPr>
        <w:t>-</w:t>
      </w:r>
      <w:r w:rsidR="00F603EC" w:rsidRPr="0084037D">
        <w:rPr>
          <w:noProof/>
        </w:rPr>
        <w:t xml:space="preserve">month closure period and a limitation of fishing days to 180 days per year. </w:t>
      </w:r>
      <w:r w:rsidR="000F1D8D" w:rsidRPr="0084037D">
        <w:rPr>
          <w:noProof/>
        </w:rPr>
        <w:t>In accordance with Recommendation GFCM/43/2019/3, t</w:t>
      </w:r>
      <w:r w:rsidR="00F603EC" w:rsidRPr="0084037D">
        <w:rPr>
          <w:noProof/>
        </w:rPr>
        <w:t xml:space="preserve">hese </w:t>
      </w:r>
      <w:r w:rsidR="007C06E0" w:rsidRPr="0084037D">
        <w:rPr>
          <w:noProof/>
        </w:rPr>
        <w:t xml:space="preserve">further </w:t>
      </w:r>
      <w:r w:rsidR="00115C2D" w:rsidRPr="0084037D">
        <w:rPr>
          <w:noProof/>
        </w:rPr>
        <w:t xml:space="preserve">conservation measures </w:t>
      </w:r>
      <w:r w:rsidR="00F603EC" w:rsidRPr="0084037D">
        <w:rPr>
          <w:noProof/>
        </w:rPr>
        <w:t xml:space="preserve">are functionally linked to the fishing opportunities, as, without those measures in place, TAC level for turbot </w:t>
      </w:r>
      <w:r w:rsidR="000F1D8D" w:rsidRPr="0084037D">
        <w:rPr>
          <w:noProof/>
        </w:rPr>
        <w:t>would have to</w:t>
      </w:r>
      <w:r w:rsidR="00F603EC" w:rsidRPr="0084037D">
        <w:rPr>
          <w:noProof/>
        </w:rPr>
        <w:t xml:space="preserve"> be reduced to ensure its recovery. Those measures </w:t>
      </w:r>
      <w:r w:rsidR="000872F8" w:rsidRPr="0084037D">
        <w:rPr>
          <w:noProof/>
        </w:rPr>
        <w:t xml:space="preserve">should therefore </w:t>
      </w:r>
      <w:r w:rsidR="00F603EC" w:rsidRPr="0084037D">
        <w:rPr>
          <w:noProof/>
        </w:rPr>
        <w:t>be implemented in Union law</w:t>
      </w:r>
      <w:r w:rsidR="000872F8" w:rsidRPr="0084037D">
        <w:rPr>
          <w:noProof/>
        </w:rPr>
        <w:t>.</w:t>
      </w:r>
    </w:p>
    <w:p w14:paraId="525CC49A" w14:textId="7AB58945" w:rsidR="00F603EC" w:rsidRPr="0084037D" w:rsidRDefault="004700A6" w:rsidP="004700A6">
      <w:pPr>
        <w:pStyle w:val="ManualConsidrant"/>
        <w:rPr>
          <w:noProof/>
        </w:rPr>
      </w:pPr>
      <w:r w:rsidRPr="004700A6">
        <w:t>(24)</w:t>
      </w:r>
      <w:r w:rsidRPr="004700A6">
        <w:tab/>
      </w:r>
      <w:r w:rsidR="00F603EC" w:rsidRPr="0084037D">
        <w:rPr>
          <w:noProof/>
        </w:rPr>
        <w:t>[placeholder roll-over decision</w:t>
      </w:r>
      <w:r w:rsidR="00D855EA" w:rsidRPr="0084037D">
        <w:rPr>
          <w:noProof/>
        </w:rPr>
        <w:t xml:space="preserve"> turbot quota</w:t>
      </w:r>
      <w:r w:rsidR="00347CE7" w:rsidRPr="0084037D">
        <w:rPr>
          <w:noProof/>
        </w:rPr>
        <w:t xml:space="preserve"> from GFCM 46</w:t>
      </w:r>
      <w:r w:rsidR="00347CE7" w:rsidRPr="0084037D">
        <w:rPr>
          <w:noProof/>
          <w:vertAlign w:val="superscript"/>
        </w:rPr>
        <w:t>th</w:t>
      </w:r>
      <w:r w:rsidR="00347CE7" w:rsidRPr="0084037D">
        <w:rPr>
          <w:noProof/>
        </w:rPr>
        <w:t xml:space="preserve"> annual session</w:t>
      </w:r>
      <w:r w:rsidR="00F603EC" w:rsidRPr="0084037D">
        <w:rPr>
          <w:noProof/>
        </w:rPr>
        <w:t>]</w:t>
      </w:r>
    </w:p>
    <w:p w14:paraId="4BEF31AB" w14:textId="307E5CA9" w:rsidR="00D855EA" w:rsidRPr="0084037D" w:rsidRDefault="004700A6" w:rsidP="004700A6">
      <w:pPr>
        <w:pStyle w:val="ManualConsidrant"/>
        <w:rPr>
          <w:noProof/>
        </w:rPr>
      </w:pPr>
      <w:r w:rsidRPr="004700A6">
        <w:t>(25)</w:t>
      </w:r>
      <w:r w:rsidRPr="004700A6">
        <w:tab/>
      </w:r>
      <w:r w:rsidR="00D855EA" w:rsidRPr="0084037D">
        <w:rPr>
          <w:noProof/>
        </w:rPr>
        <w:t>[placeholder carry over decision turbot quota</w:t>
      </w:r>
      <w:r w:rsidR="00347CE7" w:rsidRPr="0084037D">
        <w:rPr>
          <w:noProof/>
        </w:rPr>
        <w:t xml:space="preserve"> from GFCM 46</w:t>
      </w:r>
      <w:r w:rsidR="00347CE7" w:rsidRPr="0084037D">
        <w:rPr>
          <w:noProof/>
          <w:vertAlign w:val="superscript"/>
        </w:rPr>
        <w:t>th</w:t>
      </w:r>
      <w:r w:rsidR="00347CE7" w:rsidRPr="0084037D">
        <w:rPr>
          <w:noProof/>
        </w:rPr>
        <w:t xml:space="preserve"> annual session </w:t>
      </w:r>
      <w:r w:rsidR="00D855EA" w:rsidRPr="0084037D">
        <w:rPr>
          <w:noProof/>
        </w:rPr>
        <w:t>]</w:t>
      </w:r>
    </w:p>
    <w:p w14:paraId="32515247" w14:textId="4B199BE4" w:rsidR="008154B4" w:rsidRPr="0084037D" w:rsidRDefault="004700A6" w:rsidP="004700A6">
      <w:pPr>
        <w:pStyle w:val="ManualConsidrant"/>
        <w:rPr>
          <w:noProof/>
        </w:rPr>
      </w:pPr>
      <w:r w:rsidRPr="004700A6">
        <w:t>(26)</w:t>
      </w:r>
      <w:r w:rsidRPr="004700A6">
        <w:tab/>
      </w:r>
      <w:r w:rsidR="003F7858" w:rsidRPr="0084037D">
        <w:rPr>
          <w:noProof/>
        </w:rPr>
        <w:t xml:space="preserve">Based on </w:t>
      </w:r>
      <w:r w:rsidR="00F603EC" w:rsidRPr="0084037D">
        <w:rPr>
          <w:noProof/>
        </w:rPr>
        <w:t>the scientific advice provided by the GFCM</w:t>
      </w:r>
      <w:r w:rsidR="003F7858" w:rsidRPr="0084037D">
        <w:rPr>
          <w:noProof/>
        </w:rPr>
        <w:t xml:space="preserve"> </w:t>
      </w:r>
      <w:r w:rsidR="0032564A" w:rsidRPr="0084037D">
        <w:rPr>
          <w:noProof/>
        </w:rPr>
        <w:t>W</w:t>
      </w:r>
      <w:r w:rsidR="00D10AEC" w:rsidRPr="0084037D">
        <w:rPr>
          <w:noProof/>
        </w:rPr>
        <w:t xml:space="preserve">orking </w:t>
      </w:r>
      <w:r w:rsidR="0032564A" w:rsidRPr="0084037D">
        <w:rPr>
          <w:noProof/>
        </w:rPr>
        <w:t>G</w:t>
      </w:r>
      <w:r w:rsidR="00D10AEC" w:rsidRPr="0084037D">
        <w:rPr>
          <w:noProof/>
        </w:rPr>
        <w:t>roup f</w:t>
      </w:r>
      <w:r w:rsidR="009B4B5A">
        <w:rPr>
          <w:noProof/>
        </w:rPr>
        <w:t>or</w:t>
      </w:r>
      <w:r w:rsidR="00D10AEC" w:rsidRPr="0084037D">
        <w:rPr>
          <w:noProof/>
        </w:rPr>
        <w:t xml:space="preserve"> the </w:t>
      </w:r>
      <w:r w:rsidR="0032564A" w:rsidRPr="0084037D">
        <w:rPr>
          <w:noProof/>
        </w:rPr>
        <w:t>B</w:t>
      </w:r>
      <w:r w:rsidR="00D10AEC" w:rsidRPr="0084037D">
        <w:rPr>
          <w:noProof/>
        </w:rPr>
        <w:t>lack Sea</w:t>
      </w:r>
      <w:r w:rsidR="00F603EC" w:rsidRPr="0084037D">
        <w:rPr>
          <w:noProof/>
        </w:rPr>
        <w:t>,</w:t>
      </w:r>
      <w:r w:rsidR="00923FD2" w:rsidRPr="0084037D">
        <w:rPr>
          <w:noProof/>
        </w:rPr>
        <w:t xml:space="preserve"> </w:t>
      </w:r>
      <w:r w:rsidR="00F603EC" w:rsidRPr="0084037D">
        <w:rPr>
          <w:noProof/>
        </w:rPr>
        <w:t xml:space="preserve">the current level of fishing mortality </w:t>
      </w:r>
      <w:r w:rsidR="00D668EF" w:rsidRPr="0084037D">
        <w:rPr>
          <w:noProof/>
        </w:rPr>
        <w:t xml:space="preserve">of sprat </w:t>
      </w:r>
      <w:r w:rsidR="00D10AEC" w:rsidRPr="0084037D">
        <w:rPr>
          <w:noProof/>
        </w:rPr>
        <w:t xml:space="preserve">should be maintained </w:t>
      </w:r>
      <w:r w:rsidR="00F603EC" w:rsidRPr="0084037D">
        <w:rPr>
          <w:noProof/>
        </w:rPr>
        <w:t xml:space="preserve">to ensure the sustainability of </w:t>
      </w:r>
      <w:r w:rsidR="00D668EF" w:rsidRPr="0084037D">
        <w:rPr>
          <w:noProof/>
        </w:rPr>
        <w:t xml:space="preserve">sprat </w:t>
      </w:r>
      <w:r w:rsidR="00F603EC" w:rsidRPr="0084037D">
        <w:rPr>
          <w:noProof/>
        </w:rPr>
        <w:t>stock</w:t>
      </w:r>
      <w:r w:rsidR="00D668EF" w:rsidRPr="0084037D">
        <w:rPr>
          <w:noProof/>
        </w:rPr>
        <w:t>s</w:t>
      </w:r>
      <w:r w:rsidR="00F603EC" w:rsidRPr="0084037D">
        <w:rPr>
          <w:noProof/>
        </w:rPr>
        <w:t xml:space="preserve"> in the Black Sea. It is therefore appropriate to continue setting an autonomous quota for </w:t>
      </w:r>
      <w:r w:rsidR="00940B86" w:rsidRPr="0084037D">
        <w:rPr>
          <w:noProof/>
        </w:rPr>
        <w:t>those</w:t>
      </w:r>
      <w:r w:rsidR="00F603EC" w:rsidRPr="0084037D">
        <w:rPr>
          <w:noProof/>
        </w:rPr>
        <w:t xml:space="preserve"> stock</w:t>
      </w:r>
      <w:r w:rsidR="00940B86" w:rsidRPr="0084037D">
        <w:rPr>
          <w:noProof/>
        </w:rPr>
        <w:t>s</w:t>
      </w:r>
      <w:r w:rsidR="00F603EC" w:rsidRPr="0084037D">
        <w:rPr>
          <w:noProof/>
        </w:rPr>
        <w:t xml:space="preserve">. </w:t>
      </w:r>
    </w:p>
    <w:p w14:paraId="74CE2982" w14:textId="72589358" w:rsidR="00F603EC" w:rsidRPr="0084037D" w:rsidRDefault="004700A6" w:rsidP="004700A6">
      <w:pPr>
        <w:pStyle w:val="ManualConsidrant"/>
        <w:rPr>
          <w:noProof/>
        </w:rPr>
      </w:pPr>
      <w:r w:rsidRPr="004700A6">
        <w:t>(27)</w:t>
      </w:r>
      <w:r w:rsidRPr="004700A6">
        <w:tab/>
      </w:r>
      <w:r w:rsidR="00F603EC" w:rsidRPr="0084037D">
        <w:rPr>
          <w:noProof/>
        </w:rPr>
        <w:t>The use of fishing opportunities available to Union fishing vessels set out in this Regulation is subject to Council Regulation (EC) No 1224/2009</w:t>
      </w:r>
      <w:r w:rsidR="00F603EC" w:rsidRPr="0084037D">
        <w:rPr>
          <w:rStyle w:val="FootnoteReference"/>
          <w:noProof/>
        </w:rPr>
        <w:footnoteReference w:id="20"/>
      </w:r>
      <w:r w:rsidR="00F603EC" w:rsidRPr="0084037D">
        <w:rPr>
          <w:noProof/>
        </w:rPr>
        <w:t xml:space="preserve">, and in particular to </w:t>
      </w:r>
      <w:r w:rsidR="00F603EC" w:rsidRPr="0084037D">
        <w:rPr>
          <w:noProof/>
        </w:rPr>
        <w:lastRenderedPageBreak/>
        <w:t>Articles 33 and 34 of that Regulation concerning the recording of catches and fishing effort and the notification of data on the exhaustion of fishing opportunities. It is therefore necessary to specify the codes to be used by Member States when sending data to the Commission relating to landings of stocks subject to this Regulation.</w:t>
      </w:r>
    </w:p>
    <w:p w14:paraId="241B5784" w14:textId="3C0DA3FA" w:rsidR="00B76224" w:rsidRPr="0084037D" w:rsidRDefault="004700A6" w:rsidP="004700A6">
      <w:pPr>
        <w:pStyle w:val="ManualConsidrant"/>
        <w:rPr>
          <w:noProof/>
        </w:rPr>
      </w:pPr>
      <w:r w:rsidRPr="004700A6">
        <w:t>(28)</w:t>
      </w:r>
      <w:r w:rsidRPr="004700A6">
        <w:tab/>
      </w:r>
      <w:r w:rsidR="00E23EB0" w:rsidRPr="0084037D">
        <w:rPr>
          <w:noProof/>
        </w:rPr>
        <w:t>In order to promote the use of selectivity of gears and to establish efficient closure areas to protect juveniles and spawners, Regulation (EU) 2022/110 established a compensation mechanism in relation to the effort regime for trawl</w:t>
      </w:r>
      <w:r w:rsidR="00AF2A84" w:rsidRPr="0084037D">
        <w:rPr>
          <w:noProof/>
        </w:rPr>
        <w:t>s</w:t>
      </w:r>
      <w:r w:rsidR="00E23EB0" w:rsidRPr="0084037D">
        <w:rPr>
          <w:i/>
          <w:iCs/>
          <w:noProof/>
        </w:rPr>
        <w:t xml:space="preserve">. </w:t>
      </w:r>
      <w:r w:rsidR="00E23EB0" w:rsidRPr="0084037D">
        <w:rPr>
          <w:noProof/>
        </w:rPr>
        <w:t xml:space="preserve">As </w:t>
      </w:r>
      <w:r w:rsidR="0097237F" w:rsidRPr="0084037D">
        <w:rPr>
          <w:noProof/>
        </w:rPr>
        <w:t xml:space="preserve">STECF </w:t>
      </w:r>
      <w:r w:rsidR="00E23EB0" w:rsidRPr="0084037D">
        <w:rPr>
          <w:noProof/>
        </w:rPr>
        <w:t xml:space="preserve">continues to recommend </w:t>
      </w:r>
      <w:r w:rsidR="000872F8" w:rsidRPr="0084037D">
        <w:rPr>
          <w:noProof/>
        </w:rPr>
        <w:t xml:space="preserve">in 2024 </w:t>
      </w:r>
      <w:r w:rsidR="00E23EB0" w:rsidRPr="0084037D">
        <w:rPr>
          <w:noProof/>
        </w:rPr>
        <w:t xml:space="preserve">the further improvement of selectivity and of efficient closure areas to protect juvenile fish, it is </w:t>
      </w:r>
      <w:r w:rsidR="000872F8" w:rsidRPr="0084037D">
        <w:rPr>
          <w:noProof/>
        </w:rPr>
        <w:t xml:space="preserve">appropriate </w:t>
      </w:r>
      <w:r w:rsidR="00E23EB0" w:rsidRPr="0084037D">
        <w:rPr>
          <w:noProof/>
        </w:rPr>
        <w:t xml:space="preserve">to allocate </w:t>
      </w:r>
      <w:r w:rsidR="00E23EB0" w:rsidRPr="0084037D">
        <w:rPr>
          <w:i/>
          <w:noProof/>
        </w:rPr>
        <w:t>pm</w:t>
      </w:r>
      <w:r w:rsidR="00940B86" w:rsidRPr="0084037D">
        <w:rPr>
          <w:i/>
          <w:noProof/>
        </w:rPr>
        <w:t xml:space="preserve"> </w:t>
      </w:r>
      <w:r w:rsidR="00E23EB0" w:rsidRPr="0084037D">
        <w:rPr>
          <w:iCs/>
          <w:noProof/>
        </w:rPr>
        <w:t>%</w:t>
      </w:r>
      <w:r w:rsidR="00E23EB0" w:rsidRPr="0084037D">
        <w:rPr>
          <w:noProof/>
        </w:rPr>
        <w:t xml:space="preserve"> of fishing days.</w:t>
      </w:r>
    </w:p>
    <w:p w14:paraId="47F91D06" w14:textId="2C6F11E1" w:rsidR="00E25659" w:rsidRPr="0084037D" w:rsidRDefault="004700A6" w:rsidP="004700A6">
      <w:pPr>
        <w:pStyle w:val="ManualConsidrant"/>
        <w:rPr>
          <w:noProof/>
        </w:rPr>
      </w:pPr>
      <w:r w:rsidRPr="004700A6">
        <w:t>(29)</w:t>
      </w:r>
      <w:r w:rsidRPr="004700A6">
        <w:tab/>
      </w:r>
      <w:r w:rsidR="00E25659" w:rsidRPr="0084037D">
        <w:rPr>
          <w:noProof/>
          <w:bdr w:val="none" w:sz="0" w:space="0" w:color="auto" w:frame="1"/>
          <w:shd w:val="clear" w:color="auto" w:fill="FFFFFF"/>
        </w:rPr>
        <w:t>Council Regulation (EC) No 847/96</w:t>
      </w:r>
      <w:r w:rsidR="00E87CA4" w:rsidRPr="0084037D">
        <w:rPr>
          <w:rStyle w:val="FootnoteReference"/>
          <w:noProof/>
          <w:color w:val="000000"/>
          <w:bdr w:val="none" w:sz="0" w:space="0" w:color="auto" w:frame="1"/>
        </w:rPr>
        <w:footnoteReference w:id="21"/>
      </w:r>
      <w:r w:rsidR="00E25659" w:rsidRPr="0084037D">
        <w:rPr>
          <w:noProof/>
          <w:bdr w:val="none" w:sz="0" w:space="0" w:color="auto" w:frame="1"/>
          <w:shd w:val="clear" w:color="auto" w:fill="FFFFFF"/>
        </w:rPr>
        <w:t>  provides for additional conditions for the year-to-year management of TACs including</w:t>
      </w:r>
      <w:r w:rsidR="00AF5220" w:rsidRPr="0084037D">
        <w:rPr>
          <w:noProof/>
          <w:bdr w:val="none" w:sz="0" w:space="0" w:color="auto" w:frame="1"/>
          <w:shd w:val="clear" w:color="auto" w:fill="FFFFFF"/>
        </w:rPr>
        <w:t>, under its Articles 3 and 4,</w:t>
      </w:r>
      <w:r w:rsidR="00E25659" w:rsidRPr="0084037D">
        <w:rPr>
          <w:noProof/>
          <w:bdr w:val="none" w:sz="0" w:space="0" w:color="auto" w:frame="1"/>
          <w:shd w:val="clear" w:color="auto" w:fill="FFFFFF"/>
        </w:rPr>
        <w:t xml:space="preserve"> flexibility provisions for precautionary and analytical TACs. Under Article 2 of that Regulation, when establishing TACs, the Council is to decide which stocks will not be subject to Articles 3 and 4 of that Regulation, in particular on the basis of the biological status of stocks.</w:t>
      </w:r>
      <w:r w:rsidR="0029087D" w:rsidRPr="0084037D">
        <w:rPr>
          <w:noProof/>
          <w:bdr w:val="none" w:sz="0" w:space="0" w:color="auto" w:frame="1"/>
          <w:shd w:val="clear" w:color="auto" w:fill="FFFFFF"/>
        </w:rPr>
        <w:t xml:space="preserve"> Therefore, to avoid excessive flexibility that would undermine the principle of rational and responsible exploitation of living marine biological resources, hinder the achievement of the objectives of the Common Fisheries Policy and cause the biological status of stocks to deteriorate, it should be made explicit that Articles 3(2), 3(3) and 4 of Regulation (EC) No 847/96 apply to analytical TACs only where the year to year flexibility provided for in Article 15(9) of Regulation (EU) No 1380/2013 is not used.</w:t>
      </w:r>
    </w:p>
    <w:p w14:paraId="0138CE2F" w14:textId="21DCBDEE" w:rsidR="009B4B5A" w:rsidRPr="0084037D" w:rsidRDefault="004700A6" w:rsidP="004700A6">
      <w:pPr>
        <w:pStyle w:val="ManualConsidrant"/>
        <w:rPr>
          <w:noProof/>
        </w:rPr>
      </w:pPr>
      <w:r w:rsidRPr="004700A6">
        <w:t>(30)</w:t>
      </w:r>
      <w:r w:rsidRPr="004700A6">
        <w:tab/>
      </w:r>
      <w:r w:rsidR="0097237F" w:rsidRPr="0084037D">
        <w:rPr>
          <w:noProof/>
        </w:rPr>
        <w:t>In order to avoid the interruption of fishing activities and to ensure the livelihood of Union fishers, this Regulation should apply from 1 January 2024. For reasons of urgency, th</w:t>
      </w:r>
      <w:r w:rsidR="001042F7" w:rsidRPr="0084037D">
        <w:rPr>
          <w:noProof/>
        </w:rPr>
        <w:t>is Regulation should enter into force on the day following that of its publication</w:t>
      </w:r>
      <w:r w:rsidR="00F60942">
        <w:rPr>
          <w:noProof/>
        </w:rPr>
        <w:t>.</w:t>
      </w:r>
    </w:p>
    <w:p w14:paraId="1E762D98" w14:textId="77777777" w:rsidR="00B858D4" w:rsidRPr="0084037D" w:rsidRDefault="00B858D4" w:rsidP="008154B4">
      <w:pPr>
        <w:pStyle w:val="Formuledadoption"/>
        <w:rPr>
          <w:noProof/>
        </w:rPr>
      </w:pPr>
      <w:r w:rsidRPr="0084037D">
        <w:rPr>
          <w:noProof/>
        </w:rPr>
        <w:t>HAS ADOPTED THIS REGULATION:</w:t>
      </w:r>
    </w:p>
    <w:p w14:paraId="36BFE8FA" w14:textId="77777777" w:rsidR="00A21729" w:rsidRPr="0084037D" w:rsidRDefault="00DE265A" w:rsidP="00535D68">
      <w:pPr>
        <w:pStyle w:val="PartTitle"/>
        <w:rPr>
          <w:i/>
          <w:noProof/>
        </w:rPr>
      </w:pPr>
      <w:r w:rsidRPr="0084037D">
        <w:rPr>
          <w:noProof/>
        </w:rPr>
        <w:lastRenderedPageBreak/>
        <w:t>TITLE I</w:t>
      </w:r>
      <w:r w:rsidRPr="0084037D">
        <w:rPr>
          <w:noProof/>
        </w:rPr>
        <w:br/>
        <w:t xml:space="preserve">GENERAL PROVISIONS </w:t>
      </w:r>
    </w:p>
    <w:p w14:paraId="7B59809B" w14:textId="77777777" w:rsidR="008316E7" w:rsidRPr="0084037D" w:rsidRDefault="008316E7" w:rsidP="005A0E81">
      <w:pPr>
        <w:pStyle w:val="Titrearticle"/>
        <w:rPr>
          <w:noProof/>
        </w:rPr>
      </w:pPr>
      <w:r w:rsidRPr="0084037D">
        <w:rPr>
          <w:noProof/>
        </w:rPr>
        <w:t>Article</w:t>
      </w:r>
      <w:r w:rsidR="00E87CA4" w:rsidRPr="0084037D">
        <w:rPr>
          <w:noProof/>
        </w:rPr>
        <w:t xml:space="preserve"> 1</w:t>
      </w:r>
      <w:r w:rsidRPr="0084037D">
        <w:rPr>
          <w:noProof/>
        </w:rPr>
        <w:t xml:space="preserve"> </w:t>
      </w:r>
      <w:r w:rsidR="005A0E81">
        <w:rPr>
          <w:noProof/>
        </w:rPr>
        <w:br/>
      </w:r>
      <w:r w:rsidRPr="0084037D">
        <w:rPr>
          <w:b/>
          <w:noProof/>
        </w:rPr>
        <w:t>Scope</w:t>
      </w:r>
    </w:p>
    <w:p w14:paraId="33A7A695" w14:textId="77777777" w:rsidR="008316E7" w:rsidRPr="0084037D" w:rsidRDefault="00A91347" w:rsidP="00A91347">
      <w:pPr>
        <w:pStyle w:val="ManualNumPar1"/>
        <w:rPr>
          <w:noProof/>
        </w:rPr>
      </w:pPr>
      <w:r w:rsidRPr="0084037D">
        <w:rPr>
          <w:noProof/>
        </w:rPr>
        <w:t>1.</w:t>
      </w:r>
      <w:r w:rsidRPr="0084037D">
        <w:rPr>
          <w:noProof/>
        </w:rPr>
        <w:tab/>
      </w:r>
      <w:r w:rsidR="008316E7" w:rsidRPr="0084037D">
        <w:rPr>
          <w:noProof/>
        </w:rPr>
        <w:t xml:space="preserve">This Regulation applies to Union fishing vessels </w:t>
      </w:r>
      <w:r w:rsidR="00262497" w:rsidRPr="0084037D">
        <w:rPr>
          <w:noProof/>
        </w:rPr>
        <w:t xml:space="preserve">operating in the Mediterranean and Black Seas </w:t>
      </w:r>
      <w:r w:rsidR="008316E7" w:rsidRPr="0084037D">
        <w:rPr>
          <w:noProof/>
        </w:rPr>
        <w:t>exploiting the following fish stocks:</w:t>
      </w:r>
    </w:p>
    <w:p w14:paraId="41AE67BD" w14:textId="1CF9451A" w:rsidR="00E60DAB" w:rsidRPr="0084037D" w:rsidRDefault="004700A6" w:rsidP="004700A6">
      <w:pPr>
        <w:pStyle w:val="Point1"/>
        <w:rPr>
          <w:noProof/>
        </w:rPr>
      </w:pPr>
      <w:r w:rsidRPr="004700A6">
        <w:t>(a)</w:t>
      </w:r>
      <w:r w:rsidRPr="004700A6">
        <w:tab/>
      </w:r>
      <w:r w:rsidR="008316E7" w:rsidRPr="0084037D">
        <w:rPr>
          <w:noProof/>
        </w:rPr>
        <w:t>red coral (</w:t>
      </w:r>
      <w:r w:rsidR="008316E7" w:rsidRPr="0084037D">
        <w:rPr>
          <w:i/>
          <w:noProof/>
        </w:rPr>
        <w:t>Corallium rubru</w:t>
      </w:r>
      <w:r w:rsidR="009B4B5A">
        <w:rPr>
          <w:i/>
          <w:noProof/>
        </w:rPr>
        <w:t>m</w:t>
      </w:r>
      <w:r w:rsidR="008316E7" w:rsidRPr="0084037D">
        <w:rPr>
          <w:noProof/>
        </w:rPr>
        <w:t>) and common dolphinfish (</w:t>
      </w:r>
      <w:r w:rsidR="008316E7" w:rsidRPr="0084037D">
        <w:rPr>
          <w:i/>
          <w:noProof/>
        </w:rPr>
        <w:t>Coryphaena</w:t>
      </w:r>
      <w:r w:rsidR="008316E7" w:rsidRPr="0084037D">
        <w:rPr>
          <w:noProof/>
        </w:rPr>
        <w:t xml:space="preserve"> </w:t>
      </w:r>
      <w:r w:rsidR="008316E7" w:rsidRPr="0084037D">
        <w:rPr>
          <w:i/>
          <w:noProof/>
        </w:rPr>
        <w:t>hippurus</w:t>
      </w:r>
      <w:r w:rsidR="008316E7" w:rsidRPr="0084037D">
        <w:rPr>
          <w:noProof/>
        </w:rPr>
        <w:t xml:space="preserve">) in the Mediterranean Sea; </w:t>
      </w:r>
    </w:p>
    <w:p w14:paraId="5ACE8DAF" w14:textId="40767F2A" w:rsidR="00E60DAB" w:rsidRPr="0084037D" w:rsidRDefault="004700A6" w:rsidP="004700A6">
      <w:pPr>
        <w:pStyle w:val="Point1"/>
        <w:rPr>
          <w:noProof/>
        </w:rPr>
      </w:pPr>
      <w:r w:rsidRPr="004700A6">
        <w:t>(b)</w:t>
      </w:r>
      <w:r w:rsidRPr="004700A6">
        <w:tab/>
      </w:r>
      <w:r w:rsidR="00A91347" w:rsidRPr="0084037D">
        <w:rPr>
          <w:noProof/>
        </w:rPr>
        <w:tab/>
      </w:r>
      <w:r w:rsidR="008316E7" w:rsidRPr="0084037D">
        <w:rPr>
          <w:noProof/>
        </w:rPr>
        <w:t>blue and red shrimp (</w:t>
      </w:r>
      <w:r w:rsidR="008316E7" w:rsidRPr="0084037D">
        <w:rPr>
          <w:i/>
          <w:noProof/>
        </w:rPr>
        <w:t>Aristeus antennatus</w:t>
      </w:r>
      <w:r w:rsidR="008316E7" w:rsidRPr="0084037D">
        <w:rPr>
          <w:noProof/>
        </w:rPr>
        <w:t>), deep-water rose shrimp (</w:t>
      </w:r>
      <w:r w:rsidR="008316E7" w:rsidRPr="0084037D">
        <w:rPr>
          <w:i/>
          <w:noProof/>
        </w:rPr>
        <w:t>Parapenaeus longirostris</w:t>
      </w:r>
      <w:r w:rsidR="008316E7" w:rsidRPr="0084037D">
        <w:rPr>
          <w:noProof/>
        </w:rPr>
        <w:t>), giant red shrimp (</w:t>
      </w:r>
      <w:r w:rsidR="008316E7" w:rsidRPr="0084037D">
        <w:rPr>
          <w:i/>
          <w:noProof/>
        </w:rPr>
        <w:t>Aristaeomorpha foliacea</w:t>
      </w:r>
      <w:r w:rsidR="008316E7" w:rsidRPr="0084037D">
        <w:rPr>
          <w:noProof/>
        </w:rPr>
        <w:t>), European hake (</w:t>
      </w:r>
      <w:r w:rsidR="008316E7" w:rsidRPr="0084037D">
        <w:rPr>
          <w:i/>
          <w:noProof/>
        </w:rPr>
        <w:t>Merluccius merluccius</w:t>
      </w:r>
      <w:r w:rsidR="008316E7" w:rsidRPr="0084037D">
        <w:rPr>
          <w:noProof/>
        </w:rPr>
        <w:t>), Norway lobster (</w:t>
      </w:r>
      <w:r w:rsidR="008316E7" w:rsidRPr="0084037D">
        <w:rPr>
          <w:i/>
          <w:noProof/>
        </w:rPr>
        <w:t>Nephrops norvegicus</w:t>
      </w:r>
      <w:r w:rsidR="008316E7" w:rsidRPr="0084037D">
        <w:rPr>
          <w:noProof/>
        </w:rPr>
        <w:t>) and red mullet (</w:t>
      </w:r>
      <w:r w:rsidR="008316E7" w:rsidRPr="0084037D">
        <w:rPr>
          <w:i/>
          <w:noProof/>
        </w:rPr>
        <w:t>Mullus barbatus</w:t>
      </w:r>
      <w:r w:rsidR="008316E7" w:rsidRPr="0084037D">
        <w:rPr>
          <w:noProof/>
        </w:rPr>
        <w:t>) in the western Mediterranean Sea;</w:t>
      </w:r>
    </w:p>
    <w:p w14:paraId="411E4C1D" w14:textId="6CC0EDFA" w:rsidR="00E60DAB" w:rsidRPr="0084037D" w:rsidRDefault="004700A6" w:rsidP="004700A6">
      <w:pPr>
        <w:pStyle w:val="Point1"/>
        <w:rPr>
          <w:noProof/>
        </w:rPr>
      </w:pPr>
      <w:r w:rsidRPr="004700A6">
        <w:t>(c)</w:t>
      </w:r>
      <w:r w:rsidRPr="004700A6">
        <w:tab/>
      </w:r>
      <w:r w:rsidR="00A91347" w:rsidRPr="0084037D">
        <w:rPr>
          <w:noProof/>
        </w:rPr>
        <w:tab/>
      </w:r>
      <w:r w:rsidR="008316E7" w:rsidRPr="0084037D">
        <w:rPr>
          <w:noProof/>
        </w:rPr>
        <w:t>anchovy (</w:t>
      </w:r>
      <w:r w:rsidR="008316E7" w:rsidRPr="0084037D">
        <w:rPr>
          <w:i/>
          <w:noProof/>
        </w:rPr>
        <w:t>Engraulis encrasicolus</w:t>
      </w:r>
      <w:r w:rsidR="008316E7" w:rsidRPr="0084037D">
        <w:rPr>
          <w:noProof/>
        </w:rPr>
        <w:t>) and sardine (</w:t>
      </w:r>
      <w:r w:rsidR="008316E7" w:rsidRPr="0084037D">
        <w:rPr>
          <w:i/>
          <w:noProof/>
        </w:rPr>
        <w:t>Sardina pilchardus</w:t>
      </w:r>
      <w:r w:rsidR="008316E7" w:rsidRPr="0084037D">
        <w:rPr>
          <w:noProof/>
        </w:rPr>
        <w:t xml:space="preserve">) in the Adriatic Sea; </w:t>
      </w:r>
    </w:p>
    <w:p w14:paraId="425AD0B2" w14:textId="175D2E2B" w:rsidR="00E60DAB" w:rsidRPr="0084037D" w:rsidRDefault="004700A6" w:rsidP="004700A6">
      <w:pPr>
        <w:pStyle w:val="Point1"/>
        <w:rPr>
          <w:noProof/>
        </w:rPr>
      </w:pPr>
      <w:r w:rsidRPr="004700A6">
        <w:t>(d)</w:t>
      </w:r>
      <w:r w:rsidRPr="004700A6">
        <w:tab/>
      </w:r>
      <w:r w:rsidR="00A91347" w:rsidRPr="0084037D">
        <w:rPr>
          <w:noProof/>
        </w:rPr>
        <w:tab/>
      </w:r>
      <w:r w:rsidR="00775F82" w:rsidRPr="0084037D">
        <w:rPr>
          <w:noProof/>
        </w:rPr>
        <w:t>E</w:t>
      </w:r>
      <w:r w:rsidR="008316E7" w:rsidRPr="0084037D">
        <w:rPr>
          <w:noProof/>
        </w:rPr>
        <w:t>uropean hake (</w:t>
      </w:r>
      <w:r w:rsidR="008316E7" w:rsidRPr="0084037D">
        <w:rPr>
          <w:i/>
          <w:noProof/>
        </w:rPr>
        <w:t>Merluccius merluccius</w:t>
      </w:r>
      <w:r w:rsidR="008316E7" w:rsidRPr="0084037D">
        <w:rPr>
          <w:noProof/>
        </w:rPr>
        <w:t>), Norway lobster (</w:t>
      </w:r>
      <w:r w:rsidR="008316E7" w:rsidRPr="0084037D">
        <w:rPr>
          <w:i/>
          <w:noProof/>
        </w:rPr>
        <w:t>Nephrops norvegicus</w:t>
      </w:r>
      <w:r w:rsidR="008316E7" w:rsidRPr="0084037D">
        <w:rPr>
          <w:noProof/>
        </w:rPr>
        <w:t>), common sole</w:t>
      </w:r>
      <w:r w:rsidR="00D4593A" w:rsidRPr="0084037D">
        <w:rPr>
          <w:noProof/>
        </w:rPr>
        <w:t xml:space="preserve"> </w:t>
      </w:r>
      <w:r w:rsidR="008316E7" w:rsidRPr="0084037D">
        <w:rPr>
          <w:noProof/>
        </w:rPr>
        <w:t>(</w:t>
      </w:r>
      <w:r w:rsidR="008316E7" w:rsidRPr="0084037D">
        <w:rPr>
          <w:i/>
          <w:noProof/>
        </w:rPr>
        <w:t>Solea solea)</w:t>
      </w:r>
      <w:r w:rsidR="008316E7" w:rsidRPr="0084037D">
        <w:rPr>
          <w:noProof/>
        </w:rPr>
        <w:t>, deep-water rose shrimp (</w:t>
      </w:r>
      <w:r w:rsidR="008316E7" w:rsidRPr="0084037D">
        <w:rPr>
          <w:i/>
          <w:noProof/>
        </w:rPr>
        <w:t>Parapenaeus longirostris</w:t>
      </w:r>
      <w:r w:rsidR="008316E7" w:rsidRPr="0084037D">
        <w:rPr>
          <w:noProof/>
        </w:rPr>
        <w:t>)</w:t>
      </w:r>
      <w:r w:rsidR="00151FEF" w:rsidRPr="0084037D">
        <w:rPr>
          <w:noProof/>
        </w:rPr>
        <w:t xml:space="preserve"> and</w:t>
      </w:r>
      <w:r w:rsidR="008316E7" w:rsidRPr="0084037D">
        <w:rPr>
          <w:noProof/>
        </w:rPr>
        <w:t xml:space="preserve"> red mullet</w:t>
      </w:r>
      <w:r w:rsidR="00D4593A" w:rsidRPr="0084037D">
        <w:rPr>
          <w:noProof/>
        </w:rPr>
        <w:t xml:space="preserve"> </w:t>
      </w:r>
      <w:r w:rsidR="008316E7" w:rsidRPr="0084037D">
        <w:rPr>
          <w:noProof/>
        </w:rPr>
        <w:t>(</w:t>
      </w:r>
      <w:r w:rsidR="008316E7" w:rsidRPr="0084037D">
        <w:rPr>
          <w:i/>
          <w:noProof/>
        </w:rPr>
        <w:t>Mullus barbatus</w:t>
      </w:r>
      <w:r w:rsidR="008316E7" w:rsidRPr="0084037D">
        <w:rPr>
          <w:noProof/>
        </w:rPr>
        <w:t>) in the Adriatic Sea;</w:t>
      </w:r>
    </w:p>
    <w:p w14:paraId="3105268A" w14:textId="6DC41B6E" w:rsidR="00DC422F" w:rsidRPr="0084037D" w:rsidRDefault="004700A6" w:rsidP="004700A6">
      <w:pPr>
        <w:pStyle w:val="Point1"/>
        <w:rPr>
          <w:noProof/>
        </w:rPr>
      </w:pPr>
      <w:r w:rsidRPr="004700A6">
        <w:t>(e)</w:t>
      </w:r>
      <w:r w:rsidRPr="004700A6">
        <w:tab/>
      </w:r>
      <w:r w:rsidR="00DC422F" w:rsidRPr="0084037D">
        <w:rPr>
          <w:noProof/>
        </w:rPr>
        <w:tab/>
        <w:t>European hake (</w:t>
      </w:r>
      <w:r w:rsidR="00DC422F" w:rsidRPr="0084037D">
        <w:rPr>
          <w:i/>
          <w:iCs/>
          <w:noProof/>
        </w:rPr>
        <w:t>Merluccius merluccius</w:t>
      </w:r>
      <w:r w:rsidR="00DC422F" w:rsidRPr="0084037D">
        <w:rPr>
          <w:noProof/>
        </w:rPr>
        <w:t>) and deep-water rose shrimp (</w:t>
      </w:r>
      <w:r w:rsidR="00DC422F" w:rsidRPr="0084037D">
        <w:rPr>
          <w:i/>
          <w:iCs/>
          <w:noProof/>
        </w:rPr>
        <w:t>Parapenaeus longirostris</w:t>
      </w:r>
      <w:r w:rsidR="00DC422F" w:rsidRPr="0084037D">
        <w:rPr>
          <w:noProof/>
        </w:rPr>
        <w:t>) in the Strait of Sicily</w:t>
      </w:r>
      <w:r w:rsidR="00C069F4" w:rsidRPr="0084037D">
        <w:rPr>
          <w:noProof/>
        </w:rPr>
        <w:t>;</w:t>
      </w:r>
    </w:p>
    <w:p w14:paraId="2DA448DC" w14:textId="1C0E5AF5" w:rsidR="00E60DAB" w:rsidRPr="0084037D" w:rsidRDefault="004700A6" w:rsidP="004700A6">
      <w:pPr>
        <w:pStyle w:val="Point1"/>
        <w:rPr>
          <w:noProof/>
        </w:rPr>
      </w:pPr>
      <w:r w:rsidRPr="004700A6">
        <w:t>(f)</w:t>
      </w:r>
      <w:r w:rsidRPr="004700A6">
        <w:tab/>
      </w:r>
      <w:r w:rsidR="00A91347" w:rsidRPr="0084037D">
        <w:rPr>
          <w:noProof/>
        </w:rPr>
        <w:tab/>
      </w:r>
      <w:r w:rsidR="008316E7" w:rsidRPr="0084037D">
        <w:rPr>
          <w:noProof/>
        </w:rPr>
        <w:t>giant red shrimp (</w:t>
      </w:r>
      <w:r w:rsidR="008316E7" w:rsidRPr="0084037D">
        <w:rPr>
          <w:i/>
          <w:noProof/>
        </w:rPr>
        <w:t>Aristaeomorpha foliacea</w:t>
      </w:r>
      <w:r w:rsidR="008316E7" w:rsidRPr="0084037D">
        <w:rPr>
          <w:noProof/>
        </w:rPr>
        <w:t>) and blue and red shrimp (</w:t>
      </w:r>
      <w:r w:rsidR="008316E7" w:rsidRPr="0084037D">
        <w:rPr>
          <w:i/>
          <w:noProof/>
        </w:rPr>
        <w:t>Aristeus antennatus</w:t>
      </w:r>
      <w:r w:rsidR="008316E7" w:rsidRPr="0084037D">
        <w:rPr>
          <w:noProof/>
        </w:rPr>
        <w:t xml:space="preserve">) in the Strait of Sicily, in the Ionian Sea and in the Levant Sea; </w:t>
      </w:r>
    </w:p>
    <w:p w14:paraId="128BF9C4" w14:textId="30F40270" w:rsidR="00E60DAB" w:rsidRPr="0084037D" w:rsidRDefault="004700A6" w:rsidP="004700A6">
      <w:pPr>
        <w:pStyle w:val="Point1"/>
        <w:rPr>
          <w:noProof/>
        </w:rPr>
      </w:pPr>
      <w:r w:rsidRPr="004700A6">
        <w:t>(g)</w:t>
      </w:r>
      <w:r w:rsidRPr="004700A6">
        <w:tab/>
      </w:r>
      <w:r w:rsidR="00A91347" w:rsidRPr="0084037D">
        <w:rPr>
          <w:noProof/>
        </w:rPr>
        <w:tab/>
      </w:r>
      <w:r w:rsidR="008316E7" w:rsidRPr="0084037D">
        <w:rPr>
          <w:noProof/>
        </w:rPr>
        <w:t>blackspot seabream (</w:t>
      </w:r>
      <w:r w:rsidR="008316E7" w:rsidRPr="0084037D">
        <w:rPr>
          <w:i/>
          <w:noProof/>
        </w:rPr>
        <w:t>Pagellus bogaraveo</w:t>
      </w:r>
      <w:r w:rsidR="008316E7" w:rsidRPr="0084037D">
        <w:rPr>
          <w:noProof/>
        </w:rPr>
        <w:t>) in the Alborean Sea;</w:t>
      </w:r>
    </w:p>
    <w:p w14:paraId="1EF97F84" w14:textId="6429C193" w:rsidR="008316E7" w:rsidRPr="0084037D" w:rsidRDefault="004700A6" w:rsidP="004700A6">
      <w:pPr>
        <w:pStyle w:val="Point1"/>
        <w:rPr>
          <w:noProof/>
        </w:rPr>
      </w:pPr>
      <w:r w:rsidRPr="004700A6">
        <w:t>(h)</w:t>
      </w:r>
      <w:r w:rsidRPr="004700A6">
        <w:tab/>
      </w:r>
      <w:r w:rsidR="00A91347" w:rsidRPr="0084037D">
        <w:rPr>
          <w:noProof/>
        </w:rPr>
        <w:tab/>
      </w:r>
      <w:r w:rsidR="008316E7" w:rsidRPr="0084037D">
        <w:rPr>
          <w:noProof/>
        </w:rPr>
        <w:t>sprat (</w:t>
      </w:r>
      <w:r w:rsidR="008316E7" w:rsidRPr="0084037D">
        <w:rPr>
          <w:i/>
          <w:noProof/>
        </w:rPr>
        <w:t>Sprattus sprattus</w:t>
      </w:r>
      <w:r w:rsidR="008316E7" w:rsidRPr="0084037D">
        <w:rPr>
          <w:noProof/>
        </w:rPr>
        <w:t>) and turbot (</w:t>
      </w:r>
      <w:r w:rsidR="008316E7" w:rsidRPr="0084037D">
        <w:rPr>
          <w:i/>
          <w:noProof/>
        </w:rPr>
        <w:t>Scophthalmus maximus</w:t>
      </w:r>
      <w:r w:rsidR="008316E7" w:rsidRPr="0084037D">
        <w:rPr>
          <w:noProof/>
        </w:rPr>
        <w:t>) in the Black Sea.</w:t>
      </w:r>
    </w:p>
    <w:p w14:paraId="649D9DFA" w14:textId="77777777" w:rsidR="008316E7" w:rsidRPr="0084037D" w:rsidRDefault="00A91347" w:rsidP="00A91347">
      <w:pPr>
        <w:pStyle w:val="ManualNumPar1"/>
        <w:rPr>
          <w:noProof/>
        </w:rPr>
      </w:pPr>
      <w:r w:rsidRPr="0084037D">
        <w:rPr>
          <w:noProof/>
        </w:rPr>
        <w:t>2.</w:t>
      </w:r>
      <w:r w:rsidRPr="0084037D">
        <w:rPr>
          <w:noProof/>
        </w:rPr>
        <w:tab/>
      </w:r>
      <w:r w:rsidR="008316E7" w:rsidRPr="0084037D">
        <w:rPr>
          <w:noProof/>
        </w:rPr>
        <w:t xml:space="preserve">This Regulation also applies to </w:t>
      </w:r>
      <w:r w:rsidR="00903B03" w:rsidRPr="0084037D">
        <w:rPr>
          <w:noProof/>
        </w:rPr>
        <w:t xml:space="preserve">other Union fishing activities, including </w:t>
      </w:r>
      <w:r w:rsidR="008316E7" w:rsidRPr="0084037D">
        <w:rPr>
          <w:noProof/>
        </w:rPr>
        <w:t>recreational fisheries</w:t>
      </w:r>
      <w:r w:rsidR="00903B03" w:rsidRPr="0084037D">
        <w:rPr>
          <w:noProof/>
        </w:rPr>
        <w:t>,</w:t>
      </w:r>
      <w:r w:rsidR="008316E7" w:rsidRPr="0084037D">
        <w:rPr>
          <w:noProof/>
        </w:rPr>
        <w:t xml:space="preserve"> where they are expressly referred to in the relevant provisions.</w:t>
      </w:r>
    </w:p>
    <w:p w14:paraId="0DC2746A" w14:textId="77777777" w:rsidR="00E64D71" w:rsidRPr="0084037D" w:rsidRDefault="00E64D71" w:rsidP="00E64D71">
      <w:pPr>
        <w:pStyle w:val="Titrearticle"/>
        <w:rPr>
          <w:b/>
          <w:i w:val="0"/>
          <w:noProof/>
        </w:rPr>
      </w:pPr>
      <w:r w:rsidRPr="0084037D">
        <w:rPr>
          <w:noProof/>
        </w:rPr>
        <w:t xml:space="preserve">Article </w:t>
      </w:r>
      <w:r w:rsidR="00E87CA4" w:rsidRPr="0084037D">
        <w:rPr>
          <w:noProof/>
        </w:rPr>
        <w:t>2</w:t>
      </w:r>
      <w:r w:rsidRPr="0084037D">
        <w:rPr>
          <w:noProof/>
        </w:rPr>
        <w:br/>
      </w:r>
      <w:r w:rsidRPr="0084037D">
        <w:rPr>
          <w:b/>
          <w:i w:val="0"/>
          <w:noProof/>
        </w:rPr>
        <w:t>Definitions</w:t>
      </w:r>
    </w:p>
    <w:p w14:paraId="77F8ABE5" w14:textId="77777777" w:rsidR="00E64D71" w:rsidRPr="0084037D" w:rsidRDefault="00E64D71" w:rsidP="005A0E81">
      <w:pPr>
        <w:rPr>
          <w:noProof/>
        </w:rPr>
      </w:pPr>
      <w:r w:rsidRPr="0084037D">
        <w:rPr>
          <w:noProof/>
        </w:rPr>
        <w:t>For the purposes of this Regulation, the definitions laid down in Article 4</w:t>
      </w:r>
      <w:r w:rsidR="002A76EB" w:rsidRPr="0084037D">
        <w:rPr>
          <w:noProof/>
        </w:rPr>
        <w:t>(1)</w:t>
      </w:r>
      <w:r w:rsidRPr="0084037D">
        <w:rPr>
          <w:noProof/>
        </w:rPr>
        <w:t xml:space="preserve"> of Regulation (EU) No 1380/2013 apply. In addition, the following definitions apply:</w:t>
      </w:r>
    </w:p>
    <w:p w14:paraId="19E76289" w14:textId="70A77B15" w:rsidR="00E64D71" w:rsidRPr="0084037D" w:rsidRDefault="004700A6" w:rsidP="004700A6">
      <w:pPr>
        <w:pStyle w:val="Point0"/>
        <w:rPr>
          <w:noProof/>
        </w:rPr>
      </w:pPr>
      <w:r w:rsidRPr="004700A6">
        <w:t>(a)</w:t>
      </w:r>
      <w:r w:rsidRPr="004700A6">
        <w:tab/>
      </w:r>
      <w:r w:rsidR="00E64D71" w:rsidRPr="0084037D">
        <w:rPr>
          <w:noProof/>
        </w:rPr>
        <w:t>‘international waters’ means waters falling outside the sovereignty or jurisdiction of any State;</w:t>
      </w:r>
    </w:p>
    <w:p w14:paraId="5CBBDC70" w14:textId="3B4F6A22" w:rsidR="00E64D71" w:rsidRPr="0084037D" w:rsidRDefault="004700A6" w:rsidP="004700A6">
      <w:pPr>
        <w:pStyle w:val="Point0"/>
        <w:rPr>
          <w:noProof/>
        </w:rPr>
      </w:pPr>
      <w:r w:rsidRPr="004700A6">
        <w:t>(b)</w:t>
      </w:r>
      <w:r w:rsidRPr="004700A6">
        <w:tab/>
      </w:r>
      <w:r w:rsidR="00E64D71" w:rsidRPr="0084037D">
        <w:rPr>
          <w:noProof/>
        </w:rPr>
        <w:t>‘recreational fisheries’ means non-commercial fishing activities exploiting marine living aquatic resources for recreation, tourism or sport;</w:t>
      </w:r>
    </w:p>
    <w:p w14:paraId="2E049725" w14:textId="151E026A" w:rsidR="00E64D71" w:rsidRPr="0084037D" w:rsidRDefault="004700A6" w:rsidP="004700A6">
      <w:pPr>
        <w:pStyle w:val="Point0"/>
        <w:rPr>
          <w:noProof/>
        </w:rPr>
      </w:pPr>
      <w:r w:rsidRPr="004700A6">
        <w:t>(c)</w:t>
      </w:r>
      <w:r w:rsidRPr="004700A6">
        <w:tab/>
      </w:r>
      <w:r w:rsidR="00E64D71" w:rsidRPr="0084037D">
        <w:rPr>
          <w:noProof/>
        </w:rPr>
        <w:t xml:space="preserve">‘total allowable catch’ </w:t>
      </w:r>
      <w:r w:rsidR="0060229F" w:rsidRPr="0084037D">
        <w:rPr>
          <w:noProof/>
        </w:rPr>
        <w:t>or ‘</w:t>
      </w:r>
      <w:r w:rsidR="00E64D71" w:rsidRPr="0084037D">
        <w:rPr>
          <w:noProof/>
        </w:rPr>
        <w:t>TAC</w:t>
      </w:r>
      <w:r w:rsidR="0060229F" w:rsidRPr="0084037D">
        <w:rPr>
          <w:noProof/>
        </w:rPr>
        <w:t>’</w:t>
      </w:r>
      <w:r w:rsidR="00E64D71" w:rsidRPr="0084037D">
        <w:rPr>
          <w:noProof/>
        </w:rPr>
        <w:t xml:space="preserve"> means:</w:t>
      </w:r>
    </w:p>
    <w:p w14:paraId="012733D9" w14:textId="77777777" w:rsidR="00E64D71" w:rsidRPr="0084037D" w:rsidRDefault="004167E4" w:rsidP="003B6F86">
      <w:pPr>
        <w:pStyle w:val="Point1"/>
        <w:rPr>
          <w:noProof/>
        </w:rPr>
      </w:pPr>
      <w:r w:rsidRPr="0084037D">
        <w:rPr>
          <w:noProof/>
        </w:rPr>
        <w:t>(i)</w:t>
      </w:r>
      <w:r w:rsidR="00C25667" w:rsidRPr="0084037D">
        <w:rPr>
          <w:noProof/>
        </w:rPr>
        <w:tab/>
      </w:r>
      <w:r w:rsidR="00E64D71" w:rsidRPr="0084037D">
        <w:rPr>
          <w:noProof/>
        </w:rPr>
        <w:t>in fisheries subject to the exemption of the landing obligation referred to in Article 15(4) to (7) of Regulation (EU) No 1380/2013, the quantity of fish that can be landed from each stock each year;</w:t>
      </w:r>
    </w:p>
    <w:p w14:paraId="57FCB14C" w14:textId="77777777" w:rsidR="00E64D71" w:rsidRPr="0084037D" w:rsidRDefault="004167E4" w:rsidP="003B6F86">
      <w:pPr>
        <w:pStyle w:val="Point1"/>
        <w:rPr>
          <w:noProof/>
        </w:rPr>
      </w:pPr>
      <w:r w:rsidRPr="0084037D">
        <w:rPr>
          <w:noProof/>
        </w:rPr>
        <w:t>(ii)</w:t>
      </w:r>
      <w:r w:rsidR="00C25667" w:rsidRPr="0084037D">
        <w:rPr>
          <w:noProof/>
        </w:rPr>
        <w:tab/>
      </w:r>
      <w:r w:rsidR="00E64D71" w:rsidRPr="0084037D">
        <w:rPr>
          <w:noProof/>
        </w:rPr>
        <w:t>in all other fisheries, the quantity of fish that can be caught from each stock over the period of a year;</w:t>
      </w:r>
    </w:p>
    <w:p w14:paraId="142A838F" w14:textId="09CCE947" w:rsidR="00E64D71" w:rsidRPr="0084037D" w:rsidRDefault="004700A6" w:rsidP="004700A6">
      <w:pPr>
        <w:pStyle w:val="Point0"/>
        <w:rPr>
          <w:noProof/>
        </w:rPr>
      </w:pPr>
      <w:r w:rsidRPr="004700A6">
        <w:lastRenderedPageBreak/>
        <w:t>(d)</w:t>
      </w:r>
      <w:r w:rsidRPr="004700A6">
        <w:tab/>
      </w:r>
      <w:r w:rsidR="00E64D71" w:rsidRPr="0084037D">
        <w:rPr>
          <w:noProof/>
        </w:rPr>
        <w:t>‘quota’ means a proportion of the TAC allocated to the Union or a Member State;</w:t>
      </w:r>
    </w:p>
    <w:p w14:paraId="3E05C6D0" w14:textId="14FB5A89" w:rsidR="00E64D71" w:rsidRPr="0084037D" w:rsidRDefault="004700A6" w:rsidP="004700A6">
      <w:pPr>
        <w:pStyle w:val="Point0"/>
        <w:rPr>
          <w:noProof/>
        </w:rPr>
      </w:pPr>
      <w:r w:rsidRPr="004700A6">
        <w:t>(e)</w:t>
      </w:r>
      <w:r w:rsidRPr="004700A6">
        <w:tab/>
      </w:r>
      <w:r w:rsidR="00E64D71" w:rsidRPr="0084037D">
        <w:rPr>
          <w:noProof/>
        </w:rPr>
        <w:t>‘Union autonomous quota’ means a catch limit autonomously allocated to Union fishing vessels in the absence of an agreed TAC;</w:t>
      </w:r>
    </w:p>
    <w:p w14:paraId="7EA8E66F" w14:textId="4617AAAC" w:rsidR="00E64D71" w:rsidRPr="0084037D" w:rsidRDefault="004700A6" w:rsidP="004700A6">
      <w:pPr>
        <w:pStyle w:val="Point0"/>
        <w:rPr>
          <w:noProof/>
        </w:rPr>
      </w:pPr>
      <w:r w:rsidRPr="004700A6">
        <w:t>(f)</w:t>
      </w:r>
      <w:r w:rsidRPr="004700A6">
        <w:tab/>
      </w:r>
      <w:r w:rsidR="00E64D71" w:rsidRPr="0084037D">
        <w:rPr>
          <w:noProof/>
        </w:rPr>
        <w:t>‘analytical quota’ means a Union autonomous quota for which an analytical assessment is available;</w:t>
      </w:r>
    </w:p>
    <w:p w14:paraId="309D3E77" w14:textId="51A87184" w:rsidR="00E64D71" w:rsidRPr="0084037D" w:rsidRDefault="004700A6" w:rsidP="004700A6">
      <w:pPr>
        <w:pStyle w:val="Point0"/>
        <w:rPr>
          <w:noProof/>
        </w:rPr>
      </w:pPr>
      <w:r w:rsidRPr="004700A6">
        <w:t>(g)</w:t>
      </w:r>
      <w:r w:rsidRPr="004700A6">
        <w:tab/>
      </w:r>
      <w:r w:rsidR="00E64D71" w:rsidRPr="0084037D">
        <w:rPr>
          <w:noProof/>
        </w:rPr>
        <w:t>‘analytical assessment’ means a quantitative evaluation of trends in a given stock, based on data about the stock’s biology and exploitation, which scientific review has indicated to be of sufficient quality to provide scientific advice on options for future catches</w:t>
      </w:r>
      <w:r w:rsidR="007C2360" w:rsidRPr="0084037D">
        <w:rPr>
          <w:noProof/>
        </w:rPr>
        <w:t>;</w:t>
      </w:r>
    </w:p>
    <w:p w14:paraId="1B7224BD" w14:textId="65BE53F9" w:rsidR="00E64D71" w:rsidRPr="0084037D" w:rsidRDefault="004700A6" w:rsidP="004700A6">
      <w:pPr>
        <w:pStyle w:val="Point0"/>
        <w:rPr>
          <w:noProof/>
        </w:rPr>
      </w:pPr>
      <w:r w:rsidRPr="004700A6">
        <w:t>(h)</w:t>
      </w:r>
      <w:r w:rsidRPr="004700A6">
        <w:tab/>
      </w:r>
      <w:r w:rsidR="00E64D71" w:rsidRPr="0084037D">
        <w:rPr>
          <w:noProof/>
        </w:rPr>
        <w:t>‘fish</w:t>
      </w:r>
      <w:r w:rsidR="00227EAD" w:rsidRPr="0084037D">
        <w:rPr>
          <w:noProof/>
        </w:rPr>
        <w:t>-</w:t>
      </w:r>
      <w:r w:rsidR="00E64D71" w:rsidRPr="0084037D">
        <w:rPr>
          <w:noProof/>
        </w:rPr>
        <w:t xml:space="preserve">aggregating device’ or </w:t>
      </w:r>
      <w:r w:rsidR="0060229F" w:rsidRPr="0084037D">
        <w:rPr>
          <w:noProof/>
        </w:rPr>
        <w:t>‘</w:t>
      </w:r>
      <w:r w:rsidR="00E64D71" w:rsidRPr="0084037D">
        <w:rPr>
          <w:noProof/>
        </w:rPr>
        <w:t>FAD</w:t>
      </w:r>
      <w:r w:rsidR="0060229F" w:rsidRPr="0084037D">
        <w:rPr>
          <w:noProof/>
        </w:rPr>
        <w:t>’</w:t>
      </w:r>
      <w:r w:rsidR="00E64D71" w:rsidRPr="0084037D">
        <w:rPr>
          <w:noProof/>
        </w:rPr>
        <w:t xml:space="preserve"> means any anchored equipment floating on the sea surface with the objective of attracting fish. </w:t>
      </w:r>
    </w:p>
    <w:p w14:paraId="04F82168" w14:textId="77777777" w:rsidR="00E64D71" w:rsidRPr="0084037D" w:rsidRDefault="00894596" w:rsidP="00E64D71">
      <w:pPr>
        <w:pStyle w:val="Titrearticle"/>
        <w:rPr>
          <w:b/>
          <w:i w:val="0"/>
          <w:noProof/>
        </w:rPr>
      </w:pPr>
      <w:r w:rsidRPr="0084037D" w:rsidDel="00894596">
        <w:rPr>
          <w:noProof/>
        </w:rPr>
        <w:t xml:space="preserve"> </w:t>
      </w:r>
      <w:r w:rsidR="00E64D71" w:rsidRPr="0084037D">
        <w:rPr>
          <w:noProof/>
        </w:rPr>
        <w:t xml:space="preserve">Article </w:t>
      </w:r>
      <w:r w:rsidR="00E87CA4" w:rsidRPr="0084037D">
        <w:rPr>
          <w:noProof/>
        </w:rPr>
        <w:t>3</w:t>
      </w:r>
      <w:r w:rsidR="00E64D71" w:rsidRPr="0084037D">
        <w:rPr>
          <w:noProof/>
        </w:rPr>
        <w:br/>
      </w:r>
      <w:r w:rsidR="00E64D71" w:rsidRPr="0084037D">
        <w:rPr>
          <w:b/>
          <w:i w:val="0"/>
          <w:noProof/>
        </w:rPr>
        <w:t>Fishing zones</w:t>
      </w:r>
    </w:p>
    <w:p w14:paraId="3E2655D8" w14:textId="77777777" w:rsidR="007C0429" w:rsidRPr="0084037D" w:rsidRDefault="00E64D71" w:rsidP="007C0429">
      <w:pPr>
        <w:rPr>
          <w:noProof/>
        </w:rPr>
      </w:pPr>
      <w:r w:rsidRPr="0084037D">
        <w:rPr>
          <w:noProof/>
        </w:rPr>
        <w:t xml:space="preserve">For the purposes of this Regulation, the following </w:t>
      </w:r>
      <w:r w:rsidR="00903B03" w:rsidRPr="0084037D">
        <w:rPr>
          <w:noProof/>
        </w:rPr>
        <w:t xml:space="preserve">geographical </w:t>
      </w:r>
      <w:r w:rsidRPr="0084037D">
        <w:rPr>
          <w:noProof/>
        </w:rPr>
        <w:t>zone definitions apply:</w:t>
      </w:r>
    </w:p>
    <w:p w14:paraId="5FB808BF" w14:textId="764F92C4" w:rsidR="00E64D71" w:rsidRPr="0084037D" w:rsidRDefault="004700A6" w:rsidP="004700A6">
      <w:pPr>
        <w:pStyle w:val="Point0"/>
        <w:rPr>
          <w:noProof/>
        </w:rPr>
      </w:pPr>
      <w:r w:rsidRPr="004700A6">
        <w:t>(a)</w:t>
      </w:r>
      <w:r w:rsidRPr="004700A6">
        <w:tab/>
      </w:r>
      <w:r w:rsidR="00E64D71" w:rsidRPr="0084037D">
        <w:rPr>
          <w:noProof/>
        </w:rPr>
        <w:t xml:space="preserve">‘GFCM geographical subareas’ mean the areas defined in Annex I to Regulation (EU) No </w:t>
      </w:r>
      <w:bookmarkStart w:id="5" w:name="_Hlk141367148"/>
      <w:r w:rsidR="00E64D71" w:rsidRPr="0084037D">
        <w:rPr>
          <w:noProof/>
        </w:rPr>
        <w:t xml:space="preserve">1343/2011 </w:t>
      </w:r>
      <w:bookmarkEnd w:id="5"/>
      <w:r w:rsidR="00E64D71" w:rsidRPr="0084037D">
        <w:rPr>
          <w:noProof/>
        </w:rPr>
        <w:t>of the European Parliament and of the Council</w:t>
      </w:r>
      <w:r w:rsidR="00E11F41" w:rsidRPr="0084037D">
        <w:rPr>
          <w:rStyle w:val="FootnoteReference"/>
          <w:noProof/>
          <w:szCs w:val="24"/>
        </w:rPr>
        <w:footnoteReference w:id="22"/>
      </w:r>
      <w:r w:rsidR="00E64D71" w:rsidRPr="0084037D">
        <w:rPr>
          <w:noProof/>
        </w:rPr>
        <w:t xml:space="preserve">; </w:t>
      </w:r>
    </w:p>
    <w:p w14:paraId="323479F4" w14:textId="53AEDC8B" w:rsidR="00E64D71" w:rsidRPr="0084037D" w:rsidRDefault="004700A6" w:rsidP="004700A6">
      <w:pPr>
        <w:pStyle w:val="Point0"/>
        <w:rPr>
          <w:noProof/>
        </w:rPr>
      </w:pPr>
      <w:r w:rsidRPr="004700A6">
        <w:t>(b)</w:t>
      </w:r>
      <w:r w:rsidRPr="004700A6">
        <w:tab/>
      </w:r>
      <w:r w:rsidR="00E64D71" w:rsidRPr="0084037D">
        <w:rPr>
          <w:noProof/>
        </w:rPr>
        <w:t>‘Mediterranean Sea’ means the waters in GFCM geographical subareas 1 to 27, as defined in Annex I to Regulation (EU) No 1343/2011;</w:t>
      </w:r>
      <w:r w:rsidR="00210D16" w:rsidRPr="0084037D">
        <w:rPr>
          <w:noProof/>
        </w:rPr>
        <w:t xml:space="preserve"> </w:t>
      </w:r>
    </w:p>
    <w:p w14:paraId="22375511" w14:textId="64E581BB" w:rsidR="00E64D71" w:rsidRPr="0084037D" w:rsidRDefault="004700A6" w:rsidP="004700A6">
      <w:pPr>
        <w:pStyle w:val="Point0"/>
        <w:rPr>
          <w:noProof/>
        </w:rPr>
      </w:pPr>
      <w:r w:rsidRPr="004700A6">
        <w:t>(c)</w:t>
      </w:r>
      <w:r w:rsidRPr="004700A6">
        <w:tab/>
      </w:r>
      <w:r w:rsidR="00E64D71" w:rsidRPr="0084037D">
        <w:rPr>
          <w:noProof/>
        </w:rPr>
        <w:t>‘western Mediterranean Sea’ means the waters in GFCM geographical subareas 1, 2, 5, 6, 7, 8, 9, 10 and 11, as defined in Annex I to Regulation (EU) No 1343/2011;</w:t>
      </w:r>
    </w:p>
    <w:p w14:paraId="3FC73555" w14:textId="66FF22C3" w:rsidR="00E64D71" w:rsidRPr="0084037D" w:rsidRDefault="004700A6" w:rsidP="004700A6">
      <w:pPr>
        <w:pStyle w:val="Point0"/>
        <w:rPr>
          <w:noProof/>
        </w:rPr>
      </w:pPr>
      <w:r w:rsidRPr="004700A6">
        <w:t>(d)</w:t>
      </w:r>
      <w:r w:rsidRPr="004700A6">
        <w:tab/>
      </w:r>
      <w:r w:rsidR="00E64D71" w:rsidRPr="0084037D">
        <w:rPr>
          <w:noProof/>
        </w:rPr>
        <w:t>‘Adriatic Sea’ means the waters in GFCM geographical subareas 17 and 18, as defined in Annex I to Regulation (EU) No 1343/2011;</w:t>
      </w:r>
    </w:p>
    <w:p w14:paraId="5855D4A5" w14:textId="052491EF" w:rsidR="00E64D71" w:rsidRPr="0084037D" w:rsidRDefault="004700A6" w:rsidP="004700A6">
      <w:pPr>
        <w:pStyle w:val="Point0"/>
        <w:rPr>
          <w:noProof/>
        </w:rPr>
      </w:pPr>
      <w:r w:rsidRPr="004700A6">
        <w:t>(e)</w:t>
      </w:r>
      <w:r w:rsidRPr="004700A6">
        <w:tab/>
      </w:r>
      <w:r w:rsidR="00E64D71" w:rsidRPr="0084037D">
        <w:rPr>
          <w:noProof/>
        </w:rPr>
        <w:t xml:space="preserve">‘Strait of Sicily’ means the waters in GFCM geographical subareas 12, 13, 14, 15 and 16, as defined in Annex I to Regulation (EU) No 1343/2011; </w:t>
      </w:r>
    </w:p>
    <w:p w14:paraId="6FCBA4D1" w14:textId="16E909AB" w:rsidR="00E64D71" w:rsidRPr="0084037D" w:rsidRDefault="004700A6" w:rsidP="004700A6">
      <w:pPr>
        <w:pStyle w:val="Point0"/>
        <w:rPr>
          <w:noProof/>
        </w:rPr>
      </w:pPr>
      <w:r w:rsidRPr="004700A6">
        <w:t>(f)</w:t>
      </w:r>
      <w:r w:rsidRPr="004700A6">
        <w:tab/>
      </w:r>
      <w:r w:rsidR="00E64D71" w:rsidRPr="0084037D">
        <w:rPr>
          <w:noProof/>
        </w:rPr>
        <w:t>‘Ionian Sea’ means the waters in GFCM geographical subareas 19, 20 and 21, as defined in Annex I to Regulation (EU) No 1343/2011;</w:t>
      </w:r>
    </w:p>
    <w:p w14:paraId="727ECED3" w14:textId="4FBCBE9A" w:rsidR="00E64D71" w:rsidRPr="0084037D" w:rsidRDefault="004700A6" w:rsidP="004700A6">
      <w:pPr>
        <w:pStyle w:val="Point0"/>
        <w:rPr>
          <w:noProof/>
        </w:rPr>
      </w:pPr>
      <w:r w:rsidRPr="004700A6">
        <w:t>(g)</w:t>
      </w:r>
      <w:r w:rsidRPr="004700A6">
        <w:tab/>
      </w:r>
      <w:r w:rsidR="00E64D71" w:rsidRPr="0084037D">
        <w:rPr>
          <w:noProof/>
        </w:rPr>
        <w:t>‘Levant Sea’ means the waters in GFCM geographical subareas 24, 25, 26 and 27, as defined in Annex I to Regulation (EU) No 1343/2011;</w:t>
      </w:r>
    </w:p>
    <w:p w14:paraId="05D159E2" w14:textId="21E7ABF6" w:rsidR="00E64D71" w:rsidRPr="0084037D" w:rsidRDefault="004700A6" w:rsidP="004700A6">
      <w:pPr>
        <w:pStyle w:val="Point0"/>
        <w:rPr>
          <w:noProof/>
        </w:rPr>
      </w:pPr>
      <w:r w:rsidRPr="004700A6">
        <w:t>(h)</w:t>
      </w:r>
      <w:r w:rsidRPr="004700A6">
        <w:tab/>
      </w:r>
      <w:r w:rsidR="00E64D71" w:rsidRPr="0084037D">
        <w:rPr>
          <w:noProof/>
        </w:rPr>
        <w:t>‘Alboran Sea’ means the waters in GFCM geographical subareas 1 to 3, as defined in Annex I to Regulation (EU) No 1343/2011;</w:t>
      </w:r>
    </w:p>
    <w:p w14:paraId="4B71F5DD" w14:textId="654EFA5D" w:rsidR="00903B03" w:rsidRPr="0084037D" w:rsidRDefault="004700A6" w:rsidP="004700A6">
      <w:pPr>
        <w:pStyle w:val="Point0"/>
        <w:rPr>
          <w:noProof/>
        </w:rPr>
      </w:pPr>
      <w:r w:rsidRPr="004700A6">
        <w:t>(i)</w:t>
      </w:r>
      <w:r w:rsidRPr="004700A6">
        <w:tab/>
      </w:r>
      <w:r w:rsidR="00E64D71" w:rsidRPr="0084037D">
        <w:rPr>
          <w:noProof/>
        </w:rPr>
        <w:t>‘Black Sea’ means the waters in GFCM geographical subarea 29, as defined in Annex I to Regulation (EU) No 1343/2011.</w:t>
      </w:r>
    </w:p>
    <w:p w14:paraId="6DF1F30D" w14:textId="77777777" w:rsidR="00E64D71" w:rsidRPr="0084037D" w:rsidRDefault="00E64D71" w:rsidP="00015D62">
      <w:pPr>
        <w:pStyle w:val="PartTitle"/>
        <w:rPr>
          <w:noProof/>
        </w:rPr>
      </w:pPr>
      <w:r w:rsidRPr="0084037D">
        <w:rPr>
          <w:noProof/>
        </w:rPr>
        <w:lastRenderedPageBreak/>
        <w:t>TITLE II</w:t>
      </w:r>
      <w:r w:rsidRPr="0084037D">
        <w:rPr>
          <w:noProof/>
        </w:rPr>
        <w:br/>
        <w:t>FISHING OPPORTUNITIES</w:t>
      </w:r>
    </w:p>
    <w:p w14:paraId="76063CC5" w14:textId="77777777" w:rsidR="00E64D71" w:rsidRPr="0084037D" w:rsidRDefault="00E64D71" w:rsidP="00E64D71">
      <w:pPr>
        <w:pStyle w:val="ChapterTitle"/>
        <w:rPr>
          <w:noProof/>
        </w:rPr>
      </w:pPr>
      <w:r w:rsidRPr="0084037D">
        <w:rPr>
          <w:noProof/>
        </w:rPr>
        <w:t>CHAPTER I</w:t>
      </w:r>
      <w:r w:rsidRPr="0084037D">
        <w:rPr>
          <w:noProof/>
        </w:rPr>
        <w:br/>
        <w:t>Mediterranean Sea</w:t>
      </w:r>
    </w:p>
    <w:p w14:paraId="685645EE" w14:textId="77777777" w:rsidR="00E64D71" w:rsidRPr="005A0E81" w:rsidRDefault="00E64D71" w:rsidP="005A0E81">
      <w:pPr>
        <w:pStyle w:val="Titrearticle"/>
        <w:spacing w:before="120"/>
        <w:rPr>
          <w:noProof/>
          <w:lang w:val="en-IE"/>
        </w:rPr>
      </w:pPr>
      <w:r w:rsidRPr="0084037D">
        <w:rPr>
          <w:noProof/>
          <w:lang w:val="en-IE"/>
        </w:rPr>
        <w:t xml:space="preserve">Article </w:t>
      </w:r>
      <w:r w:rsidR="00E87CA4" w:rsidRPr="0084037D">
        <w:rPr>
          <w:noProof/>
          <w:lang w:val="en-IE"/>
        </w:rPr>
        <w:t>4</w:t>
      </w:r>
      <w:r w:rsidR="005A0E81">
        <w:rPr>
          <w:noProof/>
          <w:lang w:val="en-IE"/>
        </w:rPr>
        <w:br/>
      </w:r>
      <w:r w:rsidRPr="0084037D">
        <w:rPr>
          <w:b/>
          <w:i w:val="0"/>
          <w:noProof/>
        </w:rPr>
        <w:t>Red coral</w:t>
      </w:r>
    </w:p>
    <w:p w14:paraId="50C598BF" w14:textId="77777777" w:rsidR="00E64D71" w:rsidRPr="0084037D" w:rsidRDefault="00A91347" w:rsidP="00A91347">
      <w:pPr>
        <w:pStyle w:val="ManualNumPar1"/>
        <w:rPr>
          <w:noProof/>
        </w:rPr>
      </w:pPr>
      <w:r w:rsidRPr="0084037D">
        <w:rPr>
          <w:noProof/>
        </w:rPr>
        <w:t>1.</w:t>
      </w:r>
      <w:r w:rsidRPr="0084037D">
        <w:rPr>
          <w:noProof/>
        </w:rPr>
        <w:tab/>
      </w:r>
      <w:r w:rsidR="00E64D71" w:rsidRPr="0084037D">
        <w:rPr>
          <w:noProof/>
        </w:rPr>
        <w:t>This Article applies to all activities by Union fishing vessels</w:t>
      </w:r>
      <w:r w:rsidR="00923FD2" w:rsidRPr="0084037D">
        <w:rPr>
          <w:noProof/>
        </w:rPr>
        <w:t xml:space="preserve"> </w:t>
      </w:r>
      <w:r w:rsidR="00E64D71" w:rsidRPr="0084037D">
        <w:rPr>
          <w:noProof/>
        </w:rPr>
        <w:t>and other Union fishing activities</w:t>
      </w:r>
      <w:r w:rsidR="00923FD2" w:rsidRPr="0084037D">
        <w:rPr>
          <w:noProof/>
        </w:rPr>
        <w:t xml:space="preserve"> </w:t>
      </w:r>
      <w:r w:rsidR="00E64D71" w:rsidRPr="0084037D">
        <w:rPr>
          <w:noProof/>
        </w:rPr>
        <w:t>harvesting red coral (</w:t>
      </w:r>
      <w:r w:rsidR="00E64D71" w:rsidRPr="0084037D">
        <w:rPr>
          <w:i/>
          <w:noProof/>
        </w:rPr>
        <w:t>Corallium rubrum</w:t>
      </w:r>
      <w:r w:rsidR="00E64D71" w:rsidRPr="0084037D">
        <w:rPr>
          <w:noProof/>
        </w:rPr>
        <w:t>), namely targeted and recreational fisheries in the Mediterranean Sea.</w:t>
      </w:r>
    </w:p>
    <w:p w14:paraId="4781B6B2" w14:textId="77777777" w:rsidR="00E64D71" w:rsidRPr="0084037D" w:rsidRDefault="00A91347" w:rsidP="00A91347">
      <w:pPr>
        <w:pStyle w:val="ManualNumPar1"/>
        <w:rPr>
          <w:noProof/>
        </w:rPr>
      </w:pPr>
      <w:r w:rsidRPr="0084037D">
        <w:rPr>
          <w:noProof/>
        </w:rPr>
        <w:t>2.</w:t>
      </w:r>
      <w:r w:rsidRPr="0084037D">
        <w:rPr>
          <w:noProof/>
        </w:rPr>
        <w:tab/>
      </w:r>
      <w:r w:rsidR="00E64D71" w:rsidRPr="0084037D">
        <w:rPr>
          <w:noProof/>
        </w:rPr>
        <w:t>For targeted fisheries, the maximum number of fishing authorisations and the maximum quantities of red coral stocks harvested by Union fishing vessels and Union harvesting activities shall not exceed the levels set out in Annex I.</w:t>
      </w:r>
    </w:p>
    <w:p w14:paraId="564AA64D" w14:textId="77777777" w:rsidR="00E64D71" w:rsidRPr="0084037D" w:rsidRDefault="00A91347" w:rsidP="00A91347">
      <w:pPr>
        <w:pStyle w:val="ManualNumPar1"/>
        <w:rPr>
          <w:noProof/>
        </w:rPr>
      </w:pPr>
      <w:r w:rsidRPr="0084037D">
        <w:rPr>
          <w:noProof/>
        </w:rPr>
        <w:t>3.</w:t>
      </w:r>
      <w:r w:rsidRPr="0084037D">
        <w:rPr>
          <w:noProof/>
        </w:rPr>
        <w:tab/>
      </w:r>
      <w:r w:rsidR="00E64D71" w:rsidRPr="0084037D">
        <w:rPr>
          <w:noProof/>
        </w:rPr>
        <w:t xml:space="preserve">It shall be prohibited for Union fishing vessels subject to paragraph 2 to tranship red coral at sea. </w:t>
      </w:r>
    </w:p>
    <w:p w14:paraId="08DAB76F" w14:textId="77777777" w:rsidR="00E64D71" w:rsidRPr="0084037D" w:rsidRDefault="00A91347" w:rsidP="00A91347">
      <w:pPr>
        <w:pStyle w:val="ManualNumPar1"/>
        <w:rPr>
          <w:noProof/>
          <w:lang w:val="en-IE"/>
        </w:rPr>
      </w:pPr>
      <w:r w:rsidRPr="0084037D">
        <w:rPr>
          <w:noProof/>
        </w:rPr>
        <w:t>4.</w:t>
      </w:r>
      <w:r w:rsidRPr="0084037D">
        <w:rPr>
          <w:noProof/>
        </w:rPr>
        <w:tab/>
      </w:r>
      <w:r w:rsidR="00E64D71" w:rsidRPr="0084037D">
        <w:rPr>
          <w:noProof/>
        </w:rPr>
        <w:t>For recreational fisheries, Member States shall take the necessary measures to prohibit the catch</w:t>
      </w:r>
      <w:r w:rsidR="00E64D71" w:rsidRPr="0084037D">
        <w:rPr>
          <w:noProof/>
          <w:lang w:val="en-IE"/>
        </w:rPr>
        <w:t xml:space="preserve"> and retention on board, transhipment or landing of red coral. </w:t>
      </w:r>
    </w:p>
    <w:p w14:paraId="49BBE089" w14:textId="77777777" w:rsidR="000669A3" w:rsidRPr="0084037D" w:rsidRDefault="000669A3" w:rsidP="00D03F94">
      <w:pPr>
        <w:rPr>
          <w:noProof/>
          <w:lang w:val="en-IE"/>
        </w:rPr>
      </w:pPr>
    </w:p>
    <w:p w14:paraId="47A1BEFC" w14:textId="77777777" w:rsidR="00E64D71" w:rsidRPr="0084037D" w:rsidRDefault="00E64D71" w:rsidP="00E64D71">
      <w:pPr>
        <w:pStyle w:val="Titrearticle"/>
        <w:rPr>
          <w:noProof/>
        </w:rPr>
      </w:pPr>
      <w:r w:rsidRPr="0084037D">
        <w:rPr>
          <w:noProof/>
        </w:rPr>
        <w:t xml:space="preserve">Article </w:t>
      </w:r>
      <w:r w:rsidR="00E87CA4" w:rsidRPr="0084037D">
        <w:rPr>
          <w:noProof/>
        </w:rPr>
        <w:t>5</w:t>
      </w:r>
      <w:r w:rsidRPr="0084037D">
        <w:rPr>
          <w:noProof/>
        </w:rPr>
        <w:br/>
      </w:r>
      <w:r w:rsidRPr="0084037D">
        <w:rPr>
          <w:b/>
          <w:i w:val="0"/>
          <w:noProof/>
        </w:rPr>
        <w:t>Common dolphinfish</w:t>
      </w:r>
    </w:p>
    <w:p w14:paraId="2328B3DF" w14:textId="77777777" w:rsidR="00A9710E" w:rsidRPr="0084037D" w:rsidRDefault="00873436" w:rsidP="00844A67">
      <w:pPr>
        <w:pStyle w:val="ChapterTitle"/>
        <w:rPr>
          <w:b w:val="0"/>
          <w:bCs/>
          <w:noProof/>
          <w:sz w:val="28"/>
          <w:szCs w:val="28"/>
          <w:u w:val="single"/>
        </w:rPr>
      </w:pPr>
      <w:r w:rsidRPr="0084037D">
        <w:rPr>
          <w:b w:val="0"/>
          <w:bCs/>
          <w:noProof/>
          <w:sz w:val="28"/>
          <w:szCs w:val="28"/>
          <w:u w:val="single"/>
        </w:rPr>
        <w:t>[placeholder new measures]</w:t>
      </w:r>
    </w:p>
    <w:p w14:paraId="6B89422F" w14:textId="77777777" w:rsidR="00844A67" w:rsidRPr="0084037D" w:rsidRDefault="00844A67" w:rsidP="00844A67">
      <w:pPr>
        <w:pStyle w:val="ChapterTitle"/>
        <w:rPr>
          <w:noProof/>
        </w:rPr>
      </w:pPr>
      <w:r w:rsidRPr="0084037D">
        <w:rPr>
          <w:noProof/>
        </w:rPr>
        <w:t>CHAPTER II</w:t>
      </w:r>
      <w:r w:rsidRPr="0084037D">
        <w:rPr>
          <w:noProof/>
        </w:rPr>
        <w:br/>
        <w:t>Western Mediterranean Sea</w:t>
      </w:r>
    </w:p>
    <w:p w14:paraId="0BBCEC8E" w14:textId="77777777" w:rsidR="00844A67" w:rsidRPr="0084037D" w:rsidRDefault="00844A67" w:rsidP="00844A67">
      <w:pPr>
        <w:pStyle w:val="Titrearticle"/>
        <w:rPr>
          <w:b/>
          <w:i w:val="0"/>
          <w:noProof/>
        </w:rPr>
      </w:pPr>
      <w:r w:rsidRPr="0084037D">
        <w:rPr>
          <w:noProof/>
        </w:rPr>
        <w:t xml:space="preserve">Article </w:t>
      </w:r>
      <w:r w:rsidR="00E87CA4" w:rsidRPr="0084037D">
        <w:rPr>
          <w:noProof/>
        </w:rPr>
        <w:t>6</w:t>
      </w:r>
      <w:r w:rsidRPr="0084037D">
        <w:rPr>
          <w:noProof/>
        </w:rPr>
        <w:br/>
      </w:r>
      <w:r w:rsidRPr="0084037D">
        <w:rPr>
          <w:b/>
          <w:i w:val="0"/>
          <w:noProof/>
        </w:rPr>
        <w:t>Demersal stocks</w:t>
      </w:r>
    </w:p>
    <w:p w14:paraId="69CBB137" w14:textId="77777777" w:rsidR="00844A67" w:rsidRPr="0084037D" w:rsidRDefault="00A91347" w:rsidP="00A91347">
      <w:pPr>
        <w:pStyle w:val="ManualNumPar1"/>
        <w:rPr>
          <w:noProof/>
        </w:rPr>
      </w:pPr>
      <w:r w:rsidRPr="0084037D">
        <w:rPr>
          <w:noProof/>
        </w:rPr>
        <w:t>1.</w:t>
      </w:r>
      <w:r w:rsidRPr="0084037D">
        <w:rPr>
          <w:noProof/>
        </w:rPr>
        <w:tab/>
      </w:r>
      <w:r w:rsidR="00844A67" w:rsidRPr="0084037D">
        <w:rPr>
          <w:noProof/>
          <w:lang w:val="en-US"/>
        </w:rPr>
        <w:t xml:space="preserve">This </w:t>
      </w:r>
      <w:r w:rsidR="00844A67" w:rsidRPr="0084037D">
        <w:rPr>
          <w:noProof/>
        </w:rPr>
        <w:t xml:space="preserve">Article applies to all activities by Union fishing vessels and other Union fishing activities catching demersal stocks referred to in Article 1(2) of Regulation (EU) 2019/1022, in the western Mediterranean Sea. </w:t>
      </w:r>
    </w:p>
    <w:p w14:paraId="465A7C92" w14:textId="77777777" w:rsidR="00844A67" w:rsidRPr="0084037D" w:rsidRDefault="00A91347" w:rsidP="00A91347">
      <w:pPr>
        <w:pStyle w:val="ManualNumPar1"/>
        <w:rPr>
          <w:noProof/>
        </w:rPr>
      </w:pPr>
      <w:r w:rsidRPr="0084037D">
        <w:rPr>
          <w:noProof/>
        </w:rPr>
        <w:t>2.</w:t>
      </w:r>
      <w:r w:rsidRPr="0084037D">
        <w:rPr>
          <w:noProof/>
        </w:rPr>
        <w:tab/>
      </w:r>
      <w:r w:rsidR="00844A67" w:rsidRPr="0084037D">
        <w:rPr>
          <w:noProof/>
        </w:rPr>
        <w:t>The maximum allowa</w:t>
      </w:r>
      <w:r w:rsidR="0071645B" w:rsidRPr="0084037D">
        <w:rPr>
          <w:noProof/>
        </w:rPr>
        <w:t>ble fishing effort for trawl</w:t>
      </w:r>
      <w:r w:rsidR="00923FD2" w:rsidRPr="0084037D">
        <w:rPr>
          <w:noProof/>
        </w:rPr>
        <w:t>ers</w:t>
      </w:r>
      <w:r w:rsidR="0071645B" w:rsidRPr="0084037D">
        <w:rPr>
          <w:noProof/>
        </w:rPr>
        <w:t xml:space="preserve"> and</w:t>
      </w:r>
      <w:r w:rsidR="00844A67" w:rsidRPr="0084037D">
        <w:rPr>
          <w:noProof/>
        </w:rPr>
        <w:t xml:space="preserve"> longliners is set out in Annex</w:t>
      </w:r>
      <w:r w:rsidR="00F61B89" w:rsidRPr="0084037D">
        <w:rPr>
          <w:noProof/>
        </w:rPr>
        <w:t> </w:t>
      </w:r>
      <w:r w:rsidR="00844A67" w:rsidRPr="0084037D">
        <w:rPr>
          <w:noProof/>
        </w:rPr>
        <w:t>III to this Regulation. Member States shall manage the maximum allowable fishing effort in accordance with Article 9 of Regulation (EU) 2019/1022</w:t>
      </w:r>
      <w:r w:rsidR="00C63CAE" w:rsidRPr="0084037D">
        <w:rPr>
          <w:noProof/>
        </w:rPr>
        <w:t xml:space="preserve"> and Articles 26 to 34 of Regulation (EC) No 1224/2009</w:t>
      </w:r>
      <w:r w:rsidR="00FB6FB7" w:rsidRPr="0084037D">
        <w:rPr>
          <w:noProof/>
        </w:rPr>
        <w:t>.</w:t>
      </w:r>
    </w:p>
    <w:p w14:paraId="1869D4F8" w14:textId="77777777" w:rsidR="00844A67" w:rsidRPr="0084037D" w:rsidRDefault="00A91347" w:rsidP="00A91347">
      <w:pPr>
        <w:pStyle w:val="ManualNumPar1"/>
        <w:rPr>
          <w:noProof/>
        </w:rPr>
      </w:pPr>
      <w:r w:rsidRPr="0084037D">
        <w:rPr>
          <w:noProof/>
        </w:rPr>
        <w:t>3.</w:t>
      </w:r>
      <w:r w:rsidRPr="0084037D">
        <w:rPr>
          <w:noProof/>
        </w:rPr>
        <w:tab/>
      </w:r>
      <w:r w:rsidR="00844A67" w:rsidRPr="0084037D">
        <w:rPr>
          <w:noProof/>
        </w:rPr>
        <w:t xml:space="preserve">The allocation among Member States of maximum catch limits for Union fishing vessels in Union waters of the western Mediterranean Sea is </w:t>
      </w:r>
      <w:r w:rsidR="00C63CAE" w:rsidRPr="0084037D">
        <w:rPr>
          <w:noProof/>
        </w:rPr>
        <w:t xml:space="preserve">also </w:t>
      </w:r>
      <w:r w:rsidR="00844A67" w:rsidRPr="0084037D">
        <w:rPr>
          <w:noProof/>
        </w:rPr>
        <w:t>set out in Annex</w:t>
      </w:r>
      <w:r w:rsidR="00F61B89" w:rsidRPr="0084037D">
        <w:rPr>
          <w:noProof/>
        </w:rPr>
        <w:t> </w:t>
      </w:r>
      <w:r w:rsidR="00844A67" w:rsidRPr="0084037D">
        <w:rPr>
          <w:noProof/>
        </w:rPr>
        <w:t>III.</w:t>
      </w:r>
    </w:p>
    <w:p w14:paraId="2F1BDF19" w14:textId="77777777" w:rsidR="00622822" w:rsidRPr="0084037D" w:rsidRDefault="00844A67" w:rsidP="005A0E81">
      <w:pPr>
        <w:pStyle w:val="ManualNumPar1"/>
        <w:rPr>
          <w:noProof/>
        </w:rPr>
      </w:pPr>
      <w:r w:rsidRPr="0084037D">
        <w:rPr>
          <w:noProof/>
        </w:rPr>
        <w:t>4.</w:t>
      </w:r>
      <w:r w:rsidRPr="0084037D">
        <w:rPr>
          <w:noProof/>
        </w:rPr>
        <w:tab/>
      </w:r>
      <w:r w:rsidR="00622822" w:rsidRPr="0084037D">
        <w:rPr>
          <w:noProof/>
        </w:rPr>
        <w:t>The a</w:t>
      </w:r>
      <w:r w:rsidRPr="0084037D">
        <w:rPr>
          <w:noProof/>
        </w:rPr>
        <w:t>llocation of fishing opportunities</w:t>
      </w:r>
      <w:r w:rsidR="00695130" w:rsidRPr="0084037D">
        <w:rPr>
          <w:noProof/>
        </w:rPr>
        <w:t xml:space="preserve"> by Member States, as set out in this </w:t>
      </w:r>
      <w:r w:rsidR="00622822" w:rsidRPr="0084037D">
        <w:rPr>
          <w:noProof/>
        </w:rPr>
        <w:t>Article and Annex III</w:t>
      </w:r>
      <w:r w:rsidR="00695130" w:rsidRPr="0084037D">
        <w:rPr>
          <w:noProof/>
        </w:rPr>
        <w:t xml:space="preserve">, shall </w:t>
      </w:r>
      <w:r w:rsidR="00622822" w:rsidRPr="0084037D">
        <w:rPr>
          <w:noProof/>
        </w:rPr>
        <w:t>fulfil the following conditions:</w:t>
      </w:r>
    </w:p>
    <w:p w14:paraId="5B4A93FA" w14:textId="768B9E90" w:rsidR="00622822" w:rsidRPr="0084037D" w:rsidRDefault="004700A6" w:rsidP="004700A6">
      <w:pPr>
        <w:pStyle w:val="Point1"/>
        <w:rPr>
          <w:noProof/>
        </w:rPr>
      </w:pPr>
      <w:r w:rsidRPr="004700A6">
        <w:lastRenderedPageBreak/>
        <w:t>(a)</w:t>
      </w:r>
      <w:r w:rsidRPr="004700A6">
        <w:tab/>
      </w:r>
      <w:r w:rsidR="00622822" w:rsidRPr="0084037D">
        <w:rPr>
          <w:noProof/>
        </w:rPr>
        <w:tab/>
      </w:r>
      <w:r w:rsidR="00F61B89" w:rsidRPr="0084037D">
        <w:rPr>
          <w:noProof/>
        </w:rPr>
        <w:t>it</w:t>
      </w:r>
      <w:r w:rsidR="00622822" w:rsidRPr="0084037D">
        <w:rPr>
          <w:noProof/>
        </w:rPr>
        <w:t xml:space="preserve"> shall be </w:t>
      </w:r>
      <w:r w:rsidR="00695130" w:rsidRPr="0084037D">
        <w:rPr>
          <w:noProof/>
        </w:rPr>
        <w:t xml:space="preserve">in accordance with the criteria set out in Article 17 of Regulation </w:t>
      </w:r>
      <w:r w:rsidR="00622822" w:rsidRPr="0084037D">
        <w:rPr>
          <w:noProof/>
        </w:rPr>
        <w:tab/>
      </w:r>
      <w:r w:rsidR="00695130" w:rsidRPr="0084037D">
        <w:rPr>
          <w:noProof/>
        </w:rPr>
        <w:t>(EU) No 1380/2013</w:t>
      </w:r>
      <w:r w:rsidR="00622822" w:rsidRPr="0084037D">
        <w:rPr>
          <w:noProof/>
        </w:rPr>
        <w:t>;</w:t>
      </w:r>
      <w:r w:rsidR="00027024" w:rsidRPr="0084037D">
        <w:rPr>
          <w:noProof/>
        </w:rPr>
        <w:t xml:space="preserve"> </w:t>
      </w:r>
    </w:p>
    <w:p w14:paraId="571BCC1D" w14:textId="68288BE4" w:rsidR="00695130" w:rsidRPr="0084037D" w:rsidRDefault="004700A6" w:rsidP="004700A6">
      <w:pPr>
        <w:pStyle w:val="Point1"/>
        <w:rPr>
          <w:noProof/>
        </w:rPr>
      </w:pPr>
      <w:r w:rsidRPr="004700A6">
        <w:t>(b)</w:t>
      </w:r>
      <w:r w:rsidRPr="004700A6">
        <w:tab/>
      </w:r>
      <w:r w:rsidR="00695130" w:rsidRPr="0084037D">
        <w:rPr>
          <w:noProof/>
        </w:rPr>
        <w:t xml:space="preserve"> </w:t>
      </w:r>
      <w:r w:rsidR="00F61B89" w:rsidRPr="0084037D">
        <w:rPr>
          <w:noProof/>
        </w:rPr>
        <w:t>it</w:t>
      </w:r>
      <w:r w:rsidR="00622822" w:rsidRPr="0084037D">
        <w:rPr>
          <w:noProof/>
        </w:rPr>
        <w:t xml:space="preserve"> shall be </w:t>
      </w:r>
      <w:r w:rsidR="00695130" w:rsidRPr="0084037D">
        <w:rPr>
          <w:noProof/>
        </w:rPr>
        <w:t xml:space="preserve">without prejudice to: </w:t>
      </w:r>
    </w:p>
    <w:p w14:paraId="60725CC2" w14:textId="77777777" w:rsidR="00695130" w:rsidRPr="0084037D" w:rsidRDefault="00622822" w:rsidP="005A0E81">
      <w:pPr>
        <w:pStyle w:val="Point2"/>
        <w:rPr>
          <w:noProof/>
        </w:rPr>
      </w:pPr>
      <w:r w:rsidRPr="0084037D">
        <w:rPr>
          <w:noProof/>
        </w:rPr>
        <w:t>(i)</w:t>
      </w:r>
      <w:r w:rsidRPr="0084037D">
        <w:rPr>
          <w:noProof/>
        </w:rPr>
        <w:tab/>
      </w:r>
      <w:r w:rsidR="00695130" w:rsidRPr="0084037D">
        <w:rPr>
          <w:noProof/>
        </w:rPr>
        <w:t xml:space="preserve">exchanges made pursuant to Article 16(8) of Regulation (EU) No 1380/2013; </w:t>
      </w:r>
    </w:p>
    <w:p w14:paraId="1E5D71B8" w14:textId="77777777" w:rsidR="00695130" w:rsidRPr="0084037D" w:rsidRDefault="00622822" w:rsidP="005A0E81">
      <w:pPr>
        <w:pStyle w:val="Point2"/>
        <w:rPr>
          <w:noProof/>
        </w:rPr>
      </w:pPr>
      <w:r w:rsidRPr="0084037D">
        <w:rPr>
          <w:noProof/>
        </w:rPr>
        <w:t>(ii)</w:t>
      </w:r>
      <w:r w:rsidRPr="0084037D">
        <w:rPr>
          <w:noProof/>
        </w:rPr>
        <w:tab/>
      </w:r>
      <w:r w:rsidR="00695130" w:rsidRPr="0084037D">
        <w:rPr>
          <w:noProof/>
        </w:rPr>
        <w:t xml:space="preserve">deductions and reallocations made pursuant to Article 37 of Regulation (EC) </w:t>
      </w:r>
      <w:r w:rsidRPr="0084037D">
        <w:rPr>
          <w:noProof/>
        </w:rPr>
        <w:tab/>
      </w:r>
      <w:r w:rsidR="00075946" w:rsidRPr="0084037D">
        <w:rPr>
          <w:noProof/>
        </w:rPr>
        <w:t>No 1224/2009;</w:t>
      </w:r>
    </w:p>
    <w:p w14:paraId="01E06143" w14:textId="77777777" w:rsidR="0015138E" w:rsidRPr="0084037D" w:rsidRDefault="00622822" w:rsidP="005A0E81">
      <w:pPr>
        <w:pStyle w:val="Point2"/>
        <w:rPr>
          <w:noProof/>
        </w:rPr>
      </w:pPr>
      <w:r w:rsidRPr="0084037D">
        <w:rPr>
          <w:noProof/>
        </w:rPr>
        <w:t>(iii)</w:t>
      </w:r>
      <w:r w:rsidRPr="0084037D">
        <w:rPr>
          <w:noProof/>
        </w:rPr>
        <w:tab/>
      </w:r>
      <w:r w:rsidR="00695130" w:rsidRPr="0084037D">
        <w:rPr>
          <w:noProof/>
        </w:rPr>
        <w:t xml:space="preserve">additional landings allowed under Article 3 of </w:t>
      </w:r>
      <w:r w:rsidR="007476E2" w:rsidRPr="0084037D">
        <w:rPr>
          <w:noProof/>
        </w:rPr>
        <w:t xml:space="preserve">Council </w:t>
      </w:r>
      <w:r w:rsidR="00695130" w:rsidRPr="0084037D">
        <w:rPr>
          <w:noProof/>
        </w:rPr>
        <w:t>Regulation (EC) No 847/96 or under Article 15(9) o</w:t>
      </w:r>
      <w:r w:rsidR="00075946" w:rsidRPr="0084037D">
        <w:rPr>
          <w:noProof/>
        </w:rPr>
        <w:t>f Regulation (EU) No 1380/2013;</w:t>
      </w:r>
    </w:p>
    <w:p w14:paraId="17FFEA69" w14:textId="77777777" w:rsidR="00695130" w:rsidRPr="0084037D" w:rsidRDefault="00622822" w:rsidP="005A0E81">
      <w:pPr>
        <w:pStyle w:val="Point2"/>
        <w:rPr>
          <w:noProof/>
        </w:rPr>
      </w:pPr>
      <w:r w:rsidRPr="0084037D">
        <w:rPr>
          <w:noProof/>
        </w:rPr>
        <w:t>(iv)</w:t>
      </w:r>
      <w:r w:rsidRPr="0084037D">
        <w:rPr>
          <w:noProof/>
        </w:rPr>
        <w:tab/>
      </w:r>
      <w:r w:rsidR="00695130" w:rsidRPr="0084037D">
        <w:rPr>
          <w:noProof/>
        </w:rPr>
        <w:t xml:space="preserve">quantities withheld in accordance with Article 4 of Regulation (EC) No 847/96 or transferred under Article 15(9) of Regulation (EU) No 1380/2013; </w:t>
      </w:r>
    </w:p>
    <w:p w14:paraId="4FD071EC" w14:textId="77777777" w:rsidR="00695130" w:rsidRPr="0084037D" w:rsidRDefault="00622822" w:rsidP="005A0E81">
      <w:pPr>
        <w:pStyle w:val="Point2"/>
        <w:rPr>
          <w:noProof/>
        </w:rPr>
      </w:pPr>
      <w:r w:rsidRPr="0084037D">
        <w:rPr>
          <w:noProof/>
        </w:rPr>
        <w:t>(v)</w:t>
      </w:r>
      <w:r w:rsidRPr="0084037D">
        <w:rPr>
          <w:noProof/>
        </w:rPr>
        <w:tab/>
      </w:r>
      <w:r w:rsidR="00695130" w:rsidRPr="0084037D">
        <w:rPr>
          <w:noProof/>
        </w:rPr>
        <w:t xml:space="preserve">deductions made pursuant to Articles 105, 106 and 107 of Regulation (EC) No </w:t>
      </w:r>
      <w:r w:rsidRPr="0084037D">
        <w:rPr>
          <w:noProof/>
        </w:rPr>
        <w:tab/>
      </w:r>
      <w:r w:rsidR="00695130" w:rsidRPr="0084037D">
        <w:rPr>
          <w:noProof/>
        </w:rPr>
        <w:t>1224/2009</w:t>
      </w:r>
      <w:r w:rsidR="00027024" w:rsidRPr="0084037D">
        <w:rPr>
          <w:noProof/>
        </w:rPr>
        <w:t>.</w:t>
      </w:r>
    </w:p>
    <w:p w14:paraId="0AAF48EC" w14:textId="77777777" w:rsidR="00436A77" w:rsidRPr="0084037D" w:rsidRDefault="00436A77" w:rsidP="00734245">
      <w:pPr>
        <w:rPr>
          <w:noProof/>
        </w:rPr>
      </w:pPr>
    </w:p>
    <w:p w14:paraId="018D4594" w14:textId="77777777" w:rsidR="00436A77" w:rsidRPr="0084037D" w:rsidRDefault="00436A77" w:rsidP="00734245">
      <w:pPr>
        <w:jc w:val="center"/>
        <w:rPr>
          <w:b/>
          <w:noProof/>
        </w:rPr>
      </w:pPr>
      <w:r w:rsidRPr="0084037D">
        <w:rPr>
          <w:i/>
          <w:noProof/>
        </w:rPr>
        <w:t xml:space="preserve">Article </w:t>
      </w:r>
      <w:r w:rsidR="00E87CA4" w:rsidRPr="0084037D">
        <w:rPr>
          <w:i/>
          <w:noProof/>
        </w:rPr>
        <w:t>7</w:t>
      </w:r>
      <w:r w:rsidRPr="0084037D">
        <w:rPr>
          <w:b/>
          <w:i/>
          <w:noProof/>
        </w:rPr>
        <w:br/>
      </w:r>
      <w:r w:rsidRPr="0084037D">
        <w:rPr>
          <w:b/>
          <w:noProof/>
        </w:rPr>
        <w:t>Compensation mechanism</w:t>
      </w:r>
    </w:p>
    <w:p w14:paraId="23B2E8F4" w14:textId="77777777" w:rsidR="00A9710E" w:rsidRPr="0084037D" w:rsidRDefault="00A91347" w:rsidP="00A91347">
      <w:pPr>
        <w:pStyle w:val="ManualNumPar1"/>
        <w:rPr>
          <w:noProof/>
        </w:rPr>
      </w:pPr>
      <w:r w:rsidRPr="0084037D">
        <w:rPr>
          <w:noProof/>
        </w:rPr>
        <w:t>1.</w:t>
      </w:r>
      <w:r w:rsidRPr="0084037D">
        <w:rPr>
          <w:noProof/>
        </w:rPr>
        <w:tab/>
      </w:r>
      <w:r w:rsidR="00695130" w:rsidRPr="0084037D">
        <w:rPr>
          <w:noProof/>
        </w:rPr>
        <w:t>For the fleet segment concerned, a Member State may grant</w:t>
      </w:r>
      <w:r w:rsidR="00442FF6" w:rsidRPr="0084037D">
        <w:rPr>
          <w:noProof/>
        </w:rPr>
        <w:t>, in 2024,</w:t>
      </w:r>
      <w:r w:rsidR="00695130" w:rsidRPr="0084037D">
        <w:rPr>
          <w:noProof/>
        </w:rPr>
        <w:t xml:space="preserve"> to vessels flying its flag an additional allocation of fishing days </w:t>
      </w:r>
      <w:r w:rsidR="00442FF6" w:rsidRPr="0084037D">
        <w:rPr>
          <w:noProof/>
        </w:rPr>
        <w:t>of</w:t>
      </w:r>
      <w:r w:rsidR="00695130" w:rsidRPr="0084037D">
        <w:rPr>
          <w:noProof/>
        </w:rPr>
        <w:t xml:space="preserve"> pm</w:t>
      </w:r>
      <w:r w:rsidR="00247535" w:rsidRPr="0084037D">
        <w:rPr>
          <w:noProof/>
        </w:rPr>
        <w:t> </w:t>
      </w:r>
      <w:r w:rsidR="00695130" w:rsidRPr="0084037D">
        <w:rPr>
          <w:noProof/>
        </w:rPr>
        <w:t xml:space="preserve">% </w:t>
      </w:r>
      <w:r w:rsidR="00442FF6" w:rsidRPr="0084037D">
        <w:rPr>
          <w:noProof/>
        </w:rPr>
        <w:t>calculated from the baseline between 2015 and 2017 of that Member State as set out in paragraph 4</w:t>
      </w:r>
      <w:r w:rsidR="00695130" w:rsidRPr="0084037D">
        <w:rPr>
          <w:noProof/>
        </w:rPr>
        <w:t xml:space="preserve">. </w:t>
      </w:r>
    </w:p>
    <w:p w14:paraId="219F963C" w14:textId="77777777" w:rsidR="0043729D" w:rsidRPr="0084037D" w:rsidRDefault="00A91347" w:rsidP="00A91347">
      <w:pPr>
        <w:pStyle w:val="ManualNumPar1"/>
        <w:rPr>
          <w:noProof/>
        </w:rPr>
      </w:pPr>
      <w:r w:rsidRPr="0084037D">
        <w:rPr>
          <w:noProof/>
        </w:rPr>
        <w:t>2.</w:t>
      </w:r>
      <w:r w:rsidRPr="0084037D">
        <w:rPr>
          <w:noProof/>
        </w:rPr>
        <w:tab/>
      </w:r>
      <w:r w:rsidR="00557F7F" w:rsidRPr="0084037D">
        <w:rPr>
          <w:noProof/>
        </w:rPr>
        <w:t xml:space="preserve">The Member State concerned shall notify to the Commission the list of the fishing vessels concerned by such an additional allocation of fishing days, as well as the related number of additional fishing days. </w:t>
      </w:r>
    </w:p>
    <w:p w14:paraId="0253469E" w14:textId="77777777" w:rsidR="00557F7F" w:rsidRPr="0084037D" w:rsidRDefault="00A91347" w:rsidP="00A91347">
      <w:pPr>
        <w:pStyle w:val="ManualNumPar1"/>
        <w:rPr>
          <w:noProof/>
        </w:rPr>
      </w:pPr>
      <w:r w:rsidRPr="0084037D">
        <w:rPr>
          <w:noProof/>
        </w:rPr>
        <w:t>3.</w:t>
      </w:r>
      <w:r w:rsidRPr="0084037D">
        <w:rPr>
          <w:noProof/>
        </w:rPr>
        <w:tab/>
      </w:r>
      <w:r w:rsidR="00695130" w:rsidRPr="0084037D">
        <w:rPr>
          <w:noProof/>
        </w:rPr>
        <w:t xml:space="preserve">The </w:t>
      </w:r>
      <w:r w:rsidR="00442FF6" w:rsidRPr="0084037D">
        <w:rPr>
          <w:noProof/>
        </w:rPr>
        <w:t>additional allocation</w:t>
      </w:r>
      <w:r w:rsidR="00695130" w:rsidRPr="0084037D">
        <w:rPr>
          <w:noProof/>
        </w:rPr>
        <w:t xml:space="preserve"> shall be calculated from the</w:t>
      </w:r>
      <w:r w:rsidR="00296697" w:rsidRPr="0084037D">
        <w:rPr>
          <w:noProof/>
        </w:rPr>
        <w:t xml:space="preserve"> maximum</w:t>
      </w:r>
      <w:r w:rsidR="00442FF6" w:rsidRPr="0084037D">
        <w:rPr>
          <w:noProof/>
        </w:rPr>
        <w:t xml:space="preserve"> effort</w:t>
      </w:r>
      <w:r w:rsidR="00296697" w:rsidRPr="0084037D">
        <w:rPr>
          <w:noProof/>
        </w:rPr>
        <w:t xml:space="preserve"> allowed</w:t>
      </w:r>
      <w:r w:rsidR="00695130" w:rsidRPr="0084037D">
        <w:rPr>
          <w:noProof/>
        </w:rPr>
        <w:t xml:space="preserve"> </w:t>
      </w:r>
      <w:r w:rsidR="00442FF6" w:rsidRPr="0084037D">
        <w:rPr>
          <w:noProof/>
        </w:rPr>
        <w:t>in the baseline between 2015 and 2017 for the relevant fleet segment of the Member State concerned</w:t>
      </w:r>
      <w:r w:rsidR="00695130" w:rsidRPr="0084037D">
        <w:rPr>
          <w:noProof/>
        </w:rPr>
        <w:t xml:space="preserve"> as from </w:t>
      </w:r>
      <w:r w:rsidR="00296697" w:rsidRPr="0084037D">
        <w:rPr>
          <w:noProof/>
        </w:rPr>
        <w:t>1 January 202</w:t>
      </w:r>
      <w:r w:rsidR="00873436" w:rsidRPr="0084037D">
        <w:rPr>
          <w:noProof/>
        </w:rPr>
        <w:t>4</w:t>
      </w:r>
      <w:r w:rsidR="00695130" w:rsidRPr="0084037D">
        <w:rPr>
          <w:noProof/>
        </w:rPr>
        <w:t xml:space="preserve">. </w:t>
      </w:r>
    </w:p>
    <w:p w14:paraId="4FC8C9D1" w14:textId="77777777" w:rsidR="00695130" w:rsidRPr="0084037D" w:rsidRDefault="00A91347" w:rsidP="00A91347">
      <w:pPr>
        <w:pStyle w:val="ManualNumPar1"/>
        <w:rPr>
          <w:noProof/>
        </w:rPr>
      </w:pPr>
      <w:r w:rsidRPr="0084037D">
        <w:rPr>
          <w:noProof/>
        </w:rPr>
        <w:t>4.</w:t>
      </w:r>
      <w:r w:rsidRPr="0084037D">
        <w:rPr>
          <w:noProof/>
        </w:rPr>
        <w:tab/>
      </w:r>
      <w:r w:rsidR="00695130" w:rsidRPr="0084037D">
        <w:rPr>
          <w:noProof/>
        </w:rPr>
        <w:t xml:space="preserve">A Member State may </w:t>
      </w:r>
      <w:r w:rsidR="00F0189F" w:rsidRPr="0084037D">
        <w:rPr>
          <w:noProof/>
        </w:rPr>
        <w:t>grant the additional allocation of fishing days referred to in paragraph 1</w:t>
      </w:r>
      <w:r w:rsidR="00695130" w:rsidRPr="0084037D">
        <w:rPr>
          <w:noProof/>
        </w:rPr>
        <w:t>, provided that</w:t>
      </w:r>
      <w:r w:rsidR="00442FF6" w:rsidRPr="0084037D">
        <w:rPr>
          <w:noProof/>
        </w:rPr>
        <w:t xml:space="preserve"> a vessel fulfils one of the following conditions</w:t>
      </w:r>
      <w:r w:rsidR="00695130" w:rsidRPr="0084037D">
        <w:rPr>
          <w:noProof/>
        </w:rPr>
        <w:t xml:space="preserve">: </w:t>
      </w:r>
    </w:p>
    <w:p w14:paraId="64F331C7" w14:textId="31501453" w:rsidR="004E7BDC" w:rsidRPr="0084037D" w:rsidRDefault="004700A6" w:rsidP="004700A6">
      <w:pPr>
        <w:pStyle w:val="Point1"/>
        <w:rPr>
          <w:noProof/>
        </w:rPr>
      </w:pPr>
      <w:r w:rsidRPr="004700A6">
        <w:t>(a)</w:t>
      </w:r>
      <w:r w:rsidRPr="004700A6">
        <w:tab/>
      </w:r>
      <w:r w:rsidR="00695130" w:rsidRPr="0084037D">
        <w:rPr>
          <w:noProof/>
        </w:rPr>
        <w:t>th</w:t>
      </w:r>
      <w:r w:rsidR="00442FF6" w:rsidRPr="0084037D">
        <w:rPr>
          <w:noProof/>
        </w:rPr>
        <w:t>e</w:t>
      </w:r>
      <w:r w:rsidR="00695130" w:rsidRPr="0084037D">
        <w:rPr>
          <w:noProof/>
        </w:rPr>
        <w:t xml:space="preserve"> vessel use</w:t>
      </w:r>
      <w:r w:rsidR="00442FF6" w:rsidRPr="0084037D">
        <w:rPr>
          <w:noProof/>
        </w:rPr>
        <w:t>s</w:t>
      </w:r>
      <w:r w:rsidR="00695130" w:rsidRPr="0084037D">
        <w:rPr>
          <w:noProof/>
        </w:rPr>
        <w:t xml:space="preserve"> a trawl net with 45 mm square</w:t>
      </w:r>
      <w:r w:rsidR="00442FF6" w:rsidRPr="0084037D">
        <w:rPr>
          <w:noProof/>
        </w:rPr>
        <w:t>-</w:t>
      </w:r>
      <w:r w:rsidR="00695130" w:rsidRPr="0084037D">
        <w:rPr>
          <w:noProof/>
        </w:rPr>
        <w:t xml:space="preserve">mesh codend in order to reduce by at least 25 % catches of the juveniles of hake;  </w:t>
      </w:r>
    </w:p>
    <w:p w14:paraId="60C98618" w14:textId="1315404A" w:rsidR="00695130" w:rsidRPr="0084037D" w:rsidRDefault="004700A6" w:rsidP="004700A6">
      <w:pPr>
        <w:pStyle w:val="Point1"/>
        <w:rPr>
          <w:noProof/>
        </w:rPr>
      </w:pPr>
      <w:r w:rsidRPr="004700A6">
        <w:t>(b)</w:t>
      </w:r>
      <w:r w:rsidRPr="004700A6">
        <w:tab/>
      </w:r>
      <w:r w:rsidR="00695130" w:rsidRPr="0084037D">
        <w:rPr>
          <w:noProof/>
        </w:rPr>
        <w:t>th</w:t>
      </w:r>
      <w:r w:rsidR="00442FF6" w:rsidRPr="0084037D">
        <w:rPr>
          <w:noProof/>
        </w:rPr>
        <w:t>e</w:t>
      </w:r>
      <w:r w:rsidR="00695130" w:rsidRPr="0084037D">
        <w:rPr>
          <w:noProof/>
        </w:rPr>
        <w:t xml:space="preserve"> vessel use</w:t>
      </w:r>
      <w:r w:rsidR="00442FF6" w:rsidRPr="0084037D">
        <w:rPr>
          <w:noProof/>
        </w:rPr>
        <w:t>s</w:t>
      </w:r>
      <w:r w:rsidR="00695130" w:rsidRPr="0084037D">
        <w:rPr>
          <w:noProof/>
        </w:rPr>
        <w:t xml:space="preserve"> a trawl net with </w:t>
      </w:r>
      <w:r w:rsidR="00442FF6" w:rsidRPr="0084037D">
        <w:rPr>
          <w:noProof/>
        </w:rPr>
        <w:t>a</w:t>
      </w:r>
      <w:r w:rsidR="00695130" w:rsidRPr="0084037D">
        <w:rPr>
          <w:noProof/>
        </w:rPr>
        <w:t xml:space="preserve"> 50 mm square</w:t>
      </w:r>
      <w:r w:rsidR="00442FF6" w:rsidRPr="0084037D">
        <w:rPr>
          <w:noProof/>
        </w:rPr>
        <w:t>-</w:t>
      </w:r>
      <w:r w:rsidR="00695130" w:rsidRPr="0084037D">
        <w:rPr>
          <w:noProof/>
        </w:rPr>
        <w:t xml:space="preserve">mesh </w:t>
      </w:r>
      <w:r w:rsidR="00442FF6" w:rsidRPr="0084037D">
        <w:rPr>
          <w:noProof/>
        </w:rPr>
        <w:t xml:space="preserve">codend </w:t>
      </w:r>
      <w:r w:rsidR="00695130" w:rsidRPr="0084037D">
        <w:rPr>
          <w:noProof/>
        </w:rPr>
        <w:t>for deep</w:t>
      </w:r>
      <w:r w:rsidR="00442FF6" w:rsidRPr="0084037D">
        <w:rPr>
          <w:noProof/>
        </w:rPr>
        <w:t>-</w:t>
      </w:r>
      <w:r w:rsidR="00695130" w:rsidRPr="0084037D">
        <w:rPr>
          <w:noProof/>
        </w:rPr>
        <w:t>water fisheries in order to reduce by at least 25</w:t>
      </w:r>
      <w:r w:rsidR="00247535" w:rsidRPr="0084037D">
        <w:rPr>
          <w:noProof/>
        </w:rPr>
        <w:t> </w:t>
      </w:r>
      <w:r w:rsidR="00695130" w:rsidRPr="0084037D">
        <w:rPr>
          <w:noProof/>
        </w:rPr>
        <w:t>%</w:t>
      </w:r>
      <w:r w:rsidR="00247535" w:rsidRPr="0084037D">
        <w:rPr>
          <w:noProof/>
        </w:rPr>
        <w:t xml:space="preserve"> </w:t>
      </w:r>
      <w:r w:rsidR="00695130" w:rsidRPr="0084037D">
        <w:rPr>
          <w:noProof/>
        </w:rPr>
        <w:t xml:space="preserve">catches of blue and red shrimps </w:t>
      </w:r>
      <w:r w:rsidR="00442FF6" w:rsidRPr="0084037D">
        <w:rPr>
          <w:noProof/>
        </w:rPr>
        <w:t xml:space="preserve">with a carapace length (CL) of </w:t>
      </w:r>
      <w:r w:rsidR="00695130" w:rsidRPr="0084037D">
        <w:rPr>
          <w:noProof/>
        </w:rPr>
        <w:t>less than 25 mm</w:t>
      </w:r>
      <w:r w:rsidR="00571AF0" w:rsidRPr="0084037D">
        <w:rPr>
          <w:noProof/>
        </w:rPr>
        <w:t xml:space="preserve"> </w:t>
      </w:r>
      <w:r w:rsidR="00695130" w:rsidRPr="0084037D">
        <w:rPr>
          <w:noProof/>
        </w:rPr>
        <w:t>in geographical subareas 1, 2, 5, 6, 7, 8, 9, 10 and 11 and to reduce by at least 25 % catches of giant red shrimps</w:t>
      </w:r>
      <w:r w:rsidR="0024151E" w:rsidRPr="0084037D">
        <w:rPr>
          <w:noProof/>
        </w:rPr>
        <w:t xml:space="preserve"> with a CL</w:t>
      </w:r>
      <w:r w:rsidR="00695130" w:rsidRPr="0084037D">
        <w:rPr>
          <w:noProof/>
        </w:rPr>
        <w:t xml:space="preserve"> </w:t>
      </w:r>
      <w:r w:rsidR="0024151E" w:rsidRPr="0084037D">
        <w:rPr>
          <w:noProof/>
        </w:rPr>
        <w:t xml:space="preserve">of less than 35 mm </w:t>
      </w:r>
      <w:r w:rsidR="00695130" w:rsidRPr="0084037D">
        <w:rPr>
          <w:noProof/>
        </w:rPr>
        <w:t xml:space="preserve">in the geographical subareas 8, 9, 10 and 11; </w:t>
      </w:r>
    </w:p>
    <w:p w14:paraId="2E2A28A7" w14:textId="5E523702" w:rsidR="00695130" w:rsidRPr="0084037D" w:rsidRDefault="004700A6" w:rsidP="004700A6">
      <w:pPr>
        <w:pStyle w:val="Point1"/>
        <w:rPr>
          <w:noProof/>
        </w:rPr>
      </w:pPr>
      <w:r w:rsidRPr="004700A6">
        <w:t>(c)</w:t>
      </w:r>
      <w:r w:rsidRPr="004700A6">
        <w:tab/>
      </w:r>
      <w:r w:rsidR="00695130" w:rsidRPr="0084037D">
        <w:rPr>
          <w:noProof/>
        </w:rPr>
        <w:t>th</w:t>
      </w:r>
      <w:r w:rsidR="0024151E" w:rsidRPr="0084037D">
        <w:rPr>
          <w:noProof/>
        </w:rPr>
        <w:t>e</w:t>
      </w:r>
      <w:r w:rsidR="00695130" w:rsidRPr="0084037D">
        <w:rPr>
          <w:noProof/>
        </w:rPr>
        <w:t xml:space="preserve"> vessel use</w:t>
      </w:r>
      <w:r w:rsidR="0024151E" w:rsidRPr="0084037D">
        <w:rPr>
          <w:noProof/>
        </w:rPr>
        <w:t>s</w:t>
      </w:r>
      <w:r w:rsidR="00695130" w:rsidRPr="0084037D">
        <w:rPr>
          <w:noProof/>
        </w:rPr>
        <w:t xml:space="preserve"> a regulated highly selective gear, the technical specifications of which result in, according to the scientific study by STECF,</w:t>
      </w:r>
      <w:r w:rsidR="0024151E" w:rsidRPr="0084037D">
        <w:rPr>
          <w:noProof/>
        </w:rPr>
        <w:t xml:space="preserve"> a reduction of</w:t>
      </w:r>
      <w:r w:rsidR="00695130" w:rsidRPr="0084037D">
        <w:rPr>
          <w:noProof/>
        </w:rPr>
        <w:t xml:space="preserve"> at least 25 % of </w:t>
      </w:r>
      <w:r w:rsidR="0024151E" w:rsidRPr="0084037D">
        <w:rPr>
          <w:noProof/>
        </w:rPr>
        <w:t xml:space="preserve">catches of </w:t>
      </w:r>
      <w:r w:rsidR="00695130" w:rsidRPr="0084037D">
        <w:rPr>
          <w:noProof/>
        </w:rPr>
        <w:t>juveniles</w:t>
      </w:r>
      <w:r w:rsidR="0024151E" w:rsidRPr="0084037D">
        <w:rPr>
          <w:noProof/>
        </w:rPr>
        <w:t xml:space="preserve"> of all demersal species</w:t>
      </w:r>
      <w:r w:rsidR="00695130" w:rsidRPr="0084037D">
        <w:rPr>
          <w:noProof/>
        </w:rPr>
        <w:t xml:space="preserve"> or at least 20 % of catches of spawners of all demersal species compared to 2020</w:t>
      </w:r>
      <w:r w:rsidR="00247535" w:rsidRPr="0084037D">
        <w:rPr>
          <w:noProof/>
        </w:rPr>
        <w:t>,</w:t>
      </w:r>
      <w:r w:rsidR="0024151E" w:rsidRPr="0084037D">
        <w:rPr>
          <w:noProof/>
        </w:rPr>
        <w:t xml:space="preserve"> such as a sorting grid </w:t>
      </w:r>
      <w:r w:rsidR="00C379A8" w:rsidRPr="0084037D">
        <w:rPr>
          <w:noProof/>
        </w:rPr>
        <w:t xml:space="preserve">of at least </w:t>
      </w:r>
      <w:r w:rsidR="0024151E" w:rsidRPr="0084037D">
        <w:rPr>
          <w:noProof/>
        </w:rPr>
        <w:t>20 mm spacing</w:t>
      </w:r>
      <w:r w:rsidR="00695130" w:rsidRPr="0084037D">
        <w:rPr>
          <w:noProof/>
        </w:rPr>
        <w:t xml:space="preserve">;  </w:t>
      </w:r>
    </w:p>
    <w:p w14:paraId="226651A8" w14:textId="60A2BDA4" w:rsidR="0024151E" w:rsidRPr="0084037D" w:rsidRDefault="004700A6" w:rsidP="004700A6">
      <w:pPr>
        <w:pStyle w:val="Point1"/>
        <w:rPr>
          <w:noProof/>
        </w:rPr>
      </w:pPr>
      <w:r w:rsidRPr="004700A6">
        <w:t>(d)</w:t>
      </w:r>
      <w:r w:rsidRPr="004700A6">
        <w:tab/>
      </w:r>
      <w:r w:rsidR="00A91347" w:rsidRPr="0084037D">
        <w:rPr>
          <w:noProof/>
        </w:rPr>
        <w:tab/>
      </w:r>
      <w:r w:rsidR="00695130" w:rsidRPr="0084037D">
        <w:rPr>
          <w:noProof/>
        </w:rPr>
        <w:t xml:space="preserve">the Member State concerned has </w:t>
      </w:r>
      <w:r w:rsidR="0024151E" w:rsidRPr="0084037D">
        <w:rPr>
          <w:noProof/>
        </w:rPr>
        <w:t xml:space="preserve">established </w:t>
      </w:r>
      <w:r w:rsidR="00695130" w:rsidRPr="0084037D">
        <w:rPr>
          <w:noProof/>
        </w:rPr>
        <w:t xml:space="preserve">temporary closure areas in order to reduce by at least 25 % catches of juveniles of </w:t>
      </w:r>
      <w:r w:rsidR="0024151E" w:rsidRPr="0084037D">
        <w:rPr>
          <w:noProof/>
        </w:rPr>
        <w:t xml:space="preserve">all </w:t>
      </w:r>
      <w:r w:rsidR="00695130" w:rsidRPr="0084037D">
        <w:rPr>
          <w:noProof/>
        </w:rPr>
        <w:t xml:space="preserve">demersal species or </w:t>
      </w:r>
      <w:r w:rsidR="0024151E" w:rsidRPr="0084037D">
        <w:rPr>
          <w:noProof/>
        </w:rPr>
        <w:t xml:space="preserve">by </w:t>
      </w:r>
      <w:r w:rsidR="00695130" w:rsidRPr="0084037D">
        <w:rPr>
          <w:noProof/>
        </w:rPr>
        <w:t>at least 20 % catches of spawners of all demersal species</w:t>
      </w:r>
      <w:r w:rsidR="00562DFA" w:rsidRPr="0084037D">
        <w:rPr>
          <w:noProof/>
        </w:rPr>
        <w:t>;</w:t>
      </w:r>
    </w:p>
    <w:p w14:paraId="4A575C58" w14:textId="6567F805" w:rsidR="0024151E" w:rsidRPr="0084037D" w:rsidRDefault="004700A6" w:rsidP="004700A6">
      <w:pPr>
        <w:pStyle w:val="Point1"/>
        <w:rPr>
          <w:noProof/>
        </w:rPr>
      </w:pPr>
      <w:r w:rsidRPr="004700A6">
        <w:lastRenderedPageBreak/>
        <w:t>(e)</w:t>
      </w:r>
      <w:r w:rsidRPr="004700A6">
        <w:tab/>
      </w:r>
      <w:r w:rsidR="0024151E" w:rsidRPr="0084037D">
        <w:rPr>
          <w:noProof/>
        </w:rPr>
        <w:tab/>
        <w:t xml:space="preserve">the Member State concerned has adopted a new minimum conservation reference size for hake of at least 26 cm, </w:t>
      </w:r>
      <w:r w:rsidR="00C379A8" w:rsidRPr="0084037D">
        <w:rPr>
          <w:noProof/>
        </w:rPr>
        <w:t xml:space="preserve">and has secured the enforcement of appropriate technical measures to comply with this minimum conservation reference size, </w:t>
      </w:r>
      <w:r w:rsidR="0024151E" w:rsidRPr="0084037D">
        <w:rPr>
          <w:noProof/>
        </w:rPr>
        <w:t>in order to progressively reach the length at first maturity</w:t>
      </w:r>
      <w:r w:rsidR="00C379A8" w:rsidRPr="0084037D">
        <w:rPr>
          <w:noProof/>
        </w:rPr>
        <w:t xml:space="preserve"> and improve hake stock</w:t>
      </w:r>
      <w:r w:rsidR="008A08E2" w:rsidRPr="0084037D">
        <w:rPr>
          <w:noProof/>
        </w:rPr>
        <w:t>s</w:t>
      </w:r>
      <w:r w:rsidR="00C379A8" w:rsidRPr="0084037D">
        <w:rPr>
          <w:noProof/>
        </w:rPr>
        <w:t xml:space="preserve"> status</w:t>
      </w:r>
      <w:r w:rsidR="0024151E" w:rsidRPr="0084037D">
        <w:rPr>
          <w:noProof/>
        </w:rPr>
        <w:t>;</w:t>
      </w:r>
    </w:p>
    <w:p w14:paraId="147E6C4B" w14:textId="6F6DE145" w:rsidR="00155582" w:rsidRPr="0084037D" w:rsidRDefault="004700A6" w:rsidP="004700A6">
      <w:pPr>
        <w:pStyle w:val="Point1"/>
        <w:rPr>
          <w:noProof/>
        </w:rPr>
      </w:pPr>
      <w:bookmarkStart w:id="6" w:name="_Hlk138948407"/>
      <w:r w:rsidRPr="004700A6">
        <w:t>(f)</w:t>
      </w:r>
      <w:r w:rsidRPr="004700A6">
        <w:tab/>
      </w:r>
      <w:r w:rsidR="00155582" w:rsidRPr="0084037D">
        <w:rPr>
          <w:noProof/>
        </w:rPr>
        <w:tab/>
        <w:t>the Member State concerned has adopted a new minimum conservation reference size for blue and red shrimp (</w:t>
      </w:r>
      <w:r w:rsidR="00155582" w:rsidRPr="005A0E81">
        <w:rPr>
          <w:i/>
          <w:iCs/>
          <w:noProof/>
        </w:rPr>
        <w:t>Aristeus antennatus</w:t>
      </w:r>
      <w:r w:rsidR="00155582" w:rsidRPr="0084037D">
        <w:rPr>
          <w:noProof/>
        </w:rPr>
        <w:t>) of at least 25 mm CL and for giant red shrimp (</w:t>
      </w:r>
      <w:r w:rsidR="00155582" w:rsidRPr="005A0E81">
        <w:rPr>
          <w:i/>
          <w:iCs/>
          <w:noProof/>
        </w:rPr>
        <w:t>Aristaeomorpha foliacea</w:t>
      </w:r>
      <w:r w:rsidR="00155582" w:rsidRPr="0084037D">
        <w:rPr>
          <w:noProof/>
        </w:rPr>
        <w:t xml:space="preserve">) of at least 35 mm CL, and has secured the enforcement of appropriate technical measures to comply with those minimum conservation reference sizes, in order to progressively reach the length at first maturity and improve stocks status; </w:t>
      </w:r>
    </w:p>
    <w:bookmarkEnd w:id="6"/>
    <w:p w14:paraId="510D484B" w14:textId="39EDB60D" w:rsidR="00695130" w:rsidRPr="0084037D" w:rsidRDefault="004700A6" w:rsidP="004700A6">
      <w:pPr>
        <w:pStyle w:val="Point1"/>
        <w:rPr>
          <w:noProof/>
        </w:rPr>
      </w:pPr>
      <w:r w:rsidRPr="004700A6">
        <w:t>(g)</w:t>
      </w:r>
      <w:r w:rsidRPr="004700A6">
        <w:tab/>
      </w:r>
      <w:r w:rsidR="0024151E" w:rsidRPr="0084037D">
        <w:rPr>
          <w:noProof/>
        </w:rPr>
        <w:tab/>
        <w:t xml:space="preserve">the Member State concerned has set a closure of at least </w:t>
      </w:r>
      <w:r w:rsidR="008A08E2" w:rsidRPr="0084037D">
        <w:rPr>
          <w:noProof/>
        </w:rPr>
        <w:t>4</w:t>
      </w:r>
      <w:r w:rsidR="0024151E" w:rsidRPr="0084037D">
        <w:rPr>
          <w:noProof/>
        </w:rPr>
        <w:t xml:space="preserve"> continous weeks for fishing activities with trawlers in the areas and periods recognised as important, on the basis of the best available scientific advice, for the protection of spawners of hake stocks. Such areas shall also account for spatial patterns of spawners’ distribution, including depths from 150 m to 500 m. The periods of the temporary fishing closure shall be from February to March and from October to November.</w:t>
      </w:r>
      <w:r w:rsidR="008A08E2" w:rsidRPr="005A0E81">
        <w:rPr>
          <w:i/>
          <w:iCs/>
          <w:noProof/>
        </w:rPr>
        <w:t xml:space="preserve"> </w:t>
      </w:r>
    </w:p>
    <w:p w14:paraId="059B574A" w14:textId="77777777" w:rsidR="00844A67" w:rsidRPr="0084037D" w:rsidRDefault="00A91347" w:rsidP="00A91347">
      <w:pPr>
        <w:pStyle w:val="ManualNumPar1"/>
        <w:rPr>
          <w:noProof/>
        </w:rPr>
      </w:pPr>
      <w:r w:rsidRPr="0084037D">
        <w:rPr>
          <w:noProof/>
        </w:rPr>
        <w:t>5.</w:t>
      </w:r>
      <w:r w:rsidRPr="0084037D">
        <w:rPr>
          <w:noProof/>
        </w:rPr>
        <w:tab/>
      </w:r>
      <w:r w:rsidR="00844A67" w:rsidRPr="0084037D">
        <w:rPr>
          <w:noProof/>
        </w:rPr>
        <w:t xml:space="preserve">The Member State concerned shall also separately notify every month to the Commission the effort deployed to be counted against </w:t>
      </w:r>
      <w:r w:rsidR="008A2F2C" w:rsidRPr="0084037D">
        <w:rPr>
          <w:noProof/>
        </w:rPr>
        <w:t>the</w:t>
      </w:r>
      <w:r w:rsidR="00844A67" w:rsidRPr="0084037D">
        <w:rPr>
          <w:noProof/>
        </w:rPr>
        <w:t xml:space="preserve"> additional allocation</w:t>
      </w:r>
      <w:r w:rsidR="00137464" w:rsidRPr="0084037D">
        <w:rPr>
          <w:noProof/>
        </w:rPr>
        <w:t xml:space="preserve"> referred to in pa</w:t>
      </w:r>
      <w:r w:rsidR="00501BDA" w:rsidRPr="0084037D">
        <w:rPr>
          <w:noProof/>
        </w:rPr>
        <w:t>r</w:t>
      </w:r>
      <w:r w:rsidR="00137464" w:rsidRPr="0084037D">
        <w:rPr>
          <w:noProof/>
        </w:rPr>
        <w:t>agraph</w:t>
      </w:r>
      <w:r w:rsidR="00A77125" w:rsidRPr="0084037D">
        <w:rPr>
          <w:noProof/>
        </w:rPr>
        <w:t> </w:t>
      </w:r>
      <w:r w:rsidR="008A2F2C" w:rsidRPr="0084037D">
        <w:rPr>
          <w:noProof/>
        </w:rPr>
        <w:t>1</w:t>
      </w:r>
      <w:r w:rsidR="00844A67" w:rsidRPr="0084037D">
        <w:rPr>
          <w:noProof/>
        </w:rPr>
        <w:t xml:space="preserve"> by using the specific reporting codes for </w:t>
      </w:r>
      <w:r w:rsidR="00137464" w:rsidRPr="0084037D">
        <w:rPr>
          <w:noProof/>
        </w:rPr>
        <w:t>that</w:t>
      </w:r>
      <w:r w:rsidR="00844A67" w:rsidRPr="0084037D">
        <w:rPr>
          <w:noProof/>
        </w:rPr>
        <w:t xml:space="preserve"> allocation</w:t>
      </w:r>
      <w:r w:rsidR="00137464" w:rsidRPr="0084037D">
        <w:rPr>
          <w:noProof/>
        </w:rPr>
        <w:t>.</w:t>
      </w:r>
    </w:p>
    <w:p w14:paraId="337076E5" w14:textId="77777777" w:rsidR="00844A67" w:rsidRPr="0084037D" w:rsidRDefault="00A91347" w:rsidP="00A17F1C">
      <w:pPr>
        <w:pStyle w:val="ManualNumPar1"/>
        <w:rPr>
          <w:noProof/>
        </w:rPr>
      </w:pPr>
      <w:r w:rsidRPr="0084037D">
        <w:rPr>
          <w:noProof/>
        </w:rPr>
        <w:t>6.</w:t>
      </w:r>
      <w:r w:rsidRPr="0084037D">
        <w:rPr>
          <w:noProof/>
        </w:rPr>
        <w:tab/>
      </w:r>
      <w:r w:rsidR="00844A67" w:rsidRPr="0084037D">
        <w:rPr>
          <w:noProof/>
        </w:rPr>
        <w:t xml:space="preserve">The Member State concerned shall submit to the Commission, </w:t>
      </w:r>
      <w:r w:rsidR="00137464" w:rsidRPr="0084037D">
        <w:rPr>
          <w:noProof/>
        </w:rPr>
        <w:t xml:space="preserve">by 15 October </w:t>
      </w:r>
      <w:r w:rsidR="00844A67" w:rsidRPr="0084037D">
        <w:rPr>
          <w:noProof/>
        </w:rPr>
        <w:t>at the latest, all available information related to the implementation of the measures referred to in</w:t>
      </w:r>
      <w:r w:rsidR="00137464" w:rsidRPr="0084037D">
        <w:rPr>
          <w:noProof/>
        </w:rPr>
        <w:t xml:space="preserve"> paragraph 4,</w:t>
      </w:r>
      <w:r w:rsidR="00844A67" w:rsidRPr="0084037D">
        <w:rPr>
          <w:noProof/>
        </w:rPr>
        <w:t xml:space="preserve"> </w:t>
      </w:r>
      <w:r w:rsidR="00436A77" w:rsidRPr="0084037D">
        <w:rPr>
          <w:noProof/>
        </w:rPr>
        <w:t>points</w:t>
      </w:r>
      <w:r w:rsidR="00844A67" w:rsidRPr="0084037D">
        <w:rPr>
          <w:noProof/>
        </w:rPr>
        <w:t xml:space="preserve"> </w:t>
      </w:r>
      <w:r w:rsidR="00A21729" w:rsidRPr="0084037D">
        <w:rPr>
          <w:noProof/>
        </w:rPr>
        <w:t>(</w:t>
      </w:r>
      <w:r w:rsidR="00844A67" w:rsidRPr="0084037D">
        <w:rPr>
          <w:noProof/>
        </w:rPr>
        <w:t>a</w:t>
      </w:r>
      <w:r w:rsidR="00137464" w:rsidRPr="0084037D">
        <w:rPr>
          <w:noProof/>
        </w:rPr>
        <w:t>) to (</w:t>
      </w:r>
      <w:r w:rsidR="007E0F20" w:rsidRPr="0084037D">
        <w:rPr>
          <w:noProof/>
        </w:rPr>
        <w:t>g</w:t>
      </w:r>
      <w:r w:rsidR="00137464" w:rsidRPr="0084037D">
        <w:rPr>
          <w:noProof/>
        </w:rPr>
        <w:t>)</w:t>
      </w:r>
      <w:r w:rsidR="000872F8" w:rsidRPr="0084037D">
        <w:rPr>
          <w:noProof/>
        </w:rPr>
        <w:t>.</w:t>
      </w:r>
      <w:r w:rsidR="00844A67" w:rsidRPr="0084037D">
        <w:rPr>
          <w:noProof/>
        </w:rPr>
        <w:t xml:space="preserve"> </w:t>
      </w:r>
    </w:p>
    <w:p w14:paraId="7C8DEDD4" w14:textId="77777777" w:rsidR="00844A67" w:rsidRPr="0084037D" w:rsidRDefault="00D8118C" w:rsidP="00844A67">
      <w:pPr>
        <w:pStyle w:val="Titrearticle"/>
        <w:rPr>
          <w:b/>
          <w:i w:val="0"/>
          <w:noProof/>
        </w:rPr>
      </w:pPr>
      <w:r w:rsidRPr="0084037D">
        <w:rPr>
          <w:noProof/>
        </w:rPr>
        <w:t xml:space="preserve">Article </w:t>
      </w:r>
      <w:r w:rsidR="00E87CA4" w:rsidRPr="0084037D">
        <w:rPr>
          <w:noProof/>
        </w:rPr>
        <w:t>8</w:t>
      </w:r>
      <w:r w:rsidR="00844A67" w:rsidRPr="0084037D">
        <w:rPr>
          <w:noProof/>
        </w:rPr>
        <w:br/>
      </w:r>
      <w:r w:rsidR="00844A67" w:rsidRPr="0084037D">
        <w:rPr>
          <w:b/>
          <w:i w:val="0"/>
          <w:noProof/>
        </w:rPr>
        <w:t xml:space="preserve">Data </w:t>
      </w:r>
      <w:r w:rsidR="00BC37F0" w:rsidRPr="0084037D">
        <w:rPr>
          <w:b/>
          <w:i w:val="0"/>
          <w:noProof/>
        </w:rPr>
        <w:t xml:space="preserve">recording and </w:t>
      </w:r>
      <w:r w:rsidR="00844A67" w:rsidRPr="0084037D">
        <w:rPr>
          <w:b/>
          <w:i w:val="0"/>
          <w:noProof/>
        </w:rPr>
        <w:t>transmission</w:t>
      </w:r>
      <w:r w:rsidR="00844A67" w:rsidRPr="0084037D">
        <w:rPr>
          <w:b/>
          <w:i w:val="0"/>
          <w:noProof/>
        </w:rPr>
        <w:br/>
      </w:r>
    </w:p>
    <w:p w14:paraId="6BE9D885" w14:textId="77777777" w:rsidR="00844A67" w:rsidRPr="0084037D" w:rsidRDefault="00695130" w:rsidP="005A0E81">
      <w:pPr>
        <w:pStyle w:val="ManualNumPar1"/>
        <w:rPr>
          <w:noProof/>
        </w:rPr>
      </w:pPr>
      <w:r w:rsidRPr="0084037D">
        <w:rPr>
          <w:noProof/>
        </w:rPr>
        <w:t>1.</w:t>
      </w:r>
      <w:r w:rsidRPr="0084037D">
        <w:rPr>
          <w:noProof/>
        </w:rPr>
        <w:tab/>
      </w:r>
      <w:r w:rsidR="00844A67" w:rsidRPr="0084037D">
        <w:rPr>
          <w:noProof/>
        </w:rPr>
        <w:t xml:space="preserve">Member States shall record and transmit the fishing effort data to the Commission in accordance with Article 10 of Regulation (EU) 2019/1022.  </w:t>
      </w:r>
    </w:p>
    <w:p w14:paraId="052465EC" w14:textId="77777777" w:rsidR="00650CD3" w:rsidRPr="0084037D" w:rsidRDefault="00695130" w:rsidP="005A0E81">
      <w:pPr>
        <w:pStyle w:val="ManualNumPar1"/>
        <w:rPr>
          <w:noProof/>
        </w:rPr>
      </w:pPr>
      <w:r w:rsidRPr="0084037D">
        <w:rPr>
          <w:noProof/>
        </w:rPr>
        <w:t>2.</w:t>
      </w:r>
      <w:r w:rsidRPr="0084037D">
        <w:rPr>
          <w:noProof/>
        </w:rPr>
        <w:tab/>
      </w:r>
      <w:r w:rsidR="00844A67" w:rsidRPr="0084037D">
        <w:rPr>
          <w:noProof/>
        </w:rPr>
        <w:t xml:space="preserve">When submitting </w:t>
      </w:r>
      <w:r w:rsidR="00962B76" w:rsidRPr="0084037D">
        <w:rPr>
          <w:noProof/>
        </w:rPr>
        <w:t xml:space="preserve">fishing </w:t>
      </w:r>
      <w:r w:rsidR="00844A67" w:rsidRPr="0084037D">
        <w:rPr>
          <w:noProof/>
        </w:rPr>
        <w:t xml:space="preserve">effort data to the Commission in accordance with this Article, Member States shall use the fishing effort group codes set out in Annex III. </w:t>
      </w:r>
    </w:p>
    <w:p w14:paraId="6066CF19" w14:textId="77777777" w:rsidR="004E7BDC" w:rsidRPr="0084037D" w:rsidRDefault="004E7BDC" w:rsidP="00D63054">
      <w:pPr>
        <w:rPr>
          <w:noProof/>
        </w:rPr>
      </w:pPr>
    </w:p>
    <w:p w14:paraId="6323CD0B" w14:textId="77777777" w:rsidR="00695130" w:rsidRPr="0084037D" w:rsidRDefault="00695130" w:rsidP="00695130">
      <w:pPr>
        <w:pStyle w:val="ChapterTitle"/>
        <w:rPr>
          <w:noProof/>
        </w:rPr>
      </w:pPr>
      <w:r w:rsidRPr="0084037D">
        <w:rPr>
          <w:noProof/>
        </w:rPr>
        <w:t>CHAPTER III</w:t>
      </w:r>
      <w:r w:rsidRPr="0084037D">
        <w:rPr>
          <w:noProof/>
        </w:rPr>
        <w:br/>
        <w:t>Adriatic Sea</w:t>
      </w:r>
    </w:p>
    <w:p w14:paraId="6F7E0C77" w14:textId="77777777" w:rsidR="00695130" w:rsidRPr="0084037D" w:rsidRDefault="00695130" w:rsidP="00A17F1C">
      <w:pPr>
        <w:pStyle w:val="Titrearticle"/>
        <w:rPr>
          <w:noProof/>
        </w:rPr>
      </w:pPr>
      <w:r w:rsidRPr="0084037D">
        <w:rPr>
          <w:noProof/>
        </w:rPr>
        <w:t>A</w:t>
      </w:r>
      <w:r w:rsidR="00D8118C" w:rsidRPr="0084037D">
        <w:rPr>
          <w:noProof/>
        </w:rPr>
        <w:t xml:space="preserve">rticle </w:t>
      </w:r>
      <w:r w:rsidR="00E87CA4" w:rsidRPr="0084037D">
        <w:rPr>
          <w:noProof/>
        </w:rPr>
        <w:t>9</w:t>
      </w:r>
      <w:r w:rsidRPr="0084037D">
        <w:rPr>
          <w:b/>
          <w:noProof/>
        </w:rPr>
        <w:br/>
      </w:r>
      <w:r w:rsidRPr="0084037D">
        <w:rPr>
          <w:b/>
          <w:i w:val="0"/>
          <w:iCs/>
          <w:noProof/>
        </w:rPr>
        <w:t>Small pelagic stocks</w:t>
      </w:r>
      <w:r w:rsidRPr="0084037D">
        <w:rPr>
          <w:noProof/>
        </w:rPr>
        <w:t xml:space="preserve"> </w:t>
      </w:r>
    </w:p>
    <w:p w14:paraId="51B11988" w14:textId="77777777" w:rsidR="00A9710E" w:rsidRPr="0084037D" w:rsidRDefault="00695130" w:rsidP="005A0E81">
      <w:pPr>
        <w:pStyle w:val="ManualNumPar1"/>
        <w:rPr>
          <w:noProof/>
        </w:rPr>
      </w:pPr>
      <w:r w:rsidRPr="0084037D">
        <w:rPr>
          <w:noProof/>
        </w:rPr>
        <w:t>1.</w:t>
      </w:r>
      <w:r w:rsidRPr="0084037D">
        <w:rPr>
          <w:noProof/>
        </w:rPr>
        <w:tab/>
        <w:t>This Article applies to all activities by Union fishing vessels and other Union fishing activities catching sardine (</w:t>
      </w:r>
      <w:r w:rsidRPr="0084037D">
        <w:rPr>
          <w:i/>
          <w:noProof/>
        </w:rPr>
        <w:t>Sardina pilchardus</w:t>
      </w:r>
      <w:r w:rsidRPr="0084037D">
        <w:rPr>
          <w:noProof/>
        </w:rPr>
        <w:t>) and anchovy (</w:t>
      </w:r>
      <w:r w:rsidRPr="0084037D">
        <w:rPr>
          <w:i/>
          <w:noProof/>
        </w:rPr>
        <w:t>Engraulis encrasicolus</w:t>
      </w:r>
      <w:r w:rsidRPr="0084037D">
        <w:rPr>
          <w:noProof/>
        </w:rPr>
        <w:t>) in the Adriatic Sea.</w:t>
      </w:r>
    </w:p>
    <w:p w14:paraId="122D4A41" w14:textId="77777777" w:rsidR="00A9710E" w:rsidRPr="0084037D" w:rsidRDefault="00695130" w:rsidP="005A0E81">
      <w:pPr>
        <w:pStyle w:val="ManualNumPar1"/>
        <w:rPr>
          <w:noProof/>
        </w:rPr>
      </w:pPr>
      <w:r w:rsidRPr="0084037D">
        <w:rPr>
          <w:noProof/>
        </w:rPr>
        <w:t xml:space="preserve">2. </w:t>
      </w:r>
      <w:r w:rsidR="00A9710E" w:rsidRPr="0084037D">
        <w:rPr>
          <w:noProof/>
        </w:rPr>
        <w:tab/>
      </w:r>
      <w:r w:rsidRPr="0084037D">
        <w:rPr>
          <w:noProof/>
        </w:rPr>
        <w:t>The maximum level of catches shall not exceed t</w:t>
      </w:r>
      <w:r w:rsidR="00A9710E" w:rsidRPr="0084037D">
        <w:rPr>
          <w:noProof/>
        </w:rPr>
        <w:t xml:space="preserve">he levels set out in Annex IV. </w:t>
      </w:r>
    </w:p>
    <w:p w14:paraId="6E865CE7" w14:textId="77777777" w:rsidR="00695130" w:rsidRPr="0084037D" w:rsidRDefault="00A9710E" w:rsidP="005A0E81">
      <w:pPr>
        <w:pStyle w:val="ManualNumPar1"/>
        <w:rPr>
          <w:noProof/>
        </w:rPr>
      </w:pPr>
      <w:r w:rsidRPr="0084037D">
        <w:rPr>
          <w:noProof/>
        </w:rPr>
        <w:t>3.</w:t>
      </w:r>
      <w:r w:rsidRPr="0084037D">
        <w:rPr>
          <w:noProof/>
        </w:rPr>
        <w:tab/>
      </w:r>
      <w:r w:rsidR="00695130" w:rsidRPr="0084037D">
        <w:rPr>
          <w:noProof/>
        </w:rPr>
        <w:t xml:space="preserve">The maximum fleet capacity, expressed </w:t>
      </w:r>
      <w:r w:rsidR="008F030A" w:rsidRPr="0084037D">
        <w:rPr>
          <w:noProof/>
        </w:rPr>
        <w:t>in</w:t>
      </w:r>
      <w:r w:rsidR="00695130" w:rsidRPr="0084037D">
        <w:rPr>
          <w:noProof/>
        </w:rPr>
        <w:t xml:space="preserve"> kW, </w:t>
      </w:r>
      <w:r w:rsidR="008F030A" w:rsidRPr="0084037D">
        <w:rPr>
          <w:noProof/>
        </w:rPr>
        <w:t>gross tonnage (</w:t>
      </w:r>
      <w:r w:rsidR="00695130" w:rsidRPr="0084037D">
        <w:rPr>
          <w:noProof/>
        </w:rPr>
        <w:t>GT</w:t>
      </w:r>
      <w:r w:rsidR="008F030A" w:rsidRPr="0084037D">
        <w:rPr>
          <w:noProof/>
        </w:rPr>
        <w:t>)</w:t>
      </w:r>
      <w:r w:rsidR="00695130" w:rsidRPr="0084037D">
        <w:rPr>
          <w:noProof/>
        </w:rPr>
        <w:t xml:space="preserve"> and number, of Union fishing vessels authorised to fish small pelagic stocks, is set out in Annex IV</w:t>
      </w:r>
      <w:r w:rsidRPr="0084037D">
        <w:rPr>
          <w:noProof/>
        </w:rPr>
        <w:t>.</w:t>
      </w:r>
    </w:p>
    <w:p w14:paraId="33A6FA16" w14:textId="77777777" w:rsidR="000669A3" w:rsidRPr="0084037D" w:rsidRDefault="000669A3" w:rsidP="005A0E81">
      <w:pPr>
        <w:pStyle w:val="ManualNumPar1"/>
        <w:rPr>
          <w:noProof/>
        </w:rPr>
      </w:pPr>
      <w:r w:rsidRPr="0084037D">
        <w:rPr>
          <w:noProof/>
        </w:rPr>
        <w:lastRenderedPageBreak/>
        <w:t>4.</w:t>
      </w:r>
      <w:r w:rsidRPr="0084037D">
        <w:rPr>
          <w:noProof/>
        </w:rPr>
        <w:tab/>
        <w:t xml:space="preserve">Articles 3 and 4 of Regulation (EC) No 847/96 shall not apply where a Member State uses the year-to-year flexibility provided for in Article 15(9) of Regulation (EU) No 1380/2013. </w:t>
      </w:r>
    </w:p>
    <w:p w14:paraId="27D4F4B0" w14:textId="77777777" w:rsidR="000669A3" w:rsidRPr="0084037D" w:rsidRDefault="000669A3" w:rsidP="00695130">
      <w:pPr>
        <w:rPr>
          <w:noProof/>
        </w:rPr>
      </w:pPr>
    </w:p>
    <w:p w14:paraId="2FBBBD7C" w14:textId="77777777" w:rsidR="00695130" w:rsidRPr="0084037D" w:rsidRDefault="00D8118C" w:rsidP="00A17F1C">
      <w:pPr>
        <w:pStyle w:val="Titrearticle"/>
        <w:rPr>
          <w:b/>
          <w:noProof/>
        </w:rPr>
      </w:pPr>
      <w:r w:rsidRPr="0084037D">
        <w:rPr>
          <w:noProof/>
        </w:rPr>
        <w:t>Article 1</w:t>
      </w:r>
      <w:r w:rsidR="00E87CA4" w:rsidRPr="0084037D">
        <w:rPr>
          <w:noProof/>
        </w:rPr>
        <w:t>0</w:t>
      </w:r>
      <w:r w:rsidR="00695130" w:rsidRPr="0084037D">
        <w:rPr>
          <w:noProof/>
        </w:rPr>
        <w:br/>
      </w:r>
      <w:r w:rsidR="00695130" w:rsidRPr="0084037D">
        <w:rPr>
          <w:b/>
          <w:i w:val="0"/>
          <w:iCs/>
          <w:noProof/>
        </w:rPr>
        <w:t>Demersal stocks</w:t>
      </w:r>
      <w:r w:rsidR="00695130" w:rsidRPr="0084037D">
        <w:rPr>
          <w:b/>
          <w:noProof/>
        </w:rPr>
        <w:t xml:space="preserve"> </w:t>
      </w:r>
    </w:p>
    <w:p w14:paraId="506104B4" w14:textId="77777777" w:rsidR="00695130" w:rsidRPr="0084037D" w:rsidRDefault="00A91347" w:rsidP="00A91347">
      <w:pPr>
        <w:pStyle w:val="ManualNumPar1"/>
        <w:rPr>
          <w:noProof/>
        </w:rPr>
      </w:pPr>
      <w:r w:rsidRPr="0084037D">
        <w:rPr>
          <w:noProof/>
        </w:rPr>
        <w:t>1.</w:t>
      </w:r>
      <w:r w:rsidRPr="0084037D">
        <w:rPr>
          <w:noProof/>
        </w:rPr>
        <w:tab/>
      </w:r>
      <w:r w:rsidR="00695130" w:rsidRPr="0084037D">
        <w:rPr>
          <w:noProof/>
        </w:rPr>
        <w:t>This Article applies to all activities by Union fishing vessels and other Union fishing activities catching European hake (</w:t>
      </w:r>
      <w:r w:rsidR="00695130" w:rsidRPr="0084037D">
        <w:rPr>
          <w:i/>
          <w:noProof/>
        </w:rPr>
        <w:t>Merluccius merluccius</w:t>
      </w:r>
      <w:r w:rsidR="00695130" w:rsidRPr="0084037D">
        <w:rPr>
          <w:noProof/>
        </w:rPr>
        <w:t>), Norway lobster (</w:t>
      </w:r>
      <w:r w:rsidR="00695130" w:rsidRPr="0084037D">
        <w:rPr>
          <w:i/>
          <w:noProof/>
        </w:rPr>
        <w:t>Nephrops norvegicus</w:t>
      </w:r>
      <w:r w:rsidR="00695130" w:rsidRPr="0084037D">
        <w:rPr>
          <w:noProof/>
        </w:rPr>
        <w:t xml:space="preserve">), </w:t>
      </w:r>
      <w:r w:rsidR="00AF116D" w:rsidRPr="0084037D">
        <w:rPr>
          <w:noProof/>
        </w:rPr>
        <w:t>c</w:t>
      </w:r>
      <w:r w:rsidR="00695130" w:rsidRPr="0084037D">
        <w:rPr>
          <w:noProof/>
        </w:rPr>
        <w:t>ommon sole (</w:t>
      </w:r>
      <w:r w:rsidR="00695130" w:rsidRPr="0084037D">
        <w:rPr>
          <w:i/>
          <w:noProof/>
        </w:rPr>
        <w:t>Solea solea</w:t>
      </w:r>
      <w:r w:rsidR="00695130" w:rsidRPr="0084037D">
        <w:rPr>
          <w:noProof/>
        </w:rPr>
        <w:t xml:space="preserve">), </w:t>
      </w:r>
      <w:r w:rsidR="00AF116D" w:rsidRPr="0084037D">
        <w:rPr>
          <w:noProof/>
        </w:rPr>
        <w:t>d</w:t>
      </w:r>
      <w:r w:rsidR="00695130" w:rsidRPr="0084037D">
        <w:rPr>
          <w:noProof/>
        </w:rPr>
        <w:t>eep-water rose shrimp (</w:t>
      </w:r>
      <w:r w:rsidR="00695130" w:rsidRPr="0084037D">
        <w:rPr>
          <w:i/>
          <w:noProof/>
        </w:rPr>
        <w:t>Parapenaeus longirostris</w:t>
      </w:r>
      <w:r w:rsidR="00695130" w:rsidRPr="0084037D">
        <w:rPr>
          <w:noProof/>
        </w:rPr>
        <w:t xml:space="preserve">) and </w:t>
      </w:r>
      <w:r w:rsidR="00AF116D" w:rsidRPr="0084037D">
        <w:rPr>
          <w:noProof/>
        </w:rPr>
        <w:t>r</w:t>
      </w:r>
      <w:r w:rsidR="00695130" w:rsidRPr="0084037D">
        <w:rPr>
          <w:noProof/>
        </w:rPr>
        <w:t>ed mullet (</w:t>
      </w:r>
      <w:r w:rsidR="00695130" w:rsidRPr="0084037D">
        <w:rPr>
          <w:i/>
          <w:noProof/>
        </w:rPr>
        <w:t>Mullus barbatus</w:t>
      </w:r>
      <w:r w:rsidR="00695130" w:rsidRPr="0084037D">
        <w:rPr>
          <w:noProof/>
        </w:rPr>
        <w:t xml:space="preserve">) in the Adriatic Sea. </w:t>
      </w:r>
    </w:p>
    <w:p w14:paraId="34FE523F" w14:textId="77777777" w:rsidR="00695130" w:rsidRPr="0084037D" w:rsidRDefault="00A91347" w:rsidP="00A91347">
      <w:pPr>
        <w:pStyle w:val="ManualNumPar1"/>
        <w:rPr>
          <w:noProof/>
        </w:rPr>
      </w:pPr>
      <w:r w:rsidRPr="0084037D">
        <w:rPr>
          <w:noProof/>
        </w:rPr>
        <w:t>2.</w:t>
      </w:r>
      <w:r w:rsidRPr="0084037D">
        <w:rPr>
          <w:noProof/>
        </w:rPr>
        <w:tab/>
      </w:r>
      <w:r w:rsidR="00695130" w:rsidRPr="0084037D">
        <w:rPr>
          <w:noProof/>
        </w:rPr>
        <w:t xml:space="preserve">The maximum allowable fishing effort for demersal stocks and the maximum fleet capacity within the scope of this Article is set out in Annex IV.  </w:t>
      </w:r>
    </w:p>
    <w:p w14:paraId="1BA60119" w14:textId="77777777" w:rsidR="00695130" w:rsidRPr="0084037D" w:rsidRDefault="00A91347" w:rsidP="00A91347">
      <w:pPr>
        <w:pStyle w:val="ManualNumPar1"/>
        <w:rPr>
          <w:noProof/>
        </w:rPr>
      </w:pPr>
      <w:r w:rsidRPr="0084037D">
        <w:rPr>
          <w:noProof/>
        </w:rPr>
        <w:t>3.</w:t>
      </w:r>
      <w:r w:rsidRPr="0084037D">
        <w:rPr>
          <w:noProof/>
        </w:rPr>
        <w:tab/>
      </w:r>
      <w:r w:rsidR="00695130" w:rsidRPr="0084037D">
        <w:rPr>
          <w:noProof/>
        </w:rPr>
        <w:t>A Member State may amend its fishing effort allocation as set out in Annex IV by transferring fishing days across fishing effort groups of the same geographical area and/or gear, provided that it applies a national conversion factor which is supported by the best available scientific advice.</w:t>
      </w:r>
    </w:p>
    <w:p w14:paraId="4A84D720" w14:textId="77777777" w:rsidR="00695130" w:rsidRPr="0084037D" w:rsidRDefault="00A91347" w:rsidP="00A91347">
      <w:pPr>
        <w:pStyle w:val="ManualNumPar1"/>
        <w:rPr>
          <w:noProof/>
        </w:rPr>
      </w:pPr>
      <w:r w:rsidRPr="0084037D">
        <w:rPr>
          <w:noProof/>
        </w:rPr>
        <w:t>4.</w:t>
      </w:r>
      <w:r w:rsidRPr="0084037D">
        <w:rPr>
          <w:noProof/>
        </w:rPr>
        <w:tab/>
      </w:r>
      <w:r w:rsidR="00695130" w:rsidRPr="0084037D">
        <w:rPr>
          <w:noProof/>
        </w:rPr>
        <w:t>Member States shall manage the maximum allowable effort in accordance with Articles 26 to 35 of Regulation (EC) No 1224/2009.</w:t>
      </w:r>
    </w:p>
    <w:p w14:paraId="653DC58F" w14:textId="77777777" w:rsidR="00695130" w:rsidRPr="0084037D" w:rsidRDefault="00D8118C" w:rsidP="00695130">
      <w:pPr>
        <w:pStyle w:val="Titrearticle"/>
        <w:rPr>
          <w:b/>
          <w:i w:val="0"/>
          <w:noProof/>
        </w:rPr>
      </w:pPr>
      <w:r w:rsidRPr="0084037D">
        <w:rPr>
          <w:noProof/>
        </w:rPr>
        <w:t>Article 1</w:t>
      </w:r>
      <w:r w:rsidR="00E87CA4" w:rsidRPr="0084037D">
        <w:rPr>
          <w:noProof/>
        </w:rPr>
        <w:t>1</w:t>
      </w:r>
      <w:r w:rsidR="00695130" w:rsidRPr="0084037D">
        <w:rPr>
          <w:noProof/>
        </w:rPr>
        <w:br/>
      </w:r>
      <w:r w:rsidR="00695130" w:rsidRPr="0084037D">
        <w:rPr>
          <w:b/>
          <w:i w:val="0"/>
          <w:noProof/>
        </w:rPr>
        <w:t>Data transmission</w:t>
      </w:r>
    </w:p>
    <w:p w14:paraId="0DD0DE1D" w14:textId="77777777" w:rsidR="00E64D71" w:rsidRPr="0084037D" w:rsidRDefault="00695130" w:rsidP="005A0E81">
      <w:pPr>
        <w:rPr>
          <w:noProof/>
        </w:rPr>
      </w:pPr>
      <w:r w:rsidRPr="0084037D">
        <w:rPr>
          <w:noProof/>
        </w:rPr>
        <w:t xml:space="preserve">When, pursuant to Articles 33 and 34 of Regulation (EC) No 1224/2009, Member States submit to the Commission data relating to landings of quantities of stocks caught, they shall use the stock codes set out in Annex IV. </w:t>
      </w:r>
    </w:p>
    <w:p w14:paraId="20E5A5E0" w14:textId="77777777" w:rsidR="005A0E81" w:rsidRDefault="005A0E81" w:rsidP="005A0E81">
      <w:pPr>
        <w:rPr>
          <w:noProof/>
        </w:rPr>
      </w:pPr>
    </w:p>
    <w:p w14:paraId="251943B7" w14:textId="77777777" w:rsidR="00560626" w:rsidRPr="0084037D" w:rsidRDefault="00560626" w:rsidP="00560626">
      <w:pPr>
        <w:pStyle w:val="ChapterTitle"/>
        <w:rPr>
          <w:noProof/>
        </w:rPr>
      </w:pPr>
      <w:r w:rsidRPr="0084037D">
        <w:rPr>
          <w:noProof/>
        </w:rPr>
        <w:t>CHAPTER IV</w:t>
      </w:r>
      <w:r w:rsidRPr="0084037D">
        <w:rPr>
          <w:noProof/>
        </w:rPr>
        <w:br/>
      </w:r>
      <w:r w:rsidR="00524D90" w:rsidRPr="0084037D">
        <w:rPr>
          <w:noProof/>
        </w:rPr>
        <w:t>Strait of Sicily</w:t>
      </w:r>
      <w:r w:rsidRPr="0084037D">
        <w:rPr>
          <w:noProof/>
        </w:rPr>
        <w:t xml:space="preserve"> </w:t>
      </w:r>
    </w:p>
    <w:p w14:paraId="554785F1" w14:textId="77777777" w:rsidR="000037A3" w:rsidRPr="0084037D" w:rsidRDefault="00D8118C" w:rsidP="00A17F1C">
      <w:pPr>
        <w:pStyle w:val="Titrearticle"/>
        <w:rPr>
          <w:noProof/>
          <w:szCs w:val="24"/>
        </w:rPr>
      </w:pPr>
      <w:r w:rsidRPr="0084037D">
        <w:rPr>
          <w:noProof/>
        </w:rPr>
        <w:t>Article 1</w:t>
      </w:r>
      <w:r w:rsidR="00E87CA4" w:rsidRPr="0084037D">
        <w:rPr>
          <w:noProof/>
        </w:rPr>
        <w:t>2</w:t>
      </w:r>
      <w:r w:rsidR="00560626" w:rsidRPr="0084037D">
        <w:rPr>
          <w:noProof/>
        </w:rPr>
        <w:br/>
      </w:r>
      <w:r w:rsidR="000037A3" w:rsidRPr="0084037D">
        <w:rPr>
          <w:b/>
          <w:bCs/>
          <w:i w:val="0"/>
          <w:iCs/>
          <w:noProof/>
          <w:szCs w:val="24"/>
        </w:rPr>
        <w:t>Demersal stocks</w:t>
      </w:r>
      <w:r w:rsidR="000037A3" w:rsidRPr="0084037D">
        <w:rPr>
          <w:noProof/>
          <w:szCs w:val="24"/>
        </w:rPr>
        <w:t xml:space="preserve"> </w:t>
      </w:r>
    </w:p>
    <w:p w14:paraId="33EA4CD0" w14:textId="77777777" w:rsidR="000037A3" w:rsidRPr="0084037D" w:rsidRDefault="000037A3" w:rsidP="005A0E81">
      <w:pPr>
        <w:pStyle w:val="ManualNumPar1"/>
        <w:rPr>
          <w:b/>
          <w:noProof/>
        </w:rPr>
      </w:pPr>
      <w:r w:rsidRPr="0084037D">
        <w:rPr>
          <w:noProof/>
        </w:rPr>
        <w:t>1.</w:t>
      </w:r>
      <w:r w:rsidR="00003687">
        <w:rPr>
          <w:noProof/>
        </w:rPr>
        <w:tab/>
      </w:r>
      <w:r w:rsidRPr="0084037D">
        <w:rPr>
          <w:noProof/>
        </w:rPr>
        <w:t>This Article applies to all activities by Union fishing vessels and other Union fishing activities catching European hake (</w:t>
      </w:r>
      <w:r w:rsidRPr="0084037D">
        <w:rPr>
          <w:i/>
          <w:iCs/>
          <w:noProof/>
        </w:rPr>
        <w:t>Merluccius merluccius</w:t>
      </w:r>
      <w:r w:rsidRPr="0084037D">
        <w:rPr>
          <w:noProof/>
        </w:rPr>
        <w:t>) and deep-water rose shrimp (</w:t>
      </w:r>
      <w:r w:rsidRPr="0084037D">
        <w:rPr>
          <w:i/>
          <w:iCs/>
          <w:noProof/>
        </w:rPr>
        <w:t>Parapenaeus longirostris</w:t>
      </w:r>
      <w:r w:rsidRPr="0084037D">
        <w:rPr>
          <w:noProof/>
        </w:rPr>
        <w:t xml:space="preserve">) in the Strait of Sicily. </w:t>
      </w:r>
    </w:p>
    <w:p w14:paraId="3E918E5F" w14:textId="77777777" w:rsidR="000037A3" w:rsidRPr="0084037D" w:rsidRDefault="000037A3" w:rsidP="005A0E81">
      <w:pPr>
        <w:pStyle w:val="ManualNumPar1"/>
        <w:rPr>
          <w:b/>
          <w:noProof/>
        </w:rPr>
      </w:pPr>
      <w:r w:rsidRPr="0084037D">
        <w:rPr>
          <w:noProof/>
        </w:rPr>
        <w:t>2.</w:t>
      </w:r>
      <w:r w:rsidR="00003687">
        <w:rPr>
          <w:noProof/>
        </w:rPr>
        <w:tab/>
      </w:r>
      <w:r w:rsidRPr="0084037D">
        <w:rPr>
          <w:noProof/>
        </w:rPr>
        <w:t xml:space="preserve">The maximum level of catches of deep-water rose shrimp shall not exceed the levels set out in Annex V. </w:t>
      </w:r>
    </w:p>
    <w:p w14:paraId="710F9EF0" w14:textId="77777777" w:rsidR="000037A3" w:rsidRPr="0084037D" w:rsidRDefault="000037A3" w:rsidP="005A0E81">
      <w:pPr>
        <w:pStyle w:val="ManualNumPar1"/>
        <w:rPr>
          <w:b/>
          <w:noProof/>
        </w:rPr>
      </w:pPr>
      <w:r w:rsidRPr="0084037D">
        <w:rPr>
          <w:noProof/>
        </w:rPr>
        <w:t>3.</w:t>
      </w:r>
      <w:r w:rsidR="00003687">
        <w:rPr>
          <w:noProof/>
        </w:rPr>
        <w:tab/>
      </w:r>
      <w:r w:rsidRPr="0084037D">
        <w:rPr>
          <w:noProof/>
        </w:rPr>
        <w:t xml:space="preserve">The maximum allowable fishing effort for </w:t>
      </w:r>
      <w:r w:rsidR="00F15BAD" w:rsidRPr="0084037D">
        <w:rPr>
          <w:noProof/>
        </w:rPr>
        <w:t xml:space="preserve">European </w:t>
      </w:r>
      <w:r w:rsidRPr="0084037D">
        <w:rPr>
          <w:noProof/>
        </w:rPr>
        <w:t xml:space="preserve">hake and the maximum fleet capacity, expressed in number of vessels, kW and GT, of bottom trawl vessels authorised to fish for demersal stocks within the scope of this Article are set out in Annex V. </w:t>
      </w:r>
    </w:p>
    <w:p w14:paraId="7F514183" w14:textId="77777777" w:rsidR="00560626" w:rsidRPr="0084037D" w:rsidRDefault="000037A3" w:rsidP="005A0E81">
      <w:pPr>
        <w:pStyle w:val="ManualNumPar1"/>
        <w:rPr>
          <w:b/>
          <w:noProof/>
        </w:rPr>
      </w:pPr>
      <w:r w:rsidRPr="0084037D">
        <w:rPr>
          <w:noProof/>
        </w:rPr>
        <w:t>4.</w:t>
      </w:r>
      <w:r w:rsidR="00003687">
        <w:rPr>
          <w:noProof/>
        </w:rPr>
        <w:tab/>
      </w:r>
      <w:r w:rsidRPr="0084037D">
        <w:rPr>
          <w:noProof/>
        </w:rPr>
        <w:t>Member States shall manage the maximum allowable fishing effort in accordance with Articles 26 to 35 of Regulation (EC) No 1224/2009.</w:t>
      </w:r>
    </w:p>
    <w:p w14:paraId="6B4B472F" w14:textId="77777777" w:rsidR="00E9261A" w:rsidRPr="005A0E81" w:rsidRDefault="00E9261A" w:rsidP="005A0E81">
      <w:pPr>
        <w:pStyle w:val="Titrearticle"/>
        <w:spacing w:before="0"/>
        <w:rPr>
          <w:noProof/>
        </w:rPr>
      </w:pPr>
      <w:r w:rsidRPr="0084037D">
        <w:rPr>
          <w:noProof/>
        </w:rPr>
        <w:lastRenderedPageBreak/>
        <w:t>Article 1</w:t>
      </w:r>
      <w:r w:rsidR="00E87CA4" w:rsidRPr="0084037D">
        <w:rPr>
          <w:noProof/>
        </w:rPr>
        <w:t>3</w:t>
      </w:r>
      <w:r w:rsidR="005A0E81">
        <w:rPr>
          <w:noProof/>
        </w:rPr>
        <w:br/>
      </w:r>
      <w:r w:rsidRPr="0084037D">
        <w:rPr>
          <w:b/>
          <w:bCs/>
          <w:i w:val="0"/>
          <w:iCs/>
          <w:noProof/>
        </w:rPr>
        <w:t>Deep-water shrimps</w:t>
      </w:r>
    </w:p>
    <w:p w14:paraId="41F6B502" w14:textId="77777777" w:rsidR="00E9261A" w:rsidRPr="0084037D" w:rsidRDefault="00E9261A" w:rsidP="005A0E81">
      <w:pPr>
        <w:pStyle w:val="ManualNumPar1"/>
        <w:rPr>
          <w:noProof/>
        </w:rPr>
      </w:pPr>
      <w:r w:rsidRPr="0084037D">
        <w:rPr>
          <w:noProof/>
        </w:rPr>
        <w:t>1.</w:t>
      </w:r>
      <w:r w:rsidR="00003687">
        <w:rPr>
          <w:noProof/>
        </w:rPr>
        <w:tab/>
      </w:r>
      <w:r w:rsidRPr="0084037D">
        <w:rPr>
          <w:noProof/>
        </w:rPr>
        <w:t>This Article applies to all activities by Union fishing vessels and other Union fishing activities catching giant red shrimp (</w:t>
      </w:r>
      <w:r w:rsidRPr="0084037D">
        <w:rPr>
          <w:i/>
          <w:iCs/>
          <w:noProof/>
        </w:rPr>
        <w:t>Aristaeomorpha foliacea</w:t>
      </w:r>
      <w:r w:rsidRPr="0084037D">
        <w:rPr>
          <w:noProof/>
        </w:rPr>
        <w:t>) and blue and red shrimp (</w:t>
      </w:r>
      <w:r w:rsidRPr="0084037D">
        <w:rPr>
          <w:i/>
          <w:iCs/>
          <w:noProof/>
        </w:rPr>
        <w:t>Aristeus antennatus</w:t>
      </w:r>
      <w:r w:rsidRPr="0084037D">
        <w:rPr>
          <w:noProof/>
        </w:rPr>
        <w:t xml:space="preserve">) in the Strait of Sicily. </w:t>
      </w:r>
    </w:p>
    <w:p w14:paraId="308AECF6" w14:textId="77777777" w:rsidR="00E9261A" w:rsidRPr="0084037D" w:rsidRDefault="00E9261A" w:rsidP="005A0E81">
      <w:pPr>
        <w:pStyle w:val="ManualNumPar1"/>
        <w:rPr>
          <w:noProof/>
        </w:rPr>
      </w:pPr>
      <w:r w:rsidRPr="0084037D">
        <w:rPr>
          <w:noProof/>
        </w:rPr>
        <w:t>2.</w:t>
      </w:r>
      <w:r w:rsidR="00003687">
        <w:rPr>
          <w:noProof/>
        </w:rPr>
        <w:tab/>
      </w:r>
      <w:r w:rsidRPr="0084037D">
        <w:rPr>
          <w:noProof/>
        </w:rPr>
        <w:t xml:space="preserve">The maximum fleet capacity, expressed in number of vessels, kW and GT, of bottom trawl vessels authorised to fish for demersal stocks </w:t>
      </w:r>
      <w:r w:rsidR="00AA1CB8" w:rsidRPr="0084037D">
        <w:rPr>
          <w:noProof/>
        </w:rPr>
        <w:t xml:space="preserve">within the scope of this Article </w:t>
      </w:r>
      <w:r w:rsidRPr="0084037D">
        <w:rPr>
          <w:noProof/>
        </w:rPr>
        <w:t xml:space="preserve">is set out in Annex V. </w:t>
      </w:r>
    </w:p>
    <w:p w14:paraId="5CB16E09" w14:textId="77777777" w:rsidR="009C4671" w:rsidRPr="0084037D" w:rsidRDefault="00E9261A" w:rsidP="005A0E81">
      <w:pPr>
        <w:pStyle w:val="ManualNumPar1"/>
        <w:rPr>
          <w:noProof/>
        </w:rPr>
      </w:pPr>
      <w:r w:rsidRPr="0084037D">
        <w:rPr>
          <w:noProof/>
        </w:rPr>
        <w:t>3.</w:t>
      </w:r>
      <w:r w:rsidR="00003687">
        <w:rPr>
          <w:noProof/>
        </w:rPr>
        <w:tab/>
      </w:r>
      <w:r w:rsidRPr="0084037D">
        <w:rPr>
          <w:noProof/>
        </w:rPr>
        <w:t>The maximum level of catches shall not exceed the levels set out in Annex V</w:t>
      </w:r>
      <w:r w:rsidR="009C4671" w:rsidRPr="0084037D">
        <w:rPr>
          <w:noProof/>
        </w:rPr>
        <w:t>.</w:t>
      </w:r>
    </w:p>
    <w:p w14:paraId="1DD732DA" w14:textId="77777777" w:rsidR="009C4671" w:rsidRPr="005A0E81" w:rsidRDefault="009C4671" w:rsidP="005A0E81">
      <w:pPr>
        <w:pStyle w:val="Titrearticle"/>
        <w:rPr>
          <w:noProof/>
        </w:rPr>
      </w:pPr>
      <w:r w:rsidRPr="0084037D">
        <w:rPr>
          <w:noProof/>
        </w:rPr>
        <w:t>Article 1</w:t>
      </w:r>
      <w:r w:rsidR="00E87CA4" w:rsidRPr="0084037D">
        <w:rPr>
          <w:noProof/>
        </w:rPr>
        <w:t>4</w:t>
      </w:r>
      <w:r w:rsidR="005A0E81">
        <w:rPr>
          <w:noProof/>
        </w:rPr>
        <w:br/>
      </w:r>
      <w:r w:rsidRPr="0084037D">
        <w:rPr>
          <w:b/>
          <w:bCs/>
          <w:i w:val="0"/>
          <w:iCs/>
          <w:noProof/>
        </w:rPr>
        <w:t>Data transmission</w:t>
      </w:r>
    </w:p>
    <w:p w14:paraId="63C69808" w14:textId="77777777" w:rsidR="009C4671" w:rsidRPr="0084037D" w:rsidRDefault="009C4671" w:rsidP="00873436">
      <w:pPr>
        <w:rPr>
          <w:noProof/>
        </w:rPr>
      </w:pPr>
      <w:r w:rsidRPr="0084037D">
        <w:rPr>
          <w:noProof/>
        </w:rPr>
        <w:t>When, pursuant to Articles 33 and 34 of Regulation (EC) No 1224/2009, Member States submit to the Commission data relating to landings of quantities of stocks caught, they shall use the stock codes set out in Annex V.</w:t>
      </w:r>
    </w:p>
    <w:p w14:paraId="54C345A5" w14:textId="77777777" w:rsidR="00003687" w:rsidRDefault="00003687" w:rsidP="00B55078">
      <w:pPr>
        <w:rPr>
          <w:noProof/>
        </w:rPr>
      </w:pPr>
    </w:p>
    <w:p w14:paraId="6253A381" w14:textId="77777777" w:rsidR="009C4671" w:rsidRPr="0084037D" w:rsidRDefault="00560626" w:rsidP="00560626">
      <w:pPr>
        <w:pStyle w:val="ChapterTitle"/>
        <w:rPr>
          <w:noProof/>
        </w:rPr>
      </w:pPr>
      <w:r w:rsidRPr="0084037D">
        <w:rPr>
          <w:noProof/>
        </w:rPr>
        <w:t>CHAPTER V</w:t>
      </w:r>
    </w:p>
    <w:p w14:paraId="3DB48087" w14:textId="77777777" w:rsidR="004569F0" w:rsidRPr="0084037D" w:rsidRDefault="004569F0" w:rsidP="00560626">
      <w:pPr>
        <w:pStyle w:val="ChapterTitle"/>
        <w:rPr>
          <w:noProof/>
        </w:rPr>
      </w:pPr>
      <w:r w:rsidRPr="0084037D">
        <w:rPr>
          <w:noProof/>
        </w:rPr>
        <w:t xml:space="preserve">Ionian Sea and Levant Sea </w:t>
      </w:r>
    </w:p>
    <w:p w14:paraId="50B38DC3" w14:textId="77777777" w:rsidR="004569F0" w:rsidRPr="00B55078" w:rsidRDefault="004569F0" w:rsidP="00B55078">
      <w:pPr>
        <w:pStyle w:val="Titrearticle"/>
        <w:rPr>
          <w:b/>
          <w:noProof/>
        </w:rPr>
      </w:pPr>
      <w:r w:rsidRPr="0084037D">
        <w:rPr>
          <w:noProof/>
        </w:rPr>
        <w:t>Article 1</w:t>
      </w:r>
      <w:r w:rsidR="00E87CA4" w:rsidRPr="0084037D">
        <w:rPr>
          <w:noProof/>
        </w:rPr>
        <w:t>5</w:t>
      </w:r>
      <w:r w:rsidRPr="0084037D">
        <w:rPr>
          <w:noProof/>
        </w:rPr>
        <w:t xml:space="preserve"> </w:t>
      </w:r>
      <w:r w:rsidR="00B55078">
        <w:rPr>
          <w:b/>
          <w:noProof/>
        </w:rPr>
        <w:br/>
      </w:r>
      <w:r w:rsidRPr="0084037D">
        <w:rPr>
          <w:b/>
          <w:bCs/>
          <w:i w:val="0"/>
          <w:iCs/>
          <w:noProof/>
        </w:rPr>
        <w:t>Deep-water shrimps</w:t>
      </w:r>
    </w:p>
    <w:p w14:paraId="13526010" w14:textId="77777777" w:rsidR="004569F0" w:rsidRPr="0084037D" w:rsidRDefault="004569F0" w:rsidP="00B55078">
      <w:pPr>
        <w:pStyle w:val="ManualNumPar1"/>
        <w:rPr>
          <w:b/>
          <w:noProof/>
        </w:rPr>
      </w:pPr>
      <w:r w:rsidRPr="0084037D">
        <w:rPr>
          <w:noProof/>
        </w:rPr>
        <w:t>1.</w:t>
      </w:r>
      <w:r w:rsidR="00003687">
        <w:rPr>
          <w:noProof/>
        </w:rPr>
        <w:tab/>
      </w:r>
      <w:r w:rsidRPr="0084037D">
        <w:rPr>
          <w:noProof/>
        </w:rPr>
        <w:t>This Article applies to all activities by Union fishing vessels and other Union fishing activities catching giant red shrimp (</w:t>
      </w:r>
      <w:r w:rsidRPr="0084037D">
        <w:rPr>
          <w:i/>
          <w:iCs/>
          <w:noProof/>
        </w:rPr>
        <w:t>Aristaeomorpha foliacea</w:t>
      </w:r>
      <w:r w:rsidRPr="0084037D">
        <w:rPr>
          <w:noProof/>
        </w:rPr>
        <w:t>) and blue and red shrimp (</w:t>
      </w:r>
      <w:r w:rsidRPr="0084037D">
        <w:rPr>
          <w:i/>
          <w:iCs/>
          <w:noProof/>
        </w:rPr>
        <w:t>Aristeus antennatus</w:t>
      </w:r>
      <w:r w:rsidRPr="0084037D">
        <w:rPr>
          <w:noProof/>
        </w:rPr>
        <w:t xml:space="preserve">) in the Ionian Sea and in the Levant Sea. </w:t>
      </w:r>
    </w:p>
    <w:p w14:paraId="5A3C00B4" w14:textId="77777777" w:rsidR="004569F0" w:rsidRPr="0084037D" w:rsidRDefault="004569F0" w:rsidP="00B55078">
      <w:pPr>
        <w:pStyle w:val="ManualNumPar1"/>
        <w:rPr>
          <w:b/>
          <w:noProof/>
        </w:rPr>
      </w:pPr>
      <w:r w:rsidRPr="0084037D">
        <w:rPr>
          <w:noProof/>
        </w:rPr>
        <w:t>2.</w:t>
      </w:r>
      <w:r w:rsidR="00003687">
        <w:rPr>
          <w:noProof/>
        </w:rPr>
        <w:tab/>
      </w:r>
      <w:r w:rsidRPr="0084037D">
        <w:rPr>
          <w:noProof/>
        </w:rPr>
        <w:t xml:space="preserve">The maximum fleet capacity, expressed in number of vessels, kW and GT, of bottom trawl vessels authorised to fish for demersal stocks </w:t>
      </w:r>
      <w:r w:rsidR="00AA1CB8" w:rsidRPr="0084037D">
        <w:rPr>
          <w:noProof/>
        </w:rPr>
        <w:t>within the scope of this Article</w:t>
      </w:r>
      <w:r w:rsidR="000872F8" w:rsidRPr="0084037D">
        <w:rPr>
          <w:noProof/>
        </w:rPr>
        <w:t xml:space="preserve"> </w:t>
      </w:r>
      <w:r w:rsidRPr="0084037D">
        <w:rPr>
          <w:noProof/>
        </w:rPr>
        <w:t xml:space="preserve">is set out in Annex VI. </w:t>
      </w:r>
    </w:p>
    <w:p w14:paraId="4AF3F0C0" w14:textId="77777777" w:rsidR="004569F0" w:rsidRDefault="004569F0" w:rsidP="00B55078">
      <w:pPr>
        <w:pStyle w:val="ManualNumPar1"/>
        <w:rPr>
          <w:noProof/>
        </w:rPr>
      </w:pPr>
      <w:r w:rsidRPr="0084037D">
        <w:rPr>
          <w:noProof/>
        </w:rPr>
        <w:t>3.</w:t>
      </w:r>
      <w:r w:rsidR="00003687">
        <w:rPr>
          <w:noProof/>
        </w:rPr>
        <w:tab/>
      </w:r>
      <w:r w:rsidRPr="0084037D">
        <w:rPr>
          <w:noProof/>
        </w:rPr>
        <w:t xml:space="preserve">The maximum level of catches shall not exceed the levels set out in Annex VI. </w:t>
      </w:r>
    </w:p>
    <w:p w14:paraId="0B67DD28" w14:textId="77777777" w:rsidR="00B55078" w:rsidRPr="00B55078" w:rsidRDefault="00B55078" w:rsidP="00B55078">
      <w:pPr>
        <w:rPr>
          <w:noProof/>
        </w:rPr>
      </w:pPr>
    </w:p>
    <w:p w14:paraId="2A9BEE1F" w14:textId="77777777" w:rsidR="00C66479" w:rsidRPr="0084037D" w:rsidRDefault="004569F0" w:rsidP="00560626">
      <w:pPr>
        <w:pStyle w:val="ChapterTitle"/>
        <w:rPr>
          <w:noProof/>
        </w:rPr>
      </w:pPr>
      <w:r w:rsidRPr="0084037D">
        <w:rPr>
          <w:noProof/>
        </w:rPr>
        <w:t xml:space="preserve">CHAPTER VI </w:t>
      </w:r>
    </w:p>
    <w:p w14:paraId="3B0AE3A5" w14:textId="77777777" w:rsidR="00C66479" w:rsidRPr="0084037D" w:rsidRDefault="004569F0" w:rsidP="00560626">
      <w:pPr>
        <w:pStyle w:val="ChapterTitle"/>
        <w:rPr>
          <w:noProof/>
        </w:rPr>
      </w:pPr>
      <w:r w:rsidRPr="0084037D">
        <w:rPr>
          <w:noProof/>
        </w:rPr>
        <w:t xml:space="preserve">Alboran Sea </w:t>
      </w:r>
    </w:p>
    <w:p w14:paraId="2BCBF640" w14:textId="77777777" w:rsidR="00C66479" w:rsidRPr="00B55078" w:rsidRDefault="004569F0" w:rsidP="00B55078">
      <w:pPr>
        <w:pStyle w:val="Titrearticle"/>
        <w:rPr>
          <w:b/>
          <w:noProof/>
        </w:rPr>
      </w:pPr>
      <w:r w:rsidRPr="0084037D">
        <w:rPr>
          <w:noProof/>
        </w:rPr>
        <w:t>Article 1</w:t>
      </w:r>
      <w:r w:rsidR="00E87CA4" w:rsidRPr="0084037D">
        <w:rPr>
          <w:noProof/>
        </w:rPr>
        <w:t>6</w:t>
      </w:r>
      <w:r w:rsidRPr="0084037D">
        <w:rPr>
          <w:noProof/>
        </w:rPr>
        <w:t xml:space="preserve"> </w:t>
      </w:r>
      <w:r w:rsidR="00B55078">
        <w:rPr>
          <w:b/>
          <w:noProof/>
        </w:rPr>
        <w:br/>
      </w:r>
      <w:r w:rsidRPr="0084037D">
        <w:rPr>
          <w:b/>
          <w:bCs/>
          <w:i w:val="0"/>
          <w:iCs/>
          <w:noProof/>
        </w:rPr>
        <w:t xml:space="preserve">Blackspot seabream </w:t>
      </w:r>
    </w:p>
    <w:p w14:paraId="4AB2CFC3" w14:textId="77777777" w:rsidR="00C66479" w:rsidRPr="0084037D" w:rsidRDefault="004569F0" w:rsidP="00B55078">
      <w:pPr>
        <w:pStyle w:val="ManualNumPar1"/>
        <w:rPr>
          <w:b/>
          <w:noProof/>
        </w:rPr>
      </w:pPr>
      <w:r w:rsidRPr="0084037D">
        <w:rPr>
          <w:noProof/>
        </w:rPr>
        <w:t>1.</w:t>
      </w:r>
      <w:r w:rsidR="00003687">
        <w:rPr>
          <w:noProof/>
        </w:rPr>
        <w:tab/>
      </w:r>
      <w:r w:rsidRPr="0084037D">
        <w:rPr>
          <w:noProof/>
        </w:rPr>
        <w:t>This Article applies to commercial and recreational fishing with longlines and handlines by Union fishing vessels catching blackspot seabream (</w:t>
      </w:r>
      <w:r w:rsidRPr="0084037D">
        <w:rPr>
          <w:i/>
          <w:iCs/>
          <w:noProof/>
        </w:rPr>
        <w:t>Pagellus bogaraveo</w:t>
      </w:r>
      <w:r w:rsidRPr="0084037D">
        <w:rPr>
          <w:noProof/>
        </w:rPr>
        <w:t>) in the Alboran Sea.</w:t>
      </w:r>
    </w:p>
    <w:p w14:paraId="48D955DD" w14:textId="77777777" w:rsidR="00C66479" w:rsidRPr="0084037D" w:rsidRDefault="004569F0" w:rsidP="00B55078">
      <w:pPr>
        <w:pStyle w:val="ManualNumPar1"/>
        <w:rPr>
          <w:b/>
          <w:noProof/>
        </w:rPr>
      </w:pPr>
      <w:r w:rsidRPr="0084037D">
        <w:rPr>
          <w:noProof/>
        </w:rPr>
        <w:t>2.</w:t>
      </w:r>
      <w:r w:rsidR="00003687">
        <w:rPr>
          <w:noProof/>
        </w:rPr>
        <w:tab/>
      </w:r>
      <w:r w:rsidRPr="0084037D">
        <w:rPr>
          <w:noProof/>
        </w:rPr>
        <w:t xml:space="preserve">The maximum level of catches shall not exceed the levels set out in Annex VII. </w:t>
      </w:r>
    </w:p>
    <w:p w14:paraId="54BFD9F3" w14:textId="77777777" w:rsidR="00AA1CB8" w:rsidRPr="0084037D" w:rsidRDefault="004569F0" w:rsidP="00B55078">
      <w:pPr>
        <w:pStyle w:val="ManualNumPar1"/>
        <w:rPr>
          <w:noProof/>
        </w:rPr>
      </w:pPr>
      <w:r w:rsidRPr="0084037D">
        <w:rPr>
          <w:noProof/>
        </w:rPr>
        <w:t>3.</w:t>
      </w:r>
      <w:r w:rsidR="00003687">
        <w:rPr>
          <w:noProof/>
        </w:rPr>
        <w:tab/>
      </w:r>
      <w:r w:rsidRPr="0084037D">
        <w:rPr>
          <w:noProof/>
        </w:rPr>
        <w:t>The maximum number of longlines and handlines authorised to fish for blackspot seabream is set out in Annex VII.</w:t>
      </w:r>
    </w:p>
    <w:p w14:paraId="5F1910DF" w14:textId="77777777" w:rsidR="00A17F1C" w:rsidRPr="0084037D" w:rsidRDefault="004569F0" w:rsidP="00B55078">
      <w:pPr>
        <w:pStyle w:val="ManualNumPar1"/>
        <w:rPr>
          <w:noProof/>
        </w:rPr>
      </w:pPr>
      <w:r w:rsidRPr="0084037D">
        <w:rPr>
          <w:noProof/>
        </w:rPr>
        <w:lastRenderedPageBreak/>
        <w:t>4.</w:t>
      </w:r>
      <w:r w:rsidR="00003687">
        <w:rPr>
          <w:noProof/>
        </w:rPr>
        <w:tab/>
      </w:r>
      <w:r w:rsidRPr="0084037D">
        <w:rPr>
          <w:noProof/>
        </w:rPr>
        <w:t>For recreational fishing activities, the maximum number of catches shall be limited to one fish per fisher per day. The minimum conservation reference size of 40 cm for blackspot seabream (</w:t>
      </w:r>
      <w:r w:rsidRPr="0084037D">
        <w:rPr>
          <w:i/>
          <w:iCs/>
          <w:noProof/>
        </w:rPr>
        <w:t>Pagellus bogaraveo</w:t>
      </w:r>
      <w:r w:rsidRPr="0084037D">
        <w:rPr>
          <w:noProof/>
        </w:rPr>
        <w:t>) shall apply to recreational fisheries in the Alboran Sea. Recreational fishing for this species shall be prohibited during the closure period of commercial fisheries set at national level.</w:t>
      </w:r>
    </w:p>
    <w:p w14:paraId="5FA933CB" w14:textId="77777777" w:rsidR="00003687" w:rsidRDefault="00003687" w:rsidP="00B55078">
      <w:pPr>
        <w:rPr>
          <w:noProof/>
        </w:rPr>
      </w:pPr>
    </w:p>
    <w:p w14:paraId="7934EB74" w14:textId="77777777" w:rsidR="00560626" w:rsidRPr="0084037D" w:rsidRDefault="00560626" w:rsidP="00560626">
      <w:pPr>
        <w:pStyle w:val="ChapterTitle"/>
        <w:rPr>
          <w:noProof/>
        </w:rPr>
      </w:pPr>
      <w:r w:rsidRPr="0084037D">
        <w:rPr>
          <w:noProof/>
        </w:rPr>
        <w:t>CHAPTER VI</w:t>
      </w:r>
      <w:r w:rsidR="00C66479" w:rsidRPr="0084037D">
        <w:rPr>
          <w:noProof/>
        </w:rPr>
        <w:t>I</w:t>
      </w:r>
      <w:r w:rsidRPr="0084037D">
        <w:rPr>
          <w:noProof/>
        </w:rPr>
        <w:br/>
        <w:t>Black Sea</w:t>
      </w:r>
    </w:p>
    <w:p w14:paraId="7E39B2E1" w14:textId="77777777" w:rsidR="00560626" w:rsidRPr="0084037D" w:rsidRDefault="00D8118C" w:rsidP="00560626">
      <w:pPr>
        <w:pStyle w:val="Titrearticle"/>
        <w:rPr>
          <w:b/>
          <w:i w:val="0"/>
          <w:noProof/>
        </w:rPr>
      </w:pPr>
      <w:r w:rsidRPr="0084037D">
        <w:rPr>
          <w:noProof/>
        </w:rPr>
        <w:t xml:space="preserve">Article </w:t>
      </w:r>
      <w:r w:rsidR="00C66479" w:rsidRPr="0084037D">
        <w:rPr>
          <w:noProof/>
        </w:rPr>
        <w:t>1</w:t>
      </w:r>
      <w:r w:rsidR="00E87CA4" w:rsidRPr="0084037D">
        <w:rPr>
          <w:noProof/>
        </w:rPr>
        <w:t>7</w:t>
      </w:r>
      <w:r w:rsidR="00560626" w:rsidRPr="0084037D">
        <w:rPr>
          <w:noProof/>
        </w:rPr>
        <w:br/>
      </w:r>
      <w:r w:rsidR="00560626" w:rsidRPr="0084037D">
        <w:rPr>
          <w:b/>
          <w:i w:val="0"/>
          <w:noProof/>
        </w:rPr>
        <w:t>Allocation of fishing opportunities for sprat</w:t>
      </w:r>
      <w:r w:rsidR="00560626" w:rsidRPr="0084037D">
        <w:rPr>
          <w:b/>
          <w:i w:val="0"/>
          <w:noProof/>
        </w:rPr>
        <w:br/>
      </w:r>
    </w:p>
    <w:p w14:paraId="069057C1" w14:textId="77777777" w:rsidR="00560626" w:rsidRPr="0084037D" w:rsidRDefault="00A91347" w:rsidP="00A91347">
      <w:pPr>
        <w:pStyle w:val="ManualNumPar1"/>
        <w:rPr>
          <w:noProof/>
        </w:rPr>
      </w:pPr>
      <w:r w:rsidRPr="0084037D">
        <w:rPr>
          <w:noProof/>
        </w:rPr>
        <w:t>1.</w:t>
      </w:r>
      <w:r w:rsidRPr="0084037D">
        <w:rPr>
          <w:noProof/>
        </w:rPr>
        <w:tab/>
      </w:r>
      <w:r w:rsidR="00560626" w:rsidRPr="0084037D">
        <w:rPr>
          <w:noProof/>
        </w:rPr>
        <w:t>This Article applies to all activities by Union fishing vessels and other Union fishing activities catching sprat (</w:t>
      </w:r>
      <w:r w:rsidR="00560626" w:rsidRPr="0084037D">
        <w:rPr>
          <w:i/>
          <w:noProof/>
        </w:rPr>
        <w:t>Sprattus sprattus</w:t>
      </w:r>
      <w:r w:rsidR="00560626" w:rsidRPr="0084037D">
        <w:rPr>
          <w:noProof/>
        </w:rPr>
        <w:t>) in the Black Sea.</w:t>
      </w:r>
    </w:p>
    <w:p w14:paraId="6A833DE2" w14:textId="77777777" w:rsidR="00141D7B" w:rsidRPr="0084037D" w:rsidRDefault="00A91347" w:rsidP="00141D7B">
      <w:pPr>
        <w:pStyle w:val="ManualNumPar1"/>
        <w:rPr>
          <w:noProof/>
        </w:rPr>
      </w:pPr>
      <w:r w:rsidRPr="0084037D">
        <w:rPr>
          <w:noProof/>
        </w:rPr>
        <w:t>2.</w:t>
      </w:r>
      <w:r w:rsidRPr="0084037D">
        <w:rPr>
          <w:noProof/>
        </w:rPr>
        <w:tab/>
      </w:r>
      <w:r w:rsidR="00560626" w:rsidRPr="0084037D">
        <w:rPr>
          <w:noProof/>
        </w:rPr>
        <w:t>The Union autonomous quota for sprat, the allocation of such quota among Member States and the conditions functionally linked thereto, where appropriate, are set out in Annex VII</w:t>
      </w:r>
      <w:r w:rsidR="00FB0B66" w:rsidRPr="0084037D">
        <w:rPr>
          <w:noProof/>
        </w:rPr>
        <w:t>I</w:t>
      </w:r>
      <w:r w:rsidR="00560626" w:rsidRPr="0084037D">
        <w:rPr>
          <w:noProof/>
        </w:rPr>
        <w:t>.</w:t>
      </w:r>
    </w:p>
    <w:p w14:paraId="47E9FED6" w14:textId="77777777" w:rsidR="00141D7B" w:rsidRPr="0084037D" w:rsidRDefault="00141D7B" w:rsidP="00141D7B">
      <w:pPr>
        <w:pStyle w:val="ManualNumPar1"/>
        <w:rPr>
          <w:noProof/>
        </w:rPr>
      </w:pPr>
      <w:r w:rsidRPr="0084037D">
        <w:rPr>
          <w:noProof/>
        </w:rPr>
        <w:t>3.</w:t>
      </w:r>
      <w:r w:rsidRPr="0084037D">
        <w:rPr>
          <w:noProof/>
        </w:rPr>
        <w:tab/>
        <w:t xml:space="preserve">Articles 3 and 4 of Regulation (EC) No 847/96 shall not apply where a Member State uses the year-to-year flexibility provided for in Article 15(9) of Regulation (EU) No 1380/2013. </w:t>
      </w:r>
    </w:p>
    <w:p w14:paraId="76E23B9E" w14:textId="77777777" w:rsidR="00560626" w:rsidRPr="0084037D" w:rsidRDefault="00D8118C" w:rsidP="00560626">
      <w:pPr>
        <w:pStyle w:val="Titrearticle"/>
        <w:rPr>
          <w:b/>
          <w:i w:val="0"/>
          <w:noProof/>
        </w:rPr>
      </w:pPr>
      <w:r w:rsidRPr="0084037D">
        <w:rPr>
          <w:noProof/>
        </w:rPr>
        <w:t>Article 1</w:t>
      </w:r>
      <w:r w:rsidR="00E87CA4" w:rsidRPr="0084037D">
        <w:rPr>
          <w:noProof/>
        </w:rPr>
        <w:t>8</w:t>
      </w:r>
      <w:r w:rsidR="00560626" w:rsidRPr="0084037D">
        <w:rPr>
          <w:noProof/>
        </w:rPr>
        <w:br/>
      </w:r>
      <w:r w:rsidR="00560626" w:rsidRPr="0084037D">
        <w:rPr>
          <w:b/>
          <w:i w:val="0"/>
          <w:noProof/>
        </w:rPr>
        <w:t xml:space="preserve">Allocation of fishing opportunities for turbot </w:t>
      </w:r>
    </w:p>
    <w:p w14:paraId="60162178" w14:textId="77777777" w:rsidR="00560626" w:rsidRPr="0084037D" w:rsidRDefault="00A91347" w:rsidP="00A91347">
      <w:pPr>
        <w:pStyle w:val="ManualNumPar1"/>
        <w:rPr>
          <w:noProof/>
        </w:rPr>
      </w:pPr>
      <w:r w:rsidRPr="0084037D">
        <w:rPr>
          <w:noProof/>
        </w:rPr>
        <w:t>1.</w:t>
      </w:r>
      <w:r w:rsidRPr="0084037D">
        <w:rPr>
          <w:noProof/>
        </w:rPr>
        <w:tab/>
      </w:r>
      <w:r w:rsidR="00560626" w:rsidRPr="0084037D">
        <w:rPr>
          <w:noProof/>
        </w:rPr>
        <w:t>This Article applies to all activities by Union fishing vessels and other Union fishing activities catching turbot (</w:t>
      </w:r>
      <w:r w:rsidR="00560626" w:rsidRPr="0084037D">
        <w:rPr>
          <w:i/>
          <w:noProof/>
        </w:rPr>
        <w:t>Scophthalmus maximus)</w:t>
      </w:r>
      <w:r w:rsidR="00560626" w:rsidRPr="0084037D">
        <w:rPr>
          <w:noProof/>
        </w:rPr>
        <w:t xml:space="preserve"> in the Black Sea.</w:t>
      </w:r>
    </w:p>
    <w:p w14:paraId="4C0EE936" w14:textId="77777777" w:rsidR="00141D7B" w:rsidRPr="0084037D" w:rsidRDefault="00A91347" w:rsidP="00141D7B">
      <w:pPr>
        <w:pStyle w:val="ManualNumPar1"/>
        <w:rPr>
          <w:noProof/>
        </w:rPr>
      </w:pPr>
      <w:r w:rsidRPr="0084037D">
        <w:rPr>
          <w:noProof/>
        </w:rPr>
        <w:t>2.</w:t>
      </w:r>
      <w:r w:rsidRPr="0084037D">
        <w:rPr>
          <w:noProof/>
        </w:rPr>
        <w:tab/>
      </w:r>
      <w:r w:rsidR="00560626" w:rsidRPr="0084037D">
        <w:rPr>
          <w:noProof/>
        </w:rPr>
        <w:t>The TAC for turbot applicable in Union waters in the Black Sea</w:t>
      </w:r>
      <w:r w:rsidR="007C6A5B" w:rsidRPr="0084037D">
        <w:rPr>
          <w:noProof/>
        </w:rPr>
        <w:t>,</w:t>
      </w:r>
      <w:r w:rsidR="00560626" w:rsidRPr="0084037D">
        <w:rPr>
          <w:noProof/>
        </w:rPr>
        <w:t xml:space="preserve"> the allocation of such TAC among Member States and the conditions functionally linked thereto, where appropriate, are set out in Annex VII</w:t>
      </w:r>
      <w:r w:rsidR="00FB0B66" w:rsidRPr="0084037D">
        <w:rPr>
          <w:noProof/>
        </w:rPr>
        <w:t>I</w:t>
      </w:r>
      <w:r w:rsidR="00560626" w:rsidRPr="0084037D">
        <w:rPr>
          <w:noProof/>
        </w:rPr>
        <w:t>.</w:t>
      </w:r>
    </w:p>
    <w:p w14:paraId="731596AE" w14:textId="77777777" w:rsidR="00141D7B" w:rsidRPr="0084037D" w:rsidRDefault="00141D7B" w:rsidP="00141D7B">
      <w:pPr>
        <w:pStyle w:val="ManualNumPar1"/>
        <w:rPr>
          <w:noProof/>
        </w:rPr>
      </w:pPr>
      <w:r w:rsidRPr="0084037D">
        <w:rPr>
          <w:noProof/>
        </w:rPr>
        <w:t>3.</w:t>
      </w:r>
      <w:r w:rsidRPr="0084037D">
        <w:rPr>
          <w:noProof/>
        </w:rPr>
        <w:tab/>
        <w:t xml:space="preserve">Articles 3 and 4 of Regulation (EC) No 847/96 shall not apply where a Member State uses the year-to-year flexibility provided for in Article 15(9) of Regulation (EU) No 1380/2013. </w:t>
      </w:r>
    </w:p>
    <w:p w14:paraId="1E4277CA" w14:textId="77777777" w:rsidR="00560626" w:rsidRPr="0084037D" w:rsidRDefault="00D8118C" w:rsidP="00560626">
      <w:pPr>
        <w:pStyle w:val="Titrearticle"/>
        <w:rPr>
          <w:b/>
          <w:i w:val="0"/>
          <w:noProof/>
        </w:rPr>
      </w:pPr>
      <w:r w:rsidRPr="0084037D">
        <w:rPr>
          <w:noProof/>
        </w:rPr>
        <w:t xml:space="preserve">Article </w:t>
      </w:r>
      <w:r w:rsidR="00E87CA4" w:rsidRPr="0084037D">
        <w:rPr>
          <w:noProof/>
        </w:rPr>
        <w:t>19</w:t>
      </w:r>
      <w:r w:rsidR="00560626" w:rsidRPr="0084037D">
        <w:rPr>
          <w:noProof/>
        </w:rPr>
        <w:br/>
      </w:r>
      <w:r w:rsidR="00560626" w:rsidRPr="0084037D">
        <w:rPr>
          <w:b/>
          <w:i w:val="0"/>
          <w:noProof/>
        </w:rPr>
        <w:t>Management of fishing effort for turbot</w:t>
      </w:r>
    </w:p>
    <w:p w14:paraId="76FA4D7B" w14:textId="77777777" w:rsidR="00560626" w:rsidRPr="0084037D" w:rsidRDefault="00560626" w:rsidP="00B55078">
      <w:pPr>
        <w:rPr>
          <w:noProof/>
        </w:rPr>
      </w:pPr>
      <w:r w:rsidRPr="0084037D">
        <w:rPr>
          <w:noProof/>
        </w:rPr>
        <w:t xml:space="preserve">Union fishing vessels authorised to fish for turbot within the scope of Article </w:t>
      </w:r>
      <w:r w:rsidR="00DE6FE4" w:rsidRPr="0084037D">
        <w:rPr>
          <w:noProof/>
        </w:rPr>
        <w:t>19</w:t>
      </w:r>
      <w:r w:rsidRPr="0084037D">
        <w:rPr>
          <w:noProof/>
        </w:rPr>
        <w:t>, irrespective of the vessels’ length overall, shall not exceed 180 fishing days per year.</w:t>
      </w:r>
    </w:p>
    <w:p w14:paraId="7B7B645C" w14:textId="77777777" w:rsidR="00560626" w:rsidRPr="0084037D" w:rsidRDefault="00D8118C" w:rsidP="00560626">
      <w:pPr>
        <w:pStyle w:val="Titrearticle"/>
        <w:rPr>
          <w:b/>
          <w:i w:val="0"/>
          <w:noProof/>
        </w:rPr>
      </w:pPr>
      <w:r w:rsidRPr="0084037D">
        <w:rPr>
          <w:noProof/>
        </w:rPr>
        <w:t xml:space="preserve">Article </w:t>
      </w:r>
      <w:r w:rsidR="00C66479" w:rsidRPr="0084037D">
        <w:rPr>
          <w:noProof/>
        </w:rPr>
        <w:t>2</w:t>
      </w:r>
      <w:r w:rsidR="00E87CA4" w:rsidRPr="0084037D">
        <w:rPr>
          <w:noProof/>
        </w:rPr>
        <w:t>0</w:t>
      </w:r>
      <w:r w:rsidR="00560626" w:rsidRPr="0084037D">
        <w:rPr>
          <w:noProof/>
        </w:rPr>
        <w:br/>
      </w:r>
      <w:r w:rsidR="00560626" w:rsidRPr="0084037D">
        <w:rPr>
          <w:b/>
          <w:i w:val="0"/>
          <w:noProof/>
        </w:rPr>
        <w:t>Closure period for turbot</w:t>
      </w:r>
    </w:p>
    <w:p w14:paraId="47C62737" w14:textId="77777777" w:rsidR="00560626" w:rsidRPr="0084037D" w:rsidRDefault="00560626" w:rsidP="00B55078">
      <w:pPr>
        <w:rPr>
          <w:noProof/>
        </w:rPr>
      </w:pPr>
      <w:r w:rsidRPr="0084037D">
        <w:rPr>
          <w:noProof/>
        </w:rPr>
        <w:t>It shall be prohibited for Union fishing vessels to carry out any fishing activity, including transhipment, retaining on board, landing and first sale</w:t>
      </w:r>
      <w:r w:rsidR="00E24BA9" w:rsidRPr="0084037D">
        <w:rPr>
          <w:noProof/>
        </w:rPr>
        <w:t>,</w:t>
      </w:r>
      <w:r w:rsidRPr="0084037D">
        <w:rPr>
          <w:noProof/>
        </w:rPr>
        <w:t xml:space="preserve"> of turbot in Union waters in the Black Sea from 15 April to 15 June.</w:t>
      </w:r>
    </w:p>
    <w:p w14:paraId="17DB4452" w14:textId="77777777" w:rsidR="00560626" w:rsidRPr="00B55078" w:rsidRDefault="00560626" w:rsidP="00B55078">
      <w:pPr>
        <w:pStyle w:val="Titrearticle"/>
        <w:rPr>
          <w:noProof/>
        </w:rPr>
      </w:pPr>
      <w:r w:rsidRPr="0084037D">
        <w:rPr>
          <w:noProof/>
        </w:rPr>
        <w:lastRenderedPageBreak/>
        <w:t xml:space="preserve">Article </w:t>
      </w:r>
      <w:r w:rsidR="00C66479" w:rsidRPr="0084037D">
        <w:rPr>
          <w:noProof/>
        </w:rPr>
        <w:t>2</w:t>
      </w:r>
      <w:r w:rsidR="005E577A" w:rsidRPr="0084037D">
        <w:rPr>
          <w:noProof/>
        </w:rPr>
        <w:t>1</w:t>
      </w:r>
      <w:r w:rsidR="00B55078">
        <w:rPr>
          <w:noProof/>
        </w:rPr>
        <w:br/>
      </w:r>
      <w:r w:rsidRPr="0084037D">
        <w:rPr>
          <w:b/>
          <w:i w:val="0"/>
          <w:iCs/>
          <w:noProof/>
        </w:rPr>
        <w:t>Special provisions on allocations of fishing opportunities in the Black Sea</w:t>
      </w:r>
    </w:p>
    <w:p w14:paraId="51D8C160" w14:textId="77777777" w:rsidR="00560626" w:rsidRPr="0084037D" w:rsidRDefault="00560626" w:rsidP="00B55078">
      <w:pPr>
        <w:rPr>
          <w:noProof/>
        </w:rPr>
      </w:pPr>
      <w:r w:rsidRPr="0084037D">
        <w:rPr>
          <w:noProof/>
        </w:rPr>
        <w:t>The allocation of fishing opportunities among Membe</w:t>
      </w:r>
      <w:r w:rsidR="00524D90" w:rsidRPr="0084037D">
        <w:rPr>
          <w:noProof/>
        </w:rPr>
        <w:t xml:space="preserve">r States as set out in Articles </w:t>
      </w:r>
      <w:r w:rsidR="00E24BA9" w:rsidRPr="0084037D">
        <w:rPr>
          <w:noProof/>
        </w:rPr>
        <w:t>18</w:t>
      </w:r>
      <w:r w:rsidRPr="0084037D">
        <w:rPr>
          <w:noProof/>
        </w:rPr>
        <w:t xml:space="preserve"> and </w:t>
      </w:r>
      <w:r w:rsidR="00E24BA9" w:rsidRPr="0084037D">
        <w:rPr>
          <w:noProof/>
        </w:rPr>
        <w:t>19</w:t>
      </w:r>
      <w:r w:rsidRPr="0084037D">
        <w:rPr>
          <w:noProof/>
        </w:rPr>
        <w:t xml:space="preserve"> shall be without prejudice to:</w:t>
      </w:r>
    </w:p>
    <w:p w14:paraId="037F5393" w14:textId="294E3FAE" w:rsidR="00560626" w:rsidRPr="0084037D" w:rsidRDefault="004700A6" w:rsidP="004700A6">
      <w:pPr>
        <w:pStyle w:val="Point0"/>
        <w:rPr>
          <w:noProof/>
        </w:rPr>
      </w:pPr>
      <w:r w:rsidRPr="004700A6">
        <w:t>(a)</w:t>
      </w:r>
      <w:r w:rsidRPr="004700A6">
        <w:tab/>
      </w:r>
      <w:r w:rsidR="00560626" w:rsidRPr="0084037D">
        <w:rPr>
          <w:noProof/>
        </w:rPr>
        <w:t xml:space="preserve">exchanges made pursuant to Article 16(8) of Regulation (EU) No 1380/2013; </w:t>
      </w:r>
    </w:p>
    <w:p w14:paraId="46B5DDC2" w14:textId="393109B5" w:rsidR="00560626" w:rsidRPr="0084037D" w:rsidRDefault="004700A6" w:rsidP="004700A6">
      <w:pPr>
        <w:pStyle w:val="Point0"/>
        <w:rPr>
          <w:noProof/>
        </w:rPr>
      </w:pPr>
      <w:r w:rsidRPr="004700A6">
        <w:t>(b)</w:t>
      </w:r>
      <w:r w:rsidRPr="004700A6">
        <w:tab/>
      </w:r>
      <w:r w:rsidR="00560626" w:rsidRPr="0084037D">
        <w:rPr>
          <w:noProof/>
        </w:rPr>
        <w:t xml:space="preserve">deductions and reallocations made pursuant to Article 37 of Regulation (EC) No 1224/2009; </w:t>
      </w:r>
    </w:p>
    <w:p w14:paraId="4A092D86" w14:textId="03283976" w:rsidR="00560626" w:rsidRPr="0084037D" w:rsidRDefault="004700A6" w:rsidP="004700A6">
      <w:pPr>
        <w:pStyle w:val="Point0"/>
        <w:rPr>
          <w:noProof/>
        </w:rPr>
      </w:pPr>
      <w:r w:rsidRPr="004700A6">
        <w:t>(c)</w:t>
      </w:r>
      <w:r w:rsidRPr="004700A6">
        <w:tab/>
      </w:r>
      <w:r w:rsidR="00560626" w:rsidRPr="0084037D">
        <w:rPr>
          <w:noProof/>
        </w:rPr>
        <w:t xml:space="preserve">deductions made pursuant to Articles 105 and 107 of Regulation (EC) No 1224/2009. </w:t>
      </w:r>
    </w:p>
    <w:p w14:paraId="5D24438C" w14:textId="77777777" w:rsidR="00560626" w:rsidRPr="0084037D" w:rsidRDefault="00D8118C" w:rsidP="00560626">
      <w:pPr>
        <w:pStyle w:val="Titrearticle"/>
        <w:rPr>
          <w:b/>
          <w:i w:val="0"/>
          <w:noProof/>
        </w:rPr>
      </w:pPr>
      <w:r w:rsidRPr="0084037D">
        <w:rPr>
          <w:noProof/>
        </w:rPr>
        <w:t xml:space="preserve">Article </w:t>
      </w:r>
      <w:r w:rsidR="00C66479" w:rsidRPr="0084037D">
        <w:rPr>
          <w:noProof/>
        </w:rPr>
        <w:t>2</w:t>
      </w:r>
      <w:r w:rsidR="005E577A" w:rsidRPr="0084037D">
        <w:rPr>
          <w:noProof/>
        </w:rPr>
        <w:t>2</w:t>
      </w:r>
      <w:r w:rsidR="00560626" w:rsidRPr="0084037D">
        <w:rPr>
          <w:noProof/>
        </w:rPr>
        <w:br/>
      </w:r>
      <w:r w:rsidR="00560626" w:rsidRPr="0084037D">
        <w:rPr>
          <w:b/>
          <w:i w:val="0"/>
          <w:noProof/>
        </w:rPr>
        <w:t>Data transmission</w:t>
      </w:r>
    </w:p>
    <w:p w14:paraId="534031D7" w14:textId="77777777" w:rsidR="00560626" w:rsidRDefault="00560626" w:rsidP="00560626">
      <w:pPr>
        <w:rPr>
          <w:noProof/>
        </w:rPr>
      </w:pPr>
      <w:r w:rsidRPr="0084037D">
        <w:rPr>
          <w:noProof/>
        </w:rPr>
        <w:t>When, pursuant to Articles 33 and 34 of Regulation (EC) No 1224/2009, Member States submit to the Commission data relating to landings of quantities of stocks of sprat and turbot caught in Union waters in the Black Sea, they shall use the stock codes set out in Annex VII</w:t>
      </w:r>
      <w:r w:rsidR="00E24BA9" w:rsidRPr="0084037D">
        <w:rPr>
          <w:noProof/>
        </w:rPr>
        <w:t>I</w:t>
      </w:r>
      <w:r w:rsidRPr="0084037D">
        <w:rPr>
          <w:noProof/>
        </w:rPr>
        <w:t>.</w:t>
      </w:r>
      <w:r w:rsidR="00BA43A1" w:rsidRPr="0084037D">
        <w:rPr>
          <w:noProof/>
        </w:rPr>
        <w:t xml:space="preserve"> </w:t>
      </w:r>
    </w:p>
    <w:p w14:paraId="60C4F918" w14:textId="77777777" w:rsidR="00B55078" w:rsidRPr="0084037D" w:rsidRDefault="00B55078" w:rsidP="00560626">
      <w:pPr>
        <w:rPr>
          <w:noProof/>
        </w:rPr>
      </w:pPr>
    </w:p>
    <w:p w14:paraId="7F94EE73" w14:textId="77777777" w:rsidR="00560626" w:rsidRPr="0084037D" w:rsidRDefault="00560626" w:rsidP="00A17F1C">
      <w:pPr>
        <w:pStyle w:val="ChapterTitle"/>
        <w:rPr>
          <w:noProof/>
        </w:rPr>
      </w:pPr>
      <w:r w:rsidRPr="0084037D">
        <w:rPr>
          <w:noProof/>
        </w:rPr>
        <w:t>TITLE III</w:t>
      </w:r>
      <w:r w:rsidRPr="0084037D">
        <w:rPr>
          <w:noProof/>
        </w:rPr>
        <w:br/>
        <w:t>FINAL PROVISIONS</w:t>
      </w:r>
    </w:p>
    <w:p w14:paraId="0F8C9EBA" w14:textId="77777777" w:rsidR="00560626" w:rsidRPr="0084037D" w:rsidRDefault="00D8118C" w:rsidP="00560626">
      <w:pPr>
        <w:pStyle w:val="Titrearticle"/>
        <w:rPr>
          <w:b/>
          <w:i w:val="0"/>
          <w:noProof/>
        </w:rPr>
      </w:pPr>
      <w:r w:rsidRPr="0084037D">
        <w:rPr>
          <w:noProof/>
        </w:rPr>
        <w:t>Article 2</w:t>
      </w:r>
      <w:r w:rsidR="005E577A" w:rsidRPr="0084037D">
        <w:rPr>
          <w:noProof/>
        </w:rPr>
        <w:t>3</w:t>
      </w:r>
      <w:r w:rsidR="00560626" w:rsidRPr="0084037D">
        <w:rPr>
          <w:noProof/>
        </w:rPr>
        <w:br/>
      </w:r>
      <w:r w:rsidR="00560626" w:rsidRPr="0084037D">
        <w:rPr>
          <w:b/>
          <w:i w:val="0"/>
          <w:noProof/>
        </w:rPr>
        <w:t>Entry into force</w:t>
      </w:r>
      <w:r w:rsidR="002B40C6" w:rsidRPr="0084037D">
        <w:rPr>
          <w:b/>
          <w:i w:val="0"/>
          <w:noProof/>
        </w:rPr>
        <w:t xml:space="preserve"> and application</w:t>
      </w:r>
    </w:p>
    <w:p w14:paraId="20B1FD3F" w14:textId="77777777" w:rsidR="00560626" w:rsidRPr="0084037D" w:rsidRDefault="00560626" w:rsidP="00560626">
      <w:pPr>
        <w:rPr>
          <w:noProof/>
        </w:rPr>
      </w:pPr>
      <w:r w:rsidRPr="0084037D">
        <w:rPr>
          <w:noProof/>
        </w:rPr>
        <w:t xml:space="preserve">This Regulation shall enter into force on the day following that of its publication in the </w:t>
      </w:r>
      <w:r w:rsidRPr="0084037D">
        <w:rPr>
          <w:i/>
          <w:noProof/>
        </w:rPr>
        <w:t>Official Journal of the European Union</w:t>
      </w:r>
      <w:r w:rsidRPr="0084037D">
        <w:rPr>
          <w:noProof/>
        </w:rPr>
        <w:t>.</w:t>
      </w:r>
    </w:p>
    <w:p w14:paraId="674D0BC9" w14:textId="77777777" w:rsidR="00560626" w:rsidRPr="0084037D" w:rsidRDefault="00560626" w:rsidP="00560626">
      <w:pPr>
        <w:rPr>
          <w:i/>
          <w:iCs/>
          <w:noProof/>
        </w:rPr>
      </w:pPr>
      <w:r w:rsidRPr="0084037D">
        <w:rPr>
          <w:noProof/>
        </w:rPr>
        <w:t>It shall apply from 1 January 202</w:t>
      </w:r>
      <w:r w:rsidR="00AA4D71" w:rsidRPr="0084037D">
        <w:rPr>
          <w:noProof/>
        </w:rPr>
        <w:t>4</w:t>
      </w:r>
      <w:r w:rsidR="0097237F" w:rsidRPr="0084037D">
        <w:rPr>
          <w:noProof/>
        </w:rPr>
        <w:t xml:space="preserve"> to 31 December 2024</w:t>
      </w:r>
      <w:r w:rsidRPr="0084037D">
        <w:rPr>
          <w:noProof/>
        </w:rPr>
        <w:t>.</w:t>
      </w:r>
    </w:p>
    <w:p w14:paraId="11CA1D2D" w14:textId="77777777" w:rsidR="00560626" w:rsidRPr="0084037D" w:rsidRDefault="00560626" w:rsidP="00560626">
      <w:pPr>
        <w:pStyle w:val="Applicationdirecte"/>
        <w:rPr>
          <w:noProof/>
        </w:rPr>
      </w:pPr>
      <w:r w:rsidRPr="0084037D">
        <w:rPr>
          <w:noProof/>
        </w:rPr>
        <w:t>This Regulation shall be binding in its entirety and directly applicable in all Member States.</w:t>
      </w:r>
    </w:p>
    <w:p w14:paraId="11CE0431" w14:textId="0EEEE5D1" w:rsidR="00560626" w:rsidRPr="0084037D" w:rsidRDefault="00303064" w:rsidP="009B7A2E">
      <w:pPr>
        <w:pStyle w:val="Fait"/>
        <w:rPr>
          <w:noProof/>
        </w:rPr>
      </w:pPr>
      <w:r w:rsidRPr="00303064">
        <w:t>Done at Brussels,</w:t>
      </w:r>
    </w:p>
    <w:p w14:paraId="27839229" w14:textId="77777777" w:rsidR="00B858D4" w:rsidRPr="0084037D" w:rsidRDefault="00560626" w:rsidP="009B7A2E">
      <w:pPr>
        <w:pStyle w:val="Institutionquisigne"/>
        <w:rPr>
          <w:noProof/>
        </w:rPr>
      </w:pPr>
      <w:r w:rsidRPr="0084037D">
        <w:rPr>
          <w:noProof/>
        </w:rPr>
        <w:tab/>
      </w:r>
      <w:r w:rsidR="00B858D4" w:rsidRPr="0084037D">
        <w:rPr>
          <w:noProof/>
        </w:rPr>
        <w:tab/>
        <w:t>For the Council</w:t>
      </w:r>
    </w:p>
    <w:p w14:paraId="7D8AF7DF" w14:textId="77777777" w:rsidR="00B858D4" w:rsidRPr="00B858D4" w:rsidRDefault="00B858D4" w:rsidP="00B858D4">
      <w:pPr>
        <w:pStyle w:val="Personnequisigne"/>
        <w:rPr>
          <w:noProof/>
        </w:rPr>
      </w:pPr>
      <w:r w:rsidRPr="0084037D">
        <w:rPr>
          <w:noProof/>
        </w:rPr>
        <w:tab/>
        <w:t>The President</w:t>
      </w:r>
    </w:p>
    <w:sectPr w:rsidR="00B858D4" w:rsidRPr="00B858D4" w:rsidSect="009E1819">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E096D" w14:textId="77777777" w:rsidR="003A37C6" w:rsidRDefault="003A37C6" w:rsidP="00B858D4">
      <w:pPr>
        <w:spacing w:before="0" w:after="0"/>
      </w:pPr>
      <w:r>
        <w:separator/>
      </w:r>
    </w:p>
  </w:endnote>
  <w:endnote w:type="continuationSeparator" w:id="0">
    <w:p w14:paraId="193358EA" w14:textId="77777777" w:rsidR="003A37C6" w:rsidRDefault="003A37C6" w:rsidP="00B858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85974" w14:textId="211C7939" w:rsidR="00A42EA5" w:rsidRPr="009E1819" w:rsidRDefault="009E1819" w:rsidP="009E1819">
    <w:pPr>
      <w:pStyle w:val="Footer"/>
      <w:rPr>
        <w:rFonts w:ascii="Arial" w:hAnsi="Arial" w:cs="Arial"/>
        <w:b/>
        <w:sz w:val="48"/>
      </w:rPr>
    </w:pPr>
    <w:r w:rsidRPr="009E1819">
      <w:rPr>
        <w:rFonts w:ascii="Arial" w:hAnsi="Arial" w:cs="Arial"/>
        <w:b/>
        <w:sz w:val="48"/>
      </w:rPr>
      <w:t>EN</w:t>
    </w:r>
    <w:r w:rsidRPr="009E1819">
      <w:rPr>
        <w:rFonts w:ascii="Arial" w:hAnsi="Arial" w:cs="Arial"/>
        <w:b/>
        <w:sz w:val="48"/>
      </w:rPr>
      <w:tab/>
    </w:r>
    <w:r w:rsidRPr="009E1819">
      <w:rPr>
        <w:rFonts w:ascii="Arial" w:hAnsi="Arial" w:cs="Arial"/>
        <w:b/>
        <w:sz w:val="48"/>
      </w:rPr>
      <w:tab/>
    </w:r>
    <w:r w:rsidRPr="009E1819">
      <w:tab/>
    </w:r>
    <w:r w:rsidRPr="009E1819">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F295A" w14:textId="6770A53F" w:rsidR="009E1819" w:rsidRPr="009E1819" w:rsidRDefault="009E1819" w:rsidP="009E1819">
    <w:pPr>
      <w:pStyle w:val="Footer"/>
      <w:rPr>
        <w:rFonts w:ascii="Arial" w:hAnsi="Arial" w:cs="Arial"/>
        <w:b/>
        <w:sz w:val="48"/>
      </w:rPr>
    </w:pPr>
    <w:r w:rsidRPr="009E1819">
      <w:rPr>
        <w:rFonts w:ascii="Arial" w:hAnsi="Arial" w:cs="Arial"/>
        <w:b/>
        <w:sz w:val="48"/>
      </w:rPr>
      <w:t>EN</w:t>
    </w:r>
    <w:r w:rsidRPr="009E1819">
      <w:rPr>
        <w:rFonts w:ascii="Arial" w:hAnsi="Arial" w:cs="Arial"/>
        <w:b/>
        <w:sz w:val="48"/>
      </w:rPr>
      <w:tab/>
    </w:r>
    <w:r>
      <w:fldChar w:fldCharType="begin"/>
    </w:r>
    <w:r>
      <w:instrText xml:space="preserve"> PAGE  \* MERGEFORMAT </w:instrText>
    </w:r>
    <w:r>
      <w:fldChar w:fldCharType="separate"/>
    </w:r>
    <w:r w:rsidR="009B7A2E">
      <w:rPr>
        <w:noProof/>
      </w:rPr>
      <w:t>20</w:t>
    </w:r>
    <w:r>
      <w:fldChar w:fldCharType="end"/>
    </w:r>
    <w:r>
      <w:tab/>
    </w:r>
    <w:r w:rsidRPr="009E1819">
      <w:tab/>
    </w:r>
    <w:r w:rsidRPr="009E1819">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FB45E" w14:textId="77777777" w:rsidR="009E1819" w:rsidRPr="009E1819" w:rsidRDefault="009E1819" w:rsidP="009E1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35428" w14:textId="77777777" w:rsidR="003A37C6" w:rsidRDefault="003A37C6" w:rsidP="00B858D4">
      <w:pPr>
        <w:spacing w:before="0" w:after="0"/>
      </w:pPr>
      <w:r>
        <w:separator/>
      </w:r>
    </w:p>
  </w:footnote>
  <w:footnote w:type="continuationSeparator" w:id="0">
    <w:p w14:paraId="243A3E41" w14:textId="77777777" w:rsidR="003A37C6" w:rsidRDefault="003A37C6" w:rsidP="00B858D4">
      <w:pPr>
        <w:spacing w:before="0" w:after="0"/>
      </w:pPr>
      <w:r>
        <w:continuationSeparator/>
      </w:r>
    </w:p>
  </w:footnote>
  <w:footnote w:id="1">
    <w:p w14:paraId="412D9BB0" w14:textId="77777777" w:rsidR="00A42EA5" w:rsidRPr="00A2363A" w:rsidRDefault="00A42EA5" w:rsidP="00A2363A">
      <w:pPr>
        <w:pStyle w:val="FootnoteText"/>
        <w:ind w:left="0" w:firstLine="0"/>
        <w:rPr>
          <w:lang w:val="en-IE"/>
        </w:rPr>
      </w:pPr>
      <w:r w:rsidRPr="00013D25">
        <w:rPr>
          <w:rStyle w:val="FootnoteReference"/>
        </w:rPr>
        <w:footnoteRef/>
      </w:r>
      <w:r>
        <w:tab/>
      </w:r>
      <w:r w:rsidRPr="00A571AA">
        <w:t>Regulation (EU) No 1380/2013 of the European Parliament and of the Council of 11 December 2013 on the Common Fisheries Policy,</w:t>
      </w:r>
      <w:r>
        <w:t xml:space="preserve"> amending Council Regula</w:t>
      </w:r>
      <w:r w:rsidRPr="00A571AA">
        <w:t>t</w:t>
      </w:r>
      <w:r>
        <w:t>i</w:t>
      </w:r>
      <w:r w:rsidRPr="00A571AA">
        <w:t xml:space="preserve">ons (EC) No 1954/2003 and (EC) No </w:t>
      </w:r>
      <w:r>
        <w:t>1224/2009 and repealing Council R</w:t>
      </w:r>
      <w:r w:rsidRPr="00A571AA">
        <w:t>egulations (EC) No 2371/</w:t>
      </w:r>
      <w:r>
        <w:t>2002 and (EC) No 639/2004 and Council decision 2004/585/EC (OJ L 354, 28.12.2013, p. 22).</w:t>
      </w:r>
    </w:p>
  </w:footnote>
  <w:footnote w:id="2">
    <w:p w14:paraId="0DBA9166" w14:textId="77777777" w:rsidR="00A42EA5" w:rsidRPr="00A2363A" w:rsidRDefault="00A42EA5" w:rsidP="005E1DC7">
      <w:pPr>
        <w:pStyle w:val="FootnoteText"/>
        <w:ind w:left="0" w:firstLine="0"/>
        <w:rPr>
          <w:lang w:val="en-IE"/>
        </w:rPr>
      </w:pPr>
      <w:r w:rsidRPr="00013D25">
        <w:rPr>
          <w:rStyle w:val="FootnoteReference"/>
        </w:rPr>
        <w:footnoteRef/>
      </w:r>
      <w:r>
        <w:tab/>
        <w:t>Regulation (EU) 2019/1022 of the European Parliament and of the Council of 20 June 2019 establishing a multiannual plan for the fisheries exploiting demersal stocks in the western Mediterranean Sea and amending Regulation (EU) No 508/2014 (OJ L 172, 26.6.2019, p. 1).</w:t>
      </w:r>
    </w:p>
  </w:footnote>
  <w:footnote w:id="3">
    <w:p w14:paraId="49689D18" w14:textId="77777777" w:rsidR="00A42EA5" w:rsidRPr="00A2363A" w:rsidRDefault="00A42EA5" w:rsidP="00A2363A">
      <w:pPr>
        <w:pStyle w:val="FootnoteText"/>
        <w:ind w:left="0" w:firstLine="0"/>
        <w:rPr>
          <w:lang w:val="en-IE"/>
        </w:rPr>
      </w:pPr>
      <w:r w:rsidRPr="00013D25">
        <w:rPr>
          <w:rStyle w:val="FootnoteReference"/>
        </w:rPr>
        <w:footnoteRef/>
      </w:r>
      <w:r>
        <w:tab/>
        <w:t>Council Regulation (EU) 2022/110 of 27 January 2022 fixing for 2022 the fishing opportunities for certain fish stocks and groups of fish stocks applicable in the Mediterranean and Black Seas (OJ L 21, 31.1.2022, p. 165).</w:t>
      </w:r>
    </w:p>
  </w:footnote>
  <w:footnote w:id="4">
    <w:p w14:paraId="4D5F6D8C" w14:textId="77777777" w:rsidR="00123AA5" w:rsidRPr="00A2363A" w:rsidRDefault="00123AA5" w:rsidP="00123AA5">
      <w:pPr>
        <w:pStyle w:val="FootnoteText"/>
        <w:ind w:left="0" w:firstLine="0"/>
        <w:rPr>
          <w:lang w:val="en-IE"/>
        </w:rPr>
      </w:pPr>
      <w:r w:rsidRPr="00013D25">
        <w:rPr>
          <w:rStyle w:val="FootnoteReference"/>
        </w:rPr>
        <w:footnoteRef/>
      </w:r>
      <w:r>
        <w:tab/>
        <w:t>Council Regulation (EU) 2023/195 of 30 January 2023 fixing for 2023 the fishing opportunities for certain fish stocks and groups of fish stocks applicable in the Mediterranean and Black Seas (OJ L 28, 31.1.2023, p. 220).</w:t>
      </w:r>
    </w:p>
  </w:footnote>
  <w:footnote w:id="5">
    <w:p w14:paraId="60FA66CE" w14:textId="77777777" w:rsidR="00A42EA5" w:rsidRPr="003D2F53" w:rsidRDefault="00A42EA5" w:rsidP="00C35FB6">
      <w:pPr>
        <w:pStyle w:val="FootnoteText"/>
        <w:ind w:left="0" w:firstLine="0"/>
        <w:rPr>
          <w:lang w:val="en-IE"/>
        </w:rPr>
      </w:pPr>
      <w:r w:rsidRPr="00013D25">
        <w:rPr>
          <w:rStyle w:val="FootnoteReference"/>
        </w:rPr>
        <w:footnoteRef/>
      </w:r>
      <w:r>
        <w:tab/>
        <w:t>Council Regulation (EC) No 1224/2009 of 20 November 2009 establishing a Community control system for ensuring compliance with the rules of the common fisheries policy, amending Regulations (EC) No 847/96, (EC) No 2371/2002, (EC) No 811/2004, (EC) No 768/2005, (EC) No 2115/2005, (EC) No 2166/2005, (EC) No 388/2006, (EC) No 509/2007, (EC) No 676/2007, (EC) No 1098/2007, (EC) No 1300/2008, (EC) No 1342/2008 and repealing Regulations (EEC) No 2847/93, (EC) No 1627/94 and (EC) No 1966/2006 (OJ L 343, 22.12.2009, p. 1–50)</w:t>
      </w:r>
    </w:p>
  </w:footnote>
  <w:footnote w:id="6">
    <w:p w14:paraId="0146C99A" w14:textId="77777777" w:rsidR="00A42EA5" w:rsidRPr="00142835" w:rsidRDefault="00A42EA5" w:rsidP="0084037D">
      <w:pPr>
        <w:pStyle w:val="FootnoteText"/>
        <w:ind w:left="0" w:firstLine="0"/>
      </w:pPr>
      <w:r w:rsidRPr="00013D25">
        <w:rPr>
          <w:rStyle w:val="FootnoteReference"/>
        </w:rPr>
        <w:footnoteRef/>
      </w:r>
      <w:r>
        <w:tab/>
        <w:t>Regulation (EU) No 1343/2011 of the European Parliament and of the Council of 13 December 2011 on certain provisions for fishing in the GFCM (General Fisheries Commission for the Mediterranean) Agreement area and amending Council Regulation (EC) No 1967/2006 concerning management measures for the sustainable exploitation of fishery resources in the Mediterranean Sea (OJ L 347, 30.12.2011, p.44).</w:t>
      </w:r>
    </w:p>
  </w:footnote>
  <w:footnote w:id="7">
    <w:p w14:paraId="13B0C77B" w14:textId="229155BA" w:rsidR="006202E1" w:rsidRPr="000872F8" w:rsidRDefault="006202E1">
      <w:pPr>
        <w:pStyle w:val="FootnoteText"/>
        <w:rPr>
          <w:lang w:val="fr-BE"/>
        </w:rPr>
      </w:pPr>
      <w:r w:rsidRPr="002F6A65">
        <w:rPr>
          <w:rStyle w:val="FootnoteReference"/>
        </w:rPr>
        <w:footnoteRef/>
      </w:r>
      <w:r w:rsidR="002F6A65">
        <w:rPr>
          <w:lang w:val="fr-BE"/>
        </w:rPr>
        <w:tab/>
      </w:r>
      <w:hyperlink r:id="rId1" w:history="1">
        <w:r w:rsidRPr="000872F8">
          <w:rPr>
            <w:color w:val="0000FF"/>
            <w:u w:val="single"/>
            <w:lang w:val="fr-BE"/>
          </w:rPr>
          <w:t>eur-lex.europa.eu/legal-content/EN/TXT/PDF/?uri=CONSIL:ST_11623_2023_INIT</w:t>
        </w:r>
      </w:hyperlink>
      <w:r w:rsidRPr="000872F8">
        <w:rPr>
          <w:lang w:val="fr-BE"/>
        </w:rPr>
        <w:t xml:space="preserve"> </w:t>
      </w:r>
    </w:p>
  </w:footnote>
  <w:footnote w:id="8">
    <w:p w14:paraId="7FE16570" w14:textId="74932C09" w:rsidR="00E87CA4" w:rsidRPr="0084037D" w:rsidRDefault="00E87CA4">
      <w:pPr>
        <w:pStyle w:val="FootnoteText"/>
        <w:rPr>
          <w:lang w:val="fr-BE"/>
        </w:rPr>
      </w:pPr>
      <w:r w:rsidRPr="002F6A65">
        <w:rPr>
          <w:rStyle w:val="FootnoteReference"/>
        </w:rPr>
        <w:footnoteRef/>
      </w:r>
      <w:r w:rsidR="002F6A65">
        <w:rPr>
          <w:lang w:val="fr-BE"/>
        </w:rPr>
        <w:tab/>
      </w:r>
      <w:hyperlink r:id="rId2" w:history="1">
        <w:r w:rsidR="0084037D" w:rsidRPr="00A838FD">
          <w:rPr>
            <w:rStyle w:val="Hyperlink"/>
            <w:lang w:val="fr-BE"/>
          </w:rPr>
          <w:t>http://data.europa.eu/eli/reg/1996/847/oj</w:t>
        </w:r>
      </w:hyperlink>
      <w:r>
        <w:rPr>
          <w:lang w:val="fr-BE"/>
        </w:rPr>
        <w:t xml:space="preserve"> </w:t>
      </w:r>
    </w:p>
  </w:footnote>
  <w:footnote w:id="9">
    <w:p w14:paraId="04FD8864" w14:textId="77777777" w:rsidR="00A42EA5" w:rsidRPr="00A571AA" w:rsidRDefault="001648B3" w:rsidP="008D3B67">
      <w:pPr>
        <w:pStyle w:val="FootnoteText"/>
      </w:pPr>
      <w:r w:rsidRPr="001648B3">
        <w:rPr>
          <w:rStyle w:val="FootnoteReference"/>
        </w:rPr>
        <w:footnoteRef/>
      </w:r>
      <w:r>
        <w:tab/>
      </w:r>
      <w:r w:rsidR="00A42EA5" w:rsidRPr="00A571AA">
        <w:t>Regulation (EU) No 1380/2013 of the European Parliament and of the Council of 11 December 2013 on the Common Fisheries Policy,</w:t>
      </w:r>
      <w:r w:rsidR="00A42EA5">
        <w:t xml:space="preserve"> amending Council Regula</w:t>
      </w:r>
      <w:r w:rsidR="00A42EA5" w:rsidRPr="00A571AA">
        <w:t>t</w:t>
      </w:r>
      <w:r w:rsidR="00A42EA5">
        <w:t>i</w:t>
      </w:r>
      <w:r w:rsidR="00A42EA5" w:rsidRPr="00A571AA">
        <w:t xml:space="preserve">ons (EC) No 1954/2003 and (EC) No </w:t>
      </w:r>
      <w:r w:rsidR="00A42EA5">
        <w:t>1224/2009 and repealing Council R</w:t>
      </w:r>
      <w:r w:rsidR="00A42EA5" w:rsidRPr="00A571AA">
        <w:t>egulations (EC) No 2371/</w:t>
      </w:r>
      <w:r w:rsidR="00A42EA5">
        <w:t>2002 and (EC) No 639/2004 and Council decision 2004/585/EC (OJ L 354, 28.12.2013, p. 22).</w:t>
      </w:r>
      <w:r w:rsidR="00A42EA5" w:rsidRPr="00A571AA">
        <w:tab/>
      </w:r>
    </w:p>
  </w:footnote>
  <w:footnote w:id="10">
    <w:p w14:paraId="0D662897" w14:textId="77777777" w:rsidR="00A62250" w:rsidRDefault="00A62250" w:rsidP="00A62250">
      <w:pPr>
        <w:pStyle w:val="FootnoteText"/>
      </w:pPr>
      <w:r>
        <w:rPr>
          <w:rStyle w:val="FootnoteReference"/>
        </w:rPr>
        <w:footnoteRef/>
      </w:r>
      <w:r>
        <w:tab/>
        <w:t>Regulation (EU) 2019/1022 of the European Parliament and of the Council of 20 June 2019 establishing a multiannual plan for the fisheries exploiting demersal stocks in the western Mediterranean Sea and amending Regulation (EU) No 508/2014 (OJ L 172, 26.6.2019, p. 1).</w:t>
      </w:r>
    </w:p>
  </w:footnote>
  <w:footnote w:id="11">
    <w:p w14:paraId="232FEE8A" w14:textId="77777777" w:rsidR="00A42EA5" w:rsidRPr="0084037D" w:rsidRDefault="00A42EA5" w:rsidP="00E70628">
      <w:pPr>
        <w:pStyle w:val="FootnoteText"/>
      </w:pPr>
      <w:r>
        <w:rPr>
          <w:rStyle w:val="FootnoteReference"/>
        </w:rPr>
        <w:footnoteRef/>
      </w:r>
      <w:r>
        <w:tab/>
        <w:t xml:space="preserve">Council Regulation (EU) 2023/195 of 30 January 2023 fixing for 2023 the fishing opportunities for </w:t>
      </w:r>
      <w:r w:rsidRPr="0084037D">
        <w:t xml:space="preserve">certain fish stocks and groups of fish stocks applicable in the Mediterranean and Black Seas (OJ L 28, 31.1.2023, p. 220). </w:t>
      </w:r>
    </w:p>
  </w:footnote>
  <w:footnote w:id="12">
    <w:p w14:paraId="00DEFB21" w14:textId="4F631184" w:rsidR="00B559EA" w:rsidRPr="0084037D" w:rsidRDefault="00B559EA">
      <w:pPr>
        <w:pStyle w:val="FootnoteText"/>
        <w:rPr>
          <w:b/>
          <w:bCs/>
          <w:lang w:val="en-IE"/>
        </w:rPr>
      </w:pPr>
      <w:r w:rsidRPr="002F6A65">
        <w:rPr>
          <w:rStyle w:val="FootnoteReference"/>
        </w:rPr>
        <w:footnoteRef/>
      </w:r>
      <w:r w:rsidR="002F6A65">
        <w:tab/>
      </w:r>
      <w:hyperlink r:id="rId3" w:history="1">
        <w:r w:rsidRPr="0084037D">
          <w:rPr>
            <w:color w:val="0000FF"/>
            <w:u w:val="single"/>
          </w:rPr>
          <w:t>Compliance Committee (CoC) Portal - REC.CM_GFCM_43_2019_5-e.pdf - All Documents (sharepoint.com)</w:t>
        </w:r>
      </w:hyperlink>
      <w:r w:rsidRPr="0084037D">
        <w:t xml:space="preserve"> </w:t>
      </w:r>
      <w:r w:rsidR="000872F8" w:rsidRPr="0084037D">
        <w:t xml:space="preserve"> </w:t>
      </w:r>
    </w:p>
  </w:footnote>
  <w:footnote w:id="13">
    <w:p w14:paraId="0554D00C" w14:textId="001C3C69" w:rsidR="00A92FE7" w:rsidRPr="000872F8" w:rsidRDefault="00A92FE7">
      <w:pPr>
        <w:pStyle w:val="FootnoteText"/>
        <w:rPr>
          <w:lang w:val="en-IE"/>
        </w:rPr>
      </w:pPr>
      <w:r w:rsidRPr="002F6A65">
        <w:rPr>
          <w:rStyle w:val="FootnoteReference"/>
        </w:rPr>
        <w:footnoteRef/>
      </w:r>
      <w:r w:rsidR="002F6A65">
        <w:tab/>
      </w:r>
      <w:hyperlink r:id="rId4" w:history="1">
        <w:r w:rsidRPr="0084037D">
          <w:rPr>
            <w:color w:val="0000FF"/>
            <w:u w:val="single"/>
          </w:rPr>
          <w:t>Compliance Committee (CoC) Portal - REC.CM_GFCM_44_2021_20-e.pdf - All Documents (sharepoint.com)</w:t>
        </w:r>
      </w:hyperlink>
    </w:p>
  </w:footnote>
  <w:footnote w:id="14">
    <w:p w14:paraId="21BE1289" w14:textId="37FDB977" w:rsidR="000A587A" w:rsidRPr="000872F8" w:rsidRDefault="000A587A">
      <w:pPr>
        <w:pStyle w:val="FootnoteText"/>
        <w:rPr>
          <w:lang w:val="en-IE"/>
        </w:rPr>
      </w:pPr>
      <w:r w:rsidRPr="002F6A65">
        <w:rPr>
          <w:rStyle w:val="FootnoteReference"/>
        </w:rPr>
        <w:footnoteRef/>
      </w:r>
      <w:r w:rsidR="002F6A65">
        <w:tab/>
      </w:r>
      <w:hyperlink r:id="rId5" w:history="1">
        <w:r w:rsidRPr="000872F8">
          <w:rPr>
            <w:color w:val="0000FF"/>
            <w:u w:val="single"/>
          </w:rPr>
          <w:t xml:space="preserve">Compliance Committee (CoC) Portal </w:t>
        </w:r>
        <w:r w:rsidR="00B63298">
          <w:rPr>
            <w:color w:val="0000FF"/>
            <w:u w:val="single"/>
          </w:rPr>
          <w:t>–</w:t>
        </w:r>
        <w:r w:rsidRPr="000872F8">
          <w:rPr>
            <w:color w:val="0000FF"/>
            <w:u w:val="single"/>
          </w:rPr>
          <w:t xml:space="preserve"> REC.CM_GFCM_45_2022_4-e.pdf </w:t>
        </w:r>
        <w:r w:rsidR="00B63298">
          <w:rPr>
            <w:color w:val="0000FF"/>
            <w:u w:val="single"/>
          </w:rPr>
          <w:t>–</w:t>
        </w:r>
        <w:r w:rsidRPr="000872F8">
          <w:rPr>
            <w:color w:val="0000FF"/>
            <w:u w:val="single"/>
          </w:rPr>
          <w:t xml:space="preserve"> All Documents (sharepoint.com)</w:t>
        </w:r>
      </w:hyperlink>
    </w:p>
  </w:footnote>
  <w:footnote w:id="15">
    <w:p w14:paraId="13D9DD42" w14:textId="445A6604" w:rsidR="00FC5F63" w:rsidRPr="000872F8" w:rsidRDefault="00FC5F63">
      <w:pPr>
        <w:pStyle w:val="FootnoteText"/>
        <w:rPr>
          <w:lang w:val="en-IE"/>
        </w:rPr>
      </w:pPr>
      <w:r w:rsidRPr="002F6A65">
        <w:rPr>
          <w:rStyle w:val="FootnoteReference"/>
        </w:rPr>
        <w:footnoteRef/>
      </w:r>
      <w:r w:rsidR="002F6A65">
        <w:tab/>
      </w:r>
      <w:hyperlink r:id="rId6" w:history="1">
        <w:r w:rsidRPr="000872F8">
          <w:rPr>
            <w:color w:val="0000FF"/>
            <w:u w:val="single"/>
          </w:rPr>
          <w:t>Compliance Committee (CoC) Portal - REC.CM_GFCM_45_2022_5-e.pdf - All Documents (sharepoint.com)</w:t>
        </w:r>
      </w:hyperlink>
      <w:r w:rsidRPr="000872F8">
        <w:t xml:space="preserve"> </w:t>
      </w:r>
    </w:p>
  </w:footnote>
  <w:footnote w:id="16">
    <w:p w14:paraId="2809EC1B" w14:textId="3770A7EE" w:rsidR="00427962" w:rsidRPr="000872F8" w:rsidRDefault="00427962">
      <w:pPr>
        <w:pStyle w:val="FootnoteText"/>
        <w:rPr>
          <w:lang w:val="en-IE"/>
        </w:rPr>
      </w:pPr>
      <w:r w:rsidRPr="002F6A65">
        <w:rPr>
          <w:rStyle w:val="FootnoteReference"/>
        </w:rPr>
        <w:footnoteRef/>
      </w:r>
      <w:r w:rsidR="002F6A65">
        <w:tab/>
      </w:r>
      <w:hyperlink r:id="rId7" w:history="1">
        <w:r w:rsidRPr="000872F8">
          <w:rPr>
            <w:color w:val="0000FF"/>
            <w:u w:val="single"/>
          </w:rPr>
          <w:t>Compliance Committee (CoC) Portal - REC.CM_GFCM_45_2022_6-e.pdf - All Documents (sharepoint.com)</w:t>
        </w:r>
      </w:hyperlink>
    </w:p>
  </w:footnote>
  <w:footnote w:id="17">
    <w:p w14:paraId="1FB38FB4" w14:textId="10D693A6" w:rsidR="00691069" w:rsidRPr="000872F8" w:rsidRDefault="00691069">
      <w:pPr>
        <w:pStyle w:val="FootnoteText"/>
        <w:rPr>
          <w:lang w:val="en-IE"/>
        </w:rPr>
      </w:pPr>
      <w:r w:rsidRPr="002F6A65">
        <w:rPr>
          <w:rStyle w:val="FootnoteReference"/>
        </w:rPr>
        <w:footnoteRef/>
      </w:r>
      <w:r w:rsidR="002F6A65">
        <w:tab/>
      </w:r>
      <w:hyperlink r:id="rId8" w:history="1">
        <w:r w:rsidRPr="000872F8">
          <w:rPr>
            <w:color w:val="0000FF"/>
            <w:u w:val="single"/>
          </w:rPr>
          <w:t>Compliance Committee (CoC) Portal - REC.CM_GFCM_45_2022_7-e.pdf - All Documents (sharepoint.com)</w:t>
        </w:r>
      </w:hyperlink>
    </w:p>
  </w:footnote>
  <w:footnote w:id="18">
    <w:p w14:paraId="469CBDF3" w14:textId="1B9DFDD7" w:rsidR="00342F8D" w:rsidRPr="000872F8" w:rsidRDefault="00342F8D">
      <w:pPr>
        <w:pStyle w:val="FootnoteText"/>
        <w:rPr>
          <w:lang w:val="en-IE"/>
        </w:rPr>
      </w:pPr>
      <w:r w:rsidRPr="002F6A65">
        <w:rPr>
          <w:rStyle w:val="FootnoteReference"/>
        </w:rPr>
        <w:footnoteRef/>
      </w:r>
      <w:r w:rsidR="002F6A65">
        <w:tab/>
      </w:r>
      <w:hyperlink r:id="rId9" w:history="1">
        <w:r w:rsidRPr="000872F8">
          <w:rPr>
            <w:color w:val="0000FF"/>
            <w:u w:val="single"/>
          </w:rPr>
          <w:t>Compliance Committee (CoC) Portal - REC.CM_GFCM_45_2022_3-e.pdf - All Documents (sharepoint.com)</w:t>
        </w:r>
      </w:hyperlink>
    </w:p>
  </w:footnote>
  <w:footnote w:id="19">
    <w:p w14:paraId="062FF566" w14:textId="65A9F245" w:rsidR="00744246" w:rsidRPr="000872F8" w:rsidRDefault="00744246">
      <w:pPr>
        <w:pStyle w:val="FootnoteText"/>
        <w:rPr>
          <w:lang w:val="en-IE"/>
        </w:rPr>
      </w:pPr>
      <w:r w:rsidRPr="002F6A65">
        <w:rPr>
          <w:rStyle w:val="FootnoteReference"/>
        </w:rPr>
        <w:footnoteRef/>
      </w:r>
      <w:r w:rsidR="002F6A65">
        <w:tab/>
      </w:r>
      <w:hyperlink r:id="rId10" w:history="1">
        <w:r w:rsidRPr="000872F8">
          <w:rPr>
            <w:color w:val="0000FF"/>
            <w:u w:val="single"/>
          </w:rPr>
          <w:t>Compliance Committee (CoC) Portal - REC.CM_GFCM_45_2022_9-e.pdf - All Documents (sharepoint.com)</w:t>
        </w:r>
      </w:hyperlink>
    </w:p>
  </w:footnote>
  <w:footnote w:id="20">
    <w:p w14:paraId="78E60B3D" w14:textId="77777777" w:rsidR="00A42EA5" w:rsidRDefault="00A42EA5" w:rsidP="004A466C">
      <w:pPr>
        <w:pStyle w:val="FootnoteText"/>
        <w:rPr>
          <w:lang w:val="en-IE"/>
        </w:rPr>
      </w:pPr>
      <w:r w:rsidRPr="00A31383">
        <w:rPr>
          <w:rStyle w:val="FootnoteReference"/>
        </w:rPr>
        <w:footnoteRef/>
      </w:r>
      <w:r>
        <w:tab/>
        <w:t>Council Regulation (EC) No 1224/2009 of 20 November 2009 establishing a Community control system for ensuring compliance with the rules of the common fisheries policy, amending Regulations (EC) No 847/96, (EC) No 2371/2002, (EC) No 811/2004, (EC) No 768/2005, (EC) No 2115/2005, (EC) No 2166/2005, (EC) No 388/2006, (EC) No 509/2007, (EC) No 676/2007, (EC) No 1098/2007, (EC) No 1300/2008, (EC) No 1342/2008 and repealing Regulations (EEC) No 2847/93, (EC) No 1627/94 and (EC) No 1966/2006 (OJ L 343, 22.12.2009, p. 1)</w:t>
      </w:r>
      <w:r w:rsidR="002D29E6">
        <w:t>.</w:t>
      </w:r>
    </w:p>
  </w:footnote>
  <w:footnote w:id="21">
    <w:p w14:paraId="2C4A246A" w14:textId="5EC9AAAF" w:rsidR="00E87CA4" w:rsidRPr="0084037D" w:rsidRDefault="00E87CA4">
      <w:pPr>
        <w:pStyle w:val="FootnoteText"/>
        <w:rPr>
          <w:lang w:val="en-IE"/>
        </w:rPr>
      </w:pPr>
      <w:r w:rsidRPr="002F6A65">
        <w:rPr>
          <w:rStyle w:val="FootnoteReference"/>
        </w:rPr>
        <w:footnoteRef/>
      </w:r>
      <w:r w:rsidR="002F6A65">
        <w:tab/>
      </w:r>
      <w:r w:rsidR="000C2016">
        <w:rPr>
          <w:noProof/>
        </w:rPr>
        <w:t xml:space="preserve">Council </w:t>
      </w:r>
      <w:r w:rsidR="000C2016" w:rsidRPr="00873436">
        <w:rPr>
          <w:noProof/>
        </w:rPr>
        <w:t>Regulation (EC) No 847/96</w:t>
      </w:r>
      <w:r w:rsidR="000C2016">
        <w:rPr>
          <w:noProof/>
        </w:rPr>
        <w:t xml:space="preserve"> of 6 May 1996 </w:t>
      </w:r>
      <w:r w:rsidR="000C2016">
        <w:t>introducing additional conditions for year-to-year management of TACs and quotas (OJ L 115, 9.5.1996, p. 3).</w:t>
      </w:r>
    </w:p>
  </w:footnote>
  <w:footnote w:id="22">
    <w:p w14:paraId="3363B6B9" w14:textId="77777777" w:rsidR="00E11F41" w:rsidRPr="004A466C" w:rsidRDefault="00E11F41" w:rsidP="00E11F41">
      <w:pPr>
        <w:pStyle w:val="FootnoteText"/>
        <w:ind w:left="0" w:firstLine="0"/>
      </w:pPr>
      <w:r w:rsidRPr="00013D25">
        <w:rPr>
          <w:rStyle w:val="FootnoteReference"/>
        </w:rPr>
        <w:footnoteRef/>
      </w:r>
      <w:r>
        <w:tab/>
        <w:t xml:space="preserve">Regulation (EU) No 1343/2011 of the European Parliament and of the Council of 13 December 2011 on </w:t>
      </w:r>
      <w:r>
        <w:tab/>
        <w:t xml:space="preserve">certain provisions for fishing in the GFCM (General Fisheries Commission for the Mediterranean) </w:t>
      </w:r>
      <w:r>
        <w:tab/>
        <w:t xml:space="preserve">Agreement area and amending Council Regulation (EC) No 1967/2006 concerning management </w:t>
      </w:r>
      <w:r>
        <w:tab/>
        <w:t xml:space="preserve">measures for the sustainable exploitation of fishery resources in the Mediterranean Sea (OJ L 347, </w:t>
      </w:r>
      <w:r>
        <w:tab/>
        <w:t>30.12.2011, p. 44).</w:t>
      </w:r>
    </w:p>
    <w:p w14:paraId="1365A43D" w14:textId="77777777" w:rsidR="00E11F41" w:rsidRPr="00142835" w:rsidRDefault="00E11F41" w:rsidP="00E11F4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200029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F1468FA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34C995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AEDEF17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0A473C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2A42DD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56E97D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9A4FE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num>
  <w:num w:numId="15">
    <w:abstractNumId w:val="19"/>
    <w:lvlOverride w:ilvl="0">
      <w:startOverride w:val="1"/>
    </w:lvlOverride>
  </w:num>
  <w:num w:numId="16">
    <w:abstractNumId w:val="19"/>
    <w:lvlOverride w:ilvl="0">
      <w:startOverride w:val="1"/>
    </w:lvlOverride>
  </w:num>
  <w:num w:numId="17">
    <w:abstractNumId w:val="19"/>
    <w:lvlOverride w:ilvl="0">
      <w:startOverride w:val="1"/>
    </w:lvlOverride>
  </w:num>
  <w:num w:numId="18">
    <w:abstractNumId w:val="22"/>
    <w:lvlOverride w:ilvl="0">
      <w:startOverride w:val="1"/>
    </w:lvlOverride>
  </w:num>
  <w:num w:numId="19">
    <w:abstractNumId w:val="19"/>
  </w:num>
  <w:num w:numId="20">
    <w:abstractNumId w:val="12"/>
  </w:num>
  <w:num w:numId="21">
    <w:abstractNumId w:val="21"/>
  </w:num>
  <w:num w:numId="22">
    <w:abstractNumId w:val="11"/>
  </w:num>
  <w:num w:numId="23">
    <w:abstractNumId w:val="13"/>
  </w:num>
  <w:num w:numId="24">
    <w:abstractNumId w:val="14"/>
  </w:num>
  <w:num w:numId="25">
    <w:abstractNumId w:val="9"/>
  </w:num>
  <w:num w:numId="26">
    <w:abstractNumId w:val="20"/>
  </w:num>
  <w:num w:numId="27">
    <w:abstractNumId w:val="8"/>
  </w:num>
  <w:num w:numId="28">
    <w:abstractNumId w:val="15"/>
  </w:num>
  <w:num w:numId="29">
    <w:abstractNumId w:val="17"/>
  </w:num>
  <w:num w:numId="30">
    <w:abstractNumId w:val="18"/>
  </w:num>
  <w:num w:numId="31">
    <w:abstractNumId w:val="10"/>
  </w:num>
  <w:num w:numId="32">
    <w:abstractNumId w:val="16"/>
  </w:num>
  <w:num w:numId="33">
    <w:abstractNumId w:val="22"/>
  </w:num>
  <w:num w:numId="34">
    <w:abstractNumId w:val="19"/>
  </w:num>
  <w:num w:numId="35">
    <w:abstractNumId w:val="12"/>
  </w:num>
  <w:num w:numId="36">
    <w:abstractNumId w:val="21"/>
  </w:num>
  <w:num w:numId="37">
    <w:abstractNumId w:val="11"/>
  </w:num>
  <w:num w:numId="38">
    <w:abstractNumId w:val="13"/>
  </w:num>
  <w:num w:numId="39">
    <w:abstractNumId w:val="14"/>
  </w:num>
  <w:num w:numId="40">
    <w:abstractNumId w:val="9"/>
  </w:num>
  <w:num w:numId="41">
    <w:abstractNumId w:val="20"/>
  </w:num>
  <w:num w:numId="42">
    <w:abstractNumId w:val="8"/>
  </w:num>
  <w:num w:numId="43">
    <w:abstractNumId w:val="15"/>
  </w:num>
  <w:num w:numId="44">
    <w:abstractNumId w:val="17"/>
  </w:num>
  <w:num w:numId="45">
    <w:abstractNumId w:val="18"/>
  </w:num>
  <w:num w:numId="46">
    <w:abstractNumId w:val="10"/>
  </w:num>
  <w:num w:numId="47">
    <w:abstractNumId w:val="16"/>
  </w:num>
  <w:num w:numId="48">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IE" w:vendorID="64" w:dllVersion="0" w:nlCheck="1" w:checkStyle="0"/>
  <w:activeWritingStyle w:appName="MSWord" w:lang="de-DE" w:vendorID="64" w:dllVersion="0" w:nlCheck="1" w:checkStyle="0"/>
  <w:activeWritingStyle w:appName="MSWord" w:lang="en-IE" w:vendorID="64" w:dllVersion="6" w:nlCheck="1" w:checkStyle="1"/>
  <w:attachedTemplate r:id="rId1"/>
  <w:revisionView w:markup="0"/>
  <w:defaultTabStop w:val="720"/>
  <w:hyphenationZone w:val="425"/>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2"/>
  </w:compat>
  <w:docVars>
    <w:docVar w:name="DQCDateTime" w:val="2023-10-06 11:11:5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0D68BB7C-C907-4646-9E73-AB7B2DC97261"/>
    <w:docVar w:name="LW_COVERPAGE_TYPE" w:val="1"/>
    <w:docVar w:name="LW_CROSSREFERENCE" w:val="&lt;UNUSED&gt;"/>
    <w:docVar w:name="LW_DocType" w:val="COM"/>
    <w:docVar w:name="LW_EMISSION" w:val="10.10.2023"/>
    <w:docVar w:name="LW_EMISSION_ISODATE" w:val="2023-10-10"/>
    <w:docVar w:name="LW_EMISSION_LOCATION" w:val="BRX"/>
    <w:docVar w:name="LW_EMISSION_PREFIX" w:val="Brussels, "/>
    <w:docVar w:name="LW_EMISSION_SUFFIX" w:val=" "/>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350"/>
    <w:docVar w:name="LW_REF.II.NEW.CP_YEAR" w:val="2023"/>
    <w:docVar w:name="LW_REF.INST.NEW" w:val="COM"/>
    <w:docVar w:name="LW_REF.INST.NEW_ADOPTED" w:val="final"/>
    <w:docVar w:name="LW_REF.INST.NEW_TEXT" w:val="(2023) 57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fixing the fishing opportunities for certain fish stocks and groups of fish stocks applicable in the Mediterranean and Black Seas for 2024"/>
    <w:docVar w:name="LW_TYPE.DOC.CP" w:val="COUNCIL REGULATION"/>
    <w:docVar w:name="LwApiVersions" w:val="LW4CoDe 1.23.2.0; LW 8.0, Build 20211117"/>
  </w:docVars>
  <w:rsids>
    <w:rsidRoot w:val="00B858D4"/>
    <w:rsid w:val="00000BEC"/>
    <w:rsid w:val="00000E40"/>
    <w:rsid w:val="00003687"/>
    <w:rsid w:val="000037A3"/>
    <w:rsid w:val="00004A57"/>
    <w:rsid w:val="00013D25"/>
    <w:rsid w:val="00015D62"/>
    <w:rsid w:val="00020FAD"/>
    <w:rsid w:val="00023167"/>
    <w:rsid w:val="00027024"/>
    <w:rsid w:val="000276E4"/>
    <w:rsid w:val="00027962"/>
    <w:rsid w:val="000309D1"/>
    <w:rsid w:val="00032875"/>
    <w:rsid w:val="000437C1"/>
    <w:rsid w:val="000577CF"/>
    <w:rsid w:val="000669A3"/>
    <w:rsid w:val="0007367A"/>
    <w:rsid w:val="000748EF"/>
    <w:rsid w:val="00075946"/>
    <w:rsid w:val="00080E71"/>
    <w:rsid w:val="00081738"/>
    <w:rsid w:val="000872F8"/>
    <w:rsid w:val="00093581"/>
    <w:rsid w:val="00093EEA"/>
    <w:rsid w:val="0009602B"/>
    <w:rsid w:val="00096D47"/>
    <w:rsid w:val="0009701F"/>
    <w:rsid w:val="00097657"/>
    <w:rsid w:val="000A587A"/>
    <w:rsid w:val="000B3043"/>
    <w:rsid w:val="000B607F"/>
    <w:rsid w:val="000B72D6"/>
    <w:rsid w:val="000B7A7D"/>
    <w:rsid w:val="000C2016"/>
    <w:rsid w:val="000C77E7"/>
    <w:rsid w:val="000D1A30"/>
    <w:rsid w:val="000D608D"/>
    <w:rsid w:val="000E0EEF"/>
    <w:rsid w:val="000E0EFC"/>
    <w:rsid w:val="000E43D2"/>
    <w:rsid w:val="000E4BF1"/>
    <w:rsid w:val="000E681B"/>
    <w:rsid w:val="000F1D8D"/>
    <w:rsid w:val="000F5CBC"/>
    <w:rsid w:val="00102DC4"/>
    <w:rsid w:val="001042F7"/>
    <w:rsid w:val="001058DA"/>
    <w:rsid w:val="00105B1E"/>
    <w:rsid w:val="001072E1"/>
    <w:rsid w:val="00112116"/>
    <w:rsid w:val="001130F0"/>
    <w:rsid w:val="00113358"/>
    <w:rsid w:val="00115C2D"/>
    <w:rsid w:val="00116EBA"/>
    <w:rsid w:val="001203E9"/>
    <w:rsid w:val="00123AA5"/>
    <w:rsid w:val="00132154"/>
    <w:rsid w:val="00137464"/>
    <w:rsid w:val="0013763F"/>
    <w:rsid w:val="00140610"/>
    <w:rsid w:val="001417BE"/>
    <w:rsid w:val="00141D7B"/>
    <w:rsid w:val="00142205"/>
    <w:rsid w:val="00142835"/>
    <w:rsid w:val="0015138E"/>
    <w:rsid w:val="00151FEF"/>
    <w:rsid w:val="00152894"/>
    <w:rsid w:val="00155582"/>
    <w:rsid w:val="00161B51"/>
    <w:rsid w:val="0016212F"/>
    <w:rsid w:val="001648B3"/>
    <w:rsid w:val="00172D4C"/>
    <w:rsid w:val="00172EB3"/>
    <w:rsid w:val="00176222"/>
    <w:rsid w:val="001776D1"/>
    <w:rsid w:val="00183585"/>
    <w:rsid w:val="00185C90"/>
    <w:rsid w:val="0018759E"/>
    <w:rsid w:val="00187BD9"/>
    <w:rsid w:val="00190152"/>
    <w:rsid w:val="001A4B75"/>
    <w:rsid w:val="001B0C54"/>
    <w:rsid w:val="001B2A8B"/>
    <w:rsid w:val="001C05A0"/>
    <w:rsid w:val="001C0D38"/>
    <w:rsid w:val="001C280F"/>
    <w:rsid w:val="001C46CE"/>
    <w:rsid w:val="001C4EAB"/>
    <w:rsid w:val="001C55CA"/>
    <w:rsid w:val="001D27D5"/>
    <w:rsid w:val="001D2F0F"/>
    <w:rsid w:val="001E1980"/>
    <w:rsid w:val="001E4040"/>
    <w:rsid w:val="001E477A"/>
    <w:rsid w:val="001F2712"/>
    <w:rsid w:val="00203FD3"/>
    <w:rsid w:val="00207729"/>
    <w:rsid w:val="00207F32"/>
    <w:rsid w:val="00210011"/>
    <w:rsid w:val="00210D16"/>
    <w:rsid w:val="00212A17"/>
    <w:rsid w:val="00217716"/>
    <w:rsid w:val="00223E34"/>
    <w:rsid w:val="00225B6C"/>
    <w:rsid w:val="002265E8"/>
    <w:rsid w:val="00227EAD"/>
    <w:rsid w:val="00230075"/>
    <w:rsid w:val="0023032E"/>
    <w:rsid w:val="002323A0"/>
    <w:rsid w:val="00233190"/>
    <w:rsid w:val="002331B1"/>
    <w:rsid w:val="0024151E"/>
    <w:rsid w:val="00247062"/>
    <w:rsid w:val="00247535"/>
    <w:rsid w:val="00260EBB"/>
    <w:rsid w:val="00262497"/>
    <w:rsid w:val="002655FB"/>
    <w:rsid w:val="00274CBD"/>
    <w:rsid w:val="00283CC2"/>
    <w:rsid w:val="00287EB1"/>
    <w:rsid w:val="0029087D"/>
    <w:rsid w:val="00296697"/>
    <w:rsid w:val="002A0008"/>
    <w:rsid w:val="002A3179"/>
    <w:rsid w:val="002A38FB"/>
    <w:rsid w:val="002A649D"/>
    <w:rsid w:val="002A76EB"/>
    <w:rsid w:val="002B40C6"/>
    <w:rsid w:val="002B4F0C"/>
    <w:rsid w:val="002C0D09"/>
    <w:rsid w:val="002D1068"/>
    <w:rsid w:val="002D1839"/>
    <w:rsid w:val="002D2065"/>
    <w:rsid w:val="002D29E6"/>
    <w:rsid w:val="002E37EF"/>
    <w:rsid w:val="002E7091"/>
    <w:rsid w:val="002E732A"/>
    <w:rsid w:val="002F044E"/>
    <w:rsid w:val="002F103D"/>
    <w:rsid w:val="002F606F"/>
    <w:rsid w:val="002F6A65"/>
    <w:rsid w:val="0030303C"/>
    <w:rsid w:val="00303064"/>
    <w:rsid w:val="003043DD"/>
    <w:rsid w:val="003073BE"/>
    <w:rsid w:val="0031150F"/>
    <w:rsid w:val="00312191"/>
    <w:rsid w:val="003129C5"/>
    <w:rsid w:val="0031340B"/>
    <w:rsid w:val="00323531"/>
    <w:rsid w:val="0032564A"/>
    <w:rsid w:val="00325FB0"/>
    <w:rsid w:val="0032629B"/>
    <w:rsid w:val="00326C5A"/>
    <w:rsid w:val="00341031"/>
    <w:rsid w:val="00342F8D"/>
    <w:rsid w:val="00344C7F"/>
    <w:rsid w:val="00347CE7"/>
    <w:rsid w:val="003546D5"/>
    <w:rsid w:val="00354BA0"/>
    <w:rsid w:val="00357D6B"/>
    <w:rsid w:val="003668DC"/>
    <w:rsid w:val="0037324B"/>
    <w:rsid w:val="003754ED"/>
    <w:rsid w:val="003767C7"/>
    <w:rsid w:val="00396ACD"/>
    <w:rsid w:val="003974D6"/>
    <w:rsid w:val="003A37C6"/>
    <w:rsid w:val="003A3C7B"/>
    <w:rsid w:val="003B0705"/>
    <w:rsid w:val="003B1842"/>
    <w:rsid w:val="003B4403"/>
    <w:rsid w:val="003B6F86"/>
    <w:rsid w:val="003B75AA"/>
    <w:rsid w:val="003C2ED9"/>
    <w:rsid w:val="003C3457"/>
    <w:rsid w:val="003C57B6"/>
    <w:rsid w:val="003D0945"/>
    <w:rsid w:val="003D2F53"/>
    <w:rsid w:val="003E045B"/>
    <w:rsid w:val="003E1602"/>
    <w:rsid w:val="003E6812"/>
    <w:rsid w:val="003F17FE"/>
    <w:rsid w:val="003F7539"/>
    <w:rsid w:val="003F7858"/>
    <w:rsid w:val="00400F4A"/>
    <w:rsid w:val="00402770"/>
    <w:rsid w:val="00406050"/>
    <w:rsid w:val="004167E4"/>
    <w:rsid w:val="004215FC"/>
    <w:rsid w:val="0042579B"/>
    <w:rsid w:val="00426B63"/>
    <w:rsid w:val="00427962"/>
    <w:rsid w:val="004307EC"/>
    <w:rsid w:val="00430F4D"/>
    <w:rsid w:val="00431929"/>
    <w:rsid w:val="004345CF"/>
    <w:rsid w:val="00436A77"/>
    <w:rsid w:val="0043729D"/>
    <w:rsid w:val="00437AA5"/>
    <w:rsid w:val="004417D5"/>
    <w:rsid w:val="00442FF6"/>
    <w:rsid w:val="00445B5A"/>
    <w:rsid w:val="004509AF"/>
    <w:rsid w:val="004529F3"/>
    <w:rsid w:val="004569F0"/>
    <w:rsid w:val="004700A6"/>
    <w:rsid w:val="0047658D"/>
    <w:rsid w:val="00477C52"/>
    <w:rsid w:val="00482876"/>
    <w:rsid w:val="00484999"/>
    <w:rsid w:val="004849EE"/>
    <w:rsid w:val="00484E26"/>
    <w:rsid w:val="00486445"/>
    <w:rsid w:val="00492396"/>
    <w:rsid w:val="0049431F"/>
    <w:rsid w:val="00497B95"/>
    <w:rsid w:val="004A0F36"/>
    <w:rsid w:val="004A2126"/>
    <w:rsid w:val="004A3A98"/>
    <w:rsid w:val="004A466C"/>
    <w:rsid w:val="004A6034"/>
    <w:rsid w:val="004C066B"/>
    <w:rsid w:val="004C1D78"/>
    <w:rsid w:val="004C47D0"/>
    <w:rsid w:val="004D0232"/>
    <w:rsid w:val="004D3D81"/>
    <w:rsid w:val="004E19F9"/>
    <w:rsid w:val="004E218B"/>
    <w:rsid w:val="004E36E8"/>
    <w:rsid w:val="004E54BC"/>
    <w:rsid w:val="004E613A"/>
    <w:rsid w:val="004E7BDC"/>
    <w:rsid w:val="004F0ED4"/>
    <w:rsid w:val="004F450E"/>
    <w:rsid w:val="004F5CFE"/>
    <w:rsid w:val="00500F23"/>
    <w:rsid w:val="00501BDA"/>
    <w:rsid w:val="005106C3"/>
    <w:rsid w:val="00517205"/>
    <w:rsid w:val="005224C2"/>
    <w:rsid w:val="00524D90"/>
    <w:rsid w:val="00526974"/>
    <w:rsid w:val="00533BE0"/>
    <w:rsid w:val="005346BC"/>
    <w:rsid w:val="00535D68"/>
    <w:rsid w:val="0053604B"/>
    <w:rsid w:val="00542487"/>
    <w:rsid w:val="005434F8"/>
    <w:rsid w:val="0054407F"/>
    <w:rsid w:val="00545CF6"/>
    <w:rsid w:val="00546186"/>
    <w:rsid w:val="00546586"/>
    <w:rsid w:val="00547886"/>
    <w:rsid w:val="005534AB"/>
    <w:rsid w:val="0055640E"/>
    <w:rsid w:val="005573CB"/>
    <w:rsid w:val="00557F7F"/>
    <w:rsid w:val="00560626"/>
    <w:rsid w:val="00562DFA"/>
    <w:rsid w:val="00571AF0"/>
    <w:rsid w:val="00582810"/>
    <w:rsid w:val="00587A30"/>
    <w:rsid w:val="00593086"/>
    <w:rsid w:val="0059396C"/>
    <w:rsid w:val="00594E45"/>
    <w:rsid w:val="00595540"/>
    <w:rsid w:val="0059606B"/>
    <w:rsid w:val="005A0E81"/>
    <w:rsid w:val="005A2CDB"/>
    <w:rsid w:val="005A3648"/>
    <w:rsid w:val="005A3BFF"/>
    <w:rsid w:val="005A5A17"/>
    <w:rsid w:val="005B14B1"/>
    <w:rsid w:val="005B360E"/>
    <w:rsid w:val="005B5FA6"/>
    <w:rsid w:val="005C3B12"/>
    <w:rsid w:val="005C65CA"/>
    <w:rsid w:val="005D004A"/>
    <w:rsid w:val="005D23EE"/>
    <w:rsid w:val="005D43C1"/>
    <w:rsid w:val="005D5ADD"/>
    <w:rsid w:val="005D650F"/>
    <w:rsid w:val="005E1DC7"/>
    <w:rsid w:val="005E577A"/>
    <w:rsid w:val="005E6AC8"/>
    <w:rsid w:val="005F0623"/>
    <w:rsid w:val="005F0851"/>
    <w:rsid w:val="005F1E97"/>
    <w:rsid w:val="005F54D5"/>
    <w:rsid w:val="005F5AC5"/>
    <w:rsid w:val="006017B1"/>
    <w:rsid w:val="0060229F"/>
    <w:rsid w:val="006202E1"/>
    <w:rsid w:val="00621F45"/>
    <w:rsid w:val="00622822"/>
    <w:rsid w:val="006257D7"/>
    <w:rsid w:val="00627100"/>
    <w:rsid w:val="00641E47"/>
    <w:rsid w:val="0064463F"/>
    <w:rsid w:val="00646169"/>
    <w:rsid w:val="00650CD3"/>
    <w:rsid w:val="006654AB"/>
    <w:rsid w:val="0067095E"/>
    <w:rsid w:val="0067187A"/>
    <w:rsid w:val="00674BE7"/>
    <w:rsid w:val="00682E6F"/>
    <w:rsid w:val="00691069"/>
    <w:rsid w:val="00691AF2"/>
    <w:rsid w:val="00695130"/>
    <w:rsid w:val="006C4025"/>
    <w:rsid w:val="006C4620"/>
    <w:rsid w:val="006C6C12"/>
    <w:rsid w:val="006C7E08"/>
    <w:rsid w:val="006D27B8"/>
    <w:rsid w:val="006D2F14"/>
    <w:rsid w:val="006D4399"/>
    <w:rsid w:val="006E0F47"/>
    <w:rsid w:val="006E2394"/>
    <w:rsid w:val="006F7EFE"/>
    <w:rsid w:val="0070348B"/>
    <w:rsid w:val="00704881"/>
    <w:rsid w:val="007115C5"/>
    <w:rsid w:val="00713427"/>
    <w:rsid w:val="0071635B"/>
    <w:rsid w:val="0071645B"/>
    <w:rsid w:val="00723239"/>
    <w:rsid w:val="007241BA"/>
    <w:rsid w:val="00731447"/>
    <w:rsid w:val="00734245"/>
    <w:rsid w:val="00744246"/>
    <w:rsid w:val="007476E2"/>
    <w:rsid w:val="007506A7"/>
    <w:rsid w:val="00752372"/>
    <w:rsid w:val="007536EF"/>
    <w:rsid w:val="00754598"/>
    <w:rsid w:val="00754C98"/>
    <w:rsid w:val="00754E81"/>
    <w:rsid w:val="00765272"/>
    <w:rsid w:val="00771361"/>
    <w:rsid w:val="0077434A"/>
    <w:rsid w:val="00775F82"/>
    <w:rsid w:val="007A1955"/>
    <w:rsid w:val="007A2114"/>
    <w:rsid w:val="007B51F4"/>
    <w:rsid w:val="007C0429"/>
    <w:rsid w:val="007C06E0"/>
    <w:rsid w:val="007C2360"/>
    <w:rsid w:val="007C6A5B"/>
    <w:rsid w:val="007D0861"/>
    <w:rsid w:val="007D6E12"/>
    <w:rsid w:val="007E010B"/>
    <w:rsid w:val="007E0F20"/>
    <w:rsid w:val="007E3819"/>
    <w:rsid w:val="007E3AC5"/>
    <w:rsid w:val="007E6C8C"/>
    <w:rsid w:val="007F0D48"/>
    <w:rsid w:val="007F1D22"/>
    <w:rsid w:val="007F30FF"/>
    <w:rsid w:val="007F63AA"/>
    <w:rsid w:val="00801584"/>
    <w:rsid w:val="00801F50"/>
    <w:rsid w:val="00802FC2"/>
    <w:rsid w:val="00804343"/>
    <w:rsid w:val="008056B5"/>
    <w:rsid w:val="00806E93"/>
    <w:rsid w:val="0080741C"/>
    <w:rsid w:val="008154B4"/>
    <w:rsid w:val="008156F1"/>
    <w:rsid w:val="008260B4"/>
    <w:rsid w:val="008261F6"/>
    <w:rsid w:val="008275C8"/>
    <w:rsid w:val="00827EB1"/>
    <w:rsid w:val="008316E7"/>
    <w:rsid w:val="00833D9D"/>
    <w:rsid w:val="00837B2F"/>
    <w:rsid w:val="0084037D"/>
    <w:rsid w:val="0084109D"/>
    <w:rsid w:val="00844044"/>
    <w:rsid w:val="00844A67"/>
    <w:rsid w:val="00863315"/>
    <w:rsid w:val="00863D50"/>
    <w:rsid w:val="00863F01"/>
    <w:rsid w:val="00864F53"/>
    <w:rsid w:val="00873436"/>
    <w:rsid w:val="008745D7"/>
    <w:rsid w:val="00874CEB"/>
    <w:rsid w:val="008757A3"/>
    <w:rsid w:val="00891F48"/>
    <w:rsid w:val="00894596"/>
    <w:rsid w:val="00896056"/>
    <w:rsid w:val="00897A11"/>
    <w:rsid w:val="008A08E2"/>
    <w:rsid w:val="008A2F2C"/>
    <w:rsid w:val="008A3799"/>
    <w:rsid w:val="008A5948"/>
    <w:rsid w:val="008B02A2"/>
    <w:rsid w:val="008C6955"/>
    <w:rsid w:val="008D152E"/>
    <w:rsid w:val="008D2FA3"/>
    <w:rsid w:val="008D3379"/>
    <w:rsid w:val="008D3B67"/>
    <w:rsid w:val="008D40C0"/>
    <w:rsid w:val="008E0DA4"/>
    <w:rsid w:val="008E166C"/>
    <w:rsid w:val="008E2694"/>
    <w:rsid w:val="008E56F8"/>
    <w:rsid w:val="008E65C8"/>
    <w:rsid w:val="008F030A"/>
    <w:rsid w:val="008F481C"/>
    <w:rsid w:val="008F5CB2"/>
    <w:rsid w:val="00902DA8"/>
    <w:rsid w:val="00903B03"/>
    <w:rsid w:val="009049C9"/>
    <w:rsid w:val="00904D8A"/>
    <w:rsid w:val="00913CCD"/>
    <w:rsid w:val="00922437"/>
    <w:rsid w:val="00922E55"/>
    <w:rsid w:val="00923948"/>
    <w:rsid w:val="00923FD2"/>
    <w:rsid w:val="0092677E"/>
    <w:rsid w:val="00931612"/>
    <w:rsid w:val="00932E99"/>
    <w:rsid w:val="00935BEA"/>
    <w:rsid w:val="00937EB0"/>
    <w:rsid w:val="00940731"/>
    <w:rsid w:val="00940B86"/>
    <w:rsid w:val="00941548"/>
    <w:rsid w:val="00947E31"/>
    <w:rsid w:val="00952352"/>
    <w:rsid w:val="00955179"/>
    <w:rsid w:val="009623DE"/>
    <w:rsid w:val="00962B76"/>
    <w:rsid w:val="009638D7"/>
    <w:rsid w:val="00966F5C"/>
    <w:rsid w:val="0097237F"/>
    <w:rsid w:val="00974354"/>
    <w:rsid w:val="0097478B"/>
    <w:rsid w:val="00975271"/>
    <w:rsid w:val="00985686"/>
    <w:rsid w:val="00990F1B"/>
    <w:rsid w:val="009928EB"/>
    <w:rsid w:val="00992C75"/>
    <w:rsid w:val="009945C0"/>
    <w:rsid w:val="009957C5"/>
    <w:rsid w:val="009972CE"/>
    <w:rsid w:val="009A4ED6"/>
    <w:rsid w:val="009B3D15"/>
    <w:rsid w:val="009B4B5A"/>
    <w:rsid w:val="009B729F"/>
    <w:rsid w:val="009B7A2E"/>
    <w:rsid w:val="009C03BD"/>
    <w:rsid w:val="009C4671"/>
    <w:rsid w:val="009D3EA0"/>
    <w:rsid w:val="009D7F05"/>
    <w:rsid w:val="009E1819"/>
    <w:rsid w:val="009E4B88"/>
    <w:rsid w:val="009E4DD2"/>
    <w:rsid w:val="009E73D0"/>
    <w:rsid w:val="009E7A7D"/>
    <w:rsid w:val="009F1867"/>
    <w:rsid w:val="009F2AD9"/>
    <w:rsid w:val="009F4EA5"/>
    <w:rsid w:val="009F6E96"/>
    <w:rsid w:val="00A013A7"/>
    <w:rsid w:val="00A023FC"/>
    <w:rsid w:val="00A0342A"/>
    <w:rsid w:val="00A045EF"/>
    <w:rsid w:val="00A06F16"/>
    <w:rsid w:val="00A108DF"/>
    <w:rsid w:val="00A1668F"/>
    <w:rsid w:val="00A17832"/>
    <w:rsid w:val="00A17F1C"/>
    <w:rsid w:val="00A21729"/>
    <w:rsid w:val="00A228F3"/>
    <w:rsid w:val="00A2363A"/>
    <w:rsid w:val="00A27FE6"/>
    <w:rsid w:val="00A31383"/>
    <w:rsid w:val="00A32023"/>
    <w:rsid w:val="00A326EE"/>
    <w:rsid w:val="00A358E0"/>
    <w:rsid w:val="00A37D2C"/>
    <w:rsid w:val="00A42EA5"/>
    <w:rsid w:val="00A45EC3"/>
    <w:rsid w:val="00A50BC0"/>
    <w:rsid w:val="00A565C7"/>
    <w:rsid w:val="00A57A6F"/>
    <w:rsid w:val="00A600CF"/>
    <w:rsid w:val="00A62250"/>
    <w:rsid w:val="00A64241"/>
    <w:rsid w:val="00A71F5E"/>
    <w:rsid w:val="00A72D34"/>
    <w:rsid w:val="00A744BC"/>
    <w:rsid w:val="00A75EC8"/>
    <w:rsid w:val="00A76780"/>
    <w:rsid w:val="00A77125"/>
    <w:rsid w:val="00A82612"/>
    <w:rsid w:val="00A90CC8"/>
    <w:rsid w:val="00A91347"/>
    <w:rsid w:val="00A92FE7"/>
    <w:rsid w:val="00A9710E"/>
    <w:rsid w:val="00A97DCF"/>
    <w:rsid w:val="00AA1CB8"/>
    <w:rsid w:val="00AA4D71"/>
    <w:rsid w:val="00AC05B1"/>
    <w:rsid w:val="00AC15BA"/>
    <w:rsid w:val="00AC372C"/>
    <w:rsid w:val="00AD7A51"/>
    <w:rsid w:val="00AE1D93"/>
    <w:rsid w:val="00AE4069"/>
    <w:rsid w:val="00AE41EB"/>
    <w:rsid w:val="00AE69D4"/>
    <w:rsid w:val="00AF116D"/>
    <w:rsid w:val="00AF2A84"/>
    <w:rsid w:val="00AF5220"/>
    <w:rsid w:val="00B003C9"/>
    <w:rsid w:val="00B11FB4"/>
    <w:rsid w:val="00B1317A"/>
    <w:rsid w:val="00B216BA"/>
    <w:rsid w:val="00B23C0D"/>
    <w:rsid w:val="00B262C4"/>
    <w:rsid w:val="00B27303"/>
    <w:rsid w:val="00B27BA2"/>
    <w:rsid w:val="00B34824"/>
    <w:rsid w:val="00B35E63"/>
    <w:rsid w:val="00B44071"/>
    <w:rsid w:val="00B4658C"/>
    <w:rsid w:val="00B50940"/>
    <w:rsid w:val="00B52751"/>
    <w:rsid w:val="00B55078"/>
    <w:rsid w:val="00B559EA"/>
    <w:rsid w:val="00B6201E"/>
    <w:rsid w:val="00B63298"/>
    <w:rsid w:val="00B65EF2"/>
    <w:rsid w:val="00B664A1"/>
    <w:rsid w:val="00B72678"/>
    <w:rsid w:val="00B728F7"/>
    <w:rsid w:val="00B760C1"/>
    <w:rsid w:val="00B76224"/>
    <w:rsid w:val="00B80452"/>
    <w:rsid w:val="00B81A88"/>
    <w:rsid w:val="00B83747"/>
    <w:rsid w:val="00B858D4"/>
    <w:rsid w:val="00B93428"/>
    <w:rsid w:val="00B93458"/>
    <w:rsid w:val="00B96049"/>
    <w:rsid w:val="00BA09C1"/>
    <w:rsid w:val="00BA1092"/>
    <w:rsid w:val="00BA3464"/>
    <w:rsid w:val="00BA43A1"/>
    <w:rsid w:val="00BA4509"/>
    <w:rsid w:val="00BA51C1"/>
    <w:rsid w:val="00BC37F0"/>
    <w:rsid w:val="00BD558B"/>
    <w:rsid w:val="00BD60A4"/>
    <w:rsid w:val="00BE287E"/>
    <w:rsid w:val="00BE463D"/>
    <w:rsid w:val="00BE48C0"/>
    <w:rsid w:val="00BE5A7F"/>
    <w:rsid w:val="00BF35FB"/>
    <w:rsid w:val="00BF423F"/>
    <w:rsid w:val="00BF681C"/>
    <w:rsid w:val="00C0667C"/>
    <w:rsid w:val="00C069F4"/>
    <w:rsid w:val="00C14B7B"/>
    <w:rsid w:val="00C25667"/>
    <w:rsid w:val="00C272A0"/>
    <w:rsid w:val="00C31665"/>
    <w:rsid w:val="00C35FB6"/>
    <w:rsid w:val="00C3731F"/>
    <w:rsid w:val="00C379A8"/>
    <w:rsid w:val="00C37AE3"/>
    <w:rsid w:val="00C40C5A"/>
    <w:rsid w:val="00C42845"/>
    <w:rsid w:val="00C46472"/>
    <w:rsid w:val="00C56CF9"/>
    <w:rsid w:val="00C5772E"/>
    <w:rsid w:val="00C60AE3"/>
    <w:rsid w:val="00C61045"/>
    <w:rsid w:val="00C6142E"/>
    <w:rsid w:val="00C61B5E"/>
    <w:rsid w:val="00C62167"/>
    <w:rsid w:val="00C627C1"/>
    <w:rsid w:val="00C635BE"/>
    <w:rsid w:val="00C638A5"/>
    <w:rsid w:val="00C63CAE"/>
    <w:rsid w:val="00C66479"/>
    <w:rsid w:val="00C71730"/>
    <w:rsid w:val="00C73ED7"/>
    <w:rsid w:val="00C7705C"/>
    <w:rsid w:val="00C85D6C"/>
    <w:rsid w:val="00C9091B"/>
    <w:rsid w:val="00C96CBA"/>
    <w:rsid w:val="00CA02D3"/>
    <w:rsid w:val="00CB013E"/>
    <w:rsid w:val="00CB4A43"/>
    <w:rsid w:val="00CC15EB"/>
    <w:rsid w:val="00CC68E0"/>
    <w:rsid w:val="00CD1BDA"/>
    <w:rsid w:val="00CD65BC"/>
    <w:rsid w:val="00CD7A6A"/>
    <w:rsid w:val="00CE3CBB"/>
    <w:rsid w:val="00CE4054"/>
    <w:rsid w:val="00CF3639"/>
    <w:rsid w:val="00CF72D6"/>
    <w:rsid w:val="00D03F94"/>
    <w:rsid w:val="00D06ABF"/>
    <w:rsid w:val="00D10AEC"/>
    <w:rsid w:val="00D10CA1"/>
    <w:rsid w:val="00D1269B"/>
    <w:rsid w:val="00D21817"/>
    <w:rsid w:val="00D278FF"/>
    <w:rsid w:val="00D30CCF"/>
    <w:rsid w:val="00D31D3E"/>
    <w:rsid w:val="00D44AC3"/>
    <w:rsid w:val="00D4593A"/>
    <w:rsid w:val="00D51148"/>
    <w:rsid w:val="00D6047A"/>
    <w:rsid w:val="00D615AA"/>
    <w:rsid w:val="00D63054"/>
    <w:rsid w:val="00D659BE"/>
    <w:rsid w:val="00D668EF"/>
    <w:rsid w:val="00D67EB6"/>
    <w:rsid w:val="00D72C76"/>
    <w:rsid w:val="00D74260"/>
    <w:rsid w:val="00D76067"/>
    <w:rsid w:val="00D8118C"/>
    <w:rsid w:val="00D855EA"/>
    <w:rsid w:val="00DA2523"/>
    <w:rsid w:val="00DA3F4A"/>
    <w:rsid w:val="00DA646D"/>
    <w:rsid w:val="00DA7D43"/>
    <w:rsid w:val="00DB4B20"/>
    <w:rsid w:val="00DC199D"/>
    <w:rsid w:val="00DC32CB"/>
    <w:rsid w:val="00DC422F"/>
    <w:rsid w:val="00DD0271"/>
    <w:rsid w:val="00DD25C3"/>
    <w:rsid w:val="00DE265A"/>
    <w:rsid w:val="00DE3AFB"/>
    <w:rsid w:val="00DE5E13"/>
    <w:rsid w:val="00DE6949"/>
    <w:rsid w:val="00DE6FE4"/>
    <w:rsid w:val="00DF2134"/>
    <w:rsid w:val="00DF48A9"/>
    <w:rsid w:val="00E05EE8"/>
    <w:rsid w:val="00E07235"/>
    <w:rsid w:val="00E11F41"/>
    <w:rsid w:val="00E12A0D"/>
    <w:rsid w:val="00E15109"/>
    <w:rsid w:val="00E23EB0"/>
    <w:rsid w:val="00E23EE2"/>
    <w:rsid w:val="00E24BA9"/>
    <w:rsid w:val="00E25659"/>
    <w:rsid w:val="00E31F1B"/>
    <w:rsid w:val="00E3289C"/>
    <w:rsid w:val="00E33C9F"/>
    <w:rsid w:val="00E40E80"/>
    <w:rsid w:val="00E440E3"/>
    <w:rsid w:val="00E448E2"/>
    <w:rsid w:val="00E541F0"/>
    <w:rsid w:val="00E575B0"/>
    <w:rsid w:val="00E60DAB"/>
    <w:rsid w:val="00E61881"/>
    <w:rsid w:val="00E64D71"/>
    <w:rsid w:val="00E70628"/>
    <w:rsid w:val="00E72E36"/>
    <w:rsid w:val="00E7319E"/>
    <w:rsid w:val="00E74765"/>
    <w:rsid w:val="00E7651B"/>
    <w:rsid w:val="00E80EA1"/>
    <w:rsid w:val="00E8445E"/>
    <w:rsid w:val="00E846C4"/>
    <w:rsid w:val="00E87CA4"/>
    <w:rsid w:val="00E908DA"/>
    <w:rsid w:val="00E9261A"/>
    <w:rsid w:val="00E95FC3"/>
    <w:rsid w:val="00E979AB"/>
    <w:rsid w:val="00EA099A"/>
    <w:rsid w:val="00EA58BA"/>
    <w:rsid w:val="00EA7847"/>
    <w:rsid w:val="00EB0D53"/>
    <w:rsid w:val="00EB51A5"/>
    <w:rsid w:val="00EC37DC"/>
    <w:rsid w:val="00EC39BC"/>
    <w:rsid w:val="00EC6FE1"/>
    <w:rsid w:val="00EC7812"/>
    <w:rsid w:val="00ED0984"/>
    <w:rsid w:val="00ED52A1"/>
    <w:rsid w:val="00ED58E0"/>
    <w:rsid w:val="00ED782D"/>
    <w:rsid w:val="00EE0CA5"/>
    <w:rsid w:val="00EE140B"/>
    <w:rsid w:val="00EE5B5D"/>
    <w:rsid w:val="00EF33D2"/>
    <w:rsid w:val="00EF3518"/>
    <w:rsid w:val="00EF35FA"/>
    <w:rsid w:val="00EF4B38"/>
    <w:rsid w:val="00EF4CEF"/>
    <w:rsid w:val="00EF50F0"/>
    <w:rsid w:val="00F0189F"/>
    <w:rsid w:val="00F0526A"/>
    <w:rsid w:val="00F065F8"/>
    <w:rsid w:val="00F06C69"/>
    <w:rsid w:val="00F102FD"/>
    <w:rsid w:val="00F14EE1"/>
    <w:rsid w:val="00F15BAD"/>
    <w:rsid w:val="00F23202"/>
    <w:rsid w:val="00F264EF"/>
    <w:rsid w:val="00F304C2"/>
    <w:rsid w:val="00F42D78"/>
    <w:rsid w:val="00F432B1"/>
    <w:rsid w:val="00F43CC8"/>
    <w:rsid w:val="00F44463"/>
    <w:rsid w:val="00F454AA"/>
    <w:rsid w:val="00F51201"/>
    <w:rsid w:val="00F56677"/>
    <w:rsid w:val="00F603EC"/>
    <w:rsid w:val="00F60942"/>
    <w:rsid w:val="00F6187C"/>
    <w:rsid w:val="00F61B89"/>
    <w:rsid w:val="00F626EE"/>
    <w:rsid w:val="00F72270"/>
    <w:rsid w:val="00F74A3E"/>
    <w:rsid w:val="00F8083E"/>
    <w:rsid w:val="00F85AAD"/>
    <w:rsid w:val="00F8792B"/>
    <w:rsid w:val="00F901CB"/>
    <w:rsid w:val="00F90414"/>
    <w:rsid w:val="00F95C43"/>
    <w:rsid w:val="00FA23B3"/>
    <w:rsid w:val="00FA360B"/>
    <w:rsid w:val="00FA528B"/>
    <w:rsid w:val="00FA69D5"/>
    <w:rsid w:val="00FA7910"/>
    <w:rsid w:val="00FB0961"/>
    <w:rsid w:val="00FB0B66"/>
    <w:rsid w:val="00FB2482"/>
    <w:rsid w:val="00FB557B"/>
    <w:rsid w:val="00FB5C20"/>
    <w:rsid w:val="00FB6FB7"/>
    <w:rsid w:val="00FC2396"/>
    <w:rsid w:val="00FC5F63"/>
    <w:rsid w:val="00FD198B"/>
    <w:rsid w:val="00FE2638"/>
    <w:rsid w:val="00FE31A6"/>
    <w:rsid w:val="00FE4DB3"/>
    <w:rsid w:val="00FE7D8E"/>
    <w:rsid w:val="00FF49C6"/>
    <w:rsid w:val="00FF6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1"/>
    <o:shapelayout v:ext="edit">
      <o:idmap v:ext="edit" data="2"/>
    </o:shapelayout>
  </w:shapeDefaults>
  <w:decimalSymbol w:val=","/>
  <w:listSeparator w:val=";"/>
  <w14:docId w14:val="065EFC1E"/>
  <w15:docId w15:val="{D6A7602D-3E8F-4BCB-9ED2-3D501286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947E31"/>
    <w:rPr>
      <w:sz w:val="16"/>
      <w:szCs w:val="16"/>
    </w:rPr>
  </w:style>
  <w:style w:type="paragraph" w:styleId="CommentText">
    <w:name w:val="annotation text"/>
    <w:basedOn w:val="Normal"/>
    <w:link w:val="CommentTextChar"/>
    <w:uiPriority w:val="99"/>
    <w:unhideWhenUsed/>
    <w:rsid w:val="00947E31"/>
    <w:rPr>
      <w:sz w:val="20"/>
      <w:szCs w:val="20"/>
    </w:rPr>
  </w:style>
  <w:style w:type="character" w:customStyle="1" w:styleId="CommentTextChar">
    <w:name w:val="Comment Text Char"/>
    <w:basedOn w:val="DefaultParagraphFont"/>
    <w:link w:val="CommentText"/>
    <w:uiPriority w:val="99"/>
    <w:rsid w:val="00947E31"/>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47E31"/>
    <w:rPr>
      <w:b/>
      <w:bCs/>
    </w:rPr>
  </w:style>
  <w:style w:type="character" w:customStyle="1" w:styleId="CommentSubjectChar">
    <w:name w:val="Comment Subject Char"/>
    <w:basedOn w:val="CommentTextChar"/>
    <w:link w:val="CommentSubject"/>
    <w:uiPriority w:val="99"/>
    <w:semiHidden/>
    <w:rsid w:val="00947E31"/>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947E3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E31"/>
    <w:rPr>
      <w:rFonts w:ascii="Segoe UI" w:hAnsi="Segoe UI" w:cs="Segoe UI"/>
      <w:sz w:val="18"/>
      <w:szCs w:val="18"/>
      <w:lang w:val="en-GB"/>
    </w:rPr>
  </w:style>
  <w:style w:type="paragraph" w:styleId="ListBullet">
    <w:name w:val="List Bullet"/>
    <w:basedOn w:val="Normal"/>
    <w:uiPriority w:val="99"/>
    <w:semiHidden/>
    <w:unhideWhenUsed/>
    <w:rsid w:val="00F603EC"/>
    <w:pPr>
      <w:numPr>
        <w:numId w:val="1"/>
      </w:numPr>
      <w:contextualSpacing/>
    </w:pPr>
  </w:style>
  <w:style w:type="paragraph" w:styleId="ListBullet2">
    <w:name w:val="List Bullet 2"/>
    <w:basedOn w:val="Normal"/>
    <w:uiPriority w:val="99"/>
    <w:semiHidden/>
    <w:unhideWhenUsed/>
    <w:rsid w:val="00F603EC"/>
    <w:pPr>
      <w:numPr>
        <w:numId w:val="2"/>
      </w:numPr>
      <w:contextualSpacing/>
    </w:pPr>
  </w:style>
  <w:style w:type="paragraph" w:styleId="ListBullet3">
    <w:name w:val="List Bullet 3"/>
    <w:basedOn w:val="Normal"/>
    <w:uiPriority w:val="99"/>
    <w:semiHidden/>
    <w:unhideWhenUsed/>
    <w:rsid w:val="00F603EC"/>
    <w:pPr>
      <w:numPr>
        <w:numId w:val="3"/>
      </w:numPr>
      <w:contextualSpacing/>
    </w:pPr>
  </w:style>
  <w:style w:type="paragraph" w:styleId="ListBullet4">
    <w:name w:val="List Bullet 4"/>
    <w:basedOn w:val="Normal"/>
    <w:uiPriority w:val="99"/>
    <w:semiHidden/>
    <w:unhideWhenUsed/>
    <w:rsid w:val="00F603EC"/>
    <w:pPr>
      <w:numPr>
        <w:numId w:val="4"/>
      </w:numPr>
      <w:contextualSpacing/>
    </w:pPr>
  </w:style>
  <w:style w:type="paragraph" w:customStyle="1" w:styleId="Default">
    <w:name w:val="Default"/>
    <w:rsid w:val="00844A67"/>
    <w:pPr>
      <w:autoSpaceDE w:val="0"/>
      <w:autoSpaceDN w:val="0"/>
      <w:adjustRightInd w:val="0"/>
      <w:spacing w:after="0" w:line="240" w:lineRule="auto"/>
    </w:pPr>
    <w:rPr>
      <w:rFonts w:ascii="EUAlbertina" w:hAnsi="EUAlbertina" w:cs="EUAlbertina"/>
      <w:color w:val="000000"/>
      <w:sz w:val="24"/>
      <w:szCs w:val="24"/>
      <w:lang w:val="en-IE"/>
    </w:rPr>
  </w:style>
  <w:style w:type="paragraph" w:styleId="Caption">
    <w:name w:val="caption"/>
    <w:basedOn w:val="Normal"/>
    <w:next w:val="Normal"/>
    <w:uiPriority w:val="35"/>
    <w:semiHidden/>
    <w:unhideWhenUsed/>
    <w:qFormat/>
    <w:rsid w:val="00FB248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B2482"/>
    <w:pPr>
      <w:spacing w:after="0"/>
    </w:pPr>
  </w:style>
  <w:style w:type="paragraph" w:styleId="ListNumber">
    <w:name w:val="List Number"/>
    <w:basedOn w:val="Normal"/>
    <w:uiPriority w:val="99"/>
    <w:semiHidden/>
    <w:unhideWhenUsed/>
    <w:rsid w:val="00FB2482"/>
    <w:pPr>
      <w:numPr>
        <w:numId w:val="5"/>
      </w:numPr>
      <w:contextualSpacing/>
    </w:pPr>
  </w:style>
  <w:style w:type="paragraph" w:styleId="ListNumber2">
    <w:name w:val="List Number 2"/>
    <w:basedOn w:val="Normal"/>
    <w:uiPriority w:val="99"/>
    <w:semiHidden/>
    <w:unhideWhenUsed/>
    <w:rsid w:val="00FB2482"/>
    <w:pPr>
      <w:numPr>
        <w:numId w:val="6"/>
      </w:numPr>
      <w:contextualSpacing/>
    </w:pPr>
  </w:style>
  <w:style w:type="paragraph" w:styleId="ListNumber3">
    <w:name w:val="List Number 3"/>
    <w:basedOn w:val="Normal"/>
    <w:uiPriority w:val="99"/>
    <w:semiHidden/>
    <w:unhideWhenUsed/>
    <w:rsid w:val="00FB2482"/>
    <w:pPr>
      <w:numPr>
        <w:numId w:val="7"/>
      </w:numPr>
      <w:contextualSpacing/>
    </w:pPr>
  </w:style>
  <w:style w:type="paragraph" w:styleId="ListNumber4">
    <w:name w:val="List Number 4"/>
    <w:basedOn w:val="Normal"/>
    <w:uiPriority w:val="99"/>
    <w:semiHidden/>
    <w:unhideWhenUsed/>
    <w:rsid w:val="00FB2482"/>
    <w:pPr>
      <w:numPr>
        <w:numId w:val="8"/>
      </w:numPr>
      <w:contextualSpacing/>
    </w:pPr>
  </w:style>
  <w:style w:type="paragraph" w:styleId="ListParagraph">
    <w:name w:val="List Paragraph"/>
    <w:basedOn w:val="Normal"/>
    <w:uiPriority w:val="34"/>
    <w:qFormat/>
    <w:rsid w:val="00341031"/>
    <w:pPr>
      <w:ind w:left="720"/>
      <w:contextualSpacing/>
    </w:pPr>
  </w:style>
  <w:style w:type="character" w:styleId="Hyperlink">
    <w:name w:val="Hyperlink"/>
    <w:basedOn w:val="DefaultParagraphFont"/>
    <w:uiPriority w:val="99"/>
    <w:unhideWhenUsed/>
    <w:rsid w:val="00A31383"/>
    <w:rPr>
      <w:color w:val="0000FF" w:themeColor="hyperlink"/>
      <w:u w:val="single"/>
    </w:rPr>
  </w:style>
  <w:style w:type="paragraph" w:styleId="Revision">
    <w:name w:val="Revision"/>
    <w:hidden/>
    <w:uiPriority w:val="99"/>
    <w:semiHidden/>
    <w:rsid w:val="00913CCD"/>
    <w:pPr>
      <w:spacing w:after="0" w:line="240" w:lineRule="auto"/>
    </w:pPr>
    <w:rPr>
      <w:rFonts w:ascii="Times New Roman" w:hAnsi="Times New Roman" w:cs="Times New Roman"/>
      <w:sz w:val="24"/>
      <w:lang w:val="en-GB"/>
    </w:rPr>
  </w:style>
  <w:style w:type="character" w:customStyle="1" w:styleId="UnresolvedMention">
    <w:name w:val="Unresolved Mention"/>
    <w:basedOn w:val="DefaultParagraphFont"/>
    <w:uiPriority w:val="99"/>
    <w:semiHidden/>
    <w:unhideWhenUsed/>
    <w:rsid w:val="001648B3"/>
    <w:rPr>
      <w:color w:val="605E5C"/>
      <w:shd w:val="clear" w:color="auto" w:fill="E1DFDD"/>
    </w:rPr>
  </w:style>
  <w:style w:type="paragraph" w:styleId="Header">
    <w:name w:val="header"/>
    <w:basedOn w:val="Normal"/>
    <w:link w:val="HeaderChar"/>
    <w:uiPriority w:val="99"/>
    <w:unhideWhenUsed/>
    <w:rsid w:val="009E1819"/>
    <w:pPr>
      <w:tabs>
        <w:tab w:val="center" w:pos="4535"/>
        <w:tab w:val="right" w:pos="9071"/>
      </w:tabs>
      <w:spacing w:before="0"/>
    </w:pPr>
  </w:style>
  <w:style w:type="character" w:customStyle="1" w:styleId="HeaderChar">
    <w:name w:val="Header Char"/>
    <w:basedOn w:val="DefaultParagraphFont"/>
    <w:link w:val="Header"/>
    <w:uiPriority w:val="99"/>
    <w:rsid w:val="009E1819"/>
    <w:rPr>
      <w:rFonts w:ascii="Times New Roman" w:hAnsi="Times New Roman" w:cs="Times New Roman"/>
      <w:sz w:val="24"/>
      <w:lang w:val="en-GB"/>
    </w:rPr>
  </w:style>
  <w:style w:type="paragraph" w:styleId="Footer">
    <w:name w:val="footer"/>
    <w:basedOn w:val="Normal"/>
    <w:link w:val="FooterChar"/>
    <w:uiPriority w:val="99"/>
    <w:unhideWhenUsed/>
    <w:rsid w:val="009E181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9E181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9E1819"/>
    <w:pPr>
      <w:tabs>
        <w:tab w:val="center" w:pos="7285"/>
        <w:tab w:val="right" w:pos="14003"/>
      </w:tabs>
      <w:spacing w:before="0"/>
    </w:pPr>
  </w:style>
  <w:style w:type="paragraph" w:customStyle="1" w:styleId="FooterLandscape">
    <w:name w:val="FooterLandscape"/>
    <w:basedOn w:val="Normal"/>
    <w:rsid w:val="009E181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E181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E1819"/>
    <w:pPr>
      <w:spacing w:before="0"/>
      <w:jc w:val="right"/>
    </w:pPr>
    <w:rPr>
      <w:sz w:val="28"/>
    </w:rPr>
  </w:style>
  <w:style w:type="paragraph" w:customStyle="1" w:styleId="FooterSensitivity">
    <w:name w:val="Footer Sensitivity"/>
    <w:basedOn w:val="Normal"/>
    <w:rsid w:val="009E181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Tiret5">
    <w:name w:val="Tiret 5"/>
    <w:basedOn w:val="Point5"/>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NumPar5">
    <w:name w:val="NumPar 5"/>
    <w:basedOn w:val="Normal"/>
    <w:next w:val="Text2"/>
    <w:pPr>
      <w:numPr>
        <w:ilvl w:val="4"/>
        <w:numId w:val="40"/>
      </w:numPr>
    </w:pPr>
  </w:style>
  <w:style w:type="paragraph" w:customStyle="1" w:styleId="NumPar6">
    <w:name w:val="NumPar 6"/>
    <w:basedOn w:val="Normal"/>
    <w:next w:val="Text2"/>
    <w:pPr>
      <w:numPr>
        <w:ilvl w:val="5"/>
        <w:numId w:val="40"/>
      </w:numPr>
    </w:pPr>
  </w:style>
  <w:style w:type="paragraph" w:customStyle="1" w:styleId="NumPar7">
    <w:name w:val="NumPar 7"/>
    <w:basedOn w:val="Normal"/>
    <w:next w:val="Text2"/>
    <w:pPr>
      <w:numPr>
        <w:ilvl w:val="6"/>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78185">
      <w:bodyDiv w:val="1"/>
      <w:marLeft w:val="0"/>
      <w:marRight w:val="0"/>
      <w:marTop w:val="0"/>
      <w:marBottom w:val="0"/>
      <w:divBdr>
        <w:top w:val="none" w:sz="0" w:space="0" w:color="auto"/>
        <w:left w:val="none" w:sz="0" w:space="0" w:color="auto"/>
        <w:bottom w:val="none" w:sz="0" w:space="0" w:color="auto"/>
        <w:right w:val="none" w:sz="0" w:space="0" w:color="auto"/>
      </w:divBdr>
    </w:div>
    <w:div w:id="202795401">
      <w:bodyDiv w:val="1"/>
      <w:marLeft w:val="0"/>
      <w:marRight w:val="0"/>
      <w:marTop w:val="0"/>
      <w:marBottom w:val="0"/>
      <w:divBdr>
        <w:top w:val="none" w:sz="0" w:space="0" w:color="auto"/>
        <w:left w:val="none" w:sz="0" w:space="0" w:color="auto"/>
        <w:bottom w:val="none" w:sz="0" w:space="0" w:color="auto"/>
        <w:right w:val="none" w:sz="0" w:space="0" w:color="auto"/>
      </w:divBdr>
    </w:div>
    <w:div w:id="208928905">
      <w:bodyDiv w:val="1"/>
      <w:marLeft w:val="0"/>
      <w:marRight w:val="0"/>
      <w:marTop w:val="0"/>
      <w:marBottom w:val="0"/>
      <w:divBdr>
        <w:top w:val="none" w:sz="0" w:space="0" w:color="auto"/>
        <w:left w:val="none" w:sz="0" w:space="0" w:color="auto"/>
        <w:bottom w:val="none" w:sz="0" w:space="0" w:color="auto"/>
        <w:right w:val="none" w:sz="0" w:space="0" w:color="auto"/>
      </w:divBdr>
    </w:div>
    <w:div w:id="850098986">
      <w:bodyDiv w:val="1"/>
      <w:marLeft w:val="0"/>
      <w:marRight w:val="0"/>
      <w:marTop w:val="0"/>
      <w:marBottom w:val="0"/>
      <w:divBdr>
        <w:top w:val="none" w:sz="0" w:space="0" w:color="auto"/>
        <w:left w:val="none" w:sz="0" w:space="0" w:color="auto"/>
        <w:bottom w:val="none" w:sz="0" w:space="0" w:color="auto"/>
        <w:right w:val="none" w:sz="0" w:space="0" w:color="auto"/>
      </w:divBdr>
    </w:div>
    <w:div w:id="1132939395">
      <w:bodyDiv w:val="1"/>
      <w:marLeft w:val="0"/>
      <w:marRight w:val="0"/>
      <w:marTop w:val="0"/>
      <w:marBottom w:val="0"/>
      <w:divBdr>
        <w:top w:val="none" w:sz="0" w:space="0" w:color="auto"/>
        <w:left w:val="none" w:sz="0" w:space="0" w:color="auto"/>
        <w:bottom w:val="none" w:sz="0" w:space="0" w:color="auto"/>
        <w:right w:val="none" w:sz="0" w:space="0" w:color="auto"/>
      </w:divBdr>
    </w:div>
    <w:div w:id="1220750806">
      <w:bodyDiv w:val="1"/>
      <w:marLeft w:val="0"/>
      <w:marRight w:val="0"/>
      <w:marTop w:val="0"/>
      <w:marBottom w:val="0"/>
      <w:divBdr>
        <w:top w:val="none" w:sz="0" w:space="0" w:color="auto"/>
        <w:left w:val="none" w:sz="0" w:space="0" w:color="auto"/>
        <w:bottom w:val="none" w:sz="0" w:space="0" w:color="auto"/>
        <w:right w:val="none" w:sz="0" w:space="0" w:color="auto"/>
      </w:divBdr>
    </w:div>
    <w:div w:id="1220898004">
      <w:bodyDiv w:val="1"/>
      <w:marLeft w:val="0"/>
      <w:marRight w:val="0"/>
      <w:marTop w:val="0"/>
      <w:marBottom w:val="0"/>
      <w:divBdr>
        <w:top w:val="none" w:sz="0" w:space="0" w:color="auto"/>
        <w:left w:val="none" w:sz="0" w:space="0" w:color="auto"/>
        <w:bottom w:val="none" w:sz="0" w:space="0" w:color="auto"/>
        <w:right w:val="none" w:sz="0" w:space="0" w:color="auto"/>
      </w:divBdr>
    </w:div>
    <w:div w:id="1230192560">
      <w:bodyDiv w:val="1"/>
      <w:marLeft w:val="0"/>
      <w:marRight w:val="0"/>
      <w:marTop w:val="0"/>
      <w:marBottom w:val="0"/>
      <w:divBdr>
        <w:top w:val="none" w:sz="0" w:space="0" w:color="auto"/>
        <w:left w:val="none" w:sz="0" w:space="0" w:color="auto"/>
        <w:bottom w:val="none" w:sz="0" w:space="0" w:color="auto"/>
        <w:right w:val="none" w:sz="0" w:space="0" w:color="auto"/>
      </w:divBdr>
    </w:div>
    <w:div w:id="1253901024">
      <w:bodyDiv w:val="1"/>
      <w:marLeft w:val="0"/>
      <w:marRight w:val="0"/>
      <w:marTop w:val="0"/>
      <w:marBottom w:val="0"/>
      <w:divBdr>
        <w:top w:val="none" w:sz="0" w:space="0" w:color="auto"/>
        <w:left w:val="none" w:sz="0" w:space="0" w:color="auto"/>
        <w:bottom w:val="none" w:sz="0" w:space="0" w:color="auto"/>
        <w:right w:val="none" w:sz="0" w:space="0" w:color="auto"/>
      </w:divBdr>
    </w:div>
    <w:div w:id="1267230884">
      <w:bodyDiv w:val="1"/>
      <w:marLeft w:val="0"/>
      <w:marRight w:val="0"/>
      <w:marTop w:val="0"/>
      <w:marBottom w:val="0"/>
      <w:divBdr>
        <w:top w:val="none" w:sz="0" w:space="0" w:color="auto"/>
        <w:left w:val="none" w:sz="0" w:space="0" w:color="auto"/>
        <w:bottom w:val="none" w:sz="0" w:space="0" w:color="auto"/>
        <w:right w:val="none" w:sz="0" w:space="0" w:color="auto"/>
      </w:divBdr>
    </w:div>
    <w:div w:id="1400205688">
      <w:bodyDiv w:val="1"/>
      <w:marLeft w:val="0"/>
      <w:marRight w:val="0"/>
      <w:marTop w:val="0"/>
      <w:marBottom w:val="0"/>
      <w:divBdr>
        <w:top w:val="none" w:sz="0" w:space="0" w:color="auto"/>
        <w:left w:val="none" w:sz="0" w:space="0" w:color="auto"/>
        <w:bottom w:val="none" w:sz="0" w:space="0" w:color="auto"/>
        <w:right w:val="none" w:sz="0" w:space="0" w:color="auto"/>
      </w:divBdr>
    </w:div>
    <w:div w:id="1404179552">
      <w:bodyDiv w:val="1"/>
      <w:marLeft w:val="0"/>
      <w:marRight w:val="0"/>
      <w:marTop w:val="0"/>
      <w:marBottom w:val="0"/>
      <w:divBdr>
        <w:top w:val="none" w:sz="0" w:space="0" w:color="auto"/>
        <w:left w:val="none" w:sz="0" w:space="0" w:color="auto"/>
        <w:bottom w:val="none" w:sz="0" w:space="0" w:color="auto"/>
        <w:right w:val="none" w:sz="0" w:space="0" w:color="auto"/>
      </w:divBdr>
    </w:div>
    <w:div w:id="1572932547">
      <w:bodyDiv w:val="1"/>
      <w:marLeft w:val="0"/>
      <w:marRight w:val="0"/>
      <w:marTop w:val="0"/>
      <w:marBottom w:val="0"/>
      <w:divBdr>
        <w:top w:val="none" w:sz="0" w:space="0" w:color="auto"/>
        <w:left w:val="none" w:sz="0" w:space="0" w:color="auto"/>
        <w:bottom w:val="none" w:sz="0" w:space="0" w:color="auto"/>
        <w:right w:val="none" w:sz="0" w:space="0" w:color="auto"/>
      </w:divBdr>
    </w:div>
    <w:div w:id="1574194327">
      <w:bodyDiv w:val="1"/>
      <w:marLeft w:val="0"/>
      <w:marRight w:val="0"/>
      <w:marTop w:val="0"/>
      <w:marBottom w:val="0"/>
      <w:divBdr>
        <w:top w:val="none" w:sz="0" w:space="0" w:color="auto"/>
        <w:left w:val="none" w:sz="0" w:space="0" w:color="auto"/>
        <w:bottom w:val="none" w:sz="0" w:space="0" w:color="auto"/>
        <w:right w:val="none" w:sz="0" w:space="0" w:color="auto"/>
      </w:divBdr>
    </w:div>
    <w:div w:id="1576167498">
      <w:bodyDiv w:val="1"/>
      <w:marLeft w:val="0"/>
      <w:marRight w:val="0"/>
      <w:marTop w:val="0"/>
      <w:marBottom w:val="0"/>
      <w:divBdr>
        <w:top w:val="none" w:sz="0" w:space="0" w:color="auto"/>
        <w:left w:val="none" w:sz="0" w:space="0" w:color="auto"/>
        <w:bottom w:val="none" w:sz="0" w:space="0" w:color="auto"/>
        <w:right w:val="none" w:sz="0" w:space="0" w:color="auto"/>
      </w:divBdr>
    </w:div>
    <w:div w:id="1654144712">
      <w:bodyDiv w:val="1"/>
      <w:marLeft w:val="0"/>
      <w:marRight w:val="0"/>
      <w:marTop w:val="0"/>
      <w:marBottom w:val="0"/>
      <w:divBdr>
        <w:top w:val="none" w:sz="0" w:space="0" w:color="auto"/>
        <w:left w:val="none" w:sz="0" w:space="0" w:color="auto"/>
        <w:bottom w:val="none" w:sz="0" w:space="0" w:color="auto"/>
        <w:right w:val="none" w:sz="0" w:space="0" w:color="auto"/>
      </w:divBdr>
    </w:div>
    <w:div w:id="1664967158">
      <w:bodyDiv w:val="1"/>
      <w:marLeft w:val="0"/>
      <w:marRight w:val="0"/>
      <w:marTop w:val="0"/>
      <w:marBottom w:val="0"/>
      <w:divBdr>
        <w:top w:val="none" w:sz="0" w:space="0" w:color="auto"/>
        <w:left w:val="none" w:sz="0" w:space="0" w:color="auto"/>
        <w:bottom w:val="none" w:sz="0" w:space="0" w:color="auto"/>
        <w:right w:val="none" w:sz="0" w:space="0" w:color="auto"/>
      </w:divBdr>
    </w:div>
    <w:div w:id="1701736603">
      <w:bodyDiv w:val="1"/>
      <w:marLeft w:val="0"/>
      <w:marRight w:val="0"/>
      <w:marTop w:val="0"/>
      <w:marBottom w:val="0"/>
      <w:divBdr>
        <w:top w:val="none" w:sz="0" w:space="0" w:color="auto"/>
        <w:left w:val="none" w:sz="0" w:space="0" w:color="auto"/>
        <w:bottom w:val="none" w:sz="0" w:space="0" w:color="auto"/>
        <w:right w:val="none" w:sz="0" w:space="0" w:color="auto"/>
      </w:divBdr>
    </w:div>
    <w:div w:id="1861890574">
      <w:bodyDiv w:val="1"/>
      <w:marLeft w:val="0"/>
      <w:marRight w:val="0"/>
      <w:marTop w:val="0"/>
      <w:marBottom w:val="0"/>
      <w:divBdr>
        <w:top w:val="none" w:sz="0" w:space="0" w:color="auto"/>
        <w:left w:val="none" w:sz="0" w:space="0" w:color="auto"/>
        <w:bottom w:val="none" w:sz="0" w:space="0" w:color="auto"/>
        <w:right w:val="none" w:sz="0" w:space="0" w:color="auto"/>
      </w:divBdr>
    </w:div>
    <w:div w:id="1981835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gfcm.sharepoint.com/CoC/Decisions%20Texts/Forms/AllItems.aspx?id=%2FCoC%2FDecisions%20Texts%2FREC%2ECM%5FGFCM%5F45%5F2022%5F7%2De%2Epdf&amp;parent=%2FCoC%2FDecisions%20Texts&amp;p=true&amp;ga=1" TargetMode="External"/><Relationship Id="rId3" Type="http://schemas.openxmlformats.org/officeDocument/2006/relationships/hyperlink" Target="https://gfcm.sharepoint.com/CoC/Decisions%20Texts/Forms/AllItems.aspx?id=%2FCoC%2FDecisions%20Texts%2FREC%2ECM%5FGFCM%5F43%5F2019%5F5%2De%2Epdf&amp;parent=%2FCoC%2FDecisions%20Texts&amp;p=true&amp;ga=1" TargetMode="External"/><Relationship Id="rId7" Type="http://schemas.openxmlformats.org/officeDocument/2006/relationships/hyperlink" Target="https://gfcm.sharepoint.com/CoC/Decisions%20Texts/Forms/AllItems.aspx?id=%2FCoC%2FDecisions%20Texts%2FREC%2ECM%5FGFCM%5F45%5F2022%5F6%2De%2Epdf&amp;parent=%2FCoC%2FDecisions%20Texts&amp;p=true&amp;ga=1" TargetMode="External"/><Relationship Id="rId2" Type="http://schemas.openxmlformats.org/officeDocument/2006/relationships/hyperlink" Target="http://data.europa.eu/eli/reg/1996/847/oj" TargetMode="External"/><Relationship Id="rId1" Type="http://schemas.openxmlformats.org/officeDocument/2006/relationships/hyperlink" Target="https://eur-lex.europa.eu/legal-content/EN/TXT/PDF/?uri=CONSIL:ST_11623_2023_INIT" TargetMode="External"/><Relationship Id="rId6" Type="http://schemas.openxmlformats.org/officeDocument/2006/relationships/hyperlink" Target="https://gfcm.sharepoint.com/CoC/Decisions%20Texts/Forms/AllItems.aspx?id=%2FCoC%2FDecisions%20Texts%2FREC%2ECM%5FGFCM%5F45%5F2022%5F5%2De%2Epdf&amp;parent=%2FCoC%2FDecisions%20Texts&amp;p=true&amp;ga=1" TargetMode="External"/><Relationship Id="rId5" Type="http://schemas.openxmlformats.org/officeDocument/2006/relationships/hyperlink" Target="https://gfcm.sharepoint.com/CoC/Decisions%20Texts/Forms/AllItems.aspx?id=%2FCoC%2FDecisions%20Texts%2FREC%2ECM%5FGFCM%5F45%5F2022%5F4%2De%2Epdf&amp;parent=%2FCoC%2FDecisions%20Texts&amp;p=true&amp;ga=1" TargetMode="External"/><Relationship Id="rId10" Type="http://schemas.openxmlformats.org/officeDocument/2006/relationships/hyperlink" Target="https://gfcm.sharepoint.com/CoC/Decisions%20Texts/Forms/AllItems.aspx?id=%2FCoC%2FDecisions%20Texts%2FREC%2ECM%5FGFCM%5F45%5F2022%5F9%2De%2Epdf&amp;parent=%2FCoC%2FDecisions%20Texts&amp;p=true&amp;ga=1" TargetMode="External"/><Relationship Id="rId4" Type="http://schemas.openxmlformats.org/officeDocument/2006/relationships/hyperlink" Target="https://gfcm.sharepoint.com/CoC/Decisions%20Texts/Forms/AllItems.aspx?id=%2FCoC%2FDecisions%20Texts%2FREC%2ECM%5FGFCM%5F44%5F2021%5F20%2De%2Epdf&amp;parent=%2FCoC%2FDecisions%20Texts&amp;p=true&amp;ga=1" TargetMode="External"/><Relationship Id="rId9" Type="http://schemas.openxmlformats.org/officeDocument/2006/relationships/hyperlink" Target="https://gfcm.sharepoint.com/CoC/Decisions%20Texts/Forms/AllItems.aspx?id=%2FCoC%2FDecisions%20Texts%2FREC%2ECM%5FGFCM%5F45%5F2022%5F3%2De%2Epdf&amp;parent=%2FCoC%2FDecisions%20Texts&amp;p=true&amp;ga=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36DE6-C1D7-4EE8-9E95-AB2BA9A5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F4AC8-5F56-4C00-8264-B94126FDF18D}">
  <ds:schemaRefs>
    <ds:schemaRef ds:uri="http://schemas.microsoft.com/sharepoint/v3/contenttype/forms"/>
  </ds:schemaRefs>
</ds:datastoreItem>
</file>

<file path=customXml/itemProps3.xml><?xml version="1.0" encoding="utf-8"?>
<ds:datastoreItem xmlns:ds="http://schemas.openxmlformats.org/officeDocument/2006/customXml" ds:itemID="{704EB812-6D68-4C8F-B3E8-93688CA81ADC}">
  <ds:schemaRefs>
    <ds:schemaRef ds:uri="http://purl.org/dc/terms/"/>
    <ds:schemaRef ds:uri="http://schemas.microsoft.com/office/infopath/2007/PartnerControls"/>
    <ds:schemaRef ds:uri="http://schemas.openxmlformats.org/package/2006/metadata/core-properties"/>
    <ds:schemaRef ds:uri="http://schemas.microsoft.com/sharepoint/v3/fields"/>
    <ds:schemaRef ds:uri="http://schemas.microsoft.com/office/2006/documentManagement/types"/>
    <ds:schemaRef ds:uri="http://purl.org/dc/elements/1.1/"/>
    <ds:schemaRef ds:uri="http://schemas.microsoft.com/office/2006/metadata/properties"/>
    <ds:schemaRef ds:uri="379e0a09-5deb-44c7-a703-b352a170740d"/>
    <ds:schemaRef ds:uri="39d607b5-3019-4139-86e9-2e131faaffa8"/>
    <ds:schemaRef ds:uri="http://www.w3.org/XML/1998/namespace"/>
    <ds:schemaRef ds:uri="http://purl.org/dc/dcmitype/"/>
  </ds:schemaRefs>
</ds:datastoreItem>
</file>

<file path=customXml/itemProps4.xml><?xml version="1.0" encoding="utf-8"?>
<ds:datastoreItem xmlns:ds="http://schemas.openxmlformats.org/officeDocument/2006/customXml" ds:itemID="{C53DF74C-F33F-42A0-93F5-44FD6760D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TotalTime>
  <Pages>21</Pages>
  <Words>7199</Words>
  <Characters>38376</Characters>
  <Application>Microsoft Office Word</Application>
  <DocSecurity>0</DocSecurity>
  <Lines>710</Lines>
  <Paragraphs>295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EC CoDe</cp:lastModifiedBy>
  <cp:revision>43</cp:revision>
  <cp:lastPrinted>2023-06-26T09:33:00Z</cp:lastPrinted>
  <dcterms:created xsi:type="dcterms:W3CDTF">2023-09-26T14:17:00Z</dcterms:created>
  <dcterms:modified xsi:type="dcterms:W3CDTF">2023-10-06T09:12:00Z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8.0.1, Build 20220429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MSIP_Label_6bd9ddd1-4d20-43f6-abfa-fc3c07406f94_Enabled">
    <vt:lpwstr>true</vt:lpwstr>
  </property>
  <property fmtid="{D5CDD505-2E9C-101B-9397-08002B2CF9AE}" pid="11" name="MSIP_Label_6bd9ddd1-4d20-43f6-abfa-fc3c07406f94_SetDate">
    <vt:lpwstr>2023-05-12T09:19:05Z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a96f2bda-b0fe-4b62-ac20-321c0bb0a9cc</vt:lpwstr>
  </property>
  <property fmtid="{D5CDD505-2E9C-101B-9397-08002B2CF9AE}" pid="16" name="MSIP_Label_6bd9ddd1-4d20-43f6-abfa-fc3c07406f94_ContentBits">
    <vt:lpwstr>0</vt:lpwstr>
  </property>
  <property fmtid="{D5CDD505-2E9C-101B-9397-08002B2CF9AE}" pid="17" name="ContentTypeId">
    <vt:lpwstr>0x010100258AA79CEB83498886A3A086811232500033285A78CCB54F4DA2ECE5FA2B2AF218</vt:lpwstr>
  </property>
  <property fmtid="{D5CDD505-2E9C-101B-9397-08002B2CF9AE}" pid="18" name="DQCStatus">
    <vt:lpwstr>Green (DQC version 03)</vt:lpwstr>
  </property>
</Properties>
</file>