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D8F8A" w14:textId="191BEDAD" w:rsidR="002E01DE" w:rsidRDefault="00274B7B" w:rsidP="00274B7B">
      <w:pPr>
        <w:pStyle w:val="Pagedecouverture"/>
        <w:rPr>
          <w:noProof/>
        </w:rPr>
      </w:pPr>
      <w:bookmarkStart w:id="0" w:name="LW_BM_COVERPAGE"/>
      <w:r>
        <w:rPr>
          <w:noProof/>
        </w:rPr>
        <w:pict w14:anchorId="2BAF1C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21A967F9-C8DA-4A0E-9FDF-5CC4EDC2304B" style="width:455.25pt;height:351.75pt">
            <v:imagedata r:id="rId11" o:title=""/>
          </v:shape>
        </w:pict>
      </w:r>
    </w:p>
    <w:bookmarkEnd w:id="0"/>
    <w:p w14:paraId="4B561F5A" w14:textId="77777777" w:rsidR="002E01DE" w:rsidRDefault="002E01DE" w:rsidP="00F65ABE">
      <w:pPr>
        <w:spacing w:before="120" w:after="120"/>
        <w:jc w:val="both"/>
        <w:rPr>
          <w:noProof/>
          <w:lang w:val="en-GB"/>
        </w:rPr>
        <w:sectPr w:rsidR="002E01DE" w:rsidSect="00274B7B">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66720523" w14:textId="0B2B97DC" w:rsidR="002E01DE" w:rsidRPr="002E01DE" w:rsidRDefault="002E01DE" w:rsidP="00F938A7">
      <w:pPr>
        <w:pStyle w:val="Heading1"/>
        <w:numPr>
          <w:ilvl w:val="0"/>
          <w:numId w:val="7"/>
        </w:numPr>
        <w:spacing w:before="120" w:after="120"/>
        <w:ind w:hanging="363"/>
        <w:rPr>
          <w:rFonts w:cs="Times New Roman"/>
          <w:bCs/>
          <w:noProof/>
        </w:rPr>
      </w:pPr>
      <w:bookmarkStart w:id="1" w:name="_GoBack"/>
      <w:bookmarkEnd w:id="1"/>
      <w:r>
        <w:rPr>
          <w:noProof/>
        </w:rPr>
        <w:lastRenderedPageBreak/>
        <w:t>INTRODUCTION</w:t>
      </w:r>
    </w:p>
    <w:p w14:paraId="7A618866" w14:textId="274D2C8C" w:rsidR="002E01DE" w:rsidRPr="002E01DE" w:rsidRDefault="002E01DE" w:rsidP="00F65ABE">
      <w:pPr>
        <w:spacing w:before="120" w:after="120"/>
        <w:jc w:val="both"/>
        <w:rPr>
          <w:rFonts w:ascii="Times New Roman" w:hAnsi="Times New Roman" w:cs="Times New Roman"/>
          <w:noProof/>
        </w:rPr>
      </w:pPr>
      <w:r>
        <w:rPr>
          <w:rFonts w:ascii="Times New Roman" w:hAnsi="Times New Roman"/>
          <w:noProof/>
        </w:rPr>
        <w:t xml:space="preserve">Le règlement (UE) </w:t>
      </w:r>
      <w:r w:rsidRPr="00650049">
        <w:rPr>
          <w:rFonts w:ascii="Times New Roman" w:hAnsi="Times New Roman"/>
          <w:noProof/>
        </w:rPr>
        <w:t>2019</w:t>
      </w:r>
      <w:r>
        <w:rPr>
          <w:rFonts w:ascii="Times New Roman" w:hAnsi="Times New Roman"/>
          <w:noProof/>
        </w:rPr>
        <w:t>/</w:t>
      </w:r>
      <w:r w:rsidRPr="00650049">
        <w:rPr>
          <w:rFonts w:ascii="Times New Roman" w:hAnsi="Times New Roman"/>
          <w:noProof/>
        </w:rPr>
        <w:t>1009</w:t>
      </w:r>
      <w:r>
        <w:rPr>
          <w:rFonts w:ascii="Times New Roman" w:hAnsi="Times New Roman"/>
          <w:noProof/>
        </w:rPr>
        <w:t xml:space="preserve"> du Parlement européen et du Conseil du </w:t>
      </w:r>
      <w:r w:rsidRPr="00650049">
        <w:rPr>
          <w:rFonts w:ascii="Times New Roman" w:hAnsi="Times New Roman"/>
          <w:noProof/>
        </w:rPr>
        <w:t>5</w:t>
      </w:r>
      <w:r>
        <w:rPr>
          <w:rFonts w:ascii="Times New Roman" w:hAnsi="Times New Roman"/>
          <w:noProof/>
        </w:rPr>
        <w:t xml:space="preserve"> juin </w:t>
      </w:r>
      <w:r w:rsidRPr="00650049">
        <w:rPr>
          <w:rFonts w:ascii="Times New Roman" w:hAnsi="Times New Roman"/>
          <w:noProof/>
        </w:rPr>
        <w:t>2019</w:t>
      </w:r>
      <w:r>
        <w:rPr>
          <w:rFonts w:ascii="Times New Roman" w:hAnsi="Times New Roman"/>
          <w:noProof/>
        </w:rPr>
        <w:t xml:space="preserve"> établissant les règles relatives à la mise à disposition sur le marché des fertilisants UE, modifiant les règlements (CE) nº </w:t>
      </w:r>
      <w:r w:rsidRPr="00650049">
        <w:rPr>
          <w:rFonts w:ascii="Times New Roman" w:hAnsi="Times New Roman"/>
          <w:noProof/>
        </w:rPr>
        <w:t>1069</w:t>
      </w:r>
      <w:r>
        <w:rPr>
          <w:rFonts w:ascii="Times New Roman" w:hAnsi="Times New Roman"/>
          <w:noProof/>
        </w:rPr>
        <w:t>/</w:t>
      </w:r>
      <w:r w:rsidRPr="00650049">
        <w:rPr>
          <w:rFonts w:ascii="Times New Roman" w:hAnsi="Times New Roman"/>
          <w:noProof/>
        </w:rPr>
        <w:t>2009</w:t>
      </w:r>
      <w:r>
        <w:rPr>
          <w:rFonts w:ascii="Times New Roman" w:hAnsi="Times New Roman"/>
          <w:noProof/>
        </w:rPr>
        <w:t xml:space="preserve"> et (CE) nº </w:t>
      </w:r>
      <w:r w:rsidRPr="00650049">
        <w:rPr>
          <w:rFonts w:ascii="Times New Roman" w:hAnsi="Times New Roman"/>
          <w:noProof/>
        </w:rPr>
        <w:t>1107</w:t>
      </w:r>
      <w:r>
        <w:rPr>
          <w:rFonts w:ascii="Times New Roman" w:hAnsi="Times New Roman"/>
          <w:noProof/>
        </w:rPr>
        <w:t>/</w:t>
      </w:r>
      <w:r w:rsidRPr="00650049">
        <w:rPr>
          <w:rFonts w:ascii="Times New Roman" w:hAnsi="Times New Roman"/>
          <w:noProof/>
        </w:rPr>
        <w:t>2009</w:t>
      </w:r>
      <w:r>
        <w:rPr>
          <w:rFonts w:ascii="Times New Roman" w:hAnsi="Times New Roman"/>
          <w:noProof/>
        </w:rPr>
        <w:t xml:space="preserve"> et abrogeant le règlement (CE) nº </w:t>
      </w:r>
      <w:r w:rsidRPr="00650049">
        <w:rPr>
          <w:rFonts w:ascii="Times New Roman" w:hAnsi="Times New Roman"/>
          <w:noProof/>
        </w:rPr>
        <w:t>2003</w:t>
      </w:r>
      <w:r>
        <w:rPr>
          <w:rFonts w:ascii="Times New Roman" w:hAnsi="Times New Roman"/>
          <w:noProof/>
        </w:rPr>
        <w:t>/</w:t>
      </w:r>
      <w:r w:rsidRPr="00650049">
        <w:rPr>
          <w:rFonts w:ascii="Times New Roman" w:hAnsi="Times New Roman"/>
          <w:noProof/>
        </w:rPr>
        <w:t>2003</w:t>
      </w:r>
      <w:r>
        <w:rPr>
          <w:rFonts w:ascii="Times New Roman" w:hAnsi="Times New Roman" w:cs="Times New Roman"/>
          <w:noProof/>
          <w:vertAlign w:val="superscript"/>
          <w:lang w:val="en-GB"/>
        </w:rPr>
        <w:footnoteReference w:id="2"/>
      </w:r>
      <w:r>
        <w:rPr>
          <w:rFonts w:ascii="Times New Roman" w:hAnsi="Times New Roman"/>
          <w:noProof/>
        </w:rPr>
        <w:t xml:space="preserve"> est applicable depuis le </w:t>
      </w:r>
      <w:r w:rsidRPr="00650049">
        <w:rPr>
          <w:rFonts w:ascii="Times New Roman" w:hAnsi="Times New Roman"/>
          <w:noProof/>
        </w:rPr>
        <w:t>16</w:t>
      </w:r>
      <w:r>
        <w:rPr>
          <w:rFonts w:ascii="Times New Roman" w:hAnsi="Times New Roman"/>
          <w:noProof/>
        </w:rPr>
        <w:t xml:space="preserve"> juillet </w:t>
      </w:r>
      <w:r w:rsidRPr="00650049">
        <w:rPr>
          <w:rFonts w:ascii="Times New Roman" w:hAnsi="Times New Roman"/>
          <w:noProof/>
        </w:rPr>
        <w:t>2022</w:t>
      </w:r>
      <w:r>
        <w:rPr>
          <w:rFonts w:ascii="Times New Roman" w:hAnsi="Times New Roman"/>
          <w:noProof/>
        </w:rPr>
        <w:t xml:space="preserve">. </w:t>
      </w:r>
    </w:p>
    <w:p w14:paraId="363AADCB" w14:textId="17FF6285" w:rsidR="002E01DE" w:rsidRPr="002E01DE" w:rsidRDefault="27219514" w:rsidP="00F65ABE">
      <w:pPr>
        <w:spacing w:before="120" w:after="120"/>
        <w:jc w:val="both"/>
        <w:rPr>
          <w:rFonts w:ascii="Times New Roman" w:hAnsi="Times New Roman" w:cs="Times New Roman"/>
          <w:noProof/>
        </w:rPr>
      </w:pPr>
      <w:r>
        <w:rPr>
          <w:rFonts w:ascii="Times New Roman" w:hAnsi="Times New Roman"/>
          <w:noProof/>
        </w:rPr>
        <w:t>Il remplace le règlement (CE) nº </w:t>
      </w:r>
      <w:r w:rsidRPr="00650049">
        <w:rPr>
          <w:rFonts w:ascii="Times New Roman" w:hAnsi="Times New Roman"/>
          <w:noProof/>
        </w:rPr>
        <w:t>2003</w:t>
      </w:r>
      <w:r>
        <w:rPr>
          <w:rFonts w:ascii="Times New Roman" w:hAnsi="Times New Roman"/>
          <w:noProof/>
        </w:rPr>
        <w:t>/</w:t>
      </w:r>
      <w:r w:rsidRPr="00650049">
        <w:rPr>
          <w:rFonts w:ascii="Times New Roman" w:hAnsi="Times New Roman"/>
          <w:noProof/>
        </w:rPr>
        <w:t>2003</w:t>
      </w:r>
      <w:r>
        <w:rPr>
          <w:rFonts w:ascii="Times New Roman" w:hAnsi="Times New Roman"/>
          <w:noProof/>
        </w:rPr>
        <w:t xml:space="preserve"> du Parlement européen et du Conseil du </w:t>
      </w:r>
      <w:r w:rsidRPr="00650049">
        <w:rPr>
          <w:rFonts w:ascii="Times New Roman" w:hAnsi="Times New Roman"/>
          <w:noProof/>
        </w:rPr>
        <w:t>13</w:t>
      </w:r>
      <w:r>
        <w:rPr>
          <w:rFonts w:ascii="Times New Roman" w:hAnsi="Times New Roman"/>
          <w:noProof/>
        </w:rPr>
        <w:t xml:space="preserve"> octobre </w:t>
      </w:r>
      <w:r w:rsidRPr="00650049">
        <w:rPr>
          <w:rFonts w:ascii="Times New Roman" w:hAnsi="Times New Roman"/>
          <w:noProof/>
        </w:rPr>
        <w:t>2003</w:t>
      </w:r>
      <w:r>
        <w:rPr>
          <w:rFonts w:ascii="Times New Roman" w:hAnsi="Times New Roman"/>
          <w:noProof/>
        </w:rPr>
        <w:t xml:space="preserve"> relatif aux engrais</w:t>
      </w:r>
      <w:r>
        <w:rPr>
          <w:rFonts w:ascii="Times New Roman" w:hAnsi="Times New Roman" w:cs="Times New Roman"/>
          <w:noProof/>
          <w:vertAlign w:val="superscript"/>
          <w:lang w:val="en-GB"/>
        </w:rPr>
        <w:footnoteReference w:id="3"/>
      </w:r>
      <w:r>
        <w:rPr>
          <w:rFonts w:ascii="Times New Roman" w:hAnsi="Times New Roman"/>
          <w:noProof/>
        </w:rPr>
        <w:t xml:space="preserve">. </w:t>
      </w:r>
    </w:p>
    <w:p w14:paraId="2578B20B" w14:textId="12B6464F" w:rsidR="00F65ABE" w:rsidRPr="002E01DE" w:rsidRDefault="002E01DE" w:rsidP="00BF4819">
      <w:pPr>
        <w:jc w:val="both"/>
        <w:rPr>
          <w:rFonts w:ascii="Times New Roman" w:hAnsi="Times New Roman" w:cs="Times New Roman"/>
          <w:noProof/>
        </w:rPr>
      </w:pPr>
      <w:r>
        <w:rPr>
          <w:rFonts w:ascii="Times New Roman" w:hAnsi="Times New Roman"/>
          <w:noProof/>
        </w:rPr>
        <w:t xml:space="preserve">Le règlement (UE) </w:t>
      </w:r>
      <w:r w:rsidRPr="00650049">
        <w:rPr>
          <w:rFonts w:ascii="Times New Roman" w:hAnsi="Times New Roman"/>
          <w:noProof/>
        </w:rPr>
        <w:t>2019</w:t>
      </w:r>
      <w:r>
        <w:rPr>
          <w:rFonts w:ascii="Times New Roman" w:hAnsi="Times New Roman"/>
          <w:noProof/>
        </w:rPr>
        <w:t>/</w:t>
      </w:r>
      <w:r w:rsidRPr="00650049">
        <w:rPr>
          <w:rFonts w:ascii="Times New Roman" w:hAnsi="Times New Roman"/>
          <w:noProof/>
        </w:rPr>
        <w:t>1009</w:t>
      </w:r>
      <w:r>
        <w:rPr>
          <w:rFonts w:ascii="Times New Roman" w:hAnsi="Times New Roman"/>
          <w:noProof/>
        </w:rPr>
        <w:t xml:space="preserve"> étend le champ d’application de l’harmonisation à de nouvelles catégories de fertilisants, en particulier aux produits innovants et aux produits circulaires contenant des matières valorisées à partir de déchets ou de sous-produits. Il établit des exigences en matière d’efficacité et de sécurité agronomiques pour le marquage CE des fertilisants. Les fabricants restent libres de choisir de s’appuyer sur ses dispositions et d’apposer le marquage CE sur leurs fertilisants ou de se conformer aux règles nationales relatives aux fertilisants.</w:t>
      </w:r>
    </w:p>
    <w:p w14:paraId="5BEA746F" w14:textId="77777777" w:rsidR="002E01DE" w:rsidRPr="002E01DE" w:rsidRDefault="002E01DE" w:rsidP="00F938A7">
      <w:pPr>
        <w:pStyle w:val="Heading1"/>
        <w:numPr>
          <w:ilvl w:val="0"/>
          <w:numId w:val="7"/>
        </w:numPr>
        <w:spacing w:before="120" w:after="120"/>
        <w:ind w:hanging="363"/>
        <w:rPr>
          <w:rFonts w:cs="Times New Roman"/>
          <w:bCs/>
          <w:noProof/>
        </w:rPr>
      </w:pPr>
      <w:r>
        <w:rPr>
          <w:noProof/>
        </w:rPr>
        <w:t>BASE JURIDIQUE</w:t>
      </w:r>
    </w:p>
    <w:p w14:paraId="2687FECC" w14:textId="42BE81BD" w:rsidR="002E01DE" w:rsidRPr="002E01DE" w:rsidRDefault="002E01DE" w:rsidP="00F65ABE">
      <w:pPr>
        <w:spacing w:before="120" w:after="120"/>
        <w:jc w:val="both"/>
        <w:rPr>
          <w:rFonts w:ascii="Times New Roman" w:hAnsi="Times New Roman" w:cs="Times New Roman"/>
          <w:noProof/>
        </w:rPr>
      </w:pPr>
      <w:r>
        <w:rPr>
          <w:rFonts w:ascii="Times New Roman" w:hAnsi="Times New Roman"/>
          <w:noProof/>
        </w:rPr>
        <w:t>L’article </w:t>
      </w:r>
      <w:r w:rsidRPr="00650049">
        <w:rPr>
          <w:rFonts w:ascii="Times New Roman" w:hAnsi="Times New Roman"/>
          <w:noProof/>
        </w:rPr>
        <w:t>42</w:t>
      </w:r>
      <w:r>
        <w:rPr>
          <w:rFonts w:ascii="Times New Roman" w:hAnsi="Times New Roman"/>
          <w:noProof/>
        </w:rPr>
        <w:t xml:space="preserve"> du règlement (UE) </w:t>
      </w:r>
      <w:r w:rsidRPr="00650049">
        <w:rPr>
          <w:rFonts w:ascii="Times New Roman" w:hAnsi="Times New Roman"/>
          <w:noProof/>
        </w:rPr>
        <w:t>2019</w:t>
      </w:r>
      <w:r>
        <w:rPr>
          <w:rFonts w:ascii="Times New Roman" w:hAnsi="Times New Roman"/>
          <w:noProof/>
        </w:rPr>
        <w:t>/</w:t>
      </w:r>
      <w:r w:rsidRPr="00650049">
        <w:rPr>
          <w:rFonts w:ascii="Times New Roman" w:hAnsi="Times New Roman"/>
          <w:noProof/>
        </w:rPr>
        <w:t>1009</w:t>
      </w:r>
      <w:r>
        <w:rPr>
          <w:rFonts w:ascii="Times New Roman" w:hAnsi="Times New Roman"/>
          <w:noProof/>
        </w:rPr>
        <w:t xml:space="preserve"> confère à la Commission le pouvoir d’adopter des actes délégués modifiant l’annexe I, à l’exception des valeurs limites pour le cadmium, des définitions et des éléments relatifs au champ d’application des catégories fonctionnelles de produits, modifiant les annexes II, III et IV, ainsi que complétant l’annexe II. </w:t>
      </w:r>
    </w:p>
    <w:p w14:paraId="4A46B060" w14:textId="218414D1" w:rsidR="002E01DE" w:rsidRDefault="002E01DE" w:rsidP="00F65ABE">
      <w:pPr>
        <w:spacing w:before="120" w:after="120"/>
        <w:jc w:val="both"/>
        <w:rPr>
          <w:rFonts w:ascii="Times New Roman" w:hAnsi="Times New Roman" w:cs="Times New Roman"/>
          <w:noProof/>
        </w:rPr>
      </w:pPr>
      <w:r>
        <w:rPr>
          <w:rFonts w:ascii="Times New Roman" w:hAnsi="Times New Roman"/>
          <w:noProof/>
        </w:rPr>
        <w:t xml:space="preserve">Aussitôt que la Commission adopte un acte délégué, elle le notifie au Parlement européen et au Conseil simultanément. L’acte délégué n’entre en vigueur que si le Parlement européen ou le Conseil n’a pas exprimé d’objections dans un délai de trois mois à compter de la notification de cet acte ou si, avant l’expiration de ce délai, le Parlement européen et le Conseil ont tous deux informé la Commission de leur intention de ne pas exprimer d’objections. Ce délai peut être prolongé de trois mois à l’initiative du Parlement européen ou du Conseil.  </w:t>
      </w:r>
    </w:p>
    <w:p w14:paraId="2D388030" w14:textId="364FA8C5" w:rsidR="00654084" w:rsidRDefault="00654084" w:rsidP="00F65ABE">
      <w:pPr>
        <w:spacing w:before="120" w:after="120"/>
        <w:jc w:val="both"/>
        <w:rPr>
          <w:rFonts w:ascii="Times New Roman" w:hAnsi="Times New Roman" w:cs="Times New Roman"/>
          <w:noProof/>
        </w:rPr>
      </w:pPr>
      <w:r>
        <w:rPr>
          <w:rFonts w:ascii="Times New Roman" w:hAnsi="Times New Roman"/>
          <w:noProof/>
        </w:rPr>
        <w:t>En soumettant le présent rapport, la Commission s’acquitte des obligations de rapport que lui impose l’article </w:t>
      </w:r>
      <w:r w:rsidRPr="00650049">
        <w:rPr>
          <w:rFonts w:ascii="Times New Roman" w:hAnsi="Times New Roman"/>
          <w:noProof/>
        </w:rPr>
        <w:t>44</w:t>
      </w:r>
      <w:r>
        <w:rPr>
          <w:rFonts w:ascii="Times New Roman" w:hAnsi="Times New Roman"/>
          <w:noProof/>
        </w:rPr>
        <w:t>, paragraphe </w:t>
      </w:r>
      <w:r w:rsidRPr="00650049">
        <w:rPr>
          <w:rFonts w:ascii="Times New Roman" w:hAnsi="Times New Roman"/>
          <w:noProof/>
        </w:rPr>
        <w:t>2</w:t>
      </w:r>
      <w:r>
        <w:rPr>
          <w:rFonts w:ascii="Times New Roman" w:hAnsi="Times New Roman"/>
          <w:noProof/>
        </w:rPr>
        <w:t xml:space="preserve">, du règlement (UE) </w:t>
      </w:r>
      <w:r w:rsidRPr="00650049">
        <w:rPr>
          <w:rFonts w:ascii="Times New Roman" w:hAnsi="Times New Roman"/>
          <w:noProof/>
        </w:rPr>
        <w:t>2019</w:t>
      </w:r>
      <w:r>
        <w:rPr>
          <w:rFonts w:ascii="Times New Roman" w:hAnsi="Times New Roman"/>
          <w:noProof/>
        </w:rPr>
        <w:t>/</w:t>
      </w:r>
      <w:r w:rsidRPr="00650049">
        <w:rPr>
          <w:rFonts w:ascii="Times New Roman" w:hAnsi="Times New Roman"/>
          <w:noProof/>
        </w:rPr>
        <w:t>1009</w:t>
      </w:r>
      <w:r>
        <w:rPr>
          <w:rFonts w:ascii="Times New Roman" w:hAnsi="Times New Roman"/>
          <w:noProof/>
        </w:rPr>
        <w:t>.</w:t>
      </w:r>
    </w:p>
    <w:p w14:paraId="7BF80997" w14:textId="0315832D" w:rsidR="00AA0745" w:rsidRPr="00507C8F" w:rsidRDefault="00AA0745" w:rsidP="00F65ABE">
      <w:pPr>
        <w:spacing w:before="120" w:after="120"/>
        <w:jc w:val="both"/>
        <w:rPr>
          <w:rFonts w:ascii="Times New Roman" w:hAnsi="Times New Roman" w:cs="Times New Roman"/>
          <w:noProof/>
          <w:lang w:val="fr-BE"/>
        </w:rPr>
      </w:pPr>
    </w:p>
    <w:p w14:paraId="14E92BAB" w14:textId="77777777" w:rsidR="002E01DE" w:rsidRPr="002E01DE" w:rsidRDefault="002E01DE" w:rsidP="00F938A7">
      <w:pPr>
        <w:pStyle w:val="Heading1"/>
        <w:numPr>
          <w:ilvl w:val="0"/>
          <w:numId w:val="7"/>
        </w:numPr>
        <w:spacing w:before="120" w:after="120"/>
        <w:ind w:hanging="363"/>
        <w:rPr>
          <w:noProof/>
        </w:rPr>
      </w:pPr>
      <w:r>
        <w:rPr>
          <w:noProof/>
        </w:rPr>
        <w:t>EXERCICE DE LA DÉLÉGATION</w:t>
      </w:r>
    </w:p>
    <w:p w14:paraId="7EDD93F3" w14:textId="72672F3A" w:rsidR="002E01DE" w:rsidRPr="00F87CA5" w:rsidRDefault="00F87CA5" w:rsidP="00F87CA5">
      <w:pPr>
        <w:spacing w:before="120" w:after="120"/>
        <w:ind w:firstLine="720"/>
        <w:jc w:val="both"/>
        <w:rPr>
          <w:rFonts w:ascii="Times New Roman" w:hAnsi="Times New Roman" w:cs="Times New Roman"/>
          <w:b/>
          <w:bCs/>
          <w:noProof/>
        </w:rPr>
      </w:pPr>
      <w:r w:rsidRPr="00650049">
        <w:rPr>
          <w:rFonts w:ascii="Times New Roman" w:hAnsi="Times New Roman"/>
          <w:b/>
          <w:noProof/>
        </w:rPr>
        <w:t>3</w:t>
      </w:r>
      <w:r>
        <w:rPr>
          <w:rFonts w:ascii="Times New Roman" w:hAnsi="Times New Roman"/>
          <w:b/>
          <w:noProof/>
        </w:rPr>
        <w:t>.</w:t>
      </w:r>
      <w:r w:rsidRPr="00650049">
        <w:rPr>
          <w:rFonts w:ascii="Times New Roman" w:hAnsi="Times New Roman"/>
          <w:b/>
          <w:noProof/>
        </w:rPr>
        <w:t>1</w:t>
      </w:r>
      <w:r>
        <w:rPr>
          <w:noProof/>
        </w:rPr>
        <w:tab/>
      </w:r>
      <w:r>
        <w:rPr>
          <w:rFonts w:ascii="Times New Roman" w:hAnsi="Times New Roman"/>
          <w:b/>
          <w:noProof/>
        </w:rPr>
        <w:t>Pouvoirs exercés au cours de la période de référence</w:t>
      </w:r>
    </w:p>
    <w:p w14:paraId="1581DC7F" w14:textId="3327DF6B" w:rsidR="002E01DE" w:rsidRPr="002E01DE" w:rsidRDefault="002E01DE" w:rsidP="00F65ABE">
      <w:pPr>
        <w:spacing w:before="120" w:after="120"/>
        <w:jc w:val="both"/>
        <w:rPr>
          <w:rFonts w:ascii="Times New Roman" w:hAnsi="Times New Roman" w:cs="Times New Roman"/>
          <w:noProof/>
        </w:rPr>
      </w:pPr>
      <w:r>
        <w:rPr>
          <w:rFonts w:ascii="Times New Roman" w:hAnsi="Times New Roman"/>
          <w:noProof/>
        </w:rPr>
        <w:t>Au cours de la période de référence</w:t>
      </w:r>
      <w:r>
        <w:rPr>
          <w:rFonts w:ascii="Times New Roman" w:hAnsi="Times New Roman" w:cs="Times New Roman"/>
          <w:noProof/>
          <w:vertAlign w:val="superscript"/>
          <w:lang w:val="en-GB"/>
        </w:rPr>
        <w:footnoteReference w:id="4"/>
      </w:r>
      <w:r>
        <w:rPr>
          <w:rFonts w:ascii="Times New Roman" w:hAnsi="Times New Roman"/>
          <w:noProof/>
        </w:rPr>
        <w:t>, la Commission a exercé ses pouvoirs délégués en adoptant les actes délégués suivants</w:t>
      </w:r>
      <w:r>
        <w:rPr>
          <w:rFonts w:ascii="Times New Roman" w:hAnsi="Times New Roman" w:cs="Times New Roman"/>
          <w:noProof/>
          <w:vertAlign w:val="superscript"/>
          <w:lang w:val="en-GB"/>
        </w:rPr>
        <w:footnoteReference w:id="5"/>
      </w:r>
      <w:r>
        <w:rPr>
          <w:rFonts w:ascii="Times New Roman" w:hAnsi="Times New Roman"/>
          <w:noProof/>
        </w:rPr>
        <w:t>:</w:t>
      </w:r>
    </w:p>
    <w:p w14:paraId="31F4BA7F" w14:textId="53502255" w:rsidR="002E01DE" w:rsidRPr="002E01DE" w:rsidRDefault="002E01DE" w:rsidP="00F65ABE">
      <w:pPr>
        <w:numPr>
          <w:ilvl w:val="0"/>
          <w:numId w:val="2"/>
        </w:numPr>
        <w:spacing w:before="120" w:after="120"/>
        <w:jc w:val="both"/>
        <w:rPr>
          <w:rFonts w:ascii="Times New Roman" w:hAnsi="Times New Roman" w:cs="Times New Roman"/>
          <w:noProof/>
        </w:rPr>
      </w:pPr>
      <w:r>
        <w:rPr>
          <w:rFonts w:ascii="Times New Roman" w:hAnsi="Times New Roman"/>
          <w:noProof/>
        </w:rPr>
        <w:t xml:space="preserve">Règlement délégué (UE) </w:t>
      </w:r>
      <w:r w:rsidRPr="00650049">
        <w:rPr>
          <w:rFonts w:ascii="Times New Roman" w:hAnsi="Times New Roman"/>
          <w:noProof/>
        </w:rPr>
        <w:t>2021</w:t>
      </w:r>
      <w:r>
        <w:rPr>
          <w:rFonts w:ascii="Times New Roman" w:hAnsi="Times New Roman"/>
          <w:noProof/>
        </w:rPr>
        <w:t>/</w:t>
      </w:r>
      <w:r w:rsidRPr="00650049">
        <w:rPr>
          <w:rFonts w:ascii="Times New Roman" w:hAnsi="Times New Roman"/>
          <w:noProof/>
        </w:rPr>
        <w:t>1768</w:t>
      </w:r>
      <w:r>
        <w:rPr>
          <w:rFonts w:ascii="Times New Roman" w:hAnsi="Times New Roman"/>
          <w:noProof/>
        </w:rPr>
        <w:t xml:space="preserve"> de la Commission du </w:t>
      </w:r>
      <w:r w:rsidRPr="00650049">
        <w:rPr>
          <w:rFonts w:ascii="Times New Roman" w:hAnsi="Times New Roman"/>
          <w:noProof/>
        </w:rPr>
        <w:t>23</w:t>
      </w:r>
      <w:r>
        <w:rPr>
          <w:rFonts w:ascii="Times New Roman" w:hAnsi="Times New Roman"/>
          <w:noProof/>
        </w:rPr>
        <w:t xml:space="preserve"> juin </w:t>
      </w:r>
      <w:r w:rsidRPr="00650049">
        <w:rPr>
          <w:rFonts w:ascii="Times New Roman" w:hAnsi="Times New Roman"/>
          <w:noProof/>
        </w:rPr>
        <w:t>2021</w:t>
      </w:r>
      <w:r>
        <w:rPr>
          <w:rFonts w:ascii="Times New Roman" w:hAnsi="Times New Roman"/>
          <w:noProof/>
        </w:rPr>
        <w:t xml:space="preserve"> modifiant, aux fins de leur adaptation au progrès technique, les annexes I, II, III et IV du règlement (UE) </w:t>
      </w:r>
      <w:r w:rsidRPr="00650049">
        <w:rPr>
          <w:rFonts w:ascii="Times New Roman" w:hAnsi="Times New Roman"/>
          <w:noProof/>
        </w:rPr>
        <w:t>2019</w:t>
      </w:r>
      <w:r>
        <w:rPr>
          <w:rFonts w:ascii="Times New Roman" w:hAnsi="Times New Roman"/>
          <w:noProof/>
        </w:rPr>
        <w:t>/</w:t>
      </w:r>
      <w:r w:rsidRPr="00650049">
        <w:rPr>
          <w:rFonts w:ascii="Times New Roman" w:hAnsi="Times New Roman"/>
          <w:noProof/>
        </w:rPr>
        <w:t>1009</w:t>
      </w:r>
      <w:r>
        <w:rPr>
          <w:rFonts w:ascii="Times New Roman" w:hAnsi="Times New Roman"/>
          <w:noProof/>
        </w:rPr>
        <w:t xml:space="preserve"> du Parlement européen et du Conseil établissant les règles relatives à la mise à disposition sur le marché des fertilisants UE</w:t>
      </w:r>
      <w:r>
        <w:rPr>
          <w:rFonts w:ascii="Times New Roman" w:hAnsi="Times New Roman" w:cs="Times New Roman"/>
          <w:noProof/>
          <w:vertAlign w:val="superscript"/>
          <w:lang w:val="en-GB"/>
        </w:rPr>
        <w:footnoteReference w:id="6"/>
      </w:r>
      <w:r>
        <w:rPr>
          <w:rFonts w:ascii="Times New Roman" w:hAnsi="Times New Roman"/>
          <w:noProof/>
        </w:rPr>
        <w:t>. Ce règlement délégué a été adopté sur la base de l’article </w:t>
      </w:r>
      <w:r w:rsidRPr="00650049">
        <w:rPr>
          <w:rFonts w:ascii="Times New Roman" w:hAnsi="Times New Roman"/>
          <w:noProof/>
        </w:rPr>
        <w:t>42</w:t>
      </w:r>
      <w:r>
        <w:rPr>
          <w:rFonts w:ascii="Times New Roman" w:hAnsi="Times New Roman"/>
          <w:noProof/>
        </w:rPr>
        <w:t>, paragraphe </w:t>
      </w:r>
      <w:r w:rsidRPr="00650049">
        <w:rPr>
          <w:rFonts w:ascii="Times New Roman" w:hAnsi="Times New Roman"/>
          <w:noProof/>
        </w:rPr>
        <w:t>1</w:t>
      </w:r>
      <w:r>
        <w:rPr>
          <w:rFonts w:ascii="Times New Roman" w:hAnsi="Times New Roman"/>
          <w:noProof/>
        </w:rPr>
        <w:t xml:space="preserve">, du règlement (UE) </w:t>
      </w:r>
      <w:r w:rsidRPr="00650049">
        <w:rPr>
          <w:rFonts w:ascii="Times New Roman" w:hAnsi="Times New Roman"/>
          <w:noProof/>
        </w:rPr>
        <w:t>2019</w:t>
      </w:r>
      <w:r>
        <w:rPr>
          <w:rFonts w:ascii="Times New Roman" w:hAnsi="Times New Roman"/>
          <w:noProof/>
        </w:rPr>
        <w:t>/</w:t>
      </w:r>
      <w:r w:rsidRPr="00650049">
        <w:rPr>
          <w:rFonts w:ascii="Times New Roman" w:hAnsi="Times New Roman"/>
          <w:noProof/>
        </w:rPr>
        <w:t>1009</w:t>
      </w:r>
      <w:r>
        <w:rPr>
          <w:rFonts w:ascii="Times New Roman" w:hAnsi="Times New Roman"/>
          <w:noProof/>
        </w:rPr>
        <w:t xml:space="preserve">, est entré en vigueur le </w:t>
      </w:r>
      <w:r w:rsidRPr="00650049">
        <w:rPr>
          <w:rFonts w:ascii="Times New Roman" w:hAnsi="Times New Roman"/>
          <w:noProof/>
        </w:rPr>
        <w:t>28</w:t>
      </w:r>
      <w:r>
        <w:rPr>
          <w:rFonts w:ascii="Times New Roman" w:hAnsi="Times New Roman"/>
          <w:noProof/>
        </w:rPr>
        <w:t xml:space="preserve"> octobre </w:t>
      </w:r>
      <w:r w:rsidRPr="00650049">
        <w:rPr>
          <w:rFonts w:ascii="Times New Roman" w:hAnsi="Times New Roman"/>
          <w:noProof/>
        </w:rPr>
        <w:t>2021</w:t>
      </w:r>
      <w:r>
        <w:rPr>
          <w:rFonts w:ascii="Times New Roman" w:hAnsi="Times New Roman"/>
          <w:noProof/>
        </w:rPr>
        <w:t xml:space="preserve"> et s’applique depuis le </w:t>
      </w:r>
      <w:r w:rsidRPr="00650049">
        <w:rPr>
          <w:rFonts w:ascii="Times New Roman" w:hAnsi="Times New Roman"/>
          <w:noProof/>
        </w:rPr>
        <w:t>16</w:t>
      </w:r>
      <w:r>
        <w:rPr>
          <w:rFonts w:ascii="Times New Roman" w:hAnsi="Times New Roman"/>
          <w:noProof/>
        </w:rPr>
        <w:t xml:space="preserve"> juillet </w:t>
      </w:r>
      <w:r w:rsidRPr="00650049">
        <w:rPr>
          <w:rFonts w:ascii="Times New Roman" w:hAnsi="Times New Roman"/>
          <w:noProof/>
        </w:rPr>
        <w:t>2022</w:t>
      </w:r>
      <w:r>
        <w:rPr>
          <w:rFonts w:ascii="Times New Roman" w:hAnsi="Times New Roman"/>
          <w:noProof/>
        </w:rPr>
        <w:t xml:space="preserve">.  </w:t>
      </w:r>
    </w:p>
    <w:p w14:paraId="14A3631F" w14:textId="553D487C" w:rsidR="002E01DE" w:rsidRPr="002E01DE" w:rsidRDefault="002E01DE" w:rsidP="00F65ABE">
      <w:pPr>
        <w:numPr>
          <w:ilvl w:val="0"/>
          <w:numId w:val="2"/>
        </w:numPr>
        <w:spacing w:before="120" w:after="120"/>
        <w:jc w:val="both"/>
        <w:rPr>
          <w:rFonts w:ascii="Times New Roman" w:hAnsi="Times New Roman" w:cs="Times New Roman"/>
          <w:noProof/>
        </w:rPr>
      </w:pPr>
      <w:r>
        <w:rPr>
          <w:rFonts w:ascii="Times New Roman" w:hAnsi="Times New Roman"/>
          <w:noProof/>
        </w:rPr>
        <w:t xml:space="preserve">Règlement délégué (UE) </w:t>
      </w:r>
      <w:r w:rsidRPr="00650049">
        <w:rPr>
          <w:rFonts w:ascii="Times New Roman" w:hAnsi="Times New Roman"/>
          <w:noProof/>
        </w:rPr>
        <w:t>2021</w:t>
      </w:r>
      <w:r>
        <w:rPr>
          <w:rFonts w:ascii="Times New Roman" w:hAnsi="Times New Roman"/>
          <w:noProof/>
        </w:rPr>
        <w:t>/</w:t>
      </w:r>
      <w:r w:rsidRPr="00650049">
        <w:rPr>
          <w:rFonts w:ascii="Times New Roman" w:hAnsi="Times New Roman"/>
          <w:noProof/>
        </w:rPr>
        <w:t>2086</w:t>
      </w:r>
      <w:r>
        <w:rPr>
          <w:rFonts w:ascii="Times New Roman" w:hAnsi="Times New Roman"/>
          <w:noProof/>
        </w:rPr>
        <w:t xml:space="preserve"> de la Commission du </w:t>
      </w:r>
      <w:r w:rsidRPr="00650049">
        <w:rPr>
          <w:rFonts w:ascii="Times New Roman" w:hAnsi="Times New Roman"/>
          <w:noProof/>
        </w:rPr>
        <w:t>5</w:t>
      </w:r>
      <w:r>
        <w:rPr>
          <w:rFonts w:ascii="Times New Roman" w:hAnsi="Times New Roman"/>
          <w:noProof/>
        </w:rPr>
        <w:t xml:space="preserve"> juillet </w:t>
      </w:r>
      <w:r w:rsidRPr="00650049">
        <w:rPr>
          <w:rFonts w:ascii="Times New Roman" w:hAnsi="Times New Roman"/>
          <w:noProof/>
        </w:rPr>
        <w:t>2021</w:t>
      </w:r>
      <w:r>
        <w:rPr>
          <w:rFonts w:ascii="Times New Roman" w:hAnsi="Times New Roman"/>
          <w:noProof/>
        </w:rPr>
        <w:t xml:space="preserve"> modifiant les annexes II et IV du règlement (UE) </w:t>
      </w:r>
      <w:r w:rsidRPr="00650049">
        <w:rPr>
          <w:rFonts w:ascii="Times New Roman" w:hAnsi="Times New Roman"/>
          <w:noProof/>
        </w:rPr>
        <w:t>2019</w:t>
      </w:r>
      <w:r>
        <w:rPr>
          <w:rFonts w:ascii="Times New Roman" w:hAnsi="Times New Roman"/>
          <w:noProof/>
        </w:rPr>
        <w:t>/</w:t>
      </w:r>
      <w:r w:rsidRPr="00650049">
        <w:rPr>
          <w:rFonts w:ascii="Times New Roman" w:hAnsi="Times New Roman"/>
          <w:noProof/>
        </w:rPr>
        <w:t>1009</w:t>
      </w:r>
      <w:r>
        <w:rPr>
          <w:rFonts w:ascii="Times New Roman" w:hAnsi="Times New Roman"/>
          <w:noProof/>
        </w:rPr>
        <w:t xml:space="preserve"> du Parlement européen et du Conseil en vue d’ajouter les sels de phosphate précipités et leurs dérivés en tant que catégorie de matières constitutives des fertilisants UE</w:t>
      </w:r>
      <w:r>
        <w:rPr>
          <w:rFonts w:ascii="Times New Roman" w:hAnsi="Times New Roman" w:cs="Times New Roman"/>
          <w:noProof/>
          <w:vertAlign w:val="superscript"/>
          <w:lang w:val="en-GB"/>
        </w:rPr>
        <w:footnoteReference w:id="7"/>
      </w:r>
      <w:r>
        <w:rPr>
          <w:rFonts w:ascii="Times New Roman" w:hAnsi="Times New Roman"/>
          <w:noProof/>
        </w:rPr>
        <w:t>. Ce règlement délégué a été adopté sur la base de l’article </w:t>
      </w:r>
      <w:r w:rsidRPr="00650049">
        <w:rPr>
          <w:rFonts w:ascii="Times New Roman" w:hAnsi="Times New Roman"/>
          <w:noProof/>
        </w:rPr>
        <w:t>42</w:t>
      </w:r>
      <w:r>
        <w:rPr>
          <w:rFonts w:ascii="Times New Roman" w:hAnsi="Times New Roman"/>
          <w:noProof/>
        </w:rPr>
        <w:t>, paragraphe </w:t>
      </w:r>
      <w:r w:rsidRPr="00650049">
        <w:rPr>
          <w:rFonts w:ascii="Times New Roman" w:hAnsi="Times New Roman"/>
          <w:noProof/>
        </w:rPr>
        <w:t>1</w:t>
      </w:r>
      <w:r>
        <w:rPr>
          <w:rFonts w:ascii="Times New Roman" w:hAnsi="Times New Roman"/>
          <w:noProof/>
        </w:rPr>
        <w:t xml:space="preserve">, du règlement (UE) </w:t>
      </w:r>
      <w:r w:rsidRPr="00650049">
        <w:rPr>
          <w:rFonts w:ascii="Times New Roman" w:hAnsi="Times New Roman"/>
          <w:noProof/>
        </w:rPr>
        <w:t>2019</w:t>
      </w:r>
      <w:r>
        <w:rPr>
          <w:rFonts w:ascii="Times New Roman" w:hAnsi="Times New Roman"/>
          <w:noProof/>
        </w:rPr>
        <w:t>/</w:t>
      </w:r>
      <w:r w:rsidRPr="00650049">
        <w:rPr>
          <w:rFonts w:ascii="Times New Roman" w:hAnsi="Times New Roman"/>
          <w:noProof/>
        </w:rPr>
        <w:t>1009</w:t>
      </w:r>
      <w:r>
        <w:rPr>
          <w:rFonts w:ascii="Times New Roman" w:hAnsi="Times New Roman"/>
          <w:noProof/>
        </w:rPr>
        <w:t xml:space="preserve">, est entré en vigueur le </w:t>
      </w:r>
      <w:r w:rsidRPr="00650049">
        <w:rPr>
          <w:rFonts w:ascii="Times New Roman" w:hAnsi="Times New Roman"/>
          <w:noProof/>
        </w:rPr>
        <w:t>20</w:t>
      </w:r>
      <w:r>
        <w:rPr>
          <w:rFonts w:ascii="Times New Roman" w:hAnsi="Times New Roman"/>
          <w:noProof/>
        </w:rPr>
        <w:t xml:space="preserve"> décembre </w:t>
      </w:r>
      <w:r w:rsidRPr="00650049">
        <w:rPr>
          <w:rFonts w:ascii="Times New Roman" w:hAnsi="Times New Roman"/>
          <w:noProof/>
        </w:rPr>
        <w:t>2021</w:t>
      </w:r>
      <w:r>
        <w:rPr>
          <w:rFonts w:ascii="Times New Roman" w:hAnsi="Times New Roman"/>
          <w:noProof/>
        </w:rPr>
        <w:t xml:space="preserve"> et s’applique depuis le </w:t>
      </w:r>
      <w:r w:rsidRPr="00650049">
        <w:rPr>
          <w:rFonts w:ascii="Times New Roman" w:hAnsi="Times New Roman"/>
          <w:noProof/>
        </w:rPr>
        <w:t>16</w:t>
      </w:r>
      <w:r>
        <w:rPr>
          <w:rFonts w:ascii="Times New Roman" w:hAnsi="Times New Roman"/>
          <w:noProof/>
        </w:rPr>
        <w:t xml:space="preserve"> juillet </w:t>
      </w:r>
      <w:r w:rsidRPr="00650049">
        <w:rPr>
          <w:rFonts w:ascii="Times New Roman" w:hAnsi="Times New Roman"/>
          <w:noProof/>
        </w:rPr>
        <w:t>2022</w:t>
      </w:r>
      <w:r>
        <w:rPr>
          <w:rFonts w:ascii="Times New Roman" w:hAnsi="Times New Roman"/>
          <w:noProof/>
        </w:rPr>
        <w:t xml:space="preserve">.  </w:t>
      </w:r>
    </w:p>
    <w:p w14:paraId="5B1E4C97" w14:textId="17BBB60A" w:rsidR="002E01DE" w:rsidRPr="002E01DE" w:rsidRDefault="002E01DE" w:rsidP="00F65ABE">
      <w:pPr>
        <w:numPr>
          <w:ilvl w:val="0"/>
          <w:numId w:val="2"/>
        </w:numPr>
        <w:spacing w:before="120" w:after="120"/>
        <w:jc w:val="both"/>
        <w:rPr>
          <w:rFonts w:ascii="Times New Roman" w:hAnsi="Times New Roman" w:cs="Times New Roman"/>
          <w:noProof/>
        </w:rPr>
      </w:pPr>
      <w:r>
        <w:rPr>
          <w:rFonts w:ascii="Times New Roman" w:hAnsi="Times New Roman"/>
          <w:noProof/>
        </w:rPr>
        <w:t xml:space="preserve">Règlement délégué (UE) </w:t>
      </w:r>
      <w:r w:rsidRPr="00650049">
        <w:rPr>
          <w:rFonts w:ascii="Times New Roman" w:hAnsi="Times New Roman"/>
          <w:noProof/>
        </w:rPr>
        <w:t>2021</w:t>
      </w:r>
      <w:r>
        <w:rPr>
          <w:rFonts w:ascii="Times New Roman" w:hAnsi="Times New Roman"/>
          <w:noProof/>
        </w:rPr>
        <w:t>/</w:t>
      </w:r>
      <w:r w:rsidRPr="00650049">
        <w:rPr>
          <w:rFonts w:ascii="Times New Roman" w:hAnsi="Times New Roman"/>
          <w:noProof/>
        </w:rPr>
        <w:t>2087</w:t>
      </w:r>
      <w:r>
        <w:rPr>
          <w:rFonts w:ascii="Times New Roman" w:hAnsi="Times New Roman"/>
          <w:noProof/>
        </w:rPr>
        <w:t xml:space="preserve"> de la Commission du </w:t>
      </w:r>
      <w:r w:rsidRPr="00650049">
        <w:rPr>
          <w:rFonts w:ascii="Times New Roman" w:hAnsi="Times New Roman"/>
          <w:noProof/>
        </w:rPr>
        <w:t>6</w:t>
      </w:r>
      <w:r>
        <w:rPr>
          <w:rFonts w:ascii="Times New Roman" w:hAnsi="Times New Roman"/>
          <w:noProof/>
        </w:rPr>
        <w:t xml:space="preserve"> juillet </w:t>
      </w:r>
      <w:r w:rsidRPr="00650049">
        <w:rPr>
          <w:rFonts w:ascii="Times New Roman" w:hAnsi="Times New Roman"/>
          <w:noProof/>
        </w:rPr>
        <w:t>2021</w:t>
      </w:r>
      <w:r>
        <w:rPr>
          <w:rFonts w:ascii="Times New Roman" w:hAnsi="Times New Roman"/>
          <w:noProof/>
        </w:rPr>
        <w:t xml:space="preserve"> modifiant les annexes II, III et IV du règlement (UE) </w:t>
      </w:r>
      <w:r w:rsidRPr="00650049">
        <w:rPr>
          <w:rFonts w:ascii="Times New Roman" w:hAnsi="Times New Roman"/>
          <w:noProof/>
        </w:rPr>
        <w:t>2019</w:t>
      </w:r>
      <w:r>
        <w:rPr>
          <w:rFonts w:ascii="Times New Roman" w:hAnsi="Times New Roman"/>
          <w:noProof/>
        </w:rPr>
        <w:t>/</w:t>
      </w:r>
      <w:r w:rsidRPr="00650049">
        <w:rPr>
          <w:rFonts w:ascii="Times New Roman" w:hAnsi="Times New Roman"/>
          <w:noProof/>
        </w:rPr>
        <w:t>1009</w:t>
      </w:r>
      <w:r>
        <w:rPr>
          <w:rFonts w:ascii="Times New Roman" w:hAnsi="Times New Roman"/>
          <w:noProof/>
        </w:rPr>
        <w:t xml:space="preserve"> du Parlement européen et du Conseil en vue d’ajouter les matières obtenues par oxydation thermique et leurs dérivés en tant que catégorie de matières constitutives des fertilisants UE</w:t>
      </w:r>
      <w:r>
        <w:rPr>
          <w:rFonts w:ascii="Times New Roman" w:hAnsi="Times New Roman" w:cs="Times New Roman"/>
          <w:noProof/>
          <w:vertAlign w:val="superscript"/>
          <w:lang w:val="en-GB"/>
        </w:rPr>
        <w:footnoteReference w:id="8"/>
      </w:r>
      <w:r>
        <w:rPr>
          <w:rFonts w:ascii="Times New Roman" w:hAnsi="Times New Roman"/>
          <w:noProof/>
        </w:rPr>
        <w:t>. Ce règlement délégué a été adopté sur la base de l’article </w:t>
      </w:r>
      <w:r w:rsidRPr="00650049">
        <w:rPr>
          <w:rFonts w:ascii="Times New Roman" w:hAnsi="Times New Roman"/>
          <w:noProof/>
        </w:rPr>
        <w:t>42</w:t>
      </w:r>
      <w:r>
        <w:rPr>
          <w:rFonts w:ascii="Times New Roman" w:hAnsi="Times New Roman"/>
          <w:noProof/>
        </w:rPr>
        <w:t>, paragraphe </w:t>
      </w:r>
      <w:r w:rsidRPr="00650049">
        <w:rPr>
          <w:rFonts w:ascii="Times New Roman" w:hAnsi="Times New Roman"/>
          <w:noProof/>
        </w:rPr>
        <w:t>1</w:t>
      </w:r>
      <w:r>
        <w:rPr>
          <w:rFonts w:ascii="Times New Roman" w:hAnsi="Times New Roman"/>
          <w:noProof/>
        </w:rPr>
        <w:t xml:space="preserve">, du règlement (UE) </w:t>
      </w:r>
      <w:r w:rsidRPr="00650049">
        <w:rPr>
          <w:rFonts w:ascii="Times New Roman" w:hAnsi="Times New Roman"/>
          <w:noProof/>
        </w:rPr>
        <w:t>2019</w:t>
      </w:r>
      <w:r>
        <w:rPr>
          <w:rFonts w:ascii="Times New Roman" w:hAnsi="Times New Roman"/>
          <w:noProof/>
        </w:rPr>
        <w:t>/</w:t>
      </w:r>
      <w:r w:rsidRPr="00650049">
        <w:rPr>
          <w:rFonts w:ascii="Times New Roman" w:hAnsi="Times New Roman"/>
          <w:noProof/>
        </w:rPr>
        <w:t>1009</w:t>
      </w:r>
      <w:r>
        <w:rPr>
          <w:rFonts w:ascii="Times New Roman" w:hAnsi="Times New Roman"/>
          <w:noProof/>
        </w:rPr>
        <w:t xml:space="preserve">, est entré en vigueur le </w:t>
      </w:r>
      <w:r w:rsidRPr="00650049">
        <w:rPr>
          <w:rFonts w:ascii="Times New Roman" w:hAnsi="Times New Roman"/>
          <w:noProof/>
        </w:rPr>
        <w:t>20</w:t>
      </w:r>
      <w:r>
        <w:rPr>
          <w:rFonts w:ascii="Times New Roman" w:hAnsi="Times New Roman"/>
          <w:noProof/>
        </w:rPr>
        <w:t xml:space="preserve"> décembre </w:t>
      </w:r>
      <w:r w:rsidRPr="00650049">
        <w:rPr>
          <w:rFonts w:ascii="Times New Roman" w:hAnsi="Times New Roman"/>
          <w:noProof/>
        </w:rPr>
        <w:t>2021</w:t>
      </w:r>
      <w:r>
        <w:rPr>
          <w:rFonts w:ascii="Times New Roman" w:hAnsi="Times New Roman"/>
          <w:noProof/>
        </w:rPr>
        <w:t xml:space="preserve"> et s’applique depuis le </w:t>
      </w:r>
      <w:r w:rsidRPr="00650049">
        <w:rPr>
          <w:rFonts w:ascii="Times New Roman" w:hAnsi="Times New Roman"/>
          <w:noProof/>
        </w:rPr>
        <w:t>16</w:t>
      </w:r>
      <w:r>
        <w:rPr>
          <w:rFonts w:ascii="Times New Roman" w:hAnsi="Times New Roman"/>
          <w:noProof/>
        </w:rPr>
        <w:t xml:space="preserve"> juillet </w:t>
      </w:r>
      <w:r w:rsidRPr="00650049">
        <w:rPr>
          <w:rFonts w:ascii="Times New Roman" w:hAnsi="Times New Roman"/>
          <w:noProof/>
        </w:rPr>
        <w:t>2022</w:t>
      </w:r>
      <w:r>
        <w:rPr>
          <w:rFonts w:ascii="Times New Roman" w:hAnsi="Times New Roman"/>
          <w:noProof/>
        </w:rPr>
        <w:t xml:space="preserve">.  </w:t>
      </w:r>
    </w:p>
    <w:p w14:paraId="346D1CC4" w14:textId="1ABF77BA" w:rsidR="002E01DE" w:rsidRPr="002E01DE" w:rsidRDefault="002E01DE" w:rsidP="00F65ABE">
      <w:pPr>
        <w:numPr>
          <w:ilvl w:val="0"/>
          <w:numId w:val="2"/>
        </w:numPr>
        <w:spacing w:before="120" w:after="120"/>
        <w:jc w:val="both"/>
        <w:rPr>
          <w:rFonts w:ascii="Times New Roman" w:hAnsi="Times New Roman" w:cs="Times New Roman"/>
          <w:noProof/>
        </w:rPr>
      </w:pPr>
      <w:r>
        <w:rPr>
          <w:rFonts w:ascii="Times New Roman" w:hAnsi="Times New Roman"/>
          <w:noProof/>
        </w:rPr>
        <w:t xml:space="preserve">Règlement délégué (UE) </w:t>
      </w:r>
      <w:r w:rsidRPr="00650049">
        <w:rPr>
          <w:rFonts w:ascii="Times New Roman" w:hAnsi="Times New Roman"/>
          <w:noProof/>
        </w:rPr>
        <w:t>2021</w:t>
      </w:r>
      <w:r>
        <w:rPr>
          <w:rFonts w:ascii="Times New Roman" w:hAnsi="Times New Roman"/>
          <w:noProof/>
        </w:rPr>
        <w:t>/</w:t>
      </w:r>
      <w:r w:rsidRPr="00650049">
        <w:rPr>
          <w:rFonts w:ascii="Times New Roman" w:hAnsi="Times New Roman"/>
          <w:noProof/>
        </w:rPr>
        <w:t>2088</w:t>
      </w:r>
      <w:r>
        <w:rPr>
          <w:rFonts w:ascii="Times New Roman" w:hAnsi="Times New Roman"/>
          <w:noProof/>
        </w:rPr>
        <w:t xml:space="preserve"> de la Commission du </w:t>
      </w:r>
      <w:r w:rsidRPr="00650049">
        <w:rPr>
          <w:rFonts w:ascii="Times New Roman" w:hAnsi="Times New Roman"/>
          <w:noProof/>
        </w:rPr>
        <w:t>7</w:t>
      </w:r>
      <w:r>
        <w:rPr>
          <w:rFonts w:ascii="Times New Roman" w:hAnsi="Times New Roman"/>
          <w:noProof/>
        </w:rPr>
        <w:t xml:space="preserve"> juillet </w:t>
      </w:r>
      <w:r w:rsidRPr="00650049">
        <w:rPr>
          <w:rFonts w:ascii="Times New Roman" w:hAnsi="Times New Roman"/>
          <w:noProof/>
        </w:rPr>
        <w:t>2021</w:t>
      </w:r>
      <w:r>
        <w:rPr>
          <w:rFonts w:ascii="Times New Roman" w:hAnsi="Times New Roman"/>
          <w:noProof/>
        </w:rPr>
        <w:t xml:space="preserve"> modifiant les annexes II, III et IV du règlement (UE) </w:t>
      </w:r>
      <w:r w:rsidRPr="00650049">
        <w:rPr>
          <w:rFonts w:ascii="Times New Roman" w:hAnsi="Times New Roman"/>
          <w:noProof/>
        </w:rPr>
        <w:t>2019</w:t>
      </w:r>
      <w:r>
        <w:rPr>
          <w:rFonts w:ascii="Times New Roman" w:hAnsi="Times New Roman"/>
          <w:noProof/>
        </w:rPr>
        <w:t>/</w:t>
      </w:r>
      <w:r w:rsidRPr="00650049">
        <w:rPr>
          <w:rFonts w:ascii="Times New Roman" w:hAnsi="Times New Roman"/>
          <w:noProof/>
        </w:rPr>
        <w:t>1009</w:t>
      </w:r>
      <w:r>
        <w:rPr>
          <w:rFonts w:ascii="Times New Roman" w:hAnsi="Times New Roman"/>
          <w:noProof/>
        </w:rPr>
        <w:t xml:space="preserve"> du Parlement européen et du Conseil en vue d’ajouter les matières issues de la pyrolyse et de la gazéification en tant que catégorie de matières constitutives des fertilisants UE</w:t>
      </w:r>
      <w:r>
        <w:rPr>
          <w:rFonts w:ascii="Times New Roman" w:hAnsi="Times New Roman" w:cs="Times New Roman"/>
          <w:noProof/>
          <w:vertAlign w:val="superscript"/>
          <w:lang w:val="en-GB"/>
        </w:rPr>
        <w:footnoteReference w:id="9"/>
      </w:r>
      <w:r>
        <w:rPr>
          <w:rFonts w:ascii="Times New Roman" w:hAnsi="Times New Roman"/>
          <w:noProof/>
        </w:rPr>
        <w:t>. Ce règlement délégué a été adopté sur la base de l’article </w:t>
      </w:r>
      <w:r w:rsidRPr="00650049">
        <w:rPr>
          <w:rFonts w:ascii="Times New Roman" w:hAnsi="Times New Roman"/>
          <w:noProof/>
        </w:rPr>
        <w:t>42</w:t>
      </w:r>
      <w:r>
        <w:rPr>
          <w:rFonts w:ascii="Times New Roman" w:hAnsi="Times New Roman"/>
          <w:noProof/>
        </w:rPr>
        <w:t>, paragraphe </w:t>
      </w:r>
      <w:r w:rsidRPr="00650049">
        <w:rPr>
          <w:rFonts w:ascii="Times New Roman" w:hAnsi="Times New Roman"/>
          <w:noProof/>
        </w:rPr>
        <w:t>1</w:t>
      </w:r>
      <w:r>
        <w:rPr>
          <w:rFonts w:ascii="Times New Roman" w:hAnsi="Times New Roman"/>
          <w:noProof/>
        </w:rPr>
        <w:t xml:space="preserve">, du règlement (UE) </w:t>
      </w:r>
      <w:r w:rsidRPr="00650049">
        <w:rPr>
          <w:rFonts w:ascii="Times New Roman" w:hAnsi="Times New Roman"/>
          <w:noProof/>
        </w:rPr>
        <w:t>2019</w:t>
      </w:r>
      <w:r>
        <w:rPr>
          <w:rFonts w:ascii="Times New Roman" w:hAnsi="Times New Roman"/>
          <w:noProof/>
        </w:rPr>
        <w:t>/</w:t>
      </w:r>
      <w:r w:rsidRPr="00650049">
        <w:rPr>
          <w:rFonts w:ascii="Times New Roman" w:hAnsi="Times New Roman"/>
          <w:noProof/>
        </w:rPr>
        <w:t>1009</w:t>
      </w:r>
      <w:r>
        <w:rPr>
          <w:rFonts w:ascii="Times New Roman" w:hAnsi="Times New Roman"/>
          <w:noProof/>
        </w:rPr>
        <w:t xml:space="preserve">, est entré en vigueur le </w:t>
      </w:r>
      <w:r w:rsidRPr="00650049">
        <w:rPr>
          <w:rFonts w:ascii="Times New Roman" w:hAnsi="Times New Roman"/>
          <w:noProof/>
        </w:rPr>
        <w:t>20</w:t>
      </w:r>
      <w:r>
        <w:rPr>
          <w:rFonts w:ascii="Times New Roman" w:hAnsi="Times New Roman"/>
          <w:noProof/>
        </w:rPr>
        <w:t xml:space="preserve"> décembre </w:t>
      </w:r>
      <w:r w:rsidRPr="00650049">
        <w:rPr>
          <w:rFonts w:ascii="Times New Roman" w:hAnsi="Times New Roman"/>
          <w:noProof/>
        </w:rPr>
        <w:t>2021</w:t>
      </w:r>
      <w:r>
        <w:rPr>
          <w:rFonts w:ascii="Times New Roman" w:hAnsi="Times New Roman"/>
          <w:noProof/>
        </w:rPr>
        <w:t xml:space="preserve"> et s’applique depuis le </w:t>
      </w:r>
      <w:r w:rsidRPr="00650049">
        <w:rPr>
          <w:rFonts w:ascii="Times New Roman" w:hAnsi="Times New Roman"/>
          <w:noProof/>
        </w:rPr>
        <w:t>16</w:t>
      </w:r>
      <w:r>
        <w:rPr>
          <w:rFonts w:ascii="Times New Roman" w:hAnsi="Times New Roman"/>
          <w:noProof/>
        </w:rPr>
        <w:t xml:space="preserve"> juillet </w:t>
      </w:r>
      <w:r w:rsidRPr="00650049">
        <w:rPr>
          <w:rFonts w:ascii="Times New Roman" w:hAnsi="Times New Roman"/>
          <w:noProof/>
        </w:rPr>
        <w:t>2022</w:t>
      </w:r>
      <w:r>
        <w:rPr>
          <w:rFonts w:ascii="Times New Roman" w:hAnsi="Times New Roman"/>
          <w:noProof/>
        </w:rPr>
        <w:t xml:space="preserve">.   </w:t>
      </w:r>
    </w:p>
    <w:p w14:paraId="58F551DC" w14:textId="1DFC17DF" w:rsidR="002E01DE" w:rsidRPr="002E01DE" w:rsidRDefault="002E01DE" w:rsidP="00F65ABE">
      <w:pPr>
        <w:numPr>
          <w:ilvl w:val="0"/>
          <w:numId w:val="2"/>
        </w:numPr>
        <w:spacing w:before="120" w:after="120"/>
        <w:jc w:val="both"/>
        <w:rPr>
          <w:rFonts w:ascii="Times New Roman" w:hAnsi="Times New Roman" w:cs="Times New Roman"/>
          <w:noProof/>
        </w:rPr>
      </w:pPr>
      <w:r>
        <w:rPr>
          <w:rFonts w:ascii="Times New Roman" w:hAnsi="Times New Roman"/>
          <w:noProof/>
        </w:rPr>
        <w:t xml:space="preserve">Règlement délégué (UE) </w:t>
      </w:r>
      <w:r w:rsidRPr="00650049">
        <w:rPr>
          <w:rFonts w:ascii="Times New Roman" w:hAnsi="Times New Roman"/>
          <w:noProof/>
        </w:rPr>
        <w:t>2022</w:t>
      </w:r>
      <w:r>
        <w:rPr>
          <w:rFonts w:ascii="Times New Roman" w:hAnsi="Times New Roman"/>
          <w:noProof/>
        </w:rPr>
        <w:t>/</w:t>
      </w:r>
      <w:r w:rsidRPr="00650049">
        <w:rPr>
          <w:rFonts w:ascii="Times New Roman" w:hAnsi="Times New Roman"/>
          <w:noProof/>
        </w:rPr>
        <w:t>973</w:t>
      </w:r>
      <w:r>
        <w:rPr>
          <w:rFonts w:ascii="Times New Roman" w:hAnsi="Times New Roman"/>
          <w:noProof/>
        </w:rPr>
        <w:t xml:space="preserve"> de la Commission du </w:t>
      </w:r>
      <w:r w:rsidRPr="00650049">
        <w:rPr>
          <w:rFonts w:ascii="Times New Roman" w:hAnsi="Times New Roman"/>
          <w:noProof/>
        </w:rPr>
        <w:t>14</w:t>
      </w:r>
      <w:r>
        <w:rPr>
          <w:rFonts w:ascii="Times New Roman" w:hAnsi="Times New Roman"/>
          <w:noProof/>
        </w:rPr>
        <w:t xml:space="preserve"> mars </w:t>
      </w:r>
      <w:r w:rsidRPr="00650049">
        <w:rPr>
          <w:rFonts w:ascii="Times New Roman" w:hAnsi="Times New Roman"/>
          <w:noProof/>
        </w:rPr>
        <w:t>2022</w:t>
      </w:r>
      <w:r>
        <w:rPr>
          <w:rFonts w:ascii="Times New Roman" w:hAnsi="Times New Roman"/>
          <w:noProof/>
        </w:rPr>
        <w:t xml:space="preserve"> complétant le règlement (UE) </w:t>
      </w:r>
      <w:r w:rsidRPr="00650049">
        <w:rPr>
          <w:rFonts w:ascii="Times New Roman" w:hAnsi="Times New Roman"/>
          <w:noProof/>
        </w:rPr>
        <w:t>2019</w:t>
      </w:r>
      <w:r>
        <w:rPr>
          <w:rFonts w:ascii="Times New Roman" w:hAnsi="Times New Roman"/>
          <w:noProof/>
        </w:rPr>
        <w:t>/</w:t>
      </w:r>
      <w:r w:rsidRPr="00650049">
        <w:rPr>
          <w:rFonts w:ascii="Times New Roman" w:hAnsi="Times New Roman"/>
          <w:noProof/>
        </w:rPr>
        <w:t>1009</w:t>
      </w:r>
      <w:r>
        <w:rPr>
          <w:rFonts w:ascii="Times New Roman" w:hAnsi="Times New Roman"/>
          <w:noProof/>
        </w:rPr>
        <w:t xml:space="preserve"> du Parlement européen et du Conseil en établissant des critères d’efficacité et de sécurité agronomiques pour l’utilisation de sous-produits dans les fertilisants UE</w:t>
      </w:r>
      <w:r>
        <w:rPr>
          <w:rFonts w:ascii="Times New Roman" w:hAnsi="Times New Roman" w:cs="Times New Roman"/>
          <w:noProof/>
          <w:vertAlign w:val="superscript"/>
          <w:lang w:val="en-GB"/>
        </w:rPr>
        <w:footnoteReference w:id="10"/>
      </w:r>
      <w:r>
        <w:rPr>
          <w:rFonts w:ascii="Times New Roman" w:hAnsi="Times New Roman"/>
          <w:noProof/>
        </w:rPr>
        <w:t>. Ce règlement délégué a été adopté sur la base de l’article </w:t>
      </w:r>
      <w:r w:rsidRPr="00650049">
        <w:rPr>
          <w:rFonts w:ascii="Times New Roman" w:hAnsi="Times New Roman"/>
          <w:noProof/>
        </w:rPr>
        <w:t>42</w:t>
      </w:r>
      <w:r>
        <w:rPr>
          <w:rFonts w:ascii="Times New Roman" w:hAnsi="Times New Roman"/>
          <w:noProof/>
        </w:rPr>
        <w:t>, paragraphe </w:t>
      </w:r>
      <w:r w:rsidRPr="00650049">
        <w:rPr>
          <w:rFonts w:ascii="Times New Roman" w:hAnsi="Times New Roman"/>
          <w:noProof/>
        </w:rPr>
        <w:t>7</w:t>
      </w:r>
      <w:r>
        <w:rPr>
          <w:rFonts w:ascii="Times New Roman" w:hAnsi="Times New Roman"/>
          <w:noProof/>
        </w:rPr>
        <w:t xml:space="preserve">, du règlement (UE) </w:t>
      </w:r>
      <w:r w:rsidRPr="00650049">
        <w:rPr>
          <w:rFonts w:ascii="Times New Roman" w:hAnsi="Times New Roman"/>
          <w:noProof/>
        </w:rPr>
        <w:t>2019</w:t>
      </w:r>
      <w:r>
        <w:rPr>
          <w:rFonts w:ascii="Times New Roman" w:hAnsi="Times New Roman"/>
          <w:noProof/>
        </w:rPr>
        <w:t>/</w:t>
      </w:r>
      <w:r w:rsidRPr="00650049">
        <w:rPr>
          <w:rFonts w:ascii="Times New Roman" w:hAnsi="Times New Roman"/>
          <w:noProof/>
        </w:rPr>
        <w:t>1009</w:t>
      </w:r>
      <w:r>
        <w:rPr>
          <w:rFonts w:ascii="Times New Roman" w:hAnsi="Times New Roman"/>
          <w:noProof/>
        </w:rPr>
        <w:t xml:space="preserve">, est entré en vigueur le </w:t>
      </w:r>
      <w:r w:rsidRPr="00650049">
        <w:rPr>
          <w:rFonts w:ascii="Times New Roman" w:hAnsi="Times New Roman"/>
          <w:noProof/>
        </w:rPr>
        <w:t>14</w:t>
      </w:r>
      <w:r>
        <w:rPr>
          <w:rFonts w:ascii="Times New Roman" w:hAnsi="Times New Roman"/>
          <w:noProof/>
        </w:rPr>
        <w:t xml:space="preserve"> juillet </w:t>
      </w:r>
      <w:r w:rsidRPr="00650049">
        <w:rPr>
          <w:rFonts w:ascii="Times New Roman" w:hAnsi="Times New Roman"/>
          <w:noProof/>
        </w:rPr>
        <w:t>2022</w:t>
      </w:r>
      <w:r>
        <w:rPr>
          <w:rFonts w:ascii="Times New Roman" w:hAnsi="Times New Roman"/>
          <w:noProof/>
        </w:rPr>
        <w:t xml:space="preserve"> et s’applique depuis le </w:t>
      </w:r>
      <w:r w:rsidRPr="00650049">
        <w:rPr>
          <w:rFonts w:ascii="Times New Roman" w:hAnsi="Times New Roman"/>
          <w:noProof/>
        </w:rPr>
        <w:t>16</w:t>
      </w:r>
      <w:r>
        <w:rPr>
          <w:rFonts w:ascii="Times New Roman" w:hAnsi="Times New Roman"/>
          <w:noProof/>
        </w:rPr>
        <w:t xml:space="preserve"> juillet </w:t>
      </w:r>
      <w:r w:rsidRPr="00650049">
        <w:rPr>
          <w:rFonts w:ascii="Times New Roman" w:hAnsi="Times New Roman"/>
          <w:noProof/>
        </w:rPr>
        <w:t>2022</w:t>
      </w:r>
      <w:r>
        <w:rPr>
          <w:rStyle w:val="FootnoteReference"/>
          <w:rFonts w:ascii="Times New Roman" w:hAnsi="Times New Roman" w:cs="Times New Roman"/>
          <w:noProof/>
          <w:lang w:val="en-GB"/>
        </w:rPr>
        <w:footnoteReference w:id="11"/>
      </w:r>
      <w:r>
        <w:rPr>
          <w:noProof/>
        </w:rPr>
        <w:t>.</w:t>
      </w:r>
      <w:r>
        <w:rPr>
          <w:rFonts w:ascii="Times New Roman" w:hAnsi="Times New Roman"/>
          <w:noProof/>
        </w:rPr>
        <w:t xml:space="preserve"> </w:t>
      </w:r>
    </w:p>
    <w:p w14:paraId="565249C6" w14:textId="051D8C12" w:rsidR="002E01DE" w:rsidRPr="002E01DE" w:rsidRDefault="002E01DE" w:rsidP="00F65ABE">
      <w:pPr>
        <w:numPr>
          <w:ilvl w:val="0"/>
          <w:numId w:val="2"/>
        </w:numPr>
        <w:spacing w:before="120" w:after="120"/>
        <w:jc w:val="both"/>
        <w:rPr>
          <w:rFonts w:ascii="Times New Roman" w:hAnsi="Times New Roman" w:cs="Times New Roman"/>
          <w:noProof/>
        </w:rPr>
      </w:pPr>
      <w:r>
        <w:rPr>
          <w:rFonts w:ascii="Times New Roman" w:hAnsi="Times New Roman"/>
          <w:noProof/>
        </w:rPr>
        <w:t xml:space="preserve">Règlement délégué (UE) </w:t>
      </w:r>
      <w:r w:rsidRPr="00650049">
        <w:rPr>
          <w:rFonts w:ascii="Times New Roman" w:hAnsi="Times New Roman"/>
          <w:noProof/>
        </w:rPr>
        <w:t>2022</w:t>
      </w:r>
      <w:r>
        <w:rPr>
          <w:rFonts w:ascii="Times New Roman" w:hAnsi="Times New Roman"/>
          <w:noProof/>
        </w:rPr>
        <w:t>/</w:t>
      </w:r>
      <w:r w:rsidRPr="00650049">
        <w:rPr>
          <w:rFonts w:ascii="Times New Roman" w:hAnsi="Times New Roman"/>
          <w:noProof/>
        </w:rPr>
        <w:t>1171</w:t>
      </w:r>
      <w:r>
        <w:rPr>
          <w:rFonts w:ascii="Times New Roman" w:hAnsi="Times New Roman"/>
          <w:noProof/>
        </w:rPr>
        <w:t xml:space="preserve"> de la Commission du </w:t>
      </w:r>
      <w:r w:rsidRPr="00650049">
        <w:rPr>
          <w:rFonts w:ascii="Times New Roman" w:hAnsi="Times New Roman"/>
          <w:noProof/>
        </w:rPr>
        <w:t>22</w:t>
      </w:r>
      <w:r>
        <w:rPr>
          <w:rFonts w:ascii="Times New Roman" w:hAnsi="Times New Roman"/>
          <w:noProof/>
        </w:rPr>
        <w:t xml:space="preserve"> mars </w:t>
      </w:r>
      <w:r w:rsidRPr="00650049">
        <w:rPr>
          <w:rFonts w:ascii="Times New Roman" w:hAnsi="Times New Roman"/>
          <w:noProof/>
        </w:rPr>
        <w:t>2022</w:t>
      </w:r>
      <w:r>
        <w:rPr>
          <w:rFonts w:ascii="Times New Roman" w:hAnsi="Times New Roman"/>
          <w:noProof/>
        </w:rPr>
        <w:t xml:space="preserve"> modifiant les annexes II, III et IV du règlement (UE) </w:t>
      </w:r>
      <w:r w:rsidRPr="00650049">
        <w:rPr>
          <w:rFonts w:ascii="Times New Roman" w:hAnsi="Times New Roman"/>
          <w:noProof/>
        </w:rPr>
        <w:t>2019</w:t>
      </w:r>
      <w:r>
        <w:rPr>
          <w:rFonts w:ascii="Times New Roman" w:hAnsi="Times New Roman"/>
          <w:noProof/>
        </w:rPr>
        <w:t>/</w:t>
      </w:r>
      <w:r w:rsidRPr="00650049">
        <w:rPr>
          <w:rFonts w:ascii="Times New Roman" w:hAnsi="Times New Roman"/>
          <w:noProof/>
        </w:rPr>
        <w:t>1009</w:t>
      </w:r>
      <w:r>
        <w:rPr>
          <w:rFonts w:ascii="Times New Roman" w:hAnsi="Times New Roman"/>
          <w:noProof/>
        </w:rPr>
        <w:t xml:space="preserve"> du Parlement européen et du Conseil en vue d’ajouter les matières de grande pureté valorisées en tant que catégorie de matières constitutives des fertilisants UE</w:t>
      </w:r>
      <w:r>
        <w:rPr>
          <w:rFonts w:ascii="Times New Roman" w:hAnsi="Times New Roman" w:cs="Times New Roman"/>
          <w:noProof/>
          <w:vertAlign w:val="superscript"/>
          <w:lang w:val="en-GB"/>
        </w:rPr>
        <w:footnoteReference w:id="12"/>
      </w:r>
      <w:r>
        <w:rPr>
          <w:rFonts w:ascii="Times New Roman" w:hAnsi="Times New Roman"/>
          <w:noProof/>
        </w:rPr>
        <w:t>. Ce règlement délégué a été adopté sur la base de l’article </w:t>
      </w:r>
      <w:r w:rsidRPr="00650049">
        <w:rPr>
          <w:rFonts w:ascii="Times New Roman" w:hAnsi="Times New Roman"/>
          <w:noProof/>
        </w:rPr>
        <w:t>42</w:t>
      </w:r>
      <w:r>
        <w:rPr>
          <w:rFonts w:ascii="Times New Roman" w:hAnsi="Times New Roman"/>
          <w:noProof/>
        </w:rPr>
        <w:t>, paragraphe </w:t>
      </w:r>
      <w:r w:rsidRPr="00650049">
        <w:rPr>
          <w:rFonts w:ascii="Times New Roman" w:hAnsi="Times New Roman"/>
          <w:noProof/>
        </w:rPr>
        <w:t>1</w:t>
      </w:r>
      <w:r>
        <w:rPr>
          <w:rFonts w:ascii="Times New Roman" w:hAnsi="Times New Roman"/>
          <w:noProof/>
        </w:rPr>
        <w:t xml:space="preserve">, du règlement (UE) </w:t>
      </w:r>
      <w:r w:rsidRPr="00650049">
        <w:rPr>
          <w:rFonts w:ascii="Times New Roman" w:hAnsi="Times New Roman"/>
          <w:noProof/>
        </w:rPr>
        <w:t>2019</w:t>
      </w:r>
      <w:r>
        <w:rPr>
          <w:rFonts w:ascii="Times New Roman" w:hAnsi="Times New Roman"/>
          <w:noProof/>
        </w:rPr>
        <w:t>/</w:t>
      </w:r>
      <w:r w:rsidRPr="00650049">
        <w:rPr>
          <w:rFonts w:ascii="Times New Roman" w:hAnsi="Times New Roman"/>
          <w:noProof/>
        </w:rPr>
        <w:t>1009</w:t>
      </w:r>
      <w:r>
        <w:rPr>
          <w:rFonts w:ascii="Times New Roman" w:hAnsi="Times New Roman"/>
          <w:noProof/>
        </w:rPr>
        <w:t xml:space="preserve">, est entré en vigueur le </w:t>
      </w:r>
      <w:r w:rsidRPr="00650049">
        <w:rPr>
          <w:rFonts w:ascii="Times New Roman" w:hAnsi="Times New Roman"/>
          <w:noProof/>
        </w:rPr>
        <w:t>16</w:t>
      </w:r>
      <w:r>
        <w:rPr>
          <w:rFonts w:ascii="Times New Roman" w:hAnsi="Times New Roman"/>
          <w:noProof/>
        </w:rPr>
        <w:t xml:space="preserve"> juillet </w:t>
      </w:r>
      <w:r w:rsidRPr="00650049">
        <w:rPr>
          <w:rFonts w:ascii="Times New Roman" w:hAnsi="Times New Roman"/>
          <w:noProof/>
        </w:rPr>
        <w:t>2022</w:t>
      </w:r>
      <w:r>
        <w:rPr>
          <w:rFonts w:ascii="Times New Roman" w:hAnsi="Times New Roman"/>
          <w:noProof/>
        </w:rPr>
        <w:t xml:space="preserve"> et s’applique depuis le </w:t>
      </w:r>
      <w:r w:rsidRPr="00650049">
        <w:rPr>
          <w:rFonts w:ascii="Times New Roman" w:hAnsi="Times New Roman"/>
          <w:noProof/>
        </w:rPr>
        <w:t>28</w:t>
      </w:r>
      <w:r>
        <w:rPr>
          <w:rFonts w:ascii="Times New Roman" w:hAnsi="Times New Roman"/>
          <w:noProof/>
        </w:rPr>
        <w:t xml:space="preserve"> juillet </w:t>
      </w:r>
      <w:r w:rsidRPr="00650049">
        <w:rPr>
          <w:rFonts w:ascii="Times New Roman" w:hAnsi="Times New Roman"/>
          <w:noProof/>
        </w:rPr>
        <w:t>2022</w:t>
      </w:r>
      <w:r>
        <w:rPr>
          <w:rFonts w:ascii="Times New Roman" w:hAnsi="Times New Roman"/>
          <w:noProof/>
        </w:rPr>
        <w:t xml:space="preserve">.   </w:t>
      </w:r>
    </w:p>
    <w:p w14:paraId="2DE51D81" w14:textId="3A00FA61" w:rsidR="002E01DE" w:rsidRPr="002E01DE" w:rsidRDefault="002E01DE" w:rsidP="00F65ABE">
      <w:pPr>
        <w:numPr>
          <w:ilvl w:val="0"/>
          <w:numId w:val="2"/>
        </w:numPr>
        <w:spacing w:before="120" w:after="120"/>
        <w:jc w:val="both"/>
        <w:rPr>
          <w:rFonts w:ascii="Times New Roman" w:hAnsi="Times New Roman" w:cs="Times New Roman"/>
          <w:noProof/>
        </w:rPr>
      </w:pPr>
      <w:r>
        <w:rPr>
          <w:rFonts w:ascii="Times New Roman" w:hAnsi="Times New Roman"/>
          <w:noProof/>
        </w:rPr>
        <w:t xml:space="preserve"> Règlement délégué (UE) </w:t>
      </w:r>
      <w:r w:rsidRPr="00650049">
        <w:rPr>
          <w:rFonts w:ascii="Times New Roman" w:hAnsi="Times New Roman"/>
          <w:noProof/>
        </w:rPr>
        <w:t>2022</w:t>
      </w:r>
      <w:r>
        <w:rPr>
          <w:rFonts w:ascii="Times New Roman" w:hAnsi="Times New Roman"/>
          <w:noProof/>
        </w:rPr>
        <w:t>/</w:t>
      </w:r>
      <w:r w:rsidRPr="00650049">
        <w:rPr>
          <w:rFonts w:ascii="Times New Roman" w:hAnsi="Times New Roman"/>
          <w:noProof/>
        </w:rPr>
        <w:t>1519</w:t>
      </w:r>
      <w:r>
        <w:rPr>
          <w:rFonts w:ascii="Times New Roman" w:hAnsi="Times New Roman"/>
          <w:noProof/>
        </w:rPr>
        <w:t xml:space="preserve"> de la Commission du </w:t>
      </w:r>
      <w:r w:rsidRPr="00650049">
        <w:rPr>
          <w:rFonts w:ascii="Times New Roman" w:hAnsi="Times New Roman"/>
          <w:noProof/>
        </w:rPr>
        <w:t>5</w:t>
      </w:r>
      <w:r>
        <w:rPr>
          <w:rFonts w:ascii="Times New Roman" w:hAnsi="Times New Roman"/>
          <w:noProof/>
        </w:rPr>
        <w:t xml:space="preserve"> mai </w:t>
      </w:r>
      <w:r w:rsidRPr="00650049">
        <w:rPr>
          <w:rFonts w:ascii="Times New Roman" w:hAnsi="Times New Roman"/>
          <w:noProof/>
        </w:rPr>
        <w:t>2022</w:t>
      </w:r>
      <w:r>
        <w:rPr>
          <w:rFonts w:ascii="Times New Roman" w:hAnsi="Times New Roman"/>
          <w:noProof/>
        </w:rPr>
        <w:t xml:space="preserve"> modifiant le règlement (UE) </w:t>
      </w:r>
      <w:r w:rsidRPr="00650049">
        <w:rPr>
          <w:rFonts w:ascii="Times New Roman" w:hAnsi="Times New Roman"/>
          <w:noProof/>
        </w:rPr>
        <w:t>2019</w:t>
      </w:r>
      <w:r>
        <w:rPr>
          <w:rFonts w:ascii="Times New Roman" w:hAnsi="Times New Roman"/>
          <w:noProof/>
        </w:rPr>
        <w:t>/</w:t>
      </w:r>
      <w:r w:rsidRPr="00650049">
        <w:rPr>
          <w:rFonts w:ascii="Times New Roman" w:hAnsi="Times New Roman"/>
          <w:noProof/>
        </w:rPr>
        <w:t>1009</w:t>
      </w:r>
      <w:r>
        <w:rPr>
          <w:rFonts w:ascii="Times New Roman" w:hAnsi="Times New Roman"/>
          <w:noProof/>
        </w:rPr>
        <w:t xml:space="preserve"> du Parlement européen et du Conseil en ce qui concerne les exigences applicables aux fertilisants UE contenant des composés inhibiteurs et au post-traitement du digestat </w:t>
      </w:r>
      <w:r>
        <w:rPr>
          <w:rFonts w:ascii="Times New Roman" w:hAnsi="Times New Roman" w:cs="Times New Roman"/>
          <w:noProof/>
          <w:vertAlign w:val="superscript"/>
          <w:lang w:val="en-GB"/>
        </w:rPr>
        <w:footnoteReference w:id="13"/>
      </w:r>
      <w:r>
        <w:rPr>
          <w:rFonts w:ascii="Times New Roman" w:hAnsi="Times New Roman"/>
          <w:noProof/>
        </w:rPr>
        <w:t>.  Ce règlement délégué a été adopté sur la base de l’article </w:t>
      </w:r>
      <w:r w:rsidRPr="00650049">
        <w:rPr>
          <w:rFonts w:ascii="Times New Roman" w:hAnsi="Times New Roman"/>
          <w:noProof/>
        </w:rPr>
        <w:t>42</w:t>
      </w:r>
      <w:r>
        <w:rPr>
          <w:rFonts w:ascii="Times New Roman" w:hAnsi="Times New Roman"/>
          <w:noProof/>
        </w:rPr>
        <w:t>, paragraphe </w:t>
      </w:r>
      <w:r w:rsidRPr="00650049">
        <w:rPr>
          <w:rFonts w:ascii="Times New Roman" w:hAnsi="Times New Roman"/>
          <w:noProof/>
        </w:rPr>
        <w:t>1</w:t>
      </w:r>
      <w:r>
        <w:rPr>
          <w:rFonts w:ascii="Times New Roman" w:hAnsi="Times New Roman"/>
          <w:noProof/>
        </w:rPr>
        <w:t xml:space="preserve">, du règlement (UE) </w:t>
      </w:r>
      <w:r w:rsidRPr="00650049">
        <w:rPr>
          <w:rFonts w:ascii="Times New Roman" w:hAnsi="Times New Roman"/>
          <w:noProof/>
        </w:rPr>
        <w:t>2019</w:t>
      </w:r>
      <w:r>
        <w:rPr>
          <w:rFonts w:ascii="Times New Roman" w:hAnsi="Times New Roman"/>
          <w:noProof/>
        </w:rPr>
        <w:t>/</w:t>
      </w:r>
      <w:r w:rsidRPr="00650049">
        <w:rPr>
          <w:rFonts w:ascii="Times New Roman" w:hAnsi="Times New Roman"/>
          <w:noProof/>
        </w:rPr>
        <w:t>1009</w:t>
      </w:r>
      <w:r>
        <w:rPr>
          <w:rFonts w:ascii="Times New Roman" w:hAnsi="Times New Roman"/>
          <w:noProof/>
        </w:rPr>
        <w:t xml:space="preserve">, est entré en vigueur le </w:t>
      </w:r>
      <w:r w:rsidRPr="00650049">
        <w:rPr>
          <w:rFonts w:ascii="Times New Roman" w:hAnsi="Times New Roman"/>
          <w:noProof/>
        </w:rPr>
        <w:t>3</w:t>
      </w:r>
      <w:r>
        <w:rPr>
          <w:rFonts w:ascii="Times New Roman" w:hAnsi="Times New Roman"/>
          <w:noProof/>
        </w:rPr>
        <w:t xml:space="preserve"> octobre </w:t>
      </w:r>
      <w:r w:rsidRPr="00650049">
        <w:rPr>
          <w:rFonts w:ascii="Times New Roman" w:hAnsi="Times New Roman"/>
          <w:noProof/>
        </w:rPr>
        <w:t>2022</w:t>
      </w:r>
      <w:r>
        <w:rPr>
          <w:rFonts w:ascii="Times New Roman" w:hAnsi="Times New Roman"/>
          <w:noProof/>
        </w:rPr>
        <w:t xml:space="preserve"> et s’applique depuis cette date.</w:t>
      </w:r>
    </w:p>
    <w:p w14:paraId="49A998E8" w14:textId="15199CC4" w:rsidR="002E01DE" w:rsidRPr="002E01DE" w:rsidRDefault="002E01DE" w:rsidP="00F65ABE">
      <w:pPr>
        <w:numPr>
          <w:ilvl w:val="0"/>
          <w:numId w:val="2"/>
        </w:numPr>
        <w:spacing w:before="120" w:after="120"/>
        <w:jc w:val="both"/>
        <w:rPr>
          <w:rFonts w:ascii="Times New Roman" w:hAnsi="Times New Roman" w:cs="Times New Roman"/>
          <w:noProof/>
        </w:rPr>
      </w:pPr>
      <w:r>
        <w:rPr>
          <w:rFonts w:ascii="Times New Roman" w:hAnsi="Times New Roman"/>
          <w:noProof/>
        </w:rPr>
        <w:t xml:space="preserve">Règlement délégué (UE) </w:t>
      </w:r>
      <w:r w:rsidRPr="00650049">
        <w:rPr>
          <w:rFonts w:ascii="Times New Roman" w:hAnsi="Times New Roman"/>
          <w:noProof/>
        </w:rPr>
        <w:t>2023</w:t>
      </w:r>
      <w:r>
        <w:rPr>
          <w:rFonts w:ascii="Times New Roman" w:hAnsi="Times New Roman"/>
          <w:noProof/>
        </w:rPr>
        <w:t>/</w:t>
      </w:r>
      <w:r w:rsidRPr="00650049">
        <w:rPr>
          <w:rFonts w:ascii="Times New Roman" w:hAnsi="Times New Roman"/>
          <w:noProof/>
        </w:rPr>
        <w:t>409</w:t>
      </w:r>
      <w:r>
        <w:rPr>
          <w:rFonts w:ascii="Times New Roman" w:hAnsi="Times New Roman"/>
          <w:noProof/>
        </w:rPr>
        <w:t xml:space="preserve"> de la Commission du </w:t>
      </w:r>
      <w:r w:rsidRPr="00650049">
        <w:rPr>
          <w:rFonts w:ascii="Times New Roman" w:hAnsi="Times New Roman"/>
          <w:noProof/>
        </w:rPr>
        <w:t>18</w:t>
      </w:r>
      <w:r>
        <w:rPr>
          <w:rFonts w:ascii="Times New Roman" w:hAnsi="Times New Roman"/>
          <w:noProof/>
        </w:rPr>
        <w:t xml:space="preserve"> novembre </w:t>
      </w:r>
      <w:r w:rsidRPr="00650049">
        <w:rPr>
          <w:rFonts w:ascii="Times New Roman" w:hAnsi="Times New Roman"/>
          <w:noProof/>
        </w:rPr>
        <w:t>2022</w:t>
      </w:r>
      <w:r>
        <w:rPr>
          <w:rFonts w:ascii="Times New Roman" w:hAnsi="Times New Roman"/>
          <w:noProof/>
        </w:rPr>
        <w:t xml:space="preserve"> modifiant le règlement (UE) </w:t>
      </w:r>
      <w:r w:rsidRPr="00650049">
        <w:rPr>
          <w:rFonts w:ascii="Times New Roman" w:hAnsi="Times New Roman"/>
          <w:noProof/>
        </w:rPr>
        <w:t>2019</w:t>
      </w:r>
      <w:r>
        <w:rPr>
          <w:rFonts w:ascii="Times New Roman" w:hAnsi="Times New Roman"/>
          <w:noProof/>
        </w:rPr>
        <w:t>/</w:t>
      </w:r>
      <w:r w:rsidRPr="00650049">
        <w:rPr>
          <w:rFonts w:ascii="Times New Roman" w:hAnsi="Times New Roman"/>
          <w:noProof/>
        </w:rPr>
        <w:t>1009</w:t>
      </w:r>
      <w:r>
        <w:rPr>
          <w:rFonts w:ascii="Times New Roman" w:hAnsi="Times New Roman"/>
          <w:noProof/>
        </w:rPr>
        <w:t xml:space="preserve"> du Parlement européen et du Conseil en ce qui concerne la teneur minimale en oxyde de calcium dans les engrais inorganiques solides simples à macroéléments</w:t>
      </w:r>
      <w:r>
        <w:rPr>
          <w:rFonts w:ascii="Times New Roman" w:hAnsi="Times New Roman" w:cs="Times New Roman"/>
          <w:noProof/>
          <w:vertAlign w:val="superscript"/>
          <w:lang w:val="en-GB"/>
        </w:rPr>
        <w:footnoteReference w:id="14"/>
      </w:r>
      <w:r>
        <w:rPr>
          <w:rFonts w:ascii="Times New Roman" w:hAnsi="Times New Roman"/>
          <w:noProof/>
        </w:rPr>
        <w:t>. Ce règlement délégué a été adopté sur la base de l’article </w:t>
      </w:r>
      <w:r w:rsidRPr="00650049">
        <w:rPr>
          <w:rFonts w:ascii="Times New Roman" w:hAnsi="Times New Roman"/>
          <w:noProof/>
        </w:rPr>
        <w:t>42</w:t>
      </w:r>
      <w:r>
        <w:rPr>
          <w:rFonts w:ascii="Times New Roman" w:hAnsi="Times New Roman"/>
          <w:noProof/>
        </w:rPr>
        <w:t>, paragraphe </w:t>
      </w:r>
      <w:r w:rsidRPr="00650049">
        <w:rPr>
          <w:rFonts w:ascii="Times New Roman" w:hAnsi="Times New Roman"/>
          <w:noProof/>
        </w:rPr>
        <w:t>1</w:t>
      </w:r>
      <w:r>
        <w:rPr>
          <w:rFonts w:ascii="Times New Roman" w:hAnsi="Times New Roman"/>
          <w:noProof/>
        </w:rPr>
        <w:t xml:space="preserve">, du règlement (UE) </w:t>
      </w:r>
      <w:r w:rsidRPr="00650049">
        <w:rPr>
          <w:rFonts w:ascii="Times New Roman" w:hAnsi="Times New Roman"/>
          <w:noProof/>
        </w:rPr>
        <w:t>2019</w:t>
      </w:r>
      <w:r>
        <w:rPr>
          <w:rFonts w:ascii="Times New Roman" w:hAnsi="Times New Roman"/>
          <w:noProof/>
        </w:rPr>
        <w:t>/</w:t>
      </w:r>
      <w:r w:rsidRPr="00650049">
        <w:rPr>
          <w:rFonts w:ascii="Times New Roman" w:hAnsi="Times New Roman"/>
          <w:noProof/>
        </w:rPr>
        <w:t>1009</w:t>
      </w:r>
      <w:r>
        <w:rPr>
          <w:rFonts w:ascii="Times New Roman" w:hAnsi="Times New Roman"/>
          <w:noProof/>
        </w:rPr>
        <w:t xml:space="preserve">, est entré en vigueur le </w:t>
      </w:r>
      <w:r w:rsidRPr="00650049">
        <w:rPr>
          <w:rFonts w:ascii="Times New Roman" w:hAnsi="Times New Roman"/>
          <w:noProof/>
        </w:rPr>
        <w:t>16</w:t>
      </w:r>
      <w:r>
        <w:rPr>
          <w:rFonts w:ascii="Times New Roman" w:hAnsi="Times New Roman"/>
          <w:noProof/>
        </w:rPr>
        <w:t xml:space="preserve"> mars </w:t>
      </w:r>
      <w:r w:rsidRPr="00650049">
        <w:rPr>
          <w:rFonts w:ascii="Times New Roman" w:hAnsi="Times New Roman"/>
          <w:noProof/>
        </w:rPr>
        <w:t>2023</w:t>
      </w:r>
      <w:r>
        <w:rPr>
          <w:rFonts w:ascii="Times New Roman" w:hAnsi="Times New Roman"/>
          <w:noProof/>
        </w:rPr>
        <w:t xml:space="preserve"> et s’applique depuis cette date.</w:t>
      </w:r>
    </w:p>
    <w:p w14:paraId="4E8AB20A" w14:textId="5C9C6563" w:rsidR="00F938A7" w:rsidRDefault="002E01DE" w:rsidP="00F938A7">
      <w:pPr>
        <w:spacing w:before="120" w:after="120"/>
        <w:jc w:val="both"/>
        <w:rPr>
          <w:rFonts w:ascii="Times New Roman" w:hAnsi="Times New Roman" w:cs="Times New Roman"/>
          <w:noProof/>
        </w:rPr>
      </w:pPr>
      <w:r>
        <w:rPr>
          <w:rFonts w:ascii="Times New Roman" w:hAnsi="Times New Roman"/>
          <w:noProof/>
        </w:rPr>
        <w:t>La Commission a notifié chacun de ces actes délégués simultanément au Parlement européen et au Conseil, conformément à l’article </w:t>
      </w:r>
      <w:r w:rsidRPr="00650049">
        <w:rPr>
          <w:rFonts w:ascii="Times New Roman" w:hAnsi="Times New Roman"/>
          <w:noProof/>
        </w:rPr>
        <w:t>44</w:t>
      </w:r>
      <w:r>
        <w:rPr>
          <w:rFonts w:ascii="Times New Roman" w:hAnsi="Times New Roman"/>
          <w:noProof/>
        </w:rPr>
        <w:t>, paragraphe </w:t>
      </w:r>
      <w:r w:rsidRPr="00650049">
        <w:rPr>
          <w:rFonts w:ascii="Times New Roman" w:hAnsi="Times New Roman"/>
          <w:noProof/>
        </w:rPr>
        <w:t>5</w:t>
      </w:r>
      <w:r>
        <w:rPr>
          <w:rFonts w:ascii="Times New Roman" w:hAnsi="Times New Roman"/>
          <w:noProof/>
        </w:rPr>
        <w:t xml:space="preserve">, du règlement (UE) </w:t>
      </w:r>
      <w:r w:rsidRPr="00650049">
        <w:rPr>
          <w:rFonts w:ascii="Times New Roman" w:hAnsi="Times New Roman"/>
          <w:noProof/>
        </w:rPr>
        <w:t>2019</w:t>
      </w:r>
      <w:r>
        <w:rPr>
          <w:rFonts w:ascii="Times New Roman" w:hAnsi="Times New Roman"/>
          <w:noProof/>
        </w:rPr>
        <w:t>/</w:t>
      </w:r>
      <w:r w:rsidRPr="00650049">
        <w:rPr>
          <w:rFonts w:ascii="Times New Roman" w:hAnsi="Times New Roman"/>
          <w:noProof/>
        </w:rPr>
        <w:t>1009</w:t>
      </w:r>
      <w:r>
        <w:rPr>
          <w:rFonts w:ascii="Times New Roman" w:hAnsi="Times New Roman"/>
          <w:noProof/>
        </w:rPr>
        <w:t>. Le Parlement européen et le Conseil n’ont prolongé le délai d’objection visé à l’article </w:t>
      </w:r>
      <w:r w:rsidRPr="00650049">
        <w:rPr>
          <w:rFonts w:ascii="Times New Roman" w:hAnsi="Times New Roman"/>
          <w:noProof/>
        </w:rPr>
        <w:t>44</w:t>
      </w:r>
      <w:r>
        <w:rPr>
          <w:rFonts w:ascii="Times New Roman" w:hAnsi="Times New Roman"/>
          <w:noProof/>
        </w:rPr>
        <w:t>, paragraphe </w:t>
      </w:r>
      <w:r w:rsidRPr="00650049">
        <w:rPr>
          <w:rFonts w:ascii="Times New Roman" w:hAnsi="Times New Roman"/>
          <w:noProof/>
        </w:rPr>
        <w:t>6</w:t>
      </w:r>
      <w:r>
        <w:rPr>
          <w:rFonts w:ascii="Times New Roman" w:hAnsi="Times New Roman"/>
          <w:noProof/>
        </w:rPr>
        <w:t xml:space="preserve">, du règlement (UE) </w:t>
      </w:r>
      <w:r w:rsidRPr="00650049">
        <w:rPr>
          <w:rFonts w:ascii="Times New Roman" w:hAnsi="Times New Roman"/>
          <w:noProof/>
        </w:rPr>
        <w:t>2019</w:t>
      </w:r>
      <w:r>
        <w:rPr>
          <w:rFonts w:ascii="Times New Roman" w:hAnsi="Times New Roman"/>
          <w:noProof/>
        </w:rPr>
        <w:t>/</w:t>
      </w:r>
      <w:r w:rsidRPr="00650049">
        <w:rPr>
          <w:rFonts w:ascii="Times New Roman" w:hAnsi="Times New Roman"/>
          <w:noProof/>
        </w:rPr>
        <w:t>1009</w:t>
      </w:r>
      <w:r>
        <w:rPr>
          <w:rFonts w:ascii="Times New Roman" w:hAnsi="Times New Roman"/>
          <w:noProof/>
        </w:rPr>
        <w:t xml:space="preserve"> pour aucun de ces actes. Ni le Parlement européen ni le Conseil n’ont exprimé d’objection à l’égard de l’un quelconque des actes susmentionnés.</w:t>
      </w:r>
    </w:p>
    <w:p w14:paraId="1AA67903" w14:textId="4985DC52" w:rsidR="000A2A4C" w:rsidRPr="00F938A7" w:rsidRDefault="00E65018" w:rsidP="00F938A7">
      <w:pPr>
        <w:spacing w:before="120" w:after="120"/>
        <w:jc w:val="both"/>
        <w:rPr>
          <w:rFonts w:ascii="Times New Roman" w:hAnsi="Times New Roman" w:cs="Times New Roman"/>
          <w:noProof/>
        </w:rPr>
      </w:pPr>
      <w:r>
        <w:rPr>
          <w:rFonts w:ascii="Times New Roman" w:hAnsi="Times New Roman"/>
          <w:noProof/>
        </w:rPr>
        <w:t>L’adoption de ces actes délégués a facilité le commerce de fertilisants biosourcés renouvelables contenant des matières innovantes issues de déchets organiques (par exemple, les effluents d’élevage, les eaux usées, les boues, les déchets municipaux), contribuant ainsi à la réalisation des objectifs de la stratégie «De la ferme à la table»</w:t>
      </w:r>
      <w:r>
        <w:rPr>
          <w:rStyle w:val="FootnoteReference"/>
          <w:noProof/>
        </w:rPr>
        <w:footnoteReference w:id="15"/>
      </w:r>
      <w:r>
        <w:rPr>
          <w:noProof/>
        </w:rPr>
        <w:t xml:space="preserve">. </w:t>
      </w:r>
    </w:p>
    <w:p w14:paraId="5DDB75C8" w14:textId="6E39FED7" w:rsidR="00F87CA5" w:rsidRPr="00F87CA5" w:rsidRDefault="00F87CA5" w:rsidP="00F87CA5">
      <w:pPr>
        <w:spacing w:before="120" w:after="120"/>
        <w:ind w:firstLine="720"/>
        <w:jc w:val="both"/>
        <w:rPr>
          <w:rFonts w:ascii="Times New Roman" w:hAnsi="Times New Roman" w:cs="Times New Roman"/>
          <w:b/>
          <w:bCs/>
          <w:noProof/>
        </w:rPr>
      </w:pPr>
      <w:bookmarkStart w:id="2" w:name="_Hlk145591493"/>
      <w:r w:rsidRPr="00650049">
        <w:rPr>
          <w:rFonts w:ascii="Times New Roman" w:hAnsi="Times New Roman"/>
          <w:b/>
          <w:noProof/>
        </w:rPr>
        <w:t>3</w:t>
      </w:r>
      <w:r>
        <w:rPr>
          <w:rFonts w:ascii="Times New Roman" w:hAnsi="Times New Roman"/>
          <w:b/>
          <w:noProof/>
        </w:rPr>
        <w:t>.</w:t>
      </w:r>
      <w:r w:rsidRPr="00650049">
        <w:rPr>
          <w:rFonts w:ascii="Times New Roman" w:hAnsi="Times New Roman"/>
          <w:b/>
          <w:noProof/>
        </w:rPr>
        <w:t>2</w:t>
      </w:r>
      <w:r>
        <w:rPr>
          <w:noProof/>
        </w:rPr>
        <w:tab/>
      </w:r>
      <w:r>
        <w:rPr>
          <w:rFonts w:ascii="Times New Roman" w:hAnsi="Times New Roman"/>
          <w:b/>
          <w:noProof/>
        </w:rPr>
        <w:t>Pouvoirs non exercés au cours de la période de référence</w:t>
      </w:r>
    </w:p>
    <w:bookmarkEnd w:id="2"/>
    <w:p w14:paraId="0080A48A" w14:textId="0BB6BF09" w:rsidR="005838DD" w:rsidRDefault="005838DD" w:rsidP="005838DD">
      <w:pPr>
        <w:spacing w:before="120" w:after="120"/>
        <w:jc w:val="both"/>
        <w:rPr>
          <w:rFonts w:ascii="Times New Roman" w:hAnsi="Times New Roman" w:cs="Times New Roman"/>
          <w:noProof/>
        </w:rPr>
      </w:pPr>
      <w:r>
        <w:rPr>
          <w:rFonts w:ascii="Times New Roman" w:hAnsi="Times New Roman"/>
          <w:noProof/>
        </w:rPr>
        <w:t>Le pouvoir conféré par l’article </w:t>
      </w:r>
      <w:r w:rsidRPr="00650049">
        <w:rPr>
          <w:rFonts w:ascii="Times New Roman" w:hAnsi="Times New Roman"/>
          <w:noProof/>
        </w:rPr>
        <w:t>42</w:t>
      </w:r>
      <w:r>
        <w:rPr>
          <w:rFonts w:ascii="Times New Roman" w:hAnsi="Times New Roman"/>
          <w:noProof/>
        </w:rPr>
        <w:t>, paragraphe </w:t>
      </w:r>
      <w:r w:rsidRPr="00650049">
        <w:rPr>
          <w:rFonts w:ascii="Times New Roman" w:hAnsi="Times New Roman"/>
          <w:noProof/>
        </w:rPr>
        <w:t>8</w:t>
      </w:r>
      <w:r>
        <w:rPr>
          <w:rFonts w:ascii="Times New Roman" w:hAnsi="Times New Roman"/>
          <w:noProof/>
        </w:rPr>
        <w:t xml:space="preserve">, du règlement (UE) </w:t>
      </w:r>
      <w:r w:rsidRPr="00650049">
        <w:rPr>
          <w:rFonts w:ascii="Times New Roman" w:hAnsi="Times New Roman"/>
          <w:noProof/>
        </w:rPr>
        <w:t>2019</w:t>
      </w:r>
      <w:r>
        <w:rPr>
          <w:rFonts w:ascii="Times New Roman" w:hAnsi="Times New Roman"/>
          <w:noProof/>
        </w:rPr>
        <w:t>/</w:t>
      </w:r>
      <w:r w:rsidRPr="00650049">
        <w:rPr>
          <w:rFonts w:ascii="Times New Roman" w:hAnsi="Times New Roman"/>
          <w:noProof/>
        </w:rPr>
        <w:t>1009</w:t>
      </w:r>
      <w:r>
        <w:rPr>
          <w:rFonts w:ascii="Times New Roman" w:hAnsi="Times New Roman"/>
          <w:noProof/>
        </w:rPr>
        <w:t xml:space="preserve"> n’a pas été exercé au cours de la période de référence. Conformément à cet article, la Commission est habilitée à adopter des actes délégués à la lumière de nouvelles données scientifiques. La Commission évalue actuellement de nouvelles données scientifiques concernant l’utilisation des phosphonates en tant que biostimulants des végétaux. Aucune décision n’a encore été prise quant à l’adoption d’un acte délégué, compte tenu des implications possibles sur les limites maximales de résidus dans les denrées alimentaires et les aliments pour animaux. De nouvelles avancées scientifiques pourraient nécessiter un acte délégué conformément à l’article </w:t>
      </w:r>
      <w:r w:rsidRPr="00650049">
        <w:rPr>
          <w:rFonts w:ascii="Times New Roman" w:hAnsi="Times New Roman"/>
          <w:noProof/>
        </w:rPr>
        <w:t>42</w:t>
      </w:r>
      <w:r>
        <w:rPr>
          <w:rFonts w:ascii="Times New Roman" w:hAnsi="Times New Roman"/>
          <w:noProof/>
        </w:rPr>
        <w:t>, paragraphe </w:t>
      </w:r>
      <w:r w:rsidRPr="00650049">
        <w:rPr>
          <w:rFonts w:ascii="Times New Roman" w:hAnsi="Times New Roman"/>
          <w:noProof/>
        </w:rPr>
        <w:t>8</w:t>
      </w:r>
      <w:r>
        <w:rPr>
          <w:rFonts w:ascii="Times New Roman" w:hAnsi="Times New Roman"/>
          <w:noProof/>
        </w:rPr>
        <w:t>. Par conséquent, cette délégation de pouvoirs est toujours nécessaire.</w:t>
      </w:r>
    </w:p>
    <w:p w14:paraId="57286ACC" w14:textId="4A77F484" w:rsidR="00EA7FE8" w:rsidRPr="00F87CA5" w:rsidRDefault="00EA7FE8" w:rsidP="00EA7FE8">
      <w:pPr>
        <w:spacing w:before="120" w:after="120"/>
        <w:ind w:firstLine="720"/>
        <w:jc w:val="both"/>
        <w:rPr>
          <w:rFonts w:ascii="Times New Roman" w:hAnsi="Times New Roman" w:cs="Times New Roman"/>
          <w:b/>
          <w:bCs/>
          <w:noProof/>
        </w:rPr>
      </w:pPr>
      <w:r w:rsidRPr="00650049">
        <w:rPr>
          <w:rFonts w:ascii="Times New Roman" w:hAnsi="Times New Roman"/>
          <w:b/>
          <w:noProof/>
        </w:rPr>
        <w:t>3</w:t>
      </w:r>
      <w:r>
        <w:rPr>
          <w:rFonts w:ascii="Times New Roman" w:hAnsi="Times New Roman"/>
          <w:b/>
          <w:noProof/>
        </w:rPr>
        <w:t>.</w:t>
      </w:r>
      <w:r w:rsidRPr="00650049">
        <w:rPr>
          <w:rFonts w:ascii="Times New Roman" w:hAnsi="Times New Roman"/>
          <w:b/>
          <w:noProof/>
        </w:rPr>
        <w:t>3</w:t>
      </w:r>
      <w:r>
        <w:rPr>
          <w:noProof/>
        </w:rPr>
        <w:tab/>
      </w:r>
      <w:r>
        <w:rPr>
          <w:rFonts w:ascii="Times New Roman" w:hAnsi="Times New Roman"/>
          <w:b/>
          <w:noProof/>
        </w:rPr>
        <w:t>Développements futurs</w:t>
      </w:r>
    </w:p>
    <w:p w14:paraId="5F9B9393" w14:textId="20CF4CAC" w:rsidR="003704B7" w:rsidRPr="002E01DE" w:rsidRDefault="00EA7FE8" w:rsidP="003704B7">
      <w:pPr>
        <w:spacing w:before="120" w:after="120"/>
        <w:jc w:val="both"/>
        <w:rPr>
          <w:rFonts w:ascii="Times New Roman" w:hAnsi="Times New Roman" w:cs="Times New Roman"/>
          <w:noProof/>
        </w:rPr>
      </w:pPr>
      <w:r>
        <w:rPr>
          <w:rFonts w:ascii="Times New Roman" w:hAnsi="Times New Roman"/>
          <w:noProof/>
        </w:rPr>
        <w:t xml:space="preserve">La Commission évalue actuellement diverses adaptations au progrès technique du règlement (UE) </w:t>
      </w:r>
      <w:r w:rsidRPr="00650049">
        <w:rPr>
          <w:rFonts w:ascii="Times New Roman" w:hAnsi="Times New Roman"/>
          <w:noProof/>
        </w:rPr>
        <w:t>2019</w:t>
      </w:r>
      <w:r>
        <w:rPr>
          <w:rFonts w:ascii="Times New Roman" w:hAnsi="Times New Roman"/>
          <w:noProof/>
        </w:rPr>
        <w:t>/</w:t>
      </w:r>
      <w:r w:rsidRPr="00650049">
        <w:rPr>
          <w:rFonts w:ascii="Times New Roman" w:hAnsi="Times New Roman"/>
          <w:noProof/>
        </w:rPr>
        <w:t>1009</w:t>
      </w:r>
      <w:r>
        <w:rPr>
          <w:rFonts w:ascii="Times New Roman" w:hAnsi="Times New Roman"/>
          <w:noProof/>
        </w:rPr>
        <w:t>, afin d’offrir de nouvelles possibilités à l’économie circulaire dans ce secteur. Ses travaux portent en particulier sur la possibilité d’adopter des règlements délégués sur la base de l’article </w:t>
      </w:r>
      <w:r w:rsidRPr="00650049">
        <w:rPr>
          <w:rFonts w:ascii="Times New Roman" w:hAnsi="Times New Roman"/>
          <w:noProof/>
        </w:rPr>
        <w:t>42</w:t>
      </w:r>
      <w:r>
        <w:rPr>
          <w:rFonts w:ascii="Times New Roman" w:hAnsi="Times New Roman"/>
          <w:noProof/>
        </w:rPr>
        <w:t>, paragraphe </w:t>
      </w:r>
      <w:r w:rsidRPr="00650049">
        <w:rPr>
          <w:rFonts w:ascii="Times New Roman" w:hAnsi="Times New Roman"/>
          <w:noProof/>
        </w:rPr>
        <w:t>1</w:t>
      </w:r>
      <w:r>
        <w:rPr>
          <w:rFonts w:ascii="Times New Roman" w:hAnsi="Times New Roman"/>
          <w:noProof/>
        </w:rPr>
        <w:t>, dans les conditions prévues aux paragraphes </w:t>
      </w:r>
      <w:r w:rsidRPr="00650049">
        <w:rPr>
          <w:rFonts w:ascii="Times New Roman" w:hAnsi="Times New Roman"/>
          <w:noProof/>
        </w:rPr>
        <w:t>4</w:t>
      </w:r>
      <w:r>
        <w:rPr>
          <w:rFonts w:ascii="Times New Roman" w:hAnsi="Times New Roman"/>
          <w:noProof/>
        </w:rPr>
        <w:t xml:space="preserve">, </w:t>
      </w:r>
      <w:r w:rsidRPr="00650049">
        <w:rPr>
          <w:rFonts w:ascii="Times New Roman" w:hAnsi="Times New Roman"/>
          <w:noProof/>
        </w:rPr>
        <w:t>5</w:t>
      </w:r>
      <w:r>
        <w:rPr>
          <w:rFonts w:ascii="Times New Roman" w:hAnsi="Times New Roman"/>
          <w:noProof/>
        </w:rPr>
        <w:t xml:space="preserve"> et </w:t>
      </w:r>
      <w:r w:rsidRPr="00650049">
        <w:rPr>
          <w:rFonts w:ascii="Times New Roman" w:hAnsi="Times New Roman"/>
          <w:noProof/>
        </w:rPr>
        <w:t>6</w:t>
      </w:r>
      <w:r>
        <w:rPr>
          <w:rFonts w:ascii="Times New Roman" w:hAnsi="Times New Roman"/>
          <w:noProof/>
        </w:rPr>
        <w:t xml:space="preserve"> du même article. Plus précisément:</w:t>
      </w:r>
    </w:p>
    <w:p w14:paraId="46BDDEF0" w14:textId="258D0622" w:rsidR="002E01DE" w:rsidRPr="002E01DE" w:rsidRDefault="002E01DE" w:rsidP="00F65ABE">
      <w:pPr>
        <w:numPr>
          <w:ilvl w:val="0"/>
          <w:numId w:val="2"/>
        </w:numPr>
        <w:spacing w:before="120" w:after="120"/>
        <w:jc w:val="both"/>
        <w:rPr>
          <w:rFonts w:ascii="Times New Roman" w:hAnsi="Times New Roman" w:cs="Times New Roman"/>
          <w:noProof/>
        </w:rPr>
      </w:pPr>
      <w:r>
        <w:rPr>
          <w:rFonts w:ascii="Times New Roman" w:hAnsi="Times New Roman"/>
          <w:noProof/>
        </w:rPr>
        <w:t>Article </w:t>
      </w:r>
      <w:r w:rsidRPr="00650049">
        <w:rPr>
          <w:rFonts w:ascii="Times New Roman" w:hAnsi="Times New Roman"/>
          <w:noProof/>
        </w:rPr>
        <w:t>42</w:t>
      </w:r>
      <w:r>
        <w:rPr>
          <w:rFonts w:ascii="Times New Roman" w:hAnsi="Times New Roman"/>
          <w:noProof/>
        </w:rPr>
        <w:t>, paragraphe </w:t>
      </w:r>
      <w:r w:rsidRPr="00650049">
        <w:rPr>
          <w:rFonts w:ascii="Times New Roman" w:hAnsi="Times New Roman"/>
          <w:noProof/>
        </w:rPr>
        <w:t>4</w:t>
      </w:r>
      <w:r>
        <w:rPr>
          <w:rFonts w:ascii="Times New Roman" w:hAnsi="Times New Roman"/>
          <w:noProof/>
        </w:rPr>
        <w:t xml:space="preserve"> — micro-organismes</w:t>
      </w:r>
    </w:p>
    <w:p w14:paraId="7D1E7CF1" w14:textId="673939EF" w:rsidR="002E01DE" w:rsidRPr="002E01DE" w:rsidRDefault="00CC5B99" w:rsidP="00F65ABE">
      <w:pPr>
        <w:spacing w:before="120" w:after="120"/>
        <w:jc w:val="both"/>
        <w:rPr>
          <w:rFonts w:ascii="Times New Roman" w:hAnsi="Times New Roman" w:cs="Times New Roman"/>
          <w:noProof/>
        </w:rPr>
      </w:pPr>
      <w:r>
        <w:rPr>
          <w:rFonts w:ascii="Times New Roman" w:hAnsi="Times New Roman"/>
          <w:noProof/>
        </w:rPr>
        <w:t>La Commission évalue actuellement certains micro-organismes afin de déterminer s’ils sont sûrs et pourraient donc être inclus dans le champ d’application des règles d’harmonisation, conformément à l’article </w:t>
      </w:r>
      <w:r w:rsidRPr="00650049">
        <w:rPr>
          <w:rFonts w:ascii="Times New Roman" w:hAnsi="Times New Roman"/>
          <w:noProof/>
        </w:rPr>
        <w:t>42</w:t>
      </w:r>
      <w:r>
        <w:rPr>
          <w:rFonts w:ascii="Times New Roman" w:hAnsi="Times New Roman"/>
          <w:noProof/>
        </w:rPr>
        <w:t>, paragraphes </w:t>
      </w:r>
      <w:r w:rsidRPr="00650049">
        <w:rPr>
          <w:rFonts w:ascii="Times New Roman" w:hAnsi="Times New Roman"/>
          <w:noProof/>
        </w:rPr>
        <w:t>1</w:t>
      </w:r>
      <w:r>
        <w:rPr>
          <w:rFonts w:ascii="Times New Roman" w:hAnsi="Times New Roman"/>
          <w:noProof/>
        </w:rPr>
        <w:t xml:space="preserve"> et </w:t>
      </w:r>
      <w:r w:rsidRPr="00650049">
        <w:rPr>
          <w:rFonts w:ascii="Times New Roman" w:hAnsi="Times New Roman"/>
          <w:noProof/>
        </w:rPr>
        <w:t>4</w:t>
      </w:r>
      <w:r>
        <w:rPr>
          <w:rFonts w:ascii="Times New Roman" w:hAnsi="Times New Roman"/>
          <w:noProof/>
        </w:rPr>
        <w:t xml:space="preserve">, du règlement (UE) </w:t>
      </w:r>
      <w:r w:rsidRPr="00650049">
        <w:rPr>
          <w:rFonts w:ascii="Times New Roman" w:hAnsi="Times New Roman"/>
          <w:noProof/>
        </w:rPr>
        <w:t>2019</w:t>
      </w:r>
      <w:r>
        <w:rPr>
          <w:rFonts w:ascii="Times New Roman" w:hAnsi="Times New Roman"/>
          <w:noProof/>
        </w:rPr>
        <w:t>/</w:t>
      </w:r>
      <w:r w:rsidRPr="00650049">
        <w:rPr>
          <w:rFonts w:ascii="Times New Roman" w:hAnsi="Times New Roman"/>
          <w:noProof/>
        </w:rPr>
        <w:t>1009</w:t>
      </w:r>
      <w:r>
        <w:rPr>
          <w:rFonts w:ascii="Times New Roman" w:hAnsi="Times New Roman"/>
          <w:noProof/>
        </w:rPr>
        <w:t xml:space="preserve">. </w:t>
      </w:r>
    </w:p>
    <w:p w14:paraId="0993D9D0" w14:textId="68F339E9" w:rsidR="002E01DE" w:rsidRPr="002E01DE" w:rsidRDefault="002E01DE" w:rsidP="00F65ABE">
      <w:pPr>
        <w:numPr>
          <w:ilvl w:val="0"/>
          <w:numId w:val="2"/>
        </w:numPr>
        <w:spacing w:before="120" w:after="120"/>
        <w:jc w:val="both"/>
        <w:rPr>
          <w:rFonts w:ascii="Times New Roman" w:hAnsi="Times New Roman" w:cs="Times New Roman"/>
          <w:noProof/>
        </w:rPr>
      </w:pPr>
      <w:r>
        <w:rPr>
          <w:rFonts w:ascii="Times New Roman" w:hAnsi="Times New Roman"/>
          <w:noProof/>
        </w:rPr>
        <w:t>Article </w:t>
      </w:r>
      <w:r w:rsidRPr="00650049">
        <w:rPr>
          <w:rFonts w:ascii="Times New Roman" w:hAnsi="Times New Roman"/>
          <w:noProof/>
        </w:rPr>
        <w:t>42</w:t>
      </w:r>
      <w:r>
        <w:rPr>
          <w:rFonts w:ascii="Times New Roman" w:hAnsi="Times New Roman"/>
          <w:noProof/>
        </w:rPr>
        <w:t>, paragraphe </w:t>
      </w:r>
      <w:r w:rsidRPr="00650049">
        <w:rPr>
          <w:rFonts w:ascii="Times New Roman" w:hAnsi="Times New Roman"/>
          <w:noProof/>
        </w:rPr>
        <w:t>5</w:t>
      </w:r>
      <w:r>
        <w:rPr>
          <w:rFonts w:ascii="Times New Roman" w:hAnsi="Times New Roman"/>
          <w:noProof/>
        </w:rPr>
        <w:t xml:space="preserve"> — produits dérivés de sous-produits animaux</w:t>
      </w:r>
    </w:p>
    <w:p w14:paraId="0E602C75" w14:textId="3ACF206F" w:rsidR="002E01DE" w:rsidRPr="002E01DE" w:rsidRDefault="002E01DE" w:rsidP="00F65ABE">
      <w:pPr>
        <w:spacing w:before="120" w:after="120"/>
        <w:jc w:val="both"/>
        <w:rPr>
          <w:rFonts w:ascii="Times New Roman" w:hAnsi="Times New Roman" w:cs="Times New Roman"/>
          <w:noProof/>
        </w:rPr>
      </w:pPr>
      <w:r>
        <w:rPr>
          <w:rFonts w:ascii="Times New Roman" w:hAnsi="Times New Roman"/>
          <w:noProof/>
        </w:rPr>
        <w:t xml:space="preserve">La Commission a adopté le règlement délégué (UE) </w:t>
      </w:r>
      <w:r w:rsidRPr="00650049">
        <w:rPr>
          <w:rFonts w:ascii="Times New Roman" w:hAnsi="Times New Roman"/>
          <w:noProof/>
        </w:rPr>
        <w:t>2023</w:t>
      </w:r>
      <w:r>
        <w:rPr>
          <w:rFonts w:ascii="Times New Roman" w:hAnsi="Times New Roman"/>
          <w:noProof/>
        </w:rPr>
        <w:t>/</w:t>
      </w:r>
      <w:r w:rsidRPr="00650049">
        <w:rPr>
          <w:rFonts w:ascii="Times New Roman" w:hAnsi="Times New Roman"/>
          <w:noProof/>
        </w:rPr>
        <w:t>1605</w:t>
      </w:r>
      <w:r>
        <w:rPr>
          <w:rFonts w:ascii="Times New Roman" w:hAnsi="Times New Roman"/>
          <w:noProof/>
        </w:rPr>
        <w:t xml:space="preserve"> du </w:t>
      </w:r>
      <w:r w:rsidRPr="00650049">
        <w:rPr>
          <w:rFonts w:ascii="Times New Roman" w:hAnsi="Times New Roman"/>
          <w:noProof/>
        </w:rPr>
        <w:t>22</w:t>
      </w:r>
      <w:r>
        <w:rPr>
          <w:rFonts w:ascii="Times New Roman" w:hAnsi="Times New Roman"/>
          <w:noProof/>
        </w:rPr>
        <w:t xml:space="preserve"> mai </w:t>
      </w:r>
      <w:r w:rsidRPr="00650049">
        <w:rPr>
          <w:rFonts w:ascii="Times New Roman" w:hAnsi="Times New Roman"/>
          <w:noProof/>
        </w:rPr>
        <w:t>2023</w:t>
      </w:r>
      <w:r>
        <w:rPr>
          <w:rFonts w:ascii="Times New Roman" w:hAnsi="Times New Roman"/>
          <w:noProof/>
        </w:rPr>
        <w:t xml:space="preserve"> complétant le règlement (CE) nº </w:t>
      </w:r>
      <w:r w:rsidRPr="00650049">
        <w:rPr>
          <w:rFonts w:ascii="Times New Roman" w:hAnsi="Times New Roman"/>
          <w:noProof/>
        </w:rPr>
        <w:t>1069</w:t>
      </w:r>
      <w:r>
        <w:rPr>
          <w:rFonts w:ascii="Times New Roman" w:hAnsi="Times New Roman"/>
          <w:noProof/>
        </w:rPr>
        <w:t>/</w:t>
      </w:r>
      <w:r w:rsidRPr="00650049">
        <w:rPr>
          <w:rFonts w:ascii="Times New Roman" w:hAnsi="Times New Roman"/>
          <w:noProof/>
        </w:rPr>
        <w:t>2009</w:t>
      </w:r>
      <w:r>
        <w:rPr>
          <w:rFonts w:ascii="Times New Roman" w:hAnsi="Times New Roman"/>
          <w:noProof/>
        </w:rPr>
        <w:t xml:space="preserve"> du Parlement européen et du Conseil en ce qui concerne la détermination des points finaux de la chaîne de fabrication pour certains engrais organiques et amendements</w:t>
      </w:r>
      <w:r>
        <w:rPr>
          <w:rStyle w:val="FootnoteReference"/>
          <w:rFonts w:ascii="Times New Roman" w:hAnsi="Times New Roman" w:cs="Times New Roman"/>
          <w:noProof/>
          <w:lang w:val="en-GB"/>
        </w:rPr>
        <w:footnoteReference w:id="16"/>
      </w:r>
      <w:r>
        <w:rPr>
          <w:rFonts w:ascii="Times New Roman" w:hAnsi="Times New Roman"/>
          <w:noProof/>
        </w:rPr>
        <w:t>. La Commission évalue actuellement ces produits dérivés quant aux aspects pertinents qui ne sont pas pris en compte aux fins de déterminer un point final dans la chaîne de fabrication, dans les conditions fixées à l’article </w:t>
      </w:r>
      <w:r w:rsidRPr="00650049">
        <w:rPr>
          <w:rFonts w:ascii="Times New Roman" w:hAnsi="Times New Roman"/>
          <w:noProof/>
        </w:rPr>
        <w:t>42</w:t>
      </w:r>
      <w:r>
        <w:rPr>
          <w:rFonts w:ascii="Times New Roman" w:hAnsi="Times New Roman"/>
          <w:noProof/>
        </w:rPr>
        <w:t>, paragraphe </w:t>
      </w:r>
      <w:r w:rsidRPr="00650049">
        <w:rPr>
          <w:rFonts w:ascii="Times New Roman" w:hAnsi="Times New Roman"/>
          <w:noProof/>
        </w:rPr>
        <w:t>5</w:t>
      </w:r>
      <w:r>
        <w:rPr>
          <w:rFonts w:ascii="Times New Roman" w:hAnsi="Times New Roman"/>
          <w:noProof/>
        </w:rPr>
        <w:t xml:space="preserve">. Un premier acte délégué concernant le lisier transformé doit être adopté d’ici fin </w:t>
      </w:r>
      <w:r w:rsidRPr="00650049">
        <w:rPr>
          <w:rFonts w:ascii="Times New Roman" w:hAnsi="Times New Roman"/>
          <w:noProof/>
        </w:rPr>
        <w:t>2023</w:t>
      </w:r>
      <w:r>
        <w:rPr>
          <w:rFonts w:ascii="Times New Roman" w:hAnsi="Times New Roman"/>
          <w:noProof/>
        </w:rPr>
        <w:t xml:space="preserve">. </w:t>
      </w:r>
    </w:p>
    <w:p w14:paraId="112D7B81" w14:textId="29DE5551" w:rsidR="002E01DE" w:rsidRPr="002E01DE" w:rsidRDefault="002E01DE" w:rsidP="00F65ABE">
      <w:pPr>
        <w:numPr>
          <w:ilvl w:val="0"/>
          <w:numId w:val="2"/>
        </w:numPr>
        <w:spacing w:before="120" w:after="120"/>
        <w:jc w:val="both"/>
        <w:rPr>
          <w:rFonts w:ascii="Times New Roman" w:hAnsi="Times New Roman" w:cs="Times New Roman"/>
          <w:noProof/>
        </w:rPr>
      </w:pPr>
      <w:r>
        <w:rPr>
          <w:rFonts w:ascii="Times New Roman" w:hAnsi="Times New Roman"/>
          <w:noProof/>
        </w:rPr>
        <w:t>Article </w:t>
      </w:r>
      <w:r w:rsidRPr="00650049">
        <w:rPr>
          <w:rFonts w:ascii="Times New Roman" w:hAnsi="Times New Roman"/>
          <w:noProof/>
        </w:rPr>
        <w:t>42</w:t>
      </w:r>
      <w:r>
        <w:rPr>
          <w:rFonts w:ascii="Times New Roman" w:hAnsi="Times New Roman"/>
          <w:noProof/>
        </w:rPr>
        <w:t>, paragraphe </w:t>
      </w:r>
      <w:r w:rsidRPr="00650049">
        <w:rPr>
          <w:rFonts w:ascii="Times New Roman" w:hAnsi="Times New Roman"/>
          <w:noProof/>
        </w:rPr>
        <w:t>6</w:t>
      </w:r>
      <w:r>
        <w:rPr>
          <w:rFonts w:ascii="Times New Roman" w:hAnsi="Times New Roman"/>
          <w:noProof/>
        </w:rPr>
        <w:t xml:space="preserve"> — critères de biodégradabilité pour certains polymères </w:t>
      </w:r>
    </w:p>
    <w:p w14:paraId="6F6C8C27" w14:textId="3D7DE76A" w:rsidR="00F65ABE" w:rsidRPr="002E01DE" w:rsidRDefault="00FE0361" w:rsidP="00F65ABE">
      <w:pPr>
        <w:spacing w:before="120" w:after="120"/>
        <w:jc w:val="both"/>
        <w:rPr>
          <w:rFonts w:ascii="Times New Roman" w:hAnsi="Times New Roman" w:cs="Times New Roman"/>
          <w:noProof/>
        </w:rPr>
      </w:pPr>
      <w:r>
        <w:rPr>
          <w:rFonts w:ascii="Times New Roman" w:hAnsi="Times New Roman"/>
          <w:noProof/>
        </w:rPr>
        <w:t>La Commission évalue actuellement la possibilité d’établir des critères de biodégradabilité pour les polymères visés au point </w:t>
      </w:r>
      <w:r w:rsidRPr="00650049">
        <w:rPr>
          <w:rFonts w:ascii="Times New Roman" w:hAnsi="Times New Roman"/>
          <w:noProof/>
        </w:rPr>
        <w:t>2</w:t>
      </w:r>
      <w:r>
        <w:rPr>
          <w:rFonts w:ascii="Times New Roman" w:hAnsi="Times New Roman"/>
          <w:noProof/>
        </w:rPr>
        <w:t xml:space="preserve"> de la catégorie de matières constitutives </w:t>
      </w:r>
      <w:r w:rsidRPr="00650049">
        <w:rPr>
          <w:rFonts w:ascii="Times New Roman" w:hAnsi="Times New Roman"/>
          <w:noProof/>
        </w:rPr>
        <w:t>9</w:t>
      </w:r>
      <w:r>
        <w:rPr>
          <w:rFonts w:ascii="Times New Roman" w:hAnsi="Times New Roman"/>
          <w:noProof/>
        </w:rPr>
        <w:t xml:space="preserve"> dans la partie II de l’annexe II, du règlement (UE) </w:t>
      </w:r>
      <w:r w:rsidRPr="00650049">
        <w:rPr>
          <w:rFonts w:ascii="Times New Roman" w:hAnsi="Times New Roman"/>
          <w:noProof/>
        </w:rPr>
        <w:t>2019</w:t>
      </w:r>
      <w:r>
        <w:rPr>
          <w:rFonts w:ascii="Times New Roman" w:hAnsi="Times New Roman"/>
          <w:noProof/>
        </w:rPr>
        <w:t>/</w:t>
      </w:r>
      <w:r w:rsidRPr="00650049">
        <w:rPr>
          <w:rFonts w:ascii="Times New Roman" w:hAnsi="Times New Roman"/>
          <w:noProof/>
        </w:rPr>
        <w:t>1009</w:t>
      </w:r>
      <w:r>
        <w:rPr>
          <w:rFonts w:ascii="Times New Roman" w:hAnsi="Times New Roman"/>
          <w:noProof/>
        </w:rPr>
        <w:t xml:space="preserve"> et des méthodes d’essai pour vérifier la conformité à ces critères. </w:t>
      </w:r>
    </w:p>
    <w:p w14:paraId="04AF1979" w14:textId="77777777" w:rsidR="002E01DE" w:rsidRPr="002E01DE" w:rsidRDefault="002E01DE" w:rsidP="00F938A7">
      <w:pPr>
        <w:pStyle w:val="Heading1"/>
        <w:numPr>
          <w:ilvl w:val="0"/>
          <w:numId w:val="7"/>
        </w:numPr>
        <w:spacing w:before="120" w:after="120"/>
        <w:ind w:hanging="363"/>
        <w:rPr>
          <w:rFonts w:cs="Times New Roman"/>
          <w:noProof/>
        </w:rPr>
      </w:pPr>
      <w:r>
        <w:rPr>
          <w:noProof/>
        </w:rPr>
        <w:t>CONCLUSION</w:t>
      </w:r>
    </w:p>
    <w:p w14:paraId="2B80D73A" w14:textId="21AFB523" w:rsidR="00681DC9" w:rsidRDefault="004507E2" w:rsidP="00F65ABE">
      <w:pPr>
        <w:spacing w:before="120" w:after="120"/>
        <w:jc w:val="both"/>
        <w:rPr>
          <w:rFonts w:ascii="Times New Roman" w:hAnsi="Times New Roman" w:cs="Times New Roman"/>
          <w:noProof/>
        </w:rPr>
      </w:pPr>
      <w:r>
        <w:rPr>
          <w:rFonts w:ascii="Times New Roman" w:hAnsi="Times New Roman"/>
          <w:noProof/>
        </w:rPr>
        <w:t xml:space="preserve">Se fondant sur les délégations de pouvoirs prévues par le règlement (UE) </w:t>
      </w:r>
      <w:r w:rsidRPr="00650049">
        <w:rPr>
          <w:rFonts w:ascii="Times New Roman" w:hAnsi="Times New Roman"/>
          <w:noProof/>
        </w:rPr>
        <w:t>2019</w:t>
      </w:r>
      <w:r>
        <w:rPr>
          <w:rFonts w:ascii="Times New Roman" w:hAnsi="Times New Roman"/>
          <w:noProof/>
        </w:rPr>
        <w:t>/</w:t>
      </w:r>
      <w:r w:rsidRPr="00650049">
        <w:rPr>
          <w:rFonts w:ascii="Times New Roman" w:hAnsi="Times New Roman"/>
          <w:noProof/>
        </w:rPr>
        <w:t>1009</w:t>
      </w:r>
      <w:r>
        <w:rPr>
          <w:rFonts w:ascii="Times New Roman" w:hAnsi="Times New Roman"/>
          <w:noProof/>
        </w:rPr>
        <w:t>, la Commission a facilité le commerce des fertilisants sur le marché intérieur et a encouragé des alternatives vertes et circulaires aux fertilisants produits à partir de gaz naturel ou d’autres matières obtenues par extraction. Cet aspect revêt une importance particulière pour garantir la disponibilité et le caractère abordable des engrais</w:t>
      </w:r>
      <w:r>
        <w:rPr>
          <w:rStyle w:val="FootnoteReference"/>
          <w:rFonts w:ascii="Times New Roman" w:hAnsi="Times New Roman" w:cs="Times New Roman"/>
          <w:noProof/>
          <w:lang w:val="en-GB"/>
        </w:rPr>
        <w:footnoteReference w:id="17"/>
      </w:r>
      <w:r>
        <w:rPr>
          <w:rFonts w:ascii="Times New Roman" w:hAnsi="Times New Roman"/>
          <w:noProof/>
        </w:rPr>
        <w:t xml:space="preserve">. </w:t>
      </w:r>
    </w:p>
    <w:p w14:paraId="5D22F586" w14:textId="4FC09E2C" w:rsidR="00654084" w:rsidRDefault="002E01DE" w:rsidP="00F65ABE">
      <w:pPr>
        <w:spacing w:before="120" w:after="120"/>
        <w:jc w:val="both"/>
        <w:rPr>
          <w:rFonts w:ascii="Times New Roman" w:hAnsi="Times New Roman" w:cs="Times New Roman"/>
          <w:noProof/>
        </w:rPr>
      </w:pPr>
      <w:r>
        <w:rPr>
          <w:rFonts w:ascii="Times New Roman" w:hAnsi="Times New Roman"/>
          <w:noProof/>
        </w:rPr>
        <w:t>La Commission estime qu’il est nécessaire de proroger la délégation de pouvoir prévue à l’article </w:t>
      </w:r>
      <w:r w:rsidRPr="00650049">
        <w:rPr>
          <w:rFonts w:ascii="Times New Roman" w:hAnsi="Times New Roman"/>
          <w:noProof/>
        </w:rPr>
        <w:t>42</w:t>
      </w:r>
      <w:r>
        <w:rPr>
          <w:rFonts w:ascii="Times New Roman" w:hAnsi="Times New Roman"/>
          <w:noProof/>
        </w:rPr>
        <w:t xml:space="preserve"> du règlement (UE) </w:t>
      </w:r>
      <w:r w:rsidRPr="00650049">
        <w:rPr>
          <w:rFonts w:ascii="Times New Roman" w:hAnsi="Times New Roman"/>
          <w:noProof/>
        </w:rPr>
        <w:t>2019</w:t>
      </w:r>
      <w:r>
        <w:rPr>
          <w:rFonts w:ascii="Times New Roman" w:hAnsi="Times New Roman"/>
          <w:noProof/>
        </w:rPr>
        <w:t>/</w:t>
      </w:r>
      <w:r w:rsidRPr="00650049">
        <w:rPr>
          <w:rFonts w:ascii="Times New Roman" w:hAnsi="Times New Roman"/>
          <w:noProof/>
        </w:rPr>
        <w:t>1009</w:t>
      </w:r>
      <w:r>
        <w:rPr>
          <w:rFonts w:ascii="Times New Roman" w:hAnsi="Times New Roman"/>
          <w:noProof/>
        </w:rPr>
        <w:t xml:space="preserve"> pour une période de cinq ans, conformément à l’article </w:t>
      </w:r>
      <w:r w:rsidRPr="00650049">
        <w:rPr>
          <w:rFonts w:ascii="Times New Roman" w:hAnsi="Times New Roman"/>
          <w:noProof/>
        </w:rPr>
        <w:t>44</w:t>
      </w:r>
      <w:r>
        <w:rPr>
          <w:rFonts w:ascii="Times New Roman" w:hAnsi="Times New Roman"/>
          <w:noProof/>
        </w:rPr>
        <w:t>, paragraphe </w:t>
      </w:r>
      <w:r w:rsidRPr="00650049">
        <w:rPr>
          <w:rFonts w:ascii="Times New Roman" w:hAnsi="Times New Roman"/>
          <w:noProof/>
        </w:rPr>
        <w:t>2</w:t>
      </w:r>
      <w:r>
        <w:rPr>
          <w:rFonts w:ascii="Times New Roman" w:hAnsi="Times New Roman"/>
          <w:noProof/>
        </w:rPr>
        <w:t xml:space="preserve">. </w:t>
      </w:r>
    </w:p>
    <w:p w14:paraId="20FB8BBA" w14:textId="62F3F6CF" w:rsidR="002E01DE" w:rsidRPr="002E01DE" w:rsidRDefault="002E01DE" w:rsidP="00F65ABE">
      <w:pPr>
        <w:spacing w:before="120" w:after="120"/>
        <w:jc w:val="both"/>
        <w:rPr>
          <w:rFonts w:ascii="Times New Roman" w:hAnsi="Times New Roman" w:cs="Times New Roman"/>
          <w:noProof/>
        </w:rPr>
      </w:pPr>
      <w:r>
        <w:rPr>
          <w:rFonts w:ascii="Times New Roman" w:hAnsi="Times New Roman"/>
          <w:noProof/>
        </w:rPr>
        <w:t xml:space="preserve">Il importera en particulier de donner au cadre juridique la souplesse qui permette de le compléter et de l’adapter régulièrement aux derniers progrès techniques et aux dernières avancées scientifiques. </w:t>
      </w:r>
    </w:p>
    <w:p w14:paraId="007D81A1" w14:textId="599554F0" w:rsidR="00795A59" w:rsidRPr="002E01DE" w:rsidRDefault="002E01DE" w:rsidP="00F65ABE">
      <w:pPr>
        <w:spacing w:before="120" w:after="120"/>
        <w:jc w:val="both"/>
        <w:rPr>
          <w:rFonts w:ascii="Times New Roman" w:hAnsi="Times New Roman" w:cs="Times New Roman"/>
          <w:noProof/>
        </w:rPr>
      </w:pPr>
      <w:r>
        <w:rPr>
          <w:rFonts w:ascii="Times New Roman" w:hAnsi="Times New Roman"/>
          <w:noProof/>
        </w:rPr>
        <w:t>La Commission invite le Parlement européen et le Conseil à prendre acte du présent rapport.</w:t>
      </w:r>
    </w:p>
    <w:sectPr w:rsidR="00795A59" w:rsidRPr="002E01DE" w:rsidSect="002E01DE">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ABCFB" w14:textId="77777777" w:rsidR="0038219B" w:rsidRDefault="0038219B" w:rsidP="002E01DE">
      <w:pPr>
        <w:spacing w:after="0" w:line="240" w:lineRule="auto"/>
      </w:pPr>
      <w:r>
        <w:separator/>
      </w:r>
    </w:p>
  </w:endnote>
  <w:endnote w:type="continuationSeparator" w:id="0">
    <w:p w14:paraId="4BC1BD77" w14:textId="77777777" w:rsidR="0038219B" w:rsidRDefault="0038219B" w:rsidP="002E01DE">
      <w:pPr>
        <w:spacing w:after="0" w:line="240" w:lineRule="auto"/>
      </w:pPr>
      <w:r>
        <w:continuationSeparator/>
      </w:r>
    </w:p>
  </w:endnote>
  <w:endnote w:type="continuationNotice" w:id="1">
    <w:p w14:paraId="0A9053CF" w14:textId="77777777" w:rsidR="0038219B" w:rsidRDefault="003821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D9C14" w14:textId="6CC5BF8B" w:rsidR="00E927B4" w:rsidRPr="00274B7B" w:rsidRDefault="00E927B4" w:rsidP="00274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91692" w14:textId="3595F21D" w:rsidR="00E927B4" w:rsidRPr="00274B7B" w:rsidRDefault="00274B7B" w:rsidP="00274B7B">
    <w:pPr>
      <w:pStyle w:val="FooterCoverPage"/>
      <w:rPr>
        <w:rFonts w:ascii="Arial" w:hAnsi="Arial" w:cs="Arial"/>
        <w:b/>
        <w:sz w:val="48"/>
      </w:rPr>
    </w:pPr>
    <w:r w:rsidRPr="00274B7B">
      <w:rPr>
        <w:rFonts w:ascii="Arial" w:hAnsi="Arial" w:cs="Arial"/>
        <w:b/>
        <w:sz w:val="48"/>
      </w:rPr>
      <w:t>FR</w:t>
    </w:r>
    <w:r w:rsidRPr="00274B7B">
      <w:rPr>
        <w:rFonts w:ascii="Arial" w:hAnsi="Arial" w:cs="Arial"/>
        <w:b/>
        <w:sz w:val="48"/>
      </w:rPr>
      <w:tab/>
    </w:r>
    <w:r w:rsidRPr="00274B7B">
      <w:rPr>
        <w:rFonts w:ascii="Arial" w:hAnsi="Arial" w:cs="Arial"/>
        <w:b/>
        <w:sz w:val="48"/>
      </w:rPr>
      <w:tab/>
    </w:r>
    <w:r w:rsidRPr="00274B7B">
      <w:tab/>
    </w:r>
    <w:r w:rsidRPr="00274B7B">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CC322" w14:textId="77777777" w:rsidR="00274B7B" w:rsidRPr="00274B7B" w:rsidRDefault="00274B7B" w:rsidP="00274B7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38E6A" w14:textId="77777777" w:rsidR="002E01DE" w:rsidRDefault="002E01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169460"/>
      <w:docPartObj>
        <w:docPartGallery w:val="Page Numbers (Bottom of Page)"/>
        <w:docPartUnique/>
      </w:docPartObj>
    </w:sdtPr>
    <w:sdtEndPr>
      <w:rPr>
        <w:noProof/>
      </w:rPr>
    </w:sdtEndPr>
    <w:sdtContent>
      <w:p w14:paraId="338544A1" w14:textId="6DCCCB25" w:rsidR="00706BA9" w:rsidRDefault="00706BA9">
        <w:pPr>
          <w:pStyle w:val="Footer"/>
          <w:jc w:val="center"/>
        </w:pPr>
        <w:r>
          <w:fldChar w:fldCharType="begin"/>
        </w:r>
        <w:r>
          <w:instrText xml:space="preserve"> PAGE   \* MERGEFORMAT </w:instrText>
        </w:r>
        <w:r>
          <w:fldChar w:fldCharType="separate"/>
        </w:r>
        <w:r w:rsidR="00274B7B">
          <w:rPr>
            <w:noProof/>
          </w:rPr>
          <w:t>1</w:t>
        </w:r>
        <w:r>
          <w:fldChar w:fldCharType="end"/>
        </w:r>
      </w:p>
    </w:sdtContent>
  </w:sdt>
  <w:p w14:paraId="32084B1D" w14:textId="77777777" w:rsidR="002E01DE" w:rsidRDefault="002E01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4421F" w14:textId="77777777" w:rsidR="002E01DE" w:rsidRDefault="002E0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F829C" w14:textId="77777777" w:rsidR="0038219B" w:rsidRDefault="0038219B" w:rsidP="002E01DE">
      <w:pPr>
        <w:spacing w:after="0" w:line="240" w:lineRule="auto"/>
      </w:pPr>
      <w:r>
        <w:separator/>
      </w:r>
    </w:p>
  </w:footnote>
  <w:footnote w:type="continuationSeparator" w:id="0">
    <w:p w14:paraId="418C5B33" w14:textId="77777777" w:rsidR="0038219B" w:rsidRDefault="0038219B" w:rsidP="002E01DE">
      <w:pPr>
        <w:spacing w:after="0" w:line="240" w:lineRule="auto"/>
      </w:pPr>
      <w:r>
        <w:continuationSeparator/>
      </w:r>
    </w:p>
  </w:footnote>
  <w:footnote w:type="continuationNotice" w:id="1">
    <w:p w14:paraId="75C8D628" w14:textId="77777777" w:rsidR="0038219B" w:rsidRDefault="0038219B">
      <w:pPr>
        <w:spacing w:after="0" w:line="240" w:lineRule="auto"/>
      </w:pPr>
    </w:p>
  </w:footnote>
  <w:footnote w:id="2">
    <w:p w14:paraId="1164997D" w14:textId="77777777" w:rsidR="002E01DE" w:rsidRPr="00706BA9" w:rsidRDefault="002E01DE" w:rsidP="002E01DE">
      <w:pPr>
        <w:pStyle w:val="FootnoteText"/>
      </w:pPr>
      <w:r>
        <w:rPr>
          <w:rStyle w:val="FootnoteReference"/>
        </w:rPr>
        <w:footnoteRef/>
      </w:r>
      <w:r>
        <w:t xml:space="preserve"> JO L </w:t>
      </w:r>
      <w:r w:rsidRPr="00650049">
        <w:t>170</w:t>
      </w:r>
      <w:r>
        <w:t xml:space="preserve"> du </w:t>
      </w:r>
      <w:r w:rsidRPr="00650049">
        <w:t>25</w:t>
      </w:r>
      <w:r>
        <w:t>.</w:t>
      </w:r>
      <w:r w:rsidRPr="00650049">
        <w:t>6</w:t>
      </w:r>
      <w:r>
        <w:t>.</w:t>
      </w:r>
      <w:r w:rsidRPr="00650049">
        <w:t>2019</w:t>
      </w:r>
      <w:r>
        <w:t>, p. </w:t>
      </w:r>
      <w:r w:rsidRPr="00650049">
        <w:t>1</w:t>
      </w:r>
      <w:r>
        <w:t>.</w:t>
      </w:r>
    </w:p>
  </w:footnote>
  <w:footnote w:id="3">
    <w:p w14:paraId="33C22E6E" w14:textId="77777777" w:rsidR="002E01DE" w:rsidRPr="00706BA9" w:rsidRDefault="002E01DE" w:rsidP="002E01DE">
      <w:pPr>
        <w:pStyle w:val="FootnoteText"/>
      </w:pPr>
      <w:r>
        <w:rPr>
          <w:rStyle w:val="FootnoteReference"/>
        </w:rPr>
        <w:footnoteRef/>
      </w:r>
      <w:r>
        <w:t xml:space="preserve"> JO L </w:t>
      </w:r>
      <w:r w:rsidRPr="00650049">
        <w:t>304</w:t>
      </w:r>
      <w:r>
        <w:t xml:space="preserve"> du </w:t>
      </w:r>
      <w:r w:rsidRPr="00650049">
        <w:t>21</w:t>
      </w:r>
      <w:r>
        <w:t>.</w:t>
      </w:r>
      <w:r w:rsidRPr="00650049">
        <w:t>11</w:t>
      </w:r>
      <w:r>
        <w:t>.</w:t>
      </w:r>
      <w:r w:rsidRPr="00650049">
        <w:t>2003</w:t>
      </w:r>
      <w:r>
        <w:t>, p. </w:t>
      </w:r>
      <w:r w:rsidRPr="00650049">
        <w:t>1</w:t>
      </w:r>
      <w:r>
        <w:t xml:space="preserve">. </w:t>
      </w:r>
    </w:p>
  </w:footnote>
  <w:footnote w:id="4">
    <w:p w14:paraId="21398502" w14:textId="77777777" w:rsidR="002E01DE" w:rsidRPr="000D578C" w:rsidRDefault="002E01DE" w:rsidP="002E01DE">
      <w:pPr>
        <w:pStyle w:val="FootnoteText"/>
      </w:pPr>
      <w:r>
        <w:rPr>
          <w:rStyle w:val="FootnoteReference"/>
        </w:rPr>
        <w:footnoteRef/>
      </w:r>
      <w:r>
        <w:t xml:space="preserve"> La date limite de prise en compte, dans cette section, des actes délégués adoptés au cours de la période de référence est fixée au </w:t>
      </w:r>
      <w:r w:rsidRPr="00650049">
        <w:t>31</w:t>
      </w:r>
      <w:r>
        <w:t xml:space="preserve"> août </w:t>
      </w:r>
      <w:r w:rsidRPr="00650049">
        <w:t>2023</w:t>
      </w:r>
      <w:r>
        <w:t xml:space="preserve">. </w:t>
      </w:r>
    </w:p>
  </w:footnote>
  <w:footnote w:id="5">
    <w:p w14:paraId="36B06655" w14:textId="77777777" w:rsidR="002E01DE" w:rsidRPr="00F725D6" w:rsidRDefault="002E01DE" w:rsidP="002E01DE">
      <w:pPr>
        <w:pStyle w:val="FootnoteText"/>
      </w:pPr>
      <w:r>
        <w:rPr>
          <w:rStyle w:val="FootnoteReference"/>
        </w:rPr>
        <w:footnoteRef/>
      </w:r>
      <w:r>
        <w:t xml:space="preserve"> Les actes délégués sont énumérés dans l’ordre chronologique de leur date d’adoption.</w:t>
      </w:r>
    </w:p>
  </w:footnote>
  <w:footnote w:id="6">
    <w:p w14:paraId="2852A518" w14:textId="77777777" w:rsidR="002E01DE" w:rsidRPr="002810C8" w:rsidRDefault="002E01DE" w:rsidP="002E01DE">
      <w:pPr>
        <w:pStyle w:val="FootnoteText"/>
      </w:pPr>
      <w:r>
        <w:rPr>
          <w:rStyle w:val="FootnoteReference"/>
        </w:rPr>
        <w:footnoteRef/>
      </w:r>
      <w:r>
        <w:t xml:space="preserve"> JO L </w:t>
      </w:r>
      <w:r w:rsidRPr="00650049">
        <w:t>356</w:t>
      </w:r>
      <w:r>
        <w:t xml:space="preserve"> du </w:t>
      </w:r>
      <w:r w:rsidRPr="00650049">
        <w:t>8</w:t>
      </w:r>
      <w:r>
        <w:t>.</w:t>
      </w:r>
      <w:r w:rsidRPr="00650049">
        <w:t>10</w:t>
      </w:r>
      <w:r>
        <w:t>.</w:t>
      </w:r>
      <w:r w:rsidRPr="00650049">
        <w:t>2021</w:t>
      </w:r>
      <w:r>
        <w:t>, p. </w:t>
      </w:r>
      <w:r w:rsidRPr="00650049">
        <w:t>8</w:t>
      </w:r>
      <w:r>
        <w:t>.</w:t>
      </w:r>
    </w:p>
  </w:footnote>
  <w:footnote w:id="7">
    <w:p w14:paraId="059457DF" w14:textId="77777777" w:rsidR="002E01DE" w:rsidRPr="002810C8" w:rsidRDefault="002E01DE" w:rsidP="002E01DE">
      <w:pPr>
        <w:pStyle w:val="FootnoteText"/>
      </w:pPr>
      <w:r>
        <w:rPr>
          <w:rStyle w:val="FootnoteReference"/>
        </w:rPr>
        <w:footnoteRef/>
      </w:r>
      <w:r>
        <w:t xml:space="preserve"> JO L </w:t>
      </w:r>
      <w:r w:rsidRPr="00650049">
        <w:t>427</w:t>
      </w:r>
      <w:r>
        <w:t xml:space="preserve"> du </w:t>
      </w:r>
      <w:r w:rsidRPr="00650049">
        <w:t>30</w:t>
      </w:r>
      <w:r>
        <w:t>.</w:t>
      </w:r>
      <w:r w:rsidRPr="00650049">
        <w:t>11</w:t>
      </w:r>
      <w:r>
        <w:t>.</w:t>
      </w:r>
      <w:r w:rsidRPr="00650049">
        <w:t>2021</w:t>
      </w:r>
      <w:r>
        <w:t>, p. </w:t>
      </w:r>
      <w:r w:rsidRPr="00650049">
        <w:t>120</w:t>
      </w:r>
      <w:r>
        <w:t>.</w:t>
      </w:r>
    </w:p>
  </w:footnote>
  <w:footnote w:id="8">
    <w:p w14:paraId="26FBCACC" w14:textId="77777777" w:rsidR="002E01DE" w:rsidRPr="002810C8" w:rsidRDefault="002E01DE" w:rsidP="002E01DE">
      <w:pPr>
        <w:pStyle w:val="FootnoteText"/>
      </w:pPr>
      <w:r>
        <w:rPr>
          <w:rStyle w:val="FootnoteReference"/>
        </w:rPr>
        <w:footnoteRef/>
      </w:r>
      <w:r>
        <w:t xml:space="preserve"> JO L </w:t>
      </w:r>
      <w:r w:rsidRPr="00650049">
        <w:t>427</w:t>
      </w:r>
      <w:r>
        <w:t xml:space="preserve"> du </w:t>
      </w:r>
      <w:r w:rsidRPr="00650049">
        <w:t>30</w:t>
      </w:r>
      <w:r>
        <w:t>.</w:t>
      </w:r>
      <w:r w:rsidRPr="00650049">
        <w:t>11</w:t>
      </w:r>
      <w:r>
        <w:t>.</w:t>
      </w:r>
      <w:r w:rsidRPr="00650049">
        <w:t>2021</w:t>
      </w:r>
      <w:r>
        <w:t>, p. </w:t>
      </w:r>
      <w:r w:rsidRPr="00650049">
        <w:t>130</w:t>
      </w:r>
      <w:r>
        <w:t>.</w:t>
      </w:r>
    </w:p>
  </w:footnote>
  <w:footnote w:id="9">
    <w:p w14:paraId="249FC436" w14:textId="77777777" w:rsidR="002E01DE" w:rsidRPr="00706BA9" w:rsidRDefault="002E01DE" w:rsidP="002E01DE">
      <w:pPr>
        <w:pStyle w:val="FootnoteText"/>
      </w:pPr>
      <w:r>
        <w:rPr>
          <w:rStyle w:val="FootnoteReference"/>
        </w:rPr>
        <w:footnoteRef/>
      </w:r>
      <w:r>
        <w:t xml:space="preserve"> JO L </w:t>
      </w:r>
      <w:r w:rsidRPr="00650049">
        <w:t>427</w:t>
      </w:r>
      <w:r>
        <w:t xml:space="preserve"> du </w:t>
      </w:r>
      <w:r w:rsidRPr="00650049">
        <w:t>30</w:t>
      </w:r>
      <w:r>
        <w:t>.</w:t>
      </w:r>
      <w:r w:rsidRPr="00650049">
        <w:t>11</w:t>
      </w:r>
      <w:r>
        <w:t>.</w:t>
      </w:r>
      <w:r w:rsidRPr="00650049">
        <w:t>2021</w:t>
      </w:r>
      <w:r>
        <w:t>, p. </w:t>
      </w:r>
      <w:r w:rsidRPr="00650049">
        <w:t>140</w:t>
      </w:r>
      <w:r>
        <w:t>.</w:t>
      </w:r>
    </w:p>
  </w:footnote>
  <w:footnote w:id="10">
    <w:p w14:paraId="203705C4" w14:textId="77777777" w:rsidR="002E01DE" w:rsidRPr="00706BA9" w:rsidRDefault="002E01DE" w:rsidP="002E01DE">
      <w:pPr>
        <w:pStyle w:val="FootnoteText"/>
      </w:pPr>
      <w:r>
        <w:rPr>
          <w:rStyle w:val="FootnoteReference"/>
        </w:rPr>
        <w:footnoteRef/>
      </w:r>
      <w:r>
        <w:t xml:space="preserve"> JO L </w:t>
      </w:r>
      <w:r w:rsidRPr="00650049">
        <w:t>167</w:t>
      </w:r>
      <w:r>
        <w:t xml:space="preserve"> du </w:t>
      </w:r>
      <w:r w:rsidRPr="00650049">
        <w:t>24</w:t>
      </w:r>
      <w:r>
        <w:t>.</w:t>
      </w:r>
      <w:r w:rsidRPr="00650049">
        <w:t>6</w:t>
      </w:r>
      <w:r>
        <w:t>.</w:t>
      </w:r>
      <w:r w:rsidRPr="00650049">
        <w:t>2022</w:t>
      </w:r>
      <w:r>
        <w:t>, p. </w:t>
      </w:r>
      <w:r w:rsidRPr="00650049">
        <w:t>29</w:t>
      </w:r>
      <w:r>
        <w:t>.</w:t>
      </w:r>
    </w:p>
  </w:footnote>
  <w:footnote w:id="11">
    <w:p w14:paraId="364369E6" w14:textId="50521F24" w:rsidR="00F514F7" w:rsidRPr="003704B7" w:rsidRDefault="00F514F7" w:rsidP="004F589A">
      <w:pPr>
        <w:pStyle w:val="FootnoteText"/>
        <w:jc w:val="both"/>
      </w:pPr>
      <w:r>
        <w:rPr>
          <w:rStyle w:val="FootnoteReference"/>
        </w:rPr>
        <w:footnoteRef/>
      </w:r>
      <w:r>
        <w:t xml:space="preserve"> Dans l’affaire T-</w:t>
      </w:r>
      <w:r w:rsidRPr="00650049">
        <w:t>560</w:t>
      </w:r>
      <w:r>
        <w:t>/</w:t>
      </w:r>
      <w:r w:rsidRPr="00650049">
        <w:t>22</w:t>
      </w:r>
      <w:r>
        <w:t>, Fachverband Eisenhüttenschlacken/Commission, pendante devant le Tribunal, la partie requérante demande l’annulation d’une disposition de ce règlement délégué; l’un des moyens est tiré d’un excès ou d’un abus des pouvoirs conférés par l’article </w:t>
      </w:r>
      <w:r w:rsidRPr="00650049">
        <w:t>42</w:t>
      </w:r>
      <w:r>
        <w:t>, paragraphe </w:t>
      </w:r>
      <w:r w:rsidRPr="00650049">
        <w:t>7</w:t>
      </w:r>
      <w:r>
        <w:t xml:space="preserve">, du règlement (UE) </w:t>
      </w:r>
      <w:r w:rsidRPr="00650049">
        <w:t>2019</w:t>
      </w:r>
      <w:r>
        <w:t>/</w:t>
      </w:r>
      <w:r w:rsidRPr="00650049">
        <w:t>1009</w:t>
      </w:r>
      <w:r>
        <w:t xml:space="preserve">. La Commission considère ce moyen comme non fondé. </w:t>
      </w:r>
    </w:p>
  </w:footnote>
  <w:footnote w:id="12">
    <w:p w14:paraId="79E4E1E1" w14:textId="77777777" w:rsidR="002E01DE" w:rsidRPr="002810C8" w:rsidRDefault="002E01DE" w:rsidP="002E01DE">
      <w:pPr>
        <w:pStyle w:val="FootnoteText"/>
      </w:pPr>
      <w:r>
        <w:rPr>
          <w:rStyle w:val="FootnoteReference"/>
        </w:rPr>
        <w:footnoteRef/>
      </w:r>
      <w:r>
        <w:t xml:space="preserve"> JO L </w:t>
      </w:r>
      <w:r w:rsidRPr="00650049">
        <w:t>183</w:t>
      </w:r>
      <w:r>
        <w:t xml:space="preserve"> du </w:t>
      </w:r>
      <w:r w:rsidRPr="00650049">
        <w:t>8</w:t>
      </w:r>
      <w:r>
        <w:t>.</w:t>
      </w:r>
      <w:r w:rsidRPr="00650049">
        <w:t>7</w:t>
      </w:r>
      <w:r>
        <w:t>.</w:t>
      </w:r>
      <w:r w:rsidRPr="00650049">
        <w:t>2022</w:t>
      </w:r>
      <w:r>
        <w:t>, p. </w:t>
      </w:r>
      <w:r w:rsidRPr="00650049">
        <w:t>2</w:t>
      </w:r>
      <w:r>
        <w:t>.</w:t>
      </w:r>
    </w:p>
  </w:footnote>
  <w:footnote w:id="13">
    <w:p w14:paraId="5CBA5EFC" w14:textId="77777777" w:rsidR="002E01DE" w:rsidRPr="00706BA9" w:rsidRDefault="002E01DE" w:rsidP="002E01DE">
      <w:pPr>
        <w:pStyle w:val="FootnoteText"/>
      </w:pPr>
      <w:r>
        <w:rPr>
          <w:rStyle w:val="FootnoteReference"/>
        </w:rPr>
        <w:footnoteRef/>
      </w:r>
      <w:r>
        <w:t xml:space="preserve"> JO L </w:t>
      </w:r>
      <w:r w:rsidRPr="00650049">
        <w:t>236</w:t>
      </w:r>
      <w:r>
        <w:t xml:space="preserve"> du </w:t>
      </w:r>
      <w:r w:rsidRPr="00650049">
        <w:t>13</w:t>
      </w:r>
      <w:r>
        <w:t>.</w:t>
      </w:r>
      <w:r w:rsidRPr="00650049">
        <w:t>9</w:t>
      </w:r>
      <w:r>
        <w:t>.</w:t>
      </w:r>
      <w:r w:rsidRPr="00650049">
        <w:t>2022</w:t>
      </w:r>
      <w:r>
        <w:t>, p. </w:t>
      </w:r>
      <w:r w:rsidRPr="00650049">
        <w:t>5</w:t>
      </w:r>
      <w:r>
        <w:t>.</w:t>
      </w:r>
    </w:p>
  </w:footnote>
  <w:footnote w:id="14">
    <w:p w14:paraId="74DAD943" w14:textId="77777777" w:rsidR="002E01DE" w:rsidRPr="00706BA9" w:rsidRDefault="002E01DE" w:rsidP="002E01DE">
      <w:pPr>
        <w:pStyle w:val="FootnoteText"/>
      </w:pPr>
      <w:r>
        <w:rPr>
          <w:rStyle w:val="FootnoteReference"/>
        </w:rPr>
        <w:footnoteRef/>
      </w:r>
      <w:r>
        <w:t xml:space="preserve"> JO L </w:t>
      </w:r>
      <w:r w:rsidRPr="00650049">
        <w:t>59</w:t>
      </w:r>
      <w:r>
        <w:t xml:space="preserve"> du </w:t>
      </w:r>
      <w:r w:rsidRPr="00650049">
        <w:t>24</w:t>
      </w:r>
      <w:r>
        <w:t>.</w:t>
      </w:r>
      <w:r w:rsidRPr="00650049">
        <w:t>2</w:t>
      </w:r>
      <w:r>
        <w:t>.</w:t>
      </w:r>
      <w:r w:rsidRPr="00650049">
        <w:t>2023</w:t>
      </w:r>
      <w:r>
        <w:t>, p. </w:t>
      </w:r>
      <w:r w:rsidRPr="00650049">
        <w:t>1</w:t>
      </w:r>
      <w:r>
        <w:t>.</w:t>
      </w:r>
    </w:p>
  </w:footnote>
  <w:footnote w:id="15">
    <w:p w14:paraId="41EE06FD" w14:textId="24E3DA13" w:rsidR="0038738E" w:rsidRPr="00F73106" w:rsidRDefault="00F73106" w:rsidP="004D1D52">
      <w:pPr>
        <w:pStyle w:val="FootnoteText"/>
      </w:pPr>
      <w:r>
        <w:rPr>
          <w:rStyle w:val="FootnoteReference"/>
        </w:rPr>
        <w:footnoteRef/>
      </w:r>
      <w:r>
        <w:t xml:space="preserve"> Communication de la Commission au Parlement européen, au Conseil, au Comité économique et social européen et au Comité des régions — Une stratégie «De la ferme à la table» pour un système alimentaire équitable, sain et respectueux de l’environnement  [COM(</w:t>
      </w:r>
      <w:r w:rsidRPr="00650049">
        <w:t>2020</w:t>
      </w:r>
      <w:r>
        <w:t>) </w:t>
      </w:r>
      <w:r w:rsidRPr="00650049">
        <w:t>381</w:t>
      </w:r>
      <w:r>
        <w:t xml:space="preserve"> final du </w:t>
      </w:r>
      <w:r w:rsidRPr="00650049">
        <w:t>20</w:t>
      </w:r>
      <w:r>
        <w:t xml:space="preserve"> mai </w:t>
      </w:r>
      <w:r w:rsidRPr="00650049">
        <w:t>2020</w:t>
      </w:r>
      <w:r>
        <w:t>].</w:t>
      </w:r>
    </w:p>
  </w:footnote>
  <w:footnote w:id="16">
    <w:p w14:paraId="089E053F" w14:textId="77C20BA2" w:rsidR="003307F6" w:rsidRPr="004F589A" w:rsidRDefault="003307F6">
      <w:pPr>
        <w:pStyle w:val="FootnoteText"/>
      </w:pPr>
      <w:r>
        <w:rPr>
          <w:rStyle w:val="FootnoteReference"/>
        </w:rPr>
        <w:footnoteRef/>
      </w:r>
      <w:r>
        <w:t xml:space="preserve"> JO L </w:t>
      </w:r>
      <w:r w:rsidRPr="00650049">
        <w:t>198</w:t>
      </w:r>
      <w:r>
        <w:t xml:space="preserve"> du </w:t>
      </w:r>
      <w:r w:rsidRPr="00650049">
        <w:t>8</w:t>
      </w:r>
      <w:r>
        <w:t>.</w:t>
      </w:r>
      <w:r w:rsidRPr="00650049">
        <w:t>8</w:t>
      </w:r>
      <w:r>
        <w:t>.</w:t>
      </w:r>
      <w:r w:rsidRPr="00650049">
        <w:t>2023</w:t>
      </w:r>
      <w:r>
        <w:t>, p. </w:t>
      </w:r>
      <w:r w:rsidRPr="00650049">
        <w:t>1</w:t>
      </w:r>
      <w:r>
        <w:t xml:space="preserve">. </w:t>
      </w:r>
    </w:p>
  </w:footnote>
  <w:footnote w:id="17">
    <w:p w14:paraId="7ED8D85C" w14:textId="3CE9F45B" w:rsidR="00681DC9" w:rsidRDefault="00681DC9" w:rsidP="00681DC9">
      <w:pPr>
        <w:pStyle w:val="FootnoteText"/>
      </w:pPr>
      <w:r>
        <w:rPr>
          <w:rStyle w:val="FootnoteReference"/>
        </w:rPr>
        <w:footnoteRef/>
      </w:r>
      <w:r>
        <w:t xml:space="preserve"> Communication de la Commission au Parlement européen, au Conseil, au Comité économique et social européen et au Comité des régions du </w:t>
      </w:r>
      <w:r w:rsidRPr="00650049">
        <w:t>9</w:t>
      </w:r>
      <w:r>
        <w:t xml:space="preserve"> novembre </w:t>
      </w:r>
      <w:r w:rsidRPr="00650049">
        <w:t>2022</w:t>
      </w:r>
      <w:r>
        <w:t xml:space="preserve"> intitulée «Garantir la disponibilité et le caractère abordable des engrais» [COM(</w:t>
      </w:r>
      <w:r w:rsidRPr="00650049">
        <w:t>2022</w:t>
      </w:r>
      <w:r>
        <w:t>) </w:t>
      </w:r>
      <w:r w:rsidRPr="00650049">
        <w:t>590</w:t>
      </w:r>
      <w:r>
        <w:t xml:space="preserve"> final du </w:t>
      </w:r>
      <w:r w:rsidRPr="00650049">
        <w:t>9</w:t>
      </w:r>
      <w:r>
        <w:t xml:space="preserve"> novembre </w:t>
      </w:r>
      <w:r w:rsidRPr="00650049">
        <w:t>2022</w:t>
      </w:r>
      <w:r>
        <w:t xml:space="preserve">]. </w:t>
      </w:r>
    </w:p>
    <w:p w14:paraId="35D355C5" w14:textId="7480C786" w:rsidR="00681DC9" w:rsidRPr="00507C8F" w:rsidRDefault="00681DC9">
      <w:pPr>
        <w:pStyle w:val="FootnoteText"/>
        <w:rPr>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041F2" w14:textId="77777777" w:rsidR="00274B7B" w:rsidRPr="00274B7B" w:rsidRDefault="00274B7B" w:rsidP="00274B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CC0C8" w14:textId="77777777" w:rsidR="00274B7B" w:rsidRPr="00274B7B" w:rsidRDefault="00274B7B" w:rsidP="00274B7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517E4" w14:textId="77777777" w:rsidR="00274B7B" w:rsidRPr="00274B7B" w:rsidRDefault="00274B7B" w:rsidP="00274B7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216F9" w14:textId="77777777" w:rsidR="002E01DE" w:rsidRDefault="002E01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56372" w14:textId="77777777" w:rsidR="002E01DE" w:rsidRDefault="002E01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3EA3F" w14:textId="77777777" w:rsidR="002E01DE" w:rsidRDefault="002E0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555D2"/>
    <w:multiLevelType w:val="hybridMultilevel"/>
    <w:tmpl w:val="D62E515A"/>
    <w:lvl w:ilvl="0" w:tplc="5546BDBA">
      <w:start w:val="3"/>
      <w:numFmt w:val="decimal"/>
      <w:pStyle w:val="Heading2"/>
      <w:lvlText w:val="%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FA56582"/>
    <w:multiLevelType w:val="hybridMultilevel"/>
    <w:tmpl w:val="EFC4F8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51D34D6"/>
    <w:multiLevelType w:val="multilevel"/>
    <w:tmpl w:val="CE3EB004"/>
    <w:lvl w:ilvl="0">
      <w:start w:val="1"/>
      <w:numFmt w:val="decimal"/>
      <w:lvlText w:val="%1."/>
      <w:lvlJc w:val="left"/>
      <w:pPr>
        <w:ind w:left="1210"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30" w:hanging="108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2290" w:hanging="1440"/>
      </w:pPr>
      <w:rPr>
        <w:rFonts w:hint="default"/>
      </w:rPr>
    </w:lvl>
    <w:lvl w:ilvl="6">
      <w:start w:val="1"/>
      <w:numFmt w:val="decimal"/>
      <w:isLgl/>
      <w:lvlText w:val="%1.%2.%3.%4.%5.%6.%7."/>
      <w:lvlJc w:val="left"/>
      <w:pPr>
        <w:ind w:left="2290" w:hanging="1440"/>
      </w:pPr>
      <w:rPr>
        <w:rFonts w:hint="default"/>
      </w:rPr>
    </w:lvl>
    <w:lvl w:ilvl="7">
      <w:start w:val="1"/>
      <w:numFmt w:val="decimal"/>
      <w:isLgl/>
      <w:lvlText w:val="%1.%2.%3.%4.%5.%6.%7.%8."/>
      <w:lvlJc w:val="left"/>
      <w:pPr>
        <w:ind w:left="2650" w:hanging="1800"/>
      </w:pPr>
      <w:rPr>
        <w:rFonts w:hint="default"/>
      </w:rPr>
    </w:lvl>
    <w:lvl w:ilvl="8">
      <w:start w:val="1"/>
      <w:numFmt w:val="decimal"/>
      <w:isLgl/>
      <w:lvlText w:val="%1.%2.%3.%4.%5.%6.%7.%8.%9."/>
      <w:lvlJc w:val="left"/>
      <w:pPr>
        <w:ind w:left="3010" w:hanging="2160"/>
      </w:pPr>
      <w:rPr>
        <w:rFonts w:hint="default"/>
      </w:rPr>
    </w:lvl>
  </w:abstractNum>
  <w:abstractNum w:abstractNumId="3" w15:restartNumberingAfterBreak="0">
    <w:nsid w:val="5AE97815"/>
    <w:multiLevelType w:val="hybridMultilevel"/>
    <w:tmpl w:val="3620C9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C9A5012"/>
    <w:multiLevelType w:val="hybridMultilevel"/>
    <w:tmpl w:val="AF18982A"/>
    <w:lvl w:ilvl="0" w:tplc="1C9AA7E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242BB4"/>
    <w:multiLevelType w:val="hybridMultilevel"/>
    <w:tmpl w:val="D0F036D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0"/>
    <w:lvlOverride w:ilvl="0">
      <w:startOverride w:val="1"/>
    </w:lvlOverride>
  </w:num>
  <w:num w:numId="6">
    <w:abstractNumId w:val="5"/>
  </w:num>
  <w:num w:numId="7">
    <w:abstractNumId w:val="1"/>
  </w:num>
  <w:num w:numId="8">
    <w:abstractNumId w:val="0"/>
  </w:num>
  <w:num w:numId="9">
    <w:abstractNumId w:val="0"/>
  </w:num>
  <w:num w:numId="10">
    <w:abstractNumId w:val="0"/>
    <w:lvlOverride w:ilvl="0">
      <w:startOverride w:val="3"/>
    </w:lvlOverride>
  </w:num>
  <w:num w:numId="11">
    <w:abstractNumId w:val="0"/>
  </w:num>
  <w:num w:numId="1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21A967F9-C8DA-4A0E-9FDF-5CC4EDC2304B"/>
    <w:docVar w:name="LW_COVERPAGE_TYPE" w:val="1"/>
    <w:docVar w:name="LW_CROSSREFERENCE" w:val="&lt;UNUSED&gt;"/>
    <w:docVar w:name="LW_DocType" w:val="NORMAL"/>
    <w:docVar w:name="LW_EMISSION" w:val="16.10.2023"/>
    <w:docVar w:name="LW_EMISSION_ISODATE" w:val="2023-10-16"/>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3) 58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ncernant l’exercice du pouvoir d’adopter des actes délégués conféré à la Commission par le règlement (UE) 2019/1009 du Parlement européen et du Conseil établissant les règles relatives à la mise à disposition sur le marché des fertilisants UE_x000d__x000b__x000d__x000b_"/>
    <w:docVar w:name="LW_TYPE.DOC.CP" w:val="RAPPORT DE LA COMMISSION AU PARLEMENT EUROPÉEN ET AU CONSEIL"/>
    <w:docVar w:name="LwApiVersions" w:val="LW4CoDe 1.23.2.0; LW 8.0, Build 20211117"/>
  </w:docVars>
  <w:rsids>
    <w:rsidRoot w:val="002E01DE"/>
    <w:rsid w:val="000A2A4C"/>
    <w:rsid w:val="00117B18"/>
    <w:rsid w:val="00121004"/>
    <w:rsid w:val="00127732"/>
    <w:rsid w:val="00132B6D"/>
    <w:rsid w:val="001634D5"/>
    <w:rsid w:val="00165F87"/>
    <w:rsid w:val="001842E7"/>
    <w:rsid w:val="00190FE2"/>
    <w:rsid w:val="001C1597"/>
    <w:rsid w:val="001C4FB1"/>
    <w:rsid w:val="001D253B"/>
    <w:rsid w:val="001D4174"/>
    <w:rsid w:val="001F5A22"/>
    <w:rsid w:val="00205CCB"/>
    <w:rsid w:val="002223F8"/>
    <w:rsid w:val="00235B56"/>
    <w:rsid w:val="00240BA2"/>
    <w:rsid w:val="00274B7B"/>
    <w:rsid w:val="002C756A"/>
    <w:rsid w:val="002D0549"/>
    <w:rsid w:val="002E01DE"/>
    <w:rsid w:val="0030747E"/>
    <w:rsid w:val="003307F6"/>
    <w:rsid w:val="003704B7"/>
    <w:rsid w:val="00381B5E"/>
    <w:rsid w:val="0038219B"/>
    <w:rsid w:val="00383C15"/>
    <w:rsid w:val="0038738E"/>
    <w:rsid w:val="003A5C05"/>
    <w:rsid w:val="003B4606"/>
    <w:rsid w:val="003B7EC4"/>
    <w:rsid w:val="003F5FCE"/>
    <w:rsid w:val="00403E45"/>
    <w:rsid w:val="00416949"/>
    <w:rsid w:val="00432654"/>
    <w:rsid w:val="004507E2"/>
    <w:rsid w:val="00461CB3"/>
    <w:rsid w:val="00471702"/>
    <w:rsid w:val="004940E9"/>
    <w:rsid w:val="004C6318"/>
    <w:rsid w:val="004D1D52"/>
    <w:rsid w:val="004D4150"/>
    <w:rsid w:val="004F589A"/>
    <w:rsid w:val="00503066"/>
    <w:rsid w:val="00507C8F"/>
    <w:rsid w:val="005143DE"/>
    <w:rsid w:val="00515880"/>
    <w:rsid w:val="005434D3"/>
    <w:rsid w:val="00555582"/>
    <w:rsid w:val="00565425"/>
    <w:rsid w:val="005764AE"/>
    <w:rsid w:val="005810D6"/>
    <w:rsid w:val="00581320"/>
    <w:rsid w:val="005838DD"/>
    <w:rsid w:val="00590FFA"/>
    <w:rsid w:val="005A2666"/>
    <w:rsid w:val="005C1DDD"/>
    <w:rsid w:val="005E7A39"/>
    <w:rsid w:val="005F7C4C"/>
    <w:rsid w:val="00610F76"/>
    <w:rsid w:val="00611C62"/>
    <w:rsid w:val="00637666"/>
    <w:rsid w:val="00650049"/>
    <w:rsid w:val="00654084"/>
    <w:rsid w:val="00681DC9"/>
    <w:rsid w:val="006B23A1"/>
    <w:rsid w:val="006D7055"/>
    <w:rsid w:val="006E286C"/>
    <w:rsid w:val="00706B9F"/>
    <w:rsid w:val="00706BA9"/>
    <w:rsid w:val="00721412"/>
    <w:rsid w:val="00730B7E"/>
    <w:rsid w:val="00742AD2"/>
    <w:rsid w:val="00774AC6"/>
    <w:rsid w:val="00795A59"/>
    <w:rsid w:val="007A2105"/>
    <w:rsid w:val="007A4EF6"/>
    <w:rsid w:val="007C4963"/>
    <w:rsid w:val="007C679E"/>
    <w:rsid w:val="007E1379"/>
    <w:rsid w:val="00867DEA"/>
    <w:rsid w:val="008740D3"/>
    <w:rsid w:val="00877C7A"/>
    <w:rsid w:val="008A3439"/>
    <w:rsid w:val="008D62C3"/>
    <w:rsid w:val="008F223B"/>
    <w:rsid w:val="00915941"/>
    <w:rsid w:val="009363A0"/>
    <w:rsid w:val="00965391"/>
    <w:rsid w:val="00993C89"/>
    <w:rsid w:val="009A587E"/>
    <w:rsid w:val="009B50B1"/>
    <w:rsid w:val="009C1B99"/>
    <w:rsid w:val="009D027A"/>
    <w:rsid w:val="009D5252"/>
    <w:rsid w:val="009E44D7"/>
    <w:rsid w:val="009E79E1"/>
    <w:rsid w:val="009F3C39"/>
    <w:rsid w:val="009F5728"/>
    <w:rsid w:val="00A42261"/>
    <w:rsid w:val="00A42D1F"/>
    <w:rsid w:val="00A96ACF"/>
    <w:rsid w:val="00A97977"/>
    <w:rsid w:val="00AA0745"/>
    <w:rsid w:val="00AA3E76"/>
    <w:rsid w:val="00AB0233"/>
    <w:rsid w:val="00AF1748"/>
    <w:rsid w:val="00B00453"/>
    <w:rsid w:val="00B10671"/>
    <w:rsid w:val="00B14B16"/>
    <w:rsid w:val="00B31CE5"/>
    <w:rsid w:val="00B5301E"/>
    <w:rsid w:val="00B62B67"/>
    <w:rsid w:val="00B62D47"/>
    <w:rsid w:val="00B72AB9"/>
    <w:rsid w:val="00B91F33"/>
    <w:rsid w:val="00B97D71"/>
    <w:rsid w:val="00BD3D78"/>
    <w:rsid w:val="00BE5BA9"/>
    <w:rsid w:val="00BE734C"/>
    <w:rsid w:val="00BF27E7"/>
    <w:rsid w:val="00BF4819"/>
    <w:rsid w:val="00C03AEA"/>
    <w:rsid w:val="00C115EC"/>
    <w:rsid w:val="00C601CC"/>
    <w:rsid w:val="00C81293"/>
    <w:rsid w:val="00C970B6"/>
    <w:rsid w:val="00CB4624"/>
    <w:rsid w:val="00CC5B99"/>
    <w:rsid w:val="00CD425B"/>
    <w:rsid w:val="00D03227"/>
    <w:rsid w:val="00D03522"/>
    <w:rsid w:val="00D0498B"/>
    <w:rsid w:val="00D2374C"/>
    <w:rsid w:val="00D425AB"/>
    <w:rsid w:val="00D63C18"/>
    <w:rsid w:val="00D77679"/>
    <w:rsid w:val="00D9258D"/>
    <w:rsid w:val="00DE5A4A"/>
    <w:rsid w:val="00DE769C"/>
    <w:rsid w:val="00DF31AB"/>
    <w:rsid w:val="00E40910"/>
    <w:rsid w:val="00E65018"/>
    <w:rsid w:val="00E70E2F"/>
    <w:rsid w:val="00E71B19"/>
    <w:rsid w:val="00E80651"/>
    <w:rsid w:val="00E927B4"/>
    <w:rsid w:val="00EA202E"/>
    <w:rsid w:val="00EA7FE8"/>
    <w:rsid w:val="00EC4F47"/>
    <w:rsid w:val="00ED210E"/>
    <w:rsid w:val="00EF3289"/>
    <w:rsid w:val="00EF615D"/>
    <w:rsid w:val="00F514F7"/>
    <w:rsid w:val="00F6184D"/>
    <w:rsid w:val="00F65ABE"/>
    <w:rsid w:val="00F73106"/>
    <w:rsid w:val="00F87CA5"/>
    <w:rsid w:val="00F90D8E"/>
    <w:rsid w:val="00F938A7"/>
    <w:rsid w:val="00F93D8C"/>
    <w:rsid w:val="00FA19F3"/>
    <w:rsid w:val="00FC17CE"/>
    <w:rsid w:val="00FC35DE"/>
    <w:rsid w:val="00FE0361"/>
    <w:rsid w:val="1793D9C0"/>
    <w:rsid w:val="1B3264D6"/>
    <w:rsid w:val="224E23F1"/>
    <w:rsid w:val="23F87BCC"/>
    <w:rsid w:val="2482DBC6"/>
    <w:rsid w:val="27219514"/>
    <w:rsid w:val="28F6FFAF"/>
    <w:rsid w:val="2F66FD05"/>
    <w:rsid w:val="360C25B0"/>
    <w:rsid w:val="362387A5"/>
    <w:rsid w:val="3675142A"/>
    <w:rsid w:val="399B7776"/>
    <w:rsid w:val="3A404039"/>
    <w:rsid w:val="3AC705EE"/>
    <w:rsid w:val="3F318FEC"/>
    <w:rsid w:val="44841B39"/>
    <w:rsid w:val="451DE328"/>
    <w:rsid w:val="452DBD39"/>
    <w:rsid w:val="4562429F"/>
    <w:rsid w:val="4693D944"/>
    <w:rsid w:val="46A94200"/>
    <w:rsid w:val="48DEDA50"/>
    <w:rsid w:val="490D06C2"/>
    <w:rsid w:val="4D185659"/>
    <w:rsid w:val="4E9FA648"/>
    <w:rsid w:val="5E5F98EB"/>
    <w:rsid w:val="663250EA"/>
    <w:rsid w:val="68D3427F"/>
    <w:rsid w:val="6BFB3C01"/>
    <w:rsid w:val="714258D3"/>
    <w:rsid w:val="76D476A7"/>
    <w:rsid w:val="78027C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769037E"/>
  <w15:chartTrackingRefBased/>
  <w15:docId w15:val="{B5C377F0-4A4B-4A18-804C-DD495E15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FE8"/>
  </w:style>
  <w:style w:type="paragraph" w:styleId="Heading1">
    <w:name w:val="heading 1"/>
    <w:basedOn w:val="Title"/>
    <w:next w:val="Normal"/>
    <w:link w:val="Heading1Char"/>
    <w:uiPriority w:val="9"/>
    <w:qFormat/>
    <w:rsid w:val="002E01DE"/>
    <w:pPr>
      <w:keepNext/>
      <w:keepLines/>
      <w:spacing w:before="240"/>
      <w:outlineLvl w:val="0"/>
    </w:pPr>
    <w:rPr>
      <w:rFonts w:ascii="Times New Roman" w:hAnsi="Times New Roman"/>
      <w:b/>
      <w:sz w:val="24"/>
      <w:szCs w:val="32"/>
    </w:rPr>
  </w:style>
  <w:style w:type="paragraph" w:styleId="Heading2">
    <w:name w:val="heading 2"/>
    <w:basedOn w:val="Normal"/>
    <w:link w:val="Heading2Char"/>
    <w:uiPriority w:val="9"/>
    <w:unhideWhenUsed/>
    <w:qFormat/>
    <w:rsid w:val="002E01DE"/>
    <w:pPr>
      <w:keepNext/>
      <w:keepLines/>
      <w:numPr>
        <w:numId w:val="4"/>
      </w:numPr>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01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01DE"/>
    <w:rPr>
      <w:sz w:val="20"/>
      <w:szCs w:val="20"/>
      <w:lang w:val="fr-FR"/>
    </w:rPr>
  </w:style>
  <w:style w:type="character" w:styleId="FootnoteReference">
    <w:name w:val="footnote reference"/>
    <w:basedOn w:val="DefaultParagraphFont"/>
    <w:uiPriority w:val="99"/>
    <w:semiHidden/>
    <w:unhideWhenUsed/>
    <w:rsid w:val="002E01DE"/>
    <w:rPr>
      <w:vertAlign w:val="superscript"/>
    </w:rPr>
  </w:style>
  <w:style w:type="paragraph" w:styleId="Header">
    <w:name w:val="header"/>
    <w:basedOn w:val="Normal"/>
    <w:link w:val="HeaderChar"/>
    <w:uiPriority w:val="99"/>
    <w:unhideWhenUsed/>
    <w:rsid w:val="002E0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1DE"/>
    <w:rPr>
      <w:lang w:val="fr-FR"/>
    </w:rPr>
  </w:style>
  <w:style w:type="paragraph" w:styleId="Footer">
    <w:name w:val="footer"/>
    <w:basedOn w:val="Normal"/>
    <w:link w:val="FooterChar"/>
    <w:uiPriority w:val="99"/>
    <w:unhideWhenUsed/>
    <w:rsid w:val="002E0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1DE"/>
    <w:rPr>
      <w:lang w:val="fr-FR"/>
    </w:rPr>
  </w:style>
  <w:style w:type="character" w:customStyle="1" w:styleId="Heading1Char">
    <w:name w:val="Heading 1 Char"/>
    <w:basedOn w:val="DefaultParagraphFont"/>
    <w:link w:val="Heading1"/>
    <w:uiPriority w:val="9"/>
    <w:rsid w:val="002E01DE"/>
    <w:rPr>
      <w:rFonts w:ascii="Times New Roman" w:eastAsiaTheme="majorEastAsia" w:hAnsi="Times New Roman" w:cstheme="majorBidi"/>
      <w:b/>
      <w:spacing w:val="-10"/>
      <w:kern w:val="28"/>
      <w:sz w:val="24"/>
      <w:szCs w:val="32"/>
    </w:rPr>
  </w:style>
  <w:style w:type="character" w:customStyle="1" w:styleId="Heading2Char">
    <w:name w:val="Heading 2 Char"/>
    <w:basedOn w:val="DefaultParagraphFont"/>
    <w:link w:val="Heading2"/>
    <w:uiPriority w:val="9"/>
    <w:rsid w:val="002E01DE"/>
    <w:rPr>
      <w:rFonts w:ascii="Times New Roman" w:eastAsiaTheme="majorEastAsia" w:hAnsi="Times New Roman" w:cstheme="majorBidi"/>
      <w:b/>
      <w:sz w:val="24"/>
      <w:szCs w:val="26"/>
    </w:rPr>
  </w:style>
  <w:style w:type="character" w:customStyle="1" w:styleId="Marker">
    <w:name w:val="Marker"/>
    <w:basedOn w:val="DefaultParagraphFont"/>
    <w:rsid w:val="002E01DE"/>
    <w:rPr>
      <w:color w:val="0000FF"/>
      <w:shd w:val="clear" w:color="auto" w:fill="auto"/>
    </w:rPr>
  </w:style>
  <w:style w:type="paragraph" w:customStyle="1" w:styleId="Pagedecouverture">
    <w:name w:val="Page de couverture"/>
    <w:basedOn w:val="Normal"/>
    <w:next w:val="Normal"/>
    <w:link w:val="PagedecouvertureChar"/>
    <w:rsid w:val="002E01DE"/>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2E01D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PagedecouvertureChar">
    <w:name w:val="Page de couverture Char"/>
    <w:basedOn w:val="DefaultParagraphFont"/>
    <w:link w:val="Pagedecouverture"/>
    <w:rsid w:val="002E01DE"/>
    <w:rPr>
      <w:rFonts w:ascii="Times New Roman" w:hAnsi="Times New Roman" w:cs="Times New Roman"/>
      <w:sz w:val="24"/>
    </w:rPr>
  </w:style>
  <w:style w:type="character" w:customStyle="1" w:styleId="FooterCoverPageChar">
    <w:name w:val="Footer Cover Page Char"/>
    <w:basedOn w:val="PagedecouvertureChar"/>
    <w:link w:val="FooterCoverPage"/>
    <w:rsid w:val="002E01DE"/>
    <w:rPr>
      <w:rFonts w:ascii="Times New Roman" w:hAnsi="Times New Roman" w:cs="Times New Roman"/>
      <w:sz w:val="24"/>
    </w:rPr>
  </w:style>
  <w:style w:type="paragraph" w:customStyle="1" w:styleId="FooterSensitivity">
    <w:name w:val="Footer Sensitivity"/>
    <w:basedOn w:val="Normal"/>
    <w:link w:val="FooterSensitivityChar"/>
    <w:rsid w:val="002E01D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agedecouvertureChar"/>
    <w:link w:val="FooterSensitivity"/>
    <w:rsid w:val="002E01DE"/>
    <w:rPr>
      <w:rFonts w:ascii="Times New Roman" w:hAnsi="Times New Roman" w:cs="Times New Roman"/>
      <w:b/>
      <w:sz w:val="32"/>
    </w:rPr>
  </w:style>
  <w:style w:type="paragraph" w:customStyle="1" w:styleId="HeaderCoverPage">
    <w:name w:val="Header Cover Page"/>
    <w:basedOn w:val="Normal"/>
    <w:link w:val="HeaderCoverPageChar"/>
    <w:rsid w:val="002E01DE"/>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PagedecouvertureChar"/>
    <w:link w:val="HeaderCoverPage"/>
    <w:rsid w:val="002E01DE"/>
    <w:rPr>
      <w:rFonts w:ascii="Times New Roman" w:hAnsi="Times New Roman" w:cs="Times New Roman"/>
      <w:sz w:val="24"/>
    </w:rPr>
  </w:style>
  <w:style w:type="paragraph" w:customStyle="1" w:styleId="HeaderSensitivity">
    <w:name w:val="Header Sensitivity"/>
    <w:basedOn w:val="Normal"/>
    <w:link w:val="HeaderSensitivityChar"/>
    <w:rsid w:val="002E01D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agedecouvertureChar"/>
    <w:link w:val="HeaderSensitivity"/>
    <w:rsid w:val="002E01DE"/>
    <w:rPr>
      <w:rFonts w:ascii="Times New Roman" w:hAnsi="Times New Roman" w:cs="Times New Roman"/>
      <w:b/>
      <w:sz w:val="32"/>
    </w:rPr>
  </w:style>
  <w:style w:type="paragraph" w:customStyle="1" w:styleId="HeaderSensitivityRight">
    <w:name w:val="Header Sensitivity Right"/>
    <w:basedOn w:val="Normal"/>
    <w:link w:val="HeaderSensitivityRightChar"/>
    <w:rsid w:val="002E01DE"/>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agedecouvertureChar"/>
    <w:link w:val="HeaderSensitivityRight"/>
    <w:rsid w:val="002E01DE"/>
    <w:rPr>
      <w:rFonts w:ascii="Times New Roman" w:hAnsi="Times New Roman" w:cs="Times New Roman"/>
      <w:sz w:val="28"/>
    </w:rPr>
  </w:style>
  <w:style w:type="paragraph" w:styleId="ListParagraph">
    <w:name w:val="List Paragraph"/>
    <w:basedOn w:val="Normal"/>
    <w:uiPriority w:val="34"/>
    <w:qFormat/>
    <w:rsid w:val="00F938A7"/>
    <w:pPr>
      <w:ind w:left="720"/>
      <w:contextualSpacing/>
    </w:pPr>
  </w:style>
  <w:style w:type="paragraph" w:styleId="Title">
    <w:name w:val="Title"/>
    <w:basedOn w:val="Normal"/>
    <w:next w:val="Normal"/>
    <w:link w:val="TitleChar"/>
    <w:uiPriority w:val="10"/>
    <w:qFormat/>
    <w:rsid w:val="002E01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1DE"/>
    <w:rPr>
      <w:rFonts w:asciiTheme="majorHAnsi" w:eastAsiaTheme="majorEastAsia" w:hAnsiTheme="majorHAnsi" w:cstheme="majorBidi"/>
      <w:spacing w:val="-10"/>
      <w:kern w:val="28"/>
      <w:sz w:val="56"/>
      <w:szCs w:val="56"/>
    </w:rPr>
  </w:style>
  <w:style w:type="paragraph" w:styleId="Revision">
    <w:name w:val="Revision"/>
    <w:hidden/>
    <w:uiPriority w:val="99"/>
    <w:semiHidden/>
    <w:rsid w:val="00F6184D"/>
    <w:pPr>
      <w:spacing w:after="0" w:line="240" w:lineRule="auto"/>
    </w:pPr>
  </w:style>
  <w:style w:type="character" w:styleId="CommentReference">
    <w:name w:val="annotation reference"/>
    <w:basedOn w:val="DefaultParagraphFont"/>
    <w:uiPriority w:val="99"/>
    <w:semiHidden/>
    <w:unhideWhenUsed/>
    <w:rsid w:val="005C1DDD"/>
    <w:rPr>
      <w:sz w:val="16"/>
      <w:szCs w:val="16"/>
    </w:rPr>
  </w:style>
  <w:style w:type="paragraph" w:styleId="CommentText">
    <w:name w:val="annotation text"/>
    <w:basedOn w:val="Normal"/>
    <w:link w:val="CommentTextChar"/>
    <w:uiPriority w:val="99"/>
    <w:unhideWhenUsed/>
    <w:rsid w:val="005C1DDD"/>
    <w:pPr>
      <w:spacing w:line="240" w:lineRule="auto"/>
    </w:pPr>
    <w:rPr>
      <w:sz w:val="20"/>
      <w:szCs w:val="20"/>
    </w:rPr>
  </w:style>
  <w:style w:type="character" w:customStyle="1" w:styleId="CommentTextChar">
    <w:name w:val="Comment Text Char"/>
    <w:basedOn w:val="DefaultParagraphFont"/>
    <w:link w:val="CommentText"/>
    <w:uiPriority w:val="99"/>
    <w:rsid w:val="005C1DDD"/>
    <w:rPr>
      <w:sz w:val="20"/>
      <w:szCs w:val="20"/>
    </w:rPr>
  </w:style>
  <w:style w:type="paragraph" w:styleId="CommentSubject">
    <w:name w:val="annotation subject"/>
    <w:basedOn w:val="CommentText"/>
    <w:next w:val="CommentText"/>
    <w:link w:val="CommentSubjectChar"/>
    <w:uiPriority w:val="99"/>
    <w:semiHidden/>
    <w:unhideWhenUsed/>
    <w:rsid w:val="005C1DDD"/>
    <w:rPr>
      <w:b/>
      <w:bCs/>
    </w:rPr>
  </w:style>
  <w:style w:type="character" w:customStyle="1" w:styleId="CommentSubjectChar">
    <w:name w:val="Comment Subject Char"/>
    <w:basedOn w:val="CommentTextChar"/>
    <w:link w:val="CommentSubject"/>
    <w:uiPriority w:val="99"/>
    <w:semiHidden/>
    <w:rsid w:val="005C1DDD"/>
    <w:rPr>
      <w:b/>
      <w:bCs/>
      <w:sz w:val="20"/>
      <w:szCs w:val="20"/>
    </w:rPr>
  </w:style>
  <w:style w:type="paragraph" w:styleId="BalloonText">
    <w:name w:val="Balloon Text"/>
    <w:basedOn w:val="Normal"/>
    <w:link w:val="BalloonTextChar"/>
    <w:uiPriority w:val="99"/>
    <w:semiHidden/>
    <w:unhideWhenUsed/>
    <w:rsid w:val="00774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0259">
      <w:bodyDiv w:val="1"/>
      <w:marLeft w:val="0"/>
      <w:marRight w:val="0"/>
      <w:marTop w:val="0"/>
      <w:marBottom w:val="0"/>
      <w:divBdr>
        <w:top w:val="none" w:sz="0" w:space="0" w:color="auto"/>
        <w:left w:val="none" w:sz="0" w:space="0" w:color="auto"/>
        <w:bottom w:val="none" w:sz="0" w:space="0" w:color="auto"/>
        <w:right w:val="none" w:sz="0" w:space="0" w:color="auto"/>
      </w:divBdr>
    </w:div>
    <w:div w:id="617688397">
      <w:bodyDiv w:val="1"/>
      <w:marLeft w:val="0"/>
      <w:marRight w:val="0"/>
      <w:marTop w:val="0"/>
      <w:marBottom w:val="0"/>
      <w:divBdr>
        <w:top w:val="none" w:sz="0" w:space="0" w:color="auto"/>
        <w:left w:val="none" w:sz="0" w:space="0" w:color="auto"/>
        <w:bottom w:val="none" w:sz="0" w:space="0" w:color="auto"/>
        <w:right w:val="none" w:sz="0" w:space="0" w:color="auto"/>
      </w:divBdr>
    </w:div>
    <w:div w:id="992878711">
      <w:bodyDiv w:val="1"/>
      <w:marLeft w:val="0"/>
      <w:marRight w:val="0"/>
      <w:marTop w:val="0"/>
      <w:marBottom w:val="0"/>
      <w:divBdr>
        <w:top w:val="none" w:sz="0" w:space="0" w:color="auto"/>
        <w:left w:val="none" w:sz="0" w:space="0" w:color="auto"/>
        <w:bottom w:val="none" w:sz="0" w:space="0" w:color="auto"/>
        <w:right w:val="none" w:sz="0" w:space="0" w:color="auto"/>
      </w:divBdr>
      <w:divsChild>
        <w:div w:id="466819817">
          <w:marLeft w:val="0"/>
          <w:marRight w:val="0"/>
          <w:marTop w:val="0"/>
          <w:marBottom w:val="0"/>
          <w:divBdr>
            <w:top w:val="none" w:sz="0" w:space="0" w:color="auto"/>
            <w:left w:val="none" w:sz="0" w:space="0" w:color="auto"/>
            <w:bottom w:val="none" w:sz="0" w:space="0" w:color="auto"/>
            <w:right w:val="none" w:sz="0" w:space="0" w:color="auto"/>
          </w:divBdr>
          <w:divsChild>
            <w:div w:id="1299145776">
              <w:marLeft w:val="0"/>
              <w:marRight w:val="0"/>
              <w:marTop w:val="0"/>
              <w:marBottom w:val="0"/>
              <w:divBdr>
                <w:top w:val="none" w:sz="0" w:space="0" w:color="auto"/>
                <w:left w:val="none" w:sz="0" w:space="0" w:color="auto"/>
                <w:bottom w:val="none" w:sz="0" w:space="0" w:color="auto"/>
                <w:right w:val="none" w:sz="0" w:space="0" w:color="auto"/>
              </w:divBdr>
              <w:divsChild>
                <w:div w:id="166485864">
                  <w:marLeft w:val="0"/>
                  <w:marRight w:val="0"/>
                  <w:marTop w:val="0"/>
                  <w:marBottom w:val="0"/>
                  <w:divBdr>
                    <w:top w:val="none" w:sz="0" w:space="0" w:color="auto"/>
                    <w:left w:val="none" w:sz="0" w:space="0" w:color="auto"/>
                    <w:bottom w:val="none" w:sz="0" w:space="0" w:color="auto"/>
                    <w:right w:val="none" w:sz="0" w:space="0" w:color="auto"/>
                  </w:divBdr>
                  <w:divsChild>
                    <w:div w:id="12959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92313">
      <w:bodyDiv w:val="1"/>
      <w:marLeft w:val="0"/>
      <w:marRight w:val="0"/>
      <w:marTop w:val="0"/>
      <w:marBottom w:val="0"/>
      <w:divBdr>
        <w:top w:val="none" w:sz="0" w:space="0" w:color="auto"/>
        <w:left w:val="none" w:sz="0" w:space="0" w:color="auto"/>
        <w:bottom w:val="none" w:sz="0" w:space="0" w:color="auto"/>
        <w:right w:val="none" w:sz="0" w:space="0" w:color="auto"/>
      </w:divBdr>
      <w:divsChild>
        <w:div w:id="1932445">
          <w:marLeft w:val="0"/>
          <w:marRight w:val="0"/>
          <w:marTop w:val="0"/>
          <w:marBottom w:val="0"/>
          <w:divBdr>
            <w:top w:val="none" w:sz="0" w:space="0" w:color="auto"/>
            <w:left w:val="none" w:sz="0" w:space="0" w:color="auto"/>
            <w:bottom w:val="none" w:sz="0" w:space="0" w:color="auto"/>
            <w:right w:val="none" w:sz="0" w:space="0" w:color="auto"/>
          </w:divBdr>
          <w:divsChild>
            <w:div w:id="25326647">
              <w:marLeft w:val="0"/>
              <w:marRight w:val="0"/>
              <w:marTop w:val="0"/>
              <w:marBottom w:val="0"/>
              <w:divBdr>
                <w:top w:val="none" w:sz="0" w:space="0" w:color="auto"/>
                <w:left w:val="none" w:sz="0" w:space="0" w:color="auto"/>
                <w:bottom w:val="none" w:sz="0" w:space="0" w:color="auto"/>
                <w:right w:val="none" w:sz="0" w:space="0" w:color="auto"/>
              </w:divBdr>
              <w:divsChild>
                <w:div w:id="306741080">
                  <w:marLeft w:val="0"/>
                  <w:marRight w:val="0"/>
                  <w:marTop w:val="0"/>
                  <w:marBottom w:val="0"/>
                  <w:divBdr>
                    <w:top w:val="none" w:sz="0" w:space="0" w:color="auto"/>
                    <w:left w:val="none" w:sz="0" w:space="0" w:color="auto"/>
                    <w:bottom w:val="none" w:sz="0" w:space="0" w:color="auto"/>
                    <w:right w:val="none" w:sz="0" w:space="0" w:color="auto"/>
                  </w:divBdr>
                  <w:divsChild>
                    <w:div w:id="14083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99A588E0F14746BFAC081FD6A566B8" ma:contentTypeVersion="9" ma:contentTypeDescription="Create a new document." ma:contentTypeScope="" ma:versionID="2fce49934f4ffddf298616ba7533580e">
  <xsd:schema xmlns:xsd="http://www.w3.org/2001/XMLSchema" xmlns:xs="http://www.w3.org/2001/XMLSchema" xmlns:p="http://schemas.microsoft.com/office/2006/metadata/properties" xmlns:ns2="a280f3ed-f921-4226-9525-27fa6d577539" xmlns:ns3="278287c8-5be4-4613-8138-480f9be48247" targetNamespace="http://schemas.microsoft.com/office/2006/metadata/properties" ma:root="true" ma:fieldsID="ac8bebf6083cdb70b350a45e2f711cc2" ns2:_="" ns3:_="">
    <xsd:import namespace="a280f3ed-f921-4226-9525-27fa6d577539"/>
    <xsd:import namespace="278287c8-5be4-4613-8138-480f9be482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0f3ed-f921-4226-9525-27fa6d577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8287c8-5be4-4613-8138-480f9be482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659AD62-39FD-4D30-A5D5-50EA3FE16B6E}">
  <ds:schemaRef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a280f3ed-f921-4226-9525-27fa6d577539"/>
    <ds:schemaRef ds:uri="http://purl.org/dc/dcmitype/"/>
    <ds:schemaRef ds:uri="278287c8-5be4-4613-8138-480f9be48247"/>
    <ds:schemaRef ds:uri="http://www.w3.org/XML/1998/namespace"/>
    <ds:schemaRef ds:uri="http://purl.org/dc/terms/"/>
  </ds:schemaRefs>
</ds:datastoreItem>
</file>

<file path=customXml/itemProps2.xml><?xml version="1.0" encoding="utf-8"?>
<ds:datastoreItem xmlns:ds="http://schemas.openxmlformats.org/officeDocument/2006/customXml" ds:itemID="{72596B09-2FCB-45E6-AEDE-98F72601C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0f3ed-f921-4226-9525-27fa6d577539"/>
    <ds:schemaRef ds:uri="278287c8-5be4-4613-8138-480f9be48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75C6E7-36B4-43FA-86FE-9361FB6BCB58}">
  <ds:schemaRefs>
    <ds:schemaRef ds:uri="http://schemas.microsoft.com/sharepoint/v3/contenttype/forms"/>
  </ds:schemaRefs>
</ds:datastoreItem>
</file>

<file path=customXml/itemProps4.xml><?xml version="1.0" encoding="utf-8"?>
<ds:datastoreItem xmlns:ds="http://schemas.openxmlformats.org/officeDocument/2006/customXml" ds:itemID="{8A78CA86-70BC-48B4-8149-6158CA43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1664</Words>
  <Characters>8922</Characters>
  <Application>Microsoft Office Word</Application>
  <DocSecurity>0</DocSecurity>
  <Lines>129</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28</cp:revision>
  <dcterms:created xsi:type="dcterms:W3CDTF">2023-09-27T07:58:00Z</dcterms:created>
  <dcterms:modified xsi:type="dcterms:W3CDTF">2023-10-09T12:36:00Z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2023-06-20T07:24:26Z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969eaaed-9cc9-438d-8b99-bacbb1545d0c</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CP-006</vt:lpwstr>
  </property>
  <property fmtid="{D5CDD505-2E9C-101B-9397-08002B2CF9AE}" pid="14" name="Last edited using">
    <vt:lpwstr>LW 9.0, Build 20230317</vt:lpwstr>
  </property>
  <property fmtid="{D5CDD505-2E9C-101B-9397-08002B2CF9AE}" pid="15" name="Created using">
    <vt:lpwstr>LW 9.0, Build 20230317</vt:lpwstr>
  </property>
  <property fmtid="{D5CDD505-2E9C-101B-9397-08002B2CF9AE}" pid="16" name="ContentTypeId">
    <vt:lpwstr>0x010100F099A588E0F14746BFAC081FD6A566B8</vt:lpwstr>
  </property>
</Properties>
</file>