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7860F" w14:textId="6DE543FD" w:rsidR="00875467" w:rsidRDefault="00C97FBD" w:rsidP="00C97FBD">
      <w:pPr>
        <w:pStyle w:val="Pagedecouverture"/>
        <w:rPr>
          <w:noProof/>
        </w:rPr>
      </w:pPr>
      <w:r>
        <w:rPr>
          <w:noProof/>
        </w:rPr>
        <w:pict w14:anchorId="6D849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E329C19-007D-4B91-A6F2-27AF3C0A6612" style="width:455.25pt;height:399pt">
            <v:imagedata r:id="rId8" o:title=""/>
          </v:shape>
        </w:pict>
      </w:r>
    </w:p>
    <w:p w14:paraId="74AEAE69" w14:textId="77777777" w:rsidR="00875467" w:rsidRDefault="00875467" w:rsidP="00875467">
      <w:pPr>
        <w:rPr>
          <w:noProof/>
        </w:rPr>
        <w:sectPr w:rsidR="00875467" w:rsidSect="00C97FBD">
          <w:footerReference w:type="default" r:id="rId9"/>
          <w:pgSz w:w="11907" w:h="16839"/>
          <w:pgMar w:top="1134" w:right="1417" w:bottom="1134" w:left="1417" w:header="709" w:footer="709" w:gutter="0"/>
          <w:pgNumType w:start="0"/>
          <w:cols w:space="720"/>
          <w:docGrid w:linePitch="360"/>
        </w:sectPr>
      </w:pPr>
    </w:p>
    <w:p w14:paraId="6C65DE7D" w14:textId="77777777" w:rsidR="00875467" w:rsidRDefault="00875467" w:rsidP="00BB6B30">
      <w:pPr>
        <w:pStyle w:val="Exposdesmotifstitre"/>
        <w:rPr>
          <w:noProof/>
        </w:rPr>
      </w:pPr>
      <w:bookmarkStart w:id="0" w:name="_GoBack"/>
      <w:bookmarkEnd w:id="0"/>
      <w:r w:rsidRPr="006F770D">
        <w:rPr>
          <w:noProof/>
        </w:rPr>
        <w:lastRenderedPageBreak/>
        <w:t>EXPLANATORY MEMORANDUM</w:t>
      </w:r>
    </w:p>
    <w:p w14:paraId="1B15546D" w14:textId="77777777" w:rsidR="00875467" w:rsidRPr="006F770D" w:rsidRDefault="00875467" w:rsidP="00BB6B30">
      <w:pPr>
        <w:pStyle w:val="ManualHeading1"/>
        <w:rPr>
          <w:noProof/>
        </w:rPr>
      </w:pPr>
      <w:r w:rsidRPr="00C567EE">
        <w:rPr>
          <w:noProof/>
        </w:rPr>
        <w:t>1.</w:t>
      </w:r>
      <w:r w:rsidRPr="00C567EE">
        <w:rPr>
          <w:noProof/>
        </w:rPr>
        <w:tab/>
      </w:r>
      <w:r w:rsidRPr="006F770D">
        <w:rPr>
          <w:noProof/>
        </w:rPr>
        <w:t>CONTEXT OF THE PROPOSAL</w:t>
      </w:r>
    </w:p>
    <w:p w14:paraId="1C54AC8C" w14:textId="77777777" w:rsidR="00875467" w:rsidRPr="00044058" w:rsidRDefault="00875467"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776C2D41" w14:textId="77777777" w:rsidR="009B21E8" w:rsidRDefault="00DB163C" w:rsidP="0029266A">
      <w:pPr>
        <w:pBdr>
          <w:top w:val="nil"/>
          <w:left w:val="nil"/>
          <w:bottom w:val="nil"/>
          <w:right w:val="nil"/>
          <w:between w:val="nil"/>
          <w:bar w:val="nil"/>
        </w:pBdr>
        <w:spacing w:before="0" w:after="240"/>
        <w:rPr>
          <w:noProof/>
          <w:color w:val="000000"/>
          <w:bdr w:val="none" w:sz="0" w:space="0" w:color="auto" w:frame="1"/>
        </w:rPr>
      </w:pPr>
      <w:r w:rsidRPr="797140BF">
        <w:rPr>
          <w:rFonts w:eastAsia="Calibri"/>
          <w:noProof/>
          <w:lang w:val="en-US"/>
        </w:rPr>
        <w:t xml:space="preserve">In its Communication on </w:t>
      </w:r>
      <w:r>
        <w:rPr>
          <w:rFonts w:eastAsia="Calibri"/>
          <w:noProof/>
          <w:lang w:val="en-US"/>
        </w:rPr>
        <w:t>l</w:t>
      </w:r>
      <w:r w:rsidRPr="797140BF">
        <w:rPr>
          <w:rFonts w:eastAsia="Calibri"/>
          <w:noProof/>
          <w:lang w:val="en-US"/>
        </w:rPr>
        <w:t>ong-term competitiveness of the EU</w:t>
      </w:r>
      <w:r>
        <w:rPr>
          <w:rStyle w:val="FootnoteReference"/>
          <w:rFonts w:eastAsia="Calibri"/>
          <w:noProof/>
          <w:lang w:val="en-US"/>
        </w:rPr>
        <w:footnoteReference w:id="1"/>
      </w:r>
      <w:r>
        <w:rPr>
          <w:rFonts w:eastAsia="Calibri"/>
          <w:noProof/>
          <w:lang w:val="en-US"/>
        </w:rPr>
        <w:t>,</w:t>
      </w:r>
      <w:r w:rsidRPr="797140BF">
        <w:rPr>
          <w:rFonts w:eastAsia="Calibri"/>
          <w:noProof/>
          <w:lang w:val="en-US"/>
        </w:rPr>
        <w:t xml:space="preserve"> the Commission has </w:t>
      </w:r>
      <w:r>
        <w:rPr>
          <w:rFonts w:eastAsia="Calibri"/>
          <w:noProof/>
          <w:lang w:val="en-US"/>
        </w:rPr>
        <w:t>reaffirmed its commitment to actively screen</w:t>
      </w:r>
      <w:r w:rsidR="00B728A6">
        <w:rPr>
          <w:rFonts w:eastAsia="Calibri"/>
          <w:noProof/>
          <w:lang w:val="en-US"/>
        </w:rPr>
        <w:t xml:space="preserve"> the EU legislation in terms of its fitness for purpose, in particularly to reduce the compliance costs for businesses and public administrations</w:t>
      </w:r>
      <w:r>
        <w:rPr>
          <w:rFonts w:eastAsia="Calibri"/>
          <w:noProof/>
          <w:lang w:val="en-US"/>
        </w:rPr>
        <w:t>.</w:t>
      </w:r>
      <w:r w:rsidR="009B21E8" w:rsidRPr="009B21E8">
        <w:rPr>
          <w:noProof/>
          <w:color w:val="000000"/>
          <w:bdr w:val="none" w:sz="0" w:space="0" w:color="auto" w:frame="1"/>
        </w:rPr>
        <w:t xml:space="preserve"> </w:t>
      </w:r>
    </w:p>
    <w:p w14:paraId="0C1111E0" w14:textId="77777777" w:rsidR="00C35D2A" w:rsidRDefault="009B21E8" w:rsidP="0029266A">
      <w:pPr>
        <w:pBdr>
          <w:top w:val="nil"/>
          <w:left w:val="nil"/>
          <w:bottom w:val="nil"/>
          <w:right w:val="nil"/>
          <w:between w:val="nil"/>
          <w:bar w:val="nil"/>
        </w:pBdr>
        <w:spacing w:before="0" w:after="240"/>
        <w:rPr>
          <w:noProof/>
          <w:color w:val="000000"/>
          <w:bdr w:val="none" w:sz="0" w:space="0" w:color="auto" w:frame="1"/>
        </w:rPr>
      </w:pPr>
      <w:r>
        <w:rPr>
          <w:noProof/>
          <w:color w:val="000000"/>
          <w:bdr w:val="none" w:sz="0" w:space="0" w:color="auto" w:frame="1"/>
        </w:rPr>
        <w:t>The European legislation on out-of-court consumer redress (the Alternative Dispute Resolution (ADR) Directive</w:t>
      </w:r>
      <w:r w:rsidRPr="00CB0320">
        <w:rPr>
          <w:rStyle w:val="FootnoteReference"/>
          <w:rFonts w:eastAsia="Arial Unicode MS"/>
          <w:noProof/>
          <w:color w:val="000000"/>
        </w:rPr>
        <w:footnoteReference w:id="2"/>
      </w:r>
      <w:r>
        <w:rPr>
          <w:noProof/>
          <w:color w:val="000000"/>
          <w:bdr w:val="none" w:sz="0" w:space="0" w:color="auto" w:frame="1"/>
        </w:rPr>
        <w:t xml:space="preserve"> and the Online Dispute Resolution (ODR) Regulation)</w:t>
      </w:r>
      <w:r w:rsidRPr="00CB0320">
        <w:rPr>
          <w:rStyle w:val="FootnoteReference"/>
          <w:rFonts w:eastAsia="Arial Unicode MS"/>
          <w:noProof/>
          <w:color w:val="000000"/>
        </w:rPr>
        <w:footnoteReference w:id="3"/>
      </w:r>
      <w:r>
        <w:rPr>
          <w:noProof/>
          <w:color w:val="000000"/>
          <w:bdr w:val="none" w:sz="0" w:space="0" w:color="auto" w:frame="1"/>
        </w:rPr>
        <w:t xml:space="preserve"> was adopted in </w:t>
      </w:r>
      <w:r w:rsidR="00C35D2A">
        <w:rPr>
          <w:noProof/>
          <w:color w:val="000000"/>
          <w:bdr w:val="none" w:sz="0" w:space="0" w:color="auto" w:frame="1"/>
        </w:rPr>
        <w:t>2013 and</w:t>
      </w:r>
      <w:r>
        <w:rPr>
          <w:noProof/>
          <w:color w:val="000000"/>
          <w:bdr w:val="none" w:sz="0" w:space="0" w:color="auto" w:frame="1"/>
        </w:rPr>
        <w:t xml:space="preserve"> </w:t>
      </w:r>
      <w:r w:rsidR="00A800A1">
        <w:rPr>
          <w:noProof/>
          <w:color w:val="000000"/>
          <w:bdr w:val="none" w:sz="0" w:space="0" w:color="auto" w:frame="1"/>
        </w:rPr>
        <w:t>has not been</w:t>
      </w:r>
      <w:r>
        <w:rPr>
          <w:noProof/>
          <w:color w:val="000000"/>
          <w:bdr w:val="none" w:sz="0" w:space="0" w:color="auto" w:frame="1"/>
        </w:rPr>
        <w:t xml:space="preserve"> amended </w:t>
      </w:r>
      <w:r w:rsidR="00A800A1">
        <w:rPr>
          <w:noProof/>
          <w:color w:val="000000"/>
          <w:bdr w:val="none" w:sz="0" w:space="0" w:color="auto" w:frame="1"/>
        </w:rPr>
        <w:t xml:space="preserve">since </w:t>
      </w:r>
      <w:r>
        <w:rPr>
          <w:noProof/>
          <w:color w:val="000000"/>
          <w:bdr w:val="none" w:sz="0" w:space="0" w:color="auto" w:frame="1"/>
        </w:rPr>
        <w:t xml:space="preserve">notwithstanding the drastic changes of the consumer market, notably </w:t>
      </w:r>
      <w:r w:rsidR="00693886">
        <w:rPr>
          <w:noProof/>
          <w:color w:val="000000"/>
          <w:bdr w:val="none" w:sz="0" w:space="0" w:color="auto" w:frame="1"/>
        </w:rPr>
        <w:t xml:space="preserve">in relation to </w:t>
      </w:r>
      <w:r>
        <w:rPr>
          <w:noProof/>
          <w:color w:val="000000"/>
          <w:bdr w:val="none" w:sz="0" w:space="0" w:color="auto" w:frame="1"/>
        </w:rPr>
        <w:t xml:space="preserve">its </w:t>
      </w:r>
      <w:r w:rsidR="00693886">
        <w:rPr>
          <w:noProof/>
          <w:color w:val="000000"/>
          <w:bdr w:val="none" w:sz="0" w:space="0" w:color="auto" w:frame="1"/>
        </w:rPr>
        <w:t xml:space="preserve">rapidly expanding </w:t>
      </w:r>
      <w:r>
        <w:rPr>
          <w:noProof/>
          <w:color w:val="000000"/>
          <w:bdr w:val="none" w:sz="0" w:space="0" w:color="auto" w:frame="1"/>
        </w:rPr>
        <w:t>digital dimension.</w:t>
      </w:r>
    </w:p>
    <w:p w14:paraId="05E76A36" w14:textId="77777777" w:rsidR="00C35D2A" w:rsidRDefault="00C35D2A" w:rsidP="0029266A">
      <w:pPr>
        <w:pBdr>
          <w:top w:val="nil"/>
          <w:left w:val="nil"/>
          <w:bottom w:val="nil"/>
          <w:right w:val="nil"/>
          <w:between w:val="nil"/>
          <w:bar w:val="nil"/>
        </w:pBdr>
        <w:spacing w:before="0" w:after="240"/>
        <w:rPr>
          <w:noProof/>
          <w:color w:val="000000"/>
          <w:bdr w:val="none" w:sz="0" w:space="0" w:color="auto" w:frame="1"/>
        </w:rPr>
      </w:pPr>
      <w:r>
        <w:rPr>
          <w:noProof/>
          <w:color w:val="000000"/>
          <w:bdr w:val="none" w:sz="0" w:space="0" w:color="auto" w:frame="1"/>
        </w:rPr>
        <w:t>While the ADR Directive establishes a general framework for consumer redress, obliging Member States to ensure that consumers can submit their disputes to ADR entities meeting common quality criteria, and can resolve disputes fairly, quickly and affordably, the ODR Regulation was adopted for the sole purpose of establishing the European Online Dispute Resolution Platform (the ODR Platform) where consumers and traders could refer their disputes over online purchases to ADR entities.</w:t>
      </w:r>
    </w:p>
    <w:p w14:paraId="19E25710" w14:textId="77777777" w:rsidR="00C35D2A" w:rsidRDefault="00C35D2A" w:rsidP="0029266A">
      <w:pPr>
        <w:pBdr>
          <w:top w:val="nil"/>
          <w:left w:val="nil"/>
          <w:bottom w:val="nil"/>
          <w:right w:val="nil"/>
          <w:between w:val="nil"/>
          <w:bar w:val="nil"/>
        </w:pBdr>
        <w:spacing w:before="0" w:after="240"/>
        <w:rPr>
          <w:noProof/>
          <w:color w:val="000000"/>
          <w:bdr w:val="none" w:sz="0" w:space="0" w:color="auto" w:frame="1"/>
        </w:rPr>
      </w:pPr>
      <w:r>
        <w:rPr>
          <w:noProof/>
          <w:color w:val="000000"/>
          <w:bdr w:val="none" w:sz="0" w:space="0" w:color="auto" w:frame="1"/>
        </w:rPr>
        <w:t>The ODR platform has been ope</w:t>
      </w:r>
      <w:r w:rsidR="00A800A1">
        <w:rPr>
          <w:noProof/>
          <w:color w:val="000000"/>
          <w:bdr w:val="none" w:sz="0" w:space="0" w:color="auto" w:frame="1"/>
        </w:rPr>
        <w:t>rating</w:t>
      </w:r>
      <w:r>
        <w:rPr>
          <w:noProof/>
          <w:color w:val="000000"/>
          <w:bdr w:val="none" w:sz="0" w:space="0" w:color="auto" w:frame="1"/>
        </w:rPr>
        <w:t xml:space="preserve"> </w:t>
      </w:r>
      <w:r w:rsidR="00261A50">
        <w:rPr>
          <w:noProof/>
          <w:color w:val="000000"/>
          <w:bdr w:val="none" w:sz="0" w:space="0" w:color="auto" w:frame="1"/>
        </w:rPr>
        <w:t>since 2016 as a fully multilingual digital infrastructure where consumer</w:t>
      </w:r>
      <w:r w:rsidR="00A800A1">
        <w:rPr>
          <w:noProof/>
          <w:color w:val="000000"/>
          <w:bdr w:val="none" w:sz="0" w:space="0" w:color="auto" w:frame="1"/>
        </w:rPr>
        <w:t>s</w:t>
      </w:r>
      <w:r w:rsidR="00261A50">
        <w:rPr>
          <w:noProof/>
          <w:color w:val="000000"/>
          <w:bdr w:val="none" w:sz="0" w:space="0" w:color="auto" w:frame="1"/>
        </w:rPr>
        <w:t xml:space="preserve"> </w:t>
      </w:r>
      <w:r w:rsidR="00693886">
        <w:rPr>
          <w:noProof/>
          <w:color w:val="000000"/>
          <w:bdr w:val="none" w:sz="0" w:space="0" w:color="auto" w:frame="1"/>
        </w:rPr>
        <w:t xml:space="preserve">can request online traders to solve a </w:t>
      </w:r>
      <w:r w:rsidR="00261A50">
        <w:rPr>
          <w:noProof/>
          <w:color w:val="000000"/>
          <w:bdr w:val="none" w:sz="0" w:space="0" w:color="auto" w:frame="1"/>
        </w:rPr>
        <w:t>dispute</w:t>
      </w:r>
      <w:r w:rsidR="00693886">
        <w:rPr>
          <w:noProof/>
          <w:color w:val="000000"/>
          <w:bdr w:val="none" w:sz="0" w:space="0" w:color="auto" w:frame="1"/>
        </w:rPr>
        <w:t xml:space="preserve"> using an</w:t>
      </w:r>
      <w:r w:rsidR="00261A50">
        <w:rPr>
          <w:noProof/>
          <w:color w:val="000000"/>
          <w:bdr w:val="none" w:sz="0" w:space="0" w:color="auto" w:frame="1"/>
        </w:rPr>
        <w:t xml:space="preserve"> ADR e</w:t>
      </w:r>
      <w:r w:rsidR="00693886">
        <w:rPr>
          <w:noProof/>
          <w:color w:val="000000"/>
          <w:bdr w:val="none" w:sz="0" w:space="0" w:color="auto" w:frame="1"/>
        </w:rPr>
        <w:t>ntity. D</w:t>
      </w:r>
      <w:r w:rsidR="00261A50">
        <w:rPr>
          <w:noProof/>
          <w:color w:val="000000"/>
          <w:bdr w:val="none" w:sz="0" w:space="0" w:color="auto" w:frame="1"/>
        </w:rPr>
        <w:t xml:space="preserve">espite </w:t>
      </w:r>
      <w:r w:rsidR="00693886">
        <w:rPr>
          <w:noProof/>
          <w:color w:val="000000"/>
          <w:bdr w:val="none" w:sz="0" w:space="0" w:color="auto" w:frame="1"/>
        </w:rPr>
        <w:t>a</w:t>
      </w:r>
      <w:r w:rsidR="00261A50">
        <w:rPr>
          <w:noProof/>
          <w:color w:val="000000"/>
          <w:bdr w:val="none" w:sz="0" w:space="0" w:color="auto" w:frame="1"/>
        </w:rPr>
        <w:t xml:space="preserve"> high number of visits, the ODR platform </w:t>
      </w:r>
      <w:r w:rsidR="00693886">
        <w:rPr>
          <w:noProof/>
          <w:color w:val="000000"/>
          <w:bdr w:val="none" w:sz="0" w:space="0" w:color="auto" w:frame="1"/>
        </w:rPr>
        <w:t>is only enabling on average 200 cases EU wide to be treated by and ADR entity</w:t>
      </w:r>
      <w:r w:rsidR="003605BC">
        <w:rPr>
          <w:noProof/>
          <w:color w:val="000000"/>
          <w:bdr w:val="none" w:sz="0" w:space="0" w:color="auto" w:frame="1"/>
        </w:rPr>
        <w:t xml:space="preserve"> per year</w:t>
      </w:r>
      <w:r w:rsidR="00261A50">
        <w:rPr>
          <w:noProof/>
          <w:color w:val="000000"/>
          <w:bdr w:val="none" w:sz="0" w:space="0" w:color="auto" w:frame="1"/>
        </w:rPr>
        <w:t>.</w:t>
      </w:r>
    </w:p>
    <w:p w14:paraId="1B32B231" w14:textId="5B289718" w:rsidR="00773F75" w:rsidRPr="00CB0320" w:rsidRDefault="00261A50" w:rsidP="0029266A">
      <w:pPr>
        <w:pBdr>
          <w:top w:val="nil"/>
          <w:left w:val="nil"/>
          <w:bottom w:val="nil"/>
          <w:right w:val="nil"/>
          <w:between w:val="nil"/>
          <w:bar w:val="nil"/>
        </w:pBdr>
        <w:spacing w:before="0" w:after="240"/>
        <w:rPr>
          <w:noProof/>
        </w:rPr>
      </w:pPr>
      <w:r>
        <w:rPr>
          <w:noProof/>
          <w:color w:val="000000"/>
          <w:bdr w:val="none" w:sz="0" w:space="0" w:color="auto" w:frame="1"/>
        </w:rPr>
        <w:t>This level of</w:t>
      </w:r>
      <w:r w:rsidR="00693886">
        <w:rPr>
          <w:noProof/>
          <w:color w:val="000000"/>
          <w:bdr w:val="none" w:sz="0" w:space="0" w:color="auto" w:frame="1"/>
        </w:rPr>
        <w:t xml:space="preserve"> performance</w:t>
      </w:r>
      <w:r>
        <w:rPr>
          <w:noProof/>
          <w:color w:val="000000"/>
          <w:bdr w:val="none" w:sz="0" w:space="0" w:color="auto" w:frame="1"/>
        </w:rPr>
        <w:t xml:space="preserve"> does not justify the costs incurred by</w:t>
      </w:r>
      <w:r w:rsidR="00693886">
        <w:rPr>
          <w:noProof/>
          <w:color w:val="000000"/>
          <w:bdr w:val="none" w:sz="0" w:space="0" w:color="auto" w:frame="1"/>
        </w:rPr>
        <w:t xml:space="preserve"> the</w:t>
      </w:r>
      <w:r>
        <w:rPr>
          <w:noProof/>
          <w:color w:val="000000"/>
          <w:bdr w:val="none" w:sz="0" w:space="0" w:color="auto" w:frame="1"/>
        </w:rPr>
        <w:t xml:space="preserve"> Commission</w:t>
      </w:r>
      <w:r w:rsidR="00A800A1">
        <w:rPr>
          <w:noProof/>
          <w:color w:val="000000"/>
          <w:bdr w:val="none" w:sz="0" w:space="0" w:color="auto" w:frame="1"/>
        </w:rPr>
        <w:t xml:space="preserve"> to maintain the tool</w:t>
      </w:r>
      <w:r>
        <w:rPr>
          <w:noProof/>
          <w:color w:val="000000"/>
          <w:bdr w:val="none" w:sz="0" w:space="0" w:color="auto" w:frame="1"/>
        </w:rPr>
        <w:t>,</w:t>
      </w:r>
      <w:r w:rsidR="00A800A1">
        <w:rPr>
          <w:noProof/>
          <w:color w:val="000000"/>
          <w:bdr w:val="none" w:sz="0" w:space="0" w:color="auto" w:frame="1"/>
        </w:rPr>
        <w:t xml:space="preserve"> nor the cost borne</w:t>
      </w:r>
      <w:r>
        <w:rPr>
          <w:noProof/>
          <w:color w:val="000000"/>
          <w:bdr w:val="none" w:sz="0" w:space="0" w:color="auto" w:frame="1"/>
        </w:rPr>
        <w:t xml:space="preserve"> </w:t>
      </w:r>
      <w:r w:rsidR="00A800A1">
        <w:rPr>
          <w:noProof/>
          <w:color w:val="000000"/>
          <w:bdr w:val="none" w:sz="0" w:space="0" w:color="auto" w:frame="1"/>
        </w:rPr>
        <w:t xml:space="preserve">by </w:t>
      </w:r>
      <w:r>
        <w:rPr>
          <w:noProof/>
          <w:color w:val="000000"/>
          <w:bdr w:val="none" w:sz="0" w:space="0" w:color="auto" w:frame="1"/>
        </w:rPr>
        <w:t>public administration</w:t>
      </w:r>
      <w:r w:rsidR="00693886">
        <w:rPr>
          <w:noProof/>
          <w:color w:val="000000"/>
          <w:bdr w:val="none" w:sz="0" w:space="0" w:color="auto" w:frame="1"/>
        </w:rPr>
        <w:t>s</w:t>
      </w:r>
      <w:r>
        <w:rPr>
          <w:noProof/>
          <w:color w:val="000000"/>
          <w:bdr w:val="none" w:sz="0" w:space="0" w:color="auto" w:frame="1"/>
        </w:rPr>
        <w:t xml:space="preserve"> </w:t>
      </w:r>
      <w:r w:rsidR="00693886">
        <w:rPr>
          <w:noProof/>
          <w:color w:val="000000"/>
          <w:bdr w:val="none" w:sz="0" w:space="0" w:color="auto" w:frame="1"/>
        </w:rPr>
        <w:t xml:space="preserve">and </w:t>
      </w:r>
      <w:r w:rsidR="00A800A1">
        <w:rPr>
          <w:noProof/>
          <w:color w:val="000000"/>
          <w:bdr w:val="none" w:sz="0" w:space="0" w:color="auto" w:frame="1"/>
        </w:rPr>
        <w:t xml:space="preserve">by </w:t>
      </w:r>
      <w:r w:rsidR="00693886">
        <w:rPr>
          <w:noProof/>
          <w:color w:val="000000"/>
          <w:bdr w:val="none" w:sz="0" w:space="0" w:color="auto" w:frame="1"/>
        </w:rPr>
        <w:t xml:space="preserve">online </w:t>
      </w:r>
      <w:r>
        <w:rPr>
          <w:noProof/>
          <w:color w:val="000000"/>
          <w:bdr w:val="none" w:sz="0" w:space="0" w:color="auto" w:frame="1"/>
        </w:rPr>
        <w:t>businesses</w:t>
      </w:r>
      <w:r w:rsidR="00693886">
        <w:rPr>
          <w:noProof/>
          <w:color w:val="000000"/>
          <w:bdr w:val="none" w:sz="0" w:space="0" w:color="auto" w:frame="1"/>
        </w:rPr>
        <w:t xml:space="preserve"> to</w:t>
      </w:r>
      <w:r w:rsidR="00A800A1">
        <w:rPr>
          <w:noProof/>
          <w:color w:val="000000"/>
          <w:bdr w:val="none" w:sz="0" w:space="0" w:color="auto" w:frame="1"/>
        </w:rPr>
        <w:t xml:space="preserve"> comply with their obligations under the ODR Regulation</w:t>
      </w:r>
      <w:r w:rsidR="00693886">
        <w:rPr>
          <w:noProof/>
          <w:color w:val="000000"/>
          <w:bdr w:val="none" w:sz="0" w:space="0" w:color="auto" w:frame="1"/>
        </w:rPr>
        <w:t xml:space="preserve">. </w:t>
      </w:r>
      <w:r w:rsidR="008463BE" w:rsidRPr="00CB0320">
        <w:rPr>
          <w:noProof/>
        </w:rPr>
        <w:t>The objective of this proposal is t</w:t>
      </w:r>
      <w:r w:rsidR="00693886" w:rsidRPr="00CB0320">
        <w:rPr>
          <w:noProof/>
        </w:rPr>
        <w:t>herefore t</w:t>
      </w:r>
      <w:r w:rsidR="008463BE" w:rsidRPr="00CB0320">
        <w:rPr>
          <w:noProof/>
        </w:rPr>
        <w:t xml:space="preserve">o </w:t>
      </w:r>
      <w:r w:rsidR="00693886" w:rsidRPr="00CB0320">
        <w:rPr>
          <w:noProof/>
        </w:rPr>
        <w:t>repeal the ODR Regulation</w:t>
      </w:r>
      <w:r w:rsidR="00B6339C" w:rsidRPr="00CB0320">
        <w:rPr>
          <w:noProof/>
        </w:rPr>
        <w:t xml:space="preserve">, </w:t>
      </w:r>
      <w:r w:rsidR="00A800A1">
        <w:rPr>
          <w:noProof/>
        </w:rPr>
        <w:t xml:space="preserve">thus </w:t>
      </w:r>
      <w:r w:rsidR="00B6339C" w:rsidRPr="00CB0320">
        <w:rPr>
          <w:noProof/>
        </w:rPr>
        <w:t>discontinu</w:t>
      </w:r>
      <w:r w:rsidR="00A800A1">
        <w:rPr>
          <w:noProof/>
        </w:rPr>
        <w:t>ing</w:t>
      </w:r>
      <w:r w:rsidR="00B6339C" w:rsidRPr="00CB0320">
        <w:rPr>
          <w:noProof/>
        </w:rPr>
        <w:t xml:space="preserve"> the ODR platform and </w:t>
      </w:r>
      <w:r w:rsidR="00A800A1">
        <w:rPr>
          <w:noProof/>
        </w:rPr>
        <w:t xml:space="preserve">remove the obligation on the online businesses </w:t>
      </w:r>
      <w:r w:rsidR="00B6339C" w:rsidRPr="00CB0320">
        <w:rPr>
          <w:noProof/>
        </w:rPr>
        <w:t>to</w:t>
      </w:r>
      <w:r w:rsidR="00BC5E35">
        <w:rPr>
          <w:noProof/>
        </w:rPr>
        <w:t xml:space="preserve"> provide a</w:t>
      </w:r>
      <w:r w:rsidR="00B6339C" w:rsidRPr="00CB0320">
        <w:rPr>
          <w:noProof/>
        </w:rPr>
        <w:t xml:space="preserve"> link to the ODR platform and manage an email </w:t>
      </w:r>
      <w:r w:rsidR="00BC5E35">
        <w:rPr>
          <w:noProof/>
        </w:rPr>
        <w:t>for</w:t>
      </w:r>
      <w:r w:rsidR="00B6339C" w:rsidRPr="00CB0320">
        <w:rPr>
          <w:noProof/>
        </w:rPr>
        <w:t xml:space="preserve"> communication</w:t>
      </w:r>
      <w:r w:rsidR="003605BC" w:rsidRPr="00CB0320">
        <w:rPr>
          <w:noProof/>
        </w:rPr>
        <w:t xml:space="preserve">. </w:t>
      </w:r>
    </w:p>
    <w:p w14:paraId="02EAD02E" w14:textId="77777777" w:rsidR="00875467" w:rsidRPr="002D5EE2" w:rsidRDefault="00875467"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 xml:space="preserve">Consistency with </w:t>
      </w:r>
      <w:r w:rsidR="00B6339C">
        <w:rPr>
          <w:rFonts w:eastAsia="Arial Unicode MS"/>
          <w:noProof/>
        </w:rPr>
        <w:t xml:space="preserve">other Union legal texts. </w:t>
      </w:r>
    </w:p>
    <w:p w14:paraId="0541280A" w14:textId="77777777" w:rsidR="00773F75" w:rsidRDefault="003605BC" w:rsidP="00B6339C">
      <w:pPr>
        <w:pBdr>
          <w:top w:val="nil"/>
          <w:left w:val="nil"/>
          <w:bottom w:val="nil"/>
          <w:right w:val="nil"/>
          <w:between w:val="nil"/>
          <w:bar w:val="nil"/>
        </w:pBdr>
        <w:spacing w:before="0" w:after="240"/>
        <w:rPr>
          <w:rFonts w:eastAsia="Arial Unicode MS"/>
          <w:noProof/>
        </w:rPr>
      </w:pPr>
      <w:r>
        <w:rPr>
          <w:noProof/>
          <w:color w:val="000000"/>
          <w:bdr w:val="none" w:sz="0" w:space="0" w:color="auto" w:frame="1"/>
        </w:rPr>
        <w:t>T</w:t>
      </w:r>
      <w:r w:rsidR="00773F75">
        <w:rPr>
          <w:noProof/>
          <w:color w:val="000000"/>
          <w:bdr w:val="none" w:sz="0" w:space="0" w:color="auto" w:frame="1"/>
        </w:rPr>
        <w:t>he proposal also amends the legislation which currently references the ODR Regulation</w:t>
      </w:r>
      <w:r w:rsidR="00B6339C">
        <w:rPr>
          <w:noProof/>
          <w:color w:val="000000"/>
          <w:bdr w:val="none" w:sz="0" w:space="0" w:color="auto" w:frame="1"/>
        </w:rPr>
        <w:t xml:space="preserve"> as a possible communication means between consumers and traders, including </w:t>
      </w:r>
      <w:r w:rsidR="004F5FFA">
        <w:rPr>
          <w:noProof/>
          <w:color w:val="000000"/>
          <w:bdr w:val="none" w:sz="0" w:space="0" w:color="auto" w:frame="1"/>
        </w:rPr>
        <w:t>Single Digital Gateway Regulation</w:t>
      </w:r>
      <w:r w:rsidR="004F5FFA">
        <w:rPr>
          <w:rStyle w:val="FootnoteReference"/>
          <w:noProof/>
          <w:color w:val="000000"/>
          <w:bdr w:val="none" w:sz="0" w:space="0" w:color="auto" w:frame="1"/>
        </w:rPr>
        <w:footnoteReference w:id="4"/>
      </w:r>
      <w:r w:rsidR="00B6339C">
        <w:rPr>
          <w:noProof/>
          <w:color w:val="000000"/>
          <w:bdr w:val="none" w:sz="0" w:space="0" w:color="auto" w:frame="1"/>
        </w:rPr>
        <w:t>.</w:t>
      </w:r>
    </w:p>
    <w:p w14:paraId="2FA9CB5F" w14:textId="77777777" w:rsidR="00875467" w:rsidRPr="002D5EE2" w:rsidRDefault="00875467" w:rsidP="00550536">
      <w:pPr>
        <w:pStyle w:val="ManualHeading1"/>
        <w:rPr>
          <w:noProof/>
        </w:rPr>
      </w:pPr>
      <w:r w:rsidRPr="002D5EE2">
        <w:rPr>
          <w:noProof/>
        </w:rPr>
        <w:t>2.</w:t>
      </w:r>
      <w:r w:rsidRPr="002D5EE2">
        <w:rPr>
          <w:noProof/>
        </w:rPr>
        <w:tab/>
        <w:t>LEGAL BASIS, SUBSIDIARITY AND PROPORTIONALITY</w:t>
      </w:r>
    </w:p>
    <w:p w14:paraId="1FEBCDC7" w14:textId="77777777" w:rsidR="00875467" w:rsidRPr="002D5EE2" w:rsidRDefault="00875467"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34420075" w14:textId="77777777" w:rsidR="004F5FFA" w:rsidRPr="002D5EE2" w:rsidRDefault="004F5FFA" w:rsidP="004F5FFA">
      <w:pPr>
        <w:pBdr>
          <w:top w:val="nil"/>
          <w:left w:val="nil"/>
          <w:bottom w:val="nil"/>
          <w:right w:val="nil"/>
          <w:between w:val="nil"/>
          <w:bar w:val="nil"/>
        </w:pBdr>
        <w:spacing w:before="0" w:after="240"/>
        <w:rPr>
          <w:rFonts w:eastAsia="Arial Unicode MS"/>
          <w:noProof/>
        </w:rPr>
      </w:pPr>
      <w:r>
        <w:rPr>
          <w:noProof/>
          <w:color w:val="000000"/>
          <w:bdr w:val="none" w:sz="0" w:space="0" w:color="auto" w:frame="1"/>
          <w:shd w:val="clear" w:color="auto" w:fill="FFFFFF"/>
        </w:rPr>
        <w:t>The legal basis for the proposal (the same as the basis for the ODR Regulation) is Article 114 TFEU on internal market completion, with due regard to Article 169 TFEU</w:t>
      </w:r>
      <w:r>
        <w:rPr>
          <w:rStyle w:val="FootnoteReference"/>
          <w:noProof/>
          <w:color w:val="000000"/>
          <w:bdr w:val="none" w:sz="0" w:space="0" w:color="auto" w:frame="1"/>
        </w:rPr>
        <w:footnoteReference w:id="5"/>
      </w:r>
      <w:r>
        <w:rPr>
          <w:noProof/>
          <w:color w:val="000000"/>
          <w:bdr w:val="none" w:sz="0" w:space="0" w:color="auto" w:frame="1"/>
          <w:shd w:val="clear" w:color="auto" w:fill="FFFFFF"/>
        </w:rPr>
        <w:t xml:space="preserve">. It confers upon the EU the competence to enact measures for the approximation of national rules regarding the establishment and functioning of the internal market. </w:t>
      </w:r>
    </w:p>
    <w:p w14:paraId="63184A54" w14:textId="77777777" w:rsidR="00875467" w:rsidRPr="002D5EE2" w:rsidRDefault="00875467"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35E85517" w14:textId="77777777" w:rsidR="004F5FFA" w:rsidRPr="004F5FFA" w:rsidRDefault="004F5FFA" w:rsidP="00E66708">
      <w:pPr>
        <w:rPr>
          <w:noProof/>
        </w:rPr>
      </w:pPr>
      <w:r w:rsidRPr="004F5FFA">
        <w:rPr>
          <w:noProof/>
        </w:rPr>
        <w:t>The</w:t>
      </w:r>
      <w:r>
        <w:rPr>
          <w:noProof/>
        </w:rPr>
        <w:t xml:space="preserve"> ODR Regulation was justified </w:t>
      </w:r>
      <w:r w:rsidRPr="004F5FFA">
        <w:rPr>
          <w:noProof/>
        </w:rPr>
        <w:t>out of subsidiarity considerations</w:t>
      </w:r>
      <w:r>
        <w:rPr>
          <w:noProof/>
        </w:rPr>
        <w:t xml:space="preserve">: in 2011, when it was adopted by the Commission, </w:t>
      </w:r>
      <w:r w:rsidRPr="004F5FFA">
        <w:rPr>
          <w:noProof/>
        </w:rPr>
        <w:t>digital markets were still developing</w:t>
      </w:r>
      <w:r>
        <w:rPr>
          <w:noProof/>
        </w:rPr>
        <w:t xml:space="preserve">, with no assurance of adequate </w:t>
      </w:r>
      <w:r w:rsidRPr="004F5FFA">
        <w:rPr>
          <w:noProof/>
        </w:rPr>
        <w:t xml:space="preserve">private or public </w:t>
      </w:r>
      <w:r>
        <w:rPr>
          <w:noProof/>
        </w:rPr>
        <w:t xml:space="preserve">digital </w:t>
      </w:r>
      <w:r w:rsidRPr="004F5FFA">
        <w:rPr>
          <w:noProof/>
        </w:rPr>
        <w:t xml:space="preserve">tools to assist online traders reach out to ADR entities. However, these considerations became irrelevant </w:t>
      </w:r>
      <w:r w:rsidRPr="004F5FFA">
        <w:rPr>
          <w:noProof/>
          <w:szCs w:val="24"/>
        </w:rPr>
        <w:t>due to</w:t>
      </w:r>
      <w:r w:rsidRPr="004F5FFA">
        <w:rPr>
          <w:noProof/>
        </w:rPr>
        <w:t xml:space="preserve"> the rapid development of online complaint-handling systems of digital marketplaces, which themselves rapidly became one of the main dispute resolution channels for SMEs</w:t>
      </w:r>
      <w:r w:rsidR="00B6339C">
        <w:rPr>
          <w:noProof/>
        </w:rPr>
        <w:t xml:space="preserve"> trading online</w:t>
      </w:r>
      <w:r w:rsidRPr="004F5FFA">
        <w:rPr>
          <w:noProof/>
        </w:rPr>
        <w:t xml:space="preserve">. </w:t>
      </w:r>
    </w:p>
    <w:p w14:paraId="2D1529F9" w14:textId="77777777" w:rsidR="00875467" w:rsidRDefault="00875467"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1FF80E66" w14:textId="77777777" w:rsidR="004F5FFA" w:rsidRDefault="004F5FFA" w:rsidP="00550536">
      <w:pPr>
        <w:pBdr>
          <w:top w:val="nil"/>
          <w:left w:val="nil"/>
          <w:bottom w:val="nil"/>
          <w:right w:val="nil"/>
          <w:between w:val="nil"/>
          <w:bar w:val="nil"/>
        </w:pBdr>
        <w:spacing w:before="0" w:after="240"/>
        <w:rPr>
          <w:rFonts w:eastAsia="Times New Roman"/>
          <w:noProof/>
          <w:color w:val="000000"/>
          <w:szCs w:val="24"/>
          <w:bdr w:val="none" w:sz="0" w:space="0" w:color="auto" w:frame="1"/>
          <w:lang w:eastAsia="en-GB"/>
        </w:rPr>
      </w:pPr>
      <w:r>
        <w:rPr>
          <w:rFonts w:eastAsia="Times New Roman"/>
          <w:noProof/>
          <w:color w:val="000000"/>
          <w:szCs w:val="24"/>
          <w:bdr w:val="none" w:sz="0" w:space="0" w:color="auto" w:frame="1"/>
          <w:lang w:eastAsia="en-GB"/>
        </w:rPr>
        <w:t>The repeal of the ODR Regulation</w:t>
      </w:r>
      <w:r w:rsidR="00B6339C">
        <w:rPr>
          <w:rFonts w:eastAsia="Times New Roman"/>
          <w:noProof/>
          <w:color w:val="000000"/>
          <w:szCs w:val="24"/>
          <w:bdr w:val="none" w:sz="0" w:space="0" w:color="auto" w:frame="1"/>
          <w:lang w:eastAsia="en-GB"/>
        </w:rPr>
        <w:t xml:space="preserve"> eliminates the existing </w:t>
      </w:r>
      <w:r>
        <w:rPr>
          <w:rFonts w:eastAsia="Times New Roman"/>
          <w:noProof/>
          <w:color w:val="000000"/>
          <w:szCs w:val="24"/>
          <w:bdr w:val="none" w:sz="0" w:space="0" w:color="auto" w:frame="1"/>
          <w:lang w:eastAsia="en-GB"/>
        </w:rPr>
        <w:t xml:space="preserve">burden on public </w:t>
      </w:r>
      <w:r w:rsidR="00B6339C">
        <w:rPr>
          <w:rFonts w:eastAsia="Times New Roman"/>
          <w:noProof/>
          <w:color w:val="000000"/>
          <w:szCs w:val="24"/>
          <w:bdr w:val="none" w:sz="0" w:space="0" w:color="auto" w:frame="1"/>
          <w:lang w:eastAsia="en-GB"/>
        </w:rPr>
        <w:t xml:space="preserve">and </w:t>
      </w:r>
      <w:r>
        <w:rPr>
          <w:rFonts w:eastAsia="Times New Roman"/>
          <w:noProof/>
          <w:color w:val="000000"/>
          <w:szCs w:val="24"/>
          <w:bdr w:val="none" w:sz="0" w:space="0" w:color="auto" w:frame="1"/>
          <w:lang w:eastAsia="en-GB"/>
        </w:rPr>
        <w:t>private actors</w:t>
      </w:r>
      <w:r w:rsidR="00B6339C">
        <w:rPr>
          <w:rFonts w:eastAsia="Times New Roman"/>
          <w:noProof/>
          <w:color w:val="000000"/>
          <w:szCs w:val="24"/>
          <w:bdr w:val="none" w:sz="0" w:space="0" w:color="auto" w:frame="1"/>
          <w:lang w:eastAsia="en-GB"/>
        </w:rPr>
        <w:t>.</w:t>
      </w:r>
      <w:r>
        <w:rPr>
          <w:rFonts w:eastAsia="Times New Roman"/>
          <w:noProof/>
          <w:color w:val="000000"/>
          <w:szCs w:val="24"/>
          <w:bdr w:val="none" w:sz="0" w:space="0" w:color="auto" w:frame="1"/>
          <w:lang w:eastAsia="en-GB"/>
        </w:rPr>
        <w:t xml:space="preserve">  </w:t>
      </w:r>
    </w:p>
    <w:p w14:paraId="0A4D29D6" w14:textId="77777777" w:rsidR="004F5FFA" w:rsidRDefault="00875467" w:rsidP="004F5FFA">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4D4AB4DB" w14:textId="77777777" w:rsidR="00144DA2" w:rsidRPr="00144DA2" w:rsidRDefault="00144DA2" w:rsidP="00E66708">
      <w:pPr>
        <w:rPr>
          <w:noProof/>
          <w:lang w:val="en-US" w:eastAsia="en-GB"/>
        </w:rPr>
      </w:pPr>
      <w:r>
        <w:rPr>
          <w:noProof/>
          <w:lang w:val="en-US" w:eastAsia="en-GB"/>
        </w:rPr>
        <w:t>As the objective of this proposal is to primarily repeal the ODR Regulation, a Regulation is the appropriate choice.</w:t>
      </w:r>
    </w:p>
    <w:p w14:paraId="460925A7" w14:textId="77777777" w:rsidR="00875467" w:rsidRPr="00550536" w:rsidRDefault="00875467" w:rsidP="00550536">
      <w:pPr>
        <w:pStyle w:val="ManualHeading1"/>
        <w:rPr>
          <w:noProof/>
        </w:rPr>
      </w:pPr>
      <w:r w:rsidRPr="00550536">
        <w:rPr>
          <w:noProof/>
        </w:rPr>
        <w:t>3.</w:t>
      </w:r>
      <w:r w:rsidRPr="00550536">
        <w:rPr>
          <w:noProof/>
        </w:rPr>
        <w:tab/>
        <w:t>RESULTS OF EX-POST EVALUATIONS, STAKEHOLDER CONSULTATIONS AND IMPACT ASSESSMENTS</w:t>
      </w:r>
    </w:p>
    <w:p w14:paraId="67F64751" w14:textId="77777777" w:rsidR="00875467" w:rsidRDefault="00875467"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6E1ACB7C" w14:textId="77777777" w:rsidR="00144DA2" w:rsidRPr="00CB0320" w:rsidRDefault="00144DA2" w:rsidP="00550536">
      <w:pPr>
        <w:pBdr>
          <w:top w:val="nil"/>
          <w:left w:val="nil"/>
          <w:bottom w:val="nil"/>
          <w:right w:val="nil"/>
          <w:between w:val="nil"/>
          <w:bar w:val="nil"/>
        </w:pBdr>
        <w:spacing w:before="0" w:after="240"/>
        <w:rPr>
          <w:noProof/>
        </w:rPr>
      </w:pPr>
      <w:r w:rsidRPr="00CB0320">
        <w:rPr>
          <w:noProof/>
        </w:rPr>
        <w:t xml:space="preserve">Article 21 of the ODR regulation foresees </w:t>
      </w:r>
      <w:r w:rsidR="00B6339C" w:rsidRPr="00CB0320">
        <w:rPr>
          <w:noProof/>
        </w:rPr>
        <w:t xml:space="preserve">the yearly </w:t>
      </w:r>
      <w:r w:rsidRPr="00CB0320">
        <w:rPr>
          <w:noProof/>
        </w:rPr>
        <w:t xml:space="preserve">publication of </w:t>
      </w:r>
      <w:r w:rsidR="00B6339C" w:rsidRPr="00CB0320">
        <w:rPr>
          <w:noProof/>
        </w:rPr>
        <w:t xml:space="preserve">a </w:t>
      </w:r>
      <w:r w:rsidRPr="00CB0320">
        <w:rPr>
          <w:noProof/>
        </w:rPr>
        <w:t xml:space="preserve">report on the performance of the platform and periodic reports on </w:t>
      </w:r>
      <w:r w:rsidR="00B6339C" w:rsidRPr="00CB0320">
        <w:rPr>
          <w:noProof/>
        </w:rPr>
        <w:t xml:space="preserve">the </w:t>
      </w:r>
      <w:r w:rsidRPr="00CB0320">
        <w:rPr>
          <w:noProof/>
        </w:rPr>
        <w:t xml:space="preserve">application of the ODR Regulation. </w:t>
      </w:r>
      <w:r w:rsidR="00B6339C" w:rsidRPr="00CB0320">
        <w:rPr>
          <w:noProof/>
        </w:rPr>
        <w:t>In view of the information contained in th</w:t>
      </w:r>
      <w:r w:rsidR="00250415" w:rsidRPr="00CB0320">
        <w:rPr>
          <w:noProof/>
        </w:rPr>
        <w:t>ese</w:t>
      </w:r>
      <w:r w:rsidR="00B6339C" w:rsidRPr="00CB0320">
        <w:rPr>
          <w:noProof/>
        </w:rPr>
        <w:t xml:space="preserve"> reports demonstrating the very low use of the platform to promote the use of ADR procedures in online market</w:t>
      </w:r>
      <w:r w:rsidR="00250415" w:rsidRPr="00CB0320">
        <w:rPr>
          <w:noProof/>
        </w:rPr>
        <w:t>s</w:t>
      </w:r>
      <w:r w:rsidR="00B6339C" w:rsidRPr="00CB0320">
        <w:rPr>
          <w:noProof/>
        </w:rPr>
        <w:t xml:space="preserve">, it was not necessary to carry a detailed evaluation. </w:t>
      </w:r>
      <w:r w:rsidRPr="00CB0320">
        <w:rPr>
          <w:noProof/>
        </w:rPr>
        <w:t xml:space="preserve">Annex 7 </w:t>
      </w:r>
      <w:r w:rsidR="00B6339C" w:rsidRPr="00CB0320">
        <w:rPr>
          <w:noProof/>
        </w:rPr>
        <w:t xml:space="preserve">of the Impact Assessment carried out to review the ADR directive, </w:t>
      </w:r>
      <w:r w:rsidR="00250415" w:rsidRPr="00CB0320">
        <w:rPr>
          <w:noProof/>
        </w:rPr>
        <w:t xml:space="preserve">however, details </w:t>
      </w:r>
      <w:r w:rsidRPr="00CB0320">
        <w:rPr>
          <w:noProof/>
        </w:rPr>
        <w:t>the reasons behind th</w:t>
      </w:r>
      <w:r w:rsidR="00250415" w:rsidRPr="00CB0320">
        <w:rPr>
          <w:noProof/>
        </w:rPr>
        <w:t xml:space="preserve">e </w:t>
      </w:r>
      <w:r w:rsidRPr="00CB0320">
        <w:rPr>
          <w:noProof/>
        </w:rPr>
        <w:t>low performance</w:t>
      </w:r>
      <w:r w:rsidR="00250415" w:rsidRPr="00CB0320">
        <w:rPr>
          <w:noProof/>
        </w:rPr>
        <w:t xml:space="preserve"> of the ODR platform.</w:t>
      </w:r>
      <w:r w:rsidRPr="00CB0320">
        <w:rPr>
          <w:noProof/>
        </w:rPr>
        <w:t xml:space="preserve"> </w:t>
      </w:r>
    </w:p>
    <w:p w14:paraId="14FD44D1" w14:textId="77777777" w:rsidR="00875467" w:rsidRDefault="00875467"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r w:rsidR="00B07E20">
        <w:rPr>
          <w:rFonts w:eastAsia="Arial Unicode MS"/>
          <w:noProof/>
          <w:u w:color="000000"/>
          <w:bdr w:val="nil"/>
          <w:lang w:val="en-US" w:eastAsia="en-GB"/>
        </w:rPr>
        <w:t xml:space="preserve"> and studies</w:t>
      </w:r>
    </w:p>
    <w:p w14:paraId="5345C7A3" w14:textId="77777777" w:rsidR="00144DA2" w:rsidRPr="00250415" w:rsidRDefault="00250415" w:rsidP="00250415">
      <w:pPr>
        <w:pBdr>
          <w:top w:val="nil"/>
          <w:left w:val="nil"/>
          <w:bottom w:val="nil"/>
          <w:right w:val="nil"/>
          <w:between w:val="nil"/>
          <w:bar w:val="nil"/>
        </w:pBdr>
        <w:spacing w:before="0" w:after="240"/>
        <w:rPr>
          <w:rFonts w:eastAsia="Times New Roman"/>
          <w:noProof/>
          <w:color w:val="000000"/>
          <w:szCs w:val="24"/>
          <w:bdr w:val="none" w:sz="0" w:space="0" w:color="auto" w:frame="1"/>
          <w:lang w:eastAsia="en-GB"/>
        </w:rPr>
      </w:pPr>
      <w:r>
        <w:rPr>
          <w:rFonts w:eastAsia="Times New Roman"/>
          <w:noProof/>
          <w:color w:val="000000"/>
          <w:szCs w:val="24"/>
          <w:bdr w:val="none" w:sz="0" w:space="0" w:color="auto" w:frame="1"/>
          <w:lang w:eastAsia="en-GB"/>
        </w:rPr>
        <w:t>As part of its endeavour to evaluate the ADR Directive, t</w:t>
      </w:r>
      <w:r w:rsidR="00144DA2">
        <w:rPr>
          <w:rFonts w:eastAsia="Times New Roman"/>
          <w:noProof/>
          <w:color w:val="000000"/>
          <w:szCs w:val="24"/>
          <w:bdr w:val="none" w:sz="0" w:space="0" w:color="auto" w:frame="1"/>
          <w:lang w:eastAsia="en-GB"/>
        </w:rPr>
        <w:t>he Commission carried out extensive consultations throughout 2021 and 2022</w:t>
      </w:r>
      <w:r>
        <w:rPr>
          <w:rFonts w:eastAsia="Times New Roman"/>
          <w:noProof/>
          <w:color w:val="000000"/>
          <w:szCs w:val="24"/>
          <w:bdr w:val="none" w:sz="0" w:space="0" w:color="auto" w:frame="1"/>
          <w:lang w:eastAsia="en-GB"/>
        </w:rPr>
        <w:t>, where some questions were relevant for the ODR Regulation</w:t>
      </w:r>
      <w:r w:rsidR="00144DA2">
        <w:rPr>
          <w:rFonts w:eastAsia="Times New Roman"/>
          <w:noProof/>
          <w:color w:val="000000"/>
          <w:szCs w:val="24"/>
          <w:bdr w:val="none" w:sz="0" w:space="0" w:color="auto" w:frame="1"/>
          <w:lang w:eastAsia="en-GB"/>
        </w:rPr>
        <w:t>:</w:t>
      </w:r>
      <w:r>
        <w:rPr>
          <w:rFonts w:eastAsia="Times New Roman"/>
          <w:noProof/>
          <w:color w:val="000000"/>
          <w:szCs w:val="24"/>
          <w:bdr w:val="none" w:sz="0" w:space="0" w:color="auto" w:frame="1"/>
          <w:lang w:eastAsia="en-GB"/>
        </w:rPr>
        <w:t xml:space="preserve"> t</w:t>
      </w:r>
      <w:r w:rsidR="00144DA2" w:rsidRPr="00250415">
        <w:rPr>
          <w:noProof/>
          <w:color w:val="000000"/>
          <w:szCs w:val="24"/>
          <w:bdr w:val="none" w:sz="0" w:space="0" w:color="auto" w:frame="1"/>
          <w:lang w:eastAsia="en-GB"/>
        </w:rPr>
        <w:t>wo multi-lingual public consultations with a backward and forward-looking approach on ADR and Call for Evidence on its Have your Say website</w:t>
      </w:r>
      <w:r>
        <w:rPr>
          <w:noProof/>
          <w:color w:val="000000"/>
          <w:szCs w:val="24"/>
          <w:bdr w:val="none" w:sz="0" w:space="0" w:color="auto" w:frame="1"/>
          <w:lang w:eastAsia="en-GB"/>
        </w:rPr>
        <w:t>.</w:t>
      </w:r>
      <w:r w:rsidR="00144DA2" w:rsidRPr="00250415">
        <w:rPr>
          <w:noProof/>
          <w:color w:val="000000"/>
          <w:szCs w:val="24"/>
          <w:bdr w:val="none" w:sz="0" w:space="0" w:color="auto" w:frame="1"/>
          <w:lang w:eastAsia="en-GB"/>
        </w:rPr>
        <w:t xml:space="preserve"> </w:t>
      </w:r>
    </w:p>
    <w:p w14:paraId="37089D85" w14:textId="77777777" w:rsidR="00144DA2" w:rsidRPr="005E5534" w:rsidRDefault="00250415" w:rsidP="00250415">
      <w:pPr>
        <w:pBdr>
          <w:top w:val="nil"/>
          <w:left w:val="nil"/>
          <w:bottom w:val="nil"/>
          <w:right w:val="nil"/>
          <w:between w:val="nil"/>
          <w:bar w:val="nil"/>
        </w:pBdr>
        <w:rPr>
          <w:noProof/>
          <w:color w:val="000000"/>
          <w:szCs w:val="24"/>
          <w:bdr w:val="none" w:sz="0" w:space="0" w:color="auto" w:frame="1"/>
          <w:lang w:eastAsia="en-GB"/>
        </w:rPr>
      </w:pPr>
      <w:r>
        <w:rPr>
          <w:noProof/>
          <w:color w:val="000000"/>
          <w:szCs w:val="24"/>
          <w:bdr w:val="none" w:sz="0" w:space="0" w:color="auto" w:frame="1"/>
          <w:lang w:eastAsia="en-GB"/>
        </w:rPr>
        <w:t xml:space="preserve">In addition, regular discussions with stakeholders were held on the performance of the </w:t>
      </w:r>
      <w:r w:rsidR="00144DA2" w:rsidRPr="00250415">
        <w:rPr>
          <w:noProof/>
          <w:color w:val="000000"/>
          <w:szCs w:val="24"/>
          <w:bdr w:val="none" w:sz="0" w:space="0" w:color="auto" w:frame="1"/>
          <w:lang w:eastAsia="en-GB"/>
        </w:rPr>
        <w:t>ODR platform includ</w:t>
      </w:r>
      <w:r>
        <w:rPr>
          <w:noProof/>
          <w:color w:val="000000"/>
          <w:szCs w:val="24"/>
          <w:bdr w:val="none" w:sz="0" w:space="0" w:color="auto" w:frame="1"/>
          <w:lang w:eastAsia="en-GB"/>
        </w:rPr>
        <w:t>ing</w:t>
      </w:r>
      <w:r w:rsidR="00144DA2" w:rsidRPr="00250415">
        <w:rPr>
          <w:noProof/>
          <w:color w:val="000000"/>
          <w:szCs w:val="24"/>
          <w:bdr w:val="none" w:sz="0" w:space="0" w:color="auto" w:frame="1"/>
          <w:lang w:eastAsia="en-GB"/>
        </w:rPr>
        <w:t xml:space="preserve"> </w:t>
      </w:r>
      <w:r w:rsidR="00552BA1" w:rsidRPr="00250415">
        <w:rPr>
          <w:noProof/>
          <w:color w:val="000000"/>
          <w:szCs w:val="24"/>
          <w:bdr w:val="none" w:sz="0" w:space="0" w:color="auto" w:frame="1"/>
          <w:lang w:eastAsia="en-GB"/>
        </w:rPr>
        <w:t xml:space="preserve">studies </w:t>
      </w:r>
      <w:r>
        <w:rPr>
          <w:noProof/>
          <w:color w:val="000000"/>
          <w:szCs w:val="24"/>
          <w:bdr w:val="none" w:sz="0" w:space="0" w:color="auto" w:frame="1"/>
          <w:lang w:eastAsia="en-GB"/>
        </w:rPr>
        <w:t>for</w:t>
      </w:r>
      <w:r w:rsidR="00552BA1" w:rsidRPr="00250415">
        <w:rPr>
          <w:noProof/>
          <w:color w:val="000000"/>
          <w:szCs w:val="24"/>
          <w:bdr w:val="none" w:sz="0" w:space="0" w:color="auto" w:frame="1"/>
          <w:lang w:eastAsia="en-GB"/>
        </w:rPr>
        <w:t xml:space="preserve"> improving </w:t>
      </w:r>
      <w:r>
        <w:rPr>
          <w:noProof/>
          <w:color w:val="000000"/>
          <w:szCs w:val="24"/>
          <w:bdr w:val="none" w:sz="0" w:space="0" w:color="auto" w:frame="1"/>
          <w:lang w:eastAsia="en-GB"/>
        </w:rPr>
        <w:t xml:space="preserve">the </w:t>
      </w:r>
      <w:r w:rsidR="00552BA1" w:rsidRPr="00250415">
        <w:rPr>
          <w:noProof/>
          <w:color w:val="000000"/>
          <w:szCs w:val="24"/>
          <w:bdr w:val="none" w:sz="0" w:space="0" w:color="auto" w:frame="1"/>
          <w:lang w:eastAsia="en-GB"/>
        </w:rPr>
        <w:t>design</w:t>
      </w:r>
      <w:r>
        <w:rPr>
          <w:noProof/>
          <w:color w:val="000000"/>
          <w:szCs w:val="24"/>
          <w:bdr w:val="none" w:sz="0" w:space="0" w:color="auto" w:frame="1"/>
          <w:lang w:eastAsia="en-GB"/>
        </w:rPr>
        <w:t xml:space="preserve"> and </w:t>
      </w:r>
      <w:r w:rsidR="00552BA1" w:rsidRPr="00250415">
        <w:rPr>
          <w:noProof/>
          <w:color w:val="000000"/>
          <w:szCs w:val="24"/>
          <w:bdr w:val="none" w:sz="0" w:space="0" w:color="auto" w:frame="1"/>
          <w:lang w:eastAsia="en-GB"/>
        </w:rPr>
        <w:t xml:space="preserve">functionalities </w:t>
      </w:r>
      <w:r>
        <w:rPr>
          <w:noProof/>
          <w:color w:val="000000"/>
          <w:szCs w:val="24"/>
          <w:bdr w:val="none" w:sz="0" w:space="0" w:color="auto" w:frame="1"/>
          <w:lang w:eastAsia="en-GB"/>
        </w:rPr>
        <w:t>of the platform which contained s</w:t>
      </w:r>
      <w:r w:rsidR="00552BA1" w:rsidRPr="00250415">
        <w:rPr>
          <w:noProof/>
          <w:color w:val="000000"/>
          <w:szCs w:val="24"/>
          <w:bdr w:val="none" w:sz="0" w:space="0" w:color="auto" w:frame="1"/>
          <w:lang w:eastAsia="en-GB"/>
        </w:rPr>
        <w:t xml:space="preserve">urveys and interviews with the consumers, traders, ADR entities and the national </w:t>
      </w:r>
      <w:r>
        <w:rPr>
          <w:noProof/>
          <w:color w:val="000000"/>
          <w:szCs w:val="24"/>
          <w:bdr w:val="none" w:sz="0" w:space="0" w:color="auto" w:frame="1"/>
          <w:lang w:eastAsia="en-GB"/>
        </w:rPr>
        <w:t xml:space="preserve">ODR </w:t>
      </w:r>
      <w:r w:rsidR="00552BA1" w:rsidRPr="00250415">
        <w:rPr>
          <w:noProof/>
          <w:color w:val="000000"/>
          <w:szCs w:val="24"/>
          <w:bdr w:val="none" w:sz="0" w:space="0" w:color="auto" w:frame="1"/>
          <w:lang w:eastAsia="en-GB"/>
        </w:rPr>
        <w:t>contact points</w:t>
      </w:r>
      <w:r>
        <w:rPr>
          <w:noProof/>
          <w:color w:val="000000"/>
          <w:szCs w:val="24"/>
          <w:bdr w:val="none" w:sz="0" w:space="0" w:color="auto" w:frame="1"/>
          <w:lang w:eastAsia="en-GB"/>
        </w:rPr>
        <w:t xml:space="preserve">. The following events were also opportunities to discuss the performance of the platform such as the </w:t>
      </w:r>
      <w:r w:rsidR="00552BA1">
        <w:rPr>
          <w:noProof/>
          <w:color w:val="000000"/>
          <w:szCs w:val="24"/>
          <w:bdr w:val="none" w:sz="0" w:space="0" w:color="auto" w:frame="1"/>
          <w:lang w:eastAsia="en-GB"/>
        </w:rPr>
        <w:t>ODR contact points meeting of 13 September 2022</w:t>
      </w:r>
      <w:r w:rsidR="00012752">
        <w:rPr>
          <w:noProof/>
          <w:color w:val="000000"/>
          <w:szCs w:val="24"/>
          <w:bdr w:val="none" w:sz="0" w:space="0" w:color="auto" w:frame="1"/>
          <w:lang w:eastAsia="en-GB"/>
        </w:rPr>
        <w:t xml:space="preserve"> </w:t>
      </w:r>
      <w:r>
        <w:rPr>
          <w:noProof/>
          <w:color w:val="000000"/>
          <w:szCs w:val="24"/>
          <w:bdr w:val="none" w:sz="0" w:space="0" w:color="auto" w:frame="1"/>
          <w:lang w:eastAsia="en-GB"/>
        </w:rPr>
        <w:t xml:space="preserve">and </w:t>
      </w:r>
      <w:r w:rsidR="00144DA2" w:rsidRPr="005E5534">
        <w:rPr>
          <w:noProof/>
          <w:color w:val="000000"/>
          <w:szCs w:val="24"/>
          <w:bdr w:val="none" w:sz="0" w:space="0" w:color="auto" w:frame="1"/>
          <w:lang w:eastAsia="en-GB"/>
        </w:rPr>
        <w:t>various</w:t>
      </w:r>
      <w:r w:rsidR="00144DA2">
        <w:rPr>
          <w:noProof/>
          <w:color w:val="000000"/>
          <w:szCs w:val="24"/>
          <w:bdr w:val="none" w:sz="0" w:space="0" w:color="auto" w:frame="1"/>
          <w:lang w:eastAsia="en-GB"/>
        </w:rPr>
        <w:t xml:space="preserve"> </w:t>
      </w:r>
      <w:r w:rsidR="00144DA2" w:rsidRPr="005E5534">
        <w:rPr>
          <w:noProof/>
          <w:color w:val="000000"/>
          <w:szCs w:val="24"/>
          <w:bdr w:val="none" w:sz="0" w:space="0" w:color="auto" w:frame="1"/>
          <w:lang w:eastAsia="en-GB"/>
        </w:rPr>
        <w:t xml:space="preserve">workshops including the ADR </w:t>
      </w:r>
      <w:r>
        <w:rPr>
          <w:noProof/>
          <w:color w:val="000000"/>
          <w:szCs w:val="24"/>
          <w:bdr w:val="none" w:sz="0" w:space="0" w:color="auto" w:frame="1"/>
          <w:lang w:eastAsia="en-GB"/>
        </w:rPr>
        <w:t xml:space="preserve">entities </w:t>
      </w:r>
      <w:r w:rsidR="00144DA2" w:rsidRPr="005E5534">
        <w:rPr>
          <w:noProof/>
          <w:color w:val="000000"/>
          <w:szCs w:val="24"/>
          <w:bdr w:val="none" w:sz="0" w:space="0" w:color="auto" w:frame="1"/>
          <w:lang w:eastAsia="en-GB"/>
        </w:rPr>
        <w:t xml:space="preserve">assembly </w:t>
      </w:r>
      <w:r>
        <w:rPr>
          <w:noProof/>
          <w:color w:val="000000"/>
          <w:szCs w:val="24"/>
          <w:bdr w:val="none" w:sz="0" w:space="0" w:color="auto" w:frame="1"/>
          <w:lang w:eastAsia="en-GB"/>
        </w:rPr>
        <w:t xml:space="preserve">held in </w:t>
      </w:r>
      <w:r w:rsidR="00144DA2" w:rsidRPr="005E5534">
        <w:rPr>
          <w:noProof/>
          <w:color w:val="000000"/>
          <w:szCs w:val="24"/>
          <w:bdr w:val="none" w:sz="0" w:space="0" w:color="auto" w:frame="1"/>
          <w:lang w:eastAsia="en-GB"/>
        </w:rPr>
        <w:t xml:space="preserve">2021; a panel discussion at the </w:t>
      </w:r>
      <w:r>
        <w:rPr>
          <w:noProof/>
          <w:color w:val="000000"/>
          <w:szCs w:val="24"/>
          <w:bdr w:val="none" w:sz="0" w:space="0" w:color="auto" w:frame="1"/>
          <w:lang w:eastAsia="en-GB"/>
        </w:rPr>
        <w:t xml:space="preserve">2022 </w:t>
      </w:r>
      <w:r w:rsidR="00144DA2" w:rsidRPr="005E5534">
        <w:rPr>
          <w:noProof/>
          <w:color w:val="000000"/>
          <w:szCs w:val="24"/>
          <w:bdr w:val="none" w:sz="0" w:space="0" w:color="auto" w:frame="1"/>
          <w:lang w:eastAsia="en-GB"/>
        </w:rPr>
        <w:t xml:space="preserve">Consumer Summit and </w:t>
      </w:r>
      <w:r>
        <w:rPr>
          <w:noProof/>
          <w:color w:val="000000"/>
          <w:szCs w:val="24"/>
          <w:bdr w:val="none" w:sz="0" w:space="0" w:color="auto" w:frame="1"/>
          <w:lang w:eastAsia="en-GB"/>
        </w:rPr>
        <w:t xml:space="preserve">a roundtable about </w:t>
      </w:r>
      <w:r w:rsidR="00144DA2" w:rsidRPr="005E5534">
        <w:rPr>
          <w:noProof/>
          <w:color w:val="000000"/>
          <w:szCs w:val="24"/>
          <w:bdr w:val="none" w:sz="0" w:space="0" w:color="auto" w:frame="1"/>
          <w:lang w:eastAsia="en-GB"/>
        </w:rPr>
        <w:t xml:space="preserve">Cross-border ADR </w:t>
      </w:r>
      <w:r>
        <w:rPr>
          <w:noProof/>
          <w:color w:val="000000"/>
          <w:szCs w:val="24"/>
          <w:bdr w:val="none" w:sz="0" w:space="0" w:color="auto" w:frame="1"/>
          <w:lang w:eastAsia="en-GB"/>
        </w:rPr>
        <w:t xml:space="preserve">also held </w:t>
      </w:r>
      <w:r w:rsidR="00144DA2" w:rsidRPr="005E5534">
        <w:rPr>
          <w:noProof/>
          <w:color w:val="000000"/>
          <w:szCs w:val="24"/>
          <w:bdr w:val="none" w:sz="0" w:space="0" w:color="auto" w:frame="1"/>
          <w:lang w:eastAsia="en-GB"/>
        </w:rPr>
        <w:t>in 2022</w:t>
      </w:r>
      <w:r>
        <w:rPr>
          <w:noProof/>
          <w:color w:val="000000"/>
          <w:szCs w:val="24"/>
          <w:bdr w:val="none" w:sz="0" w:space="0" w:color="auto" w:frame="1"/>
          <w:lang w:eastAsia="en-GB"/>
        </w:rPr>
        <w:t>.</w:t>
      </w:r>
    </w:p>
    <w:p w14:paraId="608FC0F8" w14:textId="6751343E" w:rsidR="00144DA2" w:rsidRPr="00620949" w:rsidRDefault="00144DA2" w:rsidP="00E66708">
      <w:pPr>
        <w:rPr>
          <w:b/>
          <w:noProof/>
        </w:rPr>
      </w:pPr>
      <w:r>
        <w:rPr>
          <w:noProof/>
        </w:rPr>
        <w:t xml:space="preserve">There </w:t>
      </w:r>
      <w:r w:rsidR="00552BA1">
        <w:rPr>
          <w:noProof/>
        </w:rPr>
        <w:t>was</w:t>
      </w:r>
      <w:r>
        <w:rPr>
          <w:noProof/>
        </w:rPr>
        <w:t xml:space="preserve"> a general consensus that the </w:t>
      </w:r>
      <w:r w:rsidR="00552BA1">
        <w:rPr>
          <w:noProof/>
        </w:rPr>
        <w:t xml:space="preserve">useful effect of the </w:t>
      </w:r>
      <w:r>
        <w:rPr>
          <w:noProof/>
        </w:rPr>
        <w:t xml:space="preserve">ODR Platform </w:t>
      </w:r>
      <w:r w:rsidR="00C85409">
        <w:rPr>
          <w:noProof/>
        </w:rPr>
        <w:t xml:space="preserve">was very </w:t>
      </w:r>
      <w:r>
        <w:rPr>
          <w:noProof/>
        </w:rPr>
        <w:t>limited</w:t>
      </w:r>
      <w:r w:rsidR="00C85409">
        <w:rPr>
          <w:noProof/>
        </w:rPr>
        <w:t xml:space="preserve"> and thus not </w:t>
      </w:r>
      <w:r>
        <w:rPr>
          <w:noProof/>
        </w:rPr>
        <w:t>cost-effective</w:t>
      </w:r>
      <w:r w:rsidR="00C85409">
        <w:rPr>
          <w:noProof/>
        </w:rPr>
        <w:t>. T</w:t>
      </w:r>
      <w:r w:rsidR="00552BA1">
        <w:rPr>
          <w:noProof/>
        </w:rPr>
        <w:t xml:space="preserve">he ODR platform </w:t>
      </w:r>
      <w:r w:rsidR="00C85409">
        <w:rPr>
          <w:noProof/>
        </w:rPr>
        <w:t xml:space="preserve">however was considered an important source of information to obtain the list of </w:t>
      </w:r>
      <w:r w:rsidR="00552BA1">
        <w:rPr>
          <w:noProof/>
        </w:rPr>
        <w:t>ADR entities</w:t>
      </w:r>
      <w:r w:rsidR="00C85409">
        <w:rPr>
          <w:noProof/>
        </w:rPr>
        <w:t xml:space="preserve"> that have been accredited by national authorities in the Union according to the ADR Directive, an obligation however stemming from this Directive and implemented by the Commission on the ODR platform and which will thus continue to be maintained. Stakeholders also valued the advising role of ODR Contact points in relation to cross</w:t>
      </w:r>
      <w:r w:rsidR="009C40FB">
        <w:rPr>
          <w:noProof/>
        </w:rPr>
        <w:t>-</w:t>
      </w:r>
      <w:r w:rsidR="00C85409">
        <w:rPr>
          <w:noProof/>
        </w:rPr>
        <w:t xml:space="preserve">border purchases. </w:t>
      </w:r>
      <w:r w:rsidR="009C40FB">
        <w:rPr>
          <w:noProof/>
        </w:rPr>
        <w:t>For the majority of the cases, the role of ODR contact points were taken up by the European Consumer Centres.</w:t>
      </w:r>
    </w:p>
    <w:p w14:paraId="05EAD924" w14:textId="77777777" w:rsidR="00B07E20" w:rsidRDefault="007E4455" w:rsidP="007E4455">
      <w:pPr>
        <w:pBdr>
          <w:top w:val="nil"/>
          <w:left w:val="nil"/>
          <w:bottom w:val="nil"/>
          <w:right w:val="nil"/>
          <w:between w:val="nil"/>
          <w:bar w:val="nil"/>
        </w:pBdr>
        <w:rPr>
          <w:rFonts w:eastAsia="Calibri"/>
          <w:noProof/>
          <w:szCs w:val="24"/>
          <w:lang w:val="en-US"/>
        </w:rPr>
      </w:pPr>
      <w:r>
        <w:rPr>
          <w:rFonts w:eastAsia="Calibri"/>
          <w:noProof/>
          <w:szCs w:val="24"/>
          <w:lang w:val="en-US"/>
        </w:rPr>
        <w:t xml:space="preserve">The Commission also received internal </w:t>
      </w:r>
      <w:r w:rsidR="00B07E20">
        <w:rPr>
          <w:rFonts w:eastAsia="Calibri"/>
          <w:noProof/>
          <w:szCs w:val="24"/>
          <w:lang w:val="en-US"/>
        </w:rPr>
        <w:t xml:space="preserve">IT </w:t>
      </w:r>
      <w:r>
        <w:rPr>
          <w:rFonts w:eastAsia="Calibri"/>
          <w:noProof/>
          <w:szCs w:val="24"/>
          <w:lang w:val="en-US"/>
        </w:rPr>
        <w:t>advice</w:t>
      </w:r>
      <w:r w:rsidR="00B07E20">
        <w:rPr>
          <w:rFonts w:eastAsia="Calibri"/>
          <w:noProof/>
          <w:szCs w:val="24"/>
          <w:lang w:val="en-US"/>
        </w:rPr>
        <w:t xml:space="preserve"> on</w:t>
      </w:r>
      <w:r>
        <w:rPr>
          <w:rFonts w:eastAsia="Calibri"/>
          <w:noProof/>
          <w:szCs w:val="24"/>
          <w:lang w:val="en-US"/>
        </w:rPr>
        <w:t xml:space="preserve"> improving </w:t>
      </w:r>
      <w:r w:rsidR="00B07E20">
        <w:rPr>
          <w:rFonts w:eastAsia="Calibri"/>
          <w:noProof/>
          <w:szCs w:val="24"/>
          <w:lang w:val="en-US"/>
        </w:rPr>
        <w:t xml:space="preserve">the </w:t>
      </w:r>
      <w:r>
        <w:rPr>
          <w:rFonts w:eastAsia="Calibri"/>
          <w:noProof/>
          <w:szCs w:val="24"/>
          <w:lang w:val="en-US"/>
        </w:rPr>
        <w:t>design and functionalities of the ODR platform</w:t>
      </w:r>
      <w:r w:rsidR="00B07E20">
        <w:rPr>
          <w:rFonts w:eastAsia="Calibri"/>
          <w:noProof/>
          <w:szCs w:val="24"/>
          <w:lang w:val="en-US"/>
        </w:rPr>
        <w:t xml:space="preserve"> which </w:t>
      </w:r>
      <w:r>
        <w:rPr>
          <w:rFonts w:eastAsia="Calibri"/>
          <w:noProof/>
          <w:szCs w:val="24"/>
          <w:lang w:val="en-US"/>
        </w:rPr>
        <w:t xml:space="preserve">showed that </w:t>
      </w:r>
      <w:r w:rsidR="00B07E20">
        <w:rPr>
          <w:rFonts w:eastAsia="Calibri"/>
          <w:noProof/>
          <w:szCs w:val="24"/>
          <w:lang w:val="en-US"/>
        </w:rPr>
        <w:t xml:space="preserve">a very substantial </w:t>
      </w:r>
      <w:r>
        <w:rPr>
          <w:rFonts w:eastAsia="Calibri"/>
          <w:noProof/>
          <w:szCs w:val="24"/>
          <w:lang w:val="en-US"/>
        </w:rPr>
        <w:t>overhaul of the ODR platform w</w:t>
      </w:r>
      <w:r w:rsidR="00B07E20">
        <w:rPr>
          <w:rFonts w:eastAsia="Calibri"/>
          <w:noProof/>
          <w:szCs w:val="24"/>
          <w:lang w:val="en-US"/>
        </w:rPr>
        <w:t>as necessary to make it up to current IT standards.</w:t>
      </w:r>
    </w:p>
    <w:p w14:paraId="1D98F4E6" w14:textId="77777777" w:rsidR="00875467" w:rsidRDefault="00875467"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0FF7E596" w14:textId="77777777" w:rsidR="00531E19" w:rsidRDefault="00B07E20" w:rsidP="00531E19">
      <w:pPr>
        <w:pBdr>
          <w:top w:val="nil"/>
          <w:left w:val="nil"/>
          <w:bottom w:val="nil"/>
          <w:right w:val="nil"/>
          <w:between w:val="nil"/>
          <w:bar w:val="nil"/>
        </w:pBdr>
        <w:spacing w:before="0" w:after="240"/>
        <w:rPr>
          <w:noProof/>
        </w:rPr>
      </w:pPr>
      <w:r w:rsidRPr="00CB0320">
        <w:rPr>
          <w:noProof/>
        </w:rPr>
        <w:t>An i</w:t>
      </w:r>
      <w:r w:rsidR="007E4455" w:rsidRPr="00CB0320">
        <w:rPr>
          <w:noProof/>
        </w:rPr>
        <w:t xml:space="preserve">mpact </w:t>
      </w:r>
      <w:r w:rsidRPr="00CB0320">
        <w:rPr>
          <w:noProof/>
        </w:rPr>
        <w:t>a</w:t>
      </w:r>
      <w:r w:rsidR="007E4455" w:rsidRPr="00CB0320">
        <w:rPr>
          <w:noProof/>
        </w:rPr>
        <w:t xml:space="preserve">ssessment </w:t>
      </w:r>
      <w:r w:rsidRPr="00CB0320">
        <w:rPr>
          <w:noProof/>
        </w:rPr>
        <w:t xml:space="preserve">was carried out to review the ADR Directive which included a detailed analysis of the functioning of the ODR platform in its Annex </w:t>
      </w:r>
      <w:r w:rsidR="00394909">
        <w:rPr>
          <w:noProof/>
        </w:rPr>
        <w:t>6</w:t>
      </w:r>
      <w:r w:rsidRPr="00CB0320">
        <w:rPr>
          <w:noProof/>
        </w:rPr>
        <w:t>.</w:t>
      </w:r>
      <w:r w:rsidR="002B3744">
        <w:rPr>
          <w:noProof/>
        </w:rPr>
        <w:t xml:space="preserve"> </w:t>
      </w:r>
    </w:p>
    <w:p w14:paraId="342F70A7" w14:textId="314E23F0" w:rsidR="00060306" w:rsidRDefault="00B07E20" w:rsidP="00531E19">
      <w:pPr>
        <w:pBdr>
          <w:top w:val="nil"/>
          <w:left w:val="nil"/>
          <w:bottom w:val="nil"/>
          <w:right w:val="nil"/>
          <w:between w:val="nil"/>
          <w:bar w:val="nil"/>
        </w:pBdr>
        <w:spacing w:before="0" w:after="240"/>
        <w:rPr>
          <w:noProof/>
        </w:rPr>
      </w:pPr>
      <w:r w:rsidRPr="00CB0320">
        <w:rPr>
          <w:noProof/>
        </w:rPr>
        <w:t xml:space="preserve">This Annex </w:t>
      </w:r>
      <w:r w:rsidR="002B3744">
        <w:rPr>
          <w:noProof/>
        </w:rPr>
        <w:t>reviews the statistics about the use of the ODR platform since its beginning in 2016 in order to understand why so few cases</w:t>
      </w:r>
      <w:r w:rsidR="007A7502">
        <w:rPr>
          <w:noProof/>
        </w:rPr>
        <w:t xml:space="preserve"> </w:t>
      </w:r>
      <w:r w:rsidR="002B3744">
        <w:rPr>
          <w:noProof/>
        </w:rPr>
        <w:t xml:space="preserve">are </w:t>
      </w:r>
      <w:r w:rsidR="00C327D8">
        <w:rPr>
          <w:noProof/>
        </w:rPr>
        <w:t>treated by ADR bodies</w:t>
      </w:r>
      <w:r w:rsidR="00531E19">
        <w:rPr>
          <w:noProof/>
        </w:rPr>
        <w:t xml:space="preserve"> (less than 200 per </w:t>
      </w:r>
      <w:r w:rsidR="007A7502">
        <w:rPr>
          <w:noProof/>
        </w:rPr>
        <w:t>year EU</w:t>
      </w:r>
      <w:r w:rsidR="00531E19">
        <w:rPr>
          <w:noProof/>
        </w:rPr>
        <w:t xml:space="preserve"> wide)</w:t>
      </w:r>
      <w:r w:rsidR="002B3744">
        <w:rPr>
          <w:noProof/>
        </w:rPr>
        <w:t xml:space="preserve">. </w:t>
      </w:r>
      <w:r w:rsidR="00531E19">
        <w:rPr>
          <w:noProof/>
        </w:rPr>
        <w:t>The analysis</w:t>
      </w:r>
      <w:r w:rsidR="005C79D0">
        <w:rPr>
          <w:noProof/>
        </w:rPr>
        <w:t xml:space="preserve"> s</w:t>
      </w:r>
      <w:r w:rsidR="002B3744">
        <w:rPr>
          <w:noProof/>
        </w:rPr>
        <w:t>hows that the platform receives between two to three million visitors per year. However</w:t>
      </w:r>
      <w:r w:rsidR="005C79D0">
        <w:rPr>
          <w:noProof/>
        </w:rPr>
        <w:t>,</w:t>
      </w:r>
      <w:r w:rsidR="002B3744">
        <w:rPr>
          <w:noProof/>
        </w:rPr>
        <w:t xml:space="preserve"> a minority </w:t>
      </w:r>
      <w:r w:rsidR="00531E19">
        <w:rPr>
          <w:noProof/>
        </w:rPr>
        <w:t xml:space="preserve">(about 2%) </w:t>
      </w:r>
      <w:r w:rsidR="002B3744">
        <w:rPr>
          <w:noProof/>
        </w:rPr>
        <w:t>of these visitors decide</w:t>
      </w:r>
      <w:r w:rsidR="00C327D8">
        <w:rPr>
          <w:noProof/>
        </w:rPr>
        <w:t xml:space="preserve"> to contact the concerned trader </w:t>
      </w:r>
      <w:r w:rsidR="00060306">
        <w:rPr>
          <w:noProof/>
        </w:rPr>
        <w:t xml:space="preserve">to propose </w:t>
      </w:r>
      <w:r w:rsidR="00C327D8">
        <w:rPr>
          <w:noProof/>
        </w:rPr>
        <w:t>to launch an ADR process</w:t>
      </w:r>
      <w:r w:rsidR="00531E19">
        <w:rPr>
          <w:noProof/>
        </w:rPr>
        <w:t>.</w:t>
      </w:r>
      <w:r w:rsidR="00C327D8">
        <w:rPr>
          <w:noProof/>
        </w:rPr>
        <w:t xml:space="preserve"> Most visitors leave the platform after a few seconds. Despite improving the home page of the platform</w:t>
      </w:r>
      <w:r w:rsidR="005C79D0">
        <w:rPr>
          <w:noProof/>
        </w:rPr>
        <w:t xml:space="preserve"> (</w:t>
      </w:r>
      <w:r w:rsidR="00C327D8">
        <w:rPr>
          <w:noProof/>
        </w:rPr>
        <w:t>providing information and an interactive Q&amp;A system</w:t>
      </w:r>
      <w:r w:rsidR="005C79D0">
        <w:rPr>
          <w:noProof/>
        </w:rPr>
        <w:t>)</w:t>
      </w:r>
      <w:r w:rsidR="00C327D8">
        <w:rPr>
          <w:noProof/>
        </w:rPr>
        <w:t>, the number of request</w:t>
      </w:r>
      <w:r w:rsidR="00531E19">
        <w:rPr>
          <w:noProof/>
        </w:rPr>
        <w:t>s for an ADR process</w:t>
      </w:r>
      <w:r w:rsidR="00C327D8">
        <w:rPr>
          <w:noProof/>
        </w:rPr>
        <w:t xml:space="preserve"> did not increase but on the contrary decrease</w:t>
      </w:r>
      <w:r w:rsidR="00060306">
        <w:rPr>
          <w:noProof/>
        </w:rPr>
        <w:t>d</w:t>
      </w:r>
      <w:r w:rsidR="00531E19">
        <w:rPr>
          <w:noProof/>
        </w:rPr>
        <w:t xml:space="preserve"> </w:t>
      </w:r>
      <w:r w:rsidR="00060306">
        <w:rPr>
          <w:noProof/>
        </w:rPr>
        <w:t xml:space="preserve">when consumers where better informed of the objectives and functioning of the system. </w:t>
      </w:r>
      <w:r w:rsidR="00531E19">
        <w:rPr>
          <w:noProof/>
        </w:rPr>
        <w:t>Once a request is made</w:t>
      </w:r>
      <w:r w:rsidR="00060306">
        <w:rPr>
          <w:noProof/>
        </w:rPr>
        <w:t xml:space="preserve"> by the consumer</w:t>
      </w:r>
      <w:r w:rsidR="00531E19">
        <w:rPr>
          <w:noProof/>
        </w:rPr>
        <w:t xml:space="preserve">, the trader has 30 days to agree to launch </w:t>
      </w:r>
      <w:r w:rsidR="00060306">
        <w:rPr>
          <w:noProof/>
        </w:rPr>
        <w:t>the</w:t>
      </w:r>
      <w:r w:rsidR="00531E19">
        <w:rPr>
          <w:noProof/>
        </w:rPr>
        <w:t xml:space="preserve"> ADR process. Only 2% agree to do so, </w:t>
      </w:r>
      <w:r w:rsidR="00060306">
        <w:rPr>
          <w:noProof/>
        </w:rPr>
        <w:t>about 40% of the traders contact the consumer</w:t>
      </w:r>
      <w:r w:rsidR="009C40FB">
        <w:rPr>
          <w:noProof/>
        </w:rPr>
        <w:t>s</w:t>
      </w:r>
      <w:r w:rsidR="00060306">
        <w:rPr>
          <w:noProof/>
        </w:rPr>
        <w:t xml:space="preserve"> directly outside the platform to settle the matter while the majority of traders simply remain silent as participation is not compulsory. ADR bodies, perform a test of eligibility on the cases reaching them (about 400 per year) and on average keep only half of the requests. The poor results of the ODR platform is therefore the result of a succession of facts linked to the lack of prior information of visitors</w:t>
      </w:r>
      <w:r w:rsidR="005C79D0">
        <w:rPr>
          <w:noProof/>
        </w:rPr>
        <w:t xml:space="preserve"> on how ADR works</w:t>
      </w:r>
      <w:r w:rsidR="00060306">
        <w:rPr>
          <w:noProof/>
        </w:rPr>
        <w:t xml:space="preserve">, the very limited interest of traders and the uneven completeness or relevance of the consumer complaints in relation with the eligibility criteria set by ADR entities. </w:t>
      </w:r>
    </w:p>
    <w:p w14:paraId="1B01833F" w14:textId="77777777" w:rsidR="006B3FA3" w:rsidRPr="007A7502" w:rsidRDefault="002B3744" w:rsidP="00531E19">
      <w:pPr>
        <w:pBdr>
          <w:top w:val="nil"/>
          <w:left w:val="nil"/>
          <w:bottom w:val="nil"/>
          <w:right w:val="nil"/>
          <w:between w:val="nil"/>
          <w:bar w:val="nil"/>
        </w:pBdr>
        <w:spacing w:before="0" w:after="240"/>
        <w:rPr>
          <w:noProof/>
          <w:lang w:val="en-IE"/>
        </w:rPr>
      </w:pPr>
      <w:r>
        <w:rPr>
          <w:noProof/>
        </w:rPr>
        <w:t>This limited use of the ODR platform led the Commission to study various solutions to improve the uptake by both traders and consumers, which however were not conclusive</w:t>
      </w:r>
      <w:r w:rsidR="00060306">
        <w:rPr>
          <w:noProof/>
        </w:rPr>
        <w:t xml:space="preserve"> on</w:t>
      </w:r>
      <w:r w:rsidR="005C79D0">
        <w:rPr>
          <w:noProof/>
        </w:rPr>
        <w:t xml:space="preserve"> the </w:t>
      </w:r>
      <w:r w:rsidR="00060306">
        <w:rPr>
          <w:noProof/>
        </w:rPr>
        <w:t>means that would permit to increase the use of the platform.</w:t>
      </w:r>
      <w:r>
        <w:rPr>
          <w:noProof/>
        </w:rPr>
        <w:t xml:space="preserve"> </w:t>
      </w:r>
    </w:p>
    <w:p w14:paraId="2414D3CB" w14:textId="77777777" w:rsidR="00667EDF" w:rsidRPr="00CB0320" w:rsidRDefault="00060306" w:rsidP="007E4455">
      <w:pPr>
        <w:pBdr>
          <w:top w:val="nil"/>
          <w:left w:val="nil"/>
          <w:bottom w:val="nil"/>
          <w:right w:val="nil"/>
          <w:between w:val="nil"/>
          <w:bar w:val="nil"/>
        </w:pBdr>
        <w:spacing w:before="0" w:after="240"/>
        <w:rPr>
          <w:noProof/>
        </w:rPr>
      </w:pPr>
      <w:r>
        <w:rPr>
          <w:noProof/>
        </w:rPr>
        <w:t>On the contrary, d</w:t>
      </w:r>
      <w:r w:rsidR="00B07E20" w:rsidRPr="00CB0320">
        <w:rPr>
          <w:noProof/>
        </w:rPr>
        <w:t xml:space="preserve">iscontinuing </w:t>
      </w:r>
      <w:r w:rsidR="007E4455" w:rsidRPr="00CB0320">
        <w:rPr>
          <w:noProof/>
        </w:rPr>
        <w:t>the ODR platform would save the European Commission about EUR 500,000 per year</w:t>
      </w:r>
      <w:r w:rsidR="007E4455" w:rsidRPr="007D3D71">
        <w:rPr>
          <w:rStyle w:val="FootnoteReference"/>
          <w:noProof/>
        </w:rPr>
        <w:footnoteReference w:id="6"/>
      </w:r>
      <w:r w:rsidR="007E4455" w:rsidRPr="00CB0320">
        <w:rPr>
          <w:noProof/>
        </w:rPr>
        <w:t>, i.e. EUR 4.4 million in 10 years.</w:t>
      </w:r>
      <w:r w:rsidR="007E4455" w:rsidRPr="007D3D71">
        <w:rPr>
          <w:rStyle w:val="FootnoteReference"/>
          <w:noProof/>
        </w:rPr>
        <w:footnoteReference w:id="7"/>
      </w:r>
      <w:r w:rsidR="007E4455" w:rsidRPr="00CB0320">
        <w:rPr>
          <w:noProof/>
        </w:rPr>
        <w:t xml:space="preserve"> A behavioural study conducted on ADR information requirements</w:t>
      </w:r>
      <w:r w:rsidR="007E4455" w:rsidRPr="007D3D71">
        <w:rPr>
          <w:rStyle w:val="FootnoteReference"/>
          <w:noProof/>
        </w:rPr>
        <w:footnoteReference w:id="8"/>
      </w:r>
      <w:r w:rsidR="007E4455" w:rsidRPr="00CB0320">
        <w:rPr>
          <w:noProof/>
        </w:rPr>
        <w:t xml:space="preserve"> showed that the current requirement for traders to clearly disclose on their websites the ODR link does not positively impact on consumer’s intention to use ADR</w:t>
      </w:r>
      <w:r w:rsidR="00B07E20" w:rsidRPr="00CB0320">
        <w:rPr>
          <w:noProof/>
        </w:rPr>
        <w:t xml:space="preserve"> procedure.</w:t>
      </w:r>
      <w:r w:rsidR="007E4455" w:rsidRPr="00CB0320">
        <w:rPr>
          <w:noProof/>
        </w:rPr>
        <w:t xml:space="preserve"> Thus, removing </w:t>
      </w:r>
      <w:r w:rsidR="00B07E20" w:rsidRPr="00CB0320">
        <w:rPr>
          <w:noProof/>
        </w:rPr>
        <w:t>this link</w:t>
      </w:r>
      <w:r w:rsidR="007E4455" w:rsidRPr="00CB0320">
        <w:rPr>
          <w:noProof/>
        </w:rPr>
        <w:t xml:space="preserve"> would not produce any negative consequences on consumer engagement in ADR. </w:t>
      </w:r>
    </w:p>
    <w:p w14:paraId="4E0DC64C" w14:textId="698816B5" w:rsidR="00D1691C" w:rsidRPr="00CB0320" w:rsidRDefault="00667EDF" w:rsidP="00E66708">
      <w:pPr>
        <w:rPr>
          <w:noProof/>
        </w:rPr>
      </w:pPr>
      <w:r w:rsidRPr="00CB0320">
        <w:rPr>
          <w:noProof/>
        </w:rPr>
        <w:t>Impact on SME</w:t>
      </w:r>
      <w:r w:rsidR="009C40FB">
        <w:rPr>
          <w:noProof/>
        </w:rPr>
        <w:t>s</w:t>
      </w:r>
      <w:r w:rsidRPr="00CB0320">
        <w:rPr>
          <w:noProof/>
        </w:rPr>
        <w:t xml:space="preserve">: </w:t>
      </w:r>
      <w:r w:rsidR="007E4455" w:rsidRPr="00CB0320">
        <w:rPr>
          <w:noProof/>
        </w:rPr>
        <w:t>Businesses operating online</w:t>
      </w:r>
      <w:r w:rsidRPr="00CB0320">
        <w:rPr>
          <w:noProof/>
        </w:rPr>
        <w:t>, the majority of which are SMEs,</w:t>
      </w:r>
      <w:r w:rsidR="007E4455" w:rsidRPr="00CB0320">
        <w:rPr>
          <w:noProof/>
        </w:rPr>
        <w:t xml:space="preserve"> would not need to maintain an e-mail address for ODR correspondence, saving EUR 100 per year.</w:t>
      </w:r>
      <w:r w:rsidR="007E4455" w:rsidRPr="007D3D71">
        <w:rPr>
          <w:rStyle w:val="FootnoteReference"/>
          <w:noProof/>
        </w:rPr>
        <w:footnoteReference w:id="9"/>
      </w:r>
      <w:r w:rsidR="007E4455" w:rsidRPr="00CB0320">
        <w:rPr>
          <w:noProof/>
        </w:rPr>
        <w:t xml:space="preserve"> The total benefit for </w:t>
      </w:r>
      <w:r w:rsidR="00B07E20" w:rsidRPr="00CB0320">
        <w:rPr>
          <w:noProof/>
        </w:rPr>
        <w:t xml:space="preserve">EU </w:t>
      </w:r>
      <w:r w:rsidR="007E4455" w:rsidRPr="00CB0320">
        <w:rPr>
          <w:noProof/>
        </w:rPr>
        <w:t>businesses would then be EUR 3</w:t>
      </w:r>
      <w:r w:rsidR="007423AC">
        <w:rPr>
          <w:noProof/>
        </w:rPr>
        <w:t>7</w:t>
      </w:r>
      <w:r w:rsidR="007E4455" w:rsidRPr="00CB0320">
        <w:rPr>
          <w:noProof/>
        </w:rPr>
        <w:t>0 million saved per year.</w:t>
      </w:r>
    </w:p>
    <w:p w14:paraId="017D2A41" w14:textId="64B040E0" w:rsidR="00D1691C" w:rsidRPr="00CB0320" w:rsidRDefault="00D1691C" w:rsidP="00E66708">
      <w:pPr>
        <w:rPr>
          <w:noProof/>
        </w:rPr>
      </w:pPr>
      <w:r w:rsidRPr="00CB0320">
        <w:rPr>
          <w:noProof/>
        </w:rPr>
        <w:t>Social impacts: Replacing the ODR Platform would have no social impact on employment as M</w:t>
      </w:r>
      <w:r w:rsidR="009C40FB">
        <w:rPr>
          <w:noProof/>
        </w:rPr>
        <w:t>ember States</w:t>
      </w:r>
      <w:r w:rsidRPr="00CB0320">
        <w:rPr>
          <w:noProof/>
        </w:rPr>
        <w:t xml:space="preserve"> contact point</w:t>
      </w:r>
      <w:r w:rsidR="00B07E20" w:rsidRPr="00CB0320">
        <w:rPr>
          <w:noProof/>
        </w:rPr>
        <w:t>s</w:t>
      </w:r>
      <w:r w:rsidRPr="00CB0320">
        <w:rPr>
          <w:noProof/>
        </w:rPr>
        <w:t xml:space="preserve"> (about 50 FTEs throughout the EU) would be absorbed by ECCs </w:t>
      </w:r>
      <w:r w:rsidR="00B07E20" w:rsidRPr="00CB0320">
        <w:rPr>
          <w:noProof/>
        </w:rPr>
        <w:t xml:space="preserve">or other bodies tasked to provide advice on </w:t>
      </w:r>
      <w:r w:rsidRPr="00CB0320">
        <w:rPr>
          <w:noProof/>
        </w:rPr>
        <w:t xml:space="preserve">cross-border ADR </w:t>
      </w:r>
      <w:r w:rsidR="00B07E20" w:rsidRPr="00CB0320">
        <w:rPr>
          <w:noProof/>
        </w:rPr>
        <w:t>and other redress possibilitie</w:t>
      </w:r>
      <w:r w:rsidRPr="00CB0320">
        <w:rPr>
          <w:noProof/>
        </w:rPr>
        <w:t>s.</w:t>
      </w:r>
    </w:p>
    <w:p w14:paraId="39CAAE85" w14:textId="77777777" w:rsidR="00D1691C" w:rsidRPr="00CB0320" w:rsidRDefault="00D1691C" w:rsidP="00E66708">
      <w:pPr>
        <w:rPr>
          <w:noProof/>
        </w:rPr>
      </w:pPr>
      <w:r w:rsidRPr="00CB0320">
        <w:rPr>
          <w:noProof/>
        </w:rPr>
        <w:t>Environmental impacts: discontinuing the ODR platform</w:t>
      </w:r>
      <w:r w:rsidR="00667EDF" w:rsidRPr="00CB0320">
        <w:rPr>
          <w:noProof/>
        </w:rPr>
        <w:t xml:space="preserve"> </w:t>
      </w:r>
      <w:r w:rsidRPr="00CB0320">
        <w:rPr>
          <w:noProof/>
        </w:rPr>
        <w:t xml:space="preserve">would reduce the digital carbon footprint of the European Commission. </w:t>
      </w:r>
    </w:p>
    <w:p w14:paraId="2F95F2EB" w14:textId="77777777" w:rsidR="00E66708" w:rsidRDefault="00E66708" w:rsidP="00E6670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2694F511" w14:textId="77777777" w:rsidR="00D1691C" w:rsidRPr="00CB0320" w:rsidRDefault="005810EB" w:rsidP="00E66708">
      <w:pPr>
        <w:rPr>
          <w:noProof/>
        </w:rPr>
      </w:pPr>
      <w:r w:rsidRPr="00CB0320">
        <w:rPr>
          <w:noProof/>
        </w:rPr>
        <w:t>The proposal takes due account of the rights related to personal data by providing a clear date when the platform is discontinued (and an earlier date when the platform will still operate, but no new complaints can be submitted). The proposal ensures that all personal data is deleted as soon as the platform is discontinued, to minimise the risk of data breaches.</w:t>
      </w:r>
    </w:p>
    <w:p w14:paraId="3B8A62E5" w14:textId="77777777" w:rsidR="00875467" w:rsidRDefault="00875467" w:rsidP="00550536">
      <w:pPr>
        <w:pStyle w:val="ManualHeading1"/>
        <w:rPr>
          <w:noProof/>
        </w:rPr>
      </w:pPr>
      <w:r w:rsidRPr="00550536">
        <w:rPr>
          <w:noProof/>
        </w:rPr>
        <w:t>4.</w:t>
      </w:r>
      <w:r w:rsidRPr="00550536">
        <w:rPr>
          <w:noProof/>
        </w:rPr>
        <w:tab/>
        <w:t>BUDGETARY IMPLICATIONS</w:t>
      </w:r>
    </w:p>
    <w:p w14:paraId="4700BD3D" w14:textId="0F97E444" w:rsidR="00316814" w:rsidRDefault="00915019" w:rsidP="00550536">
      <w:pPr>
        <w:pBdr>
          <w:top w:val="nil"/>
          <w:left w:val="nil"/>
          <w:bottom w:val="nil"/>
          <w:right w:val="nil"/>
          <w:between w:val="nil"/>
          <w:bar w:val="nil"/>
        </w:pBdr>
        <w:spacing w:before="0" w:after="240"/>
        <w:rPr>
          <w:rFonts w:eastAsia="Arial Unicode MS"/>
          <w:noProof/>
        </w:rPr>
      </w:pPr>
      <w:r>
        <w:rPr>
          <w:rFonts w:eastAsia="Arial Unicode MS"/>
          <w:noProof/>
        </w:rPr>
        <w:t xml:space="preserve">As evaluated in Annex </w:t>
      </w:r>
      <w:r w:rsidR="009C40FB">
        <w:rPr>
          <w:rFonts w:eastAsia="Arial Unicode MS"/>
          <w:noProof/>
        </w:rPr>
        <w:t>6</w:t>
      </w:r>
      <w:r>
        <w:rPr>
          <w:rFonts w:eastAsia="Arial Unicode MS"/>
          <w:noProof/>
        </w:rPr>
        <w:t xml:space="preserve"> of </w:t>
      </w:r>
      <w:r w:rsidR="00012752">
        <w:rPr>
          <w:rFonts w:eastAsia="Arial Unicode MS"/>
          <w:noProof/>
        </w:rPr>
        <w:t>t</w:t>
      </w:r>
      <w:r>
        <w:rPr>
          <w:rFonts w:eastAsia="Arial Unicode MS"/>
          <w:noProof/>
        </w:rPr>
        <w:t xml:space="preserve">he ADR </w:t>
      </w:r>
      <w:r w:rsidR="00012752">
        <w:rPr>
          <w:rFonts w:eastAsia="Arial Unicode MS"/>
          <w:noProof/>
        </w:rPr>
        <w:t>D</w:t>
      </w:r>
      <w:r>
        <w:rPr>
          <w:rFonts w:eastAsia="Arial Unicode MS"/>
          <w:noProof/>
        </w:rPr>
        <w:t xml:space="preserve">irective </w:t>
      </w:r>
      <w:r w:rsidR="00012752">
        <w:rPr>
          <w:rFonts w:eastAsia="Arial Unicode MS"/>
          <w:noProof/>
        </w:rPr>
        <w:t>I</w:t>
      </w:r>
      <w:r>
        <w:rPr>
          <w:rFonts w:eastAsia="Arial Unicode MS"/>
          <w:noProof/>
        </w:rPr>
        <w:t xml:space="preserve">mpact </w:t>
      </w:r>
      <w:r w:rsidR="00012752">
        <w:rPr>
          <w:rFonts w:eastAsia="Arial Unicode MS"/>
          <w:noProof/>
        </w:rPr>
        <w:t>A</w:t>
      </w:r>
      <w:r>
        <w:rPr>
          <w:rFonts w:eastAsia="Arial Unicode MS"/>
          <w:noProof/>
        </w:rPr>
        <w:t>ssessment</w:t>
      </w:r>
      <w:r w:rsidR="005C79D0">
        <w:rPr>
          <w:rFonts w:eastAsia="Arial Unicode MS"/>
          <w:noProof/>
        </w:rPr>
        <w:t>,</w:t>
      </w:r>
      <w:r>
        <w:rPr>
          <w:rFonts w:eastAsia="Arial Unicode MS"/>
          <w:noProof/>
        </w:rPr>
        <w:t xml:space="preserve"> the discontinuation of the ODR platform would permit to save costs for businesses</w:t>
      </w:r>
      <w:r w:rsidR="005C79D0">
        <w:rPr>
          <w:rFonts w:eastAsia="Arial Unicode MS"/>
          <w:noProof/>
        </w:rPr>
        <w:t>, Member States</w:t>
      </w:r>
      <w:r>
        <w:rPr>
          <w:rFonts w:eastAsia="Arial Unicode MS"/>
          <w:noProof/>
        </w:rPr>
        <w:t xml:space="preserve"> and for the Commission, while the cost for ADR entities would not be impacted. Discontinuing the platform therefore does not have any negative budgetary implications. </w:t>
      </w:r>
    </w:p>
    <w:p w14:paraId="0268A308" w14:textId="77777777" w:rsidR="00875467" w:rsidRPr="00550536" w:rsidRDefault="00875467" w:rsidP="00550536">
      <w:pPr>
        <w:pBdr>
          <w:top w:val="nil"/>
          <w:left w:val="nil"/>
          <w:bottom w:val="nil"/>
          <w:right w:val="nil"/>
          <w:between w:val="nil"/>
          <w:bar w:val="nil"/>
        </w:pBdr>
        <w:spacing w:before="0" w:after="240"/>
        <w:rPr>
          <w:rFonts w:eastAsia="Arial Unicode MS"/>
          <w:noProof/>
        </w:rPr>
      </w:pPr>
    </w:p>
    <w:p w14:paraId="03432388" w14:textId="77777777" w:rsidR="00875467" w:rsidRPr="00550536" w:rsidRDefault="00875467" w:rsidP="00550536">
      <w:pPr>
        <w:pStyle w:val="ManualHeading1"/>
        <w:rPr>
          <w:noProof/>
        </w:rPr>
      </w:pPr>
      <w:r w:rsidRPr="00550536">
        <w:rPr>
          <w:noProof/>
        </w:rPr>
        <w:t>5.</w:t>
      </w:r>
      <w:r w:rsidRPr="00550536">
        <w:rPr>
          <w:noProof/>
        </w:rPr>
        <w:tab/>
        <w:t>OTHER ELEMENTS</w:t>
      </w:r>
    </w:p>
    <w:p w14:paraId="49B2C228" w14:textId="6B8B3F58" w:rsidR="00097981" w:rsidRPr="00C014A5" w:rsidRDefault="005810EB" w:rsidP="00C014A5">
      <w:pPr>
        <w:pBdr>
          <w:top w:val="nil"/>
          <w:left w:val="nil"/>
          <w:bottom w:val="nil"/>
          <w:right w:val="nil"/>
          <w:between w:val="nil"/>
          <w:bar w:val="nil"/>
        </w:pBdr>
        <w:spacing w:before="0" w:after="240"/>
        <w:rPr>
          <w:rFonts w:eastAsia="Arial Unicode MS"/>
          <w:noProof/>
        </w:rPr>
      </w:pPr>
      <w:r>
        <w:rPr>
          <w:rFonts w:eastAsia="Arial Unicode MS"/>
          <w:noProof/>
        </w:rPr>
        <w:t>n/a</w:t>
      </w:r>
    </w:p>
    <w:p w14:paraId="09A87096" w14:textId="77777777" w:rsidR="00C014A5" w:rsidRDefault="00C014A5" w:rsidP="00962B4F">
      <w:pPr>
        <w:pStyle w:val="Statut"/>
        <w:rPr>
          <w:noProof/>
        </w:rPr>
        <w:sectPr w:rsidR="00C014A5" w:rsidSect="00C97FBD">
          <w:footerReference w:type="default" r:id="rId10"/>
          <w:footerReference w:type="first" r:id="rId11"/>
          <w:pgSz w:w="11907" w:h="16839"/>
          <w:pgMar w:top="1134" w:right="1417" w:bottom="1134" w:left="1417" w:header="709" w:footer="709" w:gutter="0"/>
          <w:cols w:space="708"/>
          <w:docGrid w:linePitch="360"/>
        </w:sectPr>
      </w:pPr>
    </w:p>
    <w:p w14:paraId="10A7B11A" w14:textId="7DC4B252" w:rsidR="00B54FBC" w:rsidRDefault="00B54FBC" w:rsidP="00B54FBC">
      <w:pPr>
        <w:pStyle w:val="Rfrenceinterinstitutionnelle"/>
        <w:rPr>
          <w:noProof/>
        </w:rPr>
      </w:pPr>
      <w:r w:rsidRPr="00B54FBC">
        <w:t>2023/0375 (COD)</w:t>
      </w:r>
    </w:p>
    <w:p w14:paraId="0A7ADD12" w14:textId="74A247C1" w:rsidR="00A055A2" w:rsidRPr="00E66708" w:rsidRDefault="00962B4F" w:rsidP="00962B4F">
      <w:pPr>
        <w:pStyle w:val="Statut"/>
        <w:rPr>
          <w:noProof/>
        </w:rPr>
      </w:pPr>
      <w:r w:rsidRPr="00962B4F">
        <w:rPr>
          <w:noProof/>
        </w:rPr>
        <w:t>Proposal for a</w:t>
      </w:r>
    </w:p>
    <w:p w14:paraId="267FB5C3" w14:textId="77777777" w:rsidR="00A055A2" w:rsidRPr="00E66708" w:rsidRDefault="00962B4F" w:rsidP="00962B4F">
      <w:pPr>
        <w:pStyle w:val="Typedudocument"/>
        <w:rPr>
          <w:noProof/>
        </w:rPr>
      </w:pPr>
      <w:r w:rsidRPr="00962B4F">
        <w:rPr>
          <w:noProof/>
        </w:rPr>
        <w:t>REGULATION OF THE EUROPEAN PARLIAMENT AND OF THE COUNCIL</w:t>
      </w:r>
    </w:p>
    <w:p w14:paraId="0C6CB27D" w14:textId="77777777" w:rsidR="00AA7C1E" w:rsidRPr="00AA7C1E" w:rsidRDefault="00962B4F" w:rsidP="00962B4F">
      <w:pPr>
        <w:pStyle w:val="Titreobjet"/>
        <w:rPr>
          <w:noProof/>
        </w:rPr>
      </w:pPr>
      <w:r w:rsidRPr="00962B4F">
        <w:rPr>
          <w:noProof/>
        </w:rPr>
        <w:t>repealing Regulation (EU) No 524/2013 and amending Regulations (EU) 2017/2394 and (EU) 2018/1724 with regards to the discontinuation of the European ODR Platform</w:t>
      </w:r>
    </w:p>
    <w:p w14:paraId="4108252D" w14:textId="77777777" w:rsidR="00CB0320" w:rsidRPr="00E66708" w:rsidRDefault="00962B4F" w:rsidP="00962B4F">
      <w:pPr>
        <w:pStyle w:val="IntrtEEE"/>
        <w:rPr>
          <w:noProof/>
        </w:rPr>
      </w:pPr>
      <w:r w:rsidRPr="00962B4F">
        <w:rPr>
          <w:noProof/>
        </w:rPr>
        <w:t>(Text with EEA relevance)</w:t>
      </w:r>
    </w:p>
    <w:p w14:paraId="7086F8ED" w14:textId="77777777" w:rsidR="00AA7C1E" w:rsidRPr="00AA7C1E" w:rsidRDefault="00AA7C1E" w:rsidP="00E66708">
      <w:pPr>
        <w:pStyle w:val="Institutionquiagit"/>
        <w:rPr>
          <w:noProof/>
        </w:rPr>
      </w:pPr>
      <w:r w:rsidRPr="00AA7C1E">
        <w:rPr>
          <w:noProof/>
        </w:rPr>
        <w:t>THE EUROPEAN PARLIAMENT AND THE COUNCIL OF THE EUROPEAN UNION,</w:t>
      </w:r>
    </w:p>
    <w:p w14:paraId="0508842D" w14:textId="77777777" w:rsidR="00AA7C1E" w:rsidRPr="00AA7C1E" w:rsidRDefault="00AA7C1E" w:rsidP="00E66708">
      <w:pPr>
        <w:rPr>
          <w:noProof/>
        </w:rPr>
      </w:pPr>
      <w:r w:rsidRPr="00AA7C1E">
        <w:rPr>
          <w:noProof/>
        </w:rPr>
        <w:t>Having regard to the Treaty on the Functioning of the European Union, and in particular Article 114 thereof,</w:t>
      </w:r>
    </w:p>
    <w:p w14:paraId="32C3715D" w14:textId="77777777" w:rsidR="00AA7C1E" w:rsidRPr="00AA7C1E" w:rsidRDefault="00AA7C1E" w:rsidP="00E66708">
      <w:pPr>
        <w:rPr>
          <w:noProof/>
        </w:rPr>
      </w:pPr>
      <w:r w:rsidRPr="00AA7C1E">
        <w:rPr>
          <w:noProof/>
        </w:rPr>
        <w:t>Having regard to the proposal from the European Commission,</w:t>
      </w:r>
    </w:p>
    <w:p w14:paraId="0EE0CD69" w14:textId="77777777" w:rsidR="00AA7C1E" w:rsidRPr="00AA7C1E" w:rsidRDefault="00AA7C1E" w:rsidP="00E66708">
      <w:pPr>
        <w:rPr>
          <w:noProof/>
        </w:rPr>
      </w:pPr>
      <w:r w:rsidRPr="00AA7C1E">
        <w:rPr>
          <w:noProof/>
        </w:rPr>
        <w:t>After transmission of the draft legislative act to the national parliaments,</w:t>
      </w:r>
    </w:p>
    <w:p w14:paraId="6134F9B4" w14:textId="77777777" w:rsidR="00AA7C1E" w:rsidRPr="00AA7C1E" w:rsidRDefault="00AA7C1E" w:rsidP="00E66708">
      <w:pPr>
        <w:rPr>
          <w:noProof/>
        </w:rPr>
      </w:pPr>
      <w:r w:rsidRPr="00AA7C1E">
        <w:rPr>
          <w:noProof/>
        </w:rPr>
        <w:t>Having regard to the opinion of the European Economic and Social Committee,</w:t>
      </w:r>
    </w:p>
    <w:p w14:paraId="485C4FF2" w14:textId="77777777" w:rsidR="00AA7C1E" w:rsidRPr="00AA7C1E" w:rsidRDefault="00AA7C1E" w:rsidP="00E66708">
      <w:pPr>
        <w:rPr>
          <w:noProof/>
        </w:rPr>
      </w:pPr>
      <w:r w:rsidRPr="00AA7C1E">
        <w:rPr>
          <w:noProof/>
        </w:rPr>
        <w:t>Acting in accordance with the ordinary legislative procedure,</w:t>
      </w:r>
    </w:p>
    <w:p w14:paraId="1873E3CA" w14:textId="77777777" w:rsidR="00AA7C1E" w:rsidRPr="00AA7C1E" w:rsidRDefault="00AA7C1E" w:rsidP="00E66708">
      <w:pPr>
        <w:rPr>
          <w:noProof/>
        </w:rPr>
      </w:pPr>
      <w:r w:rsidRPr="00AA7C1E">
        <w:rPr>
          <w:noProof/>
        </w:rPr>
        <w:t xml:space="preserve">Whereas: </w:t>
      </w:r>
    </w:p>
    <w:p w14:paraId="5376392D" w14:textId="2F356655" w:rsidR="006C093C" w:rsidRDefault="00EF0782" w:rsidP="00EF0782">
      <w:pPr>
        <w:pStyle w:val="ManualConsidrant"/>
        <w:rPr>
          <w:noProof/>
        </w:rPr>
      </w:pPr>
      <w:r w:rsidRPr="00EF0782">
        <w:t>(1)</w:t>
      </w:r>
      <w:r w:rsidRPr="00EF0782">
        <w:tab/>
      </w:r>
      <w:r w:rsidR="00AA7C1E" w:rsidRPr="00A800A1">
        <w:rPr>
          <w:noProof/>
        </w:rPr>
        <w:t>Regulation (EU)</w:t>
      </w:r>
      <w:r w:rsidR="0023722A" w:rsidRPr="0023722A">
        <w:rPr>
          <w:noProof/>
        </w:rPr>
        <w:t xml:space="preserve"> </w:t>
      </w:r>
      <w:r w:rsidR="0023722A">
        <w:rPr>
          <w:noProof/>
        </w:rPr>
        <w:t xml:space="preserve">No </w:t>
      </w:r>
      <w:r w:rsidR="0023722A" w:rsidRPr="00E005B8">
        <w:rPr>
          <w:noProof/>
        </w:rPr>
        <w:t>524/2013</w:t>
      </w:r>
      <w:r w:rsidR="00A800A1" w:rsidRPr="00A56C56">
        <w:rPr>
          <w:noProof/>
        </w:rPr>
        <w:t xml:space="preserve"> </w:t>
      </w:r>
      <w:r w:rsidR="00A800A1">
        <w:rPr>
          <w:noProof/>
        </w:rPr>
        <w:t>of the European Parliament and of the Council</w:t>
      </w:r>
      <w:r w:rsidR="00A800A1" w:rsidRPr="00B42815">
        <w:rPr>
          <w:rStyle w:val="FootnoteReference"/>
          <w:rFonts w:eastAsiaTheme="majorEastAsia"/>
          <w:noProof/>
        </w:rPr>
        <w:footnoteReference w:id="10"/>
      </w:r>
      <w:r w:rsidR="00A800A1" w:rsidRPr="00AA7C1E">
        <w:rPr>
          <w:noProof/>
        </w:rPr>
        <w:t xml:space="preserve"> establish</w:t>
      </w:r>
      <w:r w:rsidR="00A800A1">
        <w:rPr>
          <w:noProof/>
        </w:rPr>
        <w:t>ed</w:t>
      </w:r>
      <w:r w:rsidR="00CD24A9">
        <w:rPr>
          <w:noProof/>
        </w:rPr>
        <w:t>,</w:t>
      </w:r>
      <w:r w:rsidR="00A800A1">
        <w:rPr>
          <w:noProof/>
        </w:rPr>
        <w:t xml:space="preserve"> and mandated the Commission to develop and maintain</w:t>
      </w:r>
      <w:r w:rsidR="00CD24A9">
        <w:rPr>
          <w:noProof/>
        </w:rPr>
        <w:t>,</w:t>
      </w:r>
      <w:r w:rsidR="00A800A1" w:rsidRPr="00AA7C1E">
        <w:rPr>
          <w:noProof/>
        </w:rPr>
        <w:t xml:space="preserve"> the European </w:t>
      </w:r>
      <w:r w:rsidR="00A800A1" w:rsidRPr="0038304E">
        <w:rPr>
          <w:noProof/>
        </w:rPr>
        <w:t>Online Dispute Resolution</w:t>
      </w:r>
      <w:r w:rsidR="00A800A1">
        <w:rPr>
          <w:noProof/>
        </w:rPr>
        <w:t xml:space="preserve"> (‘</w:t>
      </w:r>
      <w:r w:rsidR="00A800A1" w:rsidRPr="00AA7C1E">
        <w:rPr>
          <w:noProof/>
        </w:rPr>
        <w:t>ODR</w:t>
      </w:r>
      <w:r w:rsidR="00A800A1">
        <w:rPr>
          <w:noProof/>
        </w:rPr>
        <w:t>’)</w:t>
      </w:r>
      <w:r w:rsidR="00A800A1" w:rsidRPr="00AA7C1E">
        <w:rPr>
          <w:noProof/>
        </w:rPr>
        <w:t xml:space="preserve"> Platform at Union level</w:t>
      </w:r>
      <w:r w:rsidR="00A800A1">
        <w:rPr>
          <w:noProof/>
        </w:rPr>
        <w:t>,</w:t>
      </w:r>
      <w:r w:rsidR="00A800A1" w:rsidRPr="00AA7C1E">
        <w:rPr>
          <w:noProof/>
        </w:rPr>
        <w:t xml:space="preserve"> </w:t>
      </w:r>
      <w:r w:rsidR="00A800A1">
        <w:rPr>
          <w:noProof/>
        </w:rPr>
        <w:t>which</w:t>
      </w:r>
      <w:r w:rsidR="00A800A1" w:rsidRPr="00AA7C1E">
        <w:rPr>
          <w:noProof/>
        </w:rPr>
        <w:t xml:space="preserve"> offer</w:t>
      </w:r>
      <w:r w:rsidR="00A800A1">
        <w:rPr>
          <w:noProof/>
        </w:rPr>
        <w:t>s</w:t>
      </w:r>
      <w:r w:rsidR="00A800A1" w:rsidRPr="00AA7C1E">
        <w:rPr>
          <w:noProof/>
        </w:rPr>
        <w:t xml:space="preserve"> a single point of entry to consumers and traders seeking to resolve disputes </w:t>
      </w:r>
      <w:r w:rsidR="00A800A1">
        <w:rPr>
          <w:noProof/>
        </w:rPr>
        <w:t>arising</w:t>
      </w:r>
      <w:r w:rsidR="00A800A1" w:rsidRPr="00AA7C1E">
        <w:rPr>
          <w:noProof/>
        </w:rPr>
        <w:t xml:space="preserve"> from online transactions</w:t>
      </w:r>
      <w:r w:rsidR="00A800A1" w:rsidRPr="002E4883">
        <w:rPr>
          <w:noProof/>
        </w:rPr>
        <w:t xml:space="preserve"> </w:t>
      </w:r>
      <w:r w:rsidR="00A800A1" w:rsidRPr="00AA7C1E">
        <w:rPr>
          <w:noProof/>
        </w:rPr>
        <w:t>out-of-court.</w:t>
      </w:r>
    </w:p>
    <w:p w14:paraId="21F5C9A7" w14:textId="52480003" w:rsidR="006C093C" w:rsidRDefault="00EF0782" w:rsidP="00EF0782">
      <w:pPr>
        <w:pStyle w:val="ManualConsidrant"/>
        <w:rPr>
          <w:noProof/>
        </w:rPr>
      </w:pPr>
      <w:r w:rsidRPr="00EF0782">
        <w:t>(2)</w:t>
      </w:r>
      <w:r w:rsidRPr="00EF0782">
        <w:tab/>
      </w:r>
      <w:r w:rsidR="00AA7C1E" w:rsidRPr="006C093C">
        <w:rPr>
          <w:noProof/>
        </w:rPr>
        <w:t>The ODR platform</w:t>
      </w:r>
      <w:r w:rsidR="00A800A1" w:rsidRPr="006C093C">
        <w:rPr>
          <w:noProof/>
        </w:rPr>
        <w:t xml:space="preserve"> </w:t>
      </w:r>
      <w:r w:rsidR="00AA7C1E" w:rsidRPr="006C093C">
        <w:rPr>
          <w:noProof/>
        </w:rPr>
        <w:t xml:space="preserve">takes the form of an interactive website where consumers </w:t>
      </w:r>
      <w:r w:rsidR="00E005B8" w:rsidRPr="006C093C">
        <w:rPr>
          <w:noProof/>
        </w:rPr>
        <w:t>may</w:t>
      </w:r>
      <w:r w:rsidR="00AA7C1E" w:rsidRPr="006C093C">
        <w:rPr>
          <w:noProof/>
        </w:rPr>
        <w:t xml:space="preserve"> request traders to agree </w:t>
      </w:r>
      <w:r w:rsidR="00E005B8" w:rsidRPr="006C093C">
        <w:rPr>
          <w:noProof/>
        </w:rPr>
        <w:t xml:space="preserve">to use </w:t>
      </w:r>
      <w:r w:rsidR="00AA7C1E" w:rsidRPr="006C093C">
        <w:rPr>
          <w:noProof/>
        </w:rPr>
        <w:t xml:space="preserve">an alternative dispute resolution </w:t>
      </w:r>
      <w:r w:rsidR="00E005B8" w:rsidRPr="006C093C">
        <w:rPr>
          <w:noProof/>
        </w:rPr>
        <w:t xml:space="preserve">(ADR) </w:t>
      </w:r>
      <w:r w:rsidR="00AA7C1E" w:rsidRPr="006C093C">
        <w:rPr>
          <w:noProof/>
        </w:rPr>
        <w:t xml:space="preserve">body listed </w:t>
      </w:r>
      <w:r w:rsidR="00E005B8" w:rsidRPr="006C093C">
        <w:rPr>
          <w:noProof/>
        </w:rPr>
        <w:t>on</w:t>
      </w:r>
      <w:r w:rsidR="00AA7C1E" w:rsidRPr="006C093C">
        <w:rPr>
          <w:noProof/>
        </w:rPr>
        <w:t xml:space="preserve"> the </w:t>
      </w:r>
      <w:r w:rsidR="00E005B8" w:rsidRPr="006C093C">
        <w:rPr>
          <w:noProof/>
        </w:rPr>
        <w:t xml:space="preserve">platform, </w:t>
      </w:r>
      <w:r w:rsidR="000D174C" w:rsidRPr="006C093C">
        <w:rPr>
          <w:noProof/>
        </w:rPr>
        <w:t>which complies with Directive 2013/11/EU</w:t>
      </w:r>
      <w:r w:rsidR="000D174C" w:rsidRPr="00CD6FE0">
        <w:rPr>
          <w:noProof/>
        </w:rPr>
        <w:t xml:space="preserve"> of the Europea</w:t>
      </w:r>
      <w:r w:rsidR="000D174C">
        <w:rPr>
          <w:noProof/>
        </w:rPr>
        <w:t>n Parliament and of the Council</w:t>
      </w:r>
      <w:r w:rsidR="000D174C" w:rsidRPr="00B42815">
        <w:rPr>
          <w:rStyle w:val="FootnoteReference"/>
          <w:rFonts w:eastAsiaTheme="majorEastAsia"/>
          <w:noProof/>
        </w:rPr>
        <w:footnoteReference w:id="11"/>
      </w:r>
      <w:r w:rsidR="00E005B8">
        <w:rPr>
          <w:noProof/>
        </w:rPr>
        <w:t>.</w:t>
      </w:r>
    </w:p>
    <w:p w14:paraId="67F72C74" w14:textId="45A12652" w:rsidR="006C093C" w:rsidRPr="006C093C" w:rsidRDefault="00EF0782" w:rsidP="00EF0782">
      <w:pPr>
        <w:pStyle w:val="ManualConsidrant"/>
        <w:rPr>
          <w:noProof/>
        </w:rPr>
      </w:pPr>
      <w:r w:rsidRPr="00EF0782">
        <w:t>(3)</w:t>
      </w:r>
      <w:r w:rsidRPr="00EF0782">
        <w:tab/>
      </w:r>
      <w:r w:rsidR="00AA7C1E" w:rsidRPr="006C093C">
        <w:rPr>
          <w:noProof/>
        </w:rPr>
        <w:t xml:space="preserve">Regulation (EU) </w:t>
      </w:r>
      <w:r w:rsidR="0023722A" w:rsidRPr="006C093C">
        <w:rPr>
          <w:noProof/>
        </w:rPr>
        <w:t xml:space="preserve">No </w:t>
      </w:r>
      <w:r w:rsidR="00AA7C1E" w:rsidRPr="006C093C">
        <w:rPr>
          <w:noProof/>
        </w:rPr>
        <w:t xml:space="preserve">524/2013 </w:t>
      </w:r>
      <w:r w:rsidR="00E005B8" w:rsidRPr="006C093C">
        <w:rPr>
          <w:noProof/>
        </w:rPr>
        <w:t xml:space="preserve">requires </w:t>
      </w:r>
      <w:r w:rsidR="00AA7C1E" w:rsidRPr="006C093C">
        <w:rPr>
          <w:noProof/>
        </w:rPr>
        <w:t>online traders and online marketplaces to provide an easily accessible link to the ODR platform</w:t>
      </w:r>
      <w:r w:rsidR="00E005B8" w:rsidRPr="006C093C">
        <w:rPr>
          <w:noProof/>
        </w:rPr>
        <w:t xml:space="preserve"> on their website</w:t>
      </w:r>
      <w:r w:rsidR="00AA7C1E" w:rsidRPr="006C093C">
        <w:rPr>
          <w:noProof/>
        </w:rPr>
        <w:t>. Th</w:t>
      </w:r>
      <w:r w:rsidR="00E005B8" w:rsidRPr="006C093C">
        <w:rPr>
          <w:noProof/>
        </w:rPr>
        <w:t>at</w:t>
      </w:r>
      <w:r w:rsidR="00AA7C1E" w:rsidRPr="006C093C">
        <w:rPr>
          <w:noProof/>
        </w:rPr>
        <w:t xml:space="preserve"> obligation, together with information campaigns made by the Commission and national stakeholders, </w:t>
      </w:r>
      <w:r w:rsidR="00E005B8" w:rsidRPr="006C093C">
        <w:rPr>
          <w:noProof/>
        </w:rPr>
        <w:t xml:space="preserve">has </w:t>
      </w:r>
      <w:r w:rsidR="00AA7C1E" w:rsidRPr="006C093C">
        <w:rPr>
          <w:noProof/>
        </w:rPr>
        <w:t>brought between two and three million visitors to the platform’s website</w:t>
      </w:r>
      <w:r w:rsidR="00E005B8" w:rsidRPr="006C093C">
        <w:rPr>
          <w:noProof/>
        </w:rPr>
        <w:t xml:space="preserve"> every year</w:t>
      </w:r>
      <w:r w:rsidR="00AA7C1E" w:rsidRPr="006C093C">
        <w:rPr>
          <w:noProof/>
        </w:rPr>
        <w:t>.</w:t>
      </w:r>
    </w:p>
    <w:p w14:paraId="1214FB6F" w14:textId="375EA9B4" w:rsidR="006C093C" w:rsidRPr="006C093C" w:rsidRDefault="00EF0782" w:rsidP="00EF0782">
      <w:pPr>
        <w:pStyle w:val="ManualConsidrant"/>
        <w:rPr>
          <w:noProof/>
        </w:rPr>
      </w:pPr>
      <w:r w:rsidRPr="00EF0782">
        <w:t>(4)</w:t>
      </w:r>
      <w:r w:rsidRPr="00EF0782">
        <w:tab/>
      </w:r>
      <w:r w:rsidR="00AA7C1E" w:rsidRPr="006C093C">
        <w:rPr>
          <w:noProof/>
        </w:rPr>
        <w:t xml:space="preserve">However, </w:t>
      </w:r>
      <w:r w:rsidR="00E005B8" w:rsidRPr="006C093C">
        <w:rPr>
          <w:noProof/>
        </w:rPr>
        <w:t xml:space="preserve">only </w:t>
      </w:r>
      <w:r w:rsidR="00AA7C1E" w:rsidRPr="006C093C">
        <w:rPr>
          <w:noProof/>
        </w:rPr>
        <w:t>a minority of visitors use the platform to launch a complaint</w:t>
      </w:r>
      <w:r w:rsidR="00E005B8" w:rsidRPr="006C093C">
        <w:rPr>
          <w:noProof/>
        </w:rPr>
        <w:t>, and only</w:t>
      </w:r>
      <w:r w:rsidR="00AA7C1E" w:rsidRPr="006C093C">
        <w:rPr>
          <w:noProof/>
        </w:rPr>
        <w:t xml:space="preserve"> 2% </w:t>
      </w:r>
      <w:r w:rsidR="00E005B8" w:rsidRPr="006C093C">
        <w:rPr>
          <w:noProof/>
        </w:rPr>
        <w:t xml:space="preserve">of those actually </w:t>
      </w:r>
      <w:r w:rsidR="00AA7C1E" w:rsidRPr="006C093C">
        <w:rPr>
          <w:noProof/>
        </w:rPr>
        <w:t xml:space="preserve">receive a positive reply </w:t>
      </w:r>
      <w:r w:rsidR="00E005B8" w:rsidRPr="006C093C">
        <w:rPr>
          <w:noProof/>
        </w:rPr>
        <w:t>from</w:t>
      </w:r>
      <w:r w:rsidR="00AA7C1E" w:rsidRPr="006C093C">
        <w:rPr>
          <w:noProof/>
        </w:rPr>
        <w:t xml:space="preserve"> traders so that their request can be transmitted to an ADR body listed on the platform. All in all</w:t>
      </w:r>
      <w:r w:rsidR="009C40FB">
        <w:rPr>
          <w:noProof/>
        </w:rPr>
        <w:t>,</w:t>
      </w:r>
      <w:r w:rsidR="00AA7C1E" w:rsidRPr="006C093C">
        <w:rPr>
          <w:noProof/>
        </w:rPr>
        <w:t xml:space="preserve"> this represents about 200 cases</w:t>
      </w:r>
      <w:r w:rsidR="00E005B8" w:rsidRPr="006C093C">
        <w:rPr>
          <w:noProof/>
        </w:rPr>
        <w:t xml:space="preserve"> across the Union</w:t>
      </w:r>
      <w:r w:rsidR="00AA7C1E" w:rsidRPr="006C093C">
        <w:rPr>
          <w:noProof/>
        </w:rPr>
        <w:t>. The Commission published a call for evidence on adapting out-of-court dispute resolution to digital markets, which ran from 28 September to 21 December 2022 and concluded that the platform had been used by only 5% of c</w:t>
      </w:r>
      <w:r w:rsidR="00D96711" w:rsidRPr="006C093C">
        <w:rPr>
          <w:noProof/>
        </w:rPr>
        <w:t>onsumer</w:t>
      </w:r>
      <w:r w:rsidR="004579EE">
        <w:rPr>
          <w:noProof/>
        </w:rPr>
        <w:t>s</w:t>
      </w:r>
      <w:r w:rsidR="00AA7C1E" w:rsidRPr="006C093C">
        <w:rPr>
          <w:noProof/>
        </w:rPr>
        <w:t xml:space="preserve"> who responded, while the majority of respondents considered that the platform should be substantially improved or discontinued as it was not cost-effective.</w:t>
      </w:r>
    </w:p>
    <w:p w14:paraId="0BEC005A" w14:textId="37AE5E26" w:rsidR="006C093C" w:rsidRPr="006C093C" w:rsidRDefault="00EF0782" w:rsidP="00EF0782">
      <w:pPr>
        <w:pStyle w:val="ManualConsidrant"/>
        <w:rPr>
          <w:noProof/>
        </w:rPr>
      </w:pPr>
      <w:r w:rsidRPr="00EF0782">
        <w:t>(5)</w:t>
      </w:r>
      <w:r w:rsidRPr="00EF0782">
        <w:tab/>
      </w:r>
      <w:r w:rsidR="00AA7C1E" w:rsidRPr="006C093C">
        <w:rPr>
          <w:noProof/>
        </w:rPr>
        <w:t xml:space="preserve">The evidence strongly suggests that further maintenance of the European ODR Platform with no more than 200 cases transferred per year to an ADR entity does not </w:t>
      </w:r>
      <w:r w:rsidR="00E005B8" w:rsidRPr="006C093C">
        <w:rPr>
          <w:noProof/>
        </w:rPr>
        <w:t>cor</w:t>
      </w:r>
      <w:r w:rsidR="00AA7C1E" w:rsidRPr="006C093C">
        <w:rPr>
          <w:noProof/>
        </w:rPr>
        <w:t>respond to the principles of efficiency and effectiveness as</w:t>
      </w:r>
      <w:r w:rsidR="00E005B8" w:rsidRPr="006C093C">
        <w:rPr>
          <w:noProof/>
        </w:rPr>
        <w:t xml:space="preserve"> provided for</w:t>
      </w:r>
      <w:r w:rsidR="00AA7C1E" w:rsidRPr="006C093C">
        <w:rPr>
          <w:noProof/>
        </w:rPr>
        <w:t xml:space="preserve"> </w:t>
      </w:r>
      <w:r w:rsidR="00B91BF7" w:rsidRPr="006C093C">
        <w:rPr>
          <w:noProof/>
        </w:rPr>
        <w:t>Regulation (EU, Euratom) 2018/1046 of the European Parliament and of the Council</w:t>
      </w:r>
      <w:r w:rsidR="00B91BF7">
        <w:rPr>
          <w:rStyle w:val="FootnoteReference"/>
          <w:rFonts w:eastAsiaTheme="majorEastAsia"/>
          <w:noProof/>
          <w:color w:val="333333"/>
        </w:rPr>
        <w:footnoteReference w:id="12"/>
      </w:r>
      <w:r w:rsidR="00B91BF7" w:rsidRPr="006C093C">
        <w:rPr>
          <w:noProof/>
        </w:rPr>
        <w:t>.</w:t>
      </w:r>
    </w:p>
    <w:p w14:paraId="738BD886" w14:textId="25B8A568" w:rsidR="006C093C" w:rsidRPr="006C093C" w:rsidRDefault="00EF0782" w:rsidP="00EF0782">
      <w:pPr>
        <w:pStyle w:val="ManualConsidrant"/>
        <w:rPr>
          <w:noProof/>
        </w:rPr>
      </w:pPr>
      <w:r w:rsidRPr="00EF0782">
        <w:t>(6)</w:t>
      </w:r>
      <w:r w:rsidRPr="00EF0782">
        <w:tab/>
      </w:r>
      <w:r w:rsidR="00B91BF7" w:rsidRPr="006C093C">
        <w:rPr>
          <w:noProof/>
        </w:rPr>
        <w:t xml:space="preserve">The ODR platform should be discontinued and </w:t>
      </w:r>
      <w:r w:rsidR="00AA7C1E" w:rsidRPr="006C093C">
        <w:rPr>
          <w:noProof/>
        </w:rPr>
        <w:t xml:space="preserve">Regulation (EU) </w:t>
      </w:r>
      <w:r w:rsidR="0023722A" w:rsidRPr="006C093C">
        <w:rPr>
          <w:noProof/>
        </w:rPr>
        <w:t xml:space="preserve">No </w:t>
      </w:r>
      <w:r w:rsidR="00AA7C1E" w:rsidRPr="006C093C">
        <w:rPr>
          <w:noProof/>
        </w:rPr>
        <w:t>524/2013 should therefore be repealed</w:t>
      </w:r>
      <w:r w:rsidR="00B91BF7" w:rsidRPr="006C093C">
        <w:rPr>
          <w:noProof/>
        </w:rPr>
        <w:t xml:space="preserve">. Appropriate time should be provided to ensure </w:t>
      </w:r>
      <w:r w:rsidR="00981349" w:rsidRPr="006C093C">
        <w:rPr>
          <w:noProof/>
        </w:rPr>
        <w:t xml:space="preserve">that ongoing cases in the platform can be adequately </w:t>
      </w:r>
      <w:r w:rsidR="00AA7C1E" w:rsidRPr="006C093C">
        <w:rPr>
          <w:noProof/>
        </w:rPr>
        <w:t>terminated.</w:t>
      </w:r>
    </w:p>
    <w:p w14:paraId="62D65811" w14:textId="630A85B7" w:rsidR="006C093C" w:rsidRDefault="00EF0782" w:rsidP="00EF0782">
      <w:pPr>
        <w:pStyle w:val="ManualConsidrant"/>
        <w:rPr>
          <w:noProof/>
        </w:rPr>
      </w:pPr>
      <w:r w:rsidRPr="00EF0782">
        <w:t>(7)</w:t>
      </w:r>
      <w:r w:rsidRPr="00EF0782">
        <w:tab/>
      </w:r>
      <w:r w:rsidR="00392D6A" w:rsidRPr="00981349">
        <w:rPr>
          <w:noProof/>
        </w:rPr>
        <w:t xml:space="preserve">Article 12 of the Regulation (EU) </w:t>
      </w:r>
      <w:r w:rsidR="0023722A">
        <w:rPr>
          <w:noProof/>
        </w:rPr>
        <w:t xml:space="preserve">No </w:t>
      </w:r>
      <w:r w:rsidR="00392D6A" w:rsidRPr="00981349">
        <w:rPr>
          <w:noProof/>
        </w:rPr>
        <w:t>524/2013 establishes the rule for processing the personal data related to a dispute and stored in the database of the ODR platform maintained by the Commission</w:t>
      </w:r>
      <w:r w:rsidR="00FD3742">
        <w:rPr>
          <w:noProof/>
        </w:rPr>
        <w:t>.</w:t>
      </w:r>
    </w:p>
    <w:p w14:paraId="0EB7CB63" w14:textId="5A9D63CD" w:rsidR="006C093C" w:rsidRDefault="00EF0782" w:rsidP="00EF0782">
      <w:pPr>
        <w:pStyle w:val="ManualConsidrant"/>
        <w:rPr>
          <w:noProof/>
        </w:rPr>
      </w:pPr>
      <w:r w:rsidRPr="00EF0782">
        <w:t>(8)</w:t>
      </w:r>
      <w:r w:rsidRPr="00EF0782">
        <w:tab/>
      </w:r>
      <w:r w:rsidR="00A52DB6" w:rsidRPr="00FD3742">
        <w:rPr>
          <w:noProof/>
        </w:rPr>
        <w:t xml:space="preserve">Pursuant to Article 12(3) of Regulation (EU) </w:t>
      </w:r>
      <w:r w:rsidR="0023722A" w:rsidRPr="00FD3742">
        <w:rPr>
          <w:noProof/>
        </w:rPr>
        <w:t xml:space="preserve">No </w:t>
      </w:r>
      <w:r w:rsidR="00A52DB6" w:rsidRPr="00FD3742">
        <w:rPr>
          <w:noProof/>
        </w:rPr>
        <w:t xml:space="preserve">524/2013, personal data related to a dispute </w:t>
      </w:r>
      <w:r w:rsidR="0094069E" w:rsidRPr="00FD3742">
        <w:rPr>
          <w:noProof/>
        </w:rPr>
        <w:t xml:space="preserve">is </w:t>
      </w:r>
      <w:r w:rsidR="00A52DB6" w:rsidRPr="00FD3742">
        <w:rPr>
          <w:noProof/>
        </w:rPr>
        <w:t>kept in the database for the time necessary to achieve the purposes for which th</w:t>
      </w:r>
      <w:r w:rsidR="0094069E" w:rsidRPr="00FD3742">
        <w:rPr>
          <w:noProof/>
        </w:rPr>
        <w:t>e data</w:t>
      </w:r>
      <w:r w:rsidR="00A52DB6" w:rsidRPr="00FD3742">
        <w:rPr>
          <w:noProof/>
        </w:rPr>
        <w:t xml:space="preserve"> were collected and to ensure that data subjects are able to access their personal data in order to exercise their rights</w:t>
      </w:r>
      <w:r w:rsidR="0094069E" w:rsidRPr="00FD3742">
        <w:rPr>
          <w:noProof/>
        </w:rPr>
        <w:t xml:space="preserve">. That data should </w:t>
      </w:r>
      <w:r w:rsidR="00A52DB6" w:rsidRPr="00FD3742">
        <w:rPr>
          <w:noProof/>
        </w:rPr>
        <w:t>be automatically deleted, at the latest six months after the date of conclusion of the dispute which has been transmitted to the ODR platform.</w:t>
      </w:r>
      <w:r w:rsidR="008F6982">
        <w:rPr>
          <w:noProof/>
        </w:rPr>
        <w:t xml:space="preserve"> The Commission </w:t>
      </w:r>
      <w:r w:rsidR="00A61FDD" w:rsidRPr="008B3F88">
        <w:rPr>
          <w:noProof/>
        </w:rPr>
        <w:t>should</w:t>
      </w:r>
      <w:r w:rsidR="008F6982">
        <w:rPr>
          <w:noProof/>
        </w:rPr>
        <w:t xml:space="preserve"> inform users of the platform with open ADR cases of the closure of the platform in good time, and in any case at least four months before the platform is discontinued. The </w:t>
      </w:r>
      <w:r w:rsidR="008F6982" w:rsidRPr="008B3F88">
        <w:rPr>
          <w:noProof/>
        </w:rPr>
        <w:t>Commission sh</w:t>
      </w:r>
      <w:r w:rsidR="00A61FDD" w:rsidRPr="008B3F88">
        <w:rPr>
          <w:noProof/>
        </w:rPr>
        <w:t>ould</w:t>
      </w:r>
      <w:r w:rsidR="008F6982" w:rsidRPr="008B3F88">
        <w:rPr>
          <w:noProof/>
        </w:rPr>
        <w:t xml:space="preserve"> offer</w:t>
      </w:r>
      <w:r w:rsidR="008F6982">
        <w:rPr>
          <w:noProof/>
        </w:rPr>
        <w:t xml:space="preserve"> assistance to th</w:t>
      </w:r>
      <w:r w:rsidR="004579EE">
        <w:rPr>
          <w:noProof/>
        </w:rPr>
        <w:t>ose users of the</w:t>
      </w:r>
      <w:r w:rsidR="008F6982">
        <w:rPr>
          <w:noProof/>
        </w:rPr>
        <w:t xml:space="preserve"> platform who wish to retrieve their case data.</w:t>
      </w:r>
    </w:p>
    <w:p w14:paraId="45320547" w14:textId="00A1CF61" w:rsidR="006C093C" w:rsidRDefault="00EF0782" w:rsidP="00EF0782">
      <w:pPr>
        <w:pStyle w:val="ManualConsidrant"/>
        <w:rPr>
          <w:noProof/>
        </w:rPr>
      </w:pPr>
      <w:r w:rsidRPr="00EF0782">
        <w:t>(9)</w:t>
      </w:r>
      <w:r w:rsidRPr="00EF0782">
        <w:tab/>
      </w:r>
      <w:r w:rsidR="00AA7C1E" w:rsidRPr="006C093C">
        <w:rPr>
          <w:noProof/>
        </w:rPr>
        <w:t>As the ODR platform is refe</w:t>
      </w:r>
      <w:r w:rsidR="00981349" w:rsidRPr="006C093C">
        <w:rPr>
          <w:noProof/>
        </w:rPr>
        <w:t>rred to</w:t>
      </w:r>
      <w:r w:rsidR="00AA7C1E" w:rsidRPr="006C093C">
        <w:rPr>
          <w:noProof/>
        </w:rPr>
        <w:t xml:space="preserve"> as a platform t</w:t>
      </w:r>
      <w:r w:rsidR="00D96711" w:rsidRPr="006C093C">
        <w:rPr>
          <w:noProof/>
        </w:rPr>
        <w:t>hat</w:t>
      </w:r>
      <w:r w:rsidR="00AA7C1E" w:rsidRPr="006C093C">
        <w:rPr>
          <w:noProof/>
        </w:rPr>
        <w:t xml:space="preserve"> enable</w:t>
      </w:r>
      <w:r w:rsidR="00D96711" w:rsidRPr="006C093C">
        <w:rPr>
          <w:noProof/>
        </w:rPr>
        <w:t>s</w:t>
      </w:r>
      <w:r w:rsidR="00AA7C1E" w:rsidRPr="006C093C">
        <w:rPr>
          <w:noProof/>
        </w:rPr>
        <w:t xml:space="preserve"> consumers to request traders to agree to an out of court dispute resolution in other U</w:t>
      </w:r>
      <w:r w:rsidR="009F7B69" w:rsidRPr="006C093C">
        <w:rPr>
          <w:noProof/>
        </w:rPr>
        <w:t>nion</w:t>
      </w:r>
      <w:r w:rsidR="00AA7C1E" w:rsidRPr="006C093C">
        <w:rPr>
          <w:noProof/>
        </w:rPr>
        <w:t xml:space="preserve"> legal acts</w:t>
      </w:r>
      <w:r w:rsidR="00981349" w:rsidRPr="006C093C">
        <w:rPr>
          <w:noProof/>
        </w:rPr>
        <w:t>,</w:t>
      </w:r>
      <w:r w:rsidR="00AA7C1E" w:rsidRPr="006C093C">
        <w:rPr>
          <w:noProof/>
        </w:rPr>
        <w:t xml:space="preserve"> th</w:t>
      </w:r>
      <w:r w:rsidR="009F7B69" w:rsidRPr="006C093C">
        <w:rPr>
          <w:noProof/>
        </w:rPr>
        <w:t>o</w:t>
      </w:r>
      <w:r w:rsidR="00AA7C1E" w:rsidRPr="006C093C">
        <w:rPr>
          <w:noProof/>
        </w:rPr>
        <w:t>se acts should be amended</w:t>
      </w:r>
      <w:r w:rsidR="00981349" w:rsidRPr="006C093C">
        <w:rPr>
          <w:noProof/>
        </w:rPr>
        <w:t xml:space="preserve"> to remove references to that platform</w:t>
      </w:r>
      <w:r w:rsidR="00AA7C1E" w:rsidRPr="006C093C">
        <w:rPr>
          <w:noProof/>
        </w:rPr>
        <w:t>.</w:t>
      </w:r>
      <w:r w:rsidR="00981349" w:rsidRPr="006C093C">
        <w:rPr>
          <w:noProof/>
        </w:rPr>
        <w:t xml:space="preserve"> </w:t>
      </w:r>
      <w:r w:rsidR="00981349" w:rsidRPr="006C093C">
        <w:rPr>
          <w:noProof/>
          <w:shd w:val="clear" w:color="auto" w:fill="FFFFFF"/>
        </w:rPr>
        <w:t>Regulations (EU) 2017/2394</w:t>
      </w:r>
      <w:r w:rsidR="00981349">
        <w:rPr>
          <w:rStyle w:val="FootnoteReference"/>
          <w:rFonts w:eastAsiaTheme="majorEastAsia"/>
          <w:noProof/>
          <w:color w:val="333333"/>
        </w:rPr>
        <w:footnoteReference w:id="13"/>
      </w:r>
      <w:r w:rsidR="00981349" w:rsidRPr="006C093C">
        <w:rPr>
          <w:noProof/>
          <w:shd w:val="clear" w:color="auto" w:fill="FFFFFF"/>
        </w:rPr>
        <w:t xml:space="preserve"> and (EU) 2018/1724</w:t>
      </w:r>
      <w:r w:rsidR="00981349">
        <w:rPr>
          <w:rStyle w:val="FootnoteReference"/>
          <w:rFonts w:eastAsiaTheme="majorEastAsia"/>
          <w:noProof/>
          <w:color w:val="333333"/>
        </w:rPr>
        <w:footnoteReference w:id="14"/>
      </w:r>
      <w:r w:rsidR="00981349" w:rsidRPr="006C093C">
        <w:rPr>
          <w:noProof/>
          <w:shd w:val="clear" w:color="auto" w:fill="FFFFFF"/>
        </w:rPr>
        <w:t xml:space="preserve"> of the European Parliament and of the Council should therefore be amended accordingly.</w:t>
      </w:r>
    </w:p>
    <w:p w14:paraId="2A211B17" w14:textId="29BE3271" w:rsidR="00981349" w:rsidRPr="006C093C" w:rsidRDefault="00EF0782" w:rsidP="00EF0782">
      <w:pPr>
        <w:pStyle w:val="ManualConsidrant"/>
        <w:rPr>
          <w:noProof/>
        </w:rPr>
      </w:pPr>
      <w:r w:rsidRPr="00EF0782">
        <w:t>(10)</w:t>
      </w:r>
      <w:r w:rsidRPr="00EF0782">
        <w:tab/>
      </w:r>
      <w:r w:rsidR="00D96711" w:rsidRPr="006C093C">
        <w:rPr>
          <w:noProof/>
          <w:shd w:val="clear" w:color="auto" w:fill="FFFFFF"/>
          <w:lang w:val="en-IE" w:eastAsia="en-IE"/>
        </w:rPr>
        <w:t>Certain Directives contain references to</w:t>
      </w:r>
      <w:r w:rsidR="00981349" w:rsidRPr="006C093C">
        <w:rPr>
          <w:noProof/>
          <w:shd w:val="clear" w:color="auto" w:fill="FFFFFF"/>
          <w:lang w:val="en-IE" w:eastAsia="en-IE"/>
        </w:rPr>
        <w:t xml:space="preserve"> Regulation (EU) No 524/2013</w:t>
      </w:r>
      <w:r w:rsidR="00D96711" w:rsidRPr="006C093C">
        <w:rPr>
          <w:noProof/>
          <w:shd w:val="clear" w:color="auto" w:fill="FFFFFF"/>
          <w:lang w:val="en-IE" w:eastAsia="en-IE"/>
        </w:rPr>
        <w:t>. Therefore, its repeal</w:t>
      </w:r>
      <w:r w:rsidR="00981349" w:rsidRPr="006C093C">
        <w:rPr>
          <w:noProof/>
          <w:shd w:val="clear" w:color="auto" w:fill="FFFFFF"/>
          <w:lang w:val="en-IE" w:eastAsia="en-IE"/>
        </w:rPr>
        <w:t xml:space="preserve"> makes it necessary to amend Directives (EU) 2015/2302</w:t>
      </w:r>
      <w:r w:rsidR="00981349" w:rsidRPr="00B42815">
        <w:rPr>
          <w:rStyle w:val="FootnoteReference"/>
          <w:noProof/>
          <w:szCs w:val="24"/>
          <w:lang w:val="en-IE" w:eastAsia="en-IE"/>
        </w:rPr>
        <w:footnoteReference w:id="15"/>
      </w:r>
      <w:r w:rsidR="00981349" w:rsidRPr="006C093C">
        <w:rPr>
          <w:noProof/>
          <w:shd w:val="clear" w:color="auto" w:fill="FFFFFF"/>
          <w:lang w:val="en-IE" w:eastAsia="en-IE"/>
        </w:rPr>
        <w:t>, (EU) 2019/2161</w:t>
      </w:r>
      <w:r w:rsidR="00981349" w:rsidRPr="00B42815">
        <w:rPr>
          <w:rStyle w:val="FootnoteReference"/>
          <w:noProof/>
          <w:szCs w:val="24"/>
          <w:lang w:val="en-IE" w:eastAsia="en-IE"/>
        </w:rPr>
        <w:footnoteReference w:id="16"/>
      </w:r>
      <w:r w:rsidR="00981349" w:rsidRPr="006C093C">
        <w:rPr>
          <w:noProof/>
          <w:shd w:val="clear" w:color="auto" w:fill="FFFFFF"/>
          <w:lang w:val="en-IE" w:eastAsia="en-IE"/>
        </w:rPr>
        <w:t xml:space="preserve"> and (EU) 2020/1828</w:t>
      </w:r>
      <w:r w:rsidR="000C4348">
        <w:rPr>
          <w:rStyle w:val="FootnoteReference"/>
          <w:noProof/>
          <w:lang w:val="en-IE" w:eastAsia="en-IE"/>
        </w:rPr>
        <w:footnoteReference w:id="17"/>
      </w:r>
      <w:r w:rsidR="00981349" w:rsidRPr="006C093C">
        <w:rPr>
          <w:noProof/>
          <w:shd w:val="clear" w:color="auto" w:fill="FFFFFF"/>
          <w:lang w:val="en-IE" w:eastAsia="en-IE"/>
        </w:rPr>
        <w:t xml:space="preserve"> of the European Parliament and of the Council, which is to be done in Directive </w:t>
      </w:r>
      <w:r w:rsidR="000C4348" w:rsidRPr="006C093C">
        <w:rPr>
          <w:noProof/>
          <w:shd w:val="clear" w:color="auto" w:fill="FFFFFF"/>
          <w:lang w:val="en-IE" w:eastAsia="en-IE"/>
        </w:rPr>
        <w:t>[</w:t>
      </w:r>
      <w:r w:rsidR="00981349" w:rsidRPr="006C093C">
        <w:rPr>
          <w:noProof/>
          <w:shd w:val="clear" w:color="auto" w:fill="FFFFFF"/>
          <w:lang w:val="en-IE" w:eastAsia="en-IE"/>
        </w:rPr>
        <w:t xml:space="preserve">xxx/xxx </w:t>
      </w:r>
      <w:r w:rsidR="000C4348" w:rsidRPr="006C093C">
        <w:rPr>
          <w:noProof/>
          <w:shd w:val="clear" w:color="auto" w:fill="FFFFFF"/>
          <w:lang w:val="en-IE" w:eastAsia="en-IE"/>
        </w:rPr>
        <w:t xml:space="preserve">] </w:t>
      </w:r>
      <w:r w:rsidR="00981349" w:rsidRPr="006C093C">
        <w:rPr>
          <w:noProof/>
          <w:shd w:val="clear" w:color="auto" w:fill="FFFFFF"/>
          <w:lang w:val="en-IE" w:eastAsia="en-IE"/>
        </w:rPr>
        <w:t>of the European Parliament and of the Council amending Directive 2013/11/EU on alternative dispute resolution for consumer disputes</w:t>
      </w:r>
      <w:r w:rsidR="006C093C">
        <w:rPr>
          <w:noProof/>
          <w:shd w:val="clear" w:color="auto" w:fill="FFFFFF"/>
          <w:lang w:val="en-IE" w:eastAsia="en-IE"/>
        </w:rPr>
        <w:t>[</w:t>
      </w:r>
      <w:r w:rsidR="000C4348">
        <w:rPr>
          <w:rStyle w:val="FootnoteReference"/>
          <w:noProof/>
          <w:lang w:val="en-IE" w:eastAsia="en-IE"/>
        </w:rPr>
        <w:footnoteReference w:id="18"/>
      </w:r>
      <w:r w:rsidR="006C093C">
        <w:rPr>
          <w:noProof/>
          <w:shd w:val="clear" w:color="auto" w:fill="FFFFFF"/>
          <w:lang w:val="en-IE" w:eastAsia="en-IE"/>
        </w:rPr>
        <w:t>]</w:t>
      </w:r>
      <w:r w:rsidR="000C4348" w:rsidRPr="006C093C">
        <w:rPr>
          <w:noProof/>
          <w:shd w:val="clear" w:color="auto" w:fill="FFFFFF"/>
          <w:lang w:val="en-IE" w:eastAsia="en-IE"/>
        </w:rPr>
        <w:t>,</w:t>
      </w:r>
    </w:p>
    <w:p w14:paraId="53190D68" w14:textId="77777777" w:rsidR="00E66708" w:rsidRDefault="00AA7C1E" w:rsidP="00E66708">
      <w:pPr>
        <w:pStyle w:val="Formuledadoption0"/>
        <w:rPr>
          <w:noProof/>
        </w:rPr>
      </w:pPr>
      <w:r w:rsidRPr="00AA7C1E">
        <w:rPr>
          <w:noProof/>
        </w:rPr>
        <w:t>HAVE ADOPTED THIS REGULATION:</w:t>
      </w:r>
    </w:p>
    <w:p w14:paraId="032436A3" w14:textId="77777777" w:rsidR="00AA7C1E" w:rsidRPr="00E66708" w:rsidRDefault="00AA7C1E" w:rsidP="00E66708">
      <w:pPr>
        <w:pStyle w:val="Titrearticle0"/>
        <w:rPr>
          <w:noProof/>
        </w:rPr>
      </w:pPr>
      <w:r w:rsidRPr="00AA7C1E">
        <w:rPr>
          <w:noProof/>
        </w:rPr>
        <w:t>Article 1</w:t>
      </w:r>
    </w:p>
    <w:p w14:paraId="1F50B540" w14:textId="77777777" w:rsidR="00E66708" w:rsidRDefault="00AA7C1E" w:rsidP="00E66708">
      <w:pPr>
        <w:rPr>
          <w:noProof/>
        </w:rPr>
      </w:pPr>
      <w:r w:rsidRPr="00AA7C1E">
        <w:rPr>
          <w:noProof/>
        </w:rPr>
        <w:t xml:space="preserve">Regulation </w:t>
      </w:r>
      <w:r w:rsidR="00981349">
        <w:rPr>
          <w:noProof/>
        </w:rPr>
        <w:t xml:space="preserve">(EU) No </w:t>
      </w:r>
      <w:r w:rsidRPr="00AA7C1E">
        <w:rPr>
          <w:noProof/>
        </w:rPr>
        <w:t xml:space="preserve">524/2013 is repealed with effect </w:t>
      </w:r>
      <w:r w:rsidR="0023722A">
        <w:rPr>
          <w:noProof/>
        </w:rPr>
        <w:t>[</w:t>
      </w:r>
      <w:r w:rsidR="0023722A" w:rsidRPr="000A5E00">
        <w:rPr>
          <w:i/>
          <w:iCs/>
          <w:noProof/>
        </w:rPr>
        <w:t xml:space="preserve">insert date </w:t>
      </w:r>
      <w:r w:rsidRPr="000A5E00">
        <w:rPr>
          <w:i/>
          <w:iCs/>
          <w:noProof/>
        </w:rPr>
        <w:t xml:space="preserve">six months after the </w:t>
      </w:r>
      <w:r w:rsidR="00981349" w:rsidRPr="000A5E00">
        <w:rPr>
          <w:i/>
          <w:iCs/>
          <w:noProof/>
        </w:rPr>
        <w:t>date of entry into force</w:t>
      </w:r>
      <w:r w:rsidRPr="000A5E00">
        <w:rPr>
          <w:i/>
          <w:iCs/>
          <w:noProof/>
        </w:rPr>
        <w:t xml:space="preserve"> of this Regulation</w:t>
      </w:r>
      <w:r w:rsidR="0023722A">
        <w:rPr>
          <w:noProof/>
        </w:rPr>
        <w:t>]</w:t>
      </w:r>
      <w:r w:rsidRPr="00AA7C1E">
        <w:rPr>
          <w:noProof/>
        </w:rPr>
        <w:t>.</w:t>
      </w:r>
    </w:p>
    <w:p w14:paraId="76462E44" w14:textId="77777777" w:rsidR="00AA7C1E" w:rsidRPr="00E66708" w:rsidRDefault="00AA7C1E" w:rsidP="00E66708">
      <w:pPr>
        <w:pStyle w:val="Titrearticle0"/>
        <w:rPr>
          <w:noProof/>
        </w:rPr>
      </w:pPr>
      <w:r w:rsidRPr="00AA7C1E">
        <w:rPr>
          <w:noProof/>
        </w:rPr>
        <w:t>Article 2</w:t>
      </w:r>
    </w:p>
    <w:p w14:paraId="01B0C750" w14:textId="53C438A7" w:rsidR="00097981" w:rsidRDefault="00EF0782" w:rsidP="00EF0782">
      <w:pPr>
        <w:pStyle w:val="ManualNumPar1"/>
        <w:rPr>
          <w:rStyle w:val="num"/>
          <w:rFonts w:eastAsiaTheme="majorEastAsia"/>
          <w:noProof/>
          <w:color w:val="333333"/>
        </w:rPr>
      </w:pPr>
      <w:r w:rsidRPr="00EF0782">
        <w:rPr>
          <w:rStyle w:val="num"/>
        </w:rPr>
        <w:t>1.</w:t>
      </w:r>
      <w:r w:rsidRPr="00EF0782">
        <w:rPr>
          <w:rStyle w:val="num"/>
        </w:rPr>
        <w:tab/>
      </w:r>
      <w:r w:rsidR="00AA7C1E" w:rsidRPr="00AA7C1E">
        <w:rPr>
          <w:rStyle w:val="num"/>
          <w:rFonts w:eastAsiaTheme="majorEastAsia"/>
          <w:noProof/>
          <w:color w:val="333333"/>
        </w:rPr>
        <w:t>The European ODR Platform shall be discontinued.</w:t>
      </w:r>
    </w:p>
    <w:p w14:paraId="2F20AC5D" w14:textId="31BDA734" w:rsidR="00097981" w:rsidRDefault="00EF0782" w:rsidP="00EF0782">
      <w:pPr>
        <w:pStyle w:val="ManualNumPar1"/>
        <w:rPr>
          <w:rFonts w:eastAsiaTheme="majorEastAsia"/>
          <w:noProof/>
          <w:color w:val="333333"/>
        </w:rPr>
      </w:pPr>
      <w:r w:rsidRPr="00EF0782">
        <w:t>2.</w:t>
      </w:r>
      <w:r w:rsidRPr="00EF0782">
        <w:tab/>
      </w:r>
      <w:r w:rsidR="00981349">
        <w:rPr>
          <w:noProof/>
        </w:rPr>
        <w:t xml:space="preserve">The submission of complaints </w:t>
      </w:r>
      <w:r w:rsidR="00AA7C1E" w:rsidRPr="00AA7C1E">
        <w:rPr>
          <w:noProof/>
        </w:rPr>
        <w:t>shall be discontinued</w:t>
      </w:r>
      <w:r w:rsidR="00C525D2">
        <w:rPr>
          <w:noProof/>
        </w:rPr>
        <w:t xml:space="preserve"> on</w:t>
      </w:r>
      <w:r w:rsidR="00AA7C1E" w:rsidRPr="00AA7C1E">
        <w:rPr>
          <w:noProof/>
        </w:rPr>
        <w:t xml:space="preserve"> </w:t>
      </w:r>
      <w:r w:rsidR="0023722A">
        <w:rPr>
          <w:noProof/>
        </w:rPr>
        <w:t>[</w:t>
      </w:r>
      <w:r w:rsidR="0023722A" w:rsidRPr="00097981">
        <w:rPr>
          <w:noProof/>
        </w:rPr>
        <w:t xml:space="preserve">insert date </w:t>
      </w:r>
      <w:r w:rsidR="00981349" w:rsidRPr="00097981">
        <w:rPr>
          <w:noProof/>
        </w:rPr>
        <w:t xml:space="preserve">[two months after the date of entry into force of this </w:t>
      </w:r>
      <w:r w:rsidR="000C4348" w:rsidRPr="00097981">
        <w:rPr>
          <w:noProof/>
        </w:rPr>
        <w:t>R</w:t>
      </w:r>
      <w:r w:rsidR="00981349" w:rsidRPr="00097981">
        <w:rPr>
          <w:noProof/>
        </w:rPr>
        <w:t>egulation</w:t>
      </w:r>
      <w:r w:rsidR="0023722A" w:rsidRPr="00097981">
        <w:rPr>
          <w:noProof/>
        </w:rPr>
        <w:t xml:space="preserve">/ </w:t>
      </w:r>
      <w:r w:rsidR="00FD3742" w:rsidRPr="00097981">
        <w:rPr>
          <w:noProof/>
        </w:rPr>
        <w:t xml:space="preserve">four </w:t>
      </w:r>
      <w:r w:rsidR="0023722A" w:rsidRPr="00097981">
        <w:rPr>
          <w:noProof/>
        </w:rPr>
        <w:t>months before the repeal of this Regulation</w:t>
      </w:r>
      <w:r w:rsidR="0023722A">
        <w:rPr>
          <w:noProof/>
        </w:rPr>
        <w:t>]</w:t>
      </w:r>
      <w:r w:rsidR="00AA7C1E" w:rsidRPr="00097981">
        <w:rPr>
          <w:noProof/>
        </w:rPr>
        <w:t>.</w:t>
      </w:r>
    </w:p>
    <w:p w14:paraId="22ED01AF" w14:textId="28A0893D" w:rsidR="00097981" w:rsidRDefault="00EF0782" w:rsidP="00EF0782">
      <w:pPr>
        <w:pStyle w:val="ManualNumPar1"/>
        <w:rPr>
          <w:rFonts w:eastAsiaTheme="majorEastAsia"/>
          <w:noProof/>
          <w:color w:val="333333"/>
        </w:rPr>
      </w:pPr>
      <w:r w:rsidRPr="00EF0782">
        <w:t>3.</w:t>
      </w:r>
      <w:r w:rsidRPr="00EF0782">
        <w:tab/>
      </w:r>
      <w:r w:rsidR="00F92ECE">
        <w:rPr>
          <w:noProof/>
        </w:rPr>
        <w:t>The Commission shall inform u</w:t>
      </w:r>
      <w:r w:rsidR="00AC726F">
        <w:rPr>
          <w:noProof/>
        </w:rPr>
        <w:t xml:space="preserve">sers </w:t>
      </w:r>
      <w:r w:rsidR="00F92ECE">
        <w:rPr>
          <w:noProof/>
        </w:rPr>
        <w:t xml:space="preserve">of the platform </w:t>
      </w:r>
      <w:r w:rsidR="00AC726F">
        <w:rPr>
          <w:noProof/>
        </w:rPr>
        <w:t xml:space="preserve">with open ADR cases of the </w:t>
      </w:r>
      <w:r w:rsidR="004F6052">
        <w:rPr>
          <w:noProof/>
        </w:rPr>
        <w:t>discontinuance</w:t>
      </w:r>
      <w:r w:rsidR="00AC726F">
        <w:rPr>
          <w:noProof/>
        </w:rPr>
        <w:t xml:space="preserve"> of the platform </w:t>
      </w:r>
      <w:r w:rsidR="0023722A">
        <w:rPr>
          <w:noProof/>
        </w:rPr>
        <w:t>by [</w:t>
      </w:r>
      <w:r w:rsidR="004F6052" w:rsidRPr="00097981">
        <w:rPr>
          <w:i/>
          <w:iCs/>
          <w:noProof/>
        </w:rPr>
        <w:t>insert date two months after the date of entry into force of this Regulation/</w:t>
      </w:r>
      <w:r w:rsidR="00F92ECE" w:rsidRPr="00097981">
        <w:rPr>
          <w:i/>
          <w:iCs/>
          <w:noProof/>
        </w:rPr>
        <w:t>four months before the</w:t>
      </w:r>
      <w:r w:rsidR="004F6052" w:rsidRPr="00097981">
        <w:rPr>
          <w:i/>
          <w:iCs/>
          <w:noProof/>
        </w:rPr>
        <w:t xml:space="preserve"> repeal of this Regulation</w:t>
      </w:r>
      <w:r w:rsidR="0023722A">
        <w:rPr>
          <w:noProof/>
        </w:rPr>
        <w:t>]</w:t>
      </w:r>
      <w:r w:rsidR="00F92ECE">
        <w:rPr>
          <w:noProof/>
        </w:rPr>
        <w:t xml:space="preserve"> and offer assistance to </w:t>
      </w:r>
      <w:r w:rsidR="00AC726F">
        <w:rPr>
          <w:noProof/>
        </w:rPr>
        <w:t>retrieve case data</w:t>
      </w:r>
      <w:r w:rsidR="00F92ECE">
        <w:rPr>
          <w:noProof/>
        </w:rPr>
        <w:t xml:space="preserve"> accessible to them if they wish to do so.</w:t>
      </w:r>
      <w:r w:rsidR="00AC726F">
        <w:rPr>
          <w:noProof/>
        </w:rPr>
        <w:t xml:space="preserve"> </w:t>
      </w:r>
    </w:p>
    <w:p w14:paraId="626C2AA5" w14:textId="3A7B560A" w:rsidR="009C40FB" w:rsidRPr="00097981" w:rsidRDefault="00EF0782" w:rsidP="00EF0782">
      <w:pPr>
        <w:pStyle w:val="ManualNumPar1"/>
        <w:rPr>
          <w:rFonts w:eastAsiaTheme="majorEastAsia"/>
          <w:noProof/>
          <w:color w:val="333333"/>
        </w:rPr>
      </w:pPr>
      <w:r w:rsidRPr="00EF0782">
        <w:t>4.</w:t>
      </w:r>
      <w:r w:rsidRPr="00EF0782">
        <w:tab/>
      </w:r>
      <w:r w:rsidR="00981349" w:rsidRPr="009C40FB">
        <w:rPr>
          <w:noProof/>
        </w:rPr>
        <w:t>A</w:t>
      </w:r>
      <w:r w:rsidR="004F6052" w:rsidRPr="009C40FB">
        <w:rPr>
          <w:noProof/>
        </w:rPr>
        <w:t>t the late</w:t>
      </w:r>
      <w:r w:rsidR="00981349" w:rsidRPr="009C40FB">
        <w:rPr>
          <w:noProof/>
        </w:rPr>
        <w:t>s</w:t>
      </w:r>
      <w:r w:rsidR="004F6052" w:rsidRPr="009C40FB">
        <w:rPr>
          <w:noProof/>
        </w:rPr>
        <w:t>t as</w:t>
      </w:r>
      <w:r w:rsidR="00981349" w:rsidRPr="009C40FB">
        <w:rPr>
          <w:noProof/>
        </w:rPr>
        <w:t xml:space="preserve"> of [</w:t>
      </w:r>
      <w:r w:rsidR="00981349" w:rsidRPr="00097981">
        <w:rPr>
          <w:i/>
          <w:noProof/>
        </w:rPr>
        <w:t>dd/mm/yy, i.e. six months after the date of entry into force of this Regulation</w:t>
      </w:r>
      <w:r w:rsidR="00981349" w:rsidRPr="009C40FB">
        <w:rPr>
          <w:noProof/>
        </w:rPr>
        <w:t>]</w:t>
      </w:r>
      <w:r w:rsidR="00AA7C1E" w:rsidRPr="009C40FB">
        <w:rPr>
          <w:noProof/>
        </w:rPr>
        <w:t xml:space="preserve"> all information including personal data related to the disputes in the ODR platform </w:t>
      </w:r>
      <w:r w:rsidR="00981349" w:rsidRPr="009C40FB">
        <w:rPr>
          <w:noProof/>
        </w:rPr>
        <w:t>shall</w:t>
      </w:r>
      <w:r w:rsidR="00AA7C1E" w:rsidRPr="009C40FB">
        <w:rPr>
          <w:noProof/>
        </w:rPr>
        <w:t xml:space="preserve"> be deleted. </w:t>
      </w:r>
    </w:p>
    <w:p w14:paraId="63336E8E" w14:textId="5509576F" w:rsidR="00AA7C1E" w:rsidRPr="00E66708" w:rsidRDefault="00AA7C1E" w:rsidP="00742DE1">
      <w:pPr>
        <w:pStyle w:val="Titrearticle0"/>
        <w:rPr>
          <w:noProof/>
        </w:rPr>
      </w:pPr>
      <w:r w:rsidRPr="00AA7C1E">
        <w:rPr>
          <w:noProof/>
        </w:rPr>
        <w:t xml:space="preserve">Article </w:t>
      </w:r>
      <w:bookmarkStart w:id="1" w:name="_Hlk136375867"/>
      <w:r w:rsidR="00806BEB">
        <w:rPr>
          <w:noProof/>
        </w:rPr>
        <w:t>3</w:t>
      </w:r>
      <w:r w:rsidR="00E66708">
        <w:rPr>
          <w:noProof/>
        </w:rPr>
        <w:br/>
      </w:r>
      <w:r w:rsidRPr="004F6052">
        <w:rPr>
          <w:b/>
          <w:bCs/>
          <w:noProof/>
          <w:color w:val="333333"/>
          <w:shd w:val="clear" w:color="auto" w:fill="FFFFFF"/>
        </w:rPr>
        <w:t>Amendment to Regulation (EU) 2017/2394</w:t>
      </w:r>
    </w:p>
    <w:p w14:paraId="472534CC" w14:textId="525A4FD0" w:rsidR="00E66708" w:rsidRDefault="00DE2ADC" w:rsidP="00E66708">
      <w:pPr>
        <w:rPr>
          <w:noProof/>
        </w:rPr>
      </w:pPr>
      <w:r>
        <w:rPr>
          <w:noProof/>
        </w:rPr>
        <w:t>In</w:t>
      </w:r>
      <w:r w:rsidR="00AA7C1E" w:rsidRPr="00AA7C1E">
        <w:rPr>
          <w:noProof/>
        </w:rPr>
        <w:t xml:space="preserve"> </w:t>
      </w:r>
      <w:r w:rsidR="009C40FB">
        <w:rPr>
          <w:noProof/>
        </w:rPr>
        <w:t xml:space="preserve">the </w:t>
      </w:r>
      <w:r w:rsidR="00AA7C1E" w:rsidRPr="00AA7C1E">
        <w:rPr>
          <w:noProof/>
        </w:rPr>
        <w:t>Annex to Regulation (EU) 2017/2394</w:t>
      </w:r>
      <w:r>
        <w:rPr>
          <w:noProof/>
        </w:rPr>
        <w:t>, point 22</w:t>
      </w:r>
      <w:r w:rsidR="00AA7C1E" w:rsidRPr="00AA7C1E">
        <w:rPr>
          <w:noProof/>
        </w:rPr>
        <w:t xml:space="preserve"> is deleted.</w:t>
      </w:r>
    </w:p>
    <w:bookmarkEnd w:id="1"/>
    <w:p w14:paraId="79674F92" w14:textId="77777777" w:rsidR="00AA7C1E" w:rsidRPr="00E66708" w:rsidRDefault="00AA7C1E" w:rsidP="00E66708">
      <w:pPr>
        <w:pStyle w:val="Titrearticle0"/>
        <w:rPr>
          <w:noProof/>
        </w:rPr>
      </w:pPr>
      <w:r w:rsidRPr="00AA7C1E">
        <w:rPr>
          <w:noProof/>
        </w:rPr>
        <w:t xml:space="preserve">Article </w:t>
      </w:r>
      <w:r w:rsidR="00806BEB">
        <w:rPr>
          <w:noProof/>
        </w:rPr>
        <w:t>4</w:t>
      </w:r>
      <w:r w:rsidR="00E66708">
        <w:rPr>
          <w:noProof/>
        </w:rPr>
        <w:br/>
      </w:r>
      <w:r w:rsidRPr="00AA7C1E">
        <w:rPr>
          <w:b/>
          <w:bCs/>
          <w:noProof/>
          <w:color w:val="333333"/>
          <w:shd w:val="clear" w:color="auto" w:fill="FFFFFF"/>
        </w:rPr>
        <w:t>Amendment to Regulation (EU) 2018/1724</w:t>
      </w:r>
    </w:p>
    <w:p w14:paraId="0B648F99" w14:textId="11532D22" w:rsidR="00E66708" w:rsidRDefault="00DE2ADC" w:rsidP="00E66708">
      <w:pPr>
        <w:rPr>
          <w:noProof/>
        </w:rPr>
      </w:pPr>
      <w:r>
        <w:rPr>
          <w:noProof/>
        </w:rPr>
        <w:t>In</w:t>
      </w:r>
      <w:r w:rsidR="00AA7C1E" w:rsidRPr="00AA7C1E">
        <w:rPr>
          <w:noProof/>
        </w:rPr>
        <w:t xml:space="preserve"> Annex III to Regulation (EU) 2018/1724</w:t>
      </w:r>
      <w:r>
        <w:rPr>
          <w:noProof/>
        </w:rPr>
        <w:t>, point 7</w:t>
      </w:r>
      <w:r w:rsidR="00AA7C1E" w:rsidRPr="00AA7C1E">
        <w:rPr>
          <w:noProof/>
        </w:rPr>
        <w:t xml:space="preserve"> is</w:t>
      </w:r>
      <w:r w:rsidR="00892EA1">
        <w:rPr>
          <w:noProof/>
        </w:rPr>
        <w:t xml:space="preserve"> replaced </w:t>
      </w:r>
      <w:r>
        <w:rPr>
          <w:noProof/>
        </w:rPr>
        <w:t>by the following</w:t>
      </w:r>
      <w:r w:rsidR="00892EA1">
        <w:rPr>
          <w:noProof/>
        </w:rPr>
        <w:t>:</w:t>
      </w:r>
    </w:p>
    <w:p w14:paraId="3EF728B9" w14:textId="79666997" w:rsidR="009B472B" w:rsidRPr="009B472B" w:rsidRDefault="009B472B" w:rsidP="00E66708">
      <w:pPr>
        <w:rPr>
          <w:noProof/>
        </w:rPr>
      </w:pPr>
      <w:r w:rsidRPr="009B472B">
        <w:rPr>
          <w:noProof/>
        </w:rPr>
        <w:t>‘The list of alternative consumer dispute resolution entities established by the Commission pursuant to Article 20(4) of the Directive 2013/11/EU</w:t>
      </w:r>
      <w:r>
        <w:rPr>
          <w:noProof/>
        </w:rPr>
        <w:t>’</w:t>
      </w:r>
      <w:r>
        <w:rPr>
          <w:rStyle w:val="FootnoteReference"/>
          <w:noProof/>
        </w:rPr>
        <w:footnoteReference w:id="19"/>
      </w:r>
      <w:r>
        <w:rPr>
          <w:noProof/>
        </w:rPr>
        <w:t>.</w:t>
      </w:r>
    </w:p>
    <w:p w14:paraId="5BD98E21" w14:textId="77777777" w:rsidR="002E5B2D" w:rsidRPr="00862B19" w:rsidRDefault="00AA7C1E" w:rsidP="00DE5FE6">
      <w:pPr>
        <w:pStyle w:val="Titrearticle0"/>
        <w:rPr>
          <w:rFonts w:eastAsia="Times New Roman"/>
          <w:b/>
          <w:bCs/>
          <w:noProof/>
          <w:color w:val="333333"/>
          <w:szCs w:val="24"/>
          <w:lang w:val="en-IE" w:eastAsia="en-IE"/>
        </w:rPr>
      </w:pPr>
      <w:r w:rsidRPr="00862B19">
        <w:rPr>
          <w:noProof/>
          <w:lang w:val="en-IE" w:eastAsia="en-IE"/>
        </w:rPr>
        <w:t xml:space="preserve">Article </w:t>
      </w:r>
      <w:r w:rsidR="00806BEB" w:rsidRPr="00862B19">
        <w:rPr>
          <w:noProof/>
          <w:lang w:val="en-IE" w:eastAsia="en-IE"/>
        </w:rPr>
        <w:t>5</w:t>
      </w:r>
      <w:r w:rsidR="002E5B2D" w:rsidRPr="00862B19">
        <w:rPr>
          <w:noProof/>
          <w:lang w:val="en-IE" w:eastAsia="en-IE"/>
        </w:rPr>
        <w:br/>
      </w:r>
      <w:r w:rsidRPr="00862B19">
        <w:rPr>
          <w:rFonts w:eastAsia="Times New Roman"/>
          <w:b/>
          <w:bCs/>
          <w:noProof/>
          <w:color w:val="333333"/>
          <w:szCs w:val="24"/>
          <w:lang w:val="en-IE" w:eastAsia="en-IE"/>
        </w:rPr>
        <w:t>Entry into force</w:t>
      </w:r>
    </w:p>
    <w:p w14:paraId="442E6EA4" w14:textId="77777777" w:rsidR="002E5B2D" w:rsidRDefault="002E5B2D" w:rsidP="002E5B2D">
      <w:pPr>
        <w:rPr>
          <w:noProof/>
          <w:lang w:val="en-IE" w:eastAsia="en-IE"/>
        </w:rPr>
      </w:pPr>
      <w:r w:rsidRPr="00AA7C1E">
        <w:rPr>
          <w:noProof/>
          <w:lang w:val="en-IE" w:eastAsia="en-IE"/>
        </w:rPr>
        <w:t>This Regulation shall enter into force on the twentieth day following that of its publication in the </w:t>
      </w:r>
      <w:r w:rsidRPr="00AA7C1E">
        <w:rPr>
          <w:i/>
          <w:iCs/>
          <w:noProof/>
          <w:lang w:val="en-IE" w:eastAsia="en-IE"/>
        </w:rPr>
        <w:t>Official Journal of the European Union</w:t>
      </w:r>
      <w:r w:rsidRPr="00AA7C1E">
        <w:rPr>
          <w:noProof/>
          <w:lang w:val="en-IE" w:eastAsia="en-IE"/>
        </w:rPr>
        <w:t>.</w:t>
      </w:r>
    </w:p>
    <w:p w14:paraId="44575D93" w14:textId="77777777" w:rsidR="00981349" w:rsidRPr="00701D0B" w:rsidRDefault="00981349" w:rsidP="00981349">
      <w:pPr>
        <w:pStyle w:val="Applicationdirecte"/>
        <w:rPr>
          <w:noProof/>
        </w:rPr>
      </w:pPr>
      <w:r w:rsidRPr="00701D0B">
        <w:rPr>
          <w:noProof/>
        </w:rPr>
        <w:t>This Regulation shall be binding in its entirety and directly applicable in all Member States.</w:t>
      </w:r>
    </w:p>
    <w:p w14:paraId="66AD9BA1" w14:textId="77777777" w:rsidR="00981349" w:rsidRDefault="00981349" w:rsidP="002E5B2D">
      <w:pPr>
        <w:rPr>
          <w:noProof/>
        </w:rPr>
      </w:pPr>
    </w:p>
    <w:p w14:paraId="2D38576A" w14:textId="671B6F16" w:rsidR="00AA7C1E" w:rsidRDefault="007F1814" w:rsidP="00820B8A">
      <w:pPr>
        <w:pStyle w:val="Fait"/>
        <w:rPr>
          <w:noProof/>
        </w:rPr>
      </w:pPr>
      <w:r w:rsidRPr="007F1814">
        <w:t>Done at Brussels,</w:t>
      </w:r>
    </w:p>
    <w:p w14:paraId="657E54DF" w14:textId="77777777" w:rsidR="00AA7C1E" w:rsidRPr="002E5B2D" w:rsidRDefault="00AA7C1E" w:rsidP="00820B8A">
      <w:pPr>
        <w:pStyle w:val="Institutionquisigne"/>
        <w:rPr>
          <w:noProof/>
        </w:rPr>
      </w:pPr>
      <w:r w:rsidRPr="002E5B2D">
        <w:rPr>
          <w:noProof/>
        </w:rPr>
        <w:t>For the European Parliament</w:t>
      </w:r>
      <w:r w:rsidRPr="002E5B2D">
        <w:rPr>
          <w:noProof/>
        </w:rPr>
        <w:tab/>
        <w:t>For the Council</w:t>
      </w:r>
    </w:p>
    <w:p w14:paraId="3A8AE746" w14:textId="77777777" w:rsidR="00AA7C1E" w:rsidRPr="002E5B2D" w:rsidRDefault="00AA7C1E" w:rsidP="002E5B2D">
      <w:pPr>
        <w:pStyle w:val="Personnequisigne"/>
        <w:rPr>
          <w:noProof/>
        </w:rPr>
      </w:pPr>
      <w:r w:rsidRPr="002E5B2D">
        <w:rPr>
          <w:noProof/>
        </w:rPr>
        <w:t>The President</w:t>
      </w:r>
      <w:r w:rsidRPr="002E5B2D">
        <w:rPr>
          <w:noProof/>
        </w:rPr>
        <w:tab/>
        <w:t>The President</w:t>
      </w:r>
    </w:p>
    <w:sectPr w:rsidR="00AA7C1E" w:rsidRPr="002E5B2D" w:rsidSect="00C97FB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4552" w14:textId="77777777" w:rsidR="007C036D" w:rsidRDefault="007C036D" w:rsidP="00875467">
      <w:pPr>
        <w:spacing w:before="0" w:after="0"/>
      </w:pPr>
      <w:r>
        <w:separator/>
      </w:r>
    </w:p>
  </w:endnote>
  <w:endnote w:type="continuationSeparator" w:id="0">
    <w:p w14:paraId="3A185AF5" w14:textId="77777777" w:rsidR="007C036D" w:rsidRDefault="007C036D" w:rsidP="008754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C68C" w14:textId="419EB2E9" w:rsidR="00CB0320" w:rsidRPr="00C97FBD" w:rsidRDefault="00C97FBD" w:rsidP="00C97FBD">
    <w:pPr>
      <w:pStyle w:val="Footer"/>
      <w:rPr>
        <w:rFonts w:ascii="Arial" w:hAnsi="Arial" w:cs="Arial"/>
        <w:b/>
        <w:sz w:val="48"/>
      </w:rPr>
    </w:pPr>
    <w:r w:rsidRPr="00C97FBD">
      <w:rPr>
        <w:rFonts w:ascii="Arial" w:hAnsi="Arial" w:cs="Arial"/>
        <w:b/>
        <w:sz w:val="48"/>
      </w:rPr>
      <w:t>EN</w:t>
    </w:r>
    <w:r w:rsidRPr="00C97FBD">
      <w:rPr>
        <w:rFonts w:ascii="Arial" w:hAnsi="Arial" w:cs="Arial"/>
        <w:b/>
        <w:sz w:val="48"/>
      </w:rPr>
      <w:tab/>
    </w:r>
    <w:r w:rsidRPr="00C97FBD">
      <w:rPr>
        <w:rFonts w:ascii="Arial" w:hAnsi="Arial" w:cs="Arial"/>
        <w:b/>
        <w:sz w:val="48"/>
      </w:rPr>
      <w:tab/>
    </w:r>
    <w:r w:rsidRPr="00C97FBD">
      <w:tab/>
    </w:r>
    <w:r w:rsidRPr="00C97FB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4A8F" w14:textId="18A5BF9D" w:rsidR="00C97FBD" w:rsidRPr="00C97FBD" w:rsidRDefault="00C97FBD" w:rsidP="00C97FBD">
    <w:pPr>
      <w:pStyle w:val="Footer"/>
      <w:rPr>
        <w:rFonts w:ascii="Arial" w:hAnsi="Arial" w:cs="Arial"/>
        <w:b/>
        <w:sz w:val="48"/>
      </w:rPr>
    </w:pPr>
    <w:r w:rsidRPr="00C97FBD">
      <w:rPr>
        <w:rFonts w:ascii="Arial" w:hAnsi="Arial" w:cs="Arial"/>
        <w:b/>
        <w:sz w:val="48"/>
      </w:rPr>
      <w:t>EN</w:t>
    </w:r>
    <w:r w:rsidRPr="00C97FBD">
      <w:rPr>
        <w:rFonts w:ascii="Arial" w:hAnsi="Arial" w:cs="Arial"/>
        <w:b/>
        <w:sz w:val="48"/>
      </w:rPr>
      <w:tab/>
    </w:r>
    <w:r>
      <w:fldChar w:fldCharType="begin"/>
    </w:r>
    <w:r>
      <w:instrText xml:space="preserve"> PAGE  \* MERGEFORMAT </w:instrText>
    </w:r>
    <w:r>
      <w:fldChar w:fldCharType="separate"/>
    </w:r>
    <w:r w:rsidR="00820B8A">
      <w:rPr>
        <w:noProof/>
      </w:rPr>
      <w:t>8</w:t>
    </w:r>
    <w:r>
      <w:fldChar w:fldCharType="end"/>
    </w:r>
    <w:r>
      <w:tab/>
    </w:r>
    <w:r w:rsidRPr="00C97FBD">
      <w:tab/>
    </w:r>
    <w:r w:rsidRPr="00C97FB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63DD" w14:textId="77777777" w:rsidR="00C97FBD" w:rsidRPr="00C97FBD" w:rsidRDefault="00C97FBD" w:rsidP="00C97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A630" w14:textId="77777777" w:rsidR="007C036D" w:rsidRDefault="007C036D" w:rsidP="00875467">
      <w:pPr>
        <w:spacing w:before="0" w:after="0"/>
      </w:pPr>
      <w:r>
        <w:separator/>
      </w:r>
    </w:p>
  </w:footnote>
  <w:footnote w:type="continuationSeparator" w:id="0">
    <w:p w14:paraId="43612591" w14:textId="77777777" w:rsidR="007C036D" w:rsidRDefault="007C036D" w:rsidP="00875467">
      <w:pPr>
        <w:spacing w:before="0" w:after="0"/>
      </w:pPr>
      <w:r>
        <w:continuationSeparator/>
      </w:r>
    </w:p>
  </w:footnote>
  <w:footnote w:id="1">
    <w:p w14:paraId="2D63F854" w14:textId="77777777" w:rsidR="00DB163C" w:rsidRDefault="00DB163C" w:rsidP="00766EB9">
      <w:pPr>
        <w:pStyle w:val="FootnoteText"/>
        <w:ind w:left="0" w:firstLine="0"/>
      </w:pPr>
      <w:r w:rsidRPr="00CB0320">
        <w:rPr>
          <w:rStyle w:val="FootnoteReference"/>
        </w:rPr>
        <w:footnoteRef/>
      </w:r>
      <w:r w:rsidR="00CB0320">
        <w:tab/>
      </w:r>
      <w:r>
        <w:t>Communication from the Commission to the European Parliament, the Council the European Economic and Social Committee and the Committee of Regions: Long-term competitiveness of the EU: looking beyond 2030, Brussels, 16.3.2023, COM(2023) 168 final,</w:t>
      </w:r>
    </w:p>
    <w:p w14:paraId="6F3A7086" w14:textId="77777777" w:rsidR="00DB163C" w:rsidRPr="00DB163C" w:rsidRDefault="00E37EB7" w:rsidP="00766EB9">
      <w:pPr>
        <w:pStyle w:val="FootnoteText"/>
        <w:ind w:left="0" w:firstLine="0"/>
      </w:pPr>
      <w:hyperlink r:id="rId1" w:history="1">
        <w:r w:rsidR="00DB163C" w:rsidRPr="00E01D1D">
          <w:rPr>
            <w:rStyle w:val="Hyperlink"/>
          </w:rPr>
          <w:t>https://commission.europa.eu/system/files/2023-03/Communication_Long-term-competitiveness.pdf</w:t>
        </w:r>
      </w:hyperlink>
      <w:r w:rsidR="00DB163C">
        <w:t xml:space="preserve">  </w:t>
      </w:r>
    </w:p>
  </w:footnote>
  <w:footnote w:id="2">
    <w:p w14:paraId="2FFBC5DB" w14:textId="77777777" w:rsidR="009B21E8" w:rsidRPr="00766EB9" w:rsidRDefault="009B21E8" w:rsidP="00766EB9">
      <w:pPr>
        <w:pStyle w:val="FootnoteText"/>
        <w:ind w:left="0" w:firstLine="0"/>
      </w:pPr>
      <w:r w:rsidRPr="00CB0320">
        <w:rPr>
          <w:rStyle w:val="FootnoteReference"/>
        </w:rPr>
        <w:footnoteRef/>
      </w:r>
      <w:r w:rsidR="00CB0320">
        <w:tab/>
      </w:r>
      <w:r w:rsidR="00766EB9" w:rsidRPr="00766EB9">
        <w:t>Directive 2013/11/EU of the European Parliament and of the Council of 21 May 2013 on alternative dispute resolution for consumer disputes and amending Regulation (EC) No 2006/2004 and Directive 2009/22/EC (Directive on consumer ADR)</w:t>
      </w:r>
    </w:p>
  </w:footnote>
  <w:footnote w:id="3">
    <w:p w14:paraId="68E24217" w14:textId="77777777" w:rsidR="009B21E8" w:rsidRPr="00DD5354" w:rsidRDefault="009B21E8" w:rsidP="00766EB9">
      <w:pPr>
        <w:pStyle w:val="FootnoteText"/>
        <w:ind w:left="0" w:firstLine="0"/>
        <w:rPr>
          <w:lang w:val="en-IE"/>
        </w:rPr>
      </w:pPr>
      <w:r w:rsidRPr="00CB0320">
        <w:rPr>
          <w:rStyle w:val="FootnoteReference"/>
        </w:rPr>
        <w:footnoteRef/>
      </w:r>
      <w:r w:rsidR="00CB0320">
        <w:tab/>
      </w:r>
      <w:r w:rsidRPr="008463BE">
        <w:t>Regulation (EU) No 524/2013 of the European Parliament and of the Council of 21 May 2013 on online</w:t>
      </w:r>
      <w:r>
        <w:t xml:space="preserve"> </w:t>
      </w:r>
      <w:r w:rsidRPr="008463BE">
        <w:t>dispute resolution for consumer disputes and amending Regulation (EC) No 2006/2004 and Directive 2009/22/EC (Regulation on consumer ODR</w:t>
      </w:r>
      <w:r>
        <w:t xml:space="preserve">) </w:t>
      </w:r>
      <w:r w:rsidRPr="00DD5354">
        <w:t>OJ L 165, 18.6.2013, p. 1–12</w:t>
      </w:r>
    </w:p>
  </w:footnote>
  <w:footnote w:id="4">
    <w:p w14:paraId="4B0E5CE6" w14:textId="77777777" w:rsidR="004F5FFA" w:rsidRPr="004F5FFA" w:rsidRDefault="004F5FFA" w:rsidP="00766EB9">
      <w:pPr>
        <w:pStyle w:val="FootnoteText"/>
        <w:ind w:left="0" w:firstLine="0"/>
        <w:rPr>
          <w:lang w:val="en-IE"/>
        </w:rPr>
      </w:pPr>
      <w:r w:rsidRPr="00CB0320">
        <w:rPr>
          <w:rStyle w:val="FootnoteReference"/>
        </w:rPr>
        <w:footnoteRef/>
      </w:r>
      <w:r w:rsidR="00CB0320">
        <w:tab/>
      </w:r>
      <w:r>
        <w:t xml:space="preserve">Regulation (EU) 2018/1724 of the European Parliament and of the Council of 2 October 2018 establishing a single digital gateway to provide access to information, to procedures and to assistance and problem-solving services and amending Regulation (EU) No 1024/2012 (Text with EEA relevance.) OJ </w:t>
      </w:r>
      <w:r w:rsidRPr="004F5FFA">
        <w:t>L 295, 21.11.2018, p. 1–38</w:t>
      </w:r>
    </w:p>
  </w:footnote>
  <w:footnote w:id="5">
    <w:p w14:paraId="010EB6A8" w14:textId="77777777" w:rsidR="004F5FFA" w:rsidRDefault="004F5FFA" w:rsidP="00766EB9">
      <w:pPr>
        <w:pStyle w:val="FootnoteText"/>
        <w:ind w:left="0" w:firstLine="0"/>
        <w:contextualSpacing/>
        <w:jc w:val="left"/>
      </w:pPr>
      <w:r w:rsidRPr="00CB0320">
        <w:rPr>
          <w:rStyle w:val="FootnoteReference"/>
        </w:rPr>
        <w:footnoteRef/>
      </w:r>
      <w:r w:rsidR="00CB0320">
        <w:tab/>
      </w:r>
      <w:r>
        <w:rPr>
          <w:color w:val="000000"/>
          <w:shd w:val="clear" w:color="auto" w:fill="FFFFFF"/>
        </w:rPr>
        <w:t>Article 169 TFEU states that the objectives of promoting the interests of consumers and ensuring a high level of consumer protection can be achieved through measures adopted pursuant to Article 114 TFEU.</w:t>
      </w:r>
    </w:p>
  </w:footnote>
  <w:footnote w:id="6">
    <w:p w14:paraId="2C81E901" w14:textId="77777777" w:rsidR="007E4455" w:rsidRDefault="007E4455" w:rsidP="00766EB9">
      <w:pPr>
        <w:pStyle w:val="FootnoteText"/>
        <w:ind w:left="0" w:firstLine="0"/>
        <w:contextualSpacing/>
        <w:jc w:val="left"/>
      </w:pPr>
      <w:r w:rsidRPr="00CB0320">
        <w:rPr>
          <w:rStyle w:val="FootnoteReference"/>
        </w:rPr>
        <w:footnoteRef/>
      </w:r>
      <w:r w:rsidR="00CB0320">
        <w:tab/>
      </w:r>
      <w:r>
        <w:t>See Annex 7 for more information on the costs of the ODR Platform. This figure also takes into account the costs of replacing the ODR platform with signposting tools, which are estimated to amount 100 000 maximum.</w:t>
      </w:r>
    </w:p>
  </w:footnote>
  <w:footnote w:id="7">
    <w:p w14:paraId="0ED49805" w14:textId="77777777" w:rsidR="007E4455" w:rsidRDefault="007E4455" w:rsidP="00766EB9">
      <w:pPr>
        <w:pStyle w:val="FootnoteText"/>
        <w:ind w:left="0" w:firstLine="0"/>
        <w:contextualSpacing/>
        <w:jc w:val="left"/>
      </w:pPr>
      <w:r w:rsidRPr="00CB0320">
        <w:rPr>
          <w:rStyle w:val="FootnoteReference"/>
        </w:rPr>
        <w:footnoteRef/>
      </w:r>
      <w:r w:rsidR="00CB0320">
        <w:tab/>
      </w:r>
      <w:r>
        <w:t xml:space="preserve">EUR 600,000 every year saved if the ODR platform stops to be maintained, minus EUR 100,000 every year for other developed solutions to redirect consumers to the right ADR entity (e.g. artificial intelligence-powered lawbots/chatbots). </w:t>
      </w:r>
    </w:p>
  </w:footnote>
  <w:footnote w:id="8">
    <w:p w14:paraId="0CD8AFD4" w14:textId="77777777" w:rsidR="007E4455" w:rsidRDefault="007E4455" w:rsidP="00766EB9">
      <w:pPr>
        <w:pStyle w:val="FootnoteText"/>
        <w:ind w:left="0" w:firstLine="0"/>
        <w:contextualSpacing/>
        <w:jc w:val="left"/>
      </w:pPr>
      <w:r w:rsidRPr="00CB0320">
        <w:rPr>
          <w:rStyle w:val="FootnoteReference"/>
        </w:rPr>
        <w:footnoteRef/>
      </w:r>
      <w:r w:rsidR="00CB0320">
        <w:tab/>
      </w:r>
      <w:r>
        <w:t>Behavioural study on disclosure of ADR information to consumers by traders and ADR entities.</w:t>
      </w:r>
    </w:p>
  </w:footnote>
  <w:footnote w:id="9">
    <w:p w14:paraId="6FDE1617" w14:textId="77777777" w:rsidR="007E4455" w:rsidRDefault="007E4455" w:rsidP="00766EB9">
      <w:pPr>
        <w:pStyle w:val="FootnoteText"/>
        <w:ind w:left="0" w:firstLine="0"/>
        <w:contextualSpacing/>
        <w:jc w:val="left"/>
      </w:pPr>
      <w:r w:rsidRPr="00CB0320">
        <w:rPr>
          <w:rStyle w:val="FootnoteReference"/>
        </w:rPr>
        <w:footnoteRef/>
      </w:r>
      <w:r w:rsidR="00CB0320">
        <w:tab/>
      </w:r>
      <w:r>
        <w:t>The average cost of maintaining this e-mail address, considering the due diligence of conducting business which would require to read the correspondence on a daily basis, is assumed to amount to EUR 0.5 per working day. Prospective ADR dispute requests (400,000 per year) would only occasionally reach the mailbox of a business (about 3,700,000 retailers operates online, Eurostat).</w:t>
      </w:r>
    </w:p>
  </w:footnote>
  <w:footnote w:id="10">
    <w:p w14:paraId="36027026" w14:textId="45650137" w:rsidR="00A800A1" w:rsidRPr="005A3B8A" w:rsidRDefault="00A800A1" w:rsidP="00A800A1">
      <w:pPr>
        <w:pStyle w:val="FootnoteText"/>
        <w:rPr>
          <w:lang w:val="en-IE"/>
        </w:rPr>
      </w:pPr>
      <w:r w:rsidRPr="00B42815">
        <w:rPr>
          <w:rStyle w:val="FootnoteReference"/>
        </w:rPr>
        <w:footnoteRef/>
      </w:r>
      <w:r w:rsidR="00B42815">
        <w:tab/>
      </w:r>
      <w:r>
        <w:t>Regulation (EU) No 524/2013 of the European Parliament and of the Council of 21 May 2013 on online dispute resolution for consumer disputes and amending Regulation (EC) No 2006/2004 and Directive 2009/22/EC (OJ L 165, 18.6.2013, p. 1).</w:t>
      </w:r>
    </w:p>
  </w:footnote>
  <w:footnote w:id="11">
    <w:p w14:paraId="1695205F" w14:textId="18B0746C" w:rsidR="000D174C" w:rsidRPr="00D47228" w:rsidRDefault="000D174C" w:rsidP="000D174C">
      <w:pPr>
        <w:pStyle w:val="FootnoteText"/>
        <w:rPr>
          <w:lang w:val="en-IE"/>
        </w:rPr>
      </w:pPr>
      <w:r w:rsidRPr="00B42815">
        <w:rPr>
          <w:rStyle w:val="FootnoteReference"/>
        </w:rPr>
        <w:footnoteRef/>
      </w:r>
      <w:r w:rsidR="00B42815">
        <w:tab/>
      </w:r>
      <w:r w:rsidRPr="00CD6FE0">
        <w:rPr>
          <w:lang w:val="en-IE"/>
        </w:rPr>
        <w:t>Directive 2013/11/EU of the European Parliament and of the Council of 21 May 2013 on alternative dispute resolution for consumer disputes and amending Regulation (EC) No 2006/2004 and Directive 2009/2</w:t>
      </w:r>
      <w:r>
        <w:rPr>
          <w:lang w:val="en-IE"/>
        </w:rPr>
        <w:t>2/EC (</w:t>
      </w:r>
      <w:r w:rsidRPr="00CD6FE0">
        <w:rPr>
          <w:lang w:val="en-IE"/>
        </w:rPr>
        <w:t>OJ L 165, 18.6.2013, p. 63</w:t>
      </w:r>
      <w:r>
        <w:rPr>
          <w:lang w:val="en-IE"/>
        </w:rPr>
        <w:t>).</w:t>
      </w:r>
    </w:p>
  </w:footnote>
  <w:footnote w:id="12">
    <w:p w14:paraId="7207A9AF" w14:textId="47EE32CC" w:rsidR="00B91BF7" w:rsidRPr="005A3B8A" w:rsidRDefault="00B91BF7" w:rsidP="00B91BF7">
      <w:pPr>
        <w:pStyle w:val="FootnoteText"/>
        <w:rPr>
          <w:lang w:val="en-IE"/>
        </w:rPr>
      </w:pPr>
      <w:r w:rsidRPr="00B42815">
        <w:rPr>
          <w:rStyle w:val="FootnoteReference"/>
        </w:rPr>
        <w:footnoteRef/>
      </w:r>
      <w:r w:rsidR="00B42815">
        <w:tab/>
      </w:r>
      <w:r w:rsidRPr="0035154D">
        <w:rPr>
          <w:lang w:val="en-IE"/>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Pr>
          <w:lang w:val="en-IE"/>
        </w:rPr>
        <w:t xml:space="preserve"> (</w:t>
      </w:r>
      <w:r w:rsidRPr="0035154D">
        <w:rPr>
          <w:lang w:val="en-IE"/>
        </w:rPr>
        <w:t>OJ L 193, 30.7.2018, p. 1</w:t>
      </w:r>
      <w:r>
        <w:rPr>
          <w:lang w:val="en-IE"/>
        </w:rPr>
        <w:t>).</w:t>
      </w:r>
    </w:p>
  </w:footnote>
  <w:footnote w:id="13">
    <w:p w14:paraId="2B05A23A" w14:textId="1809451E" w:rsidR="00981349" w:rsidRPr="00E752DA" w:rsidRDefault="00981349" w:rsidP="00981349">
      <w:pPr>
        <w:pStyle w:val="FootnoteText"/>
      </w:pPr>
      <w:r w:rsidRPr="00B42815">
        <w:rPr>
          <w:rStyle w:val="FootnoteReference"/>
        </w:rPr>
        <w:footnoteRef/>
      </w:r>
      <w:r w:rsidR="00B42815">
        <w:tab/>
      </w:r>
      <w:r>
        <w:t>Regulation (EU) 2017/2394 of the European Parliament and of the Council of 12 December 2017 on cooperation between national authorities responsible for the enforcement of consumer protection laws and repealing Regulation (EC) No 2006/2004 (OJ L 345, 27.12.2017, p. 1).</w:t>
      </w:r>
    </w:p>
  </w:footnote>
  <w:footnote w:id="14">
    <w:p w14:paraId="122D4418" w14:textId="6A14309D" w:rsidR="00981349" w:rsidRPr="005A3B8A" w:rsidRDefault="00981349" w:rsidP="00981349">
      <w:pPr>
        <w:pStyle w:val="FootnoteText"/>
        <w:rPr>
          <w:lang w:val="en-IE"/>
        </w:rPr>
      </w:pPr>
      <w:r w:rsidRPr="00B42815">
        <w:rPr>
          <w:rStyle w:val="FootnoteReference"/>
        </w:rPr>
        <w:footnoteRef/>
      </w:r>
      <w:r w:rsidR="00B42815">
        <w:tab/>
      </w:r>
      <w:r>
        <w:t>Regulation (EU) 2018/1724 of the European Parliament and of the Council of 2 October 2018 establishing a single digital gateway to provide access to information, to procedures and to assistance and problem-solving services and amending Regulation (EU) No 1024/2012 (OJ L 295, 21.11.2018, p. 1).</w:t>
      </w:r>
    </w:p>
  </w:footnote>
  <w:footnote w:id="15">
    <w:p w14:paraId="6D9A08F5" w14:textId="73AEE301" w:rsidR="00981349" w:rsidRPr="005A3B8A" w:rsidRDefault="00981349" w:rsidP="00981349">
      <w:pPr>
        <w:pStyle w:val="FootnoteText"/>
        <w:rPr>
          <w:lang w:val="lv-LV"/>
        </w:rPr>
      </w:pPr>
      <w:r w:rsidRPr="00B42815">
        <w:rPr>
          <w:rStyle w:val="FootnoteReference"/>
        </w:rPr>
        <w:footnoteRef/>
      </w:r>
      <w:r w:rsidR="00B42815">
        <w:tab/>
      </w:r>
      <w:r w:rsidRPr="00140EE1">
        <w:t>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 (OJ L 326, 11.12.2015, p. 1).</w:t>
      </w:r>
    </w:p>
  </w:footnote>
  <w:footnote w:id="16">
    <w:p w14:paraId="4956A0B4" w14:textId="39918135" w:rsidR="00981349" w:rsidRPr="005A3B8A" w:rsidRDefault="00981349" w:rsidP="00981349">
      <w:pPr>
        <w:pStyle w:val="FootnoteText"/>
        <w:rPr>
          <w:lang w:val="lv-LV"/>
        </w:rPr>
      </w:pPr>
      <w:r w:rsidRPr="00B42815">
        <w:rPr>
          <w:rStyle w:val="FootnoteReference"/>
        </w:rPr>
        <w:footnoteRef/>
      </w:r>
      <w:r w:rsidR="00B42815">
        <w:tab/>
      </w:r>
      <w:r w:rsidRPr="00140EE1">
        <w:t>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(OJ L 328, 18.12.2019, p. 7).</w:t>
      </w:r>
    </w:p>
  </w:footnote>
  <w:footnote w:id="17">
    <w:p w14:paraId="1B60036B" w14:textId="782D4527" w:rsidR="000C4348" w:rsidRPr="00FD3742" w:rsidRDefault="000C4348">
      <w:pPr>
        <w:pStyle w:val="FootnoteText"/>
        <w:rPr>
          <w:lang w:val="en-IE"/>
        </w:rPr>
      </w:pPr>
      <w:r w:rsidRPr="00B42815">
        <w:rPr>
          <w:rStyle w:val="FootnoteReference"/>
        </w:rPr>
        <w:footnoteRef/>
      </w:r>
      <w:r w:rsidR="00B42815">
        <w:tab/>
      </w:r>
      <w:r>
        <w:rPr>
          <w:lang w:val="en-IE"/>
        </w:rPr>
        <w:t xml:space="preserve">Directive (EU) 2020/1828 </w:t>
      </w:r>
      <w:r>
        <w:t>of the European Parliament and of the Council of 25 November 2020 on representative actions for the protection of the collective interests of consumers and repealing Directive 2009/22/EC (OJ L 409, 4.12.2020, p. 1).</w:t>
      </w:r>
    </w:p>
  </w:footnote>
  <w:footnote w:id="18">
    <w:p w14:paraId="4D6FD42C" w14:textId="357ED308" w:rsidR="000C4348" w:rsidRPr="00C014A5" w:rsidRDefault="000C4348">
      <w:pPr>
        <w:pStyle w:val="FootnoteText"/>
      </w:pPr>
      <w:r w:rsidRPr="00B42815">
        <w:rPr>
          <w:rStyle w:val="FootnoteReference"/>
        </w:rPr>
        <w:footnoteRef/>
      </w:r>
      <w:r w:rsidR="00B42815">
        <w:tab/>
      </w:r>
      <w:r w:rsidR="00C014A5">
        <w:t>[</w:t>
      </w:r>
      <w:r w:rsidR="00C525D2" w:rsidRPr="00C525D2">
        <w:rPr>
          <w:lang w:val="en-IE"/>
        </w:rPr>
        <w:t>OP: please insert reference to COM(2023) 649</w:t>
      </w:r>
      <w:r w:rsidR="00C014A5">
        <w:t>]</w:t>
      </w:r>
    </w:p>
  </w:footnote>
  <w:footnote w:id="19">
    <w:p w14:paraId="6FD52260" w14:textId="565DD2A9" w:rsidR="009B472B" w:rsidRPr="009B472B" w:rsidRDefault="009B472B">
      <w:pPr>
        <w:pStyle w:val="FootnoteText"/>
      </w:pPr>
      <w:r w:rsidRPr="004D262B">
        <w:rPr>
          <w:rStyle w:val="FootnoteReference"/>
        </w:rPr>
        <w:footnoteRef/>
      </w:r>
      <w:r w:rsidR="004D262B">
        <w:tab/>
      </w:r>
      <w:r w:rsidRPr="000A5E00">
        <w:rPr>
          <w:iCs/>
        </w:rPr>
        <w:t>Directive 2013/11/EU of the European Parliament and of the Council of 21 May 2013 on alternative dispute resolution for consumer disputes and amending Regulation (EC) No 2006/2004 and Directive 2009/22/EC (OJ L 165, 18.6.2013, p. 63)</w:t>
      </w:r>
      <w:r>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65A648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02C9DE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46ABD5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AD826D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15 09:21:2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E329C19-007D-4B91-A6F2-27AF3C0A6612"/>
    <w:docVar w:name="LW_COVERPAGE_TYPE" w:val="1"/>
    <w:docVar w:name="LW_CROSSREFERENCE" w:val="&lt;UNUSED&gt;"/>
    <w:docVar w:name="LW_DocType" w:val="COM"/>
    <w:docVar w:name="LW_EMISSION" w:val="17.10.2023"/>
    <w:docVar w:name="LW_EMISSION_ISODATE" w:val="2023-10-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75"/>
    <w:docVar w:name="LW_REF.II.NEW.CP_YEAR" w:val="2023"/>
    <w:docVar w:name="LW_REF.INST.NEW" w:val="COM"/>
    <w:docVar w:name="LW_REF.INST.NEW_ADOPTED" w:val="final"/>
    <w:docVar w:name="LW_REF.INST.NEW_TEXT" w:val="(2023) 64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repealing Regulation (EU) No 524/2013 and amending Regulations (EU) 2017/2394 and (EU) 2018/1724 with regards to the discontinuation of the European ODR Platform"/>
    <w:docVar w:name="LW_TYPE.DOC.CP" w:val="REGULATION OF THE EUROPEAN PARLIAMENT AND OF THE COUNCIL"/>
    <w:docVar w:name="LwApiVersions" w:val="LW4CoDe 1.23.2.0; LW 8.0, Build 20211117"/>
  </w:docVars>
  <w:rsids>
    <w:rsidRoot w:val="00875467"/>
    <w:rsid w:val="00012752"/>
    <w:rsid w:val="00020E59"/>
    <w:rsid w:val="00034424"/>
    <w:rsid w:val="000409D3"/>
    <w:rsid w:val="00060306"/>
    <w:rsid w:val="00090988"/>
    <w:rsid w:val="00097981"/>
    <w:rsid w:val="000A5E00"/>
    <w:rsid w:val="000C4348"/>
    <w:rsid w:val="000D174C"/>
    <w:rsid w:val="000E2BC4"/>
    <w:rsid w:val="000F3911"/>
    <w:rsid w:val="001007F4"/>
    <w:rsid w:val="00102981"/>
    <w:rsid w:val="001065F5"/>
    <w:rsid w:val="001159E7"/>
    <w:rsid w:val="001238EF"/>
    <w:rsid w:val="00144DA2"/>
    <w:rsid w:val="00167F3C"/>
    <w:rsid w:val="00170611"/>
    <w:rsid w:val="00171630"/>
    <w:rsid w:val="0019610E"/>
    <w:rsid w:val="00197613"/>
    <w:rsid w:val="001C12CB"/>
    <w:rsid w:val="001F0A9A"/>
    <w:rsid w:val="0021736C"/>
    <w:rsid w:val="0022604E"/>
    <w:rsid w:val="00233DC7"/>
    <w:rsid w:val="0023722A"/>
    <w:rsid w:val="00247779"/>
    <w:rsid w:val="00247979"/>
    <w:rsid w:val="00250415"/>
    <w:rsid w:val="00261A50"/>
    <w:rsid w:val="002751E5"/>
    <w:rsid w:val="00285BEE"/>
    <w:rsid w:val="00287002"/>
    <w:rsid w:val="0029052E"/>
    <w:rsid w:val="0029533F"/>
    <w:rsid w:val="002A67AF"/>
    <w:rsid w:val="002B30AF"/>
    <w:rsid w:val="002B3744"/>
    <w:rsid w:val="002C2F45"/>
    <w:rsid w:val="002C5F9D"/>
    <w:rsid w:val="002E4F61"/>
    <w:rsid w:val="002E5B2D"/>
    <w:rsid w:val="00316814"/>
    <w:rsid w:val="0033344A"/>
    <w:rsid w:val="00354DA4"/>
    <w:rsid w:val="003555CE"/>
    <w:rsid w:val="003605BC"/>
    <w:rsid w:val="00373224"/>
    <w:rsid w:val="00392D6A"/>
    <w:rsid w:val="00394909"/>
    <w:rsid w:val="003D3B02"/>
    <w:rsid w:val="0040398A"/>
    <w:rsid w:val="0042648E"/>
    <w:rsid w:val="004579EE"/>
    <w:rsid w:val="00462A7D"/>
    <w:rsid w:val="00467A7C"/>
    <w:rsid w:val="00481DB5"/>
    <w:rsid w:val="00485A03"/>
    <w:rsid w:val="004936D2"/>
    <w:rsid w:val="00493DD9"/>
    <w:rsid w:val="004A5973"/>
    <w:rsid w:val="004B4666"/>
    <w:rsid w:val="004D262B"/>
    <w:rsid w:val="004D62E4"/>
    <w:rsid w:val="004E6EF4"/>
    <w:rsid w:val="004F093C"/>
    <w:rsid w:val="004F5FFA"/>
    <w:rsid w:val="004F6052"/>
    <w:rsid w:val="00505E83"/>
    <w:rsid w:val="00531E19"/>
    <w:rsid w:val="00552BA1"/>
    <w:rsid w:val="00553360"/>
    <w:rsid w:val="0056056D"/>
    <w:rsid w:val="005810EB"/>
    <w:rsid w:val="005A31D3"/>
    <w:rsid w:val="005B1EB6"/>
    <w:rsid w:val="005C1F60"/>
    <w:rsid w:val="005C79D0"/>
    <w:rsid w:val="005D27ED"/>
    <w:rsid w:val="005D4D87"/>
    <w:rsid w:val="005D7D6E"/>
    <w:rsid w:val="006032A8"/>
    <w:rsid w:val="00603B8B"/>
    <w:rsid w:val="00607772"/>
    <w:rsid w:val="00652A72"/>
    <w:rsid w:val="006630DE"/>
    <w:rsid w:val="00667EDF"/>
    <w:rsid w:val="00692188"/>
    <w:rsid w:val="00693886"/>
    <w:rsid w:val="006B3FA3"/>
    <w:rsid w:val="006C093C"/>
    <w:rsid w:val="006E69B8"/>
    <w:rsid w:val="006F56D5"/>
    <w:rsid w:val="0070170D"/>
    <w:rsid w:val="0073460E"/>
    <w:rsid w:val="007423AC"/>
    <w:rsid w:val="00753C31"/>
    <w:rsid w:val="00766EB9"/>
    <w:rsid w:val="00773331"/>
    <w:rsid w:val="00773F75"/>
    <w:rsid w:val="007932EF"/>
    <w:rsid w:val="007A7502"/>
    <w:rsid w:val="007C036D"/>
    <w:rsid w:val="007D3D71"/>
    <w:rsid w:val="007E05B0"/>
    <w:rsid w:val="007E27B0"/>
    <w:rsid w:val="007E4455"/>
    <w:rsid w:val="007F1814"/>
    <w:rsid w:val="007F2C7C"/>
    <w:rsid w:val="00806BEB"/>
    <w:rsid w:val="00820B8A"/>
    <w:rsid w:val="008463BE"/>
    <w:rsid w:val="00862B19"/>
    <w:rsid w:val="00874D22"/>
    <w:rsid w:val="00875467"/>
    <w:rsid w:val="00892EA1"/>
    <w:rsid w:val="008A2914"/>
    <w:rsid w:val="008B3F88"/>
    <w:rsid w:val="008E4D8E"/>
    <w:rsid w:val="008E6524"/>
    <w:rsid w:val="008E72FB"/>
    <w:rsid w:val="008F6982"/>
    <w:rsid w:val="00915019"/>
    <w:rsid w:val="0094069E"/>
    <w:rsid w:val="00962B4F"/>
    <w:rsid w:val="00981349"/>
    <w:rsid w:val="009B09D4"/>
    <w:rsid w:val="009B21E8"/>
    <w:rsid w:val="009B472B"/>
    <w:rsid w:val="009C40FB"/>
    <w:rsid w:val="009C5415"/>
    <w:rsid w:val="009C61FF"/>
    <w:rsid w:val="009D357E"/>
    <w:rsid w:val="009F7B69"/>
    <w:rsid w:val="00A055A2"/>
    <w:rsid w:val="00A14AA0"/>
    <w:rsid w:val="00A52DB6"/>
    <w:rsid w:val="00A61FDD"/>
    <w:rsid w:val="00A800A1"/>
    <w:rsid w:val="00A911A0"/>
    <w:rsid w:val="00AA033B"/>
    <w:rsid w:val="00AA7C1E"/>
    <w:rsid w:val="00AB4CA0"/>
    <w:rsid w:val="00AC2E65"/>
    <w:rsid w:val="00AC726F"/>
    <w:rsid w:val="00AE4C46"/>
    <w:rsid w:val="00B07E20"/>
    <w:rsid w:val="00B233CF"/>
    <w:rsid w:val="00B42815"/>
    <w:rsid w:val="00B5106C"/>
    <w:rsid w:val="00B54FBC"/>
    <w:rsid w:val="00B6339C"/>
    <w:rsid w:val="00B728A6"/>
    <w:rsid w:val="00B77DF9"/>
    <w:rsid w:val="00B91BF7"/>
    <w:rsid w:val="00BC5E35"/>
    <w:rsid w:val="00BD19A2"/>
    <w:rsid w:val="00BF0ACE"/>
    <w:rsid w:val="00BF7631"/>
    <w:rsid w:val="00C014A5"/>
    <w:rsid w:val="00C1220F"/>
    <w:rsid w:val="00C12301"/>
    <w:rsid w:val="00C327D8"/>
    <w:rsid w:val="00C35D2A"/>
    <w:rsid w:val="00C37C93"/>
    <w:rsid w:val="00C5133A"/>
    <w:rsid w:val="00C525D2"/>
    <w:rsid w:val="00C57A79"/>
    <w:rsid w:val="00C85409"/>
    <w:rsid w:val="00C91069"/>
    <w:rsid w:val="00C97FBD"/>
    <w:rsid w:val="00CB0320"/>
    <w:rsid w:val="00CC77F0"/>
    <w:rsid w:val="00CD24A9"/>
    <w:rsid w:val="00CD3E36"/>
    <w:rsid w:val="00CE573A"/>
    <w:rsid w:val="00D1691C"/>
    <w:rsid w:val="00D20381"/>
    <w:rsid w:val="00D63255"/>
    <w:rsid w:val="00D637EB"/>
    <w:rsid w:val="00D70E40"/>
    <w:rsid w:val="00D96711"/>
    <w:rsid w:val="00DB163C"/>
    <w:rsid w:val="00DC2C4D"/>
    <w:rsid w:val="00DC33F7"/>
    <w:rsid w:val="00DD5354"/>
    <w:rsid w:val="00DE2ADC"/>
    <w:rsid w:val="00E005B8"/>
    <w:rsid w:val="00E219F5"/>
    <w:rsid w:val="00E33121"/>
    <w:rsid w:val="00E66708"/>
    <w:rsid w:val="00EB033D"/>
    <w:rsid w:val="00EC63C0"/>
    <w:rsid w:val="00EF0782"/>
    <w:rsid w:val="00EF7CAC"/>
    <w:rsid w:val="00F7610D"/>
    <w:rsid w:val="00F92ECE"/>
    <w:rsid w:val="00FB0954"/>
    <w:rsid w:val="00FC38F8"/>
    <w:rsid w:val="00FD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FADA60"/>
  <w15:docId w15:val="{93BB7411-FBC6-429E-A272-7ED50699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
    <w:name w:val="Char Char Char1"/>
    <w:basedOn w:val="Normal"/>
    <w:link w:val="FootnoteReference"/>
    <w:uiPriority w:val="99"/>
    <w:rsid w:val="00DB163C"/>
    <w:pPr>
      <w:spacing w:before="0" w:after="160" w:line="240" w:lineRule="exact"/>
    </w:pPr>
    <w:rPr>
      <w:rFonts w:asciiTheme="minorHAnsi" w:hAnsiTheme="minorHAnsi" w:cstheme="minorBidi"/>
      <w:sz w:val="22"/>
      <w:vertAlign w:val="superscript"/>
      <w:lang w:val="en-US"/>
    </w:rPr>
  </w:style>
  <w:style w:type="character" w:styleId="Hyperlink">
    <w:name w:val="Hyperlink"/>
    <w:basedOn w:val="DefaultParagraphFont"/>
    <w:uiPriority w:val="99"/>
    <w:unhideWhenUsed/>
    <w:rsid w:val="00DB163C"/>
    <w:rPr>
      <w:color w:val="0000FF" w:themeColor="hyperlink"/>
      <w:u w:val="single"/>
    </w:rPr>
  </w:style>
  <w:style w:type="character" w:customStyle="1" w:styleId="UnresolvedMention">
    <w:name w:val="Unresolved Mention"/>
    <w:basedOn w:val="DefaultParagraphFont"/>
    <w:uiPriority w:val="99"/>
    <w:semiHidden/>
    <w:unhideWhenUsed/>
    <w:rsid w:val="00DB163C"/>
    <w:rPr>
      <w:color w:val="605E5C"/>
      <w:shd w:val="clear" w:color="auto" w:fill="E1DFDD"/>
    </w:rPr>
  </w:style>
  <w:style w:type="paragraph" w:customStyle="1" w:styleId="Normal1">
    <w:name w:val="Normal1"/>
    <w:basedOn w:val="Normal"/>
    <w:rsid w:val="00B728A6"/>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B728A6"/>
    <w:rPr>
      <w:color w:val="800080" w:themeColor="followedHyperlink"/>
      <w:u w:val="single"/>
    </w:rPr>
  </w:style>
  <w:style w:type="paragraph" w:styleId="ListParagraph">
    <w:name w:val="List Paragraph"/>
    <w:aliases w:val="Dot pt,List Paragraph1,No Spacing1,List Paragraph Char Char Char,Indicator Text,Numbered Para 1,F5 List Paragraph,Bullet Points,List Paragraph2,MAIN CONTENT,List Paragraph12,OBC Bullet,Bullet List,FooterText,numbered,列出段落,Fo,L,2"/>
    <w:basedOn w:val="Normal"/>
    <w:link w:val="ListParagraphChar"/>
    <w:uiPriority w:val="34"/>
    <w:qFormat/>
    <w:rsid w:val="004F5FFA"/>
    <w:pPr>
      <w:spacing w:before="0" w:after="240"/>
      <w:ind w:left="720"/>
      <w:contextualSpacing/>
    </w:pPr>
    <w:rPr>
      <w:rFonts w:eastAsia="Times New Roman"/>
      <w:szCs w:val="20"/>
    </w:rPr>
  </w:style>
  <w:style w:type="character" w:customStyle="1" w:styleId="ListParagraphChar">
    <w:name w:val="List Paragraph Char"/>
    <w:aliases w:val="Dot pt Char,List Paragraph1 Char,No Spacing1 Char,List Paragraph Char Char Char Char,Indicator Text Char,Numbered Para 1 Char,F5 List Paragraph Char,Bullet Points Char,List Paragraph2 Char,MAIN CONTENT Char,List Paragraph12 Char"/>
    <w:basedOn w:val="DefaultParagraphFont"/>
    <w:link w:val="ListParagraph"/>
    <w:uiPriority w:val="34"/>
    <w:qFormat/>
    <w:locked/>
    <w:rsid w:val="00144DA2"/>
    <w:rPr>
      <w:rFonts w:ascii="Times New Roman" w:eastAsia="Times New Roman" w:hAnsi="Times New Roman" w:cs="Times New Roman"/>
      <w:sz w:val="24"/>
      <w:szCs w:val="20"/>
      <w:lang w:val="en-GB"/>
    </w:rPr>
  </w:style>
  <w:style w:type="paragraph" w:customStyle="1" w:styleId="oj-doc-ti">
    <w:name w:val="oj-doc-ti"/>
    <w:basedOn w:val="Normal"/>
    <w:rsid w:val="00AA7C1E"/>
    <w:pPr>
      <w:spacing w:before="100" w:beforeAutospacing="1" w:after="100" w:afterAutospacing="1"/>
      <w:jc w:val="left"/>
    </w:pPr>
    <w:rPr>
      <w:rFonts w:eastAsia="Times New Roman"/>
      <w:szCs w:val="24"/>
      <w:lang w:val="en-IE" w:eastAsia="en-IE"/>
    </w:rPr>
  </w:style>
  <w:style w:type="paragraph" w:customStyle="1" w:styleId="oj-normal">
    <w:name w:val="oj-normal"/>
    <w:basedOn w:val="Normal"/>
    <w:rsid w:val="00AA7C1E"/>
    <w:pPr>
      <w:spacing w:before="100" w:beforeAutospacing="1" w:after="100" w:afterAutospacing="1"/>
      <w:jc w:val="left"/>
    </w:pPr>
    <w:rPr>
      <w:rFonts w:eastAsia="Times New Roman"/>
      <w:szCs w:val="24"/>
      <w:lang w:val="en-IE" w:eastAsia="en-IE"/>
    </w:rPr>
  </w:style>
  <w:style w:type="paragraph" w:customStyle="1" w:styleId="li">
    <w:name w:val="li"/>
    <w:basedOn w:val="Normal"/>
    <w:rsid w:val="00AA7C1E"/>
    <w:pPr>
      <w:spacing w:before="100" w:beforeAutospacing="1" w:after="100" w:afterAutospacing="1"/>
      <w:jc w:val="left"/>
    </w:pPr>
    <w:rPr>
      <w:rFonts w:eastAsia="Times New Roman"/>
      <w:szCs w:val="24"/>
      <w:lang w:val="en-IE" w:eastAsia="en-IE"/>
    </w:rPr>
  </w:style>
  <w:style w:type="character" w:customStyle="1" w:styleId="num">
    <w:name w:val="num"/>
    <w:basedOn w:val="DefaultParagraphFont"/>
    <w:rsid w:val="00AA7C1E"/>
  </w:style>
  <w:style w:type="paragraph" w:customStyle="1" w:styleId="formuledadoption">
    <w:name w:val="formuledadoption"/>
    <w:basedOn w:val="Normal"/>
    <w:rsid w:val="00AA7C1E"/>
    <w:pPr>
      <w:spacing w:before="100" w:beforeAutospacing="1" w:after="100" w:afterAutospacing="1"/>
      <w:jc w:val="left"/>
    </w:pPr>
    <w:rPr>
      <w:rFonts w:eastAsia="Times New Roman"/>
      <w:szCs w:val="24"/>
      <w:lang w:val="en-IE" w:eastAsia="en-IE"/>
    </w:rPr>
  </w:style>
  <w:style w:type="paragraph" w:customStyle="1" w:styleId="titrearticle">
    <w:name w:val="titrearticle"/>
    <w:basedOn w:val="Normal"/>
    <w:rsid w:val="00AA7C1E"/>
    <w:pPr>
      <w:spacing w:before="100" w:beforeAutospacing="1" w:after="100" w:afterAutospacing="1"/>
      <w:jc w:val="left"/>
    </w:pPr>
    <w:rPr>
      <w:rFonts w:eastAsia="Times New Roman"/>
      <w:szCs w:val="24"/>
      <w:lang w:val="en-IE" w:eastAsia="en-IE"/>
    </w:rPr>
  </w:style>
  <w:style w:type="paragraph" w:customStyle="1" w:styleId="Normal2">
    <w:name w:val="Normal2"/>
    <w:basedOn w:val="Normal"/>
    <w:rsid w:val="00AA7C1E"/>
    <w:pPr>
      <w:spacing w:before="100" w:beforeAutospacing="1" w:after="100" w:afterAutospacing="1"/>
      <w:jc w:val="left"/>
    </w:pPr>
    <w:rPr>
      <w:rFonts w:eastAsia="Times New Roman"/>
      <w:szCs w:val="24"/>
      <w:lang w:val="en-IE" w:eastAsia="en-IE"/>
    </w:rPr>
  </w:style>
  <w:style w:type="paragraph" w:styleId="ListBullet">
    <w:name w:val="List Bullet"/>
    <w:basedOn w:val="Normal"/>
    <w:uiPriority w:val="99"/>
    <w:semiHidden/>
    <w:unhideWhenUsed/>
    <w:rsid w:val="00BD19A2"/>
    <w:pPr>
      <w:numPr>
        <w:numId w:val="1"/>
      </w:numPr>
      <w:contextualSpacing/>
    </w:pPr>
  </w:style>
  <w:style w:type="paragraph" w:styleId="ListBullet2">
    <w:name w:val="List Bullet 2"/>
    <w:basedOn w:val="Normal"/>
    <w:uiPriority w:val="99"/>
    <w:semiHidden/>
    <w:unhideWhenUsed/>
    <w:rsid w:val="00BD19A2"/>
    <w:pPr>
      <w:numPr>
        <w:numId w:val="2"/>
      </w:numPr>
      <w:contextualSpacing/>
    </w:pPr>
  </w:style>
  <w:style w:type="paragraph" w:styleId="ListBullet3">
    <w:name w:val="List Bullet 3"/>
    <w:basedOn w:val="Normal"/>
    <w:uiPriority w:val="99"/>
    <w:semiHidden/>
    <w:unhideWhenUsed/>
    <w:rsid w:val="00BD19A2"/>
    <w:pPr>
      <w:numPr>
        <w:numId w:val="3"/>
      </w:numPr>
      <w:contextualSpacing/>
    </w:pPr>
  </w:style>
  <w:style w:type="paragraph" w:styleId="ListBullet4">
    <w:name w:val="List Bullet 4"/>
    <w:basedOn w:val="Normal"/>
    <w:uiPriority w:val="99"/>
    <w:semiHidden/>
    <w:unhideWhenUsed/>
    <w:rsid w:val="00BD19A2"/>
    <w:pPr>
      <w:numPr>
        <w:numId w:val="4"/>
      </w:numPr>
      <w:contextualSpacing/>
    </w:pPr>
  </w:style>
  <w:style w:type="paragraph" w:customStyle="1" w:styleId="Formuledadoption0">
    <w:name w:val="Formule d'adoption"/>
    <w:basedOn w:val="Normal"/>
    <w:next w:val="Titrearticle0"/>
    <w:pPr>
      <w:keepNext/>
    </w:pPr>
  </w:style>
  <w:style w:type="paragraph" w:customStyle="1" w:styleId="Titrearticle0">
    <w:name w:val="Titre article"/>
    <w:basedOn w:val="Normal"/>
    <w:next w:val="Normal"/>
    <w:pPr>
      <w:keepNext/>
      <w:spacing w:before="360"/>
      <w:jc w:val="center"/>
    </w:pPr>
    <w:rPr>
      <w:i/>
    </w:rPr>
  </w:style>
  <w:style w:type="character" w:styleId="CommentReference">
    <w:name w:val="annotation reference"/>
    <w:basedOn w:val="DefaultParagraphFont"/>
    <w:uiPriority w:val="99"/>
    <w:semiHidden/>
    <w:unhideWhenUsed/>
    <w:rsid w:val="008E72F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Revision">
    <w:name w:val="Revision"/>
    <w:hidden/>
    <w:uiPriority w:val="99"/>
    <w:semiHidden/>
    <w:rsid w:val="00CB0320"/>
    <w:pPr>
      <w:spacing w:after="0" w:line="240" w:lineRule="auto"/>
    </w:pPr>
    <w:rPr>
      <w:rFonts w:ascii="Times New Roman" w:hAnsi="Times New Roman" w:cs="Times New Roman"/>
      <w:sz w:val="24"/>
      <w:lang w:val="en-GB"/>
    </w:rPr>
  </w:style>
  <w:style w:type="paragraph" w:customStyle="1" w:styleId="Formuledadoption1">
    <w:name w:val="Formule d'adoption"/>
    <w:basedOn w:val="Normal"/>
    <w:next w:val="Titrearticle1"/>
    <w:pPr>
      <w:keepNext/>
    </w:pPr>
  </w:style>
  <w:style w:type="paragraph" w:customStyle="1" w:styleId="Titrearticle1">
    <w:name w:val="Titre article"/>
    <w:basedOn w:val="Normal"/>
    <w:next w:val="Normal"/>
    <w:pPr>
      <w:keepNext/>
      <w:spacing w:before="360"/>
      <w:jc w:val="center"/>
    </w:pPr>
    <w:rPr>
      <w:i/>
    </w:rPr>
  </w:style>
  <w:style w:type="paragraph" w:customStyle="1" w:styleId="Formuledadoption2">
    <w:name w:val="Formule d'adoption"/>
    <w:basedOn w:val="Normal"/>
    <w:next w:val="Titrearticle2"/>
    <w:pPr>
      <w:keepNext/>
    </w:pPr>
  </w:style>
  <w:style w:type="paragraph" w:customStyle="1" w:styleId="Titrearticle2">
    <w:name w:val="Titre article"/>
    <w:basedOn w:val="Normal"/>
    <w:next w:val="Normal"/>
    <w:pPr>
      <w:keepNext/>
      <w:spacing w:before="360"/>
      <w:jc w:val="center"/>
    </w:pPr>
    <w:rPr>
      <w:i/>
    </w:rPr>
  </w:style>
  <w:style w:type="paragraph" w:styleId="CommentSubject">
    <w:name w:val="annotation subject"/>
    <w:basedOn w:val="CommentText"/>
    <w:next w:val="CommentText"/>
    <w:link w:val="CommentSubjectChar"/>
    <w:uiPriority w:val="99"/>
    <w:semiHidden/>
    <w:unhideWhenUsed/>
    <w:rsid w:val="00EF7CAC"/>
    <w:rPr>
      <w:b/>
      <w:bCs/>
    </w:rPr>
  </w:style>
  <w:style w:type="character" w:customStyle="1" w:styleId="CommentSubjectChar">
    <w:name w:val="Comment Subject Char"/>
    <w:basedOn w:val="CommentTextChar"/>
    <w:link w:val="CommentSubject"/>
    <w:uiPriority w:val="99"/>
    <w:semiHidden/>
    <w:rsid w:val="00EF7CAC"/>
    <w:rPr>
      <w:rFonts w:ascii="Times New Roman" w:hAnsi="Times New Roman" w:cs="Times New Roman"/>
      <w:b/>
      <w:bCs/>
      <w:sz w:val="20"/>
      <w:szCs w:val="20"/>
      <w:lang w:val="en-GB"/>
    </w:rPr>
  </w:style>
  <w:style w:type="paragraph" w:customStyle="1" w:styleId="Formuledadoption3">
    <w:name w:val="Formule d'adoption"/>
    <w:basedOn w:val="Normal"/>
    <w:next w:val="Titrearticle3"/>
    <w:pPr>
      <w:keepNext/>
    </w:pPr>
  </w:style>
  <w:style w:type="paragraph" w:customStyle="1" w:styleId="Titrearticle3">
    <w:name w:val="Titre article"/>
    <w:basedOn w:val="Normal"/>
    <w:next w:val="Normal"/>
    <w:pPr>
      <w:keepNext/>
      <w:spacing w:before="360"/>
      <w:jc w:val="center"/>
    </w:pPr>
    <w:rPr>
      <w:i/>
    </w:rPr>
  </w:style>
  <w:style w:type="paragraph" w:customStyle="1" w:styleId="Formuledadoption4">
    <w:name w:val="Formule d'adoption"/>
    <w:basedOn w:val="Normal"/>
    <w:next w:val="Titrearticle4"/>
    <w:pPr>
      <w:keepNext/>
    </w:pPr>
  </w:style>
  <w:style w:type="paragraph" w:customStyle="1" w:styleId="Titrearticle4">
    <w:name w:val="Titre article"/>
    <w:basedOn w:val="Normal"/>
    <w:next w:val="Normal"/>
    <w:pPr>
      <w:keepNext/>
      <w:spacing w:before="360"/>
      <w:jc w:val="center"/>
    </w:pPr>
    <w:rPr>
      <w:i/>
    </w:rPr>
  </w:style>
  <w:style w:type="paragraph" w:customStyle="1" w:styleId="Formuledadoption5">
    <w:name w:val="Formule d'adoption"/>
    <w:basedOn w:val="Normal"/>
    <w:next w:val="Titrearticle5"/>
    <w:pPr>
      <w:keepNext/>
    </w:pPr>
  </w:style>
  <w:style w:type="paragraph" w:customStyle="1" w:styleId="Titrearticle5">
    <w:name w:val="Titre article"/>
    <w:basedOn w:val="Normal"/>
    <w:next w:val="Normal"/>
    <w:pPr>
      <w:keepNext/>
      <w:spacing w:before="360"/>
      <w:jc w:val="center"/>
    </w:pPr>
    <w:rPr>
      <w:i/>
    </w:rPr>
  </w:style>
  <w:style w:type="paragraph" w:customStyle="1" w:styleId="Formuledadoption6">
    <w:name w:val="Formule d'adoption"/>
    <w:basedOn w:val="Normal"/>
    <w:next w:val="Titrearticle6"/>
    <w:pPr>
      <w:keepNext/>
    </w:pPr>
  </w:style>
  <w:style w:type="paragraph" w:customStyle="1" w:styleId="Titrearticle6">
    <w:name w:val="Titre article"/>
    <w:basedOn w:val="Normal"/>
    <w:next w:val="Normal"/>
    <w:pPr>
      <w:keepNext/>
      <w:spacing w:before="360"/>
      <w:jc w:val="center"/>
    </w:pPr>
    <w:rPr>
      <w:i/>
    </w:rPr>
  </w:style>
  <w:style w:type="paragraph" w:customStyle="1" w:styleId="Formuledadoption7">
    <w:name w:val="Formule d'adoption"/>
    <w:basedOn w:val="Normal"/>
    <w:next w:val="Titrearticle7"/>
    <w:pPr>
      <w:keepNext/>
    </w:pPr>
  </w:style>
  <w:style w:type="paragraph" w:customStyle="1" w:styleId="Titrearticle7">
    <w:name w:val="Titre article"/>
    <w:basedOn w:val="Normal"/>
    <w:next w:val="Normal"/>
    <w:pPr>
      <w:keepNext/>
      <w:spacing w:before="360"/>
      <w:jc w:val="center"/>
    </w:pPr>
    <w:rPr>
      <w:i/>
    </w:rPr>
  </w:style>
  <w:style w:type="paragraph" w:customStyle="1" w:styleId="Formuledadoption8">
    <w:name w:val="Formule d'adoption"/>
    <w:basedOn w:val="Normal"/>
    <w:next w:val="Titrearticle8"/>
    <w:pPr>
      <w:keepNext/>
    </w:pPr>
  </w:style>
  <w:style w:type="paragraph" w:customStyle="1" w:styleId="Titrearticle8">
    <w:name w:val="Titre article"/>
    <w:basedOn w:val="Normal"/>
    <w:next w:val="Normal"/>
    <w:pPr>
      <w:keepNext/>
      <w:spacing w:before="360"/>
      <w:jc w:val="center"/>
    </w:pPr>
    <w:rPr>
      <w:i/>
    </w:rPr>
  </w:style>
  <w:style w:type="paragraph" w:customStyle="1" w:styleId="Formuledadoption9">
    <w:name w:val="Formule d'adoption"/>
    <w:basedOn w:val="Normal"/>
    <w:next w:val="Titrearticle9"/>
    <w:pPr>
      <w:keepNext/>
    </w:pPr>
  </w:style>
  <w:style w:type="paragraph" w:customStyle="1" w:styleId="Titrearticle9">
    <w:name w:val="Titre article"/>
    <w:basedOn w:val="Normal"/>
    <w:next w:val="Normal"/>
    <w:pPr>
      <w:keepNext/>
      <w:spacing w:before="360"/>
      <w:jc w:val="center"/>
    </w:pPr>
    <w:rPr>
      <w:i/>
    </w:rPr>
  </w:style>
  <w:style w:type="paragraph" w:customStyle="1" w:styleId="Formuledadoptiona">
    <w:name w:val="Formule d'adoption"/>
    <w:basedOn w:val="Normal"/>
    <w:next w:val="Titrearticlea"/>
    <w:pPr>
      <w:keepNext/>
    </w:pPr>
  </w:style>
  <w:style w:type="paragraph" w:customStyle="1" w:styleId="Titrearticlea">
    <w:name w:val="Titre article"/>
    <w:basedOn w:val="Normal"/>
    <w:next w:val="Normal"/>
    <w:pPr>
      <w:keepNext/>
      <w:spacing w:before="360"/>
      <w:jc w:val="center"/>
    </w:pPr>
    <w:rPr>
      <w:i/>
    </w:rPr>
  </w:style>
  <w:style w:type="paragraph" w:customStyle="1" w:styleId="Formuledadoptionb">
    <w:name w:val="Formule d'adoption"/>
    <w:basedOn w:val="Normal"/>
    <w:next w:val="Titrearticleb"/>
    <w:pPr>
      <w:keepNext/>
    </w:pPr>
  </w:style>
  <w:style w:type="paragraph" w:customStyle="1" w:styleId="Titrearticleb">
    <w:name w:val="Titre article"/>
    <w:basedOn w:val="Normal"/>
    <w:next w:val="Normal"/>
    <w:pPr>
      <w:keepNext/>
      <w:spacing w:before="360"/>
      <w:jc w:val="center"/>
    </w:pPr>
    <w:rPr>
      <w:i/>
    </w:rPr>
  </w:style>
  <w:style w:type="paragraph" w:styleId="Header">
    <w:name w:val="header"/>
    <w:basedOn w:val="Normal"/>
    <w:link w:val="HeaderChar"/>
    <w:uiPriority w:val="99"/>
    <w:unhideWhenUsed/>
    <w:rsid w:val="00C97FBD"/>
    <w:pPr>
      <w:tabs>
        <w:tab w:val="center" w:pos="4535"/>
        <w:tab w:val="right" w:pos="9071"/>
      </w:tabs>
      <w:spacing w:before="0"/>
    </w:pPr>
  </w:style>
  <w:style w:type="character" w:customStyle="1" w:styleId="HeaderChar">
    <w:name w:val="Header Char"/>
    <w:basedOn w:val="DefaultParagraphFont"/>
    <w:link w:val="Header"/>
    <w:uiPriority w:val="99"/>
    <w:rsid w:val="00C97FBD"/>
    <w:rPr>
      <w:rFonts w:ascii="Times New Roman" w:hAnsi="Times New Roman" w:cs="Times New Roman"/>
      <w:sz w:val="24"/>
      <w:lang w:val="en-GB"/>
    </w:rPr>
  </w:style>
  <w:style w:type="paragraph" w:styleId="Footer">
    <w:name w:val="footer"/>
    <w:basedOn w:val="Normal"/>
    <w:link w:val="FooterChar"/>
    <w:uiPriority w:val="99"/>
    <w:unhideWhenUsed/>
    <w:rsid w:val="00C97FB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97FB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97FBD"/>
    <w:pPr>
      <w:tabs>
        <w:tab w:val="center" w:pos="7285"/>
        <w:tab w:val="right" w:pos="14003"/>
      </w:tabs>
      <w:spacing w:before="0"/>
    </w:pPr>
  </w:style>
  <w:style w:type="paragraph" w:customStyle="1" w:styleId="FooterLandscape">
    <w:name w:val="FooterLandscape"/>
    <w:basedOn w:val="Normal"/>
    <w:rsid w:val="00C97FB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C97FB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97FBD"/>
    <w:pPr>
      <w:spacing w:before="0"/>
      <w:jc w:val="right"/>
    </w:pPr>
    <w:rPr>
      <w:sz w:val="28"/>
    </w:rPr>
  </w:style>
  <w:style w:type="paragraph" w:customStyle="1" w:styleId="FooterSensitivity">
    <w:name w:val="Footer Sensitivity"/>
    <w:basedOn w:val="Normal"/>
    <w:rsid w:val="00C97FB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AC2E65"/>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c">
    <w:name w:val="Formule d'adoption"/>
    <w:basedOn w:val="Normal"/>
    <w:next w:val="Titrearticlec"/>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c">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c"/>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ystem/files/2023-03/Communication_Long-term-competitivenes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13F0B-B4A0-46BF-B087-B3E86A9B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32</TotalTime>
  <Pages>9</Pages>
  <Words>2583</Words>
  <Characters>13670</Characters>
  <Application>Microsoft Office Word</Application>
  <DocSecurity>0</DocSecurity>
  <Lines>235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cp:lastPrinted>2023-10-11T11:05:00Z</cp:lastPrinted>
  <dcterms:created xsi:type="dcterms:W3CDTF">2023-10-13T09:10:00Z</dcterms:created>
  <dcterms:modified xsi:type="dcterms:W3CDTF">2023-10-15T07:21:00Z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2023-09-22T19:38:43Z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b66e0ce2-0986-4edd-a424-b6b7d7f5927d</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Green (DQC version 03)</vt:lpwstr>
  </property>
</Properties>
</file>