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93061" w14:textId="7953EBF4" w:rsidR="004D10F7" w:rsidRDefault="00D25F0F" w:rsidP="00D25F0F">
      <w:pPr>
        <w:pStyle w:val="Pagedecouverture"/>
        <w:rPr>
          <w:noProof/>
        </w:rPr>
      </w:pPr>
      <w:bookmarkStart w:id="0" w:name="LW_BM_COVERPAGE"/>
      <w:r>
        <w:rPr>
          <w:noProof/>
        </w:rPr>
        <w:pict w14:anchorId="6E7299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1C07AA06-E47E-4882-9734-B0C8A8EDCE8E" style="width:455.25pt;height:351.75pt">
            <v:imagedata r:id="rId8" o:title=""/>
          </v:shape>
        </w:pict>
      </w:r>
    </w:p>
    <w:bookmarkEnd w:id="0"/>
    <w:p w14:paraId="02E5F61C" w14:textId="1A7AD3B9" w:rsidR="008910A0" w:rsidRPr="008910A0" w:rsidRDefault="008910A0" w:rsidP="008910A0">
      <w:pPr>
        <w:pStyle w:val="Pagedecouverture"/>
        <w:rPr>
          <w:noProof/>
        </w:rPr>
        <w:sectPr w:rsidR="008910A0" w:rsidRPr="008910A0" w:rsidSect="00D25F0F">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30ADAC48" w14:textId="77777777" w:rsidR="00F07507" w:rsidRPr="001F6FC0" w:rsidRDefault="00BD74C7" w:rsidP="005F0187">
      <w:pPr>
        <w:pStyle w:val="Heading1"/>
        <w:numPr>
          <w:ilvl w:val="0"/>
          <w:numId w:val="27"/>
        </w:numPr>
        <w:spacing w:after="240"/>
        <w:rPr>
          <w:noProof/>
          <w:lang w:val="en-IE"/>
        </w:rPr>
      </w:pPr>
      <w:bookmarkStart w:id="1" w:name="_GoBack"/>
      <w:bookmarkEnd w:id="1"/>
      <w:r w:rsidRPr="00BD74C7">
        <w:rPr>
          <w:noProof/>
          <w:lang w:val="en-IE"/>
        </w:rPr>
        <w:lastRenderedPageBreak/>
        <w:t>Introduction</w:t>
      </w:r>
    </w:p>
    <w:p w14:paraId="0D5355CB" w14:textId="4B59C068" w:rsidR="00C923FE" w:rsidRPr="00F63EF9" w:rsidRDefault="00C923FE" w:rsidP="00BD74C7">
      <w:pPr>
        <w:spacing w:after="120"/>
        <w:jc w:val="both"/>
        <w:rPr>
          <w:rFonts w:ascii="Times New Roman" w:hAnsi="Times New Roman" w:cs="Times New Roman"/>
          <w:noProof/>
          <w:sz w:val="24"/>
          <w:szCs w:val="24"/>
          <w:lang w:val="en-IE"/>
        </w:rPr>
      </w:pPr>
      <w:r w:rsidRPr="00C923FE">
        <w:rPr>
          <w:rFonts w:ascii="Times New Roman" w:hAnsi="Times New Roman" w:cs="Times New Roman"/>
          <w:noProof/>
          <w:sz w:val="24"/>
          <w:szCs w:val="24"/>
          <w:lang w:val="en-IE"/>
        </w:rPr>
        <w:t>Directive 2013/11/EU of the European Parliament and of the Council on alternative dispute resolution for consumer disputes</w:t>
      </w:r>
      <w:r>
        <w:rPr>
          <w:rStyle w:val="FootnoteReference"/>
          <w:rFonts w:ascii="Times New Roman" w:hAnsi="Times New Roman" w:cs="Times New Roman"/>
          <w:noProof/>
          <w:sz w:val="24"/>
          <w:szCs w:val="24"/>
          <w:lang w:val="en-IE"/>
        </w:rPr>
        <w:footnoteReference w:id="2"/>
      </w:r>
      <w:r>
        <w:rPr>
          <w:rFonts w:ascii="Times New Roman" w:hAnsi="Times New Roman" w:cs="Times New Roman"/>
          <w:noProof/>
          <w:sz w:val="24"/>
          <w:szCs w:val="24"/>
          <w:lang w:val="en-IE"/>
        </w:rPr>
        <w:t xml:space="preserve"> (“ADR Directive) provides a legislative framework to ensure consumers’ access to high-quality ADR procedures for settling their disputes </w:t>
      </w:r>
      <w:r w:rsidR="00B72A25">
        <w:rPr>
          <w:rFonts w:ascii="Times New Roman" w:hAnsi="Times New Roman" w:cs="Times New Roman"/>
          <w:noProof/>
          <w:sz w:val="24"/>
          <w:szCs w:val="24"/>
          <w:lang w:val="en-IE"/>
        </w:rPr>
        <w:t>with</w:t>
      </w:r>
      <w:r>
        <w:rPr>
          <w:rFonts w:ascii="Times New Roman" w:hAnsi="Times New Roman" w:cs="Times New Roman"/>
          <w:noProof/>
          <w:sz w:val="24"/>
          <w:szCs w:val="24"/>
          <w:lang w:val="en-IE"/>
        </w:rPr>
        <w:t xml:space="preserve"> traders.</w:t>
      </w:r>
      <w:r w:rsidR="003D46F0">
        <w:rPr>
          <w:rFonts w:ascii="Times New Roman" w:hAnsi="Times New Roman" w:cs="Times New Roman"/>
          <w:noProof/>
          <w:sz w:val="24"/>
          <w:szCs w:val="24"/>
          <w:lang w:val="en-IE"/>
        </w:rPr>
        <w:t xml:space="preserve"> Article </w:t>
      </w:r>
      <w:r w:rsidR="00F63EF9">
        <w:rPr>
          <w:rFonts w:ascii="Times New Roman" w:hAnsi="Times New Roman" w:cs="Times New Roman"/>
          <w:noProof/>
          <w:sz w:val="24"/>
          <w:szCs w:val="24"/>
          <w:lang w:val="en-IE"/>
        </w:rPr>
        <w:t>26</w:t>
      </w:r>
      <w:r w:rsidR="003D46F0">
        <w:rPr>
          <w:rFonts w:ascii="Times New Roman" w:hAnsi="Times New Roman" w:cs="Times New Roman"/>
          <w:noProof/>
          <w:sz w:val="24"/>
          <w:szCs w:val="24"/>
          <w:lang w:val="en-IE"/>
        </w:rPr>
        <w:t xml:space="preserve"> provides that</w:t>
      </w:r>
      <w:r w:rsidR="00F63EF9">
        <w:rPr>
          <w:rFonts w:ascii="Times New Roman" w:hAnsi="Times New Roman" w:cs="Times New Roman"/>
          <w:noProof/>
          <w:sz w:val="24"/>
          <w:szCs w:val="24"/>
          <w:lang w:val="en-IE"/>
        </w:rPr>
        <w:t xml:space="preserve"> </w:t>
      </w:r>
      <w:r w:rsidR="00F63EF9" w:rsidRPr="004C00FF">
        <w:rPr>
          <w:rFonts w:ascii="Times New Roman" w:hAnsi="Times New Roman" w:cs="Times New Roman"/>
          <w:noProof/>
          <w:color w:val="333333"/>
          <w:sz w:val="24"/>
          <w:szCs w:val="24"/>
          <w:shd w:val="clear" w:color="auto" w:fill="FFFFFF"/>
          <w:lang w:val="en-IE"/>
        </w:rPr>
        <w:t>every four years,</w:t>
      </w:r>
      <w:r w:rsidR="00F63EF9" w:rsidRPr="004C00FF">
        <w:rPr>
          <w:rFonts w:ascii="Times New Roman" w:hAnsi="Times New Roman" w:cs="Times New Roman"/>
          <w:i/>
          <w:iCs/>
          <w:noProof/>
          <w:color w:val="333333"/>
          <w:sz w:val="24"/>
          <w:szCs w:val="24"/>
          <w:shd w:val="clear" w:color="auto" w:fill="FFFFFF"/>
          <w:lang w:val="en-IE"/>
        </w:rPr>
        <w:t xml:space="preserve"> “the Commission shall submit to the European Parliament, the Council and the European Economic and Social Committee a report on the application of this Directive. That report shall consider the development and the use of ADR entities and the impact of this Directive on consumers and traders, in particular on the awareness of consumers and the level of adoption by traders. That report shall be accompanied, where appropriate, by proposals for amendment of this Directive</w:t>
      </w:r>
      <w:r w:rsidR="00F63EF9">
        <w:rPr>
          <w:rFonts w:ascii="Times New Roman" w:hAnsi="Times New Roman" w:cs="Times New Roman"/>
          <w:i/>
          <w:iCs/>
          <w:noProof/>
          <w:color w:val="333333"/>
          <w:sz w:val="24"/>
          <w:szCs w:val="24"/>
          <w:shd w:val="clear" w:color="auto" w:fill="FFFFFF"/>
          <w:lang w:val="en-IE"/>
        </w:rPr>
        <w:t>”</w:t>
      </w:r>
      <w:r w:rsidR="00F63EF9" w:rsidRPr="004C00FF">
        <w:rPr>
          <w:rFonts w:ascii="Times New Roman" w:hAnsi="Times New Roman" w:cs="Times New Roman"/>
          <w:i/>
          <w:iCs/>
          <w:noProof/>
          <w:color w:val="333333"/>
          <w:sz w:val="24"/>
          <w:szCs w:val="24"/>
          <w:shd w:val="clear" w:color="auto" w:fill="FFFFFF"/>
          <w:lang w:val="en-IE"/>
        </w:rPr>
        <w:t>.</w:t>
      </w:r>
    </w:p>
    <w:p w14:paraId="2B4A19AA" w14:textId="191BDA20" w:rsidR="00AC092A" w:rsidRDefault="01758A13" w:rsidP="5507AD98">
      <w:pPr>
        <w:spacing w:after="120"/>
        <w:jc w:val="both"/>
        <w:rPr>
          <w:rFonts w:ascii="Times New Roman" w:hAnsi="Times New Roman" w:cs="Times New Roman"/>
          <w:i/>
          <w:iCs/>
          <w:noProof/>
          <w:sz w:val="24"/>
          <w:szCs w:val="24"/>
          <w:lang w:val="en-IE"/>
        </w:rPr>
      </w:pPr>
      <w:r w:rsidRPr="00C923FE">
        <w:rPr>
          <w:rFonts w:ascii="Times New Roman" w:hAnsi="Times New Roman" w:cs="Times New Roman"/>
          <w:noProof/>
          <w:sz w:val="24"/>
          <w:szCs w:val="24"/>
          <w:lang w:val="en-IE"/>
        </w:rPr>
        <w:t>Regulation (EU) No 524/2013 of the European Parliament and of the Council on online dispute resolution for consumer disputes</w:t>
      </w:r>
      <w:r w:rsidR="00C923FE">
        <w:rPr>
          <w:rStyle w:val="FootnoteReference"/>
          <w:rFonts w:ascii="Times New Roman" w:hAnsi="Times New Roman" w:cs="Times New Roman"/>
          <w:noProof/>
          <w:sz w:val="24"/>
          <w:szCs w:val="24"/>
          <w:lang w:val="en-IE"/>
        </w:rPr>
        <w:footnoteReference w:id="3"/>
      </w:r>
      <w:r>
        <w:rPr>
          <w:rFonts w:ascii="Times New Roman" w:hAnsi="Times New Roman" w:cs="Times New Roman"/>
          <w:noProof/>
          <w:sz w:val="24"/>
          <w:szCs w:val="24"/>
          <w:lang w:val="en-IE"/>
        </w:rPr>
        <w:t xml:space="preserve"> (ODR Regulation) applies to disputes over online purchases and establishes a digital infrastructure (the European ODR platform) that allows consumers</w:t>
      </w:r>
      <w:r w:rsidR="00DC54D8">
        <w:rPr>
          <w:rFonts w:ascii="Times New Roman" w:hAnsi="Times New Roman" w:cs="Times New Roman"/>
          <w:noProof/>
          <w:sz w:val="24"/>
          <w:szCs w:val="24"/>
          <w:lang w:val="en-IE"/>
        </w:rPr>
        <w:t xml:space="preserve"> </w:t>
      </w:r>
      <w:r w:rsidR="0457E862">
        <w:rPr>
          <w:rFonts w:ascii="Times New Roman" w:hAnsi="Times New Roman" w:cs="Times New Roman"/>
          <w:noProof/>
          <w:sz w:val="24"/>
          <w:szCs w:val="24"/>
          <w:lang w:val="en-IE"/>
        </w:rPr>
        <w:t>to</w:t>
      </w:r>
      <w:r w:rsidR="6F421905">
        <w:rPr>
          <w:rFonts w:ascii="Times New Roman" w:hAnsi="Times New Roman" w:cs="Times New Roman"/>
          <w:noProof/>
          <w:sz w:val="24"/>
          <w:szCs w:val="24"/>
          <w:lang w:val="en-IE"/>
        </w:rPr>
        <w:t xml:space="preserve"> reach out to online traders and to propose to solve </w:t>
      </w:r>
      <w:r w:rsidR="67FBB4E0">
        <w:rPr>
          <w:rFonts w:ascii="Times New Roman" w:hAnsi="Times New Roman" w:cs="Times New Roman"/>
          <w:noProof/>
          <w:sz w:val="24"/>
          <w:szCs w:val="24"/>
          <w:lang w:val="en-IE"/>
        </w:rPr>
        <w:t xml:space="preserve">their dispute using a quality </w:t>
      </w:r>
      <w:r>
        <w:rPr>
          <w:rFonts w:ascii="Times New Roman" w:hAnsi="Times New Roman" w:cs="Times New Roman"/>
          <w:noProof/>
          <w:sz w:val="24"/>
          <w:szCs w:val="24"/>
          <w:lang w:val="en-IE"/>
        </w:rPr>
        <w:t>ADR</w:t>
      </w:r>
      <w:r w:rsidR="67FBB4E0">
        <w:rPr>
          <w:rFonts w:ascii="Times New Roman" w:hAnsi="Times New Roman" w:cs="Times New Roman"/>
          <w:noProof/>
          <w:sz w:val="24"/>
          <w:szCs w:val="24"/>
          <w:lang w:val="en-IE"/>
        </w:rPr>
        <w:t xml:space="preserve"> entity compliant to the ADR Directive. Article </w:t>
      </w:r>
      <w:r w:rsidR="6F421905">
        <w:rPr>
          <w:rFonts w:ascii="Times New Roman" w:hAnsi="Times New Roman" w:cs="Times New Roman"/>
          <w:noProof/>
          <w:sz w:val="24"/>
          <w:szCs w:val="24"/>
          <w:lang w:val="en-IE"/>
        </w:rPr>
        <w:t xml:space="preserve">21(2) </w:t>
      </w:r>
      <w:r w:rsidR="67FBB4E0">
        <w:rPr>
          <w:rFonts w:ascii="Times New Roman" w:hAnsi="Times New Roman" w:cs="Times New Roman"/>
          <w:noProof/>
          <w:sz w:val="24"/>
          <w:szCs w:val="24"/>
          <w:lang w:val="en-IE"/>
        </w:rPr>
        <w:t xml:space="preserve">of the ODR Regulation provides </w:t>
      </w:r>
      <w:r w:rsidR="6F421905">
        <w:rPr>
          <w:rFonts w:ascii="Times New Roman" w:hAnsi="Times New Roman" w:cs="Times New Roman"/>
          <w:noProof/>
          <w:sz w:val="24"/>
          <w:szCs w:val="24"/>
          <w:lang w:val="en-IE"/>
        </w:rPr>
        <w:t>that every three years “</w:t>
      </w:r>
      <w:r w:rsidR="6F421905" w:rsidRPr="5507AD98">
        <w:rPr>
          <w:rFonts w:ascii="Times New Roman" w:hAnsi="Times New Roman" w:cs="Times New Roman"/>
          <w:i/>
          <w:iCs/>
          <w:noProof/>
          <w:sz w:val="24"/>
          <w:szCs w:val="24"/>
          <w:lang w:val="en-IE"/>
        </w:rPr>
        <w:t>the Commission shall submit to the European Parliament and the Council a report on the application of this Regulation, including in particular on the user-friendliness of the complaint form and the possible need for adaptation of the information listed in the Annex to this Regulation. That report shall be accompanied, if necessary, by proposals for adaptations to this Regulation”.</w:t>
      </w:r>
    </w:p>
    <w:p w14:paraId="0E539CF0" w14:textId="197AB478" w:rsidR="00B72A25" w:rsidRDefault="3A0F37CD" w:rsidP="00BD74C7">
      <w:pPr>
        <w:spacing w:after="12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Together</w:t>
      </w:r>
      <w:r w:rsidR="0457E862">
        <w:rPr>
          <w:rFonts w:ascii="Times New Roman" w:hAnsi="Times New Roman" w:cs="Times New Roman"/>
          <w:noProof/>
          <w:sz w:val="24"/>
          <w:szCs w:val="24"/>
          <w:lang w:val="en-IE"/>
        </w:rPr>
        <w:t xml:space="preserve"> with the Directive on Representative actions</w:t>
      </w:r>
      <w:r w:rsidR="00B72A25">
        <w:rPr>
          <w:rStyle w:val="FootnoteReference"/>
          <w:rFonts w:ascii="Times New Roman" w:hAnsi="Times New Roman" w:cs="Times New Roman"/>
          <w:noProof/>
          <w:sz w:val="24"/>
          <w:szCs w:val="24"/>
          <w:lang w:val="en-IE"/>
        </w:rPr>
        <w:footnoteReference w:id="4"/>
      </w:r>
      <w:r>
        <w:rPr>
          <w:rFonts w:ascii="Times New Roman" w:hAnsi="Times New Roman" w:cs="Times New Roman"/>
          <w:noProof/>
          <w:sz w:val="24"/>
          <w:szCs w:val="24"/>
          <w:lang w:val="en-IE"/>
        </w:rPr>
        <w:t xml:space="preserve">, these legal </w:t>
      </w:r>
      <w:r w:rsidR="658F15CC">
        <w:rPr>
          <w:rFonts w:ascii="Times New Roman" w:hAnsi="Times New Roman" w:cs="Times New Roman"/>
          <w:noProof/>
          <w:sz w:val="24"/>
          <w:szCs w:val="24"/>
          <w:lang w:val="en-IE"/>
        </w:rPr>
        <w:t>acts provide</w:t>
      </w:r>
      <w:r w:rsidR="0457E862">
        <w:rPr>
          <w:rFonts w:ascii="Times New Roman" w:hAnsi="Times New Roman" w:cs="Times New Roman"/>
          <w:noProof/>
          <w:sz w:val="24"/>
          <w:szCs w:val="24"/>
          <w:lang w:val="en-IE"/>
        </w:rPr>
        <w:t xml:space="preserve"> </w:t>
      </w:r>
      <w:r w:rsidR="6F421905">
        <w:rPr>
          <w:rFonts w:ascii="Times New Roman" w:hAnsi="Times New Roman" w:cs="Times New Roman"/>
          <w:noProof/>
          <w:sz w:val="24"/>
          <w:szCs w:val="24"/>
          <w:lang w:val="en-IE"/>
        </w:rPr>
        <w:t xml:space="preserve">a comprehensive legal framework </w:t>
      </w:r>
      <w:r w:rsidR="67FBB4E0">
        <w:rPr>
          <w:rFonts w:ascii="Times New Roman" w:hAnsi="Times New Roman" w:cs="Times New Roman"/>
          <w:noProof/>
          <w:sz w:val="24"/>
          <w:szCs w:val="24"/>
          <w:lang w:val="en-IE"/>
        </w:rPr>
        <w:t xml:space="preserve">that Member States have to implement </w:t>
      </w:r>
      <w:r w:rsidR="0457E862">
        <w:rPr>
          <w:rFonts w:ascii="Times New Roman" w:hAnsi="Times New Roman" w:cs="Times New Roman"/>
          <w:noProof/>
          <w:sz w:val="24"/>
          <w:szCs w:val="24"/>
          <w:lang w:val="en-IE"/>
        </w:rPr>
        <w:t xml:space="preserve">to ensure efficient </w:t>
      </w:r>
      <w:r w:rsidR="67FBB4E0">
        <w:rPr>
          <w:rFonts w:ascii="Times New Roman" w:hAnsi="Times New Roman" w:cs="Times New Roman"/>
          <w:noProof/>
          <w:sz w:val="24"/>
          <w:szCs w:val="24"/>
          <w:lang w:val="en-IE"/>
        </w:rPr>
        <w:t xml:space="preserve">access to </w:t>
      </w:r>
      <w:r>
        <w:rPr>
          <w:rFonts w:ascii="Times New Roman" w:hAnsi="Times New Roman" w:cs="Times New Roman"/>
          <w:noProof/>
          <w:sz w:val="24"/>
          <w:szCs w:val="24"/>
          <w:lang w:val="en-IE"/>
        </w:rPr>
        <w:t>consumer redress</w:t>
      </w:r>
      <w:r w:rsidR="0457E862">
        <w:rPr>
          <w:rFonts w:ascii="Times New Roman" w:hAnsi="Times New Roman" w:cs="Times New Roman"/>
          <w:noProof/>
          <w:sz w:val="24"/>
          <w:szCs w:val="24"/>
          <w:lang w:val="en-IE"/>
        </w:rPr>
        <w:t xml:space="preserve"> in the EU</w:t>
      </w:r>
      <w:r>
        <w:rPr>
          <w:rFonts w:ascii="Times New Roman" w:hAnsi="Times New Roman" w:cs="Times New Roman"/>
          <w:noProof/>
          <w:sz w:val="24"/>
          <w:szCs w:val="24"/>
          <w:lang w:val="en-IE"/>
        </w:rPr>
        <w:t>.</w:t>
      </w:r>
      <w:r w:rsidR="2E78A09D">
        <w:rPr>
          <w:rFonts w:ascii="Times New Roman" w:hAnsi="Times New Roman" w:cs="Times New Roman"/>
          <w:noProof/>
          <w:sz w:val="24"/>
          <w:szCs w:val="24"/>
          <w:lang w:val="en-IE"/>
        </w:rPr>
        <w:t xml:space="preserve"> </w:t>
      </w:r>
      <w:r w:rsidR="67FBB4E0">
        <w:rPr>
          <w:rFonts w:ascii="Times New Roman" w:hAnsi="Times New Roman" w:cs="Times New Roman"/>
          <w:noProof/>
          <w:sz w:val="24"/>
          <w:szCs w:val="24"/>
          <w:lang w:val="en-IE"/>
        </w:rPr>
        <w:t xml:space="preserve"> </w:t>
      </w:r>
    </w:p>
    <w:p w14:paraId="5A3A961E" w14:textId="50B441BC" w:rsidR="00CD5F6D" w:rsidRDefault="005E77AD" w:rsidP="21E7642B">
      <w:pPr>
        <w:spacing w:after="12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The </w:t>
      </w:r>
      <w:r w:rsidR="003D46F0">
        <w:rPr>
          <w:rFonts w:ascii="Times New Roman" w:hAnsi="Times New Roman" w:cs="Times New Roman"/>
          <w:noProof/>
          <w:sz w:val="24"/>
          <w:szCs w:val="24"/>
          <w:lang w:val="en-IE"/>
        </w:rPr>
        <w:t xml:space="preserve">2019 </w:t>
      </w:r>
      <w:r>
        <w:rPr>
          <w:rFonts w:ascii="Times New Roman" w:hAnsi="Times New Roman" w:cs="Times New Roman"/>
          <w:noProof/>
          <w:sz w:val="24"/>
          <w:szCs w:val="24"/>
          <w:lang w:val="en-IE"/>
        </w:rPr>
        <w:t>implementation report on the ADR/ODR framework</w:t>
      </w:r>
      <w:r>
        <w:rPr>
          <w:rStyle w:val="FootnoteReference"/>
          <w:rFonts w:ascii="Times New Roman" w:hAnsi="Times New Roman" w:cs="Times New Roman"/>
          <w:noProof/>
          <w:sz w:val="24"/>
          <w:szCs w:val="24"/>
          <w:lang w:val="en-IE"/>
        </w:rPr>
        <w:footnoteReference w:id="5"/>
      </w:r>
      <w:r>
        <w:rPr>
          <w:rFonts w:ascii="Times New Roman" w:hAnsi="Times New Roman" w:cs="Times New Roman"/>
          <w:noProof/>
          <w:sz w:val="24"/>
          <w:szCs w:val="24"/>
          <w:lang w:val="en-IE"/>
        </w:rPr>
        <w:t xml:space="preserve"> concluded that </w:t>
      </w:r>
      <w:r w:rsidR="003D46F0">
        <w:rPr>
          <w:rFonts w:ascii="Times New Roman" w:hAnsi="Times New Roman" w:cs="Times New Roman"/>
          <w:noProof/>
          <w:sz w:val="24"/>
          <w:szCs w:val="24"/>
          <w:lang w:val="en-IE"/>
        </w:rPr>
        <w:t xml:space="preserve">thanks to the ADR Directive, </w:t>
      </w:r>
      <w:r w:rsidRPr="00B25AC3">
        <w:rPr>
          <w:rFonts w:ascii="Times New Roman" w:hAnsi="Times New Roman" w:cs="Times New Roman"/>
          <w:i/>
          <w:iCs/>
          <w:noProof/>
          <w:sz w:val="24"/>
          <w:szCs w:val="24"/>
          <w:lang w:val="en-IE"/>
        </w:rPr>
        <w:t>“EU consumers have access to high-quality ADR procedures across the Union and in virtually all retail sectors, regardless of whether the dispute is domestic or cross-border and whether the purchase was made online or offline”</w:t>
      </w:r>
      <w:r>
        <w:rPr>
          <w:rFonts w:ascii="Times New Roman" w:hAnsi="Times New Roman" w:cs="Times New Roman"/>
          <w:noProof/>
          <w:sz w:val="24"/>
          <w:szCs w:val="24"/>
          <w:lang w:val="en-IE"/>
        </w:rPr>
        <w:t>.</w:t>
      </w:r>
      <w:r w:rsidR="00CD5F6D">
        <w:rPr>
          <w:rFonts w:ascii="Times New Roman" w:hAnsi="Times New Roman" w:cs="Times New Roman"/>
          <w:noProof/>
          <w:sz w:val="24"/>
          <w:szCs w:val="24"/>
          <w:lang w:val="en-IE"/>
        </w:rPr>
        <w:t xml:space="preserve"> </w:t>
      </w:r>
      <w:r w:rsidR="14FB3221" w:rsidRPr="69FFF1C3">
        <w:rPr>
          <w:rFonts w:ascii="Times New Roman" w:hAnsi="Times New Roman" w:cs="Times New Roman"/>
          <w:noProof/>
          <w:sz w:val="24"/>
          <w:szCs w:val="24"/>
          <w:lang w:val="en-IE"/>
        </w:rPr>
        <w:t xml:space="preserve">With regards to ODR, the </w:t>
      </w:r>
      <w:r w:rsidR="14FB3221" w:rsidRPr="69BAFAD4">
        <w:rPr>
          <w:rFonts w:ascii="Times New Roman" w:hAnsi="Times New Roman" w:cs="Times New Roman"/>
          <w:noProof/>
          <w:sz w:val="24"/>
          <w:szCs w:val="24"/>
          <w:lang w:val="en-IE"/>
        </w:rPr>
        <w:t xml:space="preserve">report </w:t>
      </w:r>
      <w:r w:rsidR="14FB3221" w:rsidRPr="15304EFF">
        <w:rPr>
          <w:rFonts w:ascii="Times New Roman" w:hAnsi="Times New Roman" w:cs="Times New Roman"/>
          <w:noProof/>
          <w:sz w:val="24"/>
          <w:szCs w:val="24"/>
          <w:lang w:val="en-IE"/>
        </w:rPr>
        <w:t xml:space="preserve">underscored </w:t>
      </w:r>
      <w:r w:rsidR="14FB3221" w:rsidRPr="2D6559D3">
        <w:rPr>
          <w:rFonts w:ascii="Times New Roman" w:hAnsi="Times New Roman" w:cs="Times New Roman"/>
          <w:noProof/>
          <w:sz w:val="24"/>
          <w:szCs w:val="24"/>
          <w:lang w:val="en-IE"/>
        </w:rPr>
        <w:t>th</w:t>
      </w:r>
      <w:r w:rsidR="2DCA9C5C" w:rsidRPr="2D6559D3">
        <w:rPr>
          <w:rFonts w:ascii="Times New Roman" w:hAnsi="Times New Roman" w:cs="Times New Roman"/>
          <w:noProof/>
          <w:sz w:val="24"/>
          <w:szCs w:val="24"/>
          <w:lang w:val="en-IE"/>
        </w:rPr>
        <w:t xml:space="preserve">at the European ODR platform became a multilingual hub </w:t>
      </w:r>
      <w:r w:rsidR="2DCA9C5C" w:rsidRPr="3A2D452F">
        <w:rPr>
          <w:rFonts w:ascii="Times New Roman" w:hAnsi="Times New Roman" w:cs="Times New Roman"/>
          <w:noProof/>
          <w:sz w:val="24"/>
          <w:szCs w:val="24"/>
          <w:lang w:val="en-IE"/>
        </w:rPr>
        <w:t xml:space="preserve">that attracted </w:t>
      </w:r>
      <w:r w:rsidR="14FB3221" w:rsidRPr="3A2D452F">
        <w:rPr>
          <w:rFonts w:ascii="Times New Roman" w:hAnsi="Times New Roman" w:cs="Times New Roman"/>
          <w:noProof/>
          <w:sz w:val="24"/>
          <w:szCs w:val="24"/>
          <w:lang w:val="en-IE"/>
        </w:rPr>
        <w:t>8</w:t>
      </w:r>
      <w:r w:rsidR="14FB3221" w:rsidRPr="11BB3F32">
        <w:rPr>
          <w:rFonts w:ascii="Times New Roman" w:hAnsi="Times New Roman" w:cs="Times New Roman"/>
          <w:noProof/>
          <w:sz w:val="24"/>
          <w:szCs w:val="24"/>
          <w:lang w:val="en-IE"/>
        </w:rPr>
        <w:t xml:space="preserve">,5 </w:t>
      </w:r>
      <w:r w:rsidR="5F41D025" w:rsidRPr="3A2D452F">
        <w:rPr>
          <w:rFonts w:ascii="Times New Roman" w:hAnsi="Times New Roman" w:cs="Times New Roman"/>
          <w:noProof/>
          <w:sz w:val="24"/>
          <w:szCs w:val="24"/>
          <w:lang w:val="en-IE"/>
        </w:rPr>
        <w:t>visitors</w:t>
      </w:r>
      <w:r w:rsidR="5F41D025" w:rsidRPr="38B9484C">
        <w:rPr>
          <w:rFonts w:ascii="Times New Roman" w:hAnsi="Times New Roman" w:cs="Times New Roman"/>
          <w:noProof/>
          <w:sz w:val="24"/>
          <w:szCs w:val="24"/>
          <w:lang w:val="en-IE"/>
        </w:rPr>
        <w:t>, with</w:t>
      </w:r>
      <w:r w:rsidR="5F41D025" w:rsidRPr="3A2D452F">
        <w:rPr>
          <w:rFonts w:ascii="Times New Roman" w:hAnsi="Times New Roman" w:cs="Times New Roman"/>
          <w:noProof/>
          <w:sz w:val="24"/>
          <w:szCs w:val="24"/>
          <w:lang w:val="en-IE"/>
        </w:rPr>
        <w:t xml:space="preserve"> </w:t>
      </w:r>
      <w:r w:rsidR="5F41D025" w:rsidRPr="68667F42">
        <w:rPr>
          <w:rFonts w:ascii="Times New Roman" w:hAnsi="Times New Roman" w:cs="Times New Roman"/>
          <w:noProof/>
          <w:sz w:val="24"/>
          <w:szCs w:val="24"/>
          <w:lang w:val="en-IE"/>
        </w:rPr>
        <w:t xml:space="preserve">120 000 disputes </w:t>
      </w:r>
      <w:r w:rsidR="5F41D025" w:rsidRPr="38B9484C">
        <w:rPr>
          <w:rFonts w:ascii="Times New Roman" w:hAnsi="Times New Roman" w:cs="Times New Roman"/>
          <w:noProof/>
          <w:sz w:val="24"/>
          <w:szCs w:val="24"/>
          <w:lang w:val="en-IE"/>
        </w:rPr>
        <w:t xml:space="preserve">submitted. </w:t>
      </w:r>
    </w:p>
    <w:p w14:paraId="1F12162C" w14:textId="2EC600D9" w:rsidR="00CD5F6D" w:rsidRDefault="00CD5F6D" w:rsidP="00BD74C7">
      <w:pPr>
        <w:spacing w:after="120"/>
        <w:jc w:val="both"/>
        <w:rPr>
          <w:rFonts w:ascii="Times New Roman" w:hAnsi="Times New Roman" w:cs="Times New Roman"/>
          <w:noProof/>
          <w:sz w:val="24"/>
          <w:szCs w:val="24"/>
          <w:lang w:val="en-IE"/>
        </w:rPr>
      </w:pPr>
      <w:r w:rsidRPr="71DDD450">
        <w:rPr>
          <w:rFonts w:ascii="Times New Roman" w:hAnsi="Times New Roman" w:cs="Times New Roman"/>
          <w:noProof/>
          <w:sz w:val="24"/>
          <w:szCs w:val="24"/>
          <w:lang w:val="en-IE"/>
        </w:rPr>
        <w:t>However, the report also found that consumer ADR was still under-used due to lack of awareness</w:t>
      </w:r>
      <w:r w:rsidR="003D46F0" w:rsidRPr="71DDD450">
        <w:rPr>
          <w:rFonts w:ascii="Times New Roman" w:hAnsi="Times New Roman" w:cs="Times New Roman"/>
          <w:noProof/>
          <w:sz w:val="24"/>
          <w:szCs w:val="24"/>
          <w:lang w:val="en-IE"/>
        </w:rPr>
        <w:t>,</w:t>
      </w:r>
      <w:r w:rsidRPr="71DDD450">
        <w:rPr>
          <w:rFonts w:ascii="Times New Roman" w:hAnsi="Times New Roman" w:cs="Times New Roman"/>
          <w:noProof/>
          <w:sz w:val="24"/>
          <w:szCs w:val="24"/>
          <w:lang w:val="en-IE"/>
        </w:rPr>
        <w:t xml:space="preserve"> difficulties navigating the diverse ADR landscape </w:t>
      </w:r>
      <w:r w:rsidR="003D46F0" w:rsidRPr="71DDD450">
        <w:rPr>
          <w:rFonts w:ascii="Times New Roman" w:hAnsi="Times New Roman" w:cs="Times New Roman"/>
          <w:noProof/>
          <w:sz w:val="24"/>
          <w:szCs w:val="24"/>
          <w:lang w:val="en-IE"/>
        </w:rPr>
        <w:t xml:space="preserve">in certain </w:t>
      </w:r>
      <w:r w:rsidR="00456F37" w:rsidRPr="71DDD450">
        <w:rPr>
          <w:rFonts w:ascii="Times New Roman" w:hAnsi="Times New Roman" w:cs="Times New Roman"/>
          <w:noProof/>
          <w:sz w:val="24"/>
          <w:szCs w:val="24"/>
          <w:lang w:val="en-IE"/>
        </w:rPr>
        <w:t>M</w:t>
      </w:r>
      <w:r w:rsidR="003D46F0" w:rsidRPr="71DDD450">
        <w:rPr>
          <w:rFonts w:ascii="Times New Roman" w:hAnsi="Times New Roman" w:cs="Times New Roman"/>
          <w:noProof/>
          <w:sz w:val="24"/>
          <w:szCs w:val="24"/>
          <w:lang w:val="en-IE"/>
        </w:rPr>
        <w:t xml:space="preserve">ember States but also due to a general reluctance of </w:t>
      </w:r>
      <w:r w:rsidRPr="71DDD450">
        <w:rPr>
          <w:rFonts w:ascii="Times New Roman" w:hAnsi="Times New Roman" w:cs="Times New Roman"/>
          <w:noProof/>
          <w:sz w:val="24"/>
          <w:szCs w:val="24"/>
          <w:lang w:val="en-IE"/>
        </w:rPr>
        <w:t>traders</w:t>
      </w:r>
      <w:r w:rsidR="003D46F0" w:rsidRPr="71DDD450">
        <w:rPr>
          <w:rFonts w:ascii="Times New Roman" w:hAnsi="Times New Roman" w:cs="Times New Roman"/>
          <w:noProof/>
          <w:sz w:val="24"/>
          <w:szCs w:val="24"/>
          <w:lang w:val="en-IE"/>
        </w:rPr>
        <w:t xml:space="preserve"> </w:t>
      </w:r>
      <w:r w:rsidRPr="71DDD450">
        <w:rPr>
          <w:rFonts w:ascii="Times New Roman" w:hAnsi="Times New Roman" w:cs="Times New Roman"/>
          <w:noProof/>
          <w:sz w:val="24"/>
          <w:szCs w:val="24"/>
          <w:lang w:val="en-IE"/>
        </w:rPr>
        <w:t>to participate.</w:t>
      </w:r>
      <w:r w:rsidR="007F7241" w:rsidRPr="71DDD450">
        <w:rPr>
          <w:rFonts w:ascii="Times New Roman" w:hAnsi="Times New Roman" w:cs="Times New Roman"/>
          <w:noProof/>
          <w:sz w:val="24"/>
          <w:szCs w:val="24"/>
          <w:lang w:val="en-IE"/>
        </w:rPr>
        <w:t xml:space="preserve"> </w:t>
      </w:r>
      <w:r w:rsidR="00F32845" w:rsidRPr="71DDD450">
        <w:rPr>
          <w:rFonts w:ascii="Times New Roman" w:hAnsi="Times New Roman" w:cs="Times New Roman"/>
          <w:noProof/>
          <w:sz w:val="24"/>
          <w:szCs w:val="24"/>
          <w:lang w:val="en-IE"/>
        </w:rPr>
        <w:t xml:space="preserve">When it comes to </w:t>
      </w:r>
      <w:r w:rsidR="0098016C" w:rsidRPr="71DDD450">
        <w:rPr>
          <w:rFonts w:ascii="Times New Roman" w:hAnsi="Times New Roman" w:cs="Times New Roman"/>
          <w:noProof/>
          <w:sz w:val="24"/>
          <w:szCs w:val="24"/>
          <w:lang w:val="en-IE"/>
        </w:rPr>
        <w:t>the ODR platform,</w:t>
      </w:r>
      <w:r w:rsidR="008E1E10">
        <w:rPr>
          <w:rFonts w:ascii="Times New Roman" w:hAnsi="Times New Roman" w:cs="Times New Roman"/>
          <w:noProof/>
          <w:sz w:val="24"/>
          <w:szCs w:val="24"/>
          <w:lang w:val="en-IE"/>
        </w:rPr>
        <w:t xml:space="preserve"> </w:t>
      </w:r>
      <w:r w:rsidR="71DDD450" w:rsidRPr="71DDD450">
        <w:rPr>
          <w:rFonts w:ascii="Times New Roman" w:hAnsi="Times New Roman" w:cs="Times New Roman"/>
          <w:noProof/>
          <w:sz w:val="24"/>
          <w:szCs w:val="24"/>
          <w:lang w:val="en-IE"/>
        </w:rPr>
        <w:t>the report flagged that</w:t>
      </w:r>
      <w:r w:rsidR="008E1E10">
        <w:rPr>
          <w:rFonts w:ascii="Times New Roman" w:hAnsi="Times New Roman" w:cs="Times New Roman"/>
          <w:noProof/>
          <w:sz w:val="24"/>
          <w:szCs w:val="24"/>
          <w:lang w:val="en-IE"/>
        </w:rPr>
        <w:t>,</w:t>
      </w:r>
      <w:r w:rsidR="0098016C" w:rsidRPr="71DDD450">
        <w:rPr>
          <w:rFonts w:ascii="Times New Roman" w:hAnsi="Times New Roman" w:cs="Times New Roman"/>
          <w:noProof/>
          <w:sz w:val="24"/>
          <w:szCs w:val="24"/>
          <w:lang w:val="en-IE"/>
        </w:rPr>
        <w:t xml:space="preserve"> despite </w:t>
      </w:r>
      <w:r w:rsidR="00660012">
        <w:rPr>
          <w:rFonts w:ascii="Times New Roman" w:hAnsi="Times New Roman" w:cs="Times New Roman"/>
          <w:noProof/>
          <w:sz w:val="24"/>
          <w:szCs w:val="24"/>
          <w:lang w:val="en-IE"/>
        </w:rPr>
        <w:t xml:space="preserve">a high number of visits there was a limited </w:t>
      </w:r>
      <w:r w:rsidR="0098016C" w:rsidRPr="71DDD450">
        <w:rPr>
          <w:rFonts w:ascii="Times New Roman" w:hAnsi="Times New Roman" w:cs="Times New Roman"/>
          <w:noProof/>
          <w:sz w:val="24"/>
          <w:szCs w:val="24"/>
          <w:lang w:val="en-IE"/>
        </w:rPr>
        <w:t>consumer interest</w:t>
      </w:r>
      <w:r w:rsidR="00660012">
        <w:rPr>
          <w:rFonts w:ascii="Times New Roman" w:hAnsi="Times New Roman" w:cs="Times New Roman"/>
          <w:noProof/>
          <w:sz w:val="24"/>
          <w:szCs w:val="24"/>
          <w:lang w:val="en-IE"/>
        </w:rPr>
        <w:t xml:space="preserve"> in requesting and ADR procedure to the concerned traders</w:t>
      </w:r>
      <w:r w:rsidR="0098016C" w:rsidRPr="71DDD450">
        <w:rPr>
          <w:rFonts w:ascii="Times New Roman" w:hAnsi="Times New Roman" w:cs="Times New Roman"/>
          <w:noProof/>
          <w:sz w:val="24"/>
          <w:szCs w:val="24"/>
          <w:lang w:val="en-IE"/>
        </w:rPr>
        <w:t xml:space="preserve">, </w:t>
      </w:r>
      <w:r w:rsidR="00660012">
        <w:rPr>
          <w:rFonts w:ascii="Times New Roman" w:hAnsi="Times New Roman" w:cs="Times New Roman"/>
          <w:noProof/>
          <w:sz w:val="24"/>
          <w:szCs w:val="24"/>
          <w:lang w:val="en-IE"/>
        </w:rPr>
        <w:t>which in the vast majority of cases either remained silent or offered to consumers to settle the case outside of the platform</w:t>
      </w:r>
      <w:r w:rsidR="00B25AC3">
        <w:rPr>
          <w:rFonts w:ascii="Times New Roman" w:hAnsi="Times New Roman" w:cs="Times New Roman"/>
          <w:noProof/>
          <w:sz w:val="24"/>
          <w:szCs w:val="24"/>
          <w:lang w:val="en-IE"/>
        </w:rPr>
        <w:t xml:space="preserve">. </w:t>
      </w:r>
      <w:r w:rsidR="00660012">
        <w:rPr>
          <w:rFonts w:ascii="Times New Roman" w:hAnsi="Times New Roman" w:cs="Times New Roman"/>
          <w:noProof/>
          <w:sz w:val="24"/>
          <w:szCs w:val="24"/>
          <w:lang w:val="en-IE"/>
        </w:rPr>
        <w:t xml:space="preserve">As a result, </w:t>
      </w:r>
      <w:r w:rsidR="00377C9E" w:rsidRPr="71DDD450">
        <w:rPr>
          <w:rFonts w:ascii="Times New Roman" w:hAnsi="Times New Roman" w:cs="Times New Roman"/>
          <w:noProof/>
          <w:sz w:val="24"/>
          <w:szCs w:val="24"/>
          <w:lang w:val="en-IE"/>
        </w:rPr>
        <w:t xml:space="preserve">about 2% of </w:t>
      </w:r>
      <w:r w:rsidR="00660012">
        <w:rPr>
          <w:rFonts w:ascii="Times New Roman" w:hAnsi="Times New Roman" w:cs="Times New Roman"/>
          <w:noProof/>
          <w:sz w:val="24"/>
          <w:szCs w:val="24"/>
          <w:lang w:val="en-IE"/>
        </w:rPr>
        <w:t xml:space="preserve">the requests for an ADR process were sent to an </w:t>
      </w:r>
      <w:r w:rsidR="13009C47" w:rsidRPr="7EC73423">
        <w:rPr>
          <w:rFonts w:ascii="Times New Roman" w:hAnsi="Times New Roman" w:cs="Times New Roman"/>
          <w:noProof/>
          <w:sz w:val="24"/>
          <w:szCs w:val="24"/>
          <w:lang w:val="en-IE"/>
        </w:rPr>
        <w:t xml:space="preserve">ADR </w:t>
      </w:r>
      <w:r w:rsidR="006C39EA" w:rsidRPr="7EC73423">
        <w:rPr>
          <w:rFonts w:ascii="Times New Roman" w:hAnsi="Times New Roman" w:cs="Times New Roman"/>
          <w:noProof/>
          <w:sz w:val="24"/>
          <w:szCs w:val="24"/>
          <w:lang w:val="en-IE"/>
        </w:rPr>
        <w:t>entity</w:t>
      </w:r>
      <w:r w:rsidR="00B25AC3">
        <w:rPr>
          <w:rFonts w:ascii="Times New Roman" w:hAnsi="Times New Roman" w:cs="Times New Roman"/>
          <w:noProof/>
          <w:sz w:val="24"/>
          <w:szCs w:val="24"/>
          <w:lang w:val="en-IE"/>
        </w:rPr>
        <w:t>.</w:t>
      </w:r>
    </w:p>
    <w:p w14:paraId="5DBC02D6" w14:textId="19F84D1B" w:rsidR="00650FA0" w:rsidRDefault="00650FA0" w:rsidP="00BD74C7">
      <w:pPr>
        <w:spacing w:after="120"/>
        <w:jc w:val="both"/>
        <w:rPr>
          <w:rFonts w:ascii="Times New Roman" w:hAnsi="Times New Roman" w:cs="Times New Roman"/>
          <w:noProof/>
          <w:sz w:val="24"/>
          <w:szCs w:val="24"/>
          <w:lang w:val="en-IE"/>
        </w:rPr>
      </w:pPr>
      <w:r w:rsidRPr="00ED5E81">
        <w:rPr>
          <w:rFonts w:ascii="Times New Roman" w:hAnsi="Times New Roman" w:cs="Times New Roman"/>
          <w:noProof/>
          <w:sz w:val="24"/>
          <w:szCs w:val="24"/>
          <w:lang w:val="en-IE"/>
        </w:rPr>
        <w:t>The</w:t>
      </w:r>
      <w:r w:rsidR="00363430">
        <w:rPr>
          <w:rFonts w:ascii="Times New Roman" w:hAnsi="Times New Roman" w:cs="Times New Roman"/>
          <w:noProof/>
          <w:sz w:val="24"/>
          <w:szCs w:val="24"/>
          <w:lang w:val="en-IE"/>
        </w:rPr>
        <w:t xml:space="preserve"> present report i</w:t>
      </w:r>
      <w:r w:rsidR="001C483B">
        <w:rPr>
          <w:rFonts w:ascii="Times New Roman" w:hAnsi="Times New Roman" w:cs="Times New Roman"/>
          <w:noProof/>
          <w:sz w:val="24"/>
          <w:szCs w:val="24"/>
          <w:lang w:val="en-IE"/>
        </w:rPr>
        <w:t>s submitted in accordance with</w:t>
      </w:r>
      <w:r>
        <w:rPr>
          <w:rFonts w:ascii="Times New Roman" w:hAnsi="Times New Roman" w:cs="Times New Roman"/>
          <w:noProof/>
          <w:sz w:val="24"/>
          <w:szCs w:val="24"/>
          <w:lang w:val="en-IE"/>
        </w:rPr>
        <w:t xml:space="preserve"> </w:t>
      </w:r>
      <w:r w:rsidRPr="00CD5F6D">
        <w:rPr>
          <w:rFonts w:ascii="Times New Roman" w:hAnsi="Times New Roman" w:cs="Times New Roman"/>
          <w:noProof/>
          <w:sz w:val="24"/>
          <w:szCs w:val="24"/>
          <w:lang w:val="en-IE"/>
        </w:rPr>
        <w:t>Article 26 of the ADR Directive and Article 21(2) of the ODR Regulation</w:t>
      </w:r>
      <w:r>
        <w:rPr>
          <w:rFonts w:ascii="Times New Roman" w:hAnsi="Times New Roman" w:cs="Times New Roman"/>
          <w:noProof/>
          <w:sz w:val="24"/>
          <w:szCs w:val="24"/>
          <w:lang w:val="en-IE"/>
        </w:rPr>
        <w:t>.</w:t>
      </w:r>
      <w:r w:rsidR="004B0F98">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It is part of a wider package proposing to amend the ADR Directive</w:t>
      </w:r>
      <w:r w:rsidR="000F7092">
        <w:rPr>
          <w:rFonts w:ascii="Times New Roman" w:hAnsi="Times New Roman" w:cs="Times New Roman"/>
          <w:noProof/>
          <w:sz w:val="24"/>
          <w:szCs w:val="24"/>
          <w:lang w:val="en-IE"/>
        </w:rPr>
        <w:t>, a Commission recommendation</w:t>
      </w:r>
      <w:r>
        <w:rPr>
          <w:rFonts w:ascii="Times New Roman" w:hAnsi="Times New Roman" w:cs="Times New Roman"/>
          <w:noProof/>
          <w:sz w:val="24"/>
          <w:szCs w:val="24"/>
          <w:lang w:val="en-IE"/>
        </w:rPr>
        <w:t xml:space="preserve"> </w:t>
      </w:r>
      <w:r w:rsidR="000F7092">
        <w:rPr>
          <w:rFonts w:ascii="Times New Roman" w:hAnsi="Times New Roman" w:cs="Times New Roman"/>
          <w:noProof/>
          <w:sz w:val="24"/>
          <w:szCs w:val="24"/>
          <w:lang w:val="en-IE"/>
        </w:rPr>
        <w:t xml:space="preserve">to online marketplaces and EU trade associations </w:t>
      </w:r>
      <w:r>
        <w:rPr>
          <w:rFonts w:ascii="Times New Roman" w:hAnsi="Times New Roman" w:cs="Times New Roman"/>
          <w:noProof/>
          <w:sz w:val="24"/>
          <w:szCs w:val="24"/>
          <w:lang w:val="en-IE"/>
        </w:rPr>
        <w:t xml:space="preserve">and </w:t>
      </w:r>
      <w:r w:rsidR="000F7092">
        <w:rPr>
          <w:rFonts w:ascii="Times New Roman" w:hAnsi="Times New Roman" w:cs="Times New Roman"/>
          <w:noProof/>
          <w:sz w:val="24"/>
          <w:szCs w:val="24"/>
          <w:lang w:val="en-IE"/>
        </w:rPr>
        <w:t xml:space="preserve">the </w:t>
      </w:r>
      <w:r>
        <w:rPr>
          <w:rFonts w:ascii="Times New Roman" w:hAnsi="Times New Roman" w:cs="Times New Roman"/>
          <w:noProof/>
          <w:sz w:val="24"/>
          <w:szCs w:val="24"/>
          <w:lang w:val="en-IE"/>
        </w:rPr>
        <w:t xml:space="preserve">repeal the ODR Regulation. </w:t>
      </w:r>
      <w:r w:rsidR="009569D6">
        <w:rPr>
          <w:rFonts w:ascii="Times New Roman" w:hAnsi="Times New Roman" w:cs="Times New Roman"/>
          <w:noProof/>
          <w:sz w:val="24"/>
          <w:szCs w:val="24"/>
          <w:lang w:val="en-IE"/>
        </w:rPr>
        <w:t>Whilst t</w:t>
      </w:r>
      <w:r w:rsidR="00387B60">
        <w:rPr>
          <w:rFonts w:ascii="Times New Roman" w:hAnsi="Times New Roman" w:cs="Times New Roman"/>
          <w:noProof/>
          <w:sz w:val="24"/>
          <w:szCs w:val="24"/>
          <w:lang w:val="en-IE"/>
        </w:rPr>
        <w:t>h</w:t>
      </w:r>
      <w:r w:rsidR="009569D6">
        <w:rPr>
          <w:rFonts w:ascii="Times New Roman" w:hAnsi="Times New Roman" w:cs="Times New Roman"/>
          <w:noProof/>
          <w:sz w:val="24"/>
          <w:szCs w:val="24"/>
          <w:lang w:val="en-IE"/>
        </w:rPr>
        <w:t>is</w:t>
      </w:r>
      <w:r w:rsidR="00387B60">
        <w:rPr>
          <w:rFonts w:ascii="Times New Roman" w:hAnsi="Times New Roman" w:cs="Times New Roman"/>
          <w:noProof/>
          <w:sz w:val="24"/>
          <w:szCs w:val="24"/>
          <w:lang w:val="en-IE"/>
        </w:rPr>
        <w:t xml:space="preserve"> report summarises the main findings </w:t>
      </w:r>
      <w:r w:rsidR="00BC4E62">
        <w:rPr>
          <w:rFonts w:ascii="Times New Roman" w:hAnsi="Times New Roman" w:cs="Times New Roman"/>
          <w:noProof/>
          <w:sz w:val="24"/>
          <w:szCs w:val="24"/>
          <w:lang w:val="en-IE"/>
        </w:rPr>
        <w:t xml:space="preserve">of the </w:t>
      </w:r>
      <w:r w:rsidR="00BF6D4E">
        <w:rPr>
          <w:rFonts w:ascii="Times New Roman" w:hAnsi="Times New Roman" w:cs="Times New Roman"/>
          <w:noProof/>
          <w:sz w:val="24"/>
          <w:szCs w:val="24"/>
          <w:lang w:val="en-IE"/>
        </w:rPr>
        <w:t>assessment</w:t>
      </w:r>
      <w:r w:rsidR="00BC4E62">
        <w:rPr>
          <w:rFonts w:ascii="Times New Roman" w:hAnsi="Times New Roman" w:cs="Times New Roman"/>
          <w:noProof/>
          <w:sz w:val="24"/>
          <w:szCs w:val="24"/>
          <w:lang w:val="en-IE"/>
        </w:rPr>
        <w:t xml:space="preserve"> work conducted since 2019</w:t>
      </w:r>
      <w:r w:rsidR="009569D6">
        <w:rPr>
          <w:rFonts w:ascii="Times New Roman" w:hAnsi="Times New Roman" w:cs="Times New Roman"/>
          <w:noProof/>
          <w:sz w:val="24"/>
          <w:szCs w:val="24"/>
          <w:lang w:val="en-IE"/>
        </w:rPr>
        <w:t>, it</w:t>
      </w:r>
      <w:r>
        <w:rPr>
          <w:rFonts w:ascii="Times New Roman" w:hAnsi="Times New Roman" w:cs="Times New Roman"/>
          <w:noProof/>
          <w:sz w:val="24"/>
          <w:szCs w:val="24"/>
          <w:lang w:val="en-IE"/>
        </w:rPr>
        <w:t xml:space="preserve"> must </w:t>
      </w:r>
      <w:r w:rsidR="00AC092A">
        <w:rPr>
          <w:rFonts w:ascii="Times New Roman" w:hAnsi="Times New Roman" w:cs="Times New Roman"/>
          <w:noProof/>
          <w:sz w:val="24"/>
          <w:szCs w:val="24"/>
          <w:lang w:val="en-IE"/>
        </w:rPr>
        <w:t>b</w:t>
      </w:r>
      <w:r>
        <w:rPr>
          <w:rFonts w:ascii="Times New Roman" w:hAnsi="Times New Roman" w:cs="Times New Roman"/>
          <w:noProof/>
          <w:sz w:val="24"/>
          <w:szCs w:val="24"/>
          <w:lang w:val="en-IE"/>
        </w:rPr>
        <w:t xml:space="preserve">e read in conjunction with the extensive </w:t>
      </w:r>
      <w:r w:rsidR="00BF6D4E">
        <w:rPr>
          <w:rFonts w:ascii="Times New Roman" w:hAnsi="Times New Roman" w:cs="Times New Roman"/>
          <w:noProof/>
          <w:sz w:val="24"/>
          <w:szCs w:val="24"/>
          <w:lang w:val="en-IE"/>
        </w:rPr>
        <w:t xml:space="preserve">impact assessment carried out for the review of the ADR </w:t>
      </w:r>
      <w:r w:rsidR="000F7092">
        <w:rPr>
          <w:rFonts w:ascii="Times New Roman" w:hAnsi="Times New Roman" w:cs="Times New Roman"/>
          <w:noProof/>
          <w:sz w:val="24"/>
          <w:szCs w:val="24"/>
          <w:lang w:val="en-IE"/>
        </w:rPr>
        <w:t>D</w:t>
      </w:r>
      <w:r w:rsidR="00BF6D4E">
        <w:rPr>
          <w:rFonts w:ascii="Times New Roman" w:hAnsi="Times New Roman" w:cs="Times New Roman"/>
          <w:noProof/>
          <w:sz w:val="24"/>
          <w:szCs w:val="24"/>
          <w:lang w:val="en-IE"/>
        </w:rPr>
        <w:t xml:space="preserve">irective which contains a comprehensive </w:t>
      </w:r>
      <w:r>
        <w:rPr>
          <w:rFonts w:ascii="Times New Roman" w:hAnsi="Times New Roman" w:cs="Times New Roman"/>
          <w:noProof/>
          <w:sz w:val="24"/>
          <w:szCs w:val="24"/>
          <w:lang w:val="en-IE"/>
        </w:rPr>
        <w:t xml:space="preserve">evaluation of the ADR Directive and </w:t>
      </w:r>
      <w:r w:rsidR="00BF6D4E">
        <w:rPr>
          <w:rFonts w:ascii="Times New Roman" w:hAnsi="Times New Roman" w:cs="Times New Roman"/>
          <w:noProof/>
          <w:sz w:val="24"/>
          <w:szCs w:val="24"/>
          <w:lang w:val="en-IE"/>
        </w:rPr>
        <w:t xml:space="preserve">in </w:t>
      </w:r>
      <w:r>
        <w:rPr>
          <w:rFonts w:ascii="Times New Roman" w:hAnsi="Times New Roman" w:cs="Times New Roman"/>
          <w:noProof/>
          <w:sz w:val="24"/>
          <w:szCs w:val="24"/>
          <w:lang w:val="en-IE"/>
        </w:rPr>
        <w:t xml:space="preserve">Annex </w:t>
      </w:r>
      <w:r w:rsidR="00B25AC3">
        <w:rPr>
          <w:rFonts w:ascii="Times New Roman" w:hAnsi="Times New Roman" w:cs="Times New Roman"/>
          <w:noProof/>
          <w:sz w:val="24"/>
          <w:szCs w:val="24"/>
          <w:lang w:val="en-IE"/>
        </w:rPr>
        <w:t>6</w:t>
      </w:r>
      <w:r w:rsidR="000F7092">
        <w:rPr>
          <w:rFonts w:ascii="Times New Roman" w:hAnsi="Times New Roman" w:cs="Times New Roman"/>
          <w:noProof/>
          <w:sz w:val="24"/>
          <w:szCs w:val="24"/>
          <w:lang w:val="en-IE"/>
        </w:rPr>
        <w:t xml:space="preserve"> of the Impact Assessment</w:t>
      </w:r>
      <w:r>
        <w:rPr>
          <w:rFonts w:ascii="Times New Roman" w:hAnsi="Times New Roman" w:cs="Times New Roman"/>
          <w:noProof/>
          <w:sz w:val="24"/>
          <w:szCs w:val="24"/>
          <w:lang w:val="en-IE"/>
        </w:rPr>
        <w:t xml:space="preserve"> </w:t>
      </w:r>
      <w:r w:rsidR="00BF6D4E">
        <w:rPr>
          <w:rFonts w:ascii="Times New Roman" w:hAnsi="Times New Roman" w:cs="Times New Roman"/>
          <w:noProof/>
          <w:sz w:val="24"/>
          <w:szCs w:val="24"/>
          <w:lang w:val="en-IE"/>
        </w:rPr>
        <w:t>a detailed assessment of</w:t>
      </w:r>
      <w:r>
        <w:rPr>
          <w:rFonts w:ascii="Times New Roman" w:hAnsi="Times New Roman" w:cs="Times New Roman"/>
          <w:noProof/>
          <w:sz w:val="24"/>
          <w:szCs w:val="24"/>
          <w:lang w:val="en-IE"/>
        </w:rPr>
        <w:t xml:space="preserve"> the functioning of the ODR Regulation. </w:t>
      </w:r>
    </w:p>
    <w:p w14:paraId="5C13C5E4" w14:textId="286C5B68" w:rsidR="000E339F" w:rsidRDefault="0346420E" w:rsidP="00BD74C7">
      <w:pPr>
        <w:spacing w:after="120"/>
        <w:jc w:val="both"/>
        <w:rPr>
          <w:rFonts w:ascii="Times New Roman" w:hAnsi="Times New Roman" w:cs="Times New Roman"/>
          <w:noProof/>
          <w:sz w:val="24"/>
          <w:szCs w:val="24"/>
          <w:lang w:val="en-IE"/>
        </w:rPr>
      </w:pPr>
      <w:r w:rsidRPr="5507AD98">
        <w:rPr>
          <w:rFonts w:ascii="Times New Roman" w:hAnsi="Times New Roman" w:cs="Times New Roman"/>
          <w:noProof/>
          <w:sz w:val="24"/>
          <w:szCs w:val="24"/>
          <w:lang w:val="en-IE"/>
        </w:rPr>
        <w:t xml:space="preserve">The </w:t>
      </w:r>
      <w:r w:rsidR="3F89309B" w:rsidRPr="5507AD98">
        <w:rPr>
          <w:rFonts w:ascii="Times New Roman" w:hAnsi="Times New Roman" w:cs="Times New Roman"/>
          <w:noProof/>
          <w:sz w:val="24"/>
          <w:szCs w:val="24"/>
          <w:lang w:val="en-IE"/>
        </w:rPr>
        <w:t xml:space="preserve">sources of information that form the basis for the </w:t>
      </w:r>
      <w:r w:rsidRPr="5507AD98">
        <w:rPr>
          <w:rFonts w:ascii="Times New Roman" w:hAnsi="Times New Roman" w:cs="Times New Roman"/>
          <w:noProof/>
          <w:sz w:val="24"/>
          <w:szCs w:val="24"/>
          <w:lang w:val="en-IE"/>
        </w:rPr>
        <w:t xml:space="preserve">current report </w:t>
      </w:r>
      <w:r w:rsidR="3F89309B" w:rsidRPr="5507AD98">
        <w:rPr>
          <w:rFonts w:ascii="Times New Roman" w:hAnsi="Times New Roman" w:cs="Times New Roman"/>
          <w:noProof/>
          <w:sz w:val="24"/>
          <w:szCs w:val="24"/>
          <w:lang w:val="en-IE"/>
        </w:rPr>
        <w:t xml:space="preserve">are </w:t>
      </w:r>
      <w:r w:rsidR="56BB620E" w:rsidRPr="5507AD98">
        <w:rPr>
          <w:rFonts w:ascii="Times New Roman" w:hAnsi="Times New Roman" w:cs="Times New Roman"/>
          <w:noProof/>
          <w:sz w:val="24"/>
          <w:szCs w:val="24"/>
          <w:lang w:val="en-IE"/>
        </w:rPr>
        <w:t xml:space="preserve">listed in </w:t>
      </w:r>
      <w:r w:rsidR="00B25AC3">
        <w:rPr>
          <w:rFonts w:ascii="Times New Roman" w:hAnsi="Times New Roman" w:cs="Times New Roman"/>
          <w:noProof/>
          <w:sz w:val="24"/>
          <w:szCs w:val="24"/>
          <w:lang w:val="en-IE"/>
        </w:rPr>
        <w:t>the</w:t>
      </w:r>
      <w:r w:rsidR="0009144B">
        <w:rPr>
          <w:rFonts w:ascii="Times New Roman" w:hAnsi="Times New Roman" w:cs="Times New Roman"/>
          <w:noProof/>
          <w:sz w:val="24"/>
          <w:szCs w:val="24"/>
          <w:lang w:val="en-IE"/>
        </w:rPr>
        <w:t xml:space="preserve"> </w:t>
      </w:r>
      <w:r w:rsidR="56BB620E" w:rsidRPr="5507AD98">
        <w:rPr>
          <w:rFonts w:ascii="Times New Roman" w:hAnsi="Times New Roman" w:cs="Times New Roman"/>
          <w:noProof/>
          <w:sz w:val="24"/>
          <w:szCs w:val="24"/>
          <w:lang w:val="en-IE"/>
        </w:rPr>
        <w:t>Annex</w:t>
      </w:r>
      <w:r w:rsidR="6F421905" w:rsidRPr="5507AD98">
        <w:rPr>
          <w:rFonts w:ascii="Times New Roman" w:hAnsi="Times New Roman" w:cs="Times New Roman"/>
          <w:noProof/>
          <w:sz w:val="24"/>
          <w:szCs w:val="24"/>
          <w:lang w:val="en-IE"/>
        </w:rPr>
        <w:t>.</w:t>
      </w:r>
    </w:p>
    <w:p w14:paraId="29880B62" w14:textId="3943D4E2" w:rsidR="00FF38B5" w:rsidRPr="00FF38B5" w:rsidRDefault="002274CC" w:rsidP="005F0187">
      <w:pPr>
        <w:pStyle w:val="Heading1"/>
        <w:numPr>
          <w:ilvl w:val="0"/>
          <w:numId w:val="27"/>
        </w:numPr>
        <w:spacing w:after="120"/>
        <w:rPr>
          <w:noProof/>
          <w:lang w:val="en-GB"/>
        </w:rPr>
      </w:pPr>
      <w:r>
        <w:rPr>
          <w:noProof/>
          <w:lang w:val="en-IE"/>
        </w:rPr>
        <w:t>Directive 2013/11/EU</w:t>
      </w:r>
      <w:r w:rsidR="00F651CE" w:rsidRPr="00D32528">
        <w:rPr>
          <w:noProof/>
          <w:lang w:val="en-IE"/>
        </w:rPr>
        <w:t xml:space="preserve"> </w:t>
      </w:r>
    </w:p>
    <w:p w14:paraId="52FCE0A4" w14:textId="27E329FB" w:rsidR="00FF38B5" w:rsidRPr="00FF38B5" w:rsidRDefault="00FF38B5" w:rsidP="00FF38B5">
      <w:pPr>
        <w:pStyle w:val="Heading2"/>
        <w:spacing w:after="120"/>
        <w:rPr>
          <w:noProof/>
          <w:lang w:val="en-IE"/>
        </w:rPr>
      </w:pPr>
      <w:r w:rsidRPr="00FF38B5">
        <w:rPr>
          <w:noProof/>
          <w:lang w:val="en-IE"/>
        </w:rPr>
        <w:t>2.</w:t>
      </w:r>
      <w:r>
        <w:rPr>
          <w:noProof/>
          <w:lang w:val="en-IE"/>
        </w:rPr>
        <w:t>1</w:t>
      </w:r>
      <w:r w:rsidRPr="00FF38B5">
        <w:rPr>
          <w:noProof/>
          <w:lang w:val="en-IE"/>
        </w:rPr>
        <w:t>.</w:t>
      </w:r>
      <w:r>
        <w:rPr>
          <w:noProof/>
          <w:lang w:val="en-IE"/>
        </w:rPr>
        <w:t xml:space="preserve"> </w:t>
      </w:r>
      <w:r w:rsidR="009E381A">
        <w:rPr>
          <w:noProof/>
          <w:lang w:val="en-IE"/>
        </w:rPr>
        <w:t>S</w:t>
      </w:r>
      <w:r w:rsidR="00FD0795" w:rsidRPr="00FF38B5">
        <w:rPr>
          <w:noProof/>
          <w:lang w:val="en-IE"/>
        </w:rPr>
        <w:t xml:space="preserve">cope and </w:t>
      </w:r>
      <w:r w:rsidR="008A6287" w:rsidRPr="00FF38B5">
        <w:rPr>
          <w:noProof/>
          <w:lang w:val="en-IE"/>
        </w:rPr>
        <w:t>objectives</w:t>
      </w:r>
      <w:r w:rsidR="00FD0795" w:rsidRPr="00FF38B5">
        <w:rPr>
          <w:noProof/>
          <w:lang w:val="en-IE"/>
        </w:rPr>
        <w:t xml:space="preserve"> </w:t>
      </w:r>
    </w:p>
    <w:p w14:paraId="3FD7D29B" w14:textId="302D0AAC" w:rsidR="002274CC" w:rsidRDefault="002274CC" w:rsidP="002274CC">
      <w:pPr>
        <w:jc w:val="both"/>
        <w:rPr>
          <w:rFonts w:ascii="Times New Roman" w:hAnsi="Times New Roman" w:cs="Times New Roman"/>
          <w:noProof/>
          <w:sz w:val="24"/>
          <w:szCs w:val="24"/>
          <w:lang w:val="en-IE"/>
        </w:rPr>
      </w:pPr>
      <w:r w:rsidRPr="002274CC">
        <w:rPr>
          <w:rFonts w:ascii="Times New Roman" w:hAnsi="Times New Roman" w:cs="Times New Roman"/>
          <w:noProof/>
          <w:sz w:val="24"/>
          <w:szCs w:val="24"/>
          <w:lang w:val="en-IE"/>
        </w:rPr>
        <w:t xml:space="preserve">Under the Directive, Member States facilitate EU consumer access to ADR and ensure that </w:t>
      </w:r>
      <w:r w:rsidR="000F7092">
        <w:rPr>
          <w:rFonts w:ascii="Times New Roman" w:hAnsi="Times New Roman" w:cs="Times New Roman"/>
          <w:noProof/>
          <w:sz w:val="24"/>
          <w:szCs w:val="24"/>
          <w:lang w:val="en-IE"/>
        </w:rPr>
        <w:t>consumers</w:t>
      </w:r>
      <w:r w:rsidRPr="002274CC">
        <w:rPr>
          <w:rFonts w:ascii="Times New Roman" w:hAnsi="Times New Roman" w:cs="Times New Roman"/>
          <w:noProof/>
          <w:sz w:val="24"/>
          <w:szCs w:val="24"/>
          <w:lang w:val="en-IE"/>
        </w:rPr>
        <w:t xml:space="preserve"> can turn to quality-certified ADR entities to resolve their disputes with an EU trader over the purchase of a product or a service. </w:t>
      </w:r>
      <w:r>
        <w:rPr>
          <w:rFonts w:ascii="Times New Roman" w:hAnsi="Times New Roman" w:cs="Times New Roman"/>
          <w:noProof/>
          <w:sz w:val="24"/>
          <w:szCs w:val="24"/>
          <w:lang w:val="en-IE"/>
        </w:rPr>
        <w:t>Consumers should have access to ADR in all economic sectors</w:t>
      </w:r>
      <w:r>
        <w:rPr>
          <w:rStyle w:val="FootnoteReference"/>
          <w:rFonts w:ascii="Times New Roman" w:hAnsi="Times New Roman" w:cs="Times New Roman"/>
          <w:noProof/>
          <w:sz w:val="24"/>
          <w:szCs w:val="24"/>
          <w:lang w:val="en-IE"/>
        </w:rPr>
        <w:footnoteReference w:id="6"/>
      </w:r>
      <w:r>
        <w:rPr>
          <w:rFonts w:ascii="Times New Roman" w:hAnsi="Times New Roman" w:cs="Times New Roman"/>
          <w:noProof/>
          <w:sz w:val="24"/>
          <w:szCs w:val="24"/>
          <w:lang w:val="en-IE"/>
        </w:rPr>
        <w:t>, both for online and offline purchases, and for domestic and cross-border disputes alike.</w:t>
      </w:r>
    </w:p>
    <w:p w14:paraId="36795C44" w14:textId="68CAC994" w:rsidR="00C63FE8" w:rsidRDefault="15F5D318" w:rsidP="002274CC">
      <w:pPr>
        <w:jc w:val="both"/>
        <w:rPr>
          <w:rFonts w:ascii="Times New Roman" w:hAnsi="Times New Roman" w:cs="Times New Roman"/>
          <w:noProof/>
          <w:sz w:val="24"/>
          <w:szCs w:val="24"/>
          <w:lang w:val="en-IE"/>
        </w:rPr>
      </w:pPr>
      <w:r w:rsidRPr="002274CC">
        <w:rPr>
          <w:rFonts w:ascii="Times New Roman" w:hAnsi="Times New Roman" w:cs="Times New Roman"/>
          <w:noProof/>
          <w:sz w:val="24"/>
          <w:szCs w:val="24"/>
          <w:lang w:val="en-IE"/>
        </w:rPr>
        <w:t xml:space="preserve">The Directive </w:t>
      </w:r>
      <w:r w:rsidR="00B25AC3">
        <w:rPr>
          <w:rFonts w:ascii="Times New Roman" w:hAnsi="Times New Roman" w:cs="Times New Roman"/>
          <w:noProof/>
          <w:sz w:val="24"/>
          <w:szCs w:val="24"/>
          <w:lang w:val="en-IE"/>
        </w:rPr>
        <w:t>has</w:t>
      </w:r>
      <w:r>
        <w:rPr>
          <w:rFonts w:ascii="Times New Roman" w:hAnsi="Times New Roman" w:cs="Times New Roman"/>
          <w:noProof/>
          <w:sz w:val="24"/>
          <w:szCs w:val="24"/>
          <w:lang w:val="en-IE"/>
        </w:rPr>
        <w:t xml:space="preserve"> a minimum harmonisation </w:t>
      </w:r>
      <w:r w:rsidR="00B25AC3">
        <w:rPr>
          <w:rFonts w:ascii="Times New Roman" w:hAnsi="Times New Roman" w:cs="Times New Roman"/>
          <w:noProof/>
          <w:sz w:val="24"/>
          <w:szCs w:val="24"/>
          <w:lang w:val="en-IE"/>
        </w:rPr>
        <w:t>approach</w:t>
      </w:r>
      <w:r>
        <w:rPr>
          <w:rFonts w:ascii="Times New Roman" w:hAnsi="Times New Roman" w:cs="Times New Roman"/>
          <w:noProof/>
          <w:sz w:val="24"/>
          <w:szCs w:val="24"/>
          <w:lang w:val="en-IE"/>
        </w:rPr>
        <w:t>:</w:t>
      </w:r>
      <w:r w:rsidR="401AA54E">
        <w:rPr>
          <w:rFonts w:ascii="Times New Roman" w:hAnsi="Times New Roman" w:cs="Times New Roman"/>
          <w:noProof/>
          <w:sz w:val="24"/>
          <w:szCs w:val="24"/>
          <w:lang w:val="en-IE"/>
        </w:rPr>
        <w:t xml:space="preserve"> while its purpose</w:t>
      </w:r>
      <w:r w:rsidR="00C63FE8">
        <w:rPr>
          <w:rStyle w:val="FootnoteReference"/>
          <w:rFonts w:ascii="Times New Roman" w:hAnsi="Times New Roman" w:cs="Times New Roman"/>
          <w:noProof/>
          <w:sz w:val="24"/>
          <w:szCs w:val="24"/>
          <w:lang w:val="en-IE"/>
        </w:rPr>
        <w:footnoteReference w:id="7"/>
      </w:r>
      <w:r>
        <w:rPr>
          <w:rFonts w:ascii="Times New Roman" w:hAnsi="Times New Roman" w:cs="Times New Roman"/>
          <w:noProof/>
          <w:sz w:val="24"/>
          <w:szCs w:val="24"/>
          <w:lang w:val="en-IE"/>
        </w:rPr>
        <w:t xml:space="preserve"> </w:t>
      </w:r>
      <w:r w:rsidR="401AA54E">
        <w:rPr>
          <w:rFonts w:ascii="Times New Roman" w:hAnsi="Times New Roman" w:cs="Times New Roman"/>
          <w:noProof/>
          <w:sz w:val="24"/>
          <w:szCs w:val="24"/>
          <w:lang w:val="en-IE"/>
        </w:rPr>
        <w:t>is to ensure that consumers can submit</w:t>
      </w:r>
      <w:r w:rsidR="401AA54E" w:rsidRPr="00C63FE8">
        <w:rPr>
          <w:rFonts w:ascii="Times New Roman" w:hAnsi="Times New Roman" w:cs="Times New Roman"/>
          <w:noProof/>
          <w:sz w:val="24"/>
          <w:szCs w:val="24"/>
          <w:lang w:val="en-IE"/>
        </w:rPr>
        <w:t xml:space="preserve"> complaints against traders to entities offering independent, impartial, transparent, effective, fast and fair alternative dispute resolution procedures</w:t>
      </w:r>
      <w:r w:rsidR="401AA54E">
        <w:rPr>
          <w:rFonts w:ascii="Times New Roman" w:hAnsi="Times New Roman" w:cs="Times New Roman"/>
          <w:noProof/>
          <w:sz w:val="24"/>
          <w:szCs w:val="24"/>
          <w:lang w:val="en-IE"/>
        </w:rPr>
        <w:t xml:space="preserve">, it leaves Member States a wide margin </w:t>
      </w:r>
      <w:r w:rsidR="4C58D448">
        <w:rPr>
          <w:rFonts w:ascii="Times New Roman" w:hAnsi="Times New Roman" w:cs="Times New Roman"/>
          <w:noProof/>
          <w:sz w:val="24"/>
          <w:szCs w:val="24"/>
          <w:lang w:val="en-IE"/>
        </w:rPr>
        <w:t>of discretion for</w:t>
      </w:r>
      <w:r w:rsidR="401AA54E">
        <w:rPr>
          <w:rFonts w:ascii="Times New Roman" w:hAnsi="Times New Roman" w:cs="Times New Roman"/>
          <w:noProof/>
          <w:sz w:val="24"/>
          <w:szCs w:val="24"/>
          <w:lang w:val="en-IE"/>
        </w:rPr>
        <w:t xml:space="preserve"> designing these systems:</w:t>
      </w:r>
    </w:p>
    <w:p w14:paraId="10314130" w14:textId="5719BCCB" w:rsidR="00C63FE8" w:rsidRDefault="00AC5633" w:rsidP="008C4716">
      <w:pPr>
        <w:pStyle w:val="ListParagraph"/>
        <w:numPr>
          <w:ilvl w:val="0"/>
          <w:numId w:val="17"/>
        </w:numPr>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Member States must ensure full ADR coverage by entities </w:t>
      </w:r>
      <w:r w:rsidR="000F7092">
        <w:rPr>
          <w:rFonts w:ascii="Times New Roman" w:hAnsi="Times New Roman" w:cs="Times New Roman"/>
          <w:noProof/>
          <w:sz w:val="24"/>
          <w:szCs w:val="24"/>
          <w:lang w:val="en-IE"/>
        </w:rPr>
        <w:t>that</w:t>
      </w:r>
      <w:r>
        <w:rPr>
          <w:rFonts w:ascii="Times New Roman" w:hAnsi="Times New Roman" w:cs="Times New Roman"/>
          <w:noProof/>
          <w:sz w:val="24"/>
          <w:szCs w:val="24"/>
          <w:lang w:val="en-IE"/>
        </w:rPr>
        <w:t xml:space="preserve"> </w:t>
      </w:r>
      <w:r>
        <w:rPr>
          <w:rFonts w:ascii="Times New Roman" w:hAnsi="Times New Roman" w:cs="Times New Roman"/>
          <w:b/>
          <w:bCs/>
          <w:noProof/>
          <w:sz w:val="24"/>
          <w:szCs w:val="24"/>
          <w:lang w:val="en-IE"/>
        </w:rPr>
        <w:t>comply with the requirements</w:t>
      </w:r>
      <w:r w:rsidR="00C63FE8" w:rsidRPr="00AC5633">
        <w:rPr>
          <w:rFonts w:ascii="Times New Roman" w:hAnsi="Times New Roman" w:cs="Times New Roman"/>
          <w:b/>
          <w:bCs/>
          <w:noProof/>
          <w:sz w:val="24"/>
          <w:szCs w:val="24"/>
          <w:lang w:val="en-IE"/>
        </w:rPr>
        <w:t xml:space="preserve"> of accessibility, expertise, independence, impartiality, transparency, effectiveness, fairness, liberty and legality</w:t>
      </w:r>
      <w:r w:rsidR="00C63FE8" w:rsidRPr="002274CC">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 xml:space="preserve">pertaining to the composition, operations and outcomes </w:t>
      </w:r>
      <w:r w:rsidR="00C63FE8" w:rsidRPr="002274CC">
        <w:rPr>
          <w:rFonts w:ascii="Times New Roman" w:hAnsi="Times New Roman" w:cs="Times New Roman"/>
          <w:noProof/>
          <w:sz w:val="24"/>
          <w:szCs w:val="24"/>
          <w:lang w:val="en-IE"/>
        </w:rPr>
        <w:t>as binding quality</w:t>
      </w:r>
      <w:r w:rsidR="00C63FE8">
        <w:rPr>
          <w:rFonts w:ascii="Times New Roman" w:hAnsi="Times New Roman" w:cs="Times New Roman"/>
          <w:noProof/>
          <w:sz w:val="24"/>
          <w:szCs w:val="24"/>
          <w:lang w:val="en-IE"/>
        </w:rPr>
        <w:t>;</w:t>
      </w:r>
    </w:p>
    <w:p w14:paraId="2C91B22C" w14:textId="20FC180B" w:rsidR="00C63FE8" w:rsidRDefault="00C63FE8" w:rsidP="008C4716">
      <w:pPr>
        <w:pStyle w:val="ListParagraph"/>
        <w:numPr>
          <w:ilvl w:val="0"/>
          <w:numId w:val="17"/>
        </w:numPr>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The </w:t>
      </w:r>
      <w:r w:rsidR="00B25AC3">
        <w:rPr>
          <w:rFonts w:ascii="Times New Roman" w:hAnsi="Times New Roman" w:cs="Times New Roman"/>
          <w:noProof/>
          <w:sz w:val="24"/>
          <w:szCs w:val="24"/>
          <w:lang w:val="en-IE"/>
        </w:rPr>
        <w:t>D</w:t>
      </w:r>
      <w:r>
        <w:rPr>
          <w:rFonts w:ascii="Times New Roman" w:hAnsi="Times New Roman" w:cs="Times New Roman"/>
          <w:noProof/>
          <w:sz w:val="24"/>
          <w:szCs w:val="24"/>
          <w:lang w:val="en-IE"/>
        </w:rPr>
        <w:t xml:space="preserve">irective establishes a </w:t>
      </w:r>
      <w:r w:rsidRPr="00AC5633">
        <w:rPr>
          <w:rFonts w:ascii="Times New Roman" w:hAnsi="Times New Roman" w:cs="Times New Roman"/>
          <w:b/>
          <w:bCs/>
          <w:noProof/>
          <w:sz w:val="24"/>
          <w:szCs w:val="24"/>
          <w:lang w:val="en-IE"/>
        </w:rPr>
        <w:t>specific mechanism</w:t>
      </w:r>
      <w:r w:rsidR="462E91CA" w:rsidRPr="4CD71B7D">
        <w:rPr>
          <w:rFonts w:ascii="Times New Roman" w:hAnsi="Times New Roman" w:cs="Times New Roman"/>
          <w:b/>
          <w:bCs/>
          <w:noProof/>
          <w:sz w:val="24"/>
          <w:szCs w:val="24"/>
          <w:lang w:val="en-IE"/>
        </w:rPr>
        <w:t xml:space="preserve"> </w:t>
      </w:r>
      <w:r w:rsidR="462E91CA" w:rsidRPr="1090259D">
        <w:rPr>
          <w:rFonts w:ascii="Times New Roman" w:hAnsi="Times New Roman" w:cs="Times New Roman"/>
          <w:b/>
          <w:bCs/>
          <w:noProof/>
          <w:sz w:val="24"/>
          <w:szCs w:val="24"/>
          <w:lang w:val="en-IE"/>
        </w:rPr>
        <w:t>to ensure the quality of ADR process</w:t>
      </w:r>
      <w:r w:rsidRPr="002274CC">
        <w:rPr>
          <w:rFonts w:ascii="Times New Roman" w:hAnsi="Times New Roman" w:cs="Times New Roman"/>
          <w:noProof/>
          <w:sz w:val="24"/>
          <w:szCs w:val="24"/>
          <w:lang w:val="en-IE"/>
        </w:rPr>
        <w:t>: Member States designate national competent authorities that establish and maintain national lists of ADR entities whose compliance with the Directive’s quality requirements</w:t>
      </w:r>
      <w:r w:rsidR="00291DEA">
        <w:rPr>
          <w:rStyle w:val="FootnoteReference"/>
          <w:rFonts w:ascii="Times New Roman" w:hAnsi="Times New Roman" w:cs="Times New Roman"/>
          <w:noProof/>
          <w:sz w:val="24"/>
          <w:szCs w:val="24"/>
          <w:lang w:val="en-IE"/>
        </w:rPr>
        <w:footnoteReference w:id="8"/>
      </w:r>
      <w:r w:rsidRPr="002274CC">
        <w:rPr>
          <w:rFonts w:ascii="Times New Roman" w:hAnsi="Times New Roman" w:cs="Times New Roman"/>
          <w:noProof/>
          <w:sz w:val="24"/>
          <w:szCs w:val="24"/>
          <w:lang w:val="en-IE"/>
        </w:rPr>
        <w:t xml:space="preserve"> </w:t>
      </w:r>
      <w:r w:rsidRPr="7DAA2056">
        <w:rPr>
          <w:rFonts w:ascii="Times New Roman" w:hAnsi="Times New Roman" w:cs="Times New Roman"/>
          <w:noProof/>
          <w:sz w:val="24"/>
          <w:szCs w:val="24"/>
          <w:lang w:val="en-IE"/>
        </w:rPr>
        <w:t>the</w:t>
      </w:r>
      <w:r w:rsidR="296E3AF9" w:rsidRPr="7DAA2056">
        <w:rPr>
          <w:rFonts w:ascii="Times New Roman" w:hAnsi="Times New Roman" w:cs="Times New Roman"/>
          <w:noProof/>
          <w:sz w:val="24"/>
          <w:szCs w:val="24"/>
          <w:lang w:val="en-IE"/>
        </w:rPr>
        <w:t xml:space="preserve">se </w:t>
      </w:r>
      <w:r w:rsidR="296E3AF9" w:rsidRPr="4952319F">
        <w:rPr>
          <w:rFonts w:ascii="Times New Roman" w:hAnsi="Times New Roman" w:cs="Times New Roman"/>
          <w:noProof/>
          <w:sz w:val="24"/>
          <w:szCs w:val="24"/>
          <w:lang w:val="en-IE"/>
        </w:rPr>
        <w:t>authorities</w:t>
      </w:r>
      <w:r w:rsidR="422C04BB" w:rsidRPr="4952319F">
        <w:rPr>
          <w:rFonts w:ascii="Times New Roman" w:hAnsi="Times New Roman" w:cs="Times New Roman"/>
          <w:noProof/>
          <w:sz w:val="24"/>
          <w:szCs w:val="24"/>
          <w:lang w:val="en-IE"/>
        </w:rPr>
        <w:t xml:space="preserve"> </w:t>
      </w:r>
      <w:r w:rsidRPr="002274CC">
        <w:rPr>
          <w:rFonts w:ascii="Times New Roman" w:hAnsi="Times New Roman" w:cs="Times New Roman"/>
          <w:noProof/>
          <w:sz w:val="24"/>
          <w:szCs w:val="24"/>
          <w:lang w:val="en-IE"/>
        </w:rPr>
        <w:t>have certified</w:t>
      </w:r>
      <w:r w:rsidR="00B25AC3">
        <w:rPr>
          <w:rFonts w:ascii="Times New Roman" w:hAnsi="Times New Roman" w:cs="Times New Roman"/>
          <w:noProof/>
          <w:sz w:val="24"/>
          <w:szCs w:val="24"/>
          <w:lang w:val="en-IE"/>
        </w:rPr>
        <w:t>.</w:t>
      </w:r>
      <w:r w:rsidR="00AC5633">
        <w:rPr>
          <w:rFonts w:ascii="Times New Roman" w:hAnsi="Times New Roman" w:cs="Times New Roman"/>
          <w:noProof/>
          <w:sz w:val="24"/>
          <w:szCs w:val="24"/>
          <w:lang w:val="en-IE"/>
        </w:rPr>
        <w:t xml:space="preserve"> Th</w:t>
      </w:r>
      <w:r w:rsidR="00B25AC3">
        <w:rPr>
          <w:rFonts w:ascii="Times New Roman" w:hAnsi="Times New Roman" w:cs="Times New Roman"/>
          <w:noProof/>
          <w:sz w:val="24"/>
          <w:szCs w:val="24"/>
          <w:lang w:val="en-IE"/>
        </w:rPr>
        <w:t>e</w:t>
      </w:r>
      <w:r w:rsidR="00AC5633">
        <w:rPr>
          <w:rFonts w:ascii="Times New Roman" w:hAnsi="Times New Roman" w:cs="Times New Roman"/>
          <w:noProof/>
          <w:sz w:val="24"/>
          <w:szCs w:val="24"/>
          <w:lang w:val="en-IE"/>
        </w:rPr>
        <w:t xml:space="preserve"> list</w:t>
      </w:r>
      <w:r w:rsidR="00B25AC3">
        <w:rPr>
          <w:rFonts w:ascii="Times New Roman" w:hAnsi="Times New Roman" w:cs="Times New Roman"/>
          <w:noProof/>
          <w:sz w:val="24"/>
          <w:szCs w:val="24"/>
          <w:lang w:val="en-IE"/>
        </w:rPr>
        <w:t xml:space="preserve"> of quality ADR entities</w:t>
      </w:r>
      <w:r w:rsidR="00AC5633">
        <w:rPr>
          <w:rFonts w:ascii="Times New Roman" w:hAnsi="Times New Roman" w:cs="Times New Roman"/>
          <w:noProof/>
          <w:sz w:val="24"/>
          <w:szCs w:val="24"/>
          <w:lang w:val="en-IE"/>
        </w:rPr>
        <w:t xml:space="preserve"> is communicated to the European Commission and is publicly available on the ODR platform</w:t>
      </w:r>
      <w:r w:rsidR="54571094" w:rsidRPr="4952319F">
        <w:rPr>
          <w:rFonts w:ascii="Times New Roman" w:hAnsi="Times New Roman" w:cs="Times New Roman"/>
          <w:noProof/>
          <w:sz w:val="24"/>
          <w:szCs w:val="24"/>
          <w:lang w:val="en-IE"/>
        </w:rPr>
        <w:t xml:space="preserve">. </w:t>
      </w:r>
      <w:r w:rsidR="54571094" w:rsidRPr="3C3805F4">
        <w:rPr>
          <w:rFonts w:ascii="Times New Roman" w:hAnsi="Times New Roman" w:cs="Times New Roman"/>
          <w:noProof/>
          <w:sz w:val="24"/>
          <w:szCs w:val="24"/>
          <w:lang w:val="en-IE"/>
        </w:rPr>
        <w:t>The competent authorities can also remove ADR</w:t>
      </w:r>
      <w:r w:rsidR="54571094" w:rsidRPr="113F5648">
        <w:rPr>
          <w:rFonts w:ascii="Times New Roman" w:hAnsi="Times New Roman" w:cs="Times New Roman"/>
          <w:noProof/>
          <w:sz w:val="24"/>
          <w:szCs w:val="24"/>
          <w:lang w:val="en-IE"/>
        </w:rPr>
        <w:t xml:space="preserve"> entities from the list, if these entities no longer comply with the </w:t>
      </w:r>
      <w:r w:rsidR="54571094" w:rsidRPr="0FFD4E1A">
        <w:rPr>
          <w:rFonts w:ascii="Times New Roman" w:hAnsi="Times New Roman" w:cs="Times New Roman"/>
          <w:noProof/>
          <w:sz w:val="24"/>
          <w:szCs w:val="24"/>
          <w:lang w:val="en-IE"/>
        </w:rPr>
        <w:t>quality requirements</w:t>
      </w:r>
      <w:r w:rsidR="00A733BA">
        <w:rPr>
          <w:rFonts w:ascii="Times New Roman" w:hAnsi="Times New Roman" w:cs="Times New Roman"/>
          <w:noProof/>
          <w:sz w:val="24"/>
          <w:szCs w:val="24"/>
          <w:lang w:val="en-IE"/>
        </w:rPr>
        <w:t>.</w:t>
      </w:r>
    </w:p>
    <w:p w14:paraId="176DB1A3" w14:textId="127B688B" w:rsidR="002274CC" w:rsidRPr="00775302" w:rsidRDefault="7659EC04" w:rsidP="008C4716">
      <w:pPr>
        <w:pStyle w:val="ListParagraph"/>
        <w:numPr>
          <w:ilvl w:val="0"/>
          <w:numId w:val="17"/>
        </w:numPr>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While the traders are subject to some information requirements on the use of ADR, </w:t>
      </w:r>
      <w:r>
        <w:rPr>
          <w:rFonts w:ascii="Times New Roman" w:hAnsi="Times New Roman" w:cs="Times New Roman"/>
          <w:b/>
          <w:bCs/>
          <w:noProof/>
          <w:sz w:val="24"/>
          <w:szCs w:val="24"/>
          <w:lang w:val="en-IE"/>
        </w:rPr>
        <w:t>Member States are free to decide whether traders’ participation is mandatory or voluntary,</w:t>
      </w:r>
      <w:r w:rsidR="32566EB0">
        <w:rPr>
          <w:rFonts w:ascii="Times New Roman" w:hAnsi="Times New Roman" w:cs="Times New Roman"/>
          <w:b/>
          <w:bCs/>
          <w:noProof/>
          <w:sz w:val="24"/>
          <w:szCs w:val="24"/>
          <w:lang w:val="en-IE"/>
        </w:rPr>
        <w:t xml:space="preserve"> or whether the outcome is binding</w:t>
      </w:r>
      <w:r w:rsidR="009703DF">
        <w:rPr>
          <w:rStyle w:val="FootnoteReference"/>
          <w:rFonts w:ascii="Times New Roman" w:hAnsi="Times New Roman" w:cs="Times New Roman"/>
          <w:b/>
          <w:bCs/>
          <w:noProof/>
          <w:sz w:val="24"/>
          <w:szCs w:val="24"/>
          <w:lang w:val="en-IE"/>
        </w:rPr>
        <w:footnoteReference w:id="9"/>
      </w:r>
      <w:r w:rsidR="39672134">
        <w:rPr>
          <w:rFonts w:ascii="Times New Roman" w:hAnsi="Times New Roman" w:cs="Times New Roman"/>
          <w:b/>
          <w:bCs/>
          <w:noProof/>
          <w:sz w:val="24"/>
          <w:szCs w:val="24"/>
          <w:lang w:val="en-IE"/>
        </w:rPr>
        <w:t>.</w:t>
      </w:r>
    </w:p>
    <w:p w14:paraId="136C92D6" w14:textId="3AB7B360" w:rsidR="00775302" w:rsidRDefault="00775302" w:rsidP="008C4716">
      <w:pPr>
        <w:pStyle w:val="ListParagraph"/>
        <w:numPr>
          <w:ilvl w:val="0"/>
          <w:numId w:val="17"/>
        </w:numPr>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Nevertheless, the directive establishes </w:t>
      </w:r>
      <w:r>
        <w:rPr>
          <w:rFonts w:ascii="Times New Roman" w:hAnsi="Times New Roman" w:cs="Times New Roman"/>
          <w:b/>
          <w:bCs/>
          <w:noProof/>
          <w:sz w:val="24"/>
          <w:szCs w:val="24"/>
          <w:lang w:val="en-IE"/>
        </w:rPr>
        <w:t>guarantees for consumers to ensure that ADR remains accessible,</w:t>
      </w:r>
      <w:r>
        <w:rPr>
          <w:rFonts w:ascii="Times New Roman" w:hAnsi="Times New Roman" w:cs="Times New Roman"/>
          <w:noProof/>
          <w:sz w:val="24"/>
          <w:szCs w:val="24"/>
          <w:lang w:val="en-IE"/>
        </w:rPr>
        <w:t xml:space="preserve"> such as restriction on fees (free of charge or nominal fee) or procedural deadlines (15 days to review the admissibility of the complaint, and 90 days to reach an outcome).</w:t>
      </w:r>
    </w:p>
    <w:p w14:paraId="61F34EC6" w14:textId="32F9C770" w:rsidR="002274CC" w:rsidRDefault="009E15E7" w:rsidP="009E15E7">
      <w:pPr>
        <w:pStyle w:val="Heading2"/>
        <w:rPr>
          <w:noProof/>
          <w:lang w:val="en-IE"/>
        </w:rPr>
      </w:pPr>
      <w:r>
        <w:rPr>
          <w:noProof/>
          <w:lang w:val="en-IE"/>
        </w:rPr>
        <w:t>2.</w:t>
      </w:r>
      <w:r w:rsidR="000547D1">
        <w:rPr>
          <w:noProof/>
          <w:lang w:val="en-IE"/>
        </w:rPr>
        <w:t>2</w:t>
      </w:r>
      <w:r>
        <w:rPr>
          <w:noProof/>
          <w:lang w:val="en-IE"/>
        </w:rPr>
        <w:t xml:space="preserve"> </w:t>
      </w:r>
      <w:r w:rsidR="00F63EF9">
        <w:rPr>
          <w:noProof/>
          <w:lang w:val="en-IE"/>
        </w:rPr>
        <w:t>Development of ADR entities</w:t>
      </w:r>
    </w:p>
    <w:p w14:paraId="0C1A8C1B" w14:textId="683C0B5E" w:rsidR="002274CC" w:rsidRDefault="009E15E7" w:rsidP="002274CC">
      <w:pPr>
        <w:jc w:val="both"/>
        <w:rPr>
          <w:rFonts w:ascii="Times New Roman" w:hAnsi="Times New Roman" w:cs="Times New Roman"/>
          <w:noProof/>
          <w:sz w:val="24"/>
          <w:szCs w:val="24"/>
          <w:lang w:val="en-IE"/>
        </w:rPr>
      </w:pPr>
      <w:r w:rsidRPr="009E15E7">
        <w:rPr>
          <w:rFonts w:ascii="Times New Roman" w:hAnsi="Times New Roman" w:cs="Times New Roman"/>
          <w:noProof/>
          <w:sz w:val="24"/>
          <w:szCs w:val="24"/>
          <w:lang w:val="en-IE"/>
        </w:rPr>
        <w:t>Article 25(1) of the ADR Directive required Member States to bring into force the laws, regulations and administrative provisions necessary to comply with the Directive by 9 July 2015.</w:t>
      </w:r>
      <w:r>
        <w:rPr>
          <w:rFonts w:ascii="Times New Roman" w:hAnsi="Times New Roman" w:cs="Times New Roman"/>
          <w:noProof/>
          <w:sz w:val="24"/>
          <w:szCs w:val="24"/>
          <w:lang w:val="en-IE"/>
        </w:rPr>
        <w:t xml:space="preserve"> </w:t>
      </w:r>
      <w:r w:rsidR="00AA2936">
        <w:rPr>
          <w:rFonts w:ascii="Times New Roman" w:hAnsi="Times New Roman" w:cs="Times New Roman"/>
          <w:noProof/>
          <w:sz w:val="24"/>
          <w:szCs w:val="24"/>
          <w:lang w:val="en-IE"/>
        </w:rPr>
        <w:t xml:space="preserve">Notwithstanding some delays, which had been duly solved, the 2019 report concluded that transposition was complete in the EU </w:t>
      </w:r>
      <w:r>
        <w:rPr>
          <w:rFonts w:ascii="Times New Roman" w:hAnsi="Times New Roman" w:cs="Times New Roman"/>
          <w:noProof/>
          <w:sz w:val="24"/>
          <w:szCs w:val="24"/>
          <w:lang w:val="en-IE"/>
        </w:rPr>
        <w:t>Member States</w:t>
      </w:r>
      <w:r w:rsidR="004C00FF">
        <w:rPr>
          <w:rFonts w:ascii="Times New Roman" w:hAnsi="Times New Roman" w:cs="Times New Roman"/>
          <w:noProof/>
          <w:sz w:val="24"/>
          <w:szCs w:val="24"/>
          <w:lang w:val="en-IE"/>
        </w:rPr>
        <w:t>, who regularly notify ADR entities</w:t>
      </w:r>
      <w:r w:rsidR="005D41FE">
        <w:rPr>
          <w:rFonts w:ascii="Times New Roman" w:hAnsi="Times New Roman" w:cs="Times New Roman"/>
          <w:noProof/>
          <w:sz w:val="24"/>
          <w:szCs w:val="24"/>
          <w:lang w:val="en-IE"/>
        </w:rPr>
        <w:t xml:space="preserve"> to the Commission, which subsequently publishes the list, along with the main data on ADR procedures,</w:t>
      </w:r>
      <w:r w:rsidR="004C00FF">
        <w:rPr>
          <w:rFonts w:ascii="Times New Roman" w:hAnsi="Times New Roman" w:cs="Times New Roman"/>
          <w:noProof/>
          <w:sz w:val="24"/>
          <w:szCs w:val="24"/>
          <w:lang w:val="en-IE"/>
        </w:rPr>
        <w:t xml:space="preserve"> on the ODR platform</w:t>
      </w:r>
      <w:r w:rsidR="004C00FF">
        <w:rPr>
          <w:rStyle w:val="FootnoteReference"/>
          <w:rFonts w:ascii="Times New Roman" w:hAnsi="Times New Roman" w:cs="Times New Roman"/>
          <w:noProof/>
          <w:sz w:val="24"/>
          <w:szCs w:val="24"/>
          <w:lang w:val="en-IE"/>
        </w:rPr>
        <w:footnoteReference w:id="10"/>
      </w:r>
      <w:r w:rsidR="004C00FF">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w:t>
      </w:r>
      <w:r w:rsidR="005D41FE" w:rsidRPr="005D41FE">
        <w:rPr>
          <w:rFonts w:ascii="Times New Roman" w:hAnsi="Times New Roman" w:cs="Times New Roman"/>
          <w:noProof/>
          <w:sz w:val="24"/>
          <w:szCs w:val="24"/>
          <w:lang w:val="en-IE"/>
        </w:rPr>
        <w:t>On 1 July 2017, the ADR Directive became applicable in the EEA countries Iceland</w:t>
      </w:r>
      <w:r w:rsidR="005D41FE">
        <w:rPr>
          <w:rStyle w:val="FootnoteReference"/>
          <w:rFonts w:ascii="Times New Roman" w:hAnsi="Times New Roman" w:cs="Times New Roman"/>
          <w:noProof/>
          <w:sz w:val="24"/>
          <w:szCs w:val="24"/>
          <w:lang w:val="en-IE"/>
        </w:rPr>
        <w:footnoteReference w:id="11"/>
      </w:r>
      <w:r w:rsidR="005D41FE" w:rsidRPr="005D41FE">
        <w:rPr>
          <w:rFonts w:ascii="Times New Roman" w:hAnsi="Times New Roman" w:cs="Times New Roman"/>
          <w:noProof/>
          <w:sz w:val="24"/>
          <w:szCs w:val="24"/>
          <w:lang w:val="en-IE"/>
        </w:rPr>
        <w:t xml:space="preserve">, Liechtenstein and Norway. </w:t>
      </w:r>
    </w:p>
    <w:p w14:paraId="76888230" w14:textId="28F0D39B" w:rsidR="00775302" w:rsidRDefault="00775302" w:rsidP="002274CC">
      <w:pPr>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Member States have taken full advantage of </w:t>
      </w:r>
      <w:r w:rsidR="009E381A">
        <w:rPr>
          <w:rFonts w:ascii="Times New Roman" w:hAnsi="Times New Roman" w:cs="Times New Roman"/>
          <w:noProof/>
          <w:sz w:val="24"/>
          <w:szCs w:val="24"/>
          <w:lang w:val="en-IE"/>
        </w:rPr>
        <w:t xml:space="preserve">the </w:t>
      </w:r>
      <w:r>
        <w:rPr>
          <w:rFonts w:ascii="Times New Roman" w:hAnsi="Times New Roman" w:cs="Times New Roman"/>
          <w:noProof/>
          <w:sz w:val="24"/>
          <w:szCs w:val="24"/>
          <w:lang w:val="en-IE"/>
        </w:rPr>
        <w:t>flexibility provided by the Regulation: while some countries prefer sector-specific ADR entities, others favour a generalist approach (mixed approach, with some sectoral entities and a “residual” entity covering other disputes).</w:t>
      </w:r>
      <w:r w:rsidR="001F3F31">
        <w:rPr>
          <w:rFonts w:ascii="Times New Roman" w:hAnsi="Times New Roman" w:cs="Times New Roman"/>
          <w:noProof/>
          <w:sz w:val="24"/>
          <w:szCs w:val="24"/>
          <w:lang w:val="en-IE"/>
        </w:rPr>
        <w:t xml:space="preserve"> Some countries have preserved historical ADR entities attached to a specific trader or traders’ organisations</w:t>
      </w:r>
      <w:r w:rsidR="001F3F31">
        <w:rPr>
          <w:rStyle w:val="FootnoteReference"/>
          <w:rFonts w:ascii="Times New Roman" w:hAnsi="Times New Roman" w:cs="Times New Roman"/>
          <w:noProof/>
          <w:sz w:val="24"/>
          <w:szCs w:val="24"/>
          <w:lang w:val="en-IE"/>
        </w:rPr>
        <w:footnoteReference w:id="12"/>
      </w:r>
      <w:r w:rsidR="001F3F31">
        <w:rPr>
          <w:rFonts w:ascii="Times New Roman" w:hAnsi="Times New Roman" w:cs="Times New Roman"/>
          <w:noProof/>
          <w:sz w:val="24"/>
          <w:szCs w:val="24"/>
          <w:lang w:val="en-IE"/>
        </w:rPr>
        <w:t>, and some countries maintain a decentralised system with separate ADR entities for different regions and provinces.</w:t>
      </w:r>
    </w:p>
    <w:tbl>
      <w:tblPr>
        <w:tblW w:w="8642" w:type="dxa"/>
        <w:tblInd w:w="1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972"/>
        <w:gridCol w:w="2835"/>
        <w:gridCol w:w="2835"/>
      </w:tblGrid>
      <w:tr w:rsidR="001F3F31" w:rsidRPr="00775302" w14:paraId="6E32C3CC" w14:textId="0BA82F46" w:rsidTr="001F3F31">
        <w:trPr>
          <w:trHeight w:val="264"/>
        </w:trPr>
        <w:tc>
          <w:tcPr>
            <w:tcW w:w="2972" w:type="dxa"/>
            <w:shd w:val="clear" w:color="auto" w:fill="auto"/>
            <w:noWrap/>
            <w:vAlign w:val="bottom"/>
          </w:tcPr>
          <w:p w14:paraId="5A1F8B25" w14:textId="16C2F96D" w:rsidR="001F3F31" w:rsidRPr="00775302" w:rsidRDefault="001F3F31" w:rsidP="00775302">
            <w:pPr>
              <w:spacing w:after="0" w:line="240" w:lineRule="auto"/>
              <w:rPr>
                <w:rFonts w:ascii="Arial" w:eastAsia="Times New Roman" w:hAnsi="Arial" w:cs="Arial"/>
                <w:b/>
                <w:bCs/>
                <w:noProof/>
                <w:sz w:val="20"/>
                <w:szCs w:val="20"/>
                <w:lang w:val="en-IE" w:eastAsia="en-IE"/>
              </w:rPr>
            </w:pPr>
            <w:r>
              <w:rPr>
                <w:rFonts w:ascii="Arial" w:eastAsia="Times New Roman" w:hAnsi="Arial" w:cs="Arial"/>
                <w:b/>
                <w:bCs/>
                <w:noProof/>
                <w:sz w:val="20"/>
                <w:szCs w:val="20"/>
                <w:lang w:val="en-IE" w:eastAsia="en-IE"/>
              </w:rPr>
              <w:t>Member State</w:t>
            </w:r>
          </w:p>
        </w:tc>
        <w:tc>
          <w:tcPr>
            <w:tcW w:w="2835" w:type="dxa"/>
            <w:shd w:val="clear" w:color="auto" w:fill="auto"/>
            <w:noWrap/>
            <w:vAlign w:val="bottom"/>
          </w:tcPr>
          <w:p w14:paraId="0729EB41" w14:textId="38AE773E" w:rsidR="001F3F31" w:rsidRPr="00775302" w:rsidRDefault="001F3F31" w:rsidP="00775302">
            <w:pPr>
              <w:spacing w:after="0" w:line="240" w:lineRule="auto"/>
              <w:jc w:val="center"/>
              <w:rPr>
                <w:rFonts w:ascii="Arial" w:eastAsia="Times New Roman" w:hAnsi="Arial" w:cs="Arial"/>
                <w:b/>
                <w:bCs/>
                <w:noProof/>
                <w:sz w:val="20"/>
                <w:szCs w:val="20"/>
                <w:lang w:val="en-IE" w:eastAsia="en-IE"/>
              </w:rPr>
            </w:pPr>
            <w:r>
              <w:rPr>
                <w:rFonts w:ascii="Arial" w:eastAsia="Times New Roman" w:hAnsi="Arial" w:cs="Arial"/>
                <w:b/>
                <w:bCs/>
                <w:noProof/>
                <w:sz w:val="20"/>
                <w:szCs w:val="20"/>
                <w:lang w:val="en-IE" w:eastAsia="en-IE"/>
              </w:rPr>
              <w:t>Number of ADR entities</w:t>
            </w:r>
          </w:p>
        </w:tc>
        <w:tc>
          <w:tcPr>
            <w:tcW w:w="2835" w:type="dxa"/>
          </w:tcPr>
          <w:p w14:paraId="4E2A35BE" w14:textId="30B6A6D2" w:rsidR="001F3F31" w:rsidRPr="001F3F31" w:rsidRDefault="009A5C9D" w:rsidP="00775302">
            <w:pPr>
              <w:spacing w:after="0" w:line="240" w:lineRule="auto"/>
              <w:jc w:val="center"/>
              <w:rPr>
                <w:rFonts w:ascii="Arial" w:eastAsia="Times New Roman" w:hAnsi="Arial" w:cs="Arial"/>
                <w:b/>
                <w:bCs/>
                <w:noProof/>
                <w:sz w:val="20"/>
                <w:szCs w:val="20"/>
                <w:lang w:val="en-IE" w:eastAsia="en-IE"/>
              </w:rPr>
            </w:pPr>
            <w:r>
              <w:rPr>
                <w:rFonts w:ascii="Arial" w:eastAsia="Times New Roman" w:hAnsi="Arial" w:cs="Arial"/>
                <w:b/>
                <w:bCs/>
                <w:noProof/>
                <w:sz w:val="20"/>
                <w:szCs w:val="20"/>
                <w:lang w:val="en-IE" w:eastAsia="en-IE"/>
              </w:rPr>
              <w:t>Traders’ participation required?</w:t>
            </w:r>
          </w:p>
        </w:tc>
      </w:tr>
      <w:tr w:rsidR="001F3F31" w:rsidRPr="00775302" w14:paraId="1D25011D" w14:textId="445CA565" w:rsidTr="001F3F31">
        <w:trPr>
          <w:trHeight w:val="264"/>
        </w:trPr>
        <w:tc>
          <w:tcPr>
            <w:tcW w:w="2972" w:type="dxa"/>
            <w:shd w:val="clear" w:color="auto" w:fill="auto"/>
            <w:noWrap/>
            <w:vAlign w:val="bottom"/>
            <w:hideMark/>
          </w:tcPr>
          <w:p w14:paraId="551A863E" w14:textId="77777777" w:rsidR="001F3F31" w:rsidRPr="00775302" w:rsidRDefault="001F3F31" w:rsidP="00775302">
            <w:pPr>
              <w:spacing w:after="0" w:line="240" w:lineRule="auto"/>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Austria</w:t>
            </w:r>
          </w:p>
        </w:tc>
        <w:tc>
          <w:tcPr>
            <w:tcW w:w="2835" w:type="dxa"/>
            <w:shd w:val="clear" w:color="auto" w:fill="auto"/>
            <w:noWrap/>
            <w:vAlign w:val="bottom"/>
            <w:hideMark/>
          </w:tcPr>
          <w:p w14:paraId="759CD85B" w14:textId="77777777" w:rsidR="001F3F31" w:rsidRPr="00775302" w:rsidRDefault="001F3F31" w:rsidP="00775302">
            <w:pPr>
              <w:spacing w:after="0" w:line="240" w:lineRule="auto"/>
              <w:jc w:val="right"/>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8</w:t>
            </w:r>
          </w:p>
        </w:tc>
        <w:tc>
          <w:tcPr>
            <w:tcW w:w="2835" w:type="dxa"/>
          </w:tcPr>
          <w:p w14:paraId="3141F8B2" w14:textId="4CE4C12E" w:rsidR="001F3F31" w:rsidRPr="00775302" w:rsidRDefault="001F3F31" w:rsidP="00775302">
            <w:pPr>
              <w:spacing w:after="0" w:line="240" w:lineRule="auto"/>
              <w:jc w:val="right"/>
              <w:rPr>
                <w:rFonts w:ascii="Arial" w:eastAsia="Times New Roman" w:hAnsi="Arial" w:cs="Arial"/>
                <w:noProof/>
                <w:sz w:val="20"/>
                <w:szCs w:val="20"/>
                <w:lang w:val="en-IE" w:eastAsia="en-IE"/>
              </w:rPr>
            </w:pPr>
            <w:r>
              <w:rPr>
                <w:rFonts w:ascii="Arial" w:eastAsia="Times New Roman" w:hAnsi="Arial" w:cs="Arial"/>
                <w:noProof/>
                <w:sz w:val="20"/>
                <w:szCs w:val="20"/>
                <w:lang w:val="en-IE" w:eastAsia="en-IE"/>
              </w:rPr>
              <w:t>Specific sectors</w:t>
            </w:r>
          </w:p>
        </w:tc>
      </w:tr>
      <w:tr w:rsidR="001F3F31" w:rsidRPr="00775302" w14:paraId="5EEF98EC" w14:textId="4AEE98CF" w:rsidTr="001F3F31">
        <w:trPr>
          <w:trHeight w:val="264"/>
        </w:trPr>
        <w:tc>
          <w:tcPr>
            <w:tcW w:w="2972" w:type="dxa"/>
            <w:shd w:val="clear" w:color="auto" w:fill="auto"/>
            <w:noWrap/>
            <w:vAlign w:val="bottom"/>
            <w:hideMark/>
          </w:tcPr>
          <w:p w14:paraId="2FA8784C" w14:textId="77777777" w:rsidR="001F3F31" w:rsidRPr="00775302" w:rsidRDefault="001F3F31" w:rsidP="00775302">
            <w:pPr>
              <w:spacing w:after="0" w:line="240" w:lineRule="auto"/>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Belgium</w:t>
            </w:r>
          </w:p>
        </w:tc>
        <w:tc>
          <w:tcPr>
            <w:tcW w:w="2835" w:type="dxa"/>
            <w:shd w:val="clear" w:color="auto" w:fill="auto"/>
            <w:noWrap/>
            <w:vAlign w:val="bottom"/>
            <w:hideMark/>
          </w:tcPr>
          <w:p w14:paraId="6D1BCF60" w14:textId="77777777" w:rsidR="001F3F31" w:rsidRPr="00775302" w:rsidRDefault="001F3F31" w:rsidP="00775302">
            <w:pPr>
              <w:spacing w:after="0" w:line="240" w:lineRule="auto"/>
              <w:jc w:val="right"/>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13</w:t>
            </w:r>
          </w:p>
        </w:tc>
        <w:tc>
          <w:tcPr>
            <w:tcW w:w="2835" w:type="dxa"/>
          </w:tcPr>
          <w:p w14:paraId="3E69165D" w14:textId="43DAAF43" w:rsidR="001F3F31" w:rsidRPr="00775302" w:rsidRDefault="001F3F31" w:rsidP="00775302">
            <w:pPr>
              <w:spacing w:after="0" w:line="240" w:lineRule="auto"/>
              <w:jc w:val="right"/>
              <w:rPr>
                <w:rFonts w:ascii="Arial" w:eastAsia="Times New Roman" w:hAnsi="Arial" w:cs="Arial"/>
                <w:noProof/>
                <w:sz w:val="20"/>
                <w:szCs w:val="20"/>
                <w:lang w:val="en-IE" w:eastAsia="en-IE"/>
              </w:rPr>
            </w:pPr>
            <w:r>
              <w:rPr>
                <w:rFonts w:ascii="Arial" w:eastAsia="Times New Roman" w:hAnsi="Arial" w:cs="Arial"/>
                <w:noProof/>
                <w:sz w:val="20"/>
                <w:szCs w:val="20"/>
                <w:lang w:val="en-IE" w:eastAsia="en-IE"/>
              </w:rPr>
              <w:t>Specific circumstances</w:t>
            </w:r>
          </w:p>
        </w:tc>
      </w:tr>
      <w:tr w:rsidR="001F3F31" w:rsidRPr="00775302" w14:paraId="6C311B96" w14:textId="608BCD78" w:rsidTr="001F3F31">
        <w:trPr>
          <w:trHeight w:val="264"/>
        </w:trPr>
        <w:tc>
          <w:tcPr>
            <w:tcW w:w="2972" w:type="dxa"/>
            <w:shd w:val="clear" w:color="auto" w:fill="auto"/>
            <w:noWrap/>
            <w:vAlign w:val="bottom"/>
            <w:hideMark/>
          </w:tcPr>
          <w:p w14:paraId="28CA8A1A" w14:textId="77777777" w:rsidR="001F3F31" w:rsidRPr="00775302" w:rsidRDefault="001F3F31" w:rsidP="00775302">
            <w:pPr>
              <w:spacing w:after="0" w:line="240" w:lineRule="auto"/>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Bulgaria</w:t>
            </w:r>
          </w:p>
        </w:tc>
        <w:tc>
          <w:tcPr>
            <w:tcW w:w="2835" w:type="dxa"/>
            <w:shd w:val="clear" w:color="auto" w:fill="auto"/>
            <w:noWrap/>
            <w:vAlign w:val="bottom"/>
            <w:hideMark/>
          </w:tcPr>
          <w:p w14:paraId="7D20BE4A" w14:textId="77777777" w:rsidR="001F3F31" w:rsidRPr="00775302" w:rsidRDefault="001F3F31" w:rsidP="00775302">
            <w:pPr>
              <w:spacing w:after="0" w:line="240" w:lineRule="auto"/>
              <w:jc w:val="right"/>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17</w:t>
            </w:r>
          </w:p>
        </w:tc>
        <w:tc>
          <w:tcPr>
            <w:tcW w:w="2835" w:type="dxa"/>
          </w:tcPr>
          <w:p w14:paraId="6E564CB5" w14:textId="77777777" w:rsidR="001F3F31" w:rsidRPr="00775302" w:rsidRDefault="001F3F31" w:rsidP="00775302">
            <w:pPr>
              <w:spacing w:after="0" w:line="240" w:lineRule="auto"/>
              <w:jc w:val="right"/>
              <w:rPr>
                <w:rFonts w:ascii="Arial" w:eastAsia="Times New Roman" w:hAnsi="Arial" w:cs="Arial"/>
                <w:noProof/>
                <w:sz w:val="20"/>
                <w:szCs w:val="20"/>
                <w:lang w:val="en-IE" w:eastAsia="en-IE"/>
              </w:rPr>
            </w:pPr>
          </w:p>
        </w:tc>
      </w:tr>
      <w:tr w:rsidR="001F3F31" w:rsidRPr="00775302" w14:paraId="7F5102BB" w14:textId="7FC9ACF8" w:rsidTr="001F3F31">
        <w:trPr>
          <w:trHeight w:val="264"/>
        </w:trPr>
        <w:tc>
          <w:tcPr>
            <w:tcW w:w="2972" w:type="dxa"/>
            <w:shd w:val="clear" w:color="auto" w:fill="auto"/>
            <w:noWrap/>
            <w:vAlign w:val="bottom"/>
            <w:hideMark/>
          </w:tcPr>
          <w:p w14:paraId="32FC2954" w14:textId="77777777" w:rsidR="001F3F31" w:rsidRPr="00775302" w:rsidRDefault="001F3F31" w:rsidP="001F3F31">
            <w:pPr>
              <w:spacing w:after="0" w:line="240" w:lineRule="auto"/>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Croatia</w:t>
            </w:r>
          </w:p>
        </w:tc>
        <w:tc>
          <w:tcPr>
            <w:tcW w:w="2835" w:type="dxa"/>
            <w:shd w:val="clear" w:color="auto" w:fill="auto"/>
            <w:noWrap/>
            <w:vAlign w:val="bottom"/>
            <w:hideMark/>
          </w:tcPr>
          <w:p w14:paraId="0ECA3B48"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7</w:t>
            </w:r>
          </w:p>
        </w:tc>
        <w:tc>
          <w:tcPr>
            <w:tcW w:w="2835" w:type="dxa"/>
          </w:tcPr>
          <w:p w14:paraId="76FD919D" w14:textId="7549D7A1" w:rsidR="001F3F31" w:rsidRPr="00775302" w:rsidRDefault="001F3F31" w:rsidP="001F3F31">
            <w:pPr>
              <w:spacing w:after="0" w:line="240" w:lineRule="auto"/>
              <w:jc w:val="right"/>
              <w:rPr>
                <w:rFonts w:ascii="Arial" w:eastAsia="Times New Roman" w:hAnsi="Arial" w:cs="Arial"/>
                <w:noProof/>
                <w:sz w:val="20"/>
                <w:szCs w:val="20"/>
                <w:lang w:val="en-IE" w:eastAsia="en-IE"/>
              </w:rPr>
            </w:pPr>
            <w:r>
              <w:rPr>
                <w:rFonts w:ascii="Arial" w:eastAsia="Times New Roman" w:hAnsi="Arial" w:cs="Arial"/>
                <w:noProof/>
                <w:sz w:val="20"/>
                <w:szCs w:val="20"/>
                <w:lang w:val="en-IE" w:eastAsia="en-IE"/>
              </w:rPr>
              <w:t>Specific circumstances</w:t>
            </w:r>
          </w:p>
        </w:tc>
      </w:tr>
      <w:tr w:rsidR="001F3F31" w:rsidRPr="00775302" w14:paraId="7A19B673" w14:textId="78C8270C" w:rsidTr="001F3F31">
        <w:trPr>
          <w:trHeight w:val="264"/>
        </w:trPr>
        <w:tc>
          <w:tcPr>
            <w:tcW w:w="2972" w:type="dxa"/>
            <w:shd w:val="clear" w:color="auto" w:fill="auto"/>
            <w:noWrap/>
            <w:vAlign w:val="bottom"/>
            <w:hideMark/>
          </w:tcPr>
          <w:p w14:paraId="61E2CE5F" w14:textId="77777777" w:rsidR="001F3F31" w:rsidRPr="00775302" w:rsidRDefault="001F3F31" w:rsidP="001F3F31">
            <w:pPr>
              <w:spacing w:after="0" w:line="240" w:lineRule="auto"/>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Cyprus</w:t>
            </w:r>
          </w:p>
        </w:tc>
        <w:tc>
          <w:tcPr>
            <w:tcW w:w="2835" w:type="dxa"/>
            <w:shd w:val="clear" w:color="auto" w:fill="auto"/>
            <w:noWrap/>
            <w:vAlign w:val="bottom"/>
            <w:hideMark/>
          </w:tcPr>
          <w:p w14:paraId="5513F7E4"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4</w:t>
            </w:r>
          </w:p>
        </w:tc>
        <w:tc>
          <w:tcPr>
            <w:tcW w:w="2835" w:type="dxa"/>
          </w:tcPr>
          <w:p w14:paraId="318EF0AB" w14:textId="1EF9B4A6" w:rsidR="001F3F31" w:rsidRPr="00775302" w:rsidRDefault="001F3F31" w:rsidP="001F3F31">
            <w:pPr>
              <w:spacing w:after="0" w:line="240" w:lineRule="auto"/>
              <w:jc w:val="right"/>
              <w:rPr>
                <w:rFonts w:ascii="Arial" w:eastAsia="Times New Roman" w:hAnsi="Arial" w:cs="Arial"/>
                <w:noProof/>
                <w:sz w:val="20"/>
                <w:szCs w:val="20"/>
                <w:lang w:val="en-IE" w:eastAsia="en-IE"/>
              </w:rPr>
            </w:pPr>
            <w:r>
              <w:rPr>
                <w:rFonts w:ascii="Arial" w:eastAsia="Times New Roman" w:hAnsi="Arial" w:cs="Arial"/>
                <w:noProof/>
                <w:sz w:val="20"/>
                <w:szCs w:val="20"/>
                <w:lang w:val="en-IE" w:eastAsia="en-IE"/>
              </w:rPr>
              <w:t>Specific sectors</w:t>
            </w:r>
          </w:p>
        </w:tc>
      </w:tr>
      <w:tr w:rsidR="001F3F31" w:rsidRPr="00775302" w14:paraId="3EB4E8DF" w14:textId="53B3ACF5" w:rsidTr="001F3F31">
        <w:trPr>
          <w:trHeight w:val="264"/>
        </w:trPr>
        <w:tc>
          <w:tcPr>
            <w:tcW w:w="2972" w:type="dxa"/>
            <w:shd w:val="clear" w:color="auto" w:fill="auto"/>
            <w:noWrap/>
            <w:vAlign w:val="bottom"/>
            <w:hideMark/>
          </w:tcPr>
          <w:p w14:paraId="477944B3" w14:textId="77777777" w:rsidR="001F3F31" w:rsidRPr="00775302" w:rsidRDefault="001F3F31" w:rsidP="001F3F31">
            <w:pPr>
              <w:spacing w:after="0" w:line="240" w:lineRule="auto"/>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Czech Republic</w:t>
            </w:r>
          </w:p>
        </w:tc>
        <w:tc>
          <w:tcPr>
            <w:tcW w:w="2835" w:type="dxa"/>
            <w:shd w:val="clear" w:color="auto" w:fill="auto"/>
            <w:noWrap/>
            <w:vAlign w:val="bottom"/>
            <w:hideMark/>
          </w:tcPr>
          <w:p w14:paraId="124D68A9"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8</w:t>
            </w:r>
          </w:p>
        </w:tc>
        <w:tc>
          <w:tcPr>
            <w:tcW w:w="2835" w:type="dxa"/>
          </w:tcPr>
          <w:p w14:paraId="2EFF0EDE"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p>
        </w:tc>
      </w:tr>
      <w:tr w:rsidR="001F3F31" w:rsidRPr="00775302" w14:paraId="3F913451" w14:textId="09EA28A7" w:rsidTr="001F3F31">
        <w:trPr>
          <w:trHeight w:val="264"/>
        </w:trPr>
        <w:tc>
          <w:tcPr>
            <w:tcW w:w="2972" w:type="dxa"/>
            <w:shd w:val="clear" w:color="auto" w:fill="auto"/>
            <w:noWrap/>
            <w:vAlign w:val="bottom"/>
            <w:hideMark/>
          </w:tcPr>
          <w:p w14:paraId="3D5685CF" w14:textId="77777777" w:rsidR="001F3F31" w:rsidRPr="00775302" w:rsidRDefault="001F3F31" w:rsidP="001F3F31">
            <w:pPr>
              <w:spacing w:after="0" w:line="240" w:lineRule="auto"/>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Denmark</w:t>
            </w:r>
          </w:p>
        </w:tc>
        <w:tc>
          <w:tcPr>
            <w:tcW w:w="2835" w:type="dxa"/>
            <w:shd w:val="clear" w:color="auto" w:fill="auto"/>
            <w:noWrap/>
            <w:vAlign w:val="bottom"/>
            <w:hideMark/>
          </w:tcPr>
          <w:p w14:paraId="3B582506"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26</w:t>
            </w:r>
          </w:p>
        </w:tc>
        <w:tc>
          <w:tcPr>
            <w:tcW w:w="2835" w:type="dxa"/>
          </w:tcPr>
          <w:p w14:paraId="77264583" w14:textId="051BF290" w:rsidR="001F3F31" w:rsidRPr="00775302" w:rsidRDefault="009A5C9D" w:rsidP="001F3F31">
            <w:pPr>
              <w:spacing w:after="0" w:line="240" w:lineRule="auto"/>
              <w:jc w:val="right"/>
              <w:rPr>
                <w:rFonts w:ascii="Arial" w:eastAsia="Times New Roman" w:hAnsi="Arial" w:cs="Arial"/>
                <w:noProof/>
                <w:sz w:val="20"/>
                <w:szCs w:val="20"/>
                <w:lang w:val="en-IE" w:eastAsia="en-IE"/>
              </w:rPr>
            </w:pPr>
            <w:r>
              <w:rPr>
                <w:rFonts w:ascii="Arial" w:eastAsia="Times New Roman" w:hAnsi="Arial" w:cs="Arial"/>
                <w:noProof/>
                <w:sz w:val="20"/>
                <w:szCs w:val="20"/>
                <w:lang w:val="en-IE" w:eastAsia="en-IE"/>
              </w:rPr>
              <w:t>Yes</w:t>
            </w:r>
          </w:p>
        </w:tc>
      </w:tr>
      <w:tr w:rsidR="001F3F31" w:rsidRPr="00775302" w14:paraId="368BE19F" w14:textId="1245B14C" w:rsidTr="001F3F31">
        <w:trPr>
          <w:trHeight w:val="264"/>
        </w:trPr>
        <w:tc>
          <w:tcPr>
            <w:tcW w:w="2972" w:type="dxa"/>
            <w:shd w:val="clear" w:color="auto" w:fill="auto"/>
            <w:noWrap/>
            <w:vAlign w:val="bottom"/>
            <w:hideMark/>
          </w:tcPr>
          <w:p w14:paraId="4090D8CC" w14:textId="77777777" w:rsidR="001F3F31" w:rsidRPr="00775302" w:rsidRDefault="001F3F31" w:rsidP="001F3F31">
            <w:pPr>
              <w:spacing w:after="0" w:line="240" w:lineRule="auto"/>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Estonia</w:t>
            </w:r>
          </w:p>
        </w:tc>
        <w:tc>
          <w:tcPr>
            <w:tcW w:w="2835" w:type="dxa"/>
            <w:shd w:val="clear" w:color="auto" w:fill="auto"/>
            <w:noWrap/>
            <w:vAlign w:val="bottom"/>
            <w:hideMark/>
          </w:tcPr>
          <w:p w14:paraId="0FD9EDFE"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4</w:t>
            </w:r>
          </w:p>
        </w:tc>
        <w:tc>
          <w:tcPr>
            <w:tcW w:w="2835" w:type="dxa"/>
          </w:tcPr>
          <w:p w14:paraId="16AF6A15"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p>
        </w:tc>
      </w:tr>
      <w:tr w:rsidR="001F3F31" w:rsidRPr="00775302" w14:paraId="73FEE887" w14:textId="62856751" w:rsidTr="001F3F31">
        <w:trPr>
          <w:trHeight w:val="264"/>
        </w:trPr>
        <w:tc>
          <w:tcPr>
            <w:tcW w:w="2972" w:type="dxa"/>
            <w:shd w:val="clear" w:color="auto" w:fill="auto"/>
            <w:noWrap/>
            <w:vAlign w:val="bottom"/>
            <w:hideMark/>
          </w:tcPr>
          <w:p w14:paraId="2F5B5B04" w14:textId="77777777" w:rsidR="001F3F31" w:rsidRPr="00775302" w:rsidRDefault="001F3F31" w:rsidP="001F3F31">
            <w:pPr>
              <w:spacing w:after="0" w:line="240" w:lineRule="auto"/>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Finland</w:t>
            </w:r>
          </w:p>
        </w:tc>
        <w:tc>
          <w:tcPr>
            <w:tcW w:w="2835" w:type="dxa"/>
            <w:shd w:val="clear" w:color="auto" w:fill="auto"/>
            <w:noWrap/>
            <w:vAlign w:val="bottom"/>
            <w:hideMark/>
          </w:tcPr>
          <w:p w14:paraId="5EBF8284"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3</w:t>
            </w:r>
          </w:p>
        </w:tc>
        <w:tc>
          <w:tcPr>
            <w:tcW w:w="2835" w:type="dxa"/>
          </w:tcPr>
          <w:p w14:paraId="32D97767"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p>
        </w:tc>
      </w:tr>
      <w:tr w:rsidR="001F3F31" w:rsidRPr="00775302" w14:paraId="12DC610A" w14:textId="5BC67040" w:rsidTr="001F3F31">
        <w:trPr>
          <w:trHeight w:val="264"/>
        </w:trPr>
        <w:tc>
          <w:tcPr>
            <w:tcW w:w="2972" w:type="dxa"/>
            <w:shd w:val="clear" w:color="auto" w:fill="auto"/>
            <w:noWrap/>
            <w:vAlign w:val="bottom"/>
            <w:hideMark/>
          </w:tcPr>
          <w:p w14:paraId="152B766F" w14:textId="77777777" w:rsidR="001F3F31" w:rsidRPr="00775302" w:rsidRDefault="001F3F31" w:rsidP="001F3F31">
            <w:pPr>
              <w:spacing w:after="0" w:line="240" w:lineRule="auto"/>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France</w:t>
            </w:r>
          </w:p>
        </w:tc>
        <w:tc>
          <w:tcPr>
            <w:tcW w:w="2835" w:type="dxa"/>
            <w:shd w:val="clear" w:color="auto" w:fill="auto"/>
            <w:noWrap/>
            <w:vAlign w:val="bottom"/>
            <w:hideMark/>
          </w:tcPr>
          <w:p w14:paraId="3F6B4FAC"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82</w:t>
            </w:r>
          </w:p>
        </w:tc>
        <w:tc>
          <w:tcPr>
            <w:tcW w:w="2835" w:type="dxa"/>
          </w:tcPr>
          <w:p w14:paraId="66CD2C2D"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p>
        </w:tc>
      </w:tr>
      <w:tr w:rsidR="001F3F31" w:rsidRPr="00775302" w14:paraId="428A0954" w14:textId="6824ADE3" w:rsidTr="001F3F31">
        <w:trPr>
          <w:trHeight w:val="264"/>
        </w:trPr>
        <w:tc>
          <w:tcPr>
            <w:tcW w:w="2972" w:type="dxa"/>
            <w:shd w:val="clear" w:color="auto" w:fill="auto"/>
            <w:noWrap/>
            <w:vAlign w:val="bottom"/>
            <w:hideMark/>
          </w:tcPr>
          <w:p w14:paraId="2B837129" w14:textId="77777777" w:rsidR="001F3F31" w:rsidRPr="00775302" w:rsidRDefault="001F3F31" w:rsidP="001F3F31">
            <w:pPr>
              <w:spacing w:after="0" w:line="240" w:lineRule="auto"/>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Germany</w:t>
            </w:r>
          </w:p>
        </w:tc>
        <w:tc>
          <w:tcPr>
            <w:tcW w:w="2835" w:type="dxa"/>
            <w:shd w:val="clear" w:color="auto" w:fill="auto"/>
            <w:noWrap/>
            <w:vAlign w:val="bottom"/>
            <w:hideMark/>
          </w:tcPr>
          <w:p w14:paraId="6C98F208"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28</w:t>
            </w:r>
          </w:p>
        </w:tc>
        <w:tc>
          <w:tcPr>
            <w:tcW w:w="2835" w:type="dxa"/>
          </w:tcPr>
          <w:p w14:paraId="622FBAC0" w14:textId="6C940D82" w:rsidR="001F3F31" w:rsidRPr="00775302" w:rsidRDefault="001F3F31" w:rsidP="001F3F31">
            <w:pPr>
              <w:spacing w:after="0" w:line="240" w:lineRule="auto"/>
              <w:jc w:val="right"/>
              <w:rPr>
                <w:rFonts w:ascii="Arial" w:eastAsia="Times New Roman" w:hAnsi="Arial" w:cs="Arial"/>
                <w:noProof/>
                <w:sz w:val="20"/>
                <w:szCs w:val="20"/>
                <w:lang w:val="en-IE" w:eastAsia="en-IE"/>
              </w:rPr>
            </w:pPr>
            <w:r>
              <w:rPr>
                <w:rFonts w:ascii="Arial" w:eastAsia="Times New Roman" w:hAnsi="Arial" w:cs="Arial"/>
                <w:noProof/>
                <w:sz w:val="20"/>
                <w:szCs w:val="20"/>
                <w:lang w:val="en-IE" w:eastAsia="en-IE"/>
              </w:rPr>
              <w:t>Specific sectors</w:t>
            </w:r>
          </w:p>
        </w:tc>
      </w:tr>
      <w:tr w:rsidR="001F3F31" w:rsidRPr="00775302" w14:paraId="5F456181" w14:textId="5C1C370F" w:rsidTr="001F3F31">
        <w:trPr>
          <w:trHeight w:val="264"/>
        </w:trPr>
        <w:tc>
          <w:tcPr>
            <w:tcW w:w="2972" w:type="dxa"/>
            <w:shd w:val="clear" w:color="auto" w:fill="auto"/>
            <w:noWrap/>
            <w:vAlign w:val="bottom"/>
            <w:hideMark/>
          </w:tcPr>
          <w:p w14:paraId="4494AF10" w14:textId="77777777" w:rsidR="001F3F31" w:rsidRPr="00775302" w:rsidRDefault="001F3F31" w:rsidP="001F3F31">
            <w:pPr>
              <w:spacing w:after="0" w:line="240" w:lineRule="auto"/>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Greece</w:t>
            </w:r>
          </w:p>
        </w:tc>
        <w:tc>
          <w:tcPr>
            <w:tcW w:w="2835" w:type="dxa"/>
            <w:shd w:val="clear" w:color="auto" w:fill="auto"/>
            <w:noWrap/>
            <w:vAlign w:val="bottom"/>
            <w:hideMark/>
          </w:tcPr>
          <w:p w14:paraId="170CC099"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4</w:t>
            </w:r>
          </w:p>
        </w:tc>
        <w:tc>
          <w:tcPr>
            <w:tcW w:w="2835" w:type="dxa"/>
          </w:tcPr>
          <w:p w14:paraId="41791616" w14:textId="06D71FD4" w:rsidR="001F3F31" w:rsidRPr="00775302" w:rsidRDefault="001F3F31" w:rsidP="001F3F31">
            <w:pPr>
              <w:spacing w:after="0" w:line="240" w:lineRule="auto"/>
              <w:jc w:val="right"/>
              <w:rPr>
                <w:rFonts w:ascii="Arial" w:eastAsia="Times New Roman" w:hAnsi="Arial" w:cs="Arial"/>
                <w:noProof/>
                <w:sz w:val="20"/>
                <w:szCs w:val="20"/>
                <w:lang w:val="en-IE" w:eastAsia="en-IE"/>
              </w:rPr>
            </w:pPr>
            <w:r>
              <w:rPr>
                <w:rFonts w:ascii="Arial" w:eastAsia="Times New Roman" w:hAnsi="Arial" w:cs="Arial"/>
                <w:noProof/>
                <w:sz w:val="20"/>
                <w:szCs w:val="20"/>
                <w:lang w:val="en-IE" w:eastAsia="en-IE"/>
              </w:rPr>
              <w:t>Specific sectors</w:t>
            </w:r>
          </w:p>
        </w:tc>
      </w:tr>
      <w:tr w:rsidR="001F3F31" w:rsidRPr="00775302" w14:paraId="2D82BA1C" w14:textId="5D512973" w:rsidTr="001F3F31">
        <w:trPr>
          <w:trHeight w:val="264"/>
        </w:trPr>
        <w:tc>
          <w:tcPr>
            <w:tcW w:w="2972" w:type="dxa"/>
            <w:shd w:val="clear" w:color="auto" w:fill="auto"/>
            <w:noWrap/>
            <w:vAlign w:val="bottom"/>
            <w:hideMark/>
          </w:tcPr>
          <w:p w14:paraId="03BA8D59" w14:textId="77777777" w:rsidR="001F3F31" w:rsidRPr="00775302" w:rsidRDefault="001F3F31" w:rsidP="001F3F31">
            <w:pPr>
              <w:spacing w:after="0" w:line="240" w:lineRule="auto"/>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Hungary</w:t>
            </w:r>
          </w:p>
        </w:tc>
        <w:tc>
          <w:tcPr>
            <w:tcW w:w="2835" w:type="dxa"/>
            <w:shd w:val="clear" w:color="auto" w:fill="auto"/>
            <w:noWrap/>
            <w:vAlign w:val="bottom"/>
            <w:hideMark/>
          </w:tcPr>
          <w:p w14:paraId="26CD4FFF"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21</w:t>
            </w:r>
          </w:p>
        </w:tc>
        <w:tc>
          <w:tcPr>
            <w:tcW w:w="2835" w:type="dxa"/>
          </w:tcPr>
          <w:p w14:paraId="0DB00A5B" w14:textId="47764D79" w:rsidR="001F3F31" w:rsidRPr="00775302" w:rsidRDefault="009A5C9D" w:rsidP="001F3F31">
            <w:pPr>
              <w:spacing w:after="0" w:line="240" w:lineRule="auto"/>
              <w:jc w:val="right"/>
              <w:rPr>
                <w:rFonts w:ascii="Arial" w:eastAsia="Times New Roman" w:hAnsi="Arial" w:cs="Arial"/>
                <w:noProof/>
                <w:sz w:val="20"/>
                <w:szCs w:val="20"/>
                <w:lang w:val="en-IE" w:eastAsia="en-IE"/>
              </w:rPr>
            </w:pPr>
            <w:r>
              <w:rPr>
                <w:rFonts w:ascii="Arial" w:eastAsia="Times New Roman" w:hAnsi="Arial" w:cs="Arial"/>
                <w:noProof/>
                <w:sz w:val="20"/>
                <w:szCs w:val="20"/>
                <w:lang w:val="en-IE" w:eastAsia="en-IE"/>
              </w:rPr>
              <w:t>yes</w:t>
            </w:r>
          </w:p>
        </w:tc>
      </w:tr>
      <w:tr w:rsidR="001F3F31" w:rsidRPr="00775302" w14:paraId="1BBD33A4" w14:textId="3589F5EA" w:rsidTr="001F3F31">
        <w:trPr>
          <w:trHeight w:val="264"/>
        </w:trPr>
        <w:tc>
          <w:tcPr>
            <w:tcW w:w="2972" w:type="dxa"/>
            <w:shd w:val="clear" w:color="auto" w:fill="auto"/>
            <w:noWrap/>
            <w:vAlign w:val="bottom"/>
            <w:hideMark/>
          </w:tcPr>
          <w:p w14:paraId="0B2AA129" w14:textId="77777777" w:rsidR="001F3F31" w:rsidRPr="00775302" w:rsidRDefault="001F3F31" w:rsidP="001F3F31">
            <w:pPr>
              <w:spacing w:after="0" w:line="240" w:lineRule="auto"/>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Iceland</w:t>
            </w:r>
          </w:p>
        </w:tc>
        <w:tc>
          <w:tcPr>
            <w:tcW w:w="2835" w:type="dxa"/>
            <w:shd w:val="clear" w:color="auto" w:fill="auto"/>
            <w:noWrap/>
            <w:vAlign w:val="bottom"/>
            <w:hideMark/>
          </w:tcPr>
          <w:p w14:paraId="7D756554"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6</w:t>
            </w:r>
          </w:p>
        </w:tc>
        <w:tc>
          <w:tcPr>
            <w:tcW w:w="2835" w:type="dxa"/>
          </w:tcPr>
          <w:p w14:paraId="08ABD5F9" w14:textId="0FC51DA4" w:rsidR="001F3F31" w:rsidRPr="00775302" w:rsidRDefault="009A5C9D" w:rsidP="001F3F31">
            <w:pPr>
              <w:spacing w:after="0" w:line="240" w:lineRule="auto"/>
              <w:jc w:val="right"/>
              <w:rPr>
                <w:rFonts w:ascii="Arial" w:eastAsia="Times New Roman" w:hAnsi="Arial" w:cs="Arial"/>
                <w:noProof/>
                <w:sz w:val="20"/>
                <w:szCs w:val="20"/>
                <w:lang w:val="en-IE" w:eastAsia="en-IE"/>
              </w:rPr>
            </w:pPr>
            <w:r>
              <w:rPr>
                <w:rFonts w:ascii="Arial" w:eastAsia="Times New Roman" w:hAnsi="Arial" w:cs="Arial"/>
                <w:noProof/>
                <w:sz w:val="20"/>
                <w:szCs w:val="20"/>
                <w:lang w:val="en-IE" w:eastAsia="en-IE"/>
              </w:rPr>
              <w:t>Yes</w:t>
            </w:r>
          </w:p>
        </w:tc>
      </w:tr>
      <w:tr w:rsidR="001F3F31" w:rsidRPr="00775302" w14:paraId="77F1D5BD" w14:textId="433C5B44" w:rsidTr="001F3F31">
        <w:trPr>
          <w:trHeight w:val="264"/>
        </w:trPr>
        <w:tc>
          <w:tcPr>
            <w:tcW w:w="2972" w:type="dxa"/>
            <w:shd w:val="clear" w:color="auto" w:fill="auto"/>
            <w:noWrap/>
            <w:vAlign w:val="bottom"/>
            <w:hideMark/>
          </w:tcPr>
          <w:p w14:paraId="4472D240" w14:textId="77777777" w:rsidR="001F3F31" w:rsidRPr="00775302" w:rsidRDefault="001F3F31" w:rsidP="001F3F31">
            <w:pPr>
              <w:spacing w:after="0" w:line="240" w:lineRule="auto"/>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Ireland</w:t>
            </w:r>
          </w:p>
        </w:tc>
        <w:tc>
          <w:tcPr>
            <w:tcW w:w="2835" w:type="dxa"/>
            <w:shd w:val="clear" w:color="auto" w:fill="auto"/>
            <w:noWrap/>
            <w:vAlign w:val="bottom"/>
            <w:hideMark/>
          </w:tcPr>
          <w:p w14:paraId="03F8B985"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4</w:t>
            </w:r>
          </w:p>
        </w:tc>
        <w:tc>
          <w:tcPr>
            <w:tcW w:w="2835" w:type="dxa"/>
          </w:tcPr>
          <w:p w14:paraId="7D86272D"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p>
        </w:tc>
      </w:tr>
      <w:tr w:rsidR="001F3F31" w:rsidRPr="00775302" w14:paraId="7CD9A2B9" w14:textId="1E99E3A2" w:rsidTr="001F3F31">
        <w:trPr>
          <w:trHeight w:val="264"/>
        </w:trPr>
        <w:tc>
          <w:tcPr>
            <w:tcW w:w="2972" w:type="dxa"/>
            <w:shd w:val="clear" w:color="auto" w:fill="auto"/>
            <w:noWrap/>
            <w:vAlign w:val="bottom"/>
            <w:hideMark/>
          </w:tcPr>
          <w:p w14:paraId="13A1BD3B" w14:textId="77777777" w:rsidR="001F3F31" w:rsidRPr="00775302" w:rsidRDefault="001F3F31" w:rsidP="001F3F31">
            <w:pPr>
              <w:spacing w:after="0" w:line="240" w:lineRule="auto"/>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Italy</w:t>
            </w:r>
          </w:p>
        </w:tc>
        <w:tc>
          <w:tcPr>
            <w:tcW w:w="2835" w:type="dxa"/>
            <w:shd w:val="clear" w:color="auto" w:fill="auto"/>
            <w:noWrap/>
            <w:vAlign w:val="bottom"/>
            <w:hideMark/>
          </w:tcPr>
          <w:p w14:paraId="3EE546CB"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53</w:t>
            </w:r>
          </w:p>
        </w:tc>
        <w:tc>
          <w:tcPr>
            <w:tcW w:w="2835" w:type="dxa"/>
          </w:tcPr>
          <w:p w14:paraId="10BE821D"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p>
        </w:tc>
      </w:tr>
      <w:tr w:rsidR="001F3F31" w:rsidRPr="00775302" w14:paraId="014D4FC8" w14:textId="77925837" w:rsidTr="001F3F31">
        <w:trPr>
          <w:trHeight w:val="264"/>
        </w:trPr>
        <w:tc>
          <w:tcPr>
            <w:tcW w:w="2972" w:type="dxa"/>
            <w:shd w:val="clear" w:color="auto" w:fill="auto"/>
            <w:noWrap/>
            <w:vAlign w:val="bottom"/>
            <w:hideMark/>
          </w:tcPr>
          <w:p w14:paraId="44449043" w14:textId="77777777" w:rsidR="001F3F31" w:rsidRPr="00775302" w:rsidRDefault="001F3F31" w:rsidP="001F3F31">
            <w:pPr>
              <w:spacing w:after="0" w:line="240" w:lineRule="auto"/>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Latvia</w:t>
            </w:r>
          </w:p>
        </w:tc>
        <w:tc>
          <w:tcPr>
            <w:tcW w:w="2835" w:type="dxa"/>
            <w:shd w:val="clear" w:color="auto" w:fill="auto"/>
            <w:noWrap/>
            <w:vAlign w:val="bottom"/>
            <w:hideMark/>
          </w:tcPr>
          <w:p w14:paraId="155F3A53"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5</w:t>
            </w:r>
          </w:p>
        </w:tc>
        <w:tc>
          <w:tcPr>
            <w:tcW w:w="2835" w:type="dxa"/>
          </w:tcPr>
          <w:p w14:paraId="444F3356" w14:textId="2FDD22D8" w:rsidR="001F3F31" w:rsidRPr="00775302" w:rsidRDefault="009A5C9D" w:rsidP="001F3F31">
            <w:pPr>
              <w:spacing w:after="0" w:line="240" w:lineRule="auto"/>
              <w:jc w:val="right"/>
              <w:rPr>
                <w:rFonts w:ascii="Arial" w:eastAsia="Times New Roman" w:hAnsi="Arial" w:cs="Arial"/>
                <w:noProof/>
                <w:sz w:val="20"/>
                <w:szCs w:val="20"/>
                <w:lang w:val="en-IE" w:eastAsia="en-IE"/>
              </w:rPr>
            </w:pPr>
            <w:r>
              <w:rPr>
                <w:rFonts w:ascii="Arial" w:eastAsia="Times New Roman" w:hAnsi="Arial" w:cs="Arial"/>
                <w:noProof/>
                <w:sz w:val="20"/>
                <w:szCs w:val="20"/>
                <w:lang w:val="en-IE" w:eastAsia="en-IE"/>
              </w:rPr>
              <w:t>Yes</w:t>
            </w:r>
          </w:p>
        </w:tc>
      </w:tr>
      <w:tr w:rsidR="001F3F31" w:rsidRPr="00775302" w14:paraId="6D517202" w14:textId="2D713FBD" w:rsidTr="001F3F31">
        <w:trPr>
          <w:trHeight w:val="264"/>
        </w:trPr>
        <w:tc>
          <w:tcPr>
            <w:tcW w:w="2972" w:type="dxa"/>
            <w:shd w:val="clear" w:color="auto" w:fill="auto"/>
            <w:noWrap/>
            <w:vAlign w:val="bottom"/>
            <w:hideMark/>
          </w:tcPr>
          <w:p w14:paraId="0DFA6607" w14:textId="77777777" w:rsidR="001F3F31" w:rsidRPr="00775302" w:rsidRDefault="001F3F31" w:rsidP="001F3F31">
            <w:pPr>
              <w:spacing w:after="0" w:line="240" w:lineRule="auto"/>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Liechtenstein</w:t>
            </w:r>
          </w:p>
        </w:tc>
        <w:tc>
          <w:tcPr>
            <w:tcW w:w="2835" w:type="dxa"/>
            <w:shd w:val="clear" w:color="auto" w:fill="auto"/>
            <w:noWrap/>
            <w:vAlign w:val="bottom"/>
            <w:hideMark/>
          </w:tcPr>
          <w:p w14:paraId="5A28E120"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2</w:t>
            </w:r>
          </w:p>
        </w:tc>
        <w:tc>
          <w:tcPr>
            <w:tcW w:w="2835" w:type="dxa"/>
          </w:tcPr>
          <w:p w14:paraId="6CA6F2CD" w14:textId="0D8E9D54" w:rsidR="001F3F31" w:rsidRPr="00775302" w:rsidRDefault="001F3F31" w:rsidP="001F3F31">
            <w:pPr>
              <w:spacing w:after="0" w:line="240" w:lineRule="auto"/>
              <w:jc w:val="right"/>
              <w:rPr>
                <w:rFonts w:ascii="Arial" w:eastAsia="Times New Roman" w:hAnsi="Arial" w:cs="Arial"/>
                <w:noProof/>
                <w:sz w:val="20"/>
                <w:szCs w:val="20"/>
                <w:lang w:val="en-IE" w:eastAsia="en-IE"/>
              </w:rPr>
            </w:pPr>
          </w:p>
        </w:tc>
      </w:tr>
      <w:tr w:rsidR="001F3F31" w:rsidRPr="00775302" w14:paraId="6D4456F1" w14:textId="5BBD84B4" w:rsidTr="001F3F31">
        <w:trPr>
          <w:trHeight w:val="264"/>
        </w:trPr>
        <w:tc>
          <w:tcPr>
            <w:tcW w:w="2972" w:type="dxa"/>
            <w:shd w:val="clear" w:color="auto" w:fill="auto"/>
            <w:noWrap/>
            <w:vAlign w:val="bottom"/>
            <w:hideMark/>
          </w:tcPr>
          <w:p w14:paraId="688FB61A" w14:textId="77777777" w:rsidR="001F3F31" w:rsidRPr="00775302" w:rsidRDefault="001F3F31" w:rsidP="001F3F31">
            <w:pPr>
              <w:spacing w:after="0" w:line="240" w:lineRule="auto"/>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Lithuania</w:t>
            </w:r>
          </w:p>
        </w:tc>
        <w:tc>
          <w:tcPr>
            <w:tcW w:w="2835" w:type="dxa"/>
            <w:shd w:val="clear" w:color="auto" w:fill="auto"/>
            <w:noWrap/>
            <w:vAlign w:val="bottom"/>
            <w:hideMark/>
          </w:tcPr>
          <w:p w14:paraId="6C49FB8E"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4</w:t>
            </w:r>
          </w:p>
        </w:tc>
        <w:tc>
          <w:tcPr>
            <w:tcW w:w="2835" w:type="dxa"/>
          </w:tcPr>
          <w:p w14:paraId="1098CC54" w14:textId="600F0A2F" w:rsidR="001F3F31" w:rsidRPr="00775302" w:rsidRDefault="009A5C9D" w:rsidP="001F3F31">
            <w:pPr>
              <w:spacing w:after="0" w:line="240" w:lineRule="auto"/>
              <w:jc w:val="right"/>
              <w:rPr>
                <w:rFonts w:ascii="Arial" w:eastAsia="Times New Roman" w:hAnsi="Arial" w:cs="Arial"/>
                <w:noProof/>
                <w:sz w:val="20"/>
                <w:szCs w:val="20"/>
                <w:lang w:val="en-IE" w:eastAsia="en-IE"/>
              </w:rPr>
            </w:pPr>
            <w:r>
              <w:rPr>
                <w:rFonts w:ascii="Arial" w:eastAsia="Times New Roman" w:hAnsi="Arial" w:cs="Arial"/>
                <w:noProof/>
                <w:sz w:val="20"/>
                <w:szCs w:val="20"/>
                <w:lang w:val="en-IE" w:eastAsia="en-IE"/>
              </w:rPr>
              <w:t>Yes</w:t>
            </w:r>
          </w:p>
        </w:tc>
      </w:tr>
      <w:tr w:rsidR="001F3F31" w:rsidRPr="00775302" w14:paraId="38ADEB19" w14:textId="50E36B50" w:rsidTr="001F3F31">
        <w:trPr>
          <w:trHeight w:val="264"/>
        </w:trPr>
        <w:tc>
          <w:tcPr>
            <w:tcW w:w="2972" w:type="dxa"/>
            <w:shd w:val="clear" w:color="auto" w:fill="auto"/>
            <w:noWrap/>
            <w:vAlign w:val="bottom"/>
            <w:hideMark/>
          </w:tcPr>
          <w:p w14:paraId="71C84C2A" w14:textId="77777777" w:rsidR="001F3F31" w:rsidRPr="00775302" w:rsidRDefault="001F3F31" w:rsidP="001F3F31">
            <w:pPr>
              <w:spacing w:after="0" w:line="240" w:lineRule="auto"/>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Luxembourg</w:t>
            </w:r>
          </w:p>
        </w:tc>
        <w:tc>
          <w:tcPr>
            <w:tcW w:w="2835" w:type="dxa"/>
            <w:shd w:val="clear" w:color="auto" w:fill="auto"/>
            <w:noWrap/>
            <w:vAlign w:val="bottom"/>
            <w:hideMark/>
          </w:tcPr>
          <w:p w14:paraId="2C1EE7C3"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5</w:t>
            </w:r>
          </w:p>
        </w:tc>
        <w:tc>
          <w:tcPr>
            <w:tcW w:w="2835" w:type="dxa"/>
          </w:tcPr>
          <w:p w14:paraId="3F98A9C3"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p>
        </w:tc>
      </w:tr>
      <w:tr w:rsidR="001F3F31" w:rsidRPr="00775302" w14:paraId="6C3F6DB6" w14:textId="5EB5858A" w:rsidTr="001F3F31">
        <w:trPr>
          <w:trHeight w:val="264"/>
        </w:trPr>
        <w:tc>
          <w:tcPr>
            <w:tcW w:w="2972" w:type="dxa"/>
            <w:shd w:val="clear" w:color="auto" w:fill="auto"/>
            <w:noWrap/>
            <w:vAlign w:val="bottom"/>
            <w:hideMark/>
          </w:tcPr>
          <w:p w14:paraId="0320EDF6" w14:textId="77777777" w:rsidR="001F3F31" w:rsidRPr="00775302" w:rsidRDefault="001F3F31" w:rsidP="001F3F31">
            <w:pPr>
              <w:spacing w:after="0" w:line="240" w:lineRule="auto"/>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Malta</w:t>
            </w:r>
          </w:p>
        </w:tc>
        <w:tc>
          <w:tcPr>
            <w:tcW w:w="2835" w:type="dxa"/>
            <w:shd w:val="clear" w:color="auto" w:fill="auto"/>
            <w:noWrap/>
            <w:vAlign w:val="bottom"/>
            <w:hideMark/>
          </w:tcPr>
          <w:p w14:paraId="21559B9C"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8</w:t>
            </w:r>
          </w:p>
        </w:tc>
        <w:tc>
          <w:tcPr>
            <w:tcW w:w="2835" w:type="dxa"/>
          </w:tcPr>
          <w:p w14:paraId="74D0E7F4"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p>
        </w:tc>
      </w:tr>
      <w:tr w:rsidR="001F3F31" w:rsidRPr="00775302" w14:paraId="08B0C41C" w14:textId="0D5F8044" w:rsidTr="001F3F31">
        <w:trPr>
          <w:trHeight w:val="264"/>
        </w:trPr>
        <w:tc>
          <w:tcPr>
            <w:tcW w:w="2972" w:type="dxa"/>
            <w:shd w:val="clear" w:color="auto" w:fill="auto"/>
            <w:noWrap/>
            <w:vAlign w:val="bottom"/>
            <w:hideMark/>
          </w:tcPr>
          <w:p w14:paraId="5860DF3E" w14:textId="77777777" w:rsidR="001F3F31" w:rsidRPr="00775302" w:rsidRDefault="001F3F31" w:rsidP="001F3F31">
            <w:pPr>
              <w:spacing w:after="0" w:line="240" w:lineRule="auto"/>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Netherlands</w:t>
            </w:r>
          </w:p>
        </w:tc>
        <w:tc>
          <w:tcPr>
            <w:tcW w:w="2835" w:type="dxa"/>
            <w:shd w:val="clear" w:color="auto" w:fill="auto"/>
            <w:noWrap/>
            <w:vAlign w:val="bottom"/>
            <w:hideMark/>
          </w:tcPr>
          <w:p w14:paraId="17613EBE"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4</w:t>
            </w:r>
          </w:p>
        </w:tc>
        <w:tc>
          <w:tcPr>
            <w:tcW w:w="2835" w:type="dxa"/>
          </w:tcPr>
          <w:p w14:paraId="23C877AA"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p>
        </w:tc>
      </w:tr>
      <w:tr w:rsidR="001F3F31" w:rsidRPr="00775302" w14:paraId="33A257C1" w14:textId="5CA368C2" w:rsidTr="001F3F31">
        <w:trPr>
          <w:trHeight w:val="264"/>
        </w:trPr>
        <w:tc>
          <w:tcPr>
            <w:tcW w:w="2972" w:type="dxa"/>
            <w:shd w:val="clear" w:color="auto" w:fill="auto"/>
            <w:noWrap/>
            <w:vAlign w:val="bottom"/>
            <w:hideMark/>
          </w:tcPr>
          <w:p w14:paraId="00602BC9" w14:textId="77777777" w:rsidR="001F3F31" w:rsidRPr="00775302" w:rsidRDefault="001F3F31" w:rsidP="001F3F31">
            <w:pPr>
              <w:spacing w:after="0" w:line="240" w:lineRule="auto"/>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Norway</w:t>
            </w:r>
          </w:p>
        </w:tc>
        <w:tc>
          <w:tcPr>
            <w:tcW w:w="2835" w:type="dxa"/>
            <w:shd w:val="clear" w:color="auto" w:fill="auto"/>
            <w:noWrap/>
            <w:vAlign w:val="bottom"/>
            <w:hideMark/>
          </w:tcPr>
          <w:p w14:paraId="047C67AF"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12</w:t>
            </w:r>
          </w:p>
        </w:tc>
        <w:tc>
          <w:tcPr>
            <w:tcW w:w="2835" w:type="dxa"/>
          </w:tcPr>
          <w:p w14:paraId="03F6B691" w14:textId="12F20947" w:rsidR="001F3F31" w:rsidRPr="00775302" w:rsidRDefault="001F3F31" w:rsidP="001F3F31">
            <w:pPr>
              <w:spacing w:after="0" w:line="240" w:lineRule="auto"/>
              <w:jc w:val="right"/>
              <w:rPr>
                <w:rFonts w:ascii="Arial" w:eastAsia="Times New Roman" w:hAnsi="Arial" w:cs="Arial"/>
                <w:noProof/>
                <w:sz w:val="20"/>
                <w:szCs w:val="20"/>
                <w:lang w:val="en-IE" w:eastAsia="en-IE"/>
              </w:rPr>
            </w:pPr>
          </w:p>
        </w:tc>
      </w:tr>
      <w:tr w:rsidR="001F3F31" w:rsidRPr="00775302" w14:paraId="6ECAE43D" w14:textId="2AC69538" w:rsidTr="001F3F31">
        <w:trPr>
          <w:trHeight w:val="264"/>
        </w:trPr>
        <w:tc>
          <w:tcPr>
            <w:tcW w:w="2972" w:type="dxa"/>
            <w:shd w:val="clear" w:color="auto" w:fill="auto"/>
            <w:noWrap/>
            <w:vAlign w:val="bottom"/>
            <w:hideMark/>
          </w:tcPr>
          <w:p w14:paraId="760D4B48" w14:textId="77777777" w:rsidR="001F3F31" w:rsidRPr="00775302" w:rsidRDefault="001F3F31" w:rsidP="001F3F31">
            <w:pPr>
              <w:spacing w:after="0" w:line="240" w:lineRule="auto"/>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Poland</w:t>
            </w:r>
          </w:p>
        </w:tc>
        <w:tc>
          <w:tcPr>
            <w:tcW w:w="2835" w:type="dxa"/>
            <w:shd w:val="clear" w:color="auto" w:fill="auto"/>
            <w:noWrap/>
            <w:vAlign w:val="bottom"/>
            <w:hideMark/>
          </w:tcPr>
          <w:p w14:paraId="770DFDB4"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25</w:t>
            </w:r>
          </w:p>
        </w:tc>
        <w:tc>
          <w:tcPr>
            <w:tcW w:w="2835" w:type="dxa"/>
          </w:tcPr>
          <w:p w14:paraId="1F575632"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p>
        </w:tc>
      </w:tr>
      <w:tr w:rsidR="001F3F31" w:rsidRPr="00775302" w14:paraId="1B4A96DE" w14:textId="74926F43" w:rsidTr="001F3F31">
        <w:trPr>
          <w:trHeight w:val="264"/>
        </w:trPr>
        <w:tc>
          <w:tcPr>
            <w:tcW w:w="2972" w:type="dxa"/>
            <w:shd w:val="clear" w:color="auto" w:fill="auto"/>
            <w:noWrap/>
            <w:vAlign w:val="bottom"/>
            <w:hideMark/>
          </w:tcPr>
          <w:p w14:paraId="78A2F01E" w14:textId="77777777" w:rsidR="001F3F31" w:rsidRPr="00775302" w:rsidRDefault="001F3F31" w:rsidP="001F3F31">
            <w:pPr>
              <w:spacing w:after="0" w:line="240" w:lineRule="auto"/>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Portugal</w:t>
            </w:r>
          </w:p>
        </w:tc>
        <w:tc>
          <w:tcPr>
            <w:tcW w:w="2835" w:type="dxa"/>
            <w:shd w:val="clear" w:color="auto" w:fill="auto"/>
            <w:noWrap/>
            <w:vAlign w:val="bottom"/>
            <w:hideMark/>
          </w:tcPr>
          <w:p w14:paraId="1DE2A7C3"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12</w:t>
            </w:r>
          </w:p>
        </w:tc>
        <w:tc>
          <w:tcPr>
            <w:tcW w:w="2835" w:type="dxa"/>
          </w:tcPr>
          <w:p w14:paraId="30C358E6" w14:textId="6B9565A8" w:rsidR="001F3F31" w:rsidRPr="00775302" w:rsidRDefault="001F3F31" w:rsidP="001F3F31">
            <w:pPr>
              <w:spacing w:after="0" w:line="240" w:lineRule="auto"/>
              <w:jc w:val="right"/>
              <w:rPr>
                <w:rFonts w:ascii="Arial" w:eastAsia="Times New Roman" w:hAnsi="Arial" w:cs="Arial"/>
                <w:noProof/>
                <w:sz w:val="20"/>
                <w:szCs w:val="20"/>
                <w:lang w:val="en-IE" w:eastAsia="en-IE"/>
              </w:rPr>
            </w:pPr>
            <w:r>
              <w:rPr>
                <w:rFonts w:ascii="Arial" w:eastAsia="Times New Roman" w:hAnsi="Arial" w:cs="Arial"/>
                <w:noProof/>
                <w:sz w:val="20"/>
                <w:szCs w:val="20"/>
                <w:lang w:val="en-IE" w:eastAsia="en-IE"/>
              </w:rPr>
              <w:t>Specific circumstances</w:t>
            </w:r>
          </w:p>
        </w:tc>
      </w:tr>
      <w:tr w:rsidR="001F3F31" w:rsidRPr="00775302" w14:paraId="14D296F8" w14:textId="51363743" w:rsidTr="001F3F31">
        <w:trPr>
          <w:trHeight w:val="264"/>
        </w:trPr>
        <w:tc>
          <w:tcPr>
            <w:tcW w:w="2972" w:type="dxa"/>
            <w:shd w:val="clear" w:color="auto" w:fill="auto"/>
            <w:noWrap/>
            <w:vAlign w:val="bottom"/>
            <w:hideMark/>
          </w:tcPr>
          <w:p w14:paraId="178A90E0" w14:textId="77777777" w:rsidR="001F3F31" w:rsidRPr="00775302" w:rsidRDefault="001F3F31" w:rsidP="001F3F31">
            <w:pPr>
              <w:spacing w:after="0" w:line="240" w:lineRule="auto"/>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Romania</w:t>
            </w:r>
          </w:p>
        </w:tc>
        <w:tc>
          <w:tcPr>
            <w:tcW w:w="2835" w:type="dxa"/>
            <w:shd w:val="clear" w:color="auto" w:fill="auto"/>
            <w:noWrap/>
            <w:vAlign w:val="bottom"/>
            <w:hideMark/>
          </w:tcPr>
          <w:p w14:paraId="39E4AD21"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2</w:t>
            </w:r>
          </w:p>
        </w:tc>
        <w:tc>
          <w:tcPr>
            <w:tcW w:w="2835" w:type="dxa"/>
          </w:tcPr>
          <w:p w14:paraId="27F2D8A9"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p>
        </w:tc>
      </w:tr>
      <w:tr w:rsidR="001F3F31" w:rsidRPr="00775302" w14:paraId="37A61E3B" w14:textId="2A6EA4A3" w:rsidTr="001F3F31">
        <w:trPr>
          <w:trHeight w:val="264"/>
        </w:trPr>
        <w:tc>
          <w:tcPr>
            <w:tcW w:w="2972" w:type="dxa"/>
            <w:shd w:val="clear" w:color="auto" w:fill="auto"/>
            <w:noWrap/>
            <w:vAlign w:val="bottom"/>
            <w:hideMark/>
          </w:tcPr>
          <w:p w14:paraId="6DF6629C" w14:textId="77777777" w:rsidR="001F3F31" w:rsidRPr="00775302" w:rsidRDefault="001F3F31" w:rsidP="001F3F31">
            <w:pPr>
              <w:spacing w:after="0" w:line="240" w:lineRule="auto"/>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Slovakia</w:t>
            </w:r>
          </w:p>
        </w:tc>
        <w:tc>
          <w:tcPr>
            <w:tcW w:w="2835" w:type="dxa"/>
            <w:shd w:val="clear" w:color="auto" w:fill="auto"/>
            <w:noWrap/>
            <w:vAlign w:val="bottom"/>
            <w:hideMark/>
          </w:tcPr>
          <w:p w14:paraId="2031F58E"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7</w:t>
            </w:r>
          </w:p>
        </w:tc>
        <w:tc>
          <w:tcPr>
            <w:tcW w:w="2835" w:type="dxa"/>
          </w:tcPr>
          <w:p w14:paraId="71AEC180" w14:textId="0840C4BC" w:rsidR="001F3F31" w:rsidRPr="00775302" w:rsidRDefault="009A5C9D" w:rsidP="001F3F31">
            <w:pPr>
              <w:spacing w:after="0" w:line="240" w:lineRule="auto"/>
              <w:jc w:val="right"/>
              <w:rPr>
                <w:rFonts w:ascii="Arial" w:eastAsia="Times New Roman" w:hAnsi="Arial" w:cs="Arial"/>
                <w:noProof/>
                <w:sz w:val="20"/>
                <w:szCs w:val="20"/>
                <w:lang w:val="en-IE" w:eastAsia="en-IE"/>
              </w:rPr>
            </w:pPr>
            <w:r>
              <w:rPr>
                <w:rFonts w:ascii="Arial" w:eastAsia="Times New Roman" w:hAnsi="Arial" w:cs="Arial"/>
                <w:noProof/>
                <w:sz w:val="20"/>
                <w:szCs w:val="20"/>
                <w:lang w:val="en-IE" w:eastAsia="en-IE"/>
              </w:rPr>
              <w:t>Yes</w:t>
            </w:r>
          </w:p>
        </w:tc>
      </w:tr>
      <w:tr w:rsidR="001F3F31" w:rsidRPr="00775302" w14:paraId="7A768472" w14:textId="584245DB" w:rsidTr="001F3F31">
        <w:trPr>
          <w:trHeight w:val="264"/>
        </w:trPr>
        <w:tc>
          <w:tcPr>
            <w:tcW w:w="2972" w:type="dxa"/>
            <w:shd w:val="clear" w:color="auto" w:fill="auto"/>
            <w:noWrap/>
            <w:vAlign w:val="bottom"/>
            <w:hideMark/>
          </w:tcPr>
          <w:p w14:paraId="7AE28882" w14:textId="77777777" w:rsidR="001F3F31" w:rsidRPr="00775302" w:rsidRDefault="001F3F31" w:rsidP="001F3F31">
            <w:pPr>
              <w:spacing w:after="0" w:line="240" w:lineRule="auto"/>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Slovenia</w:t>
            </w:r>
          </w:p>
        </w:tc>
        <w:tc>
          <w:tcPr>
            <w:tcW w:w="2835" w:type="dxa"/>
            <w:shd w:val="clear" w:color="auto" w:fill="auto"/>
            <w:noWrap/>
            <w:vAlign w:val="bottom"/>
            <w:hideMark/>
          </w:tcPr>
          <w:p w14:paraId="5F9BE394"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12</w:t>
            </w:r>
          </w:p>
        </w:tc>
        <w:tc>
          <w:tcPr>
            <w:tcW w:w="2835" w:type="dxa"/>
          </w:tcPr>
          <w:p w14:paraId="017ED43B"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p>
        </w:tc>
      </w:tr>
      <w:tr w:rsidR="001F3F31" w:rsidRPr="00775302" w14:paraId="6C683C71" w14:textId="79A07D99" w:rsidTr="001F3F31">
        <w:trPr>
          <w:trHeight w:val="264"/>
        </w:trPr>
        <w:tc>
          <w:tcPr>
            <w:tcW w:w="2972" w:type="dxa"/>
            <w:shd w:val="clear" w:color="auto" w:fill="auto"/>
            <w:noWrap/>
            <w:vAlign w:val="bottom"/>
            <w:hideMark/>
          </w:tcPr>
          <w:p w14:paraId="2FC407E5" w14:textId="77777777" w:rsidR="001F3F31" w:rsidRPr="00775302" w:rsidRDefault="001F3F31" w:rsidP="001F3F31">
            <w:pPr>
              <w:spacing w:after="0" w:line="240" w:lineRule="auto"/>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Spain</w:t>
            </w:r>
          </w:p>
        </w:tc>
        <w:tc>
          <w:tcPr>
            <w:tcW w:w="2835" w:type="dxa"/>
            <w:shd w:val="clear" w:color="auto" w:fill="auto"/>
            <w:noWrap/>
            <w:vAlign w:val="bottom"/>
            <w:hideMark/>
          </w:tcPr>
          <w:p w14:paraId="0E6FA70C"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37</w:t>
            </w:r>
          </w:p>
        </w:tc>
        <w:tc>
          <w:tcPr>
            <w:tcW w:w="2835" w:type="dxa"/>
          </w:tcPr>
          <w:p w14:paraId="1CFF5032" w14:textId="05ECB534" w:rsidR="001F3F31" w:rsidRPr="00775302" w:rsidRDefault="001F3F31" w:rsidP="001F3F31">
            <w:pPr>
              <w:spacing w:after="0" w:line="240" w:lineRule="auto"/>
              <w:jc w:val="right"/>
              <w:rPr>
                <w:rFonts w:ascii="Arial" w:eastAsia="Times New Roman" w:hAnsi="Arial" w:cs="Arial"/>
                <w:noProof/>
                <w:sz w:val="20"/>
                <w:szCs w:val="20"/>
                <w:lang w:val="en-IE" w:eastAsia="en-IE"/>
              </w:rPr>
            </w:pPr>
            <w:r>
              <w:rPr>
                <w:rFonts w:ascii="Arial" w:eastAsia="Times New Roman" w:hAnsi="Arial" w:cs="Arial"/>
                <w:noProof/>
                <w:sz w:val="20"/>
                <w:szCs w:val="20"/>
                <w:lang w:val="en-IE" w:eastAsia="en-IE"/>
              </w:rPr>
              <w:t>Specific sectors</w:t>
            </w:r>
          </w:p>
        </w:tc>
      </w:tr>
      <w:tr w:rsidR="001F3F31" w:rsidRPr="00775302" w14:paraId="331FC160" w14:textId="09B445B1" w:rsidTr="001F3F31">
        <w:trPr>
          <w:trHeight w:val="264"/>
        </w:trPr>
        <w:tc>
          <w:tcPr>
            <w:tcW w:w="2972" w:type="dxa"/>
            <w:shd w:val="clear" w:color="auto" w:fill="auto"/>
            <w:noWrap/>
            <w:vAlign w:val="bottom"/>
            <w:hideMark/>
          </w:tcPr>
          <w:p w14:paraId="75E3A705" w14:textId="77777777" w:rsidR="001F3F31" w:rsidRPr="00775302" w:rsidRDefault="001F3F31" w:rsidP="001F3F31">
            <w:pPr>
              <w:spacing w:after="0" w:line="240" w:lineRule="auto"/>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Sweden</w:t>
            </w:r>
          </w:p>
        </w:tc>
        <w:tc>
          <w:tcPr>
            <w:tcW w:w="2835" w:type="dxa"/>
            <w:shd w:val="clear" w:color="auto" w:fill="auto"/>
            <w:noWrap/>
            <w:vAlign w:val="bottom"/>
            <w:hideMark/>
          </w:tcPr>
          <w:p w14:paraId="398B6147" w14:textId="77777777" w:rsidR="001F3F31" w:rsidRPr="00775302" w:rsidRDefault="001F3F31" w:rsidP="001F3F31">
            <w:pPr>
              <w:spacing w:after="0" w:line="240" w:lineRule="auto"/>
              <w:jc w:val="right"/>
              <w:rPr>
                <w:rFonts w:ascii="Arial" w:eastAsia="Times New Roman" w:hAnsi="Arial" w:cs="Arial"/>
                <w:noProof/>
                <w:sz w:val="20"/>
                <w:szCs w:val="20"/>
                <w:lang w:val="en-IE" w:eastAsia="en-IE"/>
              </w:rPr>
            </w:pPr>
            <w:r w:rsidRPr="00775302">
              <w:rPr>
                <w:rFonts w:ascii="Arial" w:eastAsia="Times New Roman" w:hAnsi="Arial" w:cs="Arial"/>
                <w:noProof/>
                <w:sz w:val="20"/>
                <w:szCs w:val="20"/>
                <w:lang w:val="en-IE" w:eastAsia="en-IE"/>
              </w:rPr>
              <w:t>7</w:t>
            </w:r>
          </w:p>
        </w:tc>
        <w:tc>
          <w:tcPr>
            <w:tcW w:w="2835" w:type="dxa"/>
          </w:tcPr>
          <w:p w14:paraId="63E23B44" w14:textId="67604498" w:rsidR="001F3F31" w:rsidRPr="00775302" w:rsidRDefault="001F3F31" w:rsidP="001F3F31">
            <w:pPr>
              <w:spacing w:after="0" w:line="240" w:lineRule="auto"/>
              <w:jc w:val="right"/>
              <w:rPr>
                <w:rFonts w:ascii="Arial" w:eastAsia="Times New Roman" w:hAnsi="Arial" w:cs="Arial"/>
                <w:noProof/>
                <w:sz w:val="20"/>
                <w:szCs w:val="20"/>
                <w:lang w:val="en-IE" w:eastAsia="en-IE"/>
              </w:rPr>
            </w:pPr>
            <w:r>
              <w:rPr>
                <w:rFonts w:ascii="Arial" w:eastAsia="Times New Roman" w:hAnsi="Arial" w:cs="Arial"/>
                <w:noProof/>
                <w:sz w:val="20"/>
                <w:szCs w:val="20"/>
                <w:lang w:val="en-IE" w:eastAsia="en-IE"/>
              </w:rPr>
              <w:t>Specific circumstances</w:t>
            </w:r>
          </w:p>
        </w:tc>
      </w:tr>
      <w:tr w:rsidR="001F3F31" w:rsidRPr="00775302" w14:paraId="67481368" w14:textId="790880BB" w:rsidTr="001F3F31">
        <w:trPr>
          <w:trHeight w:val="264"/>
        </w:trPr>
        <w:tc>
          <w:tcPr>
            <w:tcW w:w="2972" w:type="dxa"/>
            <w:shd w:val="clear" w:color="auto" w:fill="auto"/>
            <w:noWrap/>
            <w:vAlign w:val="bottom"/>
          </w:tcPr>
          <w:p w14:paraId="6C6F445A" w14:textId="57865073" w:rsidR="001F3F31" w:rsidRPr="001F3F31" w:rsidRDefault="001F3F31" w:rsidP="001F3F31">
            <w:pPr>
              <w:spacing w:after="0" w:line="240" w:lineRule="auto"/>
              <w:rPr>
                <w:rFonts w:ascii="Arial" w:eastAsia="Times New Roman" w:hAnsi="Arial" w:cs="Arial"/>
                <w:b/>
                <w:bCs/>
                <w:noProof/>
                <w:sz w:val="20"/>
                <w:szCs w:val="20"/>
                <w:lang w:val="en-IE" w:eastAsia="en-IE"/>
              </w:rPr>
            </w:pPr>
            <w:r>
              <w:rPr>
                <w:rFonts w:ascii="Arial" w:eastAsia="Times New Roman" w:hAnsi="Arial" w:cs="Arial"/>
                <w:b/>
                <w:bCs/>
                <w:noProof/>
                <w:sz w:val="20"/>
                <w:szCs w:val="20"/>
                <w:lang w:val="en-IE" w:eastAsia="en-IE"/>
              </w:rPr>
              <w:t>TOTAL</w:t>
            </w:r>
          </w:p>
        </w:tc>
        <w:tc>
          <w:tcPr>
            <w:tcW w:w="2835" w:type="dxa"/>
            <w:shd w:val="clear" w:color="auto" w:fill="auto"/>
            <w:noWrap/>
            <w:vAlign w:val="bottom"/>
          </w:tcPr>
          <w:p w14:paraId="039E3446" w14:textId="6B57281A" w:rsidR="001F3F31" w:rsidRPr="001F3F31" w:rsidRDefault="001F3F31" w:rsidP="001F3F31">
            <w:pPr>
              <w:spacing w:after="0" w:line="240" w:lineRule="auto"/>
              <w:jc w:val="right"/>
              <w:rPr>
                <w:rFonts w:ascii="Arial" w:eastAsia="Times New Roman" w:hAnsi="Arial" w:cs="Arial"/>
                <w:b/>
                <w:bCs/>
                <w:noProof/>
                <w:sz w:val="20"/>
                <w:szCs w:val="20"/>
                <w:lang w:val="en-IE" w:eastAsia="en-IE"/>
              </w:rPr>
            </w:pPr>
            <w:r>
              <w:rPr>
                <w:rFonts w:ascii="Arial" w:eastAsia="Times New Roman" w:hAnsi="Arial" w:cs="Arial"/>
                <w:b/>
                <w:bCs/>
                <w:noProof/>
                <w:sz w:val="20"/>
                <w:szCs w:val="20"/>
                <w:lang w:val="en-IE" w:eastAsia="en-IE"/>
              </w:rPr>
              <w:t>430</w:t>
            </w:r>
          </w:p>
        </w:tc>
        <w:tc>
          <w:tcPr>
            <w:tcW w:w="2835" w:type="dxa"/>
          </w:tcPr>
          <w:p w14:paraId="563F8EC0" w14:textId="77777777" w:rsidR="001F3F31" w:rsidRDefault="001F3F31" w:rsidP="001F3F31">
            <w:pPr>
              <w:spacing w:after="0" w:line="240" w:lineRule="auto"/>
              <w:jc w:val="right"/>
              <w:rPr>
                <w:rFonts w:ascii="Arial" w:eastAsia="Times New Roman" w:hAnsi="Arial" w:cs="Arial"/>
                <w:b/>
                <w:bCs/>
                <w:noProof/>
                <w:sz w:val="20"/>
                <w:szCs w:val="20"/>
                <w:lang w:val="en-IE" w:eastAsia="en-IE"/>
              </w:rPr>
            </w:pPr>
          </w:p>
        </w:tc>
      </w:tr>
    </w:tbl>
    <w:p w14:paraId="422324A3" w14:textId="69EE5AE8" w:rsidR="00775302" w:rsidRPr="009F38B3" w:rsidRDefault="00775302" w:rsidP="002274CC">
      <w:pPr>
        <w:jc w:val="both"/>
        <w:rPr>
          <w:rFonts w:ascii="Times New Roman" w:hAnsi="Times New Roman" w:cs="Times New Roman"/>
          <w:b/>
          <w:bCs/>
          <w:noProof/>
          <w:lang w:val="en-IE"/>
        </w:rPr>
      </w:pPr>
      <w:r w:rsidRPr="009F38B3">
        <w:rPr>
          <w:rFonts w:ascii="Times New Roman" w:hAnsi="Times New Roman" w:cs="Times New Roman"/>
          <w:noProof/>
          <w:lang w:val="en-IE"/>
        </w:rPr>
        <w:t xml:space="preserve"> </w:t>
      </w:r>
      <w:r w:rsidR="009A5C9D" w:rsidRPr="009F38B3">
        <w:rPr>
          <w:rFonts w:ascii="Times New Roman" w:hAnsi="Times New Roman" w:cs="Times New Roman"/>
          <w:b/>
          <w:bCs/>
          <w:noProof/>
          <w:lang w:val="en-IE"/>
        </w:rPr>
        <w:t xml:space="preserve">Source: </w:t>
      </w:r>
      <w:hyperlink r:id="rId15" w:history="1">
        <w:r w:rsidR="00B25AC3">
          <w:rPr>
            <w:rStyle w:val="Hyperlink"/>
            <w:rFonts w:ascii="Times New Roman" w:hAnsi="Times New Roman" w:cs="Times New Roman"/>
            <w:b/>
            <w:bCs/>
            <w:noProof/>
            <w:lang w:val="en-IE"/>
          </w:rPr>
          <w:t>D</w:t>
        </w:r>
        <w:r w:rsidR="009A5C9D" w:rsidRPr="00B25AC3">
          <w:rPr>
            <w:rStyle w:val="Hyperlink"/>
            <w:rFonts w:ascii="Times New Roman" w:hAnsi="Times New Roman" w:cs="Times New Roman"/>
            <w:b/>
            <w:bCs/>
            <w:noProof/>
            <w:lang w:val="en-IE"/>
          </w:rPr>
          <w:t xml:space="preserve">ata </w:t>
        </w:r>
        <w:r w:rsidR="00B25AC3">
          <w:rPr>
            <w:rStyle w:val="Hyperlink"/>
            <w:rFonts w:ascii="Times New Roman" w:hAnsi="Times New Roman" w:cs="Times New Roman"/>
            <w:b/>
            <w:bCs/>
            <w:noProof/>
            <w:lang w:val="en-IE"/>
          </w:rPr>
          <w:t>collection</w:t>
        </w:r>
        <w:r w:rsidR="009A5C9D" w:rsidRPr="00B25AC3">
          <w:rPr>
            <w:rStyle w:val="Hyperlink"/>
            <w:rFonts w:ascii="Times New Roman" w:hAnsi="Times New Roman" w:cs="Times New Roman"/>
            <w:b/>
            <w:bCs/>
            <w:noProof/>
            <w:lang w:val="en-IE"/>
          </w:rPr>
          <w:t xml:space="preserve"> study</w:t>
        </w:r>
      </w:hyperlink>
      <w:r w:rsidR="00B25AC3">
        <w:rPr>
          <w:rFonts w:ascii="Times New Roman" w:hAnsi="Times New Roman" w:cs="Times New Roman"/>
          <w:b/>
          <w:bCs/>
          <w:noProof/>
          <w:lang w:val="en-IE"/>
        </w:rPr>
        <w:t xml:space="preserve">; </w:t>
      </w:r>
      <w:hyperlink r:id="rId16" w:history="1">
        <w:r w:rsidR="00B25AC3" w:rsidRPr="00B25AC3">
          <w:rPr>
            <w:rStyle w:val="Hyperlink"/>
            <w:rFonts w:ascii="Times New Roman" w:hAnsi="Times New Roman" w:cs="Times New Roman"/>
            <w:b/>
            <w:bCs/>
            <w:noProof/>
            <w:lang w:val="en-IE"/>
          </w:rPr>
          <w:t>Annexes</w:t>
        </w:r>
      </w:hyperlink>
      <w:r w:rsidR="009A5C9D" w:rsidRPr="009F38B3">
        <w:rPr>
          <w:rFonts w:ascii="Times New Roman" w:hAnsi="Times New Roman" w:cs="Times New Roman"/>
          <w:b/>
          <w:bCs/>
          <w:noProof/>
          <w:lang w:val="en-IE"/>
        </w:rPr>
        <w:t xml:space="preserve"> + official ODR platform data</w:t>
      </w:r>
    </w:p>
    <w:p w14:paraId="670AC50E" w14:textId="16DF4495" w:rsidR="00962C5C" w:rsidRPr="00962C5C" w:rsidRDefault="31C4F9FD" w:rsidP="002274CC">
      <w:pPr>
        <w:jc w:val="both"/>
        <w:rPr>
          <w:rStyle w:val="FootnoteReference"/>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 </w:t>
      </w:r>
      <w:r w:rsidR="2DB826E7">
        <w:rPr>
          <w:rFonts w:ascii="Times New Roman" w:hAnsi="Times New Roman" w:cs="Times New Roman"/>
          <w:noProof/>
          <w:sz w:val="24"/>
          <w:szCs w:val="24"/>
          <w:lang w:val="en-IE"/>
        </w:rPr>
        <w:t>As</w:t>
      </w:r>
      <w:r w:rsidR="2D50E4B2">
        <w:rPr>
          <w:rFonts w:ascii="Times New Roman" w:hAnsi="Times New Roman" w:cs="Times New Roman"/>
          <w:noProof/>
          <w:sz w:val="24"/>
          <w:szCs w:val="24"/>
          <w:lang w:val="en-IE"/>
        </w:rPr>
        <w:t xml:space="preserve"> communicated </w:t>
      </w:r>
      <w:r w:rsidR="2DB826E7">
        <w:rPr>
          <w:rFonts w:ascii="Times New Roman" w:hAnsi="Times New Roman" w:cs="Times New Roman"/>
          <w:noProof/>
          <w:sz w:val="24"/>
          <w:szCs w:val="24"/>
          <w:lang w:val="en-IE"/>
        </w:rPr>
        <w:t xml:space="preserve">by the national competent authorities, </w:t>
      </w:r>
      <w:r>
        <w:rPr>
          <w:rFonts w:ascii="Times New Roman" w:hAnsi="Times New Roman" w:cs="Times New Roman"/>
          <w:noProof/>
          <w:sz w:val="24"/>
          <w:szCs w:val="24"/>
          <w:lang w:val="en-IE"/>
        </w:rPr>
        <w:t xml:space="preserve">64% of all notified ADR entities </w:t>
      </w:r>
      <w:r w:rsidR="019D3558">
        <w:rPr>
          <w:rFonts w:ascii="Times New Roman" w:hAnsi="Times New Roman" w:cs="Times New Roman"/>
          <w:noProof/>
          <w:sz w:val="24"/>
          <w:szCs w:val="24"/>
          <w:lang w:val="en-IE"/>
        </w:rPr>
        <w:t>deliver non-binding outcomes,</w:t>
      </w:r>
      <w:r>
        <w:rPr>
          <w:rFonts w:ascii="Times New Roman" w:hAnsi="Times New Roman" w:cs="Times New Roman"/>
          <w:noProof/>
          <w:sz w:val="24"/>
          <w:szCs w:val="24"/>
          <w:lang w:val="en-IE"/>
        </w:rPr>
        <w:t xml:space="preserve"> further 20% deliver outcomes that are binding on both parties, while the remaining ADR entities’ outcomes are binding only upon traders, or more than one type of outcome can be delivered.</w:t>
      </w:r>
      <w:r w:rsidR="00574CE3">
        <w:rPr>
          <w:rStyle w:val="FootnoteReference"/>
          <w:rFonts w:ascii="Times New Roman" w:hAnsi="Times New Roman" w:cs="Times New Roman"/>
          <w:noProof/>
          <w:sz w:val="24"/>
          <w:szCs w:val="24"/>
          <w:lang w:val="en-IE"/>
        </w:rPr>
        <w:footnoteReference w:id="13"/>
      </w:r>
      <w:r w:rsidR="007F520E">
        <w:rPr>
          <w:rFonts w:ascii="Times New Roman" w:hAnsi="Times New Roman" w:cs="Times New Roman"/>
          <w:noProof/>
          <w:sz w:val="24"/>
          <w:szCs w:val="24"/>
          <w:lang w:val="en-IE"/>
        </w:rPr>
        <w:t xml:space="preserve"> </w:t>
      </w:r>
      <w:r w:rsidR="4CA35FA1" w:rsidRPr="5FDD6E94">
        <w:rPr>
          <w:rFonts w:ascii="Times New Roman" w:hAnsi="Times New Roman" w:cs="Times New Roman"/>
          <w:noProof/>
          <w:sz w:val="24"/>
          <w:szCs w:val="24"/>
          <w:lang w:val="en-IE"/>
        </w:rPr>
        <w:t>Over</w:t>
      </w:r>
      <w:r w:rsidR="00C574CF">
        <w:rPr>
          <w:rFonts w:ascii="Times New Roman" w:hAnsi="Times New Roman" w:cs="Times New Roman"/>
          <w:noProof/>
          <w:sz w:val="24"/>
          <w:szCs w:val="24"/>
          <w:lang w:val="en-IE"/>
        </w:rPr>
        <w:t>all, as concluded in the evaluation</w:t>
      </w:r>
      <w:r w:rsidR="00C574CF">
        <w:rPr>
          <w:rStyle w:val="FootnoteReference"/>
          <w:rFonts w:ascii="Times New Roman" w:hAnsi="Times New Roman" w:cs="Times New Roman"/>
          <w:noProof/>
          <w:sz w:val="24"/>
          <w:szCs w:val="24"/>
          <w:lang w:val="en-IE"/>
        </w:rPr>
        <w:footnoteReference w:id="14"/>
      </w:r>
      <w:r w:rsidR="4CA35FA1" w:rsidRPr="49E06A43">
        <w:rPr>
          <w:rFonts w:ascii="Times New Roman" w:hAnsi="Times New Roman" w:cs="Times New Roman"/>
          <w:noProof/>
          <w:sz w:val="24"/>
          <w:szCs w:val="24"/>
          <w:lang w:val="en-IE"/>
        </w:rPr>
        <w:t xml:space="preserve"> eight</w:t>
      </w:r>
      <w:r w:rsidR="41DE2B89" w:rsidRPr="740EA130">
        <w:rPr>
          <w:rFonts w:ascii="Times New Roman" w:hAnsi="Times New Roman" w:cs="Times New Roman"/>
          <w:noProof/>
          <w:sz w:val="24"/>
          <w:szCs w:val="24"/>
          <w:lang w:val="en-IE"/>
        </w:rPr>
        <w:t xml:space="preserve"> Member States do not allow for binding outcomes, while 17 Member States only make the outcomes binding in certain circumstances/under certain conditions</w:t>
      </w:r>
      <w:r w:rsidR="00923856">
        <w:rPr>
          <w:rFonts w:ascii="Times New Roman" w:hAnsi="Times New Roman" w:cs="Times New Roman"/>
          <w:noProof/>
          <w:sz w:val="24"/>
          <w:szCs w:val="24"/>
          <w:lang w:val="en-IE"/>
        </w:rPr>
        <w:t>.</w:t>
      </w:r>
    </w:p>
    <w:p w14:paraId="07845DA2" w14:textId="77777777" w:rsidR="00650FA0" w:rsidRPr="004C00FF" w:rsidRDefault="00650FA0" w:rsidP="00E92D9C">
      <w:pPr>
        <w:jc w:val="both"/>
        <w:rPr>
          <w:rFonts w:ascii="Times New Roman" w:hAnsi="Times New Roman" w:cs="Times New Roman"/>
          <w:b/>
          <w:bCs/>
          <w:noProof/>
          <w:sz w:val="24"/>
          <w:szCs w:val="24"/>
          <w:lang w:val="en-IE"/>
        </w:rPr>
      </w:pPr>
      <w:r w:rsidRPr="004C00FF">
        <w:rPr>
          <w:rFonts w:ascii="Times New Roman" w:hAnsi="Times New Roman" w:cs="Times New Roman"/>
          <w:b/>
          <w:bCs/>
          <w:noProof/>
          <w:sz w:val="24"/>
          <w:szCs w:val="24"/>
          <w:lang w:val="en-IE"/>
        </w:rPr>
        <w:t>Use of the ADR entities by traders</w:t>
      </w:r>
    </w:p>
    <w:p w14:paraId="2EDDA870" w14:textId="5D0F2059" w:rsidR="002D3372" w:rsidRDefault="00927259" w:rsidP="00E92D9C">
      <w:pPr>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The 2019 Consumer Conditions Scoreboard</w:t>
      </w:r>
      <w:r>
        <w:rPr>
          <w:rStyle w:val="FootnoteReference"/>
          <w:rFonts w:ascii="Times New Roman" w:hAnsi="Times New Roman" w:cs="Times New Roman"/>
          <w:noProof/>
          <w:sz w:val="24"/>
          <w:szCs w:val="24"/>
          <w:lang w:val="en-IE"/>
        </w:rPr>
        <w:footnoteReference w:id="15"/>
      </w:r>
      <w:r w:rsidR="00813A72">
        <w:rPr>
          <w:rFonts w:ascii="Times New Roman" w:hAnsi="Times New Roman" w:cs="Times New Roman"/>
          <w:noProof/>
          <w:sz w:val="24"/>
          <w:szCs w:val="24"/>
          <w:lang w:val="en-IE"/>
        </w:rPr>
        <w:t xml:space="preserve"> revealed that only 30% of the EU retailers were willing and able to use ADR, while 43% were unaware of its existence. However,</w:t>
      </w:r>
      <w:r w:rsidR="00562D44">
        <w:rPr>
          <w:rFonts w:ascii="Times New Roman" w:hAnsi="Times New Roman" w:cs="Times New Roman"/>
          <w:noProof/>
          <w:sz w:val="24"/>
          <w:szCs w:val="24"/>
          <w:lang w:val="en-IE"/>
        </w:rPr>
        <w:t xml:space="preserve"> the evaluation</w:t>
      </w:r>
      <w:r w:rsidR="00562D44">
        <w:rPr>
          <w:rStyle w:val="FootnoteReference"/>
          <w:rFonts w:ascii="Times New Roman" w:hAnsi="Times New Roman" w:cs="Times New Roman"/>
          <w:noProof/>
          <w:sz w:val="24"/>
          <w:szCs w:val="24"/>
          <w:lang w:val="en-IE"/>
        </w:rPr>
        <w:footnoteReference w:id="16"/>
      </w:r>
      <w:r w:rsidR="00562D44">
        <w:rPr>
          <w:rFonts w:ascii="Times New Roman" w:hAnsi="Times New Roman" w:cs="Times New Roman"/>
          <w:noProof/>
          <w:sz w:val="24"/>
          <w:szCs w:val="24"/>
          <w:lang w:val="en-IE"/>
        </w:rPr>
        <w:t xml:space="preserve"> shows that</w:t>
      </w:r>
      <w:r w:rsidR="002B4CFC">
        <w:rPr>
          <w:rFonts w:ascii="Times New Roman" w:hAnsi="Times New Roman" w:cs="Times New Roman"/>
          <w:noProof/>
          <w:sz w:val="24"/>
          <w:szCs w:val="24"/>
          <w:lang w:val="en-IE"/>
        </w:rPr>
        <w:t>, in most Member States</w:t>
      </w:r>
      <w:r w:rsidR="00E60DEA">
        <w:rPr>
          <w:rFonts w:ascii="Times New Roman" w:hAnsi="Times New Roman" w:cs="Times New Roman"/>
          <w:noProof/>
          <w:sz w:val="24"/>
          <w:szCs w:val="24"/>
          <w:lang w:val="en-IE"/>
        </w:rPr>
        <w:t>,</w:t>
      </w:r>
      <w:r w:rsidR="00E52F26">
        <w:rPr>
          <w:rFonts w:ascii="Times New Roman" w:hAnsi="Times New Roman" w:cs="Times New Roman"/>
          <w:noProof/>
          <w:sz w:val="24"/>
          <w:szCs w:val="24"/>
          <w:lang w:val="en-IE"/>
        </w:rPr>
        <w:t xml:space="preserve"> </w:t>
      </w:r>
      <w:r w:rsidR="00813A72">
        <w:rPr>
          <w:rFonts w:ascii="Times New Roman" w:hAnsi="Times New Roman" w:cs="Times New Roman"/>
          <w:noProof/>
          <w:sz w:val="24"/>
          <w:szCs w:val="24"/>
          <w:lang w:val="en-IE"/>
        </w:rPr>
        <w:t xml:space="preserve">when a consumer approaches an ADR entity with a dispute, </w:t>
      </w:r>
      <w:r w:rsidR="00912871">
        <w:rPr>
          <w:rFonts w:ascii="Times New Roman" w:hAnsi="Times New Roman" w:cs="Times New Roman"/>
          <w:noProof/>
          <w:sz w:val="24"/>
          <w:szCs w:val="24"/>
          <w:lang w:val="en-IE"/>
        </w:rPr>
        <w:t>the trader</w:t>
      </w:r>
      <w:r w:rsidR="004F6883">
        <w:rPr>
          <w:rFonts w:ascii="Times New Roman" w:hAnsi="Times New Roman" w:cs="Times New Roman"/>
          <w:noProof/>
          <w:sz w:val="24"/>
          <w:szCs w:val="24"/>
          <w:lang w:val="en-IE"/>
        </w:rPr>
        <w:t xml:space="preserve">s are generally willing </w:t>
      </w:r>
      <w:r w:rsidR="00BC7D6D">
        <w:rPr>
          <w:rFonts w:ascii="Times New Roman" w:hAnsi="Times New Roman" w:cs="Times New Roman"/>
          <w:noProof/>
          <w:sz w:val="24"/>
          <w:szCs w:val="24"/>
          <w:lang w:val="en-IE"/>
        </w:rPr>
        <w:t>to engage</w:t>
      </w:r>
      <w:r w:rsidR="00E60DEA">
        <w:rPr>
          <w:rFonts w:ascii="Times New Roman" w:hAnsi="Times New Roman" w:cs="Times New Roman"/>
          <w:noProof/>
          <w:sz w:val="24"/>
          <w:szCs w:val="24"/>
          <w:lang w:val="en-IE"/>
        </w:rPr>
        <w:t>:</w:t>
      </w:r>
      <w:r w:rsidR="002F7390">
        <w:rPr>
          <w:rFonts w:ascii="Times New Roman" w:hAnsi="Times New Roman" w:cs="Times New Roman"/>
          <w:noProof/>
          <w:sz w:val="24"/>
          <w:szCs w:val="24"/>
          <w:lang w:val="en-IE"/>
        </w:rPr>
        <w:t xml:space="preserve"> </w:t>
      </w:r>
      <w:r w:rsidR="00E57BA1">
        <w:rPr>
          <w:rFonts w:ascii="Times New Roman" w:hAnsi="Times New Roman" w:cs="Times New Roman"/>
          <w:noProof/>
          <w:sz w:val="24"/>
          <w:szCs w:val="24"/>
          <w:lang w:val="en-IE"/>
        </w:rPr>
        <w:t xml:space="preserve">10% or less </w:t>
      </w:r>
      <w:r w:rsidR="009E381A">
        <w:rPr>
          <w:rFonts w:ascii="Times New Roman" w:hAnsi="Times New Roman" w:cs="Times New Roman"/>
          <w:noProof/>
          <w:sz w:val="24"/>
          <w:szCs w:val="24"/>
          <w:lang w:val="en-IE"/>
        </w:rPr>
        <w:t xml:space="preserve">of </w:t>
      </w:r>
      <w:r w:rsidR="00E57BA1">
        <w:rPr>
          <w:rFonts w:ascii="Times New Roman" w:hAnsi="Times New Roman" w:cs="Times New Roman"/>
          <w:noProof/>
          <w:sz w:val="24"/>
          <w:szCs w:val="24"/>
          <w:lang w:val="en-IE"/>
        </w:rPr>
        <w:t>traders refus</w:t>
      </w:r>
      <w:r w:rsidR="009E381A">
        <w:rPr>
          <w:rFonts w:ascii="Times New Roman" w:hAnsi="Times New Roman" w:cs="Times New Roman"/>
          <w:noProof/>
          <w:sz w:val="24"/>
          <w:szCs w:val="24"/>
          <w:lang w:val="en-IE"/>
        </w:rPr>
        <w:t xml:space="preserve">e to participate </w:t>
      </w:r>
      <w:r w:rsidR="00C010BA">
        <w:rPr>
          <w:rFonts w:ascii="Times New Roman" w:hAnsi="Times New Roman" w:cs="Times New Roman"/>
          <w:noProof/>
          <w:sz w:val="24"/>
          <w:szCs w:val="24"/>
          <w:lang w:val="en-IE"/>
        </w:rPr>
        <w:t>in</w:t>
      </w:r>
      <w:r w:rsidR="002F7390">
        <w:rPr>
          <w:rFonts w:ascii="Times New Roman" w:hAnsi="Times New Roman" w:cs="Times New Roman"/>
          <w:noProof/>
          <w:sz w:val="24"/>
          <w:szCs w:val="24"/>
          <w:lang w:val="en-IE"/>
        </w:rPr>
        <w:t xml:space="preserve"> </w:t>
      </w:r>
      <w:r w:rsidR="009E381A">
        <w:rPr>
          <w:rFonts w:ascii="Times New Roman" w:hAnsi="Times New Roman" w:cs="Times New Roman"/>
          <w:noProof/>
          <w:sz w:val="24"/>
          <w:szCs w:val="24"/>
          <w:lang w:val="en-IE"/>
        </w:rPr>
        <w:t xml:space="preserve">the </w:t>
      </w:r>
      <w:r w:rsidR="004C00FF">
        <w:rPr>
          <w:rFonts w:ascii="Times New Roman" w:hAnsi="Times New Roman" w:cs="Times New Roman"/>
          <w:noProof/>
          <w:sz w:val="24"/>
          <w:szCs w:val="24"/>
          <w:lang w:val="en-IE"/>
        </w:rPr>
        <w:t>proposed ADR</w:t>
      </w:r>
      <w:r w:rsidR="009E381A">
        <w:rPr>
          <w:rFonts w:ascii="Times New Roman" w:hAnsi="Times New Roman" w:cs="Times New Roman"/>
          <w:noProof/>
          <w:sz w:val="24"/>
          <w:szCs w:val="24"/>
          <w:lang w:val="en-IE"/>
        </w:rPr>
        <w:t xml:space="preserve"> procedures</w:t>
      </w:r>
      <w:r w:rsidR="00764587">
        <w:rPr>
          <w:rFonts w:ascii="Times New Roman" w:hAnsi="Times New Roman" w:cs="Times New Roman"/>
          <w:noProof/>
          <w:sz w:val="24"/>
          <w:szCs w:val="24"/>
          <w:lang w:val="en-IE"/>
        </w:rPr>
        <w:t xml:space="preserve"> on average. </w:t>
      </w:r>
      <w:r w:rsidR="002F7390">
        <w:rPr>
          <w:rFonts w:ascii="Times New Roman" w:hAnsi="Times New Roman" w:cs="Times New Roman"/>
          <w:noProof/>
          <w:sz w:val="24"/>
          <w:szCs w:val="24"/>
          <w:lang w:val="en-IE"/>
        </w:rPr>
        <w:t xml:space="preserve"> </w:t>
      </w:r>
    </w:p>
    <w:p w14:paraId="74D4722F" w14:textId="2355FA18" w:rsidR="00650FA0" w:rsidRPr="004C00FF" w:rsidRDefault="00650FA0" w:rsidP="00E92D9C">
      <w:pPr>
        <w:jc w:val="both"/>
        <w:rPr>
          <w:rFonts w:ascii="Times New Roman" w:hAnsi="Times New Roman" w:cs="Times New Roman"/>
          <w:b/>
          <w:bCs/>
          <w:noProof/>
          <w:sz w:val="24"/>
          <w:szCs w:val="24"/>
          <w:lang w:val="en-IE"/>
        </w:rPr>
      </w:pPr>
      <w:r w:rsidRPr="004C00FF">
        <w:rPr>
          <w:rFonts w:ascii="Times New Roman" w:hAnsi="Times New Roman" w:cs="Times New Roman"/>
          <w:b/>
          <w:bCs/>
          <w:noProof/>
          <w:sz w:val="24"/>
          <w:szCs w:val="24"/>
          <w:lang w:val="en-IE"/>
        </w:rPr>
        <w:t xml:space="preserve">Use of ADR entities by </w:t>
      </w:r>
      <w:r w:rsidR="004C00FF">
        <w:rPr>
          <w:rFonts w:ascii="Times New Roman" w:hAnsi="Times New Roman" w:cs="Times New Roman"/>
          <w:b/>
          <w:bCs/>
          <w:noProof/>
          <w:sz w:val="24"/>
          <w:szCs w:val="24"/>
          <w:lang w:val="en-IE"/>
        </w:rPr>
        <w:t>c</w:t>
      </w:r>
      <w:r w:rsidRPr="004C00FF">
        <w:rPr>
          <w:rFonts w:ascii="Times New Roman" w:hAnsi="Times New Roman" w:cs="Times New Roman"/>
          <w:b/>
          <w:bCs/>
          <w:noProof/>
          <w:sz w:val="24"/>
          <w:szCs w:val="24"/>
          <w:lang w:val="en-IE"/>
        </w:rPr>
        <w:t>onsumers</w:t>
      </w:r>
    </w:p>
    <w:p w14:paraId="5E0BA67E" w14:textId="5B6C6174" w:rsidR="006D5D68" w:rsidRDefault="006D5D68" w:rsidP="00E92D9C">
      <w:pPr>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The 2019 report concluded that the practical effect of the ADR directive was limited due to the relatively low consumer awareness. It must be said that almost all Member States already take measures to promote and incentivise the use of consumer ADR.</w:t>
      </w:r>
      <w:r>
        <w:rPr>
          <w:rStyle w:val="FootnoteReference"/>
          <w:rFonts w:ascii="Times New Roman" w:hAnsi="Times New Roman" w:cs="Times New Roman"/>
          <w:noProof/>
          <w:sz w:val="24"/>
          <w:szCs w:val="24"/>
          <w:lang w:val="en-IE"/>
        </w:rPr>
        <w:footnoteReference w:id="17"/>
      </w:r>
      <w:r w:rsidR="001427AC">
        <w:rPr>
          <w:rFonts w:ascii="Times New Roman" w:hAnsi="Times New Roman" w:cs="Times New Roman"/>
          <w:noProof/>
          <w:sz w:val="24"/>
          <w:szCs w:val="24"/>
          <w:lang w:val="en-IE"/>
        </w:rPr>
        <w:t xml:space="preserve"> Nevertheless, only 6% </w:t>
      </w:r>
      <w:r w:rsidR="009F38B3">
        <w:rPr>
          <w:rFonts w:ascii="Times New Roman" w:hAnsi="Times New Roman" w:cs="Times New Roman"/>
          <w:noProof/>
          <w:sz w:val="24"/>
          <w:szCs w:val="24"/>
          <w:lang w:val="en-IE"/>
        </w:rPr>
        <w:t xml:space="preserve">of </w:t>
      </w:r>
      <w:r w:rsidR="001427AC">
        <w:rPr>
          <w:rFonts w:ascii="Times New Roman" w:hAnsi="Times New Roman" w:cs="Times New Roman"/>
          <w:noProof/>
          <w:sz w:val="24"/>
          <w:szCs w:val="24"/>
          <w:lang w:val="en-IE"/>
        </w:rPr>
        <w:t>consumers who experienced a problem wit</w:t>
      </w:r>
      <w:r w:rsidR="00764587">
        <w:rPr>
          <w:rFonts w:ascii="Times New Roman" w:hAnsi="Times New Roman" w:cs="Times New Roman"/>
          <w:noProof/>
          <w:sz w:val="24"/>
          <w:szCs w:val="24"/>
          <w:lang w:val="en-IE"/>
        </w:rPr>
        <w:t xml:space="preserve">h </w:t>
      </w:r>
      <w:r w:rsidR="00BF6D4E">
        <w:rPr>
          <w:rFonts w:ascii="Times New Roman" w:hAnsi="Times New Roman" w:cs="Times New Roman"/>
          <w:noProof/>
          <w:sz w:val="24"/>
          <w:szCs w:val="24"/>
          <w:lang w:val="en-IE"/>
        </w:rPr>
        <w:t>a</w:t>
      </w:r>
      <w:r w:rsidR="00764587">
        <w:rPr>
          <w:rFonts w:ascii="Times New Roman" w:hAnsi="Times New Roman" w:cs="Times New Roman"/>
          <w:noProof/>
          <w:sz w:val="24"/>
          <w:szCs w:val="24"/>
          <w:lang w:val="en-IE"/>
        </w:rPr>
        <w:t xml:space="preserve"> </w:t>
      </w:r>
      <w:r w:rsidR="001427AC">
        <w:rPr>
          <w:rFonts w:ascii="Times New Roman" w:hAnsi="Times New Roman" w:cs="Times New Roman"/>
          <w:noProof/>
          <w:sz w:val="24"/>
          <w:szCs w:val="24"/>
          <w:lang w:val="en-IE"/>
        </w:rPr>
        <w:t>trader had reported it to an ADR body</w:t>
      </w:r>
      <w:r w:rsidR="001427AC">
        <w:rPr>
          <w:rStyle w:val="FootnoteReference"/>
          <w:rFonts w:ascii="Times New Roman" w:hAnsi="Times New Roman" w:cs="Times New Roman"/>
          <w:noProof/>
          <w:sz w:val="24"/>
          <w:szCs w:val="24"/>
          <w:lang w:val="en-IE"/>
        </w:rPr>
        <w:footnoteReference w:id="18"/>
      </w:r>
      <w:r w:rsidR="00B266C8">
        <w:rPr>
          <w:rFonts w:ascii="Times New Roman" w:hAnsi="Times New Roman" w:cs="Times New Roman"/>
          <w:noProof/>
          <w:sz w:val="24"/>
          <w:szCs w:val="24"/>
          <w:lang w:val="en-IE"/>
        </w:rPr>
        <w:t xml:space="preserve">. </w:t>
      </w:r>
    </w:p>
    <w:p w14:paraId="749055DC" w14:textId="64F78EA1" w:rsidR="00E92D9C" w:rsidRDefault="009A5C9D" w:rsidP="00E92D9C">
      <w:pPr>
        <w:jc w:val="both"/>
        <w:rPr>
          <w:rFonts w:ascii="Times New Roman" w:hAnsi="Times New Roman" w:cs="Times New Roman"/>
          <w:noProof/>
          <w:sz w:val="24"/>
          <w:szCs w:val="24"/>
          <w:lang w:val="en-IE"/>
        </w:rPr>
      </w:pPr>
      <w:r w:rsidRPr="79C17B5B">
        <w:rPr>
          <w:rFonts w:ascii="Times New Roman" w:hAnsi="Times New Roman" w:cs="Times New Roman"/>
          <w:noProof/>
          <w:sz w:val="24"/>
          <w:szCs w:val="24"/>
          <w:lang w:val="en-IE"/>
        </w:rPr>
        <w:t>When it comes to the actual number of disputes handled by the</w:t>
      </w:r>
      <w:r w:rsidR="00B266C8" w:rsidRPr="79C17B5B">
        <w:rPr>
          <w:rFonts w:ascii="Times New Roman" w:hAnsi="Times New Roman" w:cs="Times New Roman"/>
          <w:noProof/>
          <w:sz w:val="24"/>
          <w:szCs w:val="24"/>
          <w:lang w:val="en-IE"/>
        </w:rPr>
        <w:t xml:space="preserve"> ADR </w:t>
      </w:r>
      <w:r w:rsidRPr="79C17B5B">
        <w:rPr>
          <w:rFonts w:ascii="Times New Roman" w:hAnsi="Times New Roman" w:cs="Times New Roman"/>
          <w:noProof/>
          <w:sz w:val="24"/>
          <w:szCs w:val="24"/>
          <w:lang w:val="en-IE"/>
        </w:rPr>
        <w:t xml:space="preserve">entities, the data is </w:t>
      </w:r>
      <w:r w:rsidR="004C00FF" w:rsidRPr="79C17B5B">
        <w:rPr>
          <w:rFonts w:ascii="Times New Roman" w:hAnsi="Times New Roman" w:cs="Times New Roman"/>
          <w:noProof/>
          <w:sz w:val="24"/>
          <w:szCs w:val="24"/>
          <w:lang w:val="en-IE"/>
        </w:rPr>
        <w:t>incomplete</w:t>
      </w:r>
      <w:r w:rsidRPr="79C17B5B">
        <w:rPr>
          <w:rFonts w:ascii="Times New Roman" w:hAnsi="Times New Roman" w:cs="Times New Roman"/>
          <w:noProof/>
          <w:sz w:val="24"/>
          <w:szCs w:val="24"/>
          <w:lang w:val="en-IE"/>
        </w:rPr>
        <w:t xml:space="preserve">. It appears that ADR entities in </w:t>
      </w:r>
      <w:r w:rsidR="009E381A" w:rsidRPr="79C17B5B">
        <w:rPr>
          <w:rFonts w:ascii="Times New Roman" w:hAnsi="Times New Roman" w:cs="Times New Roman"/>
          <w:noProof/>
          <w:sz w:val="24"/>
          <w:szCs w:val="24"/>
          <w:lang w:val="en-IE"/>
        </w:rPr>
        <w:t xml:space="preserve">the </w:t>
      </w:r>
      <w:r w:rsidRPr="79C17B5B">
        <w:rPr>
          <w:rFonts w:ascii="Times New Roman" w:hAnsi="Times New Roman" w:cs="Times New Roman"/>
          <w:noProof/>
          <w:sz w:val="24"/>
          <w:szCs w:val="24"/>
          <w:lang w:val="en-IE"/>
        </w:rPr>
        <w:t xml:space="preserve">23 Member States </w:t>
      </w:r>
      <w:r w:rsidR="009E381A" w:rsidRPr="79C17B5B">
        <w:rPr>
          <w:rFonts w:ascii="Times New Roman" w:hAnsi="Times New Roman" w:cs="Times New Roman"/>
          <w:noProof/>
          <w:sz w:val="24"/>
          <w:szCs w:val="24"/>
          <w:lang w:val="en-IE"/>
        </w:rPr>
        <w:t xml:space="preserve">which provided data </w:t>
      </w:r>
      <w:r w:rsidR="72F3ACAA" w:rsidRPr="79C17B5B">
        <w:rPr>
          <w:rFonts w:ascii="Times New Roman" w:hAnsi="Times New Roman" w:cs="Times New Roman"/>
          <w:noProof/>
          <w:sz w:val="24"/>
          <w:szCs w:val="24"/>
          <w:lang w:val="en-IE"/>
        </w:rPr>
        <w:t>receive</w:t>
      </w:r>
      <w:r w:rsidRPr="79C17B5B">
        <w:rPr>
          <w:rFonts w:ascii="Times New Roman" w:hAnsi="Times New Roman" w:cs="Times New Roman"/>
          <w:noProof/>
          <w:sz w:val="24"/>
          <w:szCs w:val="24"/>
          <w:lang w:val="en-IE"/>
        </w:rPr>
        <w:t xml:space="preserve"> </w:t>
      </w:r>
      <w:r w:rsidR="009E381A" w:rsidRPr="79C17B5B">
        <w:rPr>
          <w:rFonts w:ascii="Times New Roman" w:hAnsi="Times New Roman" w:cs="Times New Roman"/>
          <w:noProof/>
          <w:sz w:val="24"/>
          <w:szCs w:val="24"/>
          <w:lang w:val="en-IE"/>
        </w:rPr>
        <w:t>around</w:t>
      </w:r>
      <w:r w:rsidRPr="79C17B5B">
        <w:rPr>
          <w:rFonts w:ascii="Times New Roman" w:hAnsi="Times New Roman" w:cs="Times New Roman"/>
          <w:noProof/>
          <w:sz w:val="24"/>
          <w:szCs w:val="24"/>
          <w:lang w:val="en-IE"/>
        </w:rPr>
        <w:t xml:space="preserve"> 300 000 </w:t>
      </w:r>
      <w:r w:rsidR="368C6B30" w:rsidRPr="79C17B5B">
        <w:rPr>
          <w:rFonts w:ascii="Times New Roman" w:hAnsi="Times New Roman" w:cs="Times New Roman"/>
          <w:noProof/>
          <w:sz w:val="24"/>
          <w:szCs w:val="24"/>
          <w:lang w:val="en-IE"/>
        </w:rPr>
        <w:t xml:space="preserve">eligible </w:t>
      </w:r>
      <w:r w:rsidRPr="79C17B5B">
        <w:rPr>
          <w:rFonts w:ascii="Times New Roman" w:hAnsi="Times New Roman" w:cs="Times New Roman"/>
          <w:noProof/>
          <w:sz w:val="24"/>
          <w:szCs w:val="24"/>
          <w:lang w:val="en-IE"/>
        </w:rPr>
        <w:t xml:space="preserve">disputes per year </w:t>
      </w:r>
      <w:r w:rsidR="009E381A" w:rsidRPr="79C17B5B">
        <w:rPr>
          <w:rFonts w:ascii="Times New Roman" w:hAnsi="Times New Roman" w:cs="Times New Roman"/>
          <w:noProof/>
          <w:sz w:val="24"/>
          <w:szCs w:val="24"/>
          <w:lang w:val="en-IE"/>
        </w:rPr>
        <w:t>in total.</w:t>
      </w:r>
      <w:r w:rsidR="00E92D9C" w:rsidRPr="79C17B5B">
        <w:rPr>
          <w:rFonts w:ascii="Times New Roman" w:hAnsi="Times New Roman" w:cs="Times New Roman"/>
          <w:noProof/>
          <w:sz w:val="24"/>
          <w:szCs w:val="24"/>
          <w:lang w:val="en-IE"/>
        </w:rPr>
        <w:t xml:space="preserve"> Two thirds of these cases were handled in Italy, Germany and France, while the lowest amount of disputes was in Croatia. However, when adjusted for the population size, the highest density of ADR cases per capita are found in Norway, Estonia and Lithuania while the lowest are in the South and East of Europe. </w:t>
      </w:r>
    </w:p>
    <w:p w14:paraId="521CA8CF" w14:textId="08D1AEC3" w:rsidR="00801682" w:rsidRDefault="009E381A" w:rsidP="00801682">
      <w:pPr>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T</w:t>
      </w:r>
      <w:r w:rsidR="00801682">
        <w:rPr>
          <w:rFonts w:ascii="Times New Roman" w:hAnsi="Times New Roman" w:cs="Times New Roman"/>
          <w:noProof/>
          <w:sz w:val="24"/>
          <w:szCs w:val="24"/>
          <w:lang w:val="en-IE"/>
        </w:rPr>
        <w:t>he resolution</w:t>
      </w:r>
      <w:r w:rsidR="004C00FF">
        <w:rPr>
          <w:rFonts w:ascii="Times New Roman" w:hAnsi="Times New Roman" w:cs="Times New Roman"/>
          <w:noProof/>
          <w:sz w:val="24"/>
          <w:szCs w:val="24"/>
          <w:lang w:val="en-IE"/>
        </w:rPr>
        <w:t xml:space="preserve"> rate</w:t>
      </w:r>
      <w:r w:rsidR="00801682">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w:t>
      </w:r>
      <w:r w:rsidR="004C00FF">
        <w:rPr>
          <w:rFonts w:ascii="Times New Roman" w:hAnsi="Times New Roman" w:cs="Times New Roman"/>
          <w:noProof/>
          <w:sz w:val="24"/>
          <w:szCs w:val="24"/>
          <w:lang w:val="en-IE"/>
        </w:rPr>
        <w:t xml:space="preserve">proportion </w:t>
      </w:r>
      <w:r>
        <w:rPr>
          <w:rFonts w:ascii="Times New Roman" w:hAnsi="Times New Roman" w:cs="Times New Roman"/>
          <w:noProof/>
          <w:sz w:val="24"/>
          <w:szCs w:val="24"/>
          <w:lang w:val="en-IE"/>
        </w:rPr>
        <w:t xml:space="preserve">of cases </w:t>
      </w:r>
      <w:r w:rsidR="004C00FF">
        <w:rPr>
          <w:rFonts w:ascii="Times New Roman" w:hAnsi="Times New Roman" w:cs="Times New Roman"/>
          <w:noProof/>
          <w:sz w:val="24"/>
          <w:szCs w:val="24"/>
          <w:lang w:val="en-IE"/>
        </w:rPr>
        <w:t xml:space="preserve">where an ADR entity delivered </w:t>
      </w:r>
      <w:r w:rsidR="009F38B3">
        <w:rPr>
          <w:rFonts w:ascii="Times New Roman" w:hAnsi="Times New Roman" w:cs="Times New Roman"/>
          <w:noProof/>
          <w:sz w:val="24"/>
          <w:szCs w:val="24"/>
          <w:lang w:val="en-IE"/>
        </w:rPr>
        <w:t xml:space="preserve">an </w:t>
      </w:r>
      <w:r w:rsidR="004C00FF">
        <w:rPr>
          <w:rFonts w:ascii="Times New Roman" w:hAnsi="Times New Roman" w:cs="Times New Roman"/>
          <w:noProof/>
          <w:sz w:val="24"/>
          <w:szCs w:val="24"/>
          <w:lang w:val="en-IE"/>
        </w:rPr>
        <w:t xml:space="preserve">outcome </w:t>
      </w:r>
      <w:r w:rsidR="009F38B3">
        <w:rPr>
          <w:rFonts w:ascii="Times New Roman" w:hAnsi="Times New Roman" w:cs="Times New Roman"/>
          <w:noProof/>
          <w:sz w:val="24"/>
          <w:szCs w:val="24"/>
          <w:lang w:val="en-IE"/>
        </w:rPr>
        <w:t xml:space="preserve">compared </w:t>
      </w:r>
      <w:r w:rsidR="004C00FF">
        <w:rPr>
          <w:rFonts w:ascii="Times New Roman" w:hAnsi="Times New Roman" w:cs="Times New Roman"/>
          <w:noProof/>
          <w:sz w:val="24"/>
          <w:szCs w:val="24"/>
          <w:lang w:val="en-IE"/>
        </w:rPr>
        <w:t xml:space="preserve">to the </w:t>
      </w:r>
      <w:r w:rsidR="009F38B3">
        <w:rPr>
          <w:rFonts w:ascii="Times New Roman" w:hAnsi="Times New Roman" w:cs="Times New Roman"/>
          <w:noProof/>
          <w:sz w:val="24"/>
          <w:szCs w:val="24"/>
          <w:lang w:val="en-IE"/>
        </w:rPr>
        <w:t xml:space="preserve">number of </w:t>
      </w:r>
      <w:r w:rsidR="004C00FF">
        <w:rPr>
          <w:rFonts w:ascii="Times New Roman" w:hAnsi="Times New Roman" w:cs="Times New Roman"/>
          <w:noProof/>
          <w:sz w:val="24"/>
          <w:szCs w:val="24"/>
          <w:lang w:val="en-IE"/>
        </w:rPr>
        <w:t xml:space="preserve">cases </w:t>
      </w:r>
      <w:r w:rsidR="009F38B3">
        <w:rPr>
          <w:rFonts w:ascii="Times New Roman" w:hAnsi="Times New Roman" w:cs="Times New Roman"/>
          <w:noProof/>
          <w:sz w:val="24"/>
          <w:szCs w:val="24"/>
          <w:lang w:val="en-IE"/>
        </w:rPr>
        <w:t xml:space="preserve">admitted by </w:t>
      </w:r>
      <w:r w:rsidR="004C00FF">
        <w:rPr>
          <w:rFonts w:ascii="Times New Roman" w:hAnsi="Times New Roman" w:cs="Times New Roman"/>
          <w:noProof/>
          <w:sz w:val="24"/>
          <w:szCs w:val="24"/>
          <w:lang w:val="en-IE"/>
        </w:rPr>
        <w:t>ADR entit</w:t>
      </w:r>
      <w:r w:rsidR="009F38B3">
        <w:rPr>
          <w:rFonts w:ascii="Times New Roman" w:hAnsi="Times New Roman" w:cs="Times New Roman"/>
          <w:noProof/>
          <w:sz w:val="24"/>
          <w:szCs w:val="24"/>
          <w:lang w:val="en-IE"/>
        </w:rPr>
        <w:t>ies</w:t>
      </w:r>
      <w:r w:rsidR="004C00FF">
        <w:rPr>
          <w:rFonts w:ascii="Times New Roman" w:hAnsi="Times New Roman" w:cs="Times New Roman"/>
          <w:noProof/>
          <w:sz w:val="24"/>
          <w:szCs w:val="24"/>
          <w:lang w:val="en-IE"/>
        </w:rPr>
        <w:t xml:space="preserve">) </w:t>
      </w:r>
      <w:r w:rsidR="00801682">
        <w:rPr>
          <w:rFonts w:ascii="Times New Roman" w:hAnsi="Times New Roman" w:cs="Times New Roman"/>
          <w:noProof/>
          <w:sz w:val="24"/>
          <w:szCs w:val="24"/>
          <w:lang w:val="en-IE"/>
        </w:rPr>
        <w:t xml:space="preserve">varies significantly per member state, although most report </w:t>
      </w:r>
      <w:r w:rsidR="009F38B3">
        <w:rPr>
          <w:rFonts w:ascii="Times New Roman" w:hAnsi="Times New Roman" w:cs="Times New Roman"/>
          <w:noProof/>
          <w:sz w:val="24"/>
          <w:szCs w:val="24"/>
          <w:lang w:val="en-IE"/>
        </w:rPr>
        <w:t xml:space="preserve">a resolution of </w:t>
      </w:r>
      <w:r w:rsidR="00801682">
        <w:rPr>
          <w:rFonts w:ascii="Times New Roman" w:hAnsi="Times New Roman" w:cs="Times New Roman"/>
          <w:noProof/>
          <w:sz w:val="24"/>
          <w:szCs w:val="24"/>
          <w:lang w:val="en-IE"/>
        </w:rPr>
        <w:t>50% or higher:</w:t>
      </w:r>
    </w:p>
    <w:p w14:paraId="656B065F" w14:textId="4FF9EF84" w:rsidR="00962C5C" w:rsidRPr="00801682" w:rsidRDefault="00801682" w:rsidP="00801682">
      <w:pPr>
        <w:jc w:val="both"/>
        <w:rPr>
          <w:rFonts w:ascii="Times New Roman" w:hAnsi="Times New Roman" w:cs="Times New Roman"/>
          <w:noProof/>
          <w:sz w:val="24"/>
          <w:szCs w:val="24"/>
          <w:lang w:val="en-IE"/>
        </w:rPr>
      </w:pPr>
      <w:r>
        <w:rPr>
          <w:noProof/>
          <w:color w:val="2B579A"/>
          <w:shd w:val="clear" w:color="auto" w:fill="E6E6E6"/>
          <w:lang w:val="en-GB" w:eastAsia="en-GB"/>
        </w:rPr>
        <w:drawing>
          <wp:inline distT="0" distB="0" distL="0" distR="0" wp14:anchorId="42666AE7" wp14:editId="6E1FF27D">
            <wp:extent cx="5566410" cy="275590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66410" cy="2755900"/>
                    </a:xfrm>
                    <a:prstGeom prst="rect">
                      <a:avLst/>
                    </a:prstGeom>
                    <a:noFill/>
                  </pic:spPr>
                </pic:pic>
              </a:graphicData>
            </a:graphic>
          </wp:inline>
        </w:drawing>
      </w:r>
      <w:r>
        <w:rPr>
          <w:rFonts w:ascii="Times New Roman" w:hAnsi="Times New Roman" w:cs="Times New Roman"/>
          <w:noProof/>
          <w:sz w:val="24"/>
          <w:szCs w:val="24"/>
          <w:lang w:val="en-IE"/>
        </w:rPr>
        <w:t xml:space="preserve"> </w:t>
      </w:r>
    </w:p>
    <w:p w14:paraId="0AC8B0D3" w14:textId="2FC2309E" w:rsidR="00B266C8" w:rsidRDefault="00801682" w:rsidP="009F38B3">
      <w:pPr>
        <w:pStyle w:val="BodyText1"/>
        <w:jc w:val="center"/>
        <w:rPr>
          <w:rFonts w:ascii="Times New Roman" w:hAnsi="Times New Roman" w:cs="Times New Roman"/>
        </w:rPr>
      </w:pPr>
      <w:r w:rsidRPr="008E75FC">
        <w:rPr>
          <w:rFonts w:ascii="Times New Roman" w:hAnsi="Times New Roman" w:cs="Times New Roman"/>
        </w:rPr>
        <w:t xml:space="preserve">Source: </w:t>
      </w:r>
      <w:r w:rsidR="00693E82">
        <w:rPr>
          <w:rFonts w:ascii="Times New Roman" w:hAnsi="Times New Roman" w:cs="Times New Roman"/>
        </w:rPr>
        <w:t>D</w:t>
      </w:r>
      <w:r w:rsidRPr="008E75FC">
        <w:rPr>
          <w:rFonts w:ascii="Times New Roman" w:hAnsi="Times New Roman" w:cs="Times New Roman"/>
        </w:rPr>
        <w:t>ata collection study: Data for 3 Member States only covered some of the years: BE (based on data 2018-2021), FR (based on data 2019 and 2020), and RO (based on data 2018-2020).</w:t>
      </w:r>
    </w:p>
    <w:p w14:paraId="2A740282" w14:textId="77777777" w:rsidR="009F38B3" w:rsidRPr="009F38B3" w:rsidRDefault="009F38B3" w:rsidP="009F38B3">
      <w:pPr>
        <w:pStyle w:val="BodyText1"/>
        <w:jc w:val="center"/>
        <w:rPr>
          <w:rFonts w:ascii="Times New Roman" w:hAnsi="Times New Roman" w:cs="Times New Roman"/>
        </w:rPr>
      </w:pPr>
    </w:p>
    <w:p w14:paraId="33B3D426" w14:textId="7E84C921" w:rsidR="00813A72" w:rsidRPr="009F38B3" w:rsidRDefault="006929D5" w:rsidP="005F0187">
      <w:pPr>
        <w:pStyle w:val="Heading1"/>
        <w:numPr>
          <w:ilvl w:val="0"/>
          <w:numId w:val="27"/>
        </w:numPr>
        <w:spacing w:after="120"/>
        <w:rPr>
          <w:noProof/>
          <w:lang w:val="en-GB"/>
        </w:rPr>
      </w:pPr>
      <w:r w:rsidRPr="006929D5">
        <w:rPr>
          <w:noProof/>
          <w:lang w:val="en-IE"/>
        </w:rPr>
        <w:t>Regulation (EU) No 524/2013</w:t>
      </w:r>
    </w:p>
    <w:p w14:paraId="490B1737" w14:textId="0EC33CE0" w:rsidR="00813A72" w:rsidRPr="00813A72" w:rsidRDefault="00813A72" w:rsidP="005F0187">
      <w:pPr>
        <w:pStyle w:val="Heading2"/>
        <w:spacing w:after="120"/>
        <w:rPr>
          <w:noProof/>
          <w:lang w:val="en-IE"/>
        </w:rPr>
      </w:pPr>
      <w:r>
        <w:rPr>
          <w:noProof/>
          <w:lang w:val="en-IE"/>
        </w:rPr>
        <w:t>3.1 Scope and objectives</w:t>
      </w:r>
    </w:p>
    <w:p w14:paraId="5925460E" w14:textId="534C0DE3" w:rsidR="00737974" w:rsidRPr="005F0187" w:rsidRDefault="00813A72" w:rsidP="005F0187">
      <w:pPr>
        <w:jc w:val="both"/>
        <w:rPr>
          <w:rFonts w:ascii="Times New Roman" w:hAnsi="Times New Roman" w:cs="Times New Roman"/>
          <w:noProof/>
          <w:sz w:val="24"/>
          <w:szCs w:val="24"/>
          <w:lang w:val="en-IE"/>
        </w:rPr>
      </w:pPr>
      <w:r w:rsidRPr="009F38B3">
        <w:rPr>
          <w:rFonts w:ascii="Times New Roman" w:eastAsia="Calibri" w:hAnsi="Times New Roman" w:cs="Times New Roman"/>
          <w:noProof/>
          <w:sz w:val="24"/>
          <w:szCs w:val="24"/>
          <w:lang w:val="en-US"/>
        </w:rPr>
        <w:t xml:space="preserve">The objective of the ODR Regulation is to establish the European Online Dispute Resolution Platform (“ODR platform”) to facilitate access to ADR for disputes stemming from online </w:t>
      </w:r>
      <w:r w:rsidR="00737974" w:rsidRPr="009F38B3">
        <w:rPr>
          <w:rFonts w:ascii="Times New Roman" w:eastAsia="Calibri" w:hAnsi="Times New Roman" w:cs="Times New Roman"/>
          <w:noProof/>
          <w:sz w:val="24"/>
          <w:szCs w:val="24"/>
          <w:lang w:val="en-US"/>
        </w:rPr>
        <w:t>purchases. The Implementing Regulation</w:t>
      </w:r>
      <w:r w:rsidR="00737974" w:rsidRPr="009F38B3">
        <w:rPr>
          <w:noProof/>
          <w:sz w:val="24"/>
          <w:szCs w:val="24"/>
          <w:vertAlign w:val="superscript"/>
          <w:lang w:val="en-US"/>
        </w:rPr>
        <w:footnoteReference w:id="19"/>
      </w:r>
      <w:r w:rsidR="00737974" w:rsidRPr="009F38B3">
        <w:rPr>
          <w:rFonts w:ascii="Times New Roman" w:eastAsia="Calibri" w:hAnsi="Times New Roman" w:cs="Times New Roman"/>
          <w:noProof/>
          <w:sz w:val="24"/>
          <w:szCs w:val="24"/>
          <w:lang w:val="en-US"/>
        </w:rPr>
        <w:t xml:space="preserve"> established the technical modalities for the functioning of the platform and the network of ODR contact points. </w:t>
      </w:r>
    </w:p>
    <w:p w14:paraId="5187782F" w14:textId="77FAC185" w:rsidR="005F0187" w:rsidRDefault="00737974" w:rsidP="005F0187">
      <w:pPr>
        <w:autoSpaceDE w:val="0"/>
        <w:autoSpaceDN w:val="0"/>
        <w:adjustRightInd w:val="0"/>
        <w:spacing w:after="0"/>
        <w:jc w:val="both"/>
        <w:rPr>
          <w:rFonts w:ascii="Times New Roman" w:eastAsia="Calibri" w:hAnsi="Times New Roman" w:cs="Times New Roman"/>
          <w:noProof/>
          <w:sz w:val="24"/>
          <w:szCs w:val="24"/>
          <w:lang w:val="en-US"/>
        </w:rPr>
      </w:pPr>
      <w:r w:rsidRPr="005F0187">
        <w:rPr>
          <w:rFonts w:ascii="Times New Roman" w:eastAsia="Calibri" w:hAnsi="Times New Roman" w:cs="Times New Roman"/>
          <w:noProof/>
          <w:sz w:val="24"/>
          <w:szCs w:val="24"/>
          <w:lang w:val="en-US"/>
        </w:rPr>
        <w:t xml:space="preserve">The Commission is responsible for the development and operation of the ODR platform, including all the translation functions necessary for the purpose of this Regulation, its maintenance, </w:t>
      </w:r>
      <w:r w:rsidR="00A733BA" w:rsidRPr="005F0187">
        <w:rPr>
          <w:rFonts w:ascii="Times New Roman" w:eastAsia="Calibri" w:hAnsi="Times New Roman" w:cs="Times New Roman"/>
          <w:noProof/>
          <w:sz w:val="24"/>
          <w:szCs w:val="24"/>
          <w:lang w:val="en-US"/>
        </w:rPr>
        <w:t>funding,</w:t>
      </w:r>
      <w:r w:rsidRPr="005F0187">
        <w:rPr>
          <w:rFonts w:ascii="Times New Roman" w:eastAsia="Calibri" w:hAnsi="Times New Roman" w:cs="Times New Roman"/>
          <w:noProof/>
          <w:sz w:val="24"/>
          <w:szCs w:val="24"/>
          <w:lang w:val="en-US"/>
        </w:rPr>
        <w:t xml:space="preserve"> and data </w:t>
      </w:r>
      <w:r w:rsidR="00A733BA">
        <w:rPr>
          <w:rFonts w:ascii="Times New Roman" w:eastAsia="Calibri" w:hAnsi="Times New Roman" w:cs="Times New Roman"/>
          <w:noProof/>
          <w:sz w:val="24"/>
          <w:szCs w:val="24"/>
          <w:lang w:val="en-US"/>
        </w:rPr>
        <w:t>protection</w:t>
      </w:r>
      <w:r w:rsidRPr="005F0187">
        <w:rPr>
          <w:rFonts w:ascii="Times New Roman" w:eastAsia="Calibri" w:hAnsi="Times New Roman" w:cs="Times New Roman"/>
          <w:noProof/>
          <w:sz w:val="24"/>
          <w:szCs w:val="24"/>
          <w:lang w:val="en-US"/>
        </w:rPr>
        <w:t xml:space="preserve">. The Commission also publishes reports and statistical information and organises the meetings of the National </w:t>
      </w:r>
      <w:r w:rsidR="00693E82">
        <w:rPr>
          <w:rFonts w:ascii="Times New Roman" w:eastAsia="Calibri" w:hAnsi="Times New Roman" w:cs="Times New Roman"/>
          <w:noProof/>
          <w:sz w:val="24"/>
          <w:szCs w:val="24"/>
          <w:lang w:val="en-US"/>
        </w:rPr>
        <w:t xml:space="preserve">ODR </w:t>
      </w:r>
      <w:r w:rsidRPr="005F0187">
        <w:rPr>
          <w:rFonts w:ascii="Times New Roman" w:eastAsia="Calibri" w:hAnsi="Times New Roman" w:cs="Times New Roman"/>
          <w:noProof/>
          <w:sz w:val="24"/>
          <w:szCs w:val="24"/>
          <w:lang w:val="en-US"/>
        </w:rPr>
        <w:t xml:space="preserve">Contact Points. </w:t>
      </w:r>
    </w:p>
    <w:p w14:paraId="77EE63DF" w14:textId="77777777" w:rsidR="005F0187" w:rsidRDefault="005F0187" w:rsidP="005F0187">
      <w:pPr>
        <w:autoSpaceDE w:val="0"/>
        <w:autoSpaceDN w:val="0"/>
        <w:adjustRightInd w:val="0"/>
        <w:spacing w:after="0"/>
        <w:jc w:val="both"/>
        <w:rPr>
          <w:rFonts w:ascii="Times New Roman" w:eastAsia="Calibri" w:hAnsi="Times New Roman" w:cs="Times New Roman"/>
          <w:noProof/>
          <w:sz w:val="24"/>
          <w:szCs w:val="24"/>
          <w:lang w:val="en-US"/>
        </w:rPr>
      </w:pPr>
    </w:p>
    <w:p w14:paraId="2F3A2D0F" w14:textId="4E81010B" w:rsidR="00737974" w:rsidRDefault="51B30789" w:rsidP="005F0187">
      <w:pPr>
        <w:autoSpaceDE w:val="0"/>
        <w:autoSpaceDN w:val="0"/>
        <w:adjustRightInd w:val="0"/>
        <w:spacing w:after="0"/>
        <w:jc w:val="both"/>
        <w:rPr>
          <w:rFonts w:ascii="Times New Roman" w:eastAsia="Calibri" w:hAnsi="Times New Roman" w:cs="Times New Roman"/>
          <w:noProof/>
          <w:sz w:val="24"/>
          <w:szCs w:val="24"/>
          <w:lang w:val="en-US"/>
        </w:rPr>
      </w:pPr>
      <w:r w:rsidRPr="5507AD98">
        <w:rPr>
          <w:rFonts w:ascii="Times New Roman" w:eastAsia="Calibri" w:hAnsi="Times New Roman" w:cs="Times New Roman"/>
          <w:noProof/>
          <w:sz w:val="24"/>
          <w:szCs w:val="24"/>
          <w:lang w:val="en-US"/>
        </w:rPr>
        <w:t>The Member States are responsible for establishing and maintaining the national ODR contact points with two national ODR advisers</w:t>
      </w:r>
      <w:r w:rsidR="001549DD">
        <w:rPr>
          <w:rFonts w:ascii="Times New Roman" w:eastAsia="Calibri" w:hAnsi="Times New Roman" w:cs="Times New Roman"/>
          <w:noProof/>
          <w:sz w:val="24"/>
          <w:szCs w:val="24"/>
          <w:lang w:val="en-US"/>
        </w:rPr>
        <w:t>. It is up to Member States to decide whom to entrust with this function</w:t>
      </w:r>
      <w:r w:rsidR="00D05F1E">
        <w:rPr>
          <w:rFonts w:ascii="Times New Roman" w:eastAsia="Calibri" w:hAnsi="Times New Roman" w:cs="Times New Roman"/>
          <w:noProof/>
          <w:sz w:val="24"/>
          <w:szCs w:val="24"/>
          <w:lang w:val="en-US"/>
        </w:rPr>
        <w:t xml:space="preserve">. Most often it is </w:t>
      </w:r>
      <w:r w:rsidRPr="5507AD98">
        <w:rPr>
          <w:rFonts w:ascii="Times New Roman" w:eastAsia="Calibri" w:hAnsi="Times New Roman" w:cs="Times New Roman"/>
          <w:noProof/>
          <w:sz w:val="24"/>
          <w:szCs w:val="24"/>
          <w:lang w:val="en-US"/>
        </w:rPr>
        <w:t xml:space="preserve"> delegated to </w:t>
      </w:r>
      <w:r w:rsidRPr="00566910">
        <w:rPr>
          <w:rFonts w:ascii="Times New Roman" w:eastAsia="Calibri" w:hAnsi="Times New Roman" w:cs="Times New Roman"/>
          <w:noProof/>
          <w:sz w:val="24"/>
          <w:szCs w:val="24"/>
          <w:lang w:val="en-US"/>
        </w:rPr>
        <w:t>a</w:t>
      </w:r>
      <w:r w:rsidR="317BD161" w:rsidRPr="00566910">
        <w:rPr>
          <w:rFonts w:ascii="Times New Roman" w:eastAsia="Calibri" w:hAnsi="Times New Roman" w:cs="Times New Roman"/>
          <w:noProof/>
          <w:sz w:val="24"/>
          <w:szCs w:val="24"/>
          <w:lang w:val="en-US"/>
        </w:rPr>
        <w:t xml:space="preserve"> European Consumers Centre </w:t>
      </w:r>
      <w:r w:rsidR="06693D49" w:rsidRPr="00566910">
        <w:rPr>
          <w:rFonts w:ascii="Times New Roman" w:eastAsia="Calibri" w:hAnsi="Times New Roman" w:cs="Times New Roman"/>
          <w:noProof/>
          <w:sz w:val="24"/>
          <w:szCs w:val="24"/>
          <w:lang w:val="en-US"/>
        </w:rPr>
        <w:t>(</w:t>
      </w:r>
      <w:r w:rsidRPr="00566910">
        <w:rPr>
          <w:rFonts w:ascii="Times New Roman" w:eastAsia="Calibri" w:hAnsi="Times New Roman" w:cs="Times New Roman"/>
          <w:noProof/>
          <w:sz w:val="24"/>
          <w:szCs w:val="24"/>
          <w:lang w:val="en-US"/>
        </w:rPr>
        <w:t>ECC</w:t>
      </w:r>
      <w:r w:rsidR="51FD75D0" w:rsidRPr="00566910">
        <w:rPr>
          <w:rFonts w:ascii="Times New Roman" w:eastAsia="Calibri" w:hAnsi="Times New Roman" w:cs="Times New Roman"/>
          <w:noProof/>
          <w:sz w:val="24"/>
          <w:szCs w:val="24"/>
          <w:lang w:val="en-US"/>
        </w:rPr>
        <w:t>)</w:t>
      </w:r>
      <w:r w:rsidRPr="008F6714">
        <w:rPr>
          <w:rFonts w:ascii="Times New Roman" w:eastAsia="Calibri" w:hAnsi="Times New Roman" w:cs="Times New Roman"/>
          <w:noProof/>
          <w:sz w:val="24"/>
          <w:szCs w:val="24"/>
          <w:lang w:val="en-US"/>
        </w:rPr>
        <w:t>,</w:t>
      </w:r>
      <w:r w:rsidR="00526347" w:rsidRPr="008F6714">
        <w:rPr>
          <w:rFonts w:ascii="Times New Roman" w:eastAsia="Calibri" w:hAnsi="Times New Roman" w:cs="Times New Roman"/>
          <w:noProof/>
          <w:sz w:val="24"/>
          <w:szCs w:val="24"/>
          <w:lang w:val="en-US"/>
        </w:rPr>
        <w:t xml:space="preserve"> except for </w:t>
      </w:r>
      <w:r w:rsidR="00CC5F27" w:rsidRPr="008F6714">
        <w:rPr>
          <w:rFonts w:ascii="Times New Roman" w:eastAsia="Calibri" w:hAnsi="Times New Roman" w:cs="Times New Roman"/>
          <w:noProof/>
          <w:sz w:val="24"/>
          <w:szCs w:val="24"/>
          <w:lang w:val="en-US"/>
        </w:rPr>
        <w:t>three Member States</w:t>
      </w:r>
      <w:r w:rsidR="00CC5F27" w:rsidRPr="008F6714">
        <w:rPr>
          <w:rStyle w:val="FootnoteReference"/>
          <w:rFonts w:ascii="Times New Roman" w:eastAsia="Calibri" w:hAnsi="Times New Roman" w:cs="Times New Roman"/>
          <w:noProof/>
          <w:sz w:val="24"/>
          <w:szCs w:val="24"/>
          <w:lang w:val="en-US"/>
        </w:rPr>
        <w:footnoteReference w:id="20"/>
      </w:r>
      <w:r w:rsidR="00CC5F27" w:rsidRPr="008F6714">
        <w:rPr>
          <w:rFonts w:ascii="Times New Roman" w:eastAsia="Calibri" w:hAnsi="Times New Roman" w:cs="Times New Roman"/>
          <w:noProof/>
          <w:sz w:val="24"/>
          <w:szCs w:val="24"/>
          <w:lang w:val="en-US"/>
        </w:rPr>
        <w:t xml:space="preserve"> where this role is performed by </w:t>
      </w:r>
      <w:r w:rsidR="00CE5C7A">
        <w:rPr>
          <w:rFonts w:ascii="Times New Roman" w:eastAsia="Calibri" w:hAnsi="Times New Roman" w:cs="Times New Roman"/>
          <w:noProof/>
          <w:sz w:val="24"/>
          <w:szCs w:val="24"/>
          <w:lang w:val="en-US"/>
        </w:rPr>
        <w:t xml:space="preserve">a </w:t>
      </w:r>
      <w:r w:rsidR="00CC5F27" w:rsidRPr="008F6714">
        <w:rPr>
          <w:rFonts w:ascii="Times New Roman" w:eastAsia="Calibri" w:hAnsi="Times New Roman" w:cs="Times New Roman"/>
          <w:noProof/>
          <w:sz w:val="24"/>
          <w:szCs w:val="24"/>
          <w:lang w:val="en-US"/>
        </w:rPr>
        <w:t>national authority.</w:t>
      </w:r>
      <w:r w:rsidR="00A733BA" w:rsidRPr="00A733BA">
        <w:rPr>
          <w:noProof/>
          <w:lang w:val="en-IE"/>
        </w:rPr>
        <w:t xml:space="preserve"> </w:t>
      </w:r>
      <w:r w:rsidR="00A733BA" w:rsidRPr="00A733BA">
        <w:rPr>
          <w:rFonts w:ascii="Times New Roman" w:eastAsia="Calibri" w:hAnsi="Times New Roman" w:cs="Times New Roman"/>
          <w:noProof/>
          <w:sz w:val="24"/>
          <w:szCs w:val="24"/>
          <w:lang w:val="en-US"/>
        </w:rPr>
        <w:t>The role of the contact points, pursuant to Article 7(2) of the ODR Regulation, is to support the parties (consumers, traders, ADR entities) in using the platform and to provide them with general information on applicable consumer rights and redress options.</w:t>
      </w:r>
    </w:p>
    <w:p w14:paraId="61D22F49" w14:textId="77777777" w:rsidR="005F0187" w:rsidRPr="005F0187" w:rsidRDefault="005F0187" w:rsidP="005F0187">
      <w:pPr>
        <w:autoSpaceDE w:val="0"/>
        <w:autoSpaceDN w:val="0"/>
        <w:adjustRightInd w:val="0"/>
        <w:spacing w:after="0"/>
        <w:jc w:val="both"/>
        <w:rPr>
          <w:rFonts w:ascii="Times New Roman" w:eastAsia="Calibri" w:hAnsi="Times New Roman" w:cs="Times New Roman"/>
          <w:noProof/>
          <w:sz w:val="24"/>
          <w:szCs w:val="24"/>
          <w:lang w:val="en-US"/>
        </w:rPr>
      </w:pPr>
    </w:p>
    <w:p w14:paraId="65DF7030" w14:textId="6A17C891" w:rsidR="00737974" w:rsidRDefault="00737974" w:rsidP="005F0187">
      <w:pPr>
        <w:autoSpaceDE w:val="0"/>
        <w:autoSpaceDN w:val="0"/>
        <w:adjustRightInd w:val="0"/>
        <w:spacing w:after="0"/>
        <w:jc w:val="both"/>
        <w:rPr>
          <w:rFonts w:ascii="Times New Roman" w:eastAsia="Calibri" w:hAnsi="Times New Roman" w:cs="Times New Roman"/>
          <w:noProof/>
          <w:sz w:val="24"/>
          <w:szCs w:val="24"/>
          <w:lang w:val="en-US"/>
        </w:rPr>
      </w:pPr>
      <w:r w:rsidRPr="005F0187">
        <w:rPr>
          <w:rFonts w:ascii="Times New Roman" w:eastAsia="Calibri" w:hAnsi="Times New Roman" w:cs="Times New Roman"/>
          <w:noProof/>
          <w:sz w:val="24"/>
          <w:szCs w:val="24"/>
          <w:lang w:val="en-US"/>
        </w:rPr>
        <w:t xml:space="preserve">The ADR entities are obliged to process the disputes arriving via the </w:t>
      </w:r>
      <w:r w:rsidR="008520DE">
        <w:rPr>
          <w:rFonts w:ascii="Times New Roman" w:eastAsia="Calibri" w:hAnsi="Times New Roman" w:cs="Times New Roman"/>
          <w:noProof/>
          <w:sz w:val="24"/>
          <w:szCs w:val="24"/>
          <w:lang w:val="en-US"/>
        </w:rPr>
        <w:t>European ODR</w:t>
      </w:r>
      <w:r w:rsidR="006B7E2A">
        <w:rPr>
          <w:rFonts w:ascii="Times New Roman" w:eastAsia="Calibri" w:hAnsi="Times New Roman" w:cs="Times New Roman"/>
          <w:noProof/>
          <w:sz w:val="24"/>
          <w:szCs w:val="24"/>
          <w:lang w:val="en-US"/>
        </w:rPr>
        <w:t xml:space="preserve"> </w:t>
      </w:r>
      <w:r w:rsidRPr="005F0187">
        <w:rPr>
          <w:rFonts w:ascii="Times New Roman" w:eastAsia="Calibri" w:hAnsi="Times New Roman" w:cs="Times New Roman"/>
          <w:noProof/>
          <w:sz w:val="24"/>
          <w:szCs w:val="24"/>
          <w:lang w:val="en-US"/>
        </w:rPr>
        <w:t xml:space="preserve">platform, </w:t>
      </w:r>
      <w:r w:rsidR="006B7E2A">
        <w:rPr>
          <w:rFonts w:ascii="Times New Roman" w:eastAsia="Calibri" w:hAnsi="Times New Roman" w:cs="Times New Roman"/>
          <w:noProof/>
          <w:sz w:val="24"/>
          <w:szCs w:val="24"/>
          <w:lang w:val="en-US"/>
        </w:rPr>
        <w:t xml:space="preserve">provided </w:t>
      </w:r>
      <w:r w:rsidR="0020098C">
        <w:rPr>
          <w:rFonts w:ascii="Times New Roman" w:eastAsia="Calibri" w:hAnsi="Times New Roman" w:cs="Times New Roman"/>
          <w:noProof/>
          <w:sz w:val="24"/>
          <w:szCs w:val="24"/>
          <w:lang w:val="en-US"/>
        </w:rPr>
        <w:t xml:space="preserve">that </w:t>
      </w:r>
      <w:r w:rsidR="0020098C" w:rsidRPr="005F0187">
        <w:rPr>
          <w:rFonts w:ascii="Times New Roman" w:eastAsia="Calibri" w:hAnsi="Times New Roman" w:cs="Times New Roman"/>
          <w:noProof/>
          <w:sz w:val="24"/>
          <w:szCs w:val="24"/>
          <w:lang w:val="en-US"/>
        </w:rPr>
        <w:t>the</w:t>
      </w:r>
      <w:r w:rsidRPr="005F0187">
        <w:rPr>
          <w:rFonts w:ascii="Times New Roman" w:eastAsia="Calibri" w:hAnsi="Times New Roman" w:cs="Times New Roman"/>
          <w:noProof/>
          <w:sz w:val="24"/>
          <w:szCs w:val="24"/>
          <w:lang w:val="en-US"/>
        </w:rPr>
        <w:t xml:space="preserve"> trader and consumer agreed to refer the dispute to </w:t>
      </w:r>
      <w:r w:rsidR="008520DE">
        <w:rPr>
          <w:rFonts w:ascii="Times New Roman" w:eastAsia="Calibri" w:hAnsi="Times New Roman" w:cs="Times New Roman"/>
          <w:noProof/>
          <w:sz w:val="24"/>
          <w:szCs w:val="24"/>
          <w:lang w:val="en-US"/>
        </w:rPr>
        <w:t>this entity</w:t>
      </w:r>
      <w:r w:rsidR="005F0187">
        <w:rPr>
          <w:rFonts w:ascii="Times New Roman" w:eastAsia="Calibri" w:hAnsi="Times New Roman" w:cs="Times New Roman"/>
          <w:noProof/>
          <w:sz w:val="24"/>
          <w:szCs w:val="24"/>
          <w:lang w:val="en-US"/>
        </w:rPr>
        <w:t>.</w:t>
      </w:r>
    </w:p>
    <w:p w14:paraId="17FC02EA" w14:textId="77777777" w:rsidR="005F0187" w:rsidRPr="005F0187" w:rsidRDefault="005F0187" w:rsidP="005F0187">
      <w:pPr>
        <w:autoSpaceDE w:val="0"/>
        <w:autoSpaceDN w:val="0"/>
        <w:adjustRightInd w:val="0"/>
        <w:spacing w:after="0"/>
        <w:jc w:val="both"/>
        <w:rPr>
          <w:rFonts w:ascii="Times New Roman" w:eastAsia="Calibri" w:hAnsi="Times New Roman" w:cs="Times New Roman"/>
          <w:noProof/>
          <w:sz w:val="24"/>
          <w:szCs w:val="24"/>
          <w:lang w:val="en-US"/>
        </w:rPr>
      </w:pPr>
    </w:p>
    <w:p w14:paraId="35D19231" w14:textId="327C5391" w:rsidR="00737974" w:rsidRPr="005F0187" w:rsidRDefault="00F676D4" w:rsidP="0094709B">
      <w:pPr>
        <w:autoSpaceDE w:val="0"/>
        <w:autoSpaceDN w:val="0"/>
        <w:adjustRightInd w:val="0"/>
        <w:spacing w:after="0" w:line="240" w:lineRule="auto"/>
        <w:jc w:val="both"/>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lang w:val="en-US"/>
        </w:rPr>
        <w:t xml:space="preserve">In addition, the regulation foresees an obligation </w:t>
      </w:r>
      <w:r w:rsidR="00247BBD">
        <w:rPr>
          <w:rFonts w:ascii="Times New Roman" w:eastAsia="Calibri" w:hAnsi="Times New Roman" w:cs="Times New Roman"/>
          <w:noProof/>
          <w:sz w:val="24"/>
          <w:szCs w:val="24"/>
          <w:lang w:val="en-US"/>
        </w:rPr>
        <w:t>for</w:t>
      </w:r>
      <w:r w:rsidR="00737974" w:rsidRPr="005F0187">
        <w:rPr>
          <w:rFonts w:ascii="Times New Roman" w:eastAsia="Calibri" w:hAnsi="Times New Roman" w:cs="Times New Roman"/>
          <w:noProof/>
          <w:sz w:val="24"/>
          <w:szCs w:val="24"/>
          <w:lang w:val="en-US"/>
        </w:rPr>
        <w:t xml:space="preserve"> </w:t>
      </w:r>
      <w:r w:rsidR="00454654">
        <w:rPr>
          <w:rFonts w:ascii="Times New Roman" w:eastAsia="Calibri" w:hAnsi="Times New Roman" w:cs="Times New Roman"/>
          <w:noProof/>
          <w:sz w:val="24"/>
          <w:szCs w:val="24"/>
          <w:lang w:val="en-US"/>
        </w:rPr>
        <w:t xml:space="preserve">online marketplaces and </w:t>
      </w:r>
      <w:r w:rsidR="00737974" w:rsidRPr="005F0187">
        <w:rPr>
          <w:rFonts w:ascii="Times New Roman" w:eastAsia="Calibri" w:hAnsi="Times New Roman" w:cs="Times New Roman"/>
          <w:noProof/>
          <w:sz w:val="24"/>
          <w:szCs w:val="24"/>
          <w:lang w:val="en-US"/>
        </w:rPr>
        <w:t xml:space="preserve">traders </w:t>
      </w:r>
      <w:r w:rsidR="00247BBD">
        <w:rPr>
          <w:rFonts w:ascii="Times New Roman" w:eastAsia="Calibri" w:hAnsi="Times New Roman" w:cs="Times New Roman"/>
          <w:noProof/>
          <w:sz w:val="24"/>
          <w:szCs w:val="24"/>
          <w:lang w:val="en-US"/>
        </w:rPr>
        <w:t xml:space="preserve">offering their goods and </w:t>
      </w:r>
      <w:r w:rsidR="008520DE">
        <w:rPr>
          <w:rFonts w:ascii="Times New Roman" w:eastAsia="Calibri" w:hAnsi="Times New Roman" w:cs="Times New Roman"/>
          <w:noProof/>
          <w:sz w:val="24"/>
          <w:szCs w:val="24"/>
          <w:lang w:val="en-US"/>
        </w:rPr>
        <w:t xml:space="preserve">services </w:t>
      </w:r>
      <w:r w:rsidR="00737974" w:rsidRPr="005F0187">
        <w:rPr>
          <w:rFonts w:ascii="Times New Roman" w:eastAsia="Calibri" w:hAnsi="Times New Roman" w:cs="Times New Roman"/>
          <w:noProof/>
          <w:sz w:val="24"/>
          <w:szCs w:val="24"/>
          <w:lang w:val="en-US"/>
        </w:rPr>
        <w:t>online to provide an easily accessible link to the ODR platform on their website</w:t>
      </w:r>
      <w:r w:rsidR="00454654">
        <w:rPr>
          <w:rFonts w:ascii="Times New Roman" w:eastAsia="Calibri" w:hAnsi="Times New Roman" w:cs="Times New Roman"/>
          <w:noProof/>
          <w:sz w:val="24"/>
          <w:szCs w:val="24"/>
          <w:lang w:val="en-US"/>
        </w:rPr>
        <w:t xml:space="preserve">. </w:t>
      </w:r>
      <w:r w:rsidR="008520DE">
        <w:rPr>
          <w:rFonts w:ascii="Times New Roman" w:eastAsia="Calibri" w:hAnsi="Times New Roman" w:cs="Times New Roman"/>
          <w:noProof/>
          <w:sz w:val="24"/>
          <w:szCs w:val="24"/>
          <w:lang w:val="en-US"/>
        </w:rPr>
        <w:t>Traders (but not marketplaces)</w:t>
      </w:r>
      <w:r w:rsidR="00454654">
        <w:rPr>
          <w:rFonts w:ascii="Times New Roman" w:eastAsia="Calibri" w:hAnsi="Times New Roman" w:cs="Times New Roman"/>
          <w:noProof/>
          <w:sz w:val="24"/>
          <w:szCs w:val="24"/>
          <w:lang w:val="en-US"/>
        </w:rPr>
        <w:t xml:space="preserve"> also have to provide </w:t>
      </w:r>
      <w:r w:rsidR="00737974" w:rsidRPr="005F0187">
        <w:rPr>
          <w:rFonts w:ascii="Times New Roman" w:eastAsia="Calibri" w:hAnsi="Times New Roman" w:cs="Times New Roman"/>
          <w:noProof/>
          <w:sz w:val="24"/>
          <w:szCs w:val="24"/>
          <w:lang w:val="en-US"/>
        </w:rPr>
        <w:t>an email address</w:t>
      </w:r>
      <w:r w:rsidR="00FA6184">
        <w:rPr>
          <w:rFonts w:ascii="Times New Roman" w:eastAsia="Calibri" w:hAnsi="Times New Roman" w:cs="Times New Roman"/>
          <w:noProof/>
          <w:sz w:val="24"/>
          <w:szCs w:val="24"/>
          <w:lang w:val="en-US"/>
        </w:rPr>
        <w:t xml:space="preserve"> to be used for the ODR process.</w:t>
      </w:r>
      <w:r w:rsidR="00737974" w:rsidRPr="005F0187">
        <w:rPr>
          <w:rFonts w:ascii="Times New Roman" w:eastAsia="Calibri" w:hAnsi="Times New Roman" w:cs="Times New Roman"/>
          <w:noProof/>
          <w:sz w:val="24"/>
          <w:szCs w:val="24"/>
          <w:lang w:val="en-US"/>
        </w:rPr>
        <w:t xml:space="preserve"> </w:t>
      </w:r>
      <w:r w:rsidR="004C6060">
        <w:rPr>
          <w:rFonts w:ascii="Times New Roman" w:eastAsia="Calibri" w:hAnsi="Times New Roman" w:cs="Times New Roman"/>
          <w:noProof/>
          <w:sz w:val="24"/>
          <w:szCs w:val="24"/>
          <w:lang w:val="en-US"/>
        </w:rPr>
        <w:t>This obligation only concerns traders established in the EU. It should be noted that t</w:t>
      </w:r>
      <w:r w:rsidR="00737974" w:rsidRPr="005F0187">
        <w:rPr>
          <w:rFonts w:ascii="Times New Roman" w:eastAsia="Calibri" w:hAnsi="Times New Roman" w:cs="Times New Roman"/>
          <w:noProof/>
          <w:sz w:val="24"/>
          <w:szCs w:val="24"/>
          <w:lang w:val="en-US"/>
        </w:rPr>
        <w:t xml:space="preserve">hese obligations apply irrespective of whether the trader is </w:t>
      </w:r>
      <w:r w:rsidR="003C2C7D">
        <w:rPr>
          <w:rFonts w:ascii="Times New Roman" w:eastAsia="Calibri" w:hAnsi="Times New Roman" w:cs="Times New Roman"/>
          <w:noProof/>
          <w:sz w:val="24"/>
          <w:szCs w:val="24"/>
          <w:lang w:val="en-US"/>
        </w:rPr>
        <w:t xml:space="preserve">under any </w:t>
      </w:r>
      <w:r w:rsidR="00737974" w:rsidRPr="005F0187">
        <w:rPr>
          <w:rFonts w:ascii="Times New Roman" w:eastAsia="Calibri" w:hAnsi="Times New Roman" w:cs="Times New Roman"/>
          <w:noProof/>
          <w:sz w:val="24"/>
          <w:szCs w:val="24"/>
          <w:lang w:val="en-US"/>
        </w:rPr>
        <w:t>oblig</w:t>
      </w:r>
      <w:r w:rsidR="003C2C7D">
        <w:rPr>
          <w:rFonts w:ascii="Times New Roman" w:eastAsia="Calibri" w:hAnsi="Times New Roman" w:cs="Times New Roman"/>
          <w:noProof/>
          <w:sz w:val="24"/>
          <w:szCs w:val="24"/>
          <w:lang w:val="en-US"/>
        </w:rPr>
        <w:t>ation</w:t>
      </w:r>
      <w:r w:rsidR="00737974" w:rsidRPr="005F0187">
        <w:rPr>
          <w:rFonts w:ascii="Times New Roman" w:eastAsia="Calibri" w:hAnsi="Times New Roman" w:cs="Times New Roman"/>
          <w:noProof/>
          <w:sz w:val="24"/>
          <w:szCs w:val="24"/>
          <w:lang w:val="en-US"/>
        </w:rPr>
        <w:t xml:space="preserve"> or </w:t>
      </w:r>
      <w:r w:rsidR="003C2C7D">
        <w:rPr>
          <w:rFonts w:ascii="Times New Roman" w:eastAsia="Calibri" w:hAnsi="Times New Roman" w:cs="Times New Roman"/>
          <w:noProof/>
          <w:sz w:val="24"/>
          <w:szCs w:val="24"/>
          <w:lang w:val="en-US"/>
        </w:rPr>
        <w:t xml:space="preserve">otherwise </w:t>
      </w:r>
      <w:r w:rsidR="00737974" w:rsidRPr="005F0187">
        <w:rPr>
          <w:rFonts w:ascii="Times New Roman" w:eastAsia="Calibri" w:hAnsi="Times New Roman" w:cs="Times New Roman"/>
          <w:noProof/>
          <w:sz w:val="24"/>
          <w:szCs w:val="24"/>
          <w:lang w:val="en-US"/>
        </w:rPr>
        <w:t>committed to use ADR</w:t>
      </w:r>
      <w:r w:rsidR="003C2C7D">
        <w:rPr>
          <w:rFonts w:ascii="Times New Roman" w:eastAsia="Calibri" w:hAnsi="Times New Roman" w:cs="Times New Roman"/>
          <w:noProof/>
          <w:sz w:val="24"/>
          <w:szCs w:val="24"/>
          <w:lang w:val="en-US"/>
        </w:rPr>
        <w:t>.</w:t>
      </w:r>
      <w:r w:rsidR="00B04177">
        <w:rPr>
          <w:rFonts w:ascii="Times New Roman" w:eastAsia="Calibri" w:hAnsi="Times New Roman" w:cs="Times New Roman"/>
          <w:noProof/>
          <w:sz w:val="24"/>
          <w:szCs w:val="24"/>
          <w:lang w:val="en-US"/>
        </w:rPr>
        <w:t xml:space="preserve"> </w:t>
      </w:r>
      <w:r w:rsidR="00BA254F">
        <w:rPr>
          <w:rFonts w:ascii="Times New Roman" w:eastAsia="Calibri" w:hAnsi="Times New Roman" w:cs="Times New Roman"/>
          <w:noProof/>
          <w:sz w:val="24"/>
          <w:szCs w:val="24"/>
          <w:lang w:val="en-US"/>
        </w:rPr>
        <w:t>As the European ODR platform is a voluntary tool, providing a link and contact details does not imply that the trader will engage in the ODR process</w:t>
      </w:r>
      <w:r w:rsidR="00CE5C7A">
        <w:rPr>
          <w:rFonts w:ascii="Times New Roman" w:eastAsia="Calibri" w:hAnsi="Times New Roman" w:cs="Times New Roman"/>
          <w:noProof/>
          <w:sz w:val="24"/>
          <w:szCs w:val="24"/>
          <w:lang w:val="en-US"/>
        </w:rPr>
        <w:t>, and data shows that the majority of contacted traders do not engage.</w:t>
      </w:r>
      <w:r w:rsidR="005F0187">
        <w:rPr>
          <w:rFonts w:ascii="Times New Roman" w:eastAsia="Calibri" w:hAnsi="Times New Roman" w:cs="Times New Roman"/>
          <w:noProof/>
          <w:sz w:val="24"/>
          <w:szCs w:val="24"/>
          <w:lang w:val="en-US"/>
        </w:rPr>
        <w:t xml:space="preserve"> </w:t>
      </w:r>
    </w:p>
    <w:p w14:paraId="433B2295" w14:textId="060AE013" w:rsidR="00662D7D" w:rsidRPr="005F0187" w:rsidRDefault="00662D7D" w:rsidP="0094709B">
      <w:pPr>
        <w:autoSpaceDE w:val="0"/>
        <w:autoSpaceDN w:val="0"/>
        <w:adjustRightInd w:val="0"/>
        <w:spacing w:after="0" w:line="240" w:lineRule="auto"/>
        <w:jc w:val="both"/>
        <w:rPr>
          <w:rFonts w:ascii="Times New Roman" w:eastAsia="Calibri" w:hAnsi="Times New Roman" w:cs="Times New Roman"/>
          <w:noProof/>
          <w:sz w:val="24"/>
          <w:szCs w:val="24"/>
          <w:lang w:val="en-US"/>
        </w:rPr>
      </w:pPr>
    </w:p>
    <w:p w14:paraId="2E173010" w14:textId="1C895ACE" w:rsidR="00693E82" w:rsidRPr="00693E82" w:rsidRDefault="0044514B" w:rsidP="00693E82">
      <w:pPr>
        <w:pStyle w:val="Heading2"/>
        <w:numPr>
          <w:ilvl w:val="1"/>
          <w:numId w:val="27"/>
        </w:numPr>
        <w:spacing w:line="240" w:lineRule="auto"/>
        <w:rPr>
          <w:noProof/>
          <w:sz w:val="24"/>
          <w:szCs w:val="24"/>
          <w:lang w:val="en-IE"/>
        </w:rPr>
      </w:pPr>
      <w:r w:rsidRPr="005F0187">
        <w:rPr>
          <w:noProof/>
          <w:sz w:val="24"/>
          <w:szCs w:val="24"/>
          <w:lang w:val="en-IE"/>
        </w:rPr>
        <w:t>Main features of the ODR platform</w:t>
      </w:r>
      <w:r w:rsidR="00BF0471">
        <w:rPr>
          <w:noProof/>
          <w:sz w:val="24"/>
          <w:szCs w:val="24"/>
          <w:lang w:val="en-IE"/>
        </w:rPr>
        <w:t xml:space="preserve"> and information list in the Annex of the Regulation</w:t>
      </w:r>
    </w:p>
    <w:p w14:paraId="6A2F4518" w14:textId="684709B3" w:rsidR="00662B1F" w:rsidRDefault="0044514B" w:rsidP="00693E82">
      <w:pPr>
        <w:autoSpaceDE w:val="0"/>
        <w:autoSpaceDN w:val="0"/>
        <w:adjustRightInd w:val="0"/>
        <w:spacing w:after="0" w:line="240" w:lineRule="auto"/>
        <w:jc w:val="both"/>
        <w:rPr>
          <w:rFonts w:ascii="Times New Roman" w:hAnsi="Times New Roman" w:cs="Times New Roman"/>
          <w:noProof/>
          <w:sz w:val="24"/>
          <w:szCs w:val="24"/>
          <w:lang w:val="en-IE"/>
        </w:rPr>
      </w:pPr>
      <w:r w:rsidRPr="005F0187">
        <w:rPr>
          <w:rFonts w:ascii="Times New Roman" w:hAnsi="Times New Roman" w:cs="Times New Roman"/>
          <w:noProof/>
          <w:sz w:val="24"/>
          <w:szCs w:val="24"/>
          <w:lang w:val="en-IE"/>
        </w:rPr>
        <w:t xml:space="preserve">The ODR platform is a multilingual interactive website that allows consumers to </w:t>
      </w:r>
      <w:r w:rsidR="009A1752">
        <w:rPr>
          <w:rFonts w:ascii="Times New Roman" w:hAnsi="Times New Roman" w:cs="Times New Roman"/>
          <w:noProof/>
          <w:sz w:val="24"/>
          <w:szCs w:val="24"/>
          <w:lang w:val="en-IE"/>
        </w:rPr>
        <w:t>request traders the opening of an ADR procedure</w:t>
      </w:r>
      <w:r w:rsidRPr="005F0187">
        <w:rPr>
          <w:rFonts w:ascii="Times New Roman" w:hAnsi="Times New Roman" w:cs="Times New Roman"/>
          <w:noProof/>
          <w:sz w:val="24"/>
          <w:szCs w:val="24"/>
          <w:lang w:val="en-IE"/>
        </w:rPr>
        <w:t xml:space="preserve"> online</w:t>
      </w:r>
      <w:r w:rsidR="009A1752">
        <w:rPr>
          <w:rFonts w:ascii="Times New Roman" w:hAnsi="Times New Roman" w:cs="Times New Roman"/>
          <w:noProof/>
          <w:sz w:val="24"/>
          <w:szCs w:val="24"/>
          <w:lang w:val="en-IE"/>
        </w:rPr>
        <w:t xml:space="preserve">. </w:t>
      </w:r>
      <w:r w:rsidRPr="005F0187">
        <w:rPr>
          <w:rFonts w:ascii="Times New Roman" w:hAnsi="Times New Roman" w:cs="Times New Roman"/>
          <w:noProof/>
          <w:sz w:val="24"/>
          <w:szCs w:val="24"/>
          <w:lang w:val="en-IE"/>
        </w:rPr>
        <w:t>The tool is voluntary for the parties</w:t>
      </w:r>
      <w:r w:rsidR="00B43108">
        <w:rPr>
          <w:rFonts w:ascii="Times New Roman" w:hAnsi="Times New Roman" w:cs="Times New Roman"/>
          <w:noProof/>
          <w:sz w:val="24"/>
          <w:szCs w:val="24"/>
          <w:lang w:val="en-IE"/>
        </w:rPr>
        <w:t>.</w:t>
      </w:r>
      <w:r w:rsidRPr="005F0187">
        <w:rPr>
          <w:rFonts w:ascii="Times New Roman" w:hAnsi="Times New Roman" w:cs="Times New Roman"/>
          <w:noProof/>
          <w:sz w:val="24"/>
          <w:szCs w:val="24"/>
          <w:lang w:val="en-IE"/>
        </w:rPr>
        <w:t xml:space="preserve"> If </w:t>
      </w:r>
      <w:r w:rsidR="009A1752">
        <w:rPr>
          <w:rFonts w:ascii="Times New Roman" w:hAnsi="Times New Roman" w:cs="Times New Roman"/>
          <w:noProof/>
          <w:sz w:val="24"/>
          <w:szCs w:val="24"/>
          <w:lang w:val="en-IE"/>
        </w:rPr>
        <w:t>traders do not agree</w:t>
      </w:r>
      <w:r w:rsidRPr="005F0187">
        <w:rPr>
          <w:rFonts w:ascii="Times New Roman" w:hAnsi="Times New Roman" w:cs="Times New Roman"/>
          <w:noProof/>
          <w:sz w:val="24"/>
          <w:szCs w:val="24"/>
          <w:lang w:val="en-IE"/>
        </w:rPr>
        <w:t xml:space="preserve"> within 30 days, the case is automatically closed</w:t>
      </w:r>
      <w:r w:rsidR="009A1752">
        <w:rPr>
          <w:rFonts w:ascii="Times New Roman" w:hAnsi="Times New Roman" w:cs="Times New Roman"/>
          <w:noProof/>
          <w:sz w:val="24"/>
          <w:szCs w:val="24"/>
          <w:lang w:val="en-IE"/>
        </w:rPr>
        <w:t>.</w:t>
      </w:r>
      <w:r w:rsidRPr="005F0187">
        <w:rPr>
          <w:rFonts w:ascii="Times New Roman" w:hAnsi="Times New Roman" w:cs="Times New Roman"/>
          <w:noProof/>
          <w:sz w:val="24"/>
          <w:szCs w:val="24"/>
          <w:lang w:val="en-IE"/>
        </w:rPr>
        <w:t xml:space="preserve"> ADR entit</w:t>
      </w:r>
      <w:r w:rsidR="009A1752">
        <w:rPr>
          <w:rFonts w:ascii="Times New Roman" w:hAnsi="Times New Roman" w:cs="Times New Roman"/>
          <w:noProof/>
          <w:sz w:val="24"/>
          <w:szCs w:val="24"/>
          <w:lang w:val="en-IE"/>
        </w:rPr>
        <w:t xml:space="preserve">ies have </w:t>
      </w:r>
      <w:r w:rsidRPr="005F0187">
        <w:rPr>
          <w:rFonts w:ascii="Times New Roman" w:hAnsi="Times New Roman" w:cs="Times New Roman"/>
          <w:noProof/>
          <w:sz w:val="24"/>
          <w:szCs w:val="24"/>
          <w:lang w:val="en-IE"/>
        </w:rPr>
        <w:t xml:space="preserve">the possibility to use </w:t>
      </w:r>
      <w:r w:rsidR="009A1752">
        <w:rPr>
          <w:rFonts w:ascii="Times New Roman" w:hAnsi="Times New Roman" w:cs="Times New Roman"/>
          <w:noProof/>
          <w:sz w:val="24"/>
          <w:szCs w:val="24"/>
          <w:lang w:val="en-IE"/>
        </w:rPr>
        <w:t xml:space="preserve">the platform </w:t>
      </w:r>
      <w:r w:rsidRPr="005F0187">
        <w:rPr>
          <w:rFonts w:ascii="Times New Roman" w:hAnsi="Times New Roman" w:cs="Times New Roman"/>
          <w:noProof/>
          <w:sz w:val="24"/>
          <w:szCs w:val="24"/>
          <w:lang w:val="en-IE"/>
        </w:rPr>
        <w:t xml:space="preserve">case management tool </w:t>
      </w:r>
      <w:r w:rsidR="009A1752">
        <w:rPr>
          <w:rFonts w:ascii="Times New Roman" w:hAnsi="Times New Roman" w:cs="Times New Roman"/>
          <w:noProof/>
          <w:sz w:val="24"/>
          <w:szCs w:val="24"/>
          <w:lang w:val="en-IE"/>
        </w:rPr>
        <w:t>or their own tools</w:t>
      </w:r>
      <w:r w:rsidR="00EA2820">
        <w:rPr>
          <w:rFonts w:ascii="Times New Roman" w:hAnsi="Times New Roman" w:cs="Times New Roman"/>
          <w:noProof/>
          <w:sz w:val="24"/>
          <w:szCs w:val="24"/>
          <w:lang w:val="en-IE"/>
        </w:rPr>
        <w:t>.</w:t>
      </w:r>
    </w:p>
    <w:p w14:paraId="7B6C7FE7" w14:textId="0C73CC96" w:rsidR="00A733BA" w:rsidRDefault="00A733BA" w:rsidP="00662B1F">
      <w:pPr>
        <w:autoSpaceDE w:val="0"/>
        <w:autoSpaceDN w:val="0"/>
        <w:adjustRightInd w:val="0"/>
        <w:spacing w:after="0"/>
        <w:jc w:val="both"/>
        <w:rPr>
          <w:rFonts w:ascii="Times New Roman" w:hAnsi="Times New Roman" w:cs="Times New Roman"/>
          <w:noProof/>
          <w:sz w:val="24"/>
          <w:szCs w:val="24"/>
          <w:lang w:val="en-IE"/>
        </w:rPr>
      </w:pPr>
    </w:p>
    <w:p w14:paraId="517C6025" w14:textId="084C026E" w:rsidR="00A733BA" w:rsidRPr="005F0187" w:rsidRDefault="00A733BA" w:rsidP="00662B1F">
      <w:pPr>
        <w:autoSpaceDE w:val="0"/>
        <w:autoSpaceDN w:val="0"/>
        <w:adjustRightInd w:val="0"/>
        <w:spacing w:after="0"/>
        <w:jc w:val="both"/>
        <w:rPr>
          <w:rFonts w:ascii="Times New Roman" w:hAnsi="Times New Roman" w:cs="Times New Roman"/>
          <w:noProof/>
          <w:sz w:val="24"/>
          <w:szCs w:val="24"/>
          <w:lang w:val="en-IE"/>
        </w:rPr>
      </w:pPr>
      <w:r w:rsidRPr="00A733BA">
        <w:rPr>
          <w:rFonts w:ascii="Times New Roman" w:hAnsi="Times New Roman" w:cs="Times New Roman"/>
          <w:noProof/>
          <w:sz w:val="24"/>
          <w:szCs w:val="24"/>
          <w:lang w:val="en-IE"/>
        </w:rPr>
        <w:t xml:space="preserve">The Annex to the Regulation provides the list of information that is needed to handle a case. Such information has proven to be sufficient for ADR entities to manage the cases transmitted to them by the platform. </w:t>
      </w:r>
      <w:r w:rsidR="00693E82">
        <w:rPr>
          <w:rFonts w:ascii="Times New Roman" w:hAnsi="Times New Roman" w:cs="Times New Roman"/>
          <w:noProof/>
          <w:sz w:val="24"/>
          <w:szCs w:val="24"/>
          <w:lang w:val="en-IE"/>
        </w:rPr>
        <w:t>T</w:t>
      </w:r>
      <w:r w:rsidRPr="00A733BA">
        <w:rPr>
          <w:rFonts w:ascii="Times New Roman" w:hAnsi="Times New Roman" w:cs="Times New Roman"/>
          <w:noProof/>
          <w:sz w:val="24"/>
          <w:szCs w:val="24"/>
          <w:lang w:val="en-IE"/>
        </w:rPr>
        <w:t>he Commission never received complaints about it or requests to change it.</w:t>
      </w:r>
    </w:p>
    <w:p w14:paraId="5A0E9CC0" w14:textId="7DA04C69" w:rsidR="00662B1F" w:rsidRDefault="00662B1F" w:rsidP="00662B1F">
      <w:pPr>
        <w:autoSpaceDE w:val="0"/>
        <w:autoSpaceDN w:val="0"/>
        <w:adjustRightInd w:val="0"/>
        <w:spacing w:after="0"/>
        <w:jc w:val="both"/>
        <w:rPr>
          <w:rFonts w:ascii="Times New Roman" w:hAnsi="Times New Roman" w:cs="Times New Roman"/>
          <w:noProof/>
          <w:sz w:val="24"/>
          <w:szCs w:val="24"/>
          <w:lang w:val="en-IE"/>
        </w:rPr>
      </w:pPr>
    </w:p>
    <w:p w14:paraId="19DDD8B1" w14:textId="2A74CA8C" w:rsidR="00CC7845" w:rsidRDefault="00662B1F" w:rsidP="009A1752">
      <w:pPr>
        <w:autoSpaceDE w:val="0"/>
        <w:autoSpaceDN w:val="0"/>
        <w:adjustRightInd w:val="0"/>
        <w:spacing w:after="0"/>
        <w:jc w:val="both"/>
        <w:rPr>
          <w:rFonts w:ascii="Times New Roman" w:hAnsi="Times New Roman" w:cs="Times New Roman"/>
          <w:noProof/>
          <w:sz w:val="24"/>
          <w:szCs w:val="24"/>
          <w:lang w:val="en-IE"/>
        </w:rPr>
      </w:pPr>
      <w:r w:rsidRPr="005F0187">
        <w:rPr>
          <w:rFonts w:ascii="Times New Roman" w:hAnsi="Times New Roman" w:cs="Times New Roman"/>
          <w:noProof/>
          <w:sz w:val="24"/>
          <w:szCs w:val="24"/>
          <w:lang w:val="en-IE"/>
        </w:rPr>
        <w:t xml:space="preserve">As of 2019, the </w:t>
      </w:r>
      <w:r w:rsidR="009A1752">
        <w:rPr>
          <w:rFonts w:ascii="Times New Roman" w:hAnsi="Times New Roman" w:cs="Times New Roman"/>
          <w:noProof/>
          <w:sz w:val="24"/>
          <w:szCs w:val="24"/>
          <w:lang w:val="en-IE"/>
        </w:rPr>
        <w:t>Commission added</w:t>
      </w:r>
      <w:r w:rsidR="00DC09EE">
        <w:rPr>
          <w:rFonts w:ascii="Times New Roman" w:hAnsi="Times New Roman" w:cs="Times New Roman"/>
          <w:noProof/>
          <w:sz w:val="24"/>
          <w:szCs w:val="24"/>
          <w:lang w:val="en-IE"/>
        </w:rPr>
        <w:t xml:space="preserve"> the</w:t>
      </w:r>
      <w:r w:rsidR="009A1752">
        <w:rPr>
          <w:rFonts w:ascii="Times New Roman" w:hAnsi="Times New Roman" w:cs="Times New Roman"/>
          <w:noProof/>
          <w:sz w:val="24"/>
          <w:szCs w:val="24"/>
          <w:lang w:val="en-IE"/>
        </w:rPr>
        <w:t xml:space="preserve"> </w:t>
      </w:r>
      <w:r w:rsidRPr="005F0187">
        <w:rPr>
          <w:rFonts w:ascii="Times New Roman" w:hAnsi="Times New Roman" w:cs="Times New Roman"/>
          <w:noProof/>
          <w:sz w:val="24"/>
          <w:szCs w:val="24"/>
          <w:lang w:val="en-IE"/>
        </w:rPr>
        <w:t>functionalities</w:t>
      </w:r>
      <w:r w:rsidR="00DC09EE">
        <w:rPr>
          <w:rFonts w:ascii="Times New Roman" w:hAnsi="Times New Roman" w:cs="Times New Roman"/>
          <w:noProof/>
          <w:sz w:val="24"/>
          <w:szCs w:val="24"/>
          <w:lang w:val="en-IE"/>
        </w:rPr>
        <w:t xml:space="preserve"> described below which </w:t>
      </w:r>
      <w:r w:rsidR="007F520E">
        <w:rPr>
          <w:rFonts w:ascii="Times New Roman" w:hAnsi="Times New Roman" w:cs="Times New Roman"/>
          <w:noProof/>
          <w:sz w:val="24"/>
          <w:szCs w:val="24"/>
          <w:lang w:val="en-IE"/>
        </w:rPr>
        <w:t>are not</w:t>
      </w:r>
      <w:r w:rsidR="009A1752">
        <w:rPr>
          <w:rFonts w:ascii="Times New Roman" w:hAnsi="Times New Roman" w:cs="Times New Roman"/>
          <w:noProof/>
          <w:sz w:val="24"/>
          <w:szCs w:val="24"/>
          <w:lang w:val="en-IE"/>
        </w:rPr>
        <w:t xml:space="preserve"> required by the ODR Regulation in </w:t>
      </w:r>
      <w:r w:rsidR="00DC09EE">
        <w:rPr>
          <w:rFonts w:ascii="Times New Roman" w:hAnsi="Times New Roman" w:cs="Times New Roman"/>
          <w:noProof/>
          <w:sz w:val="24"/>
          <w:szCs w:val="24"/>
          <w:lang w:val="en-IE"/>
        </w:rPr>
        <w:t xml:space="preserve">an </w:t>
      </w:r>
      <w:r w:rsidR="00695EC3">
        <w:rPr>
          <w:rFonts w:ascii="Times New Roman" w:hAnsi="Times New Roman" w:cs="Times New Roman"/>
          <w:noProof/>
          <w:sz w:val="24"/>
          <w:szCs w:val="24"/>
          <w:lang w:val="en-IE"/>
        </w:rPr>
        <w:t xml:space="preserve">attempt to improve the user experience and </w:t>
      </w:r>
      <w:r w:rsidR="00DC09EE">
        <w:rPr>
          <w:rFonts w:ascii="Times New Roman" w:hAnsi="Times New Roman" w:cs="Times New Roman"/>
          <w:noProof/>
          <w:sz w:val="24"/>
          <w:szCs w:val="24"/>
          <w:lang w:val="en-IE"/>
        </w:rPr>
        <w:t xml:space="preserve">the </w:t>
      </w:r>
      <w:r w:rsidR="00CC7845">
        <w:rPr>
          <w:rFonts w:ascii="Times New Roman" w:hAnsi="Times New Roman" w:cs="Times New Roman"/>
          <w:noProof/>
          <w:sz w:val="24"/>
          <w:szCs w:val="24"/>
          <w:lang w:val="en-IE"/>
        </w:rPr>
        <w:t xml:space="preserve">consumers’ understanding </w:t>
      </w:r>
      <w:r w:rsidR="00DC09EE">
        <w:rPr>
          <w:rFonts w:ascii="Times New Roman" w:hAnsi="Times New Roman" w:cs="Times New Roman"/>
          <w:noProof/>
          <w:sz w:val="24"/>
          <w:szCs w:val="24"/>
          <w:lang w:val="en-IE"/>
        </w:rPr>
        <w:t xml:space="preserve">of </w:t>
      </w:r>
      <w:r w:rsidR="009A1752">
        <w:rPr>
          <w:rFonts w:ascii="Times New Roman" w:hAnsi="Times New Roman" w:cs="Times New Roman"/>
          <w:noProof/>
          <w:sz w:val="24"/>
          <w:szCs w:val="24"/>
          <w:lang w:val="en-IE"/>
        </w:rPr>
        <w:t xml:space="preserve">whether or not their case </w:t>
      </w:r>
      <w:r w:rsidR="00DC09EE">
        <w:rPr>
          <w:rFonts w:ascii="Times New Roman" w:hAnsi="Times New Roman" w:cs="Times New Roman"/>
          <w:noProof/>
          <w:sz w:val="24"/>
          <w:szCs w:val="24"/>
          <w:lang w:val="en-IE"/>
        </w:rPr>
        <w:t>wa</w:t>
      </w:r>
      <w:r w:rsidR="009A1752">
        <w:rPr>
          <w:rFonts w:ascii="Times New Roman" w:hAnsi="Times New Roman" w:cs="Times New Roman"/>
          <w:noProof/>
          <w:sz w:val="24"/>
          <w:szCs w:val="24"/>
          <w:lang w:val="en-IE"/>
        </w:rPr>
        <w:t>s suited for the platform</w:t>
      </w:r>
      <w:r w:rsidR="00CC7845">
        <w:rPr>
          <w:rFonts w:ascii="Times New Roman" w:hAnsi="Times New Roman" w:cs="Times New Roman"/>
          <w:noProof/>
          <w:sz w:val="24"/>
          <w:szCs w:val="24"/>
          <w:lang w:val="en-IE"/>
        </w:rPr>
        <w:t>:</w:t>
      </w:r>
    </w:p>
    <w:p w14:paraId="76A10331" w14:textId="77777777" w:rsidR="00FB1A01" w:rsidRDefault="00FB1A01" w:rsidP="009A1752">
      <w:pPr>
        <w:autoSpaceDE w:val="0"/>
        <w:autoSpaceDN w:val="0"/>
        <w:adjustRightInd w:val="0"/>
        <w:spacing w:after="0"/>
        <w:jc w:val="both"/>
        <w:rPr>
          <w:rFonts w:ascii="Times New Roman" w:hAnsi="Times New Roman" w:cs="Times New Roman"/>
          <w:noProof/>
          <w:sz w:val="24"/>
          <w:szCs w:val="24"/>
          <w:lang w:val="en-IE"/>
        </w:rPr>
      </w:pPr>
    </w:p>
    <w:p w14:paraId="46DB6568" w14:textId="3B3D2875" w:rsidR="003A6112" w:rsidRPr="00C4099E" w:rsidRDefault="00FB1A01" w:rsidP="00C4099E">
      <w:pPr>
        <w:pStyle w:val="ListParagraph"/>
        <w:numPr>
          <w:ilvl w:val="0"/>
          <w:numId w:val="29"/>
        </w:numPr>
        <w:autoSpaceDE w:val="0"/>
        <w:autoSpaceDN w:val="0"/>
        <w:adjustRightInd w:val="0"/>
        <w:spacing w:after="0"/>
        <w:jc w:val="both"/>
        <w:rPr>
          <w:rFonts w:ascii="Times New Roman" w:hAnsi="Times New Roman" w:cs="Times New Roman"/>
          <w:noProof/>
          <w:sz w:val="24"/>
          <w:szCs w:val="24"/>
          <w:lang w:val="en-IE"/>
        </w:rPr>
      </w:pPr>
      <w:r w:rsidRPr="00C4099E">
        <w:rPr>
          <w:rFonts w:ascii="Times New Roman" w:hAnsi="Times New Roman" w:cs="Times New Roman"/>
          <w:noProof/>
          <w:sz w:val="24"/>
          <w:szCs w:val="24"/>
          <w:lang w:val="en-IE"/>
        </w:rPr>
        <w:t xml:space="preserve">A self-test to identify which redress solution would be the most appropriate for their specific issue: launching a complaint on the ODR platform, contacting the trader bilaterally, seeking help from a European Consumer Centre or </w:t>
      </w:r>
      <w:r w:rsidR="003A6112" w:rsidRPr="00C4099E">
        <w:rPr>
          <w:rFonts w:ascii="Times New Roman" w:hAnsi="Times New Roman" w:cs="Times New Roman"/>
          <w:noProof/>
          <w:sz w:val="24"/>
          <w:szCs w:val="24"/>
          <w:lang w:val="en-IE"/>
        </w:rPr>
        <w:t xml:space="preserve">submitting a complaint to an </w:t>
      </w:r>
      <w:r w:rsidRPr="00C4099E">
        <w:rPr>
          <w:rFonts w:ascii="Times New Roman" w:hAnsi="Times New Roman" w:cs="Times New Roman"/>
          <w:noProof/>
          <w:sz w:val="24"/>
          <w:szCs w:val="24"/>
          <w:lang w:val="en-IE"/>
        </w:rPr>
        <w:t>ADR entity direct</w:t>
      </w:r>
      <w:r w:rsidR="003A6112" w:rsidRPr="00C4099E">
        <w:rPr>
          <w:rFonts w:ascii="Times New Roman" w:hAnsi="Times New Roman" w:cs="Times New Roman"/>
          <w:noProof/>
          <w:sz w:val="24"/>
          <w:szCs w:val="24"/>
          <w:lang w:val="en-IE"/>
        </w:rPr>
        <w:t>ly</w:t>
      </w:r>
      <w:r w:rsidR="00085EB4">
        <w:rPr>
          <w:rFonts w:ascii="Times New Roman" w:hAnsi="Times New Roman" w:cs="Times New Roman"/>
          <w:noProof/>
          <w:sz w:val="24"/>
          <w:szCs w:val="24"/>
          <w:lang w:val="en-IE"/>
        </w:rPr>
        <w:t>. This</w:t>
      </w:r>
      <w:r w:rsidR="006057A6">
        <w:rPr>
          <w:rFonts w:ascii="Times New Roman" w:hAnsi="Times New Roman" w:cs="Times New Roman"/>
          <w:noProof/>
          <w:sz w:val="24"/>
          <w:szCs w:val="24"/>
          <w:lang w:val="en-IE"/>
        </w:rPr>
        <w:t xml:space="preserve"> became the most successful feature of the ODR platform: over 200 000 visitors have completed the self-test in 2022, compared to 17 000 who submitted a complaint</w:t>
      </w:r>
      <w:r w:rsidR="006057A6" w:rsidRPr="00C4099E">
        <w:rPr>
          <w:rFonts w:ascii="Times New Roman" w:hAnsi="Times New Roman" w:cs="Times New Roman"/>
          <w:noProof/>
          <w:sz w:val="24"/>
          <w:szCs w:val="24"/>
          <w:lang w:val="en-IE"/>
        </w:rPr>
        <w:t>.</w:t>
      </w:r>
    </w:p>
    <w:p w14:paraId="17530C66" w14:textId="4478D15A" w:rsidR="00CC7845" w:rsidRPr="00566910" w:rsidRDefault="00FB1A01" w:rsidP="00C4099E">
      <w:pPr>
        <w:pStyle w:val="ListParagraph"/>
        <w:numPr>
          <w:ilvl w:val="0"/>
          <w:numId w:val="29"/>
        </w:numPr>
        <w:autoSpaceDE w:val="0"/>
        <w:autoSpaceDN w:val="0"/>
        <w:adjustRightInd w:val="0"/>
        <w:spacing w:after="0"/>
        <w:jc w:val="both"/>
        <w:rPr>
          <w:rFonts w:ascii="Times New Roman" w:hAnsi="Times New Roman" w:cs="Times New Roman"/>
          <w:noProof/>
          <w:sz w:val="24"/>
          <w:szCs w:val="24"/>
          <w:lang w:val="en-IE"/>
        </w:rPr>
      </w:pPr>
      <w:r w:rsidRPr="00C4099E">
        <w:rPr>
          <w:rFonts w:ascii="Times New Roman" w:hAnsi="Times New Roman" w:cs="Times New Roman"/>
          <w:noProof/>
          <w:sz w:val="24"/>
          <w:szCs w:val="24"/>
          <w:lang w:val="en-IE"/>
        </w:rPr>
        <w:t xml:space="preserve"> </w:t>
      </w:r>
      <w:r w:rsidR="003A6112">
        <w:rPr>
          <w:rFonts w:ascii="Times New Roman" w:hAnsi="Times New Roman" w:cs="Times New Roman"/>
          <w:noProof/>
          <w:sz w:val="24"/>
          <w:szCs w:val="24"/>
          <w:lang w:val="en-IE"/>
        </w:rPr>
        <w:t>A</w:t>
      </w:r>
      <w:r w:rsidRPr="003A6112">
        <w:rPr>
          <w:rFonts w:ascii="Times New Roman" w:hAnsi="Times New Roman" w:cs="Times New Roman"/>
          <w:noProof/>
          <w:sz w:val="24"/>
          <w:szCs w:val="24"/>
          <w:lang w:val="en-IE"/>
        </w:rPr>
        <w:t xml:space="preserve">n option to share a draft complaint with a trader before </w:t>
      </w:r>
      <w:r w:rsidRPr="00566910">
        <w:rPr>
          <w:rFonts w:ascii="Times New Roman" w:hAnsi="Times New Roman" w:cs="Times New Roman"/>
          <w:noProof/>
          <w:sz w:val="24"/>
          <w:szCs w:val="24"/>
          <w:lang w:val="en-IE"/>
        </w:rPr>
        <w:t>submitting it officially, to try to settle the dispute directly (the so-called “direct talks” module).</w:t>
      </w:r>
      <w:r w:rsidR="003173F2">
        <w:rPr>
          <w:rFonts w:ascii="Times New Roman" w:hAnsi="Times New Roman" w:cs="Times New Roman"/>
          <w:noProof/>
          <w:sz w:val="24"/>
          <w:szCs w:val="24"/>
          <w:lang w:val="en-IE"/>
        </w:rPr>
        <w:t xml:space="preserve"> This feature </w:t>
      </w:r>
      <w:r w:rsidR="00073E3E">
        <w:rPr>
          <w:rFonts w:ascii="Times New Roman" w:hAnsi="Times New Roman" w:cs="Times New Roman"/>
          <w:noProof/>
          <w:sz w:val="24"/>
          <w:szCs w:val="24"/>
          <w:lang w:val="en-IE"/>
        </w:rPr>
        <w:t>was introduced in response to the data from the user survey, which showed a higher proportion of consumers and traders settling the dispute outside the platform</w:t>
      </w:r>
      <w:r w:rsidR="00AA4411">
        <w:rPr>
          <w:rFonts w:ascii="Times New Roman" w:hAnsi="Times New Roman" w:cs="Times New Roman"/>
          <w:noProof/>
          <w:sz w:val="24"/>
          <w:szCs w:val="24"/>
          <w:lang w:val="en-IE"/>
        </w:rPr>
        <w:t xml:space="preserve"> (</w:t>
      </w:r>
      <w:r w:rsidR="00753878">
        <w:rPr>
          <w:rFonts w:ascii="Times New Roman" w:hAnsi="Times New Roman" w:cs="Times New Roman"/>
          <w:noProof/>
          <w:sz w:val="24"/>
          <w:szCs w:val="24"/>
          <w:lang w:val="en-IE"/>
        </w:rPr>
        <w:t>up to 40</w:t>
      </w:r>
      <w:r w:rsidR="00AA4411">
        <w:rPr>
          <w:rFonts w:ascii="Times New Roman" w:hAnsi="Times New Roman" w:cs="Times New Roman"/>
          <w:noProof/>
          <w:sz w:val="24"/>
          <w:szCs w:val="24"/>
          <w:lang w:val="en-IE"/>
        </w:rPr>
        <w:t>%, depending on a year,</w:t>
      </w:r>
      <w:r w:rsidR="00073E3E">
        <w:rPr>
          <w:rFonts w:ascii="Times New Roman" w:hAnsi="Times New Roman" w:cs="Times New Roman"/>
          <w:noProof/>
          <w:sz w:val="24"/>
          <w:szCs w:val="24"/>
          <w:lang w:val="en-IE"/>
        </w:rPr>
        <w:t xml:space="preserve"> compared to</w:t>
      </w:r>
      <w:r w:rsidR="00753878">
        <w:rPr>
          <w:rFonts w:ascii="Times New Roman" w:hAnsi="Times New Roman" w:cs="Times New Roman"/>
          <w:noProof/>
          <w:sz w:val="24"/>
          <w:szCs w:val="24"/>
          <w:lang w:val="en-IE"/>
        </w:rPr>
        <w:t xml:space="preserve"> 2% cases successfully reaching ADR stage depending on a year). However, </w:t>
      </w:r>
      <w:r w:rsidR="0028539F">
        <w:rPr>
          <w:rFonts w:ascii="Times New Roman" w:hAnsi="Times New Roman" w:cs="Times New Roman"/>
          <w:noProof/>
          <w:sz w:val="24"/>
          <w:szCs w:val="24"/>
          <w:lang w:val="en-IE"/>
        </w:rPr>
        <w:t>only around 1% direct talks actually result in a settlement recorded on the ODR platform.</w:t>
      </w:r>
      <w:r w:rsidR="00753878">
        <w:rPr>
          <w:rFonts w:ascii="Times New Roman" w:hAnsi="Times New Roman" w:cs="Times New Roman"/>
          <w:noProof/>
          <w:sz w:val="24"/>
          <w:szCs w:val="24"/>
          <w:lang w:val="en-IE"/>
        </w:rPr>
        <w:t xml:space="preserve"> </w:t>
      </w:r>
    </w:p>
    <w:p w14:paraId="3031AFAC" w14:textId="77777777" w:rsidR="009A1752" w:rsidRPr="005F0187" w:rsidRDefault="009A1752" w:rsidP="009A1752">
      <w:pPr>
        <w:autoSpaceDE w:val="0"/>
        <w:autoSpaceDN w:val="0"/>
        <w:adjustRightInd w:val="0"/>
        <w:spacing w:after="0"/>
        <w:jc w:val="both"/>
        <w:rPr>
          <w:rFonts w:ascii="Times New Roman" w:hAnsi="Times New Roman" w:cs="Times New Roman"/>
          <w:noProof/>
          <w:sz w:val="24"/>
          <w:szCs w:val="24"/>
          <w:lang w:val="en-IE"/>
        </w:rPr>
      </w:pPr>
    </w:p>
    <w:p w14:paraId="0A1F608E" w14:textId="7037CA9B" w:rsidR="00737974" w:rsidRPr="005F0187" w:rsidRDefault="00662B1F" w:rsidP="00662B1F">
      <w:pPr>
        <w:pStyle w:val="Heading2"/>
        <w:rPr>
          <w:rFonts w:ascii="Times New Roman" w:eastAsia="Calibri" w:hAnsi="Times New Roman" w:cs="Times New Roman"/>
          <w:noProof/>
          <w:sz w:val="24"/>
          <w:szCs w:val="24"/>
          <w:lang w:val="en-US"/>
        </w:rPr>
      </w:pPr>
      <w:r w:rsidRPr="005F0187">
        <w:rPr>
          <w:rFonts w:eastAsia="Calibri"/>
          <w:noProof/>
          <w:sz w:val="24"/>
          <w:szCs w:val="24"/>
          <w:lang w:val="en-US"/>
        </w:rPr>
        <w:t xml:space="preserve">3.3 </w:t>
      </w:r>
      <w:r w:rsidR="00737974" w:rsidRPr="005F0187">
        <w:rPr>
          <w:rFonts w:eastAsia="Calibri"/>
          <w:noProof/>
          <w:sz w:val="24"/>
          <w:szCs w:val="24"/>
          <w:lang w:val="en-US"/>
        </w:rPr>
        <w:t>Upta</w:t>
      </w:r>
      <w:r w:rsidR="00B5766C" w:rsidRPr="005F0187">
        <w:rPr>
          <w:rFonts w:eastAsia="Calibri"/>
          <w:noProof/>
          <w:sz w:val="24"/>
          <w:szCs w:val="24"/>
          <w:lang w:val="en-US"/>
        </w:rPr>
        <w:t>ke and performance</w:t>
      </w:r>
      <w:r w:rsidR="00737974" w:rsidRPr="005F0187">
        <w:rPr>
          <w:rFonts w:eastAsia="Calibri"/>
          <w:noProof/>
          <w:sz w:val="24"/>
          <w:szCs w:val="24"/>
          <w:lang w:val="en-US"/>
        </w:rPr>
        <w:t xml:space="preserve"> of the platform</w:t>
      </w:r>
    </w:p>
    <w:p w14:paraId="64B8661C" w14:textId="77777777" w:rsidR="00B5766C" w:rsidRPr="005F0187" w:rsidRDefault="00B5766C" w:rsidP="00B5766C">
      <w:pPr>
        <w:autoSpaceDE w:val="0"/>
        <w:autoSpaceDN w:val="0"/>
        <w:adjustRightInd w:val="0"/>
        <w:spacing w:after="0"/>
        <w:jc w:val="both"/>
        <w:rPr>
          <w:noProof/>
          <w:sz w:val="24"/>
          <w:szCs w:val="24"/>
          <w:lang w:val="en-US"/>
        </w:rPr>
      </w:pPr>
    </w:p>
    <w:p w14:paraId="104A74CD" w14:textId="48D00041" w:rsidR="00C860BB" w:rsidRPr="005F0187" w:rsidRDefault="00813A72" w:rsidP="00B5766C">
      <w:pPr>
        <w:autoSpaceDE w:val="0"/>
        <w:autoSpaceDN w:val="0"/>
        <w:adjustRightInd w:val="0"/>
        <w:spacing w:after="0"/>
        <w:jc w:val="both"/>
        <w:rPr>
          <w:rFonts w:ascii="Times New Roman" w:eastAsia="Calibri" w:hAnsi="Times New Roman" w:cs="Times New Roman"/>
          <w:noProof/>
          <w:sz w:val="24"/>
          <w:szCs w:val="24"/>
          <w:lang w:val="en-US"/>
        </w:rPr>
      </w:pPr>
      <w:r w:rsidRPr="005F0187">
        <w:rPr>
          <w:rFonts w:ascii="Times New Roman" w:eastAsia="Calibri" w:hAnsi="Times New Roman" w:cs="Times New Roman"/>
          <w:noProof/>
          <w:sz w:val="24"/>
          <w:szCs w:val="24"/>
          <w:lang w:val="en-US"/>
        </w:rPr>
        <w:t>The ODR platform</w:t>
      </w:r>
      <w:r w:rsidR="00737974" w:rsidRPr="005F0187">
        <w:rPr>
          <w:rFonts w:ascii="Times New Roman" w:eastAsia="Calibri" w:hAnsi="Times New Roman" w:cs="Times New Roman"/>
          <w:noProof/>
          <w:sz w:val="24"/>
          <w:szCs w:val="24"/>
          <w:lang w:val="en-US"/>
        </w:rPr>
        <w:t xml:space="preserve"> has been </w:t>
      </w:r>
      <w:r w:rsidRPr="005F0187">
        <w:rPr>
          <w:rFonts w:ascii="Times New Roman" w:eastAsia="Calibri" w:hAnsi="Times New Roman" w:cs="Times New Roman"/>
          <w:noProof/>
          <w:sz w:val="24"/>
          <w:szCs w:val="24"/>
          <w:lang w:val="en-US"/>
        </w:rPr>
        <w:t xml:space="preserve">open to </w:t>
      </w:r>
      <w:r w:rsidR="00DC09EE">
        <w:rPr>
          <w:rFonts w:ascii="Times New Roman" w:eastAsia="Calibri" w:hAnsi="Times New Roman" w:cs="Times New Roman"/>
          <w:noProof/>
          <w:sz w:val="24"/>
          <w:szCs w:val="24"/>
          <w:lang w:val="en-US"/>
        </w:rPr>
        <w:t xml:space="preserve">the </w:t>
      </w:r>
      <w:r w:rsidRPr="005F0187">
        <w:rPr>
          <w:rFonts w:ascii="Times New Roman" w:eastAsia="Calibri" w:hAnsi="Times New Roman" w:cs="Times New Roman"/>
          <w:noProof/>
          <w:sz w:val="24"/>
          <w:szCs w:val="24"/>
          <w:lang w:val="en-US"/>
        </w:rPr>
        <w:t>public since February 2016</w:t>
      </w:r>
      <w:r w:rsidR="00B5766C" w:rsidRPr="005F0187">
        <w:rPr>
          <w:rFonts w:ascii="Times New Roman" w:eastAsia="Calibri" w:hAnsi="Times New Roman" w:cs="Times New Roman"/>
          <w:noProof/>
          <w:sz w:val="24"/>
          <w:szCs w:val="24"/>
          <w:lang w:val="en-US"/>
        </w:rPr>
        <w:t>.</w:t>
      </w:r>
      <w:r w:rsidR="00B5766C" w:rsidRPr="005F0187">
        <w:rPr>
          <w:noProof/>
          <w:sz w:val="24"/>
          <w:szCs w:val="24"/>
          <w:lang w:val="en-IE"/>
        </w:rPr>
        <w:t xml:space="preserve"> </w:t>
      </w:r>
      <w:r w:rsidR="00B5766C" w:rsidRPr="005F0187">
        <w:rPr>
          <w:rFonts w:ascii="Times New Roman" w:eastAsia="Calibri" w:hAnsi="Times New Roman" w:cs="Times New Roman"/>
          <w:noProof/>
          <w:sz w:val="24"/>
          <w:szCs w:val="24"/>
          <w:lang w:val="en-US"/>
        </w:rPr>
        <w:t>The platform’s public website is one of the most visited sites of the European Commission (2,5 million visits in 2022</w:t>
      </w:r>
      <w:r w:rsidR="004A31A3" w:rsidRPr="005F0187">
        <w:rPr>
          <w:rFonts w:ascii="Times New Roman" w:eastAsia="Calibri" w:hAnsi="Times New Roman" w:cs="Times New Roman"/>
          <w:noProof/>
          <w:sz w:val="24"/>
          <w:szCs w:val="24"/>
          <w:lang w:val="en-US"/>
        </w:rPr>
        <w:t>).</w:t>
      </w:r>
      <w:r w:rsidR="00C860BB" w:rsidRPr="005F0187">
        <w:rPr>
          <w:rFonts w:ascii="Times New Roman" w:eastAsia="Calibri" w:hAnsi="Times New Roman" w:cs="Times New Roman"/>
          <w:noProof/>
          <w:sz w:val="24"/>
          <w:szCs w:val="24"/>
          <w:lang w:val="en-US"/>
        </w:rPr>
        <w:t xml:space="preserve"> However, less than </w:t>
      </w:r>
      <w:r w:rsidR="00DC09EE">
        <w:rPr>
          <w:rFonts w:ascii="Times New Roman" w:eastAsia="Calibri" w:hAnsi="Times New Roman" w:cs="Times New Roman"/>
          <w:noProof/>
          <w:sz w:val="24"/>
          <w:szCs w:val="24"/>
          <w:lang w:val="en-US"/>
        </w:rPr>
        <w:t>two</w:t>
      </w:r>
      <w:r w:rsidR="00DC09EE" w:rsidRPr="005F0187">
        <w:rPr>
          <w:rFonts w:ascii="Times New Roman" w:eastAsia="Calibri" w:hAnsi="Times New Roman" w:cs="Times New Roman"/>
          <w:noProof/>
          <w:sz w:val="24"/>
          <w:szCs w:val="24"/>
          <w:lang w:val="en-US"/>
        </w:rPr>
        <w:t xml:space="preserve"> </w:t>
      </w:r>
      <w:r w:rsidR="00B5766C" w:rsidRPr="005F0187">
        <w:rPr>
          <w:rFonts w:ascii="Times New Roman" w:eastAsia="Calibri" w:hAnsi="Times New Roman" w:cs="Times New Roman"/>
          <w:noProof/>
          <w:sz w:val="24"/>
          <w:szCs w:val="24"/>
          <w:lang w:val="en-US"/>
        </w:rPr>
        <w:t>percent of the visitors actually use the complaint form</w:t>
      </w:r>
      <w:r w:rsidR="005B2700">
        <w:rPr>
          <w:rFonts w:ascii="Times New Roman" w:eastAsia="Calibri" w:hAnsi="Times New Roman" w:cs="Times New Roman"/>
          <w:noProof/>
          <w:sz w:val="24"/>
          <w:szCs w:val="24"/>
          <w:lang w:val="en-US"/>
        </w:rPr>
        <w:t xml:space="preserve">. The graphic below shows that the self test is used by 200 000 consumers (depending on the year) and that its use has led to less consumers using the complaint form, showing that many consumers arriving on the platform do not understand its purpose and need orientation. </w:t>
      </w:r>
    </w:p>
    <w:p w14:paraId="258AAF5C" w14:textId="547622DB" w:rsidR="00C860BB" w:rsidRDefault="00C860BB" w:rsidP="00B5766C">
      <w:pPr>
        <w:autoSpaceDE w:val="0"/>
        <w:autoSpaceDN w:val="0"/>
        <w:adjustRightInd w:val="0"/>
        <w:spacing w:after="0"/>
        <w:jc w:val="both"/>
        <w:rPr>
          <w:rFonts w:ascii="Times New Roman" w:eastAsia="Calibri" w:hAnsi="Times New Roman" w:cs="Times New Roman"/>
          <w:noProof/>
          <w:lang w:val="en-US"/>
        </w:rPr>
      </w:pPr>
    </w:p>
    <w:p w14:paraId="5323FB82" w14:textId="7F073578" w:rsidR="00C860BB" w:rsidRDefault="00C860BB" w:rsidP="00B5766C">
      <w:pPr>
        <w:autoSpaceDE w:val="0"/>
        <w:autoSpaceDN w:val="0"/>
        <w:adjustRightInd w:val="0"/>
        <w:spacing w:after="0"/>
        <w:jc w:val="both"/>
        <w:rPr>
          <w:rFonts w:ascii="Times New Roman" w:eastAsia="Calibri" w:hAnsi="Times New Roman" w:cs="Times New Roman"/>
          <w:noProof/>
          <w:lang w:val="en-US"/>
        </w:rPr>
      </w:pPr>
      <w:r w:rsidRPr="00596CAB">
        <w:rPr>
          <w:rFonts w:eastAsia="Calibri"/>
          <w:noProof/>
          <w:color w:val="2B579A"/>
          <w:shd w:val="clear" w:color="auto" w:fill="E6E6E6"/>
          <w:lang w:val="en-GB" w:eastAsia="en-GB"/>
        </w:rPr>
        <w:drawing>
          <wp:inline distT="0" distB="0" distL="0" distR="0" wp14:anchorId="5C3E71B7" wp14:editId="629D62C1">
            <wp:extent cx="5760720" cy="3648075"/>
            <wp:effectExtent l="0" t="0" r="11430" b="9525"/>
            <wp:docPr id="290" name="Chart 29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29B2FD5" w14:textId="22610E96" w:rsidR="00C860BB" w:rsidRDefault="00C860BB" w:rsidP="00B5766C">
      <w:pPr>
        <w:autoSpaceDE w:val="0"/>
        <w:autoSpaceDN w:val="0"/>
        <w:adjustRightInd w:val="0"/>
        <w:spacing w:after="0"/>
        <w:jc w:val="both"/>
        <w:rPr>
          <w:rFonts w:ascii="Times New Roman" w:eastAsia="Calibri" w:hAnsi="Times New Roman" w:cs="Times New Roman"/>
          <w:noProof/>
          <w:lang w:val="en-US"/>
        </w:rPr>
      </w:pPr>
      <w:r>
        <w:rPr>
          <w:rFonts w:ascii="Times New Roman" w:eastAsia="Calibri" w:hAnsi="Times New Roman" w:cs="Times New Roman"/>
          <w:noProof/>
          <w:lang w:val="en-US"/>
        </w:rPr>
        <w:t>Source: website analytics for the ODR platform</w:t>
      </w:r>
    </w:p>
    <w:p w14:paraId="3B25C11D" w14:textId="77777777" w:rsidR="00C860BB" w:rsidRDefault="00C860BB" w:rsidP="00B5766C">
      <w:pPr>
        <w:autoSpaceDE w:val="0"/>
        <w:autoSpaceDN w:val="0"/>
        <w:adjustRightInd w:val="0"/>
        <w:spacing w:after="0"/>
        <w:jc w:val="both"/>
        <w:rPr>
          <w:rFonts w:ascii="Times New Roman" w:eastAsia="Calibri" w:hAnsi="Times New Roman" w:cs="Times New Roman"/>
          <w:noProof/>
          <w:lang w:val="en-US"/>
        </w:rPr>
      </w:pPr>
    </w:p>
    <w:p w14:paraId="35E2A835" w14:textId="6F79A1BF" w:rsidR="0015372B" w:rsidRDefault="005B2700" w:rsidP="00B5766C">
      <w:pPr>
        <w:autoSpaceDE w:val="0"/>
        <w:autoSpaceDN w:val="0"/>
        <w:adjustRightInd w:val="0"/>
        <w:spacing w:after="0"/>
        <w:jc w:val="both"/>
        <w:rPr>
          <w:rFonts w:ascii="Times New Roman" w:eastAsia="Calibri" w:hAnsi="Times New Roman" w:cs="Times New Roman"/>
          <w:noProof/>
          <w:lang w:val="en-US"/>
        </w:rPr>
      </w:pPr>
      <w:r>
        <w:rPr>
          <w:rFonts w:ascii="Times New Roman" w:eastAsia="Calibri" w:hAnsi="Times New Roman" w:cs="Times New Roman"/>
          <w:noProof/>
          <w:lang w:val="en-US"/>
        </w:rPr>
        <w:t>T</w:t>
      </w:r>
      <w:r w:rsidR="00C860BB">
        <w:rPr>
          <w:rFonts w:ascii="Times New Roman" w:eastAsia="Calibri" w:hAnsi="Times New Roman" w:cs="Times New Roman"/>
          <w:noProof/>
          <w:lang w:val="en-US"/>
        </w:rPr>
        <w:t xml:space="preserve">he platform </w:t>
      </w:r>
      <w:r w:rsidR="00B5766C" w:rsidRPr="00B5766C">
        <w:rPr>
          <w:rFonts w:ascii="Times New Roman" w:eastAsia="Calibri" w:hAnsi="Times New Roman" w:cs="Times New Roman"/>
          <w:noProof/>
          <w:lang w:val="en-US"/>
        </w:rPr>
        <w:t xml:space="preserve">amassed 180 </w:t>
      </w:r>
      <w:r>
        <w:rPr>
          <w:rFonts w:ascii="Times New Roman" w:eastAsia="Calibri" w:hAnsi="Times New Roman" w:cs="Times New Roman"/>
          <w:noProof/>
          <w:lang w:val="en-US"/>
        </w:rPr>
        <w:t xml:space="preserve">000 </w:t>
      </w:r>
      <w:r w:rsidR="004A31A3" w:rsidRPr="00B5766C">
        <w:rPr>
          <w:rFonts w:ascii="Times New Roman" w:eastAsia="Calibri" w:hAnsi="Times New Roman" w:cs="Times New Roman"/>
          <w:noProof/>
          <w:lang w:val="en-US"/>
        </w:rPr>
        <w:t>complaints</w:t>
      </w:r>
      <w:r w:rsidR="00B5766C" w:rsidRPr="00B5766C">
        <w:rPr>
          <w:rFonts w:ascii="Times New Roman" w:eastAsia="Calibri" w:hAnsi="Times New Roman" w:cs="Times New Roman"/>
          <w:noProof/>
          <w:lang w:val="en-US"/>
        </w:rPr>
        <w:t xml:space="preserve"> since its launch in 2016, </w:t>
      </w:r>
      <w:r>
        <w:rPr>
          <w:rFonts w:ascii="Times New Roman" w:eastAsia="Calibri" w:hAnsi="Times New Roman" w:cs="Times New Roman"/>
          <w:noProof/>
          <w:lang w:val="en-US"/>
        </w:rPr>
        <w:t xml:space="preserve">as a result </w:t>
      </w:r>
      <w:r w:rsidR="004A31A3">
        <w:rPr>
          <w:rFonts w:ascii="Times New Roman" w:eastAsia="Calibri" w:hAnsi="Times New Roman" w:cs="Times New Roman"/>
          <w:noProof/>
          <w:lang w:val="en-US"/>
        </w:rPr>
        <w:t xml:space="preserve">19 </w:t>
      </w:r>
      <w:r>
        <w:rPr>
          <w:rFonts w:ascii="Times New Roman" w:eastAsia="Calibri" w:hAnsi="Times New Roman" w:cs="Times New Roman"/>
          <w:noProof/>
          <w:lang w:val="en-US"/>
        </w:rPr>
        <w:t xml:space="preserve">000 </w:t>
      </w:r>
      <w:r w:rsidR="004A31A3">
        <w:rPr>
          <w:rFonts w:ascii="Times New Roman" w:eastAsia="Calibri" w:hAnsi="Times New Roman" w:cs="Times New Roman"/>
          <w:noProof/>
          <w:lang w:val="en-US"/>
        </w:rPr>
        <w:t>companies, from large platforms to SMEs, have registered on the platform</w:t>
      </w:r>
      <w:r>
        <w:rPr>
          <w:rFonts w:ascii="Times New Roman" w:eastAsia="Calibri" w:hAnsi="Times New Roman" w:cs="Times New Roman"/>
          <w:noProof/>
          <w:lang w:val="en-US"/>
        </w:rPr>
        <w:t xml:space="preserve"> since that year</w:t>
      </w:r>
      <w:r w:rsidR="00DC09EE">
        <w:rPr>
          <w:rFonts w:ascii="Times New Roman" w:eastAsia="Calibri" w:hAnsi="Times New Roman" w:cs="Times New Roman"/>
          <w:noProof/>
          <w:lang w:val="en-US"/>
        </w:rPr>
        <w:t>.</w:t>
      </w:r>
      <w:r w:rsidR="00693E82">
        <w:rPr>
          <w:rFonts w:ascii="Times New Roman" w:eastAsia="Calibri" w:hAnsi="Times New Roman" w:cs="Times New Roman"/>
          <w:noProof/>
          <w:lang w:val="en-US"/>
        </w:rPr>
        <w:t xml:space="preserve"> </w:t>
      </w:r>
      <w:r w:rsidR="00546266">
        <w:rPr>
          <w:rFonts w:ascii="Times New Roman" w:eastAsia="Calibri" w:hAnsi="Times New Roman" w:cs="Times New Roman"/>
          <w:noProof/>
          <w:lang w:val="en-US"/>
        </w:rPr>
        <w:t xml:space="preserve">Yet, </w:t>
      </w:r>
      <w:r w:rsidR="00B5766C" w:rsidRPr="00B5766C">
        <w:rPr>
          <w:rFonts w:ascii="Times New Roman" w:eastAsia="Calibri" w:hAnsi="Times New Roman" w:cs="Times New Roman"/>
          <w:noProof/>
          <w:lang w:val="en-US"/>
        </w:rPr>
        <w:t>80</w:t>
      </w:r>
      <w:r>
        <w:rPr>
          <w:rFonts w:ascii="Times New Roman" w:eastAsia="Calibri" w:hAnsi="Times New Roman" w:cs="Times New Roman"/>
          <w:noProof/>
          <w:lang w:val="en-US"/>
        </w:rPr>
        <w:t xml:space="preserve"> to </w:t>
      </w:r>
      <w:r w:rsidR="00B5766C" w:rsidRPr="00B5766C">
        <w:rPr>
          <w:rFonts w:ascii="Times New Roman" w:eastAsia="Calibri" w:hAnsi="Times New Roman" w:cs="Times New Roman"/>
          <w:noProof/>
          <w:lang w:val="en-US"/>
        </w:rPr>
        <w:t xml:space="preserve">85% of complaints, go unanswered on the platform, </w:t>
      </w:r>
      <w:r w:rsidR="009F49F2">
        <w:rPr>
          <w:rFonts w:ascii="Times New Roman" w:eastAsia="Calibri" w:hAnsi="Times New Roman" w:cs="Times New Roman"/>
          <w:noProof/>
          <w:lang w:val="en-US"/>
        </w:rPr>
        <w:t>and</w:t>
      </w:r>
      <w:r w:rsidR="00662B1F">
        <w:rPr>
          <w:rFonts w:ascii="Times New Roman" w:eastAsia="Calibri" w:hAnsi="Times New Roman" w:cs="Times New Roman"/>
          <w:noProof/>
          <w:lang w:val="en-US"/>
        </w:rPr>
        <w:t xml:space="preserve"> </w:t>
      </w:r>
      <w:r w:rsidR="00B5766C" w:rsidRPr="00B5766C">
        <w:rPr>
          <w:rFonts w:ascii="Times New Roman" w:eastAsia="Calibri" w:hAnsi="Times New Roman" w:cs="Times New Roman"/>
          <w:noProof/>
          <w:lang w:val="en-US"/>
        </w:rPr>
        <w:t xml:space="preserve">only about of 1% of the complaints (i.e </w:t>
      </w:r>
      <w:r w:rsidR="00DC09EE">
        <w:rPr>
          <w:rFonts w:ascii="Times New Roman" w:eastAsia="Calibri" w:hAnsi="Times New Roman" w:cs="Times New Roman"/>
          <w:noProof/>
          <w:lang w:val="en-US"/>
        </w:rPr>
        <w:t>less than 200</w:t>
      </w:r>
      <w:r w:rsidR="00B5766C" w:rsidRPr="00B5766C">
        <w:rPr>
          <w:rFonts w:ascii="Times New Roman" w:eastAsia="Calibri" w:hAnsi="Times New Roman" w:cs="Times New Roman"/>
          <w:noProof/>
          <w:lang w:val="en-US"/>
        </w:rPr>
        <w:t xml:space="preserve"> cases) result</w:t>
      </w:r>
      <w:r w:rsidR="00662B1F">
        <w:rPr>
          <w:rFonts w:ascii="Times New Roman" w:eastAsia="Calibri" w:hAnsi="Times New Roman" w:cs="Times New Roman"/>
          <w:noProof/>
          <w:lang w:val="en-US"/>
        </w:rPr>
        <w:t xml:space="preserve"> </w:t>
      </w:r>
      <w:r w:rsidR="00B5766C" w:rsidRPr="00B5766C">
        <w:rPr>
          <w:rFonts w:ascii="Times New Roman" w:eastAsia="Calibri" w:hAnsi="Times New Roman" w:cs="Times New Roman"/>
          <w:noProof/>
          <w:lang w:val="en-US"/>
        </w:rPr>
        <w:t xml:space="preserve">in an ADR outcome. </w:t>
      </w:r>
    </w:p>
    <w:p w14:paraId="7DE25025" w14:textId="77777777" w:rsidR="0015372B" w:rsidRDefault="0015372B" w:rsidP="00B5766C">
      <w:pPr>
        <w:autoSpaceDE w:val="0"/>
        <w:autoSpaceDN w:val="0"/>
        <w:adjustRightInd w:val="0"/>
        <w:spacing w:after="0"/>
        <w:jc w:val="both"/>
        <w:rPr>
          <w:rFonts w:ascii="Times New Roman" w:eastAsia="Calibri" w:hAnsi="Times New Roman" w:cs="Times New Roman"/>
          <w:noProof/>
          <w:lang w:val="en-US"/>
        </w:rPr>
      </w:pPr>
    </w:p>
    <w:p w14:paraId="4C1E594A" w14:textId="13116BA2" w:rsidR="0015372B" w:rsidRPr="00566910" w:rsidRDefault="0015372B" w:rsidP="00BB0F92">
      <w:pPr>
        <w:autoSpaceDE w:val="0"/>
        <w:autoSpaceDN w:val="0"/>
        <w:adjustRightInd w:val="0"/>
        <w:spacing w:after="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Consequently, the Commission invested in improving the design and technical performance of the platform</w:t>
      </w:r>
      <w:r w:rsidR="00426D9F">
        <w:rPr>
          <w:rFonts w:ascii="Times New Roman" w:hAnsi="Times New Roman" w:cs="Times New Roman"/>
          <w:noProof/>
          <w:sz w:val="24"/>
          <w:szCs w:val="24"/>
          <w:lang w:val="en-IE"/>
        </w:rPr>
        <w:t xml:space="preserve">. In addition to the new features mentioned in the previous section, the </w:t>
      </w:r>
      <w:r w:rsidR="00A60FDE">
        <w:rPr>
          <w:rFonts w:ascii="Times New Roman" w:hAnsi="Times New Roman" w:cs="Times New Roman"/>
          <w:noProof/>
          <w:sz w:val="24"/>
          <w:szCs w:val="24"/>
          <w:lang w:val="en-IE"/>
        </w:rPr>
        <w:t xml:space="preserve">platform was completely redesigned in 2017-2018, </w:t>
      </w:r>
      <w:r w:rsidRPr="00C61301">
        <w:rPr>
          <w:rFonts w:ascii="Times New Roman" w:hAnsi="Times New Roman" w:cs="Times New Roman"/>
          <w:noProof/>
          <w:sz w:val="24"/>
          <w:szCs w:val="24"/>
          <w:lang w:val="en-IE"/>
        </w:rPr>
        <w:t>in line with the Commission corporate guidelines</w:t>
      </w:r>
      <w:r w:rsidR="00A60FDE">
        <w:rPr>
          <w:rFonts w:ascii="Times New Roman" w:hAnsi="Times New Roman" w:cs="Times New Roman"/>
          <w:noProof/>
          <w:sz w:val="24"/>
          <w:szCs w:val="24"/>
          <w:lang w:val="en-IE"/>
        </w:rPr>
        <w:t xml:space="preserve">, </w:t>
      </w:r>
      <w:r w:rsidRPr="00C61301">
        <w:rPr>
          <w:rFonts w:ascii="Times New Roman" w:hAnsi="Times New Roman" w:cs="Times New Roman"/>
          <w:noProof/>
          <w:sz w:val="24"/>
          <w:szCs w:val="24"/>
          <w:lang w:val="en-IE"/>
        </w:rPr>
        <w:t>streamlining the complaint process, rewriting notifications in a clear and specific language, taking measures against the notifications being classified as spam</w:t>
      </w:r>
      <w:r w:rsidR="00BB0F92">
        <w:rPr>
          <w:rFonts w:ascii="Times New Roman" w:hAnsi="Times New Roman" w:cs="Times New Roman"/>
          <w:noProof/>
          <w:sz w:val="24"/>
          <w:szCs w:val="24"/>
          <w:lang w:val="en-IE"/>
        </w:rPr>
        <w:t xml:space="preserve">. Further, the Commission undertook a </w:t>
      </w:r>
      <w:r w:rsidRPr="00566910">
        <w:rPr>
          <w:rFonts w:ascii="Times New Roman" w:hAnsi="Times New Roman" w:cs="Times New Roman"/>
          <w:noProof/>
          <w:sz w:val="24"/>
          <w:szCs w:val="24"/>
          <w:lang w:val="en-IE"/>
        </w:rPr>
        <w:t>technical analysis of the necessary and desired platform functionalities as well as different technological solutions that could make the platform more performant</w:t>
      </w:r>
      <w:r w:rsidR="00BB0F92">
        <w:rPr>
          <w:rFonts w:ascii="Times New Roman" w:hAnsi="Times New Roman" w:cs="Times New Roman"/>
          <w:noProof/>
          <w:sz w:val="24"/>
          <w:szCs w:val="24"/>
          <w:lang w:val="en-IE"/>
        </w:rPr>
        <w:t xml:space="preserve">, and </w:t>
      </w:r>
      <w:r w:rsidRPr="00566910">
        <w:rPr>
          <w:rFonts w:ascii="Times New Roman" w:hAnsi="Times New Roman" w:cs="Times New Roman"/>
          <w:noProof/>
          <w:sz w:val="24"/>
          <w:szCs w:val="24"/>
          <w:lang w:val="en-IE"/>
        </w:rPr>
        <w:t xml:space="preserve">a design thinking exercise to </w:t>
      </w:r>
      <w:r w:rsidR="00DC09EE">
        <w:rPr>
          <w:rFonts w:ascii="Times New Roman" w:hAnsi="Times New Roman" w:cs="Times New Roman"/>
          <w:noProof/>
          <w:sz w:val="24"/>
          <w:szCs w:val="24"/>
          <w:lang w:val="en-IE"/>
        </w:rPr>
        <w:t xml:space="preserve">better understand the assistance needs of consumers as well as a </w:t>
      </w:r>
      <w:r w:rsidRPr="00566910">
        <w:rPr>
          <w:rFonts w:ascii="Times New Roman" w:hAnsi="Times New Roman" w:cs="Times New Roman"/>
          <w:noProof/>
          <w:sz w:val="24"/>
          <w:szCs w:val="24"/>
          <w:lang w:val="en-IE"/>
        </w:rPr>
        <w:t xml:space="preserve">behavioural experiment </w:t>
      </w:r>
      <w:r w:rsidR="00DC09EE">
        <w:rPr>
          <w:rFonts w:ascii="Times New Roman" w:hAnsi="Times New Roman" w:cs="Times New Roman"/>
          <w:noProof/>
          <w:sz w:val="24"/>
          <w:szCs w:val="24"/>
          <w:lang w:val="en-IE"/>
        </w:rPr>
        <w:t xml:space="preserve">to test whether </w:t>
      </w:r>
      <w:r w:rsidRPr="00566910">
        <w:rPr>
          <w:rFonts w:ascii="Times New Roman" w:hAnsi="Times New Roman" w:cs="Times New Roman"/>
          <w:noProof/>
          <w:sz w:val="24"/>
          <w:szCs w:val="24"/>
          <w:lang w:val="en-IE"/>
        </w:rPr>
        <w:t>different messages on the platform</w:t>
      </w:r>
      <w:r w:rsidR="00DC09EE">
        <w:rPr>
          <w:rFonts w:ascii="Times New Roman" w:hAnsi="Times New Roman" w:cs="Times New Roman"/>
          <w:noProof/>
          <w:sz w:val="24"/>
          <w:szCs w:val="24"/>
          <w:lang w:val="en-IE"/>
        </w:rPr>
        <w:t xml:space="preserve"> could improve the understanding of consumers</w:t>
      </w:r>
      <w:r w:rsidRPr="00566910">
        <w:rPr>
          <w:rFonts w:ascii="Times New Roman" w:hAnsi="Times New Roman" w:cs="Times New Roman"/>
          <w:noProof/>
          <w:sz w:val="24"/>
          <w:szCs w:val="24"/>
          <w:lang w:val="en-IE"/>
        </w:rPr>
        <w:t>.</w:t>
      </w:r>
    </w:p>
    <w:p w14:paraId="0F9F972B" w14:textId="77777777" w:rsidR="0015372B" w:rsidRPr="007F520E" w:rsidRDefault="0015372B" w:rsidP="00B5766C">
      <w:pPr>
        <w:autoSpaceDE w:val="0"/>
        <w:autoSpaceDN w:val="0"/>
        <w:adjustRightInd w:val="0"/>
        <w:spacing w:after="0"/>
        <w:jc w:val="both"/>
        <w:rPr>
          <w:rFonts w:ascii="Times New Roman" w:eastAsia="Calibri" w:hAnsi="Times New Roman" w:cs="Times New Roman"/>
          <w:noProof/>
          <w:lang w:val="en-IE"/>
        </w:rPr>
      </w:pPr>
    </w:p>
    <w:p w14:paraId="778787AE" w14:textId="72BD25C9" w:rsidR="00B5766C" w:rsidRPr="00B5766C" w:rsidRDefault="00BB0F92" w:rsidP="00B5766C">
      <w:pPr>
        <w:autoSpaceDE w:val="0"/>
        <w:autoSpaceDN w:val="0"/>
        <w:adjustRightInd w:val="0"/>
        <w:spacing w:after="0"/>
        <w:jc w:val="both"/>
        <w:rPr>
          <w:rFonts w:ascii="Times New Roman" w:eastAsia="Calibri" w:hAnsi="Times New Roman" w:cs="Times New Roman"/>
          <w:noProof/>
          <w:lang w:val="en-US"/>
        </w:rPr>
      </w:pPr>
      <w:r>
        <w:rPr>
          <w:rFonts w:ascii="Times New Roman" w:eastAsia="Calibri" w:hAnsi="Times New Roman" w:cs="Times New Roman"/>
          <w:noProof/>
          <w:lang w:val="en-US"/>
        </w:rPr>
        <w:t xml:space="preserve">However, the </w:t>
      </w:r>
      <w:r w:rsidR="00DC09EE">
        <w:rPr>
          <w:rFonts w:ascii="Times New Roman" w:eastAsia="Calibri" w:hAnsi="Times New Roman" w:cs="Times New Roman"/>
          <w:noProof/>
          <w:lang w:val="en-US"/>
        </w:rPr>
        <w:t xml:space="preserve">engagement </w:t>
      </w:r>
      <w:r>
        <w:rPr>
          <w:rFonts w:ascii="Times New Roman" w:eastAsia="Calibri" w:hAnsi="Times New Roman" w:cs="Times New Roman"/>
          <w:noProof/>
          <w:lang w:val="en-US"/>
        </w:rPr>
        <w:t xml:space="preserve">rate </w:t>
      </w:r>
      <w:r w:rsidR="00DC09EE">
        <w:rPr>
          <w:rFonts w:ascii="Times New Roman" w:eastAsia="Calibri" w:hAnsi="Times New Roman" w:cs="Times New Roman"/>
          <w:noProof/>
          <w:lang w:val="en-US"/>
        </w:rPr>
        <w:t xml:space="preserve">of consumers </w:t>
      </w:r>
      <w:r>
        <w:rPr>
          <w:rFonts w:ascii="Times New Roman" w:eastAsia="Calibri" w:hAnsi="Times New Roman" w:cs="Times New Roman"/>
          <w:noProof/>
          <w:lang w:val="en-US"/>
        </w:rPr>
        <w:t>remained</w:t>
      </w:r>
      <w:r w:rsidR="00B5766C" w:rsidRPr="00B5766C">
        <w:rPr>
          <w:rFonts w:ascii="Times New Roman" w:eastAsia="Calibri" w:hAnsi="Times New Roman" w:cs="Times New Roman"/>
          <w:noProof/>
          <w:lang w:val="en-US"/>
        </w:rPr>
        <w:t xml:space="preserve"> low, regardless of the technical and design improvements, or information campaigns</w:t>
      </w:r>
      <w:r w:rsidR="005B2700">
        <w:rPr>
          <w:rFonts w:ascii="Times New Roman" w:eastAsia="Calibri" w:hAnsi="Times New Roman" w:cs="Times New Roman"/>
          <w:noProof/>
          <w:lang w:val="en-US"/>
        </w:rPr>
        <w:t xml:space="preserve"> run by the Commission</w:t>
      </w:r>
      <w:r w:rsidR="00B5766C" w:rsidRPr="00B5766C">
        <w:rPr>
          <w:rFonts w:ascii="Times New Roman" w:eastAsia="Calibri" w:hAnsi="Times New Roman" w:cs="Times New Roman"/>
          <w:noProof/>
          <w:lang w:val="en-US"/>
        </w:rPr>
        <w:t xml:space="preserve">. </w:t>
      </w:r>
    </w:p>
    <w:p w14:paraId="256D0889" w14:textId="77777777" w:rsidR="00B5766C" w:rsidRPr="00B5766C" w:rsidRDefault="00B5766C" w:rsidP="00B5766C">
      <w:pPr>
        <w:autoSpaceDE w:val="0"/>
        <w:autoSpaceDN w:val="0"/>
        <w:adjustRightInd w:val="0"/>
        <w:spacing w:after="0"/>
        <w:jc w:val="both"/>
        <w:rPr>
          <w:rFonts w:ascii="Times New Roman" w:eastAsia="Calibri" w:hAnsi="Times New Roman" w:cs="Times New Roman"/>
          <w:noProof/>
          <w:lang w:val="en-US"/>
        </w:rPr>
      </w:pPr>
    </w:p>
    <w:tbl>
      <w:tblPr>
        <w:tblStyle w:val="TableGrid3"/>
        <w:tblW w:w="0" w:type="auto"/>
        <w:tblLook w:val="04A0" w:firstRow="1" w:lastRow="0" w:firstColumn="1" w:lastColumn="0" w:noHBand="0" w:noVBand="1"/>
      </w:tblPr>
      <w:tblGrid>
        <w:gridCol w:w="1510"/>
        <w:gridCol w:w="1510"/>
        <w:gridCol w:w="1766"/>
        <w:gridCol w:w="1701"/>
        <w:gridCol w:w="2835"/>
      </w:tblGrid>
      <w:tr w:rsidR="005B2700" w:rsidRPr="005B2700" w14:paraId="71D69DF8" w14:textId="77777777" w:rsidTr="00F31795">
        <w:tc>
          <w:tcPr>
            <w:tcW w:w="1510" w:type="dxa"/>
          </w:tcPr>
          <w:p w14:paraId="1917B581" w14:textId="77777777" w:rsidR="005B2700" w:rsidRPr="00693E82" w:rsidRDefault="005B2700" w:rsidP="005B2700">
            <w:pPr>
              <w:autoSpaceDE w:val="0"/>
              <w:autoSpaceDN w:val="0"/>
              <w:adjustRightInd w:val="0"/>
              <w:jc w:val="center"/>
              <w:rPr>
                <w:rFonts w:ascii="Times New Roman" w:eastAsia="Calibri" w:hAnsi="Times New Roman" w:cs="Times New Roman"/>
                <w:b/>
                <w:bCs/>
                <w:noProof/>
              </w:rPr>
            </w:pPr>
            <w:r w:rsidRPr="00693E82">
              <w:rPr>
                <w:rFonts w:ascii="Times New Roman" w:eastAsia="Calibri" w:hAnsi="Times New Roman" w:cs="Times New Roman"/>
                <w:b/>
                <w:bCs/>
                <w:noProof/>
              </w:rPr>
              <w:t>Year</w:t>
            </w:r>
          </w:p>
        </w:tc>
        <w:tc>
          <w:tcPr>
            <w:tcW w:w="1510" w:type="dxa"/>
          </w:tcPr>
          <w:p w14:paraId="3D9AC585" w14:textId="77777777" w:rsidR="005B2700" w:rsidRPr="00693E82" w:rsidRDefault="005B2700" w:rsidP="005B2700">
            <w:pPr>
              <w:autoSpaceDE w:val="0"/>
              <w:autoSpaceDN w:val="0"/>
              <w:adjustRightInd w:val="0"/>
              <w:jc w:val="center"/>
              <w:rPr>
                <w:rFonts w:ascii="Times New Roman" w:eastAsia="Calibri" w:hAnsi="Times New Roman" w:cs="Times New Roman"/>
                <w:b/>
                <w:bCs/>
                <w:noProof/>
              </w:rPr>
            </w:pPr>
            <w:r w:rsidRPr="00693E82">
              <w:rPr>
                <w:rFonts w:ascii="Times New Roman" w:eastAsia="Calibri" w:hAnsi="Times New Roman" w:cs="Times New Roman"/>
                <w:b/>
                <w:bCs/>
                <w:noProof/>
              </w:rPr>
              <w:t>Website visits</w:t>
            </w:r>
          </w:p>
        </w:tc>
        <w:tc>
          <w:tcPr>
            <w:tcW w:w="1766" w:type="dxa"/>
          </w:tcPr>
          <w:p w14:paraId="6DE3C4C2" w14:textId="77777777" w:rsidR="005B2700" w:rsidRPr="00693E82" w:rsidRDefault="005B2700" w:rsidP="005B2700">
            <w:pPr>
              <w:autoSpaceDE w:val="0"/>
              <w:autoSpaceDN w:val="0"/>
              <w:adjustRightInd w:val="0"/>
              <w:jc w:val="center"/>
              <w:rPr>
                <w:rFonts w:ascii="Times New Roman" w:eastAsia="Calibri" w:hAnsi="Times New Roman" w:cs="Times New Roman"/>
                <w:b/>
                <w:bCs/>
                <w:noProof/>
              </w:rPr>
            </w:pPr>
            <w:r w:rsidRPr="00693E82">
              <w:rPr>
                <w:rFonts w:ascii="Times New Roman" w:eastAsia="Calibri" w:hAnsi="Times New Roman" w:cs="Times New Roman"/>
                <w:b/>
                <w:bCs/>
                <w:noProof/>
              </w:rPr>
              <w:t>Complaints</w:t>
            </w:r>
          </w:p>
        </w:tc>
        <w:tc>
          <w:tcPr>
            <w:tcW w:w="1701" w:type="dxa"/>
          </w:tcPr>
          <w:p w14:paraId="5600281B" w14:textId="77777777" w:rsidR="005B2700" w:rsidRPr="00693E82" w:rsidRDefault="005B2700" w:rsidP="005B2700">
            <w:pPr>
              <w:autoSpaceDE w:val="0"/>
              <w:autoSpaceDN w:val="0"/>
              <w:adjustRightInd w:val="0"/>
              <w:jc w:val="center"/>
              <w:rPr>
                <w:rFonts w:ascii="Times New Roman" w:eastAsia="Calibri" w:hAnsi="Times New Roman" w:cs="Times New Roman"/>
                <w:b/>
                <w:bCs/>
                <w:noProof/>
              </w:rPr>
            </w:pPr>
            <w:r w:rsidRPr="00693E82">
              <w:rPr>
                <w:rFonts w:ascii="Times New Roman" w:eastAsia="Calibri" w:hAnsi="Times New Roman" w:cs="Times New Roman"/>
                <w:b/>
                <w:bCs/>
                <w:noProof/>
              </w:rPr>
              <w:t>Complaints referred to ADR</w:t>
            </w:r>
          </w:p>
        </w:tc>
        <w:tc>
          <w:tcPr>
            <w:tcW w:w="2835" w:type="dxa"/>
          </w:tcPr>
          <w:p w14:paraId="5F0F87B9" w14:textId="14B824E8" w:rsidR="005B2700" w:rsidRPr="00693E82" w:rsidRDefault="005B2700" w:rsidP="005B2700">
            <w:pPr>
              <w:autoSpaceDE w:val="0"/>
              <w:autoSpaceDN w:val="0"/>
              <w:adjustRightInd w:val="0"/>
              <w:jc w:val="center"/>
              <w:rPr>
                <w:rFonts w:ascii="Times New Roman" w:eastAsia="Calibri" w:hAnsi="Times New Roman" w:cs="Times New Roman"/>
                <w:b/>
                <w:bCs/>
                <w:noProof/>
              </w:rPr>
            </w:pPr>
            <w:r w:rsidRPr="00693E82">
              <w:rPr>
                <w:rFonts w:ascii="Times New Roman" w:eastAsia="Calibri" w:hAnsi="Times New Roman" w:cs="Times New Roman"/>
                <w:b/>
                <w:bCs/>
                <w:noProof/>
              </w:rPr>
              <w:t>ADR outcomes completed</w:t>
            </w:r>
          </w:p>
        </w:tc>
      </w:tr>
      <w:tr w:rsidR="005B2700" w:rsidRPr="00B5766C" w14:paraId="5AA76E5F" w14:textId="77777777" w:rsidTr="00F31795">
        <w:tc>
          <w:tcPr>
            <w:tcW w:w="1510" w:type="dxa"/>
          </w:tcPr>
          <w:p w14:paraId="51772429" w14:textId="1886355F" w:rsidR="005B2700" w:rsidRPr="00B5766C" w:rsidRDefault="00DC09EE" w:rsidP="008C4716">
            <w:pPr>
              <w:autoSpaceDE w:val="0"/>
              <w:autoSpaceDN w:val="0"/>
              <w:adjustRightInd w:val="0"/>
              <w:rPr>
                <w:rFonts w:ascii="Times New Roman" w:eastAsia="Calibri" w:hAnsi="Times New Roman" w:cs="Times New Roman"/>
                <w:noProof/>
              </w:rPr>
            </w:pPr>
            <w:r>
              <w:rPr>
                <w:rFonts w:ascii="Times New Roman" w:eastAsia="Calibri" w:hAnsi="Times New Roman" w:cs="Times New Roman"/>
                <w:noProof/>
              </w:rPr>
              <w:t xml:space="preserve"> </w:t>
            </w:r>
            <w:r w:rsidR="005B2700" w:rsidRPr="00B5766C">
              <w:rPr>
                <w:rFonts w:ascii="Times New Roman" w:eastAsia="Calibri" w:hAnsi="Times New Roman" w:cs="Times New Roman"/>
                <w:noProof/>
              </w:rPr>
              <w:t>2016*</w:t>
            </w:r>
          </w:p>
        </w:tc>
        <w:tc>
          <w:tcPr>
            <w:tcW w:w="1510" w:type="dxa"/>
          </w:tcPr>
          <w:p w14:paraId="62B3167A" w14:textId="77777777" w:rsidR="005B2700" w:rsidRPr="00B5766C" w:rsidRDefault="005B2700" w:rsidP="00F31795">
            <w:pPr>
              <w:autoSpaceDE w:val="0"/>
              <w:autoSpaceDN w:val="0"/>
              <w:adjustRightInd w:val="0"/>
              <w:jc w:val="right"/>
              <w:rPr>
                <w:rFonts w:ascii="Times New Roman" w:eastAsia="Calibri" w:hAnsi="Times New Roman" w:cs="Times New Roman"/>
                <w:noProof/>
              </w:rPr>
            </w:pPr>
            <w:r w:rsidRPr="00B5766C">
              <w:rPr>
                <w:rFonts w:ascii="Times New Roman" w:eastAsia="Calibri" w:hAnsi="Times New Roman" w:cs="Times New Roman"/>
                <w:noProof/>
              </w:rPr>
              <w:t>1.715.794</w:t>
            </w:r>
          </w:p>
        </w:tc>
        <w:tc>
          <w:tcPr>
            <w:tcW w:w="1766" w:type="dxa"/>
            <w:vAlign w:val="bottom"/>
          </w:tcPr>
          <w:p w14:paraId="3947BD04" w14:textId="77777777" w:rsidR="005B2700" w:rsidRPr="00B5766C" w:rsidRDefault="005B2700" w:rsidP="00F31795">
            <w:pPr>
              <w:autoSpaceDE w:val="0"/>
              <w:autoSpaceDN w:val="0"/>
              <w:adjustRightInd w:val="0"/>
              <w:jc w:val="right"/>
              <w:rPr>
                <w:rFonts w:ascii="Times New Roman" w:eastAsia="Calibri" w:hAnsi="Times New Roman" w:cs="Times New Roman"/>
                <w:noProof/>
              </w:rPr>
            </w:pPr>
            <w:r w:rsidRPr="00B5766C">
              <w:rPr>
                <w:rFonts w:ascii="Times New Roman" w:eastAsia="Calibri" w:hAnsi="Times New Roman" w:cs="Times New Roman"/>
                <w:noProof/>
                <w:color w:val="000000"/>
              </w:rPr>
              <w:t xml:space="preserve">          20.176 </w:t>
            </w:r>
          </w:p>
        </w:tc>
        <w:tc>
          <w:tcPr>
            <w:tcW w:w="1701" w:type="dxa"/>
          </w:tcPr>
          <w:p w14:paraId="102B236A" w14:textId="77777777" w:rsidR="005B2700" w:rsidRPr="00B5766C" w:rsidRDefault="005B2700" w:rsidP="005B2700">
            <w:pPr>
              <w:autoSpaceDE w:val="0"/>
              <w:autoSpaceDN w:val="0"/>
              <w:adjustRightInd w:val="0"/>
              <w:jc w:val="right"/>
              <w:rPr>
                <w:rFonts w:ascii="Times New Roman" w:eastAsia="Calibri" w:hAnsi="Times New Roman" w:cs="Times New Roman"/>
                <w:noProof/>
              </w:rPr>
            </w:pPr>
            <w:r w:rsidRPr="00B5766C">
              <w:rPr>
                <w:rFonts w:ascii="Times New Roman" w:eastAsia="Calibri" w:hAnsi="Times New Roman" w:cs="Times New Roman"/>
                <w:noProof/>
              </w:rPr>
              <w:t>406</w:t>
            </w:r>
          </w:p>
        </w:tc>
        <w:tc>
          <w:tcPr>
            <w:tcW w:w="2835" w:type="dxa"/>
          </w:tcPr>
          <w:p w14:paraId="61FA4EA1" w14:textId="77777777" w:rsidR="005B2700" w:rsidRPr="00B5766C" w:rsidRDefault="005B2700" w:rsidP="005B2700">
            <w:pPr>
              <w:autoSpaceDE w:val="0"/>
              <w:autoSpaceDN w:val="0"/>
              <w:adjustRightInd w:val="0"/>
              <w:jc w:val="right"/>
              <w:rPr>
                <w:rFonts w:ascii="Times New Roman" w:eastAsia="Calibri" w:hAnsi="Times New Roman" w:cs="Times New Roman"/>
                <w:noProof/>
              </w:rPr>
            </w:pPr>
            <w:r w:rsidRPr="00B5766C">
              <w:rPr>
                <w:rFonts w:ascii="Times New Roman" w:eastAsia="Calibri" w:hAnsi="Times New Roman" w:cs="Times New Roman"/>
                <w:noProof/>
              </w:rPr>
              <w:t>112</w:t>
            </w:r>
          </w:p>
        </w:tc>
      </w:tr>
      <w:tr w:rsidR="005B2700" w:rsidRPr="00B5766C" w14:paraId="1D018E9D" w14:textId="77777777" w:rsidTr="00F31795">
        <w:tc>
          <w:tcPr>
            <w:tcW w:w="1510" w:type="dxa"/>
          </w:tcPr>
          <w:p w14:paraId="64422453" w14:textId="77777777" w:rsidR="005B2700" w:rsidRPr="00B5766C" w:rsidRDefault="005B2700" w:rsidP="008C4716">
            <w:pPr>
              <w:autoSpaceDE w:val="0"/>
              <w:autoSpaceDN w:val="0"/>
              <w:adjustRightInd w:val="0"/>
              <w:rPr>
                <w:rFonts w:ascii="Times New Roman" w:eastAsia="Calibri" w:hAnsi="Times New Roman" w:cs="Times New Roman"/>
                <w:noProof/>
              </w:rPr>
            </w:pPr>
            <w:r w:rsidRPr="00B5766C">
              <w:rPr>
                <w:rFonts w:ascii="Times New Roman" w:eastAsia="Calibri" w:hAnsi="Times New Roman" w:cs="Times New Roman"/>
                <w:noProof/>
              </w:rPr>
              <w:t>2017*</w:t>
            </w:r>
          </w:p>
        </w:tc>
        <w:tc>
          <w:tcPr>
            <w:tcW w:w="1510" w:type="dxa"/>
          </w:tcPr>
          <w:p w14:paraId="587880FB" w14:textId="77777777" w:rsidR="005B2700" w:rsidRPr="00B5766C" w:rsidRDefault="005B2700" w:rsidP="00F31795">
            <w:pPr>
              <w:autoSpaceDE w:val="0"/>
              <w:autoSpaceDN w:val="0"/>
              <w:adjustRightInd w:val="0"/>
              <w:jc w:val="right"/>
              <w:rPr>
                <w:rFonts w:ascii="Times New Roman" w:eastAsia="Calibri" w:hAnsi="Times New Roman" w:cs="Times New Roman"/>
                <w:noProof/>
              </w:rPr>
            </w:pPr>
            <w:r w:rsidRPr="00B5766C">
              <w:rPr>
                <w:rFonts w:ascii="Times New Roman" w:eastAsia="Calibri" w:hAnsi="Times New Roman" w:cs="Times New Roman"/>
                <w:noProof/>
              </w:rPr>
              <w:t>2.743.509</w:t>
            </w:r>
          </w:p>
        </w:tc>
        <w:tc>
          <w:tcPr>
            <w:tcW w:w="1766" w:type="dxa"/>
            <w:vAlign w:val="bottom"/>
          </w:tcPr>
          <w:p w14:paraId="6AB00A3E" w14:textId="77777777" w:rsidR="005B2700" w:rsidRPr="00B5766C" w:rsidRDefault="005B2700" w:rsidP="00F31795">
            <w:pPr>
              <w:autoSpaceDE w:val="0"/>
              <w:autoSpaceDN w:val="0"/>
              <w:adjustRightInd w:val="0"/>
              <w:jc w:val="right"/>
              <w:rPr>
                <w:rFonts w:ascii="Times New Roman" w:eastAsia="Calibri" w:hAnsi="Times New Roman" w:cs="Times New Roman"/>
                <w:noProof/>
              </w:rPr>
            </w:pPr>
            <w:r w:rsidRPr="00B5766C">
              <w:rPr>
                <w:rFonts w:ascii="Times New Roman" w:eastAsia="Calibri" w:hAnsi="Times New Roman" w:cs="Times New Roman"/>
                <w:noProof/>
                <w:color w:val="000000"/>
              </w:rPr>
              <w:t xml:space="preserve">          32.559 </w:t>
            </w:r>
          </w:p>
        </w:tc>
        <w:tc>
          <w:tcPr>
            <w:tcW w:w="1701" w:type="dxa"/>
          </w:tcPr>
          <w:p w14:paraId="7E85D040" w14:textId="77777777" w:rsidR="005B2700" w:rsidRPr="00B5766C" w:rsidRDefault="005B2700" w:rsidP="005B2700">
            <w:pPr>
              <w:autoSpaceDE w:val="0"/>
              <w:autoSpaceDN w:val="0"/>
              <w:adjustRightInd w:val="0"/>
              <w:jc w:val="right"/>
              <w:rPr>
                <w:rFonts w:ascii="Times New Roman" w:eastAsia="Calibri" w:hAnsi="Times New Roman" w:cs="Times New Roman"/>
                <w:noProof/>
              </w:rPr>
            </w:pPr>
            <w:r w:rsidRPr="00B5766C">
              <w:rPr>
                <w:rFonts w:ascii="Times New Roman" w:eastAsia="Calibri" w:hAnsi="Times New Roman" w:cs="Times New Roman"/>
                <w:noProof/>
              </w:rPr>
              <w:t>597</w:t>
            </w:r>
          </w:p>
        </w:tc>
        <w:tc>
          <w:tcPr>
            <w:tcW w:w="2835" w:type="dxa"/>
          </w:tcPr>
          <w:p w14:paraId="6E931E62" w14:textId="77777777" w:rsidR="005B2700" w:rsidRPr="00B5766C" w:rsidRDefault="005B2700" w:rsidP="005B2700">
            <w:pPr>
              <w:autoSpaceDE w:val="0"/>
              <w:autoSpaceDN w:val="0"/>
              <w:adjustRightInd w:val="0"/>
              <w:jc w:val="right"/>
              <w:rPr>
                <w:rFonts w:ascii="Times New Roman" w:eastAsia="Calibri" w:hAnsi="Times New Roman" w:cs="Times New Roman"/>
                <w:noProof/>
              </w:rPr>
            </w:pPr>
            <w:r w:rsidRPr="00B5766C">
              <w:rPr>
                <w:rFonts w:ascii="Times New Roman" w:eastAsia="Calibri" w:hAnsi="Times New Roman" w:cs="Times New Roman"/>
                <w:noProof/>
              </w:rPr>
              <w:t>249</w:t>
            </w:r>
          </w:p>
        </w:tc>
      </w:tr>
      <w:tr w:rsidR="005B2700" w:rsidRPr="00B5766C" w14:paraId="727FF0D7" w14:textId="77777777" w:rsidTr="00F31795">
        <w:tc>
          <w:tcPr>
            <w:tcW w:w="1510" w:type="dxa"/>
          </w:tcPr>
          <w:p w14:paraId="5FC8DDFF" w14:textId="77777777" w:rsidR="005B2700" w:rsidRPr="00B5766C" w:rsidRDefault="005B2700" w:rsidP="008C4716">
            <w:pPr>
              <w:autoSpaceDE w:val="0"/>
              <w:autoSpaceDN w:val="0"/>
              <w:adjustRightInd w:val="0"/>
              <w:rPr>
                <w:rFonts w:ascii="Times New Roman" w:eastAsia="Calibri" w:hAnsi="Times New Roman" w:cs="Times New Roman"/>
                <w:noProof/>
              </w:rPr>
            </w:pPr>
            <w:r w:rsidRPr="00B5766C">
              <w:rPr>
                <w:rFonts w:ascii="Times New Roman" w:eastAsia="Calibri" w:hAnsi="Times New Roman" w:cs="Times New Roman"/>
                <w:noProof/>
              </w:rPr>
              <w:t>2018*</w:t>
            </w:r>
          </w:p>
        </w:tc>
        <w:tc>
          <w:tcPr>
            <w:tcW w:w="1510" w:type="dxa"/>
          </w:tcPr>
          <w:p w14:paraId="37F96BFC" w14:textId="77777777" w:rsidR="005B2700" w:rsidRPr="00B5766C" w:rsidRDefault="005B2700" w:rsidP="00F31795">
            <w:pPr>
              <w:autoSpaceDE w:val="0"/>
              <w:autoSpaceDN w:val="0"/>
              <w:adjustRightInd w:val="0"/>
              <w:jc w:val="right"/>
              <w:rPr>
                <w:rFonts w:ascii="Times New Roman" w:eastAsia="Calibri" w:hAnsi="Times New Roman" w:cs="Times New Roman"/>
                <w:noProof/>
              </w:rPr>
            </w:pPr>
            <w:r w:rsidRPr="00B5766C">
              <w:rPr>
                <w:rFonts w:ascii="Times New Roman" w:eastAsia="Calibri" w:hAnsi="Times New Roman" w:cs="Times New Roman"/>
                <w:noProof/>
              </w:rPr>
              <w:t>5.246.777</w:t>
            </w:r>
          </w:p>
        </w:tc>
        <w:tc>
          <w:tcPr>
            <w:tcW w:w="1766" w:type="dxa"/>
            <w:vAlign w:val="bottom"/>
          </w:tcPr>
          <w:p w14:paraId="69A10AA8" w14:textId="77777777" w:rsidR="005B2700" w:rsidRPr="00B5766C" w:rsidRDefault="005B2700" w:rsidP="00F31795">
            <w:pPr>
              <w:autoSpaceDE w:val="0"/>
              <w:autoSpaceDN w:val="0"/>
              <w:adjustRightInd w:val="0"/>
              <w:jc w:val="right"/>
              <w:rPr>
                <w:rFonts w:ascii="Times New Roman" w:eastAsia="Calibri" w:hAnsi="Times New Roman" w:cs="Times New Roman"/>
                <w:noProof/>
              </w:rPr>
            </w:pPr>
            <w:r w:rsidRPr="00B5766C">
              <w:rPr>
                <w:rFonts w:ascii="Times New Roman" w:eastAsia="Calibri" w:hAnsi="Times New Roman" w:cs="Times New Roman"/>
                <w:noProof/>
                <w:color w:val="000000"/>
              </w:rPr>
              <w:t xml:space="preserve">          44.979 </w:t>
            </w:r>
          </w:p>
        </w:tc>
        <w:tc>
          <w:tcPr>
            <w:tcW w:w="1701" w:type="dxa"/>
          </w:tcPr>
          <w:p w14:paraId="6222AD11" w14:textId="77777777" w:rsidR="005B2700" w:rsidRPr="00B5766C" w:rsidRDefault="005B2700" w:rsidP="005B2700">
            <w:pPr>
              <w:autoSpaceDE w:val="0"/>
              <w:autoSpaceDN w:val="0"/>
              <w:adjustRightInd w:val="0"/>
              <w:jc w:val="right"/>
              <w:rPr>
                <w:rFonts w:ascii="Times New Roman" w:eastAsia="Calibri" w:hAnsi="Times New Roman" w:cs="Times New Roman"/>
                <w:noProof/>
              </w:rPr>
            </w:pPr>
            <w:r w:rsidRPr="00B5766C">
              <w:rPr>
                <w:rFonts w:ascii="Times New Roman" w:eastAsia="Calibri" w:hAnsi="Times New Roman" w:cs="Times New Roman"/>
                <w:noProof/>
              </w:rPr>
              <w:t>860</w:t>
            </w:r>
          </w:p>
        </w:tc>
        <w:tc>
          <w:tcPr>
            <w:tcW w:w="2835" w:type="dxa"/>
          </w:tcPr>
          <w:p w14:paraId="67563D70" w14:textId="77777777" w:rsidR="005B2700" w:rsidRPr="00B5766C" w:rsidRDefault="005B2700" w:rsidP="005B2700">
            <w:pPr>
              <w:autoSpaceDE w:val="0"/>
              <w:autoSpaceDN w:val="0"/>
              <w:adjustRightInd w:val="0"/>
              <w:jc w:val="right"/>
              <w:rPr>
                <w:rFonts w:ascii="Times New Roman" w:eastAsia="Calibri" w:hAnsi="Times New Roman" w:cs="Times New Roman"/>
                <w:noProof/>
              </w:rPr>
            </w:pPr>
            <w:r w:rsidRPr="00B5766C">
              <w:rPr>
                <w:rFonts w:ascii="Times New Roman" w:eastAsia="Calibri" w:hAnsi="Times New Roman" w:cs="Times New Roman"/>
                <w:noProof/>
              </w:rPr>
              <w:t>396</w:t>
            </w:r>
          </w:p>
        </w:tc>
      </w:tr>
      <w:tr w:rsidR="005B2700" w:rsidRPr="00B5766C" w14:paraId="1538EC30" w14:textId="77777777" w:rsidTr="00F31795">
        <w:tc>
          <w:tcPr>
            <w:tcW w:w="1510" w:type="dxa"/>
          </w:tcPr>
          <w:p w14:paraId="31474B50" w14:textId="77777777" w:rsidR="005B2700" w:rsidRPr="00B5766C" w:rsidRDefault="005B2700" w:rsidP="008C4716">
            <w:pPr>
              <w:autoSpaceDE w:val="0"/>
              <w:autoSpaceDN w:val="0"/>
              <w:adjustRightInd w:val="0"/>
              <w:rPr>
                <w:rFonts w:ascii="Times New Roman" w:eastAsia="Calibri" w:hAnsi="Times New Roman" w:cs="Times New Roman"/>
                <w:noProof/>
              </w:rPr>
            </w:pPr>
            <w:r w:rsidRPr="00B5766C">
              <w:rPr>
                <w:rFonts w:ascii="Times New Roman" w:eastAsia="Calibri" w:hAnsi="Times New Roman" w:cs="Times New Roman"/>
                <w:noProof/>
              </w:rPr>
              <w:t>2019*</w:t>
            </w:r>
          </w:p>
        </w:tc>
        <w:tc>
          <w:tcPr>
            <w:tcW w:w="1510" w:type="dxa"/>
          </w:tcPr>
          <w:p w14:paraId="1721026C" w14:textId="77777777" w:rsidR="005B2700" w:rsidRPr="00B5766C" w:rsidRDefault="005B2700" w:rsidP="00F31795">
            <w:pPr>
              <w:autoSpaceDE w:val="0"/>
              <w:autoSpaceDN w:val="0"/>
              <w:adjustRightInd w:val="0"/>
              <w:jc w:val="right"/>
              <w:rPr>
                <w:rFonts w:ascii="Times New Roman" w:eastAsia="Calibri" w:hAnsi="Times New Roman" w:cs="Times New Roman"/>
                <w:noProof/>
              </w:rPr>
            </w:pPr>
            <w:r w:rsidRPr="00B5766C">
              <w:rPr>
                <w:rFonts w:ascii="Times New Roman" w:eastAsia="Calibri" w:hAnsi="Times New Roman" w:cs="Times New Roman"/>
                <w:noProof/>
              </w:rPr>
              <w:t>2.765.583</w:t>
            </w:r>
          </w:p>
        </w:tc>
        <w:tc>
          <w:tcPr>
            <w:tcW w:w="1766" w:type="dxa"/>
            <w:vAlign w:val="bottom"/>
          </w:tcPr>
          <w:p w14:paraId="46CFBEAC" w14:textId="77777777" w:rsidR="005B2700" w:rsidRPr="00B5766C" w:rsidRDefault="005B2700" w:rsidP="00F31795">
            <w:pPr>
              <w:autoSpaceDE w:val="0"/>
              <w:autoSpaceDN w:val="0"/>
              <w:adjustRightInd w:val="0"/>
              <w:jc w:val="right"/>
              <w:rPr>
                <w:rFonts w:ascii="Times New Roman" w:eastAsia="Calibri" w:hAnsi="Times New Roman" w:cs="Times New Roman"/>
                <w:noProof/>
              </w:rPr>
            </w:pPr>
            <w:r w:rsidRPr="00B5766C">
              <w:rPr>
                <w:rFonts w:ascii="Times New Roman" w:eastAsia="Calibri" w:hAnsi="Times New Roman" w:cs="Times New Roman"/>
                <w:noProof/>
                <w:color w:val="000000"/>
              </w:rPr>
              <w:t xml:space="preserve">          31.694 </w:t>
            </w:r>
          </w:p>
        </w:tc>
        <w:tc>
          <w:tcPr>
            <w:tcW w:w="1701" w:type="dxa"/>
          </w:tcPr>
          <w:p w14:paraId="2AD2AC65" w14:textId="77777777" w:rsidR="005B2700" w:rsidRPr="00B5766C" w:rsidRDefault="005B2700" w:rsidP="005B2700">
            <w:pPr>
              <w:autoSpaceDE w:val="0"/>
              <w:autoSpaceDN w:val="0"/>
              <w:adjustRightInd w:val="0"/>
              <w:jc w:val="right"/>
              <w:rPr>
                <w:rFonts w:ascii="Times New Roman" w:eastAsia="Calibri" w:hAnsi="Times New Roman" w:cs="Times New Roman"/>
                <w:noProof/>
              </w:rPr>
            </w:pPr>
            <w:r w:rsidRPr="00B5766C">
              <w:rPr>
                <w:rFonts w:ascii="Times New Roman" w:eastAsia="Calibri" w:hAnsi="Times New Roman" w:cs="Times New Roman"/>
                <w:noProof/>
              </w:rPr>
              <w:t>598</w:t>
            </w:r>
          </w:p>
        </w:tc>
        <w:tc>
          <w:tcPr>
            <w:tcW w:w="2835" w:type="dxa"/>
          </w:tcPr>
          <w:p w14:paraId="6F2C6559" w14:textId="77777777" w:rsidR="005B2700" w:rsidRPr="00B5766C" w:rsidRDefault="005B2700" w:rsidP="005B2700">
            <w:pPr>
              <w:autoSpaceDE w:val="0"/>
              <w:autoSpaceDN w:val="0"/>
              <w:adjustRightInd w:val="0"/>
              <w:jc w:val="right"/>
              <w:rPr>
                <w:rFonts w:ascii="Times New Roman" w:eastAsia="Calibri" w:hAnsi="Times New Roman" w:cs="Times New Roman"/>
                <w:noProof/>
              </w:rPr>
            </w:pPr>
            <w:r w:rsidRPr="00B5766C">
              <w:rPr>
                <w:rFonts w:ascii="Times New Roman" w:eastAsia="Calibri" w:hAnsi="Times New Roman" w:cs="Times New Roman"/>
                <w:noProof/>
              </w:rPr>
              <w:t>294</w:t>
            </w:r>
          </w:p>
        </w:tc>
      </w:tr>
      <w:tr w:rsidR="005B2700" w:rsidRPr="00B5766C" w14:paraId="57410605" w14:textId="77777777" w:rsidTr="00F31795">
        <w:tc>
          <w:tcPr>
            <w:tcW w:w="1510" w:type="dxa"/>
          </w:tcPr>
          <w:p w14:paraId="43C9B3CC" w14:textId="77777777" w:rsidR="005B2700" w:rsidRPr="00B5766C" w:rsidRDefault="005B2700" w:rsidP="008C4716">
            <w:pPr>
              <w:autoSpaceDE w:val="0"/>
              <w:autoSpaceDN w:val="0"/>
              <w:adjustRightInd w:val="0"/>
              <w:rPr>
                <w:rFonts w:ascii="Times New Roman" w:eastAsia="Calibri" w:hAnsi="Times New Roman" w:cs="Times New Roman"/>
                <w:noProof/>
              </w:rPr>
            </w:pPr>
            <w:r w:rsidRPr="00B5766C">
              <w:rPr>
                <w:rFonts w:ascii="Times New Roman" w:eastAsia="Calibri" w:hAnsi="Times New Roman" w:cs="Times New Roman"/>
                <w:noProof/>
              </w:rPr>
              <w:t>2020*</w:t>
            </w:r>
          </w:p>
        </w:tc>
        <w:tc>
          <w:tcPr>
            <w:tcW w:w="1510" w:type="dxa"/>
          </w:tcPr>
          <w:p w14:paraId="2C036217" w14:textId="77777777" w:rsidR="005B2700" w:rsidRPr="00B5766C" w:rsidRDefault="005B2700" w:rsidP="00F31795">
            <w:pPr>
              <w:autoSpaceDE w:val="0"/>
              <w:autoSpaceDN w:val="0"/>
              <w:adjustRightInd w:val="0"/>
              <w:jc w:val="right"/>
              <w:rPr>
                <w:rFonts w:ascii="Times New Roman" w:eastAsia="Calibri" w:hAnsi="Times New Roman" w:cs="Times New Roman"/>
                <w:noProof/>
              </w:rPr>
            </w:pPr>
            <w:r w:rsidRPr="00B5766C">
              <w:rPr>
                <w:rFonts w:ascii="Times New Roman" w:eastAsia="Calibri" w:hAnsi="Times New Roman" w:cs="Times New Roman"/>
                <w:noProof/>
              </w:rPr>
              <w:t>3.315.599</w:t>
            </w:r>
          </w:p>
        </w:tc>
        <w:tc>
          <w:tcPr>
            <w:tcW w:w="1766" w:type="dxa"/>
            <w:vAlign w:val="bottom"/>
          </w:tcPr>
          <w:p w14:paraId="06D12345" w14:textId="77777777" w:rsidR="005B2700" w:rsidRPr="00B5766C" w:rsidRDefault="005B2700" w:rsidP="00F31795">
            <w:pPr>
              <w:autoSpaceDE w:val="0"/>
              <w:autoSpaceDN w:val="0"/>
              <w:adjustRightInd w:val="0"/>
              <w:jc w:val="right"/>
              <w:rPr>
                <w:rFonts w:ascii="Times New Roman" w:eastAsia="Calibri" w:hAnsi="Times New Roman" w:cs="Times New Roman"/>
                <w:noProof/>
              </w:rPr>
            </w:pPr>
            <w:r w:rsidRPr="00B5766C">
              <w:rPr>
                <w:rFonts w:ascii="Times New Roman" w:eastAsia="Calibri" w:hAnsi="Times New Roman" w:cs="Times New Roman"/>
                <w:noProof/>
                <w:color w:val="000000"/>
              </w:rPr>
              <w:t xml:space="preserve">          17.461 </w:t>
            </w:r>
          </w:p>
        </w:tc>
        <w:tc>
          <w:tcPr>
            <w:tcW w:w="1701" w:type="dxa"/>
          </w:tcPr>
          <w:p w14:paraId="2042D4BA" w14:textId="77777777" w:rsidR="005B2700" w:rsidRPr="00B5766C" w:rsidRDefault="005B2700" w:rsidP="005B2700">
            <w:pPr>
              <w:autoSpaceDE w:val="0"/>
              <w:autoSpaceDN w:val="0"/>
              <w:adjustRightInd w:val="0"/>
              <w:jc w:val="right"/>
              <w:rPr>
                <w:rFonts w:ascii="Times New Roman" w:eastAsia="Calibri" w:hAnsi="Times New Roman" w:cs="Times New Roman"/>
                <w:noProof/>
              </w:rPr>
            </w:pPr>
            <w:r w:rsidRPr="00B5766C">
              <w:rPr>
                <w:rFonts w:ascii="Times New Roman" w:eastAsia="Calibri" w:hAnsi="Times New Roman" w:cs="Times New Roman"/>
                <w:noProof/>
              </w:rPr>
              <w:t>429</w:t>
            </w:r>
          </w:p>
        </w:tc>
        <w:tc>
          <w:tcPr>
            <w:tcW w:w="2835" w:type="dxa"/>
          </w:tcPr>
          <w:p w14:paraId="3EE7A210" w14:textId="77777777" w:rsidR="005B2700" w:rsidRPr="00B5766C" w:rsidRDefault="005B2700" w:rsidP="005B2700">
            <w:pPr>
              <w:autoSpaceDE w:val="0"/>
              <w:autoSpaceDN w:val="0"/>
              <w:adjustRightInd w:val="0"/>
              <w:jc w:val="right"/>
              <w:rPr>
                <w:rFonts w:ascii="Times New Roman" w:eastAsia="Calibri" w:hAnsi="Times New Roman" w:cs="Times New Roman"/>
                <w:noProof/>
              </w:rPr>
            </w:pPr>
            <w:r w:rsidRPr="00B5766C">
              <w:rPr>
                <w:rFonts w:ascii="Times New Roman" w:eastAsia="Calibri" w:hAnsi="Times New Roman" w:cs="Times New Roman"/>
                <w:noProof/>
              </w:rPr>
              <w:t>163</w:t>
            </w:r>
          </w:p>
        </w:tc>
      </w:tr>
      <w:tr w:rsidR="005B2700" w:rsidRPr="00B5766C" w14:paraId="51DD4896" w14:textId="77777777" w:rsidTr="00F31795">
        <w:tc>
          <w:tcPr>
            <w:tcW w:w="1510" w:type="dxa"/>
          </w:tcPr>
          <w:p w14:paraId="7490CF38" w14:textId="77777777" w:rsidR="005B2700" w:rsidRPr="00B5766C" w:rsidRDefault="005B2700" w:rsidP="008C4716">
            <w:pPr>
              <w:autoSpaceDE w:val="0"/>
              <w:autoSpaceDN w:val="0"/>
              <w:adjustRightInd w:val="0"/>
              <w:rPr>
                <w:rFonts w:ascii="Times New Roman" w:eastAsia="Calibri" w:hAnsi="Times New Roman" w:cs="Times New Roman"/>
                <w:noProof/>
              </w:rPr>
            </w:pPr>
            <w:r w:rsidRPr="00B5766C">
              <w:rPr>
                <w:rFonts w:ascii="Times New Roman" w:eastAsia="Calibri" w:hAnsi="Times New Roman" w:cs="Times New Roman"/>
                <w:noProof/>
              </w:rPr>
              <w:t>2021</w:t>
            </w:r>
          </w:p>
        </w:tc>
        <w:tc>
          <w:tcPr>
            <w:tcW w:w="1510" w:type="dxa"/>
          </w:tcPr>
          <w:p w14:paraId="726A9CA3" w14:textId="77777777" w:rsidR="005B2700" w:rsidRPr="00B5766C" w:rsidRDefault="005B2700" w:rsidP="00F31795">
            <w:pPr>
              <w:autoSpaceDE w:val="0"/>
              <w:autoSpaceDN w:val="0"/>
              <w:adjustRightInd w:val="0"/>
              <w:jc w:val="right"/>
              <w:rPr>
                <w:rFonts w:ascii="Times New Roman" w:eastAsia="Calibri" w:hAnsi="Times New Roman" w:cs="Times New Roman"/>
                <w:noProof/>
              </w:rPr>
            </w:pPr>
            <w:r w:rsidRPr="00B5766C">
              <w:rPr>
                <w:rFonts w:ascii="Times New Roman" w:eastAsia="Calibri" w:hAnsi="Times New Roman" w:cs="Times New Roman"/>
                <w:noProof/>
              </w:rPr>
              <w:t>2.616.235</w:t>
            </w:r>
          </w:p>
        </w:tc>
        <w:tc>
          <w:tcPr>
            <w:tcW w:w="1766" w:type="dxa"/>
          </w:tcPr>
          <w:p w14:paraId="7592E64E" w14:textId="77777777" w:rsidR="005B2700" w:rsidRPr="00B5766C" w:rsidRDefault="005B2700" w:rsidP="00F31795">
            <w:pPr>
              <w:autoSpaceDE w:val="0"/>
              <w:autoSpaceDN w:val="0"/>
              <w:adjustRightInd w:val="0"/>
              <w:jc w:val="right"/>
              <w:rPr>
                <w:rFonts w:ascii="Times New Roman" w:eastAsia="Calibri" w:hAnsi="Times New Roman" w:cs="Times New Roman"/>
                <w:noProof/>
              </w:rPr>
            </w:pPr>
            <w:r w:rsidRPr="00B5766C">
              <w:rPr>
                <w:rFonts w:ascii="Times New Roman" w:eastAsia="Calibri" w:hAnsi="Times New Roman" w:cs="Times New Roman"/>
                <w:noProof/>
                <w:color w:val="000000"/>
              </w:rPr>
              <w:t xml:space="preserve">          13.246 </w:t>
            </w:r>
          </w:p>
        </w:tc>
        <w:tc>
          <w:tcPr>
            <w:tcW w:w="1701" w:type="dxa"/>
          </w:tcPr>
          <w:p w14:paraId="1F9A28F6" w14:textId="77777777" w:rsidR="005B2700" w:rsidRPr="00B5766C" w:rsidRDefault="005B2700" w:rsidP="005B2700">
            <w:pPr>
              <w:autoSpaceDE w:val="0"/>
              <w:autoSpaceDN w:val="0"/>
              <w:adjustRightInd w:val="0"/>
              <w:jc w:val="right"/>
              <w:rPr>
                <w:rFonts w:ascii="Times New Roman" w:eastAsia="Calibri" w:hAnsi="Times New Roman" w:cs="Times New Roman"/>
                <w:noProof/>
              </w:rPr>
            </w:pPr>
            <w:r w:rsidRPr="00B5766C">
              <w:rPr>
                <w:rFonts w:ascii="Times New Roman" w:eastAsia="Calibri" w:hAnsi="Times New Roman" w:cs="Times New Roman"/>
                <w:noProof/>
              </w:rPr>
              <w:t>400</w:t>
            </w:r>
          </w:p>
        </w:tc>
        <w:tc>
          <w:tcPr>
            <w:tcW w:w="2835" w:type="dxa"/>
          </w:tcPr>
          <w:p w14:paraId="78222B1F" w14:textId="77777777" w:rsidR="005B2700" w:rsidRPr="00B5766C" w:rsidRDefault="005B2700" w:rsidP="005B2700">
            <w:pPr>
              <w:autoSpaceDE w:val="0"/>
              <w:autoSpaceDN w:val="0"/>
              <w:adjustRightInd w:val="0"/>
              <w:jc w:val="right"/>
              <w:rPr>
                <w:rFonts w:ascii="Times New Roman" w:eastAsia="Calibri" w:hAnsi="Times New Roman" w:cs="Times New Roman"/>
                <w:noProof/>
              </w:rPr>
            </w:pPr>
            <w:r w:rsidRPr="00B5766C">
              <w:rPr>
                <w:rFonts w:ascii="Times New Roman" w:eastAsia="Calibri" w:hAnsi="Times New Roman" w:cs="Times New Roman"/>
                <w:noProof/>
              </w:rPr>
              <w:t>169</w:t>
            </w:r>
          </w:p>
        </w:tc>
      </w:tr>
      <w:tr w:rsidR="005B2700" w:rsidRPr="00B5766C" w14:paraId="3A3F2B40" w14:textId="77777777" w:rsidTr="00F31795">
        <w:tc>
          <w:tcPr>
            <w:tcW w:w="1510" w:type="dxa"/>
          </w:tcPr>
          <w:p w14:paraId="313673F1" w14:textId="77777777" w:rsidR="005B2700" w:rsidRPr="00B5766C" w:rsidRDefault="005B2700" w:rsidP="008C4716">
            <w:pPr>
              <w:autoSpaceDE w:val="0"/>
              <w:autoSpaceDN w:val="0"/>
              <w:adjustRightInd w:val="0"/>
              <w:rPr>
                <w:rFonts w:ascii="Times New Roman" w:eastAsia="Calibri" w:hAnsi="Times New Roman" w:cs="Times New Roman"/>
                <w:noProof/>
              </w:rPr>
            </w:pPr>
            <w:r w:rsidRPr="00B5766C">
              <w:rPr>
                <w:rFonts w:ascii="Times New Roman" w:eastAsia="Calibri" w:hAnsi="Times New Roman" w:cs="Times New Roman"/>
                <w:noProof/>
              </w:rPr>
              <w:t>2022</w:t>
            </w:r>
          </w:p>
        </w:tc>
        <w:tc>
          <w:tcPr>
            <w:tcW w:w="1510" w:type="dxa"/>
          </w:tcPr>
          <w:p w14:paraId="110AA90A" w14:textId="77777777" w:rsidR="005B2700" w:rsidRPr="00B5766C" w:rsidRDefault="005B2700" w:rsidP="00F31795">
            <w:pPr>
              <w:autoSpaceDE w:val="0"/>
              <w:autoSpaceDN w:val="0"/>
              <w:adjustRightInd w:val="0"/>
              <w:jc w:val="right"/>
              <w:rPr>
                <w:rFonts w:ascii="Times New Roman" w:eastAsia="Calibri" w:hAnsi="Times New Roman" w:cs="Times New Roman"/>
                <w:noProof/>
              </w:rPr>
            </w:pPr>
            <w:r w:rsidRPr="00B5766C">
              <w:rPr>
                <w:rFonts w:ascii="Times New Roman" w:eastAsia="Calibri" w:hAnsi="Times New Roman" w:cs="Times New Roman"/>
                <w:noProof/>
              </w:rPr>
              <w:t>2.455.677</w:t>
            </w:r>
          </w:p>
        </w:tc>
        <w:tc>
          <w:tcPr>
            <w:tcW w:w="1766" w:type="dxa"/>
            <w:vAlign w:val="bottom"/>
          </w:tcPr>
          <w:p w14:paraId="620BFA8C" w14:textId="77777777" w:rsidR="005B2700" w:rsidRPr="00B5766C" w:rsidRDefault="005B2700" w:rsidP="00F31795">
            <w:pPr>
              <w:autoSpaceDE w:val="0"/>
              <w:autoSpaceDN w:val="0"/>
              <w:adjustRightInd w:val="0"/>
              <w:jc w:val="right"/>
              <w:rPr>
                <w:rFonts w:ascii="Times New Roman" w:eastAsia="Calibri" w:hAnsi="Times New Roman" w:cs="Times New Roman"/>
                <w:noProof/>
              </w:rPr>
            </w:pPr>
            <w:r w:rsidRPr="00B5766C">
              <w:rPr>
                <w:rFonts w:ascii="Times New Roman" w:eastAsia="Calibri" w:hAnsi="Times New Roman" w:cs="Times New Roman"/>
                <w:noProof/>
                <w:color w:val="000000"/>
              </w:rPr>
              <w:t xml:space="preserve">          17.012 </w:t>
            </w:r>
          </w:p>
        </w:tc>
        <w:tc>
          <w:tcPr>
            <w:tcW w:w="1701" w:type="dxa"/>
          </w:tcPr>
          <w:p w14:paraId="0097C9C5" w14:textId="77777777" w:rsidR="005B2700" w:rsidRPr="00B5766C" w:rsidRDefault="005B2700" w:rsidP="005B2700">
            <w:pPr>
              <w:autoSpaceDE w:val="0"/>
              <w:autoSpaceDN w:val="0"/>
              <w:adjustRightInd w:val="0"/>
              <w:jc w:val="right"/>
              <w:rPr>
                <w:rFonts w:ascii="Times New Roman" w:eastAsia="Calibri" w:hAnsi="Times New Roman" w:cs="Times New Roman"/>
                <w:noProof/>
              </w:rPr>
            </w:pPr>
            <w:r w:rsidRPr="00B5766C">
              <w:rPr>
                <w:rFonts w:ascii="Times New Roman" w:eastAsia="Calibri" w:hAnsi="Times New Roman" w:cs="Times New Roman"/>
                <w:noProof/>
              </w:rPr>
              <w:t>318</w:t>
            </w:r>
          </w:p>
        </w:tc>
        <w:tc>
          <w:tcPr>
            <w:tcW w:w="2835" w:type="dxa"/>
          </w:tcPr>
          <w:p w14:paraId="5A24362C" w14:textId="77777777" w:rsidR="005B2700" w:rsidRPr="00B5766C" w:rsidRDefault="005B2700" w:rsidP="005B2700">
            <w:pPr>
              <w:autoSpaceDE w:val="0"/>
              <w:autoSpaceDN w:val="0"/>
              <w:adjustRightInd w:val="0"/>
              <w:jc w:val="right"/>
              <w:rPr>
                <w:rFonts w:ascii="Times New Roman" w:eastAsia="Calibri" w:hAnsi="Times New Roman" w:cs="Times New Roman"/>
                <w:noProof/>
              </w:rPr>
            </w:pPr>
            <w:r w:rsidRPr="00B5766C">
              <w:rPr>
                <w:rFonts w:ascii="Times New Roman" w:eastAsia="Calibri" w:hAnsi="Times New Roman" w:cs="Times New Roman"/>
                <w:noProof/>
              </w:rPr>
              <w:t>107</w:t>
            </w:r>
          </w:p>
        </w:tc>
      </w:tr>
      <w:tr w:rsidR="005B2700" w:rsidRPr="00B5766C" w14:paraId="2B4EA834" w14:textId="77777777" w:rsidTr="00F31795">
        <w:tc>
          <w:tcPr>
            <w:tcW w:w="1510" w:type="dxa"/>
          </w:tcPr>
          <w:p w14:paraId="246AFF75" w14:textId="77777777" w:rsidR="005B2700" w:rsidRPr="00B5766C" w:rsidRDefault="005B2700" w:rsidP="008C4716">
            <w:pPr>
              <w:autoSpaceDE w:val="0"/>
              <w:autoSpaceDN w:val="0"/>
              <w:adjustRightInd w:val="0"/>
              <w:rPr>
                <w:rFonts w:ascii="Times New Roman" w:eastAsia="Calibri" w:hAnsi="Times New Roman" w:cs="Times New Roman"/>
                <w:b/>
                <w:noProof/>
              </w:rPr>
            </w:pPr>
            <w:r w:rsidRPr="00B5766C">
              <w:rPr>
                <w:rFonts w:ascii="Times New Roman" w:eastAsia="Calibri" w:hAnsi="Times New Roman" w:cs="Times New Roman"/>
                <w:b/>
                <w:noProof/>
              </w:rPr>
              <w:t>Total 2016-2022</w:t>
            </w:r>
          </w:p>
        </w:tc>
        <w:tc>
          <w:tcPr>
            <w:tcW w:w="1510" w:type="dxa"/>
          </w:tcPr>
          <w:p w14:paraId="37D6F0BD" w14:textId="77777777" w:rsidR="005B2700" w:rsidRPr="00B5766C" w:rsidRDefault="005B2700" w:rsidP="00F31795">
            <w:pPr>
              <w:autoSpaceDE w:val="0"/>
              <w:autoSpaceDN w:val="0"/>
              <w:adjustRightInd w:val="0"/>
              <w:jc w:val="right"/>
              <w:rPr>
                <w:rFonts w:ascii="Times New Roman" w:eastAsia="Calibri" w:hAnsi="Times New Roman" w:cs="Times New Roman"/>
                <w:b/>
                <w:noProof/>
              </w:rPr>
            </w:pPr>
            <w:r w:rsidRPr="00B5766C">
              <w:rPr>
                <w:rFonts w:ascii="Times New Roman" w:eastAsia="Calibri" w:hAnsi="Times New Roman" w:cs="Times New Roman"/>
                <w:b/>
                <w:noProof/>
              </w:rPr>
              <w:t>20.859.174</w:t>
            </w:r>
          </w:p>
        </w:tc>
        <w:tc>
          <w:tcPr>
            <w:tcW w:w="1766" w:type="dxa"/>
          </w:tcPr>
          <w:p w14:paraId="2B9DF709" w14:textId="77777777" w:rsidR="005B2700" w:rsidRPr="00B5766C" w:rsidRDefault="005B2700" w:rsidP="00F31795">
            <w:pPr>
              <w:autoSpaceDE w:val="0"/>
              <w:autoSpaceDN w:val="0"/>
              <w:adjustRightInd w:val="0"/>
              <w:jc w:val="right"/>
              <w:rPr>
                <w:rFonts w:ascii="Times New Roman" w:eastAsia="Calibri" w:hAnsi="Times New Roman" w:cs="Times New Roman"/>
                <w:b/>
                <w:noProof/>
                <w:color w:val="000000"/>
              </w:rPr>
            </w:pPr>
            <w:r w:rsidRPr="00B5766C">
              <w:rPr>
                <w:rFonts w:ascii="Times New Roman" w:eastAsia="Calibri" w:hAnsi="Times New Roman" w:cs="Times New Roman"/>
                <w:b/>
                <w:noProof/>
                <w:color w:val="000000"/>
              </w:rPr>
              <w:t>177.127</w:t>
            </w:r>
          </w:p>
        </w:tc>
        <w:tc>
          <w:tcPr>
            <w:tcW w:w="1701" w:type="dxa"/>
          </w:tcPr>
          <w:p w14:paraId="661AEE8E" w14:textId="77777777" w:rsidR="005B2700" w:rsidRPr="00B5766C" w:rsidRDefault="005B2700" w:rsidP="005B2700">
            <w:pPr>
              <w:autoSpaceDE w:val="0"/>
              <w:autoSpaceDN w:val="0"/>
              <w:adjustRightInd w:val="0"/>
              <w:jc w:val="right"/>
              <w:rPr>
                <w:rFonts w:ascii="Times New Roman" w:eastAsia="Calibri" w:hAnsi="Times New Roman" w:cs="Times New Roman"/>
                <w:b/>
                <w:noProof/>
              </w:rPr>
            </w:pPr>
            <w:r w:rsidRPr="00B5766C">
              <w:rPr>
                <w:rFonts w:ascii="Times New Roman" w:eastAsia="Calibri" w:hAnsi="Times New Roman" w:cs="Times New Roman"/>
                <w:b/>
                <w:noProof/>
              </w:rPr>
              <w:t>3.608</w:t>
            </w:r>
          </w:p>
        </w:tc>
        <w:tc>
          <w:tcPr>
            <w:tcW w:w="2835" w:type="dxa"/>
          </w:tcPr>
          <w:p w14:paraId="323EB912" w14:textId="77777777" w:rsidR="005B2700" w:rsidRPr="00B5766C" w:rsidRDefault="005B2700" w:rsidP="005B2700">
            <w:pPr>
              <w:autoSpaceDE w:val="0"/>
              <w:autoSpaceDN w:val="0"/>
              <w:adjustRightInd w:val="0"/>
              <w:jc w:val="right"/>
              <w:rPr>
                <w:rFonts w:ascii="Times New Roman" w:eastAsia="Calibri" w:hAnsi="Times New Roman" w:cs="Times New Roman"/>
                <w:b/>
                <w:noProof/>
              </w:rPr>
            </w:pPr>
            <w:r w:rsidRPr="00B5766C">
              <w:rPr>
                <w:rFonts w:ascii="Times New Roman" w:eastAsia="Calibri" w:hAnsi="Times New Roman" w:cs="Times New Roman"/>
                <w:b/>
                <w:noProof/>
              </w:rPr>
              <w:t>1.490</w:t>
            </w:r>
          </w:p>
        </w:tc>
      </w:tr>
    </w:tbl>
    <w:p w14:paraId="131E805E" w14:textId="77777777" w:rsidR="00B5766C" w:rsidRPr="00B5766C" w:rsidRDefault="00B5766C" w:rsidP="00B5766C">
      <w:pPr>
        <w:autoSpaceDE w:val="0"/>
        <w:autoSpaceDN w:val="0"/>
        <w:adjustRightInd w:val="0"/>
        <w:spacing w:after="0"/>
        <w:jc w:val="both"/>
        <w:rPr>
          <w:rFonts w:ascii="Times New Roman" w:eastAsia="Calibri" w:hAnsi="Times New Roman" w:cs="Times New Roman"/>
          <w:noProof/>
          <w:lang w:val="en-US"/>
        </w:rPr>
      </w:pPr>
    </w:p>
    <w:p w14:paraId="0C04F382" w14:textId="283F037D" w:rsidR="00737974" w:rsidRPr="00566910" w:rsidRDefault="00B5766C" w:rsidP="00F31795">
      <w:pPr>
        <w:autoSpaceDE w:val="0"/>
        <w:autoSpaceDN w:val="0"/>
        <w:adjustRightInd w:val="0"/>
        <w:spacing w:after="0"/>
        <w:jc w:val="both"/>
        <w:rPr>
          <w:rFonts w:ascii="Times New Roman" w:eastAsia="Calibri" w:hAnsi="Times New Roman" w:cs="Times New Roman"/>
          <w:noProof/>
          <w:sz w:val="20"/>
          <w:szCs w:val="20"/>
          <w:lang w:val="en-US"/>
        </w:rPr>
      </w:pPr>
      <w:r w:rsidRPr="00566910">
        <w:rPr>
          <w:rFonts w:ascii="Times New Roman" w:eastAsia="Calibri" w:hAnsi="Times New Roman" w:cs="Times New Roman"/>
          <w:noProof/>
          <w:sz w:val="20"/>
          <w:szCs w:val="20"/>
          <w:lang w:val="en-US"/>
        </w:rPr>
        <w:t xml:space="preserve">* </w:t>
      </w:r>
      <w:r w:rsidRPr="00D00A2B">
        <w:rPr>
          <w:rFonts w:ascii="Times New Roman" w:eastAsia="Calibri" w:hAnsi="Times New Roman" w:cs="Times New Roman"/>
          <w:noProof/>
          <w:sz w:val="20"/>
          <w:szCs w:val="20"/>
          <w:lang w:val="en-US"/>
        </w:rPr>
        <w:t>UK consumers, traders and ADR entities were still using the platform</w:t>
      </w:r>
      <w:r w:rsidR="001635BE" w:rsidRPr="00566910">
        <w:rPr>
          <w:rFonts w:ascii="Times New Roman" w:eastAsia="Calibri" w:hAnsi="Times New Roman" w:cs="Times New Roman"/>
          <w:noProof/>
          <w:sz w:val="20"/>
          <w:szCs w:val="20"/>
          <w:lang w:val="en-US"/>
        </w:rPr>
        <w:t xml:space="preserve"> between 2016 and 2020</w:t>
      </w:r>
      <w:r w:rsidRPr="00566910">
        <w:rPr>
          <w:rFonts w:ascii="Times New Roman" w:eastAsia="Calibri" w:hAnsi="Times New Roman" w:cs="Times New Roman"/>
          <w:noProof/>
          <w:sz w:val="20"/>
          <w:szCs w:val="20"/>
          <w:lang w:val="en-US"/>
        </w:rPr>
        <w:t>. While Brexit affected the number of submissions, it did not have a noticeable change on the proportion of complaints reaching ADR.</w:t>
      </w:r>
    </w:p>
    <w:p w14:paraId="1920A90E" w14:textId="77777777" w:rsidR="00132A95" w:rsidRDefault="00132A95" w:rsidP="00662B1F">
      <w:pPr>
        <w:autoSpaceDE w:val="0"/>
        <w:autoSpaceDN w:val="0"/>
        <w:adjustRightInd w:val="0"/>
        <w:spacing w:after="0"/>
        <w:jc w:val="both"/>
        <w:rPr>
          <w:rFonts w:ascii="Times New Roman" w:eastAsia="Calibri" w:hAnsi="Times New Roman" w:cs="Times New Roman"/>
          <w:noProof/>
          <w:lang w:val="en-US"/>
        </w:rPr>
      </w:pPr>
    </w:p>
    <w:p w14:paraId="404E0955" w14:textId="0101E910" w:rsidR="0050220B" w:rsidRDefault="0050220B" w:rsidP="007F520E">
      <w:pPr>
        <w:autoSpaceDE w:val="0"/>
        <w:autoSpaceDN w:val="0"/>
        <w:adjustRightInd w:val="0"/>
        <w:spacing w:after="0"/>
        <w:jc w:val="both"/>
        <w:rPr>
          <w:rFonts w:ascii="Times New Roman" w:eastAsia="Calibri" w:hAnsi="Times New Roman" w:cs="Times New Roman"/>
          <w:noProof/>
          <w:lang w:val="en-US"/>
        </w:rPr>
      </w:pPr>
      <w:r>
        <w:rPr>
          <w:rFonts w:ascii="Times New Roman" w:eastAsia="Calibri" w:hAnsi="Times New Roman" w:cs="Times New Roman"/>
          <w:noProof/>
          <w:lang w:val="en-US"/>
        </w:rPr>
        <w:t xml:space="preserve">The low level of traders’ </w:t>
      </w:r>
      <w:r w:rsidR="004149DB">
        <w:rPr>
          <w:rFonts w:ascii="Times New Roman" w:eastAsia="Calibri" w:hAnsi="Times New Roman" w:cs="Times New Roman"/>
          <w:noProof/>
          <w:lang w:val="en-US"/>
        </w:rPr>
        <w:t>engagement can be explained by various factors</w:t>
      </w:r>
      <w:r w:rsidR="00A556BF">
        <w:rPr>
          <w:rFonts w:ascii="Times New Roman" w:eastAsia="Calibri" w:hAnsi="Times New Roman" w:cs="Times New Roman"/>
          <w:noProof/>
          <w:lang w:val="en-US"/>
        </w:rPr>
        <w:t xml:space="preserve"> detailed in the </w:t>
      </w:r>
      <w:r w:rsidR="00A556BF" w:rsidRPr="001D31F0">
        <w:rPr>
          <w:rFonts w:ascii="Times New Roman" w:hAnsi="Times New Roman" w:cs="Times New Roman"/>
          <w:noProof/>
          <w:lang w:val="en-IE"/>
        </w:rPr>
        <w:t>Annex 6 to the Impact Assessment</w:t>
      </w:r>
      <w:r w:rsidR="00A556BF">
        <w:rPr>
          <w:rFonts w:ascii="Times New Roman" w:hAnsi="Times New Roman" w:cs="Times New Roman"/>
          <w:noProof/>
          <w:lang w:val="en-IE"/>
        </w:rPr>
        <w:t xml:space="preserve"> ca</w:t>
      </w:r>
      <w:r w:rsidR="00F31795">
        <w:rPr>
          <w:rFonts w:ascii="Times New Roman" w:hAnsi="Times New Roman" w:cs="Times New Roman"/>
          <w:noProof/>
          <w:lang w:val="en-IE"/>
        </w:rPr>
        <w:t>r</w:t>
      </w:r>
      <w:r w:rsidR="00A556BF">
        <w:rPr>
          <w:rFonts w:ascii="Times New Roman" w:hAnsi="Times New Roman" w:cs="Times New Roman"/>
          <w:noProof/>
          <w:lang w:val="en-IE"/>
        </w:rPr>
        <w:t xml:space="preserve">ried out for the review of the ADR Directive. The main factor is however structural, as </w:t>
      </w:r>
      <w:r w:rsidR="00693E82">
        <w:rPr>
          <w:rFonts w:ascii="Times New Roman" w:eastAsia="Calibri" w:hAnsi="Times New Roman" w:cs="Times New Roman"/>
          <w:noProof/>
          <w:lang w:val="en-US"/>
        </w:rPr>
        <w:t>e</w:t>
      </w:r>
      <w:r w:rsidR="004149DB">
        <w:rPr>
          <w:rFonts w:ascii="Times New Roman" w:eastAsia="Calibri" w:hAnsi="Times New Roman" w:cs="Times New Roman"/>
          <w:noProof/>
          <w:lang w:val="en-US"/>
        </w:rPr>
        <w:t>-commerce</w:t>
      </w:r>
      <w:r w:rsidR="00A556BF">
        <w:rPr>
          <w:rFonts w:ascii="Times New Roman" w:eastAsia="Calibri" w:hAnsi="Times New Roman" w:cs="Times New Roman"/>
          <w:noProof/>
          <w:lang w:val="en-US"/>
        </w:rPr>
        <w:t xml:space="preserve"> </w:t>
      </w:r>
      <w:r w:rsidR="00593932">
        <w:rPr>
          <w:rFonts w:ascii="Times New Roman" w:eastAsia="Calibri" w:hAnsi="Times New Roman" w:cs="Times New Roman"/>
          <w:noProof/>
          <w:lang w:val="en-US"/>
        </w:rPr>
        <w:t xml:space="preserve">mostly happened through large </w:t>
      </w:r>
      <w:r w:rsidR="004149DB">
        <w:rPr>
          <w:rFonts w:ascii="Times New Roman" w:eastAsia="Calibri" w:hAnsi="Times New Roman" w:cs="Times New Roman"/>
          <w:noProof/>
          <w:lang w:val="en-US"/>
        </w:rPr>
        <w:t xml:space="preserve">marketplaces </w:t>
      </w:r>
      <w:r w:rsidR="00593932">
        <w:rPr>
          <w:rFonts w:ascii="Times New Roman" w:eastAsia="Calibri" w:hAnsi="Times New Roman" w:cs="Times New Roman"/>
          <w:noProof/>
          <w:lang w:val="en-US"/>
        </w:rPr>
        <w:t xml:space="preserve">which rapidly implemented effective </w:t>
      </w:r>
      <w:r w:rsidR="004149DB">
        <w:rPr>
          <w:rFonts w:ascii="Times New Roman" w:eastAsia="Calibri" w:hAnsi="Times New Roman" w:cs="Times New Roman"/>
          <w:noProof/>
          <w:lang w:val="en-US"/>
        </w:rPr>
        <w:t>dispute resolution systems</w:t>
      </w:r>
      <w:r w:rsidR="00593932">
        <w:rPr>
          <w:rFonts w:ascii="Times New Roman" w:eastAsia="Calibri" w:hAnsi="Times New Roman" w:cs="Times New Roman"/>
          <w:noProof/>
          <w:lang w:val="en-US"/>
        </w:rPr>
        <w:t xml:space="preserve"> to keep consumers’</w:t>
      </w:r>
      <w:r w:rsidR="00566910">
        <w:rPr>
          <w:rFonts w:ascii="Times New Roman" w:eastAsia="Calibri" w:hAnsi="Times New Roman" w:cs="Times New Roman"/>
          <w:noProof/>
          <w:lang w:val="en-US"/>
        </w:rPr>
        <w:t xml:space="preserve"> </w:t>
      </w:r>
      <w:r w:rsidR="00593932">
        <w:rPr>
          <w:rFonts w:ascii="Times New Roman" w:eastAsia="Calibri" w:hAnsi="Times New Roman" w:cs="Times New Roman"/>
          <w:noProof/>
          <w:lang w:val="en-US"/>
        </w:rPr>
        <w:t xml:space="preserve">trust that if something goes wrong, solutions can easily be </w:t>
      </w:r>
      <w:r w:rsidR="00566910">
        <w:rPr>
          <w:rFonts w:ascii="Times New Roman" w:eastAsia="Calibri" w:hAnsi="Times New Roman" w:cs="Times New Roman"/>
          <w:noProof/>
          <w:lang w:val="en-US"/>
        </w:rPr>
        <w:t>p</w:t>
      </w:r>
      <w:r w:rsidR="00593932">
        <w:rPr>
          <w:rFonts w:ascii="Times New Roman" w:eastAsia="Calibri" w:hAnsi="Times New Roman" w:cs="Times New Roman"/>
          <w:noProof/>
          <w:lang w:val="en-US"/>
        </w:rPr>
        <w:t>rovided</w:t>
      </w:r>
      <w:r w:rsidR="00F31795">
        <w:rPr>
          <w:rFonts w:ascii="Times New Roman" w:eastAsia="Calibri" w:hAnsi="Times New Roman" w:cs="Times New Roman"/>
          <w:noProof/>
          <w:lang w:val="en-US"/>
        </w:rPr>
        <w:t>.</w:t>
      </w:r>
      <w:r w:rsidR="00593932">
        <w:rPr>
          <w:rFonts w:ascii="Times New Roman" w:eastAsia="Calibri" w:hAnsi="Times New Roman" w:cs="Times New Roman"/>
          <w:noProof/>
          <w:lang w:val="en-US"/>
        </w:rPr>
        <w:t xml:space="preserve"> T</w:t>
      </w:r>
      <w:r w:rsidR="00C065CA">
        <w:rPr>
          <w:rFonts w:ascii="Times New Roman" w:eastAsia="Calibri" w:hAnsi="Times New Roman" w:cs="Times New Roman"/>
          <w:noProof/>
          <w:lang w:val="en-US"/>
        </w:rPr>
        <w:t xml:space="preserve">he ODR Regulation was </w:t>
      </w:r>
      <w:r w:rsidR="004149DB">
        <w:rPr>
          <w:rFonts w:ascii="Times New Roman" w:eastAsia="Calibri" w:hAnsi="Times New Roman" w:cs="Times New Roman"/>
          <w:noProof/>
          <w:lang w:val="en-US"/>
        </w:rPr>
        <w:t xml:space="preserve">proposed </w:t>
      </w:r>
      <w:r w:rsidR="00C065CA">
        <w:rPr>
          <w:rFonts w:ascii="Times New Roman" w:eastAsia="Calibri" w:hAnsi="Times New Roman" w:cs="Times New Roman"/>
          <w:noProof/>
          <w:lang w:val="en-US"/>
        </w:rPr>
        <w:t>in 2011</w:t>
      </w:r>
      <w:r w:rsidR="004149DB">
        <w:rPr>
          <w:rFonts w:ascii="Times New Roman" w:eastAsia="Calibri" w:hAnsi="Times New Roman" w:cs="Times New Roman"/>
          <w:noProof/>
          <w:lang w:val="en-US"/>
        </w:rPr>
        <w:t xml:space="preserve"> with the objective to assist SMEs digitalise</w:t>
      </w:r>
      <w:r w:rsidR="00A556BF">
        <w:rPr>
          <w:rFonts w:ascii="Times New Roman" w:eastAsia="Calibri" w:hAnsi="Times New Roman" w:cs="Times New Roman"/>
          <w:noProof/>
          <w:lang w:val="en-US"/>
        </w:rPr>
        <w:t xml:space="preserve"> and sell cross border in the Single Market</w:t>
      </w:r>
      <w:r w:rsidR="00593932">
        <w:rPr>
          <w:rFonts w:ascii="Times New Roman" w:eastAsia="Calibri" w:hAnsi="Times New Roman" w:cs="Times New Roman"/>
          <w:noProof/>
          <w:lang w:val="en-US"/>
        </w:rPr>
        <w:t>, at the time the rapid development of marketplaces was not foreseen</w:t>
      </w:r>
      <w:r w:rsidR="00F31795">
        <w:rPr>
          <w:rFonts w:ascii="Times New Roman" w:eastAsia="Calibri" w:hAnsi="Times New Roman" w:cs="Times New Roman"/>
          <w:noProof/>
          <w:lang w:val="en-US"/>
        </w:rPr>
        <w:t>.</w:t>
      </w:r>
      <w:r w:rsidR="00593932">
        <w:rPr>
          <w:rFonts w:ascii="Times New Roman" w:eastAsia="Calibri" w:hAnsi="Times New Roman" w:cs="Times New Roman"/>
          <w:noProof/>
          <w:lang w:val="en-US"/>
        </w:rPr>
        <w:t xml:space="preserve"> </w:t>
      </w:r>
    </w:p>
    <w:p w14:paraId="7A4280DE" w14:textId="77777777" w:rsidR="0050220B" w:rsidRDefault="0050220B" w:rsidP="00662B1F">
      <w:pPr>
        <w:autoSpaceDE w:val="0"/>
        <w:autoSpaceDN w:val="0"/>
        <w:adjustRightInd w:val="0"/>
        <w:spacing w:after="0"/>
        <w:jc w:val="both"/>
        <w:rPr>
          <w:rFonts w:ascii="Times New Roman" w:eastAsia="Calibri" w:hAnsi="Times New Roman" w:cs="Times New Roman"/>
          <w:noProof/>
          <w:lang w:val="en-US"/>
        </w:rPr>
      </w:pPr>
    </w:p>
    <w:p w14:paraId="4EB68B48" w14:textId="5E55739A" w:rsidR="00083F61" w:rsidRDefault="00662B1F" w:rsidP="00662B1F">
      <w:pPr>
        <w:autoSpaceDE w:val="0"/>
        <w:autoSpaceDN w:val="0"/>
        <w:adjustRightInd w:val="0"/>
        <w:spacing w:after="0"/>
        <w:jc w:val="both"/>
        <w:rPr>
          <w:rFonts w:ascii="Times New Roman" w:eastAsia="Calibri" w:hAnsi="Times New Roman" w:cs="Times New Roman"/>
          <w:noProof/>
          <w:lang w:val="en-US"/>
        </w:rPr>
      </w:pPr>
      <w:r>
        <w:rPr>
          <w:rFonts w:ascii="Times New Roman" w:eastAsia="Calibri" w:hAnsi="Times New Roman" w:cs="Times New Roman"/>
          <w:noProof/>
          <w:lang w:val="en-US"/>
        </w:rPr>
        <w:t>While the user surveys</w:t>
      </w:r>
      <w:r>
        <w:rPr>
          <w:rStyle w:val="FootnoteReference"/>
          <w:rFonts w:ascii="Times New Roman" w:eastAsia="Calibri" w:hAnsi="Times New Roman" w:cs="Times New Roman"/>
          <w:noProof/>
          <w:lang w:val="en-US"/>
        </w:rPr>
        <w:footnoteReference w:id="21"/>
      </w:r>
      <w:r>
        <w:rPr>
          <w:rFonts w:ascii="Times New Roman" w:eastAsia="Calibri" w:hAnsi="Times New Roman" w:cs="Times New Roman"/>
          <w:noProof/>
          <w:lang w:val="en-US"/>
        </w:rPr>
        <w:t xml:space="preserve"> show that the site itself and the complaint form is relatively</w:t>
      </w:r>
      <w:r w:rsidR="00083F61">
        <w:rPr>
          <w:rFonts w:ascii="Times New Roman" w:eastAsia="Calibri" w:hAnsi="Times New Roman" w:cs="Times New Roman"/>
          <w:noProof/>
          <w:lang w:val="en-US"/>
        </w:rPr>
        <w:t xml:space="preserve"> user-friendly</w:t>
      </w:r>
      <w:r>
        <w:rPr>
          <w:rStyle w:val="FootnoteReference"/>
          <w:rFonts w:ascii="Times New Roman" w:eastAsia="Calibri" w:hAnsi="Times New Roman" w:cs="Times New Roman"/>
          <w:noProof/>
          <w:lang w:val="en-US"/>
        </w:rPr>
        <w:footnoteReference w:id="22"/>
      </w:r>
      <w:r w:rsidR="00083F61">
        <w:rPr>
          <w:rFonts w:ascii="Times New Roman" w:eastAsia="Calibri" w:hAnsi="Times New Roman" w:cs="Times New Roman"/>
          <w:noProof/>
          <w:lang w:val="en-US"/>
        </w:rPr>
        <w:t xml:space="preserve">, the feedback on the usefulness of the tool showed disappointment, notably for the majority of consumers who </w:t>
      </w:r>
      <w:r w:rsidR="00593932">
        <w:rPr>
          <w:rFonts w:ascii="Times New Roman" w:eastAsia="Calibri" w:hAnsi="Times New Roman" w:cs="Times New Roman"/>
          <w:noProof/>
          <w:lang w:val="en-US"/>
        </w:rPr>
        <w:t xml:space="preserve">receive no feedback from requested traders and whose case is automatically closed. </w:t>
      </w:r>
      <w:r w:rsidR="005B2700">
        <w:rPr>
          <w:rFonts w:ascii="Times New Roman" w:eastAsia="Calibri" w:hAnsi="Times New Roman" w:cs="Times New Roman"/>
          <w:noProof/>
          <w:lang w:val="en-US"/>
        </w:rPr>
        <w:t xml:space="preserve">56% </w:t>
      </w:r>
      <w:r w:rsidR="005245AE">
        <w:rPr>
          <w:rFonts w:ascii="Times New Roman" w:eastAsia="Calibri" w:hAnsi="Times New Roman" w:cs="Times New Roman"/>
          <w:noProof/>
          <w:lang w:val="en-US"/>
        </w:rPr>
        <w:t>of</w:t>
      </w:r>
      <w:r w:rsidR="00593932">
        <w:rPr>
          <w:rFonts w:ascii="Times New Roman" w:eastAsia="Calibri" w:hAnsi="Times New Roman" w:cs="Times New Roman"/>
          <w:noProof/>
          <w:lang w:val="en-US"/>
        </w:rPr>
        <w:t xml:space="preserve"> consumers r</w:t>
      </w:r>
      <w:r w:rsidR="005B2700">
        <w:rPr>
          <w:rFonts w:ascii="Times New Roman" w:eastAsia="Calibri" w:hAnsi="Times New Roman" w:cs="Times New Roman"/>
          <w:noProof/>
          <w:lang w:val="en-US"/>
        </w:rPr>
        <w:t xml:space="preserve">eport they would not use the </w:t>
      </w:r>
      <w:r w:rsidR="005547D9">
        <w:rPr>
          <w:rFonts w:ascii="Times New Roman" w:eastAsia="Calibri" w:hAnsi="Times New Roman" w:cs="Times New Roman"/>
          <w:noProof/>
          <w:lang w:val="en-US"/>
        </w:rPr>
        <w:t xml:space="preserve">platform </w:t>
      </w:r>
      <w:r w:rsidR="005B2700">
        <w:rPr>
          <w:rFonts w:ascii="Times New Roman" w:eastAsia="Calibri" w:hAnsi="Times New Roman" w:cs="Times New Roman"/>
          <w:noProof/>
          <w:lang w:val="en-US"/>
        </w:rPr>
        <w:t xml:space="preserve">again. </w:t>
      </w:r>
    </w:p>
    <w:p w14:paraId="62761FB0" w14:textId="77777777" w:rsidR="005B2700" w:rsidRDefault="005B2700" w:rsidP="00662B1F">
      <w:pPr>
        <w:autoSpaceDE w:val="0"/>
        <w:autoSpaceDN w:val="0"/>
        <w:adjustRightInd w:val="0"/>
        <w:spacing w:after="0"/>
        <w:jc w:val="both"/>
        <w:rPr>
          <w:rFonts w:ascii="Times New Roman" w:eastAsia="Calibri" w:hAnsi="Times New Roman" w:cs="Times New Roman"/>
          <w:noProof/>
          <w:lang w:val="en-US"/>
        </w:rPr>
      </w:pPr>
    </w:p>
    <w:p w14:paraId="1767509C" w14:textId="547D8981" w:rsidR="00AB3110" w:rsidRDefault="000A0608" w:rsidP="00662B1F">
      <w:pPr>
        <w:autoSpaceDE w:val="0"/>
        <w:autoSpaceDN w:val="0"/>
        <w:adjustRightInd w:val="0"/>
        <w:spacing w:after="0"/>
        <w:jc w:val="both"/>
        <w:rPr>
          <w:rFonts w:ascii="Times New Roman" w:eastAsia="Calibri" w:hAnsi="Times New Roman" w:cs="Times New Roman"/>
          <w:noProof/>
          <w:lang w:val="en-US"/>
        </w:rPr>
      </w:pPr>
      <w:r>
        <w:rPr>
          <w:rFonts w:ascii="Times New Roman" w:eastAsia="Calibri" w:hAnsi="Times New Roman" w:cs="Times New Roman"/>
          <w:noProof/>
          <w:lang w:val="en-US"/>
        </w:rPr>
        <w:t>The Commission</w:t>
      </w:r>
      <w:r w:rsidRPr="000A0608">
        <w:rPr>
          <w:rFonts w:ascii="Times New Roman" w:eastAsia="Calibri" w:hAnsi="Times New Roman" w:cs="Times New Roman"/>
          <w:noProof/>
          <w:lang w:val="en-US"/>
        </w:rPr>
        <w:t xml:space="preserve"> carried out </w:t>
      </w:r>
      <w:r w:rsidR="00305122">
        <w:rPr>
          <w:rFonts w:ascii="Times New Roman" w:eastAsia="Calibri" w:hAnsi="Times New Roman" w:cs="Times New Roman"/>
          <w:noProof/>
          <w:lang w:val="en-US"/>
        </w:rPr>
        <w:t>extensive research</w:t>
      </w:r>
      <w:r>
        <w:rPr>
          <w:rFonts w:ascii="Times New Roman" w:eastAsia="Calibri" w:hAnsi="Times New Roman" w:cs="Times New Roman"/>
          <w:noProof/>
          <w:lang w:val="en-US"/>
        </w:rPr>
        <w:t xml:space="preserve"> </w:t>
      </w:r>
      <w:r w:rsidRPr="000A0608">
        <w:rPr>
          <w:rFonts w:ascii="Times New Roman" w:eastAsia="Calibri" w:hAnsi="Times New Roman" w:cs="Times New Roman"/>
          <w:noProof/>
          <w:lang w:val="en-US"/>
        </w:rPr>
        <w:t xml:space="preserve">to see if this could be </w:t>
      </w:r>
      <w:r w:rsidR="006A3436">
        <w:rPr>
          <w:rFonts w:ascii="Times New Roman" w:eastAsia="Calibri" w:hAnsi="Times New Roman" w:cs="Times New Roman"/>
          <w:noProof/>
          <w:lang w:val="en-US"/>
        </w:rPr>
        <w:t>rectified</w:t>
      </w:r>
      <w:r w:rsidR="006A3436" w:rsidRPr="000A0608">
        <w:rPr>
          <w:rFonts w:ascii="Times New Roman" w:eastAsia="Calibri" w:hAnsi="Times New Roman" w:cs="Times New Roman"/>
          <w:noProof/>
          <w:lang w:val="en-US"/>
        </w:rPr>
        <w:t xml:space="preserve"> </w:t>
      </w:r>
      <w:r w:rsidRPr="000A0608">
        <w:rPr>
          <w:rFonts w:ascii="Times New Roman" w:eastAsia="Calibri" w:hAnsi="Times New Roman" w:cs="Times New Roman"/>
          <w:noProof/>
          <w:lang w:val="en-US"/>
        </w:rPr>
        <w:t xml:space="preserve">by </w:t>
      </w:r>
      <w:r w:rsidR="00B23A28">
        <w:rPr>
          <w:rFonts w:ascii="Times New Roman" w:eastAsia="Calibri" w:hAnsi="Times New Roman" w:cs="Times New Roman"/>
          <w:noProof/>
          <w:lang w:val="en-US"/>
        </w:rPr>
        <w:t>providing</w:t>
      </w:r>
      <w:r w:rsidRPr="000A0608">
        <w:rPr>
          <w:rFonts w:ascii="Times New Roman" w:eastAsia="Calibri" w:hAnsi="Times New Roman" w:cs="Times New Roman"/>
          <w:noProof/>
          <w:lang w:val="en-US"/>
        </w:rPr>
        <w:t xml:space="preserve"> clearer information to traders, </w:t>
      </w:r>
      <w:r w:rsidR="00E72AE3">
        <w:rPr>
          <w:rFonts w:ascii="Times New Roman" w:eastAsia="Calibri" w:hAnsi="Times New Roman" w:cs="Times New Roman"/>
          <w:noProof/>
          <w:lang w:val="en-US"/>
        </w:rPr>
        <w:t>by improving the</w:t>
      </w:r>
      <w:r w:rsidRPr="000A0608">
        <w:rPr>
          <w:rFonts w:ascii="Times New Roman" w:eastAsia="Calibri" w:hAnsi="Times New Roman" w:cs="Times New Roman"/>
          <w:noProof/>
          <w:lang w:val="en-US"/>
        </w:rPr>
        <w:t xml:space="preserve"> design or technology</w:t>
      </w:r>
      <w:r w:rsidR="00F84ECB">
        <w:rPr>
          <w:rFonts w:ascii="Times New Roman" w:eastAsia="Calibri" w:hAnsi="Times New Roman" w:cs="Times New Roman"/>
          <w:noProof/>
          <w:lang w:val="en-US"/>
        </w:rPr>
        <w:t xml:space="preserve"> </w:t>
      </w:r>
      <w:r w:rsidR="00E72AE3">
        <w:rPr>
          <w:rFonts w:ascii="Times New Roman" w:eastAsia="Calibri" w:hAnsi="Times New Roman" w:cs="Times New Roman"/>
          <w:noProof/>
          <w:lang w:val="en-US"/>
        </w:rPr>
        <w:t>of the platform</w:t>
      </w:r>
      <w:r w:rsidRPr="000A0608">
        <w:rPr>
          <w:rFonts w:ascii="Times New Roman" w:eastAsia="Calibri" w:hAnsi="Times New Roman" w:cs="Times New Roman"/>
          <w:noProof/>
          <w:lang w:val="en-US"/>
        </w:rPr>
        <w:t>,</w:t>
      </w:r>
      <w:r w:rsidR="00FD53C6">
        <w:rPr>
          <w:rStyle w:val="FootnoteReference"/>
          <w:rFonts w:ascii="Times New Roman" w:eastAsia="Calibri" w:hAnsi="Times New Roman" w:cs="Times New Roman"/>
          <w:noProof/>
          <w:lang w:val="en-US"/>
        </w:rPr>
        <w:footnoteReference w:id="23"/>
      </w:r>
      <w:r w:rsidRPr="000A0608">
        <w:rPr>
          <w:rFonts w:ascii="Times New Roman" w:eastAsia="Calibri" w:hAnsi="Times New Roman" w:cs="Times New Roman"/>
          <w:noProof/>
          <w:lang w:val="en-US"/>
        </w:rPr>
        <w:t xml:space="preserve"> </w:t>
      </w:r>
      <w:r w:rsidR="00910F77">
        <w:rPr>
          <w:rFonts w:ascii="Times New Roman" w:eastAsia="Calibri" w:hAnsi="Times New Roman" w:cs="Times New Roman"/>
          <w:noProof/>
          <w:lang w:val="en-US"/>
        </w:rPr>
        <w:t>this research</w:t>
      </w:r>
      <w:r w:rsidRPr="000A0608">
        <w:rPr>
          <w:rFonts w:ascii="Times New Roman" w:eastAsia="Calibri" w:hAnsi="Times New Roman" w:cs="Times New Roman"/>
          <w:noProof/>
          <w:lang w:val="en-US"/>
        </w:rPr>
        <w:t xml:space="preserve"> showed that </w:t>
      </w:r>
      <w:r w:rsidR="00AB5710">
        <w:rPr>
          <w:rFonts w:ascii="Times New Roman" w:eastAsia="Calibri" w:hAnsi="Times New Roman" w:cs="Times New Roman"/>
          <w:noProof/>
          <w:lang w:val="en-US"/>
        </w:rPr>
        <w:t xml:space="preserve">no </w:t>
      </w:r>
      <w:r w:rsidR="00520A41">
        <w:rPr>
          <w:rFonts w:ascii="Times New Roman" w:eastAsia="Calibri" w:hAnsi="Times New Roman" w:cs="Times New Roman"/>
          <w:noProof/>
          <w:lang w:val="en-US"/>
        </w:rPr>
        <w:t xml:space="preserve">design or technical </w:t>
      </w:r>
      <w:r w:rsidRPr="000A0608">
        <w:rPr>
          <w:rFonts w:ascii="Times New Roman" w:eastAsia="Calibri" w:hAnsi="Times New Roman" w:cs="Times New Roman"/>
          <w:noProof/>
          <w:lang w:val="en-US"/>
        </w:rPr>
        <w:t>change would guarantee improvements</w:t>
      </w:r>
      <w:r w:rsidR="005B2700">
        <w:rPr>
          <w:rFonts w:ascii="Times New Roman" w:eastAsia="Calibri" w:hAnsi="Times New Roman" w:cs="Times New Roman"/>
          <w:noProof/>
          <w:lang w:val="en-US"/>
        </w:rPr>
        <w:t xml:space="preserve"> of the response rate of traders</w:t>
      </w:r>
      <w:r w:rsidR="003E2FFF">
        <w:rPr>
          <w:rFonts w:ascii="Times New Roman" w:eastAsia="Calibri" w:hAnsi="Times New Roman" w:cs="Times New Roman"/>
          <w:noProof/>
          <w:lang w:val="en-US"/>
        </w:rPr>
        <w:t xml:space="preserve">. </w:t>
      </w:r>
    </w:p>
    <w:p w14:paraId="63533856" w14:textId="77777777" w:rsidR="00B07315" w:rsidRDefault="00B07315" w:rsidP="00662B1F">
      <w:pPr>
        <w:autoSpaceDE w:val="0"/>
        <w:autoSpaceDN w:val="0"/>
        <w:adjustRightInd w:val="0"/>
        <w:spacing w:after="0"/>
        <w:jc w:val="both"/>
        <w:rPr>
          <w:rFonts w:ascii="Times New Roman" w:eastAsia="Calibri" w:hAnsi="Times New Roman" w:cs="Times New Roman"/>
          <w:noProof/>
          <w:lang w:val="en-US"/>
        </w:rPr>
      </w:pPr>
    </w:p>
    <w:p w14:paraId="77202DBF" w14:textId="20E89CC2" w:rsidR="00B07315" w:rsidRDefault="00B07315" w:rsidP="00662B1F">
      <w:pPr>
        <w:autoSpaceDE w:val="0"/>
        <w:autoSpaceDN w:val="0"/>
        <w:adjustRightInd w:val="0"/>
        <w:spacing w:after="0"/>
        <w:jc w:val="both"/>
        <w:rPr>
          <w:rFonts w:ascii="Times New Roman" w:eastAsia="Calibri" w:hAnsi="Times New Roman" w:cs="Times New Roman"/>
          <w:noProof/>
          <w:lang w:val="en-US"/>
        </w:rPr>
      </w:pPr>
      <w:r>
        <w:rPr>
          <w:rFonts w:ascii="Times New Roman" w:eastAsia="Calibri" w:hAnsi="Times New Roman" w:cs="Times New Roman"/>
          <w:noProof/>
          <w:lang w:val="en-US"/>
        </w:rPr>
        <w:t xml:space="preserve">Therefore, the option to </w:t>
      </w:r>
      <w:r w:rsidR="00D755C3">
        <w:rPr>
          <w:rFonts w:ascii="Times New Roman" w:eastAsia="Calibri" w:hAnsi="Times New Roman" w:cs="Times New Roman"/>
          <w:noProof/>
          <w:lang w:val="en-US"/>
        </w:rPr>
        <w:t>revamp the ODR platform has been discarded in the early stages of reflection on modernising the ADR/ODR framework</w:t>
      </w:r>
      <w:r w:rsidR="00F3056D">
        <w:rPr>
          <w:rFonts w:ascii="Times New Roman" w:eastAsia="Calibri" w:hAnsi="Times New Roman" w:cs="Times New Roman"/>
          <w:noProof/>
          <w:lang w:val="en-US"/>
        </w:rPr>
        <w:t>.</w:t>
      </w:r>
      <w:r w:rsidR="00F3056D">
        <w:rPr>
          <w:rStyle w:val="FootnoteReference"/>
          <w:rFonts w:ascii="Times New Roman" w:eastAsia="Calibri" w:hAnsi="Times New Roman" w:cs="Times New Roman"/>
          <w:noProof/>
          <w:lang w:val="en-US"/>
        </w:rPr>
        <w:footnoteReference w:id="24"/>
      </w:r>
      <w:r w:rsidR="001375D1">
        <w:rPr>
          <w:rFonts w:ascii="Times New Roman" w:eastAsia="Calibri" w:hAnsi="Times New Roman" w:cs="Times New Roman"/>
          <w:noProof/>
          <w:lang w:val="en-US"/>
        </w:rPr>
        <w:t xml:space="preserve"> As </w:t>
      </w:r>
      <w:r w:rsidR="00D321E4">
        <w:rPr>
          <w:rFonts w:ascii="Times New Roman" w:eastAsia="Calibri" w:hAnsi="Times New Roman" w:cs="Times New Roman"/>
          <w:noProof/>
          <w:lang w:val="en-US"/>
        </w:rPr>
        <w:t xml:space="preserve">upgrades over seven years of the functioning of the platform brought no significant </w:t>
      </w:r>
      <w:r w:rsidR="004E7336">
        <w:rPr>
          <w:rFonts w:ascii="Times New Roman" w:eastAsia="Calibri" w:hAnsi="Times New Roman" w:cs="Times New Roman"/>
          <w:noProof/>
          <w:lang w:val="en-US"/>
        </w:rPr>
        <w:t xml:space="preserve">improvements, </w:t>
      </w:r>
      <w:r w:rsidR="001E7AD8">
        <w:rPr>
          <w:rFonts w:ascii="Times New Roman" w:eastAsia="Calibri" w:hAnsi="Times New Roman" w:cs="Times New Roman"/>
          <w:noProof/>
          <w:lang w:val="en-US"/>
        </w:rPr>
        <w:t xml:space="preserve">further changes are unlikely to bring a different result. In the meantime, maintenance of the ODR platform </w:t>
      </w:r>
      <w:r w:rsidR="001A318F">
        <w:rPr>
          <w:rFonts w:ascii="Times New Roman" w:eastAsia="Calibri" w:hAnsi="Times New Roman" w:cs="Times New Roman"/>
          <w:noProof/>
          <w:lang w:val="en-US"/>
        </w:rPr>
        <w:t xml:space="preserve">creates significant costs for the European Commission, for the Member States who have to maintain the network of the ODR advisors, and for </w:t>
      </w:r>
      <w:r w:rsidR="00EC72CC">
        <w:rPr>
          <w:rFonts w:ascii="Times New Roman" w:eastAsia="Calibri" w:hAnsi="Times New Roman" w:cs="Times New Roman"/>
          <w:noProof/>
          <w:lang w:val="en-US"/>
        </w:rPr>
        <w:t>the traders who have to maintain the link to the platform and monitor potential consumer complaints that the traders do not wish to resolve on the platform.</w:t>
      </w:r>
      <w:r w:rsidR="00A32CC6">
        <w:rPr>
          <w:rFonts w:ascii="Times New Roman" w:eastAsia="Calibri" w:hAnsi="Times New Roman" w:cs="Times New Roman"/>
          <w:noProof/>
          <w:lang w:val="en-US"/>
        </w:rPr>
        <w:t xml:space="preserve"> </w:t>
      </w:r>
    </w:p>
    <w:p w14:paraId="00B3CA4A" w14:textId="77777777" w:rsidR="00975444" w:rsidRDefault="00975444" w:rsidP="00662B1F">
      <w:pPr>
        <w:autoSpaceDE w:val="0"/>
        <w:autoSpaceDN w:val="0"/>
        <w:adjustRightInd w:val="0"/>
        <w:spacing w:after="0"/>
        <w:jc w:val="both"/>
        <w:rPr>
          <w:rFonts w:ascii="Times New Roman" w:eastAsia="Calibri" w:hAnsi="Times New Roman" w:cs="Times New Roman"/>
          <w:noProof/>
          <w:lang w:val="en-US"/>
        </w:rPr>
      </w:pPr>
    </w:p>
    <w:p w14:paraId="2007E8CC" w14:textId="77777777" w:rsidR="003E2FFF" w:rsidRDefault="003E2FFF" w:rsidP="00662B1F">
      <w:pPr>
        <w:autoSpaceDE w:val="0"/>
        <w:autoSpaceDN w:val="0"/>
        <w:adjustRightInd w:val="0"/>
        <w:spacing w:after="0"/>
        <w:jc w:val="both"/>
        <w:rPr>
          <w:rFonts w:ascii="Times New Roman" w:eastAsia="Calibri" w:hAnsi="Times New Roman" w:cs="Times New Roman"/>
          <w:noProof/>
          <w:lang w:val="en-US"/>
        </w:rPr>
      </w:pPr>
    </w:p>
    <w:p w14:paraId="3273FEEF" w14:textId="40D3F2E8" w:rsidR="003E2FFF" w:rsidRPr="00662B1F" w:rsidRDefault="003E2FFF" w:rsidP="003E2FFF">
      <w:pPr>
        <w:pStyle w:val="Heading2"/>
        <w:rPr>
          <w:rFonts w:ascii="Times New Roman" w:eastAsia="Calibri" w:hAnsi="Times New Roman" w:cs="Times New Roman"/>
          <w:noProof/>
          <w:lang w:val="en-US"/>
        </w:rPr>
      </w:pPr>
      <w:r>
        <w:rPr>
          <w:rFonts w:ascii="Times New Roman" w:eastAsia="Calibri" w:hAnsi="Times New Roman" w:cs="Times New Roman"/>
          <w:noProof/>
          <w:lang w:val="en-US"/>
        </w:rPr>
        <w:t xml:space="preserve"> </w:t>
      </w:r>
      <w:r>
        <w:rPr>
          <w:rFonts w:eastAsia="Calibri"/>
          <w:noProof/>
          <w:lang w:val="en-US"/>
        </w:rPr>
        <w:t>3.</w:t>
      </w:r>
      <w:r w:rsidR="000547D1">
        <w:rPr>
          <w:rFonts w:eastAsia="Calibri"/>
          <w:noProof/>
          <w:lang w:val="en-US"/>
        </w:rPr>
        <w:t>4</w:t>
      </w:r>
      <w:r>
        <w:rPr>
          <w:rFonts w:eastAsia="Calibri"/>
          <w:noProof/>
          <w:lang w:val="en-US"/>
        </w:rPr>
        <w:t xml:space="preserve"> The role of the national contact points</w:t>
      </w:r>
    </w:p>
    <w:p w14:paraId="5A9BFF40" w14:textId="7474B04C" w:rsidR="003E2FFF" w:rsidRPr="003E2FFF" w:rsidRDefault="003E2FFF" w:rsidP="003E2FFF">
      <w:pPr>
        <w:autoSpaceDE w:val="0"/>
        <w:autoSpaceDN w:val="0"/>
        <w:adjustRightInd w:val="0"/>
        <w:spacing w:after="0"/>
        <w:jc w:val="both"/>
        <w:rPr>
          <w:rFonts w:ascii="Times New Roman" w:eastAsia="Calibri" w:hAnsi="Times New Roman" w:cs="Times New Roman"/>
          <w:noProof/>
          <w:lang w:val="en-US"/>
        </w:rPr>
      </w:pPr>
      <w:r w:rsidRPr="003E2FFF">
        <w:rPr>
          <w:rFonts w:ascii="Times New Roman" w:eastAsia="Calibri" w:hAnsi="Times New Roman" w:cs="Times New Roman"/>
          <w:noProof/>
          <w:lang w:val="en-US"/>
        </w:rPr>
        <w:t>All Member States, Norway and Liechtenstein have designated an ODR contact point.</w:t>
      </w:r>
      <w:r>
        <w:rPr>
          <w:rFonts w:ascii="Times New Roman" w:eastAsia="Calibri" w:hAnsi="Times New Roman" w:cs="Times New Roman"/>
          <w:noProof/>
          <w:lang w:val="en-US"/>
        </w:rPr>
        <w:t xml:space="preserve"> While a few Member States limit their role to cross-border disputes only, the majority of the contact points handle both local and cross-border cases. </w:t>
      </w:r>
    </w:p>
    <w:p w14:paraId="742BE834" w14:textId="77777777" w:rsidR="003E2FFF" w:rsidRDefault="003E2FFF" w:rsidP="003E2FFF">
      <w:pPr>
        <w:autoSpaceDE w:val="0"/>
        <w:autoSpaceDN w:val="0"/>
        <w:adjustRightInd w:val="0"/>
        <w:spacing w:after="0"/>
        <w:jc w:val="both"/>
        <w:rPr>
          <w:rFonts w:ascii="Times New Roman" w:eastAsia="Calibri" w:hAnsi="Times New Roman" w:cs="Times New Roman"/>
          <w:noProof/>
          <w:lang w:val="en-US"/>
        </w:rPr>
      </w:pPr>
    </w:p>
    <w:p w14:paraId="364A3353" w14:textId="075DBAE3" w:rsidR="003E2FFF" w:rsidRDefault="003E2FFF" w:rsidP="003E2FFF">
      <w:pPr>
        <w:autoSpaceDE w:val="0"/>
        <w:autoSpaceDN w:val="0"/>
        <w:adjustRightInd w:val="0"/>
        <w:spacing w:after="0"/>
        <w:jc w:val="both"/>
        <w:rPr>
          <w:rFonts w:ascii="Times New Roman" w:eastAsia="Calibri" w:hAnsi="Times New Roman" w:cs="Times New Roman"/>
          <w:noProof/>
          <w:lang w:val="en-US"/>
        </w:rPr>
      </w:pPr>
      <w:r w:rsidRPr="003E2FFF">
        <w:rPr>
          <w:rFonts w:ascii="Times New Roman" w:eastAsia="Calibri" w:hAnsi="Times New Roman" w:cs="Times New Roman"/>
          <w:noProof/>
          <w:lang w:val="en-US"/>
        </w:rPr>
        <w:t>The Commission has held network meetings with the ODR contact points since 2016 and maintains a collaborative IT tool where ODR contact points can exchange information and best practice. The network is fully operational and receive</w:t>
      </w:r>
      <w:r w:rsidR="00AB5710">
        <w:rPr>
          <w:rFonts w:ascii="Times New Roman" w:eastAsia="Calibri" w:hAnsi="Times New Roman" w:cs="Times New Roman"/>
          <w:noProof/>
          <w:lang w:val="en-US"/>
        </w:rPr>
        <w:t xml:space="preserve"> up to 500</w:t>
      </w:r>
      <w:r w:rsidRPr="003E2FFF">
        <w:rPr>
          <w:rFonts w:ascii="Times New Roman" w:eastAsia="Calibri" w:hAnsi="Times New Roman" w:cs="Times New Roman"/>
          <w:noProof/>
          <w:lang w:val="en-US"/>
        </w:rPr>
        <w:t xml:space="preserve"> queries</w:t>
      </w:r>
      <w:r>
        <w:rPr>
          <w:rFonts w:ascii="Times New Roman" w:eastAsia="Calibri" w:hAnsi="Times New Roman" w:cs="Times New Roman"/>
          <w:noProof/>
          <w:lang w:val="en-US"/>
        </w:rPr>
        <w:t xml:space="preserve"> per year. Throughout the reporting period, most consumer queries </w:t>
      </w:r>
      <w:r w:rsidRPr="003E2FFF">
        <w:rPr>
          <w:rFonts w:ascii="Times New Roman" w:eastAsia="Calibri" w:hAnsi="Times New Roman" w:cs="Times New Roman"/>
          <w:noProof/>
          <w:lang w:val="en-US"/>
        </w:rPr>
        <w:t>concern the automatic closure of the case</w:t>
      </w:r>
      <w:r w:rsidR="00AB5710">
        <w:rPr>
          <w:rFonts w:ascii="Times New Roman" w:eastAsia="Calibri" w:hAnsi="Times New Roman" w:cs="Times New Roman"/>
          <w:noProof/>
          <w:lang w:val="en-US"/>
        </w:rPr>
        <w:t>.</w:t>
      </w:r>
      <w:r w:rsidRPr="003E2FFF">
        <w:rPr>
          <w:rFonts w:ascii="Times New Roman" w:eastAsia="Calibri" w:hAnsi="Times New Roman" w:cs="Times New Roman"/>
          <w:noProof/>
          <w:lang w:val="en-US"/>
        </w:rPr>
        <w:t xml:space="preserve"> </w:t>
      </w:r>
    </w:p>
    <w:p w14:paraId="25643D03" w14:textId="77777777" w:rsidR="003E2FFF" w:rsidRDefault="003E2FFF" w:rsidP="003E2FFF">
      <w:pPr>
        <w:autoSpaceDE w:val="0"/>
        <w:autoSpaceDN w:val="0"/>
        <w:adjustRightInd w:val="0"/>
        <w:spacing w:after="0"/>
        <w:jc w:val="both"/>
        <w:rPr>
          <w:rFonts w:ascii="Times New Roman" w:eastAsia="Calibri" w:hAnsi="Times New Roman" w:cs="Times New Roman"/>
          <w:noProof/>
          <w:lang w:val="en-US"/>
        </w:rPr>
      </w:pPr>
    </w:p>
    <w:p w14:paraId="32B81EC0" w14:textId="4E656BA3" w:rsidR="003E2FFF" w:rsidRDefault="003E2FFF" w:rsidP="003E2FFF">
      <w:pPr>
        <w:autoSpaceDE w:val="0"/>
        <w:autoSpaceDN w:val="0"/>
        <w:adjustRightInd w:val="0"/>
        <w:spacing w:after="0"/>
        <w:jc w:val="both"/>
        <w:rPr>
          <w:rFonts w:ascii="Times New Roman" w:eastAsia="Calibri" w:hAnsi="Times New Roman" w:cs="Times New Roman"/>
          <w:noProof/>
          <w:lang w:val="en-US"/>
        </w:rPr>
      </w:pPr>
      <w:r>
        <w:rPr>
          <w:rFonts w:ascii="Times New Roman" w:eastAsia="Calibri" w:hAnsi="Times New Roman" w:cs="Times New Roman"/>
          <w:noProof/>
          <w:lang w:val="en-US"/>
        </w:rPr>
        <w:t xml:space="preserve">The role of the </w:t>
      </w:r>
      <w:r w:rsidR="00693E82">
        <w:rPr>
          <w:rFonts w:ascii="Times New Roman" w:eastAsia="Calibri" w:hAnsi="Times New Roman" w:cs="Times New Roman"/>
          <w:noProof/>
          <w:lang w:val="en-US"/>
        </w:rPr>
        <w:t xml:space="preserve">ODR </w:t>
      </w:r>
      <w:r>
        <w:rPr>
          <w:rFonts w:ascii="Times New Roman" w:eastAsia="Calibri" w:hAnsi="Times New Roman" w:cs="Times New Roman"/>
          <w:noProof/>
          <w:lang w:val="en-US"/>
        </w:rPr>
        <w:t xml:space="preserve">contact points is to assist consumers, </w:t>
      </w:r>
      <w:r w:rsidR="00BD68E0">
        <w:rPr>
          <w:rFonts w:ascii="Times New Roman" w:eastAsia="Calibri" w:hAnsi="Times New Roman" w:cs="Times New Roman"/>
          <w:noProof/>
          <w:lang w:val="en-US"/>
        </w:rPr>
        <w:t>traders,</w:t>
      </w:r>
      <w:r>
        <w:rPr>
          <w:rFonts w:ascii="Times New Roman" w:eastAsia="Calibri" w:hAnsi="Times New Roman" w:cs="Times New Roman"/>
          <w:noProof/>
          <w:lang w:val="en-US"/>
        </w:rPr>
        <w:t xml:space="preserve"> and the ADR entities with the use of the platform, but many of them have become de-facto point</w:t>
      </w:r>
      <w:r w:rsidR="00BF0471">
        <w:rPr>
          <w:rFonts w:ascii="Times New Roman" w:eastAsia="Calibri" w:hAnsi="Times New Roman" w:cs="Times New Roman"/>
          <w:noProof/>
          <w:lang w:val="en-US"/>
        </w:rPr>
        <w:t xml:space="preserve">s </w:t>
      </w:r>
      <w:r>
        <w:rPr>
          <w:rFonts w:ascii="Times New Roman" w:eastAsia="Calibri" w:hAnsi="Times New Roman" w:cs="Times New Roman"/>
          <w:noProof/>
          <w:lang w:val="en-US"/>
        </w:rPr>
        <w:t>of contact for the whole ADR framework, as they help consumers whose case has been automatically closed to find an alternative solution</w:t>
      </w:r>
      <w:r w:rsidR="00BF0471">
        <w:rPr>
          <w:rFonts w:ascii="Times New Roman" w:eastAsia="Calibri" w:hAnsi="Times New Roman" w:cs="Times New Roman"/>
          <w:noProof/>
          <w:lang w:val="en-US"/>
        </w:rPr>
        <w:t xml:space="preserve"> </w:t>
      </w:r>
      <w:r w:rsidR="00AB5710">
        <w:rPr>
          <w:rFonts w:ascii="Times New Roman" w:eastAsia="Calibri" w:hAnsi="Times New Roman" w:cs="Times New Roman"/>
          <w:noProof/>
          <w:lang w:val="en-US"/>
        </w:rPr>
        <w:t>to seek redress</w:t>
      </w:r>
      <w:r w:rsidR="007F2F92">
        <w:rPr>
          <w:rFonts w:ascii="Times New Roman" w:eastAsia="Calibri" w:hAnsi="Times New Roman" w:cs="Times New Roman"/>
          <w:noProof/>
          <w:lang w:val="en-US"/>
        </w:rPr>
        <w:t xml:space="preserve">. </w:t>
      </w:r>
    </w:p>
    <w:p w14:paraId="39AE6BE8" w14:textId="400086D6" w:rsidR="009F49F2" w:rsidRDefault="009F49F2" w:rsidP="003E2FFF">
      <w:pPr>
        <w:autoSpaceDE w:val="0"/>
        <w:autoSpaceDN w:val="0"/>
        <w:adjustRightInd w:val="0"/>
        <w:spacing w:after="0"/>
        <w:jc w:val="both"/>
        <w:rPr>
          <w:rFonts w:ascii="Times New Roman" w:eastAsia="Calibri" w:hAnsi="Times New Roman" w:cs="Times New Roman"/>
          <w:noProof/>
          <w:lang w:val="en-US"/>
        </w:rPr>
      </w:pPr>
    </w:p>
    <w:p w14:paraId="3A195A8D" w14:textId="3242F232" w:rsidR="00DB1C07" w:rsidRDefault="009B01BA" w:rsidP="009B01BA">
      <w:pPr>
        <w:pStyle w:val="Heading1"/>
        <w:spacing w:after="240"/>
        <w:ind w:left="360"/>
        <w:rPr>
          <w:noProof/>
          <w:lang w:val="en-IE"/>
        </w:rPr>
      </w:pPr>
      <w:r>
        <w:rPr>
          <w:noProof/>
          <w:lang w:val="en-IE"/>
        </w:rPr>
        <w:t xml:space="preserve">4. </w:t>
      </w:r>
      <w:r w:rsidR="00B73E78" w:rsidRPr="00B73E78">
        <w:rPr>
          <w:noProof/>
          <w:lang w:val="en-IE"/>
        </w:rPr>
        <w:t xml:space="preserve">Conclusions and </w:t>
      </w:r>
      <w:r w:rsidR="004D0376">
        <w:rPr>
          <w:noProof/>
          <w:lang w:val="en-IE"/>
        </w:rPr>
        <w:t xml:space="preserve">the </w:t>
      </w:r>
      <w:r w:rsidR="00B73E78" w:rsidRPr="00B73E78">
        <w:rPr>
          <w:noProof/>
          <w:lang w:val="en-IE"/>
        </w:rPr>
        <w:t>way forward</w:t>
      </w:r>
    </w:p>
    <w:p w14:paraId="575F1E93" w14:textId="65AE3BF5" w:rsidR="00DC67A1" w:rsidRDefault="1F23F27F" w:rsidP="007F2F92">
      <w:pPr>
        <w:jc w:val="both"/>
        <w:rPr>
          <w:rFonts w:ascii="Times New Roman" w:hAnsi="Times New Roman" w:cs="Times New Roman"/>
          <w:noProof/>
          <w:lang w:val="en-IE"/>
        </w:rPr>
      </w:pPr>
      <w:r w:rsidRPr="5507AD98">
        <w:rPr>
          <w:rFonts w:ascii="Times New Roman" w:hAnsi="Times New Roman" w:cs="Times New Roman"/>
          <w:b/>
          <w:bCs/>
          <w:noProof/>
          <w:lang w:val="en-IE"/>
        </w:rPr>
        <w:t>The ADR Directive</w:t>
      </w:r>
      <w:r w:rsidRPr="5507AD98">
        <w:rPr>
          <w:rFonts w:ascii="Times New Roman" w:hAnsi="Times New Roman" w:cs="Times New Roman"/>
          <w:noProof/>
          <w:lang w:val="en-IE"/>
        </w:rPr>
        <w:t xml:space="preserve"> has created a base for accessible </w:t>
      </w:r>
      <w:r w:rsidR="3C85C4C1" w:rsidRPr="5507AD98">
        <w:rPr>
          <w:rFonts w:ascii="Times New Roman" w:hAnsi="Times New Roman" w:cs="Times New Roman"/>
          <w:noProof/>
          <w:lang w:val="en-IE"/>
        </w:rPr>
        <w:t xml:space="preserve">and quality </w:t>
      </w:r>
      <w:r w:rsidRPr="5507AD98">
        <w:rPr>
          <w:rFonts w:ascii="Times New Roman" w:hAnsi="Times New Roman" w:cs="Times New Roman"/>
          <w:noProof/>
          <w:lang w:val="en-IE"/>
        </w:rPr>
        <w:t>consumer redress across the Union and in virtually all retail sectors, regardless of whether the dispute is domestic or cross-border and whether the purchase was made online or offline. However, similarly to the conclusions of the 2019 report, its practical uptake remains limited. Meanwhile, the evolution of the consumer markets created new challenges that are putting the current ADR architecture under strain. These challenges</w:t>
      </w:r>
      <w:r w:rsidR="3C85C4C1" w:rsidRPr="5507AD98">
        <w:rPr>
          <w:rFonts w:ascii="Times New Roman" w:hAnsi="Times New Roman" w:cs="Times New Roman"/>
          <w:noProof/>
          <w:lang w:val="en-IE"/>
        </w:rPr>
        <w:t xml:space="preserve"> are further detaile</w:t>
      </w:r>
      <w:r w:rsidR="1A3B5050" w:rsidRPr="5507AD98">
        <w:rPr>
          <w:rFonts w:ascii="Times New Roman" w:hAnsi="Times New Roman" w:cs="Times New Roman"/>
          <w:noProof/>
          <w:lang w:val="en-IE"/>
        </w:rPr>
        <w:t>d</w:t>
      </w:r>
      <w:r w:rsidR="3C85C4C1" w:rsidRPr="5507AD98">
        <w:rPr>
          <w:rFonts w:ascii="Times New Roman" w:hAnsi="Times New Roman" w:cs="Times New Roman"/>
          <w:noProof/>
          <w:lang w:val="en-IE"/>
        </w:rPr>
        <w:t xml:space="preserve"> in a full evaluation of the ADR </w:t>
      </w:r>
      <w:r w:rsidR="00693E82">
        <w:rPr>
          <w:rFonts w:ascii="Times New Roman" w:hAnsi="Times New Roman" w:cs="Times New Roman"/>
          <w:noProof/>
          <w:lang w:val="en-IE"/>
        </w:rPr>
        <w:t>D</w:t>
      </w:r>
      <w:r w:rsidR="3C85C4C1" w:rsidRPr="5507AD98">
        <w:rPr>
          <w:rFonts w:ascii="Times New Roman" w:hAnsi="Times New Roman" w:cs="Times New Roman"/>
          <w:noProof/>
          <w:lang w:val="en-IE"/>
        </w:rPr>
        <w:t xml:space="preserve">irective as well as in an impact assessment </w:t>
      </w:r>
      <w:r w:rsidRPr="5507AD98">
        <w:rPr>
          <w:rFonts w:ascii="Times New Roman" w:hAnsi="Times New Roman" w:cs="Times New Roman"/>
          <w:noProof/>
          <w:lang w:val="en-IE"/>
        </w:rPr>
        <w:t xml:space="preserve">which </w:t>
      </w:r>
      <w:r w:rsidR="3C85C4C1" w:rsidRPr="5507AD98">
        <w:rPr>
          <w:rFonts w:ascii="Times New Roman" w:hAnsi="Times New Roman" w:cs="Times New Roman"/>
          <w:noProof/>
          <w:lang w:val="en-IE"/>
        </w:rPr>
        <w:t>le</w:t>
      </w:r>
      <w:r w:rsidR="004F36E9">
        <w:rPr>
          <w:rFonts w:ascii="Times New Roman" w:hAnsi="Times New Roman" w:cs="Times New Roman"/>
          <w:noProof/>
          <w:lang w:val="en-IE"/>
        </w:rPr>
        <w:t>a</w:t>
      </w:r>
      <w:r w:rsidR="3C85C4C1" w:rsidRPr="5507AD98">
        <w:rPr>
          <w:rFonts w:ascii="Times New Roman" w:hAnsi="Times New Roman" w:cs="Times New Roman"/>
          <w:noProof/>
          <w:lang w:val="en-IE"/>
        </w:rPr>
        <w:t>d</w:t>
      </w:r>
      <w:r w:rsidR="004F36E9">
        <w:rPr>
          <w:rFonts w:ascii="Times New Roman" w:hAnsi="Times New Roman" w:cs="Times New Roman"/>
          <w:noProof/>
          <w:lang w:val="en-IE"/>
        </w:rPr>
        <w:t>s</w:t>
      </w:r>
      <w:r w:rsidR="3C85C4C1" w:rsidRPr="5507AD98">
        <w:rPr>
          <w:rFonts w:ascii="Times New Roman" w:hAnsi="Times New Roman" w:cs="Times New Roman"/>
          <w:noProof/>
          <w:lang w:val="en-IE"/>
        </w:rPr>
        <w:t xml:space="preserve"> the Commission to propose some</w:t>
      </w:r>
      <w:r w:rsidR="004F36E9">
        <w:rPr>
          <w:rFonts w:ascii="Times New Roman" w:hAnsi="Times New Roman" w:cs="Times New Roman"/>
          <w:noProof/>
          <w:lang w:val="en-IE"/>
        </w:rPr>
        <w:t xml:space="preserve"> </w:t>
      </w:r>
      <w:r w:rsidR="00693E82">
        <w:rPr>
          <w:rFonts w:ascii="Times New Roman" w:hAnsi="Times New Roman" w:cs="Times New Roman"/>
          <w:noProof/>
          <w:lang w:val="en-IE"/>
        </w:rPr>
        <w:t xml:space="preserve">targeted </w:t>
      </w:r>
      <w:r w:rsidR="3C85C4C1" w:rsidRPr="5507AD98">
        <w:rPr>
          <w:rFonts w:ascii="Times New Roman" w:hAnsi="Times New Roman" w:cs="Times New Roman"/>
          <w:noProof/>
          <w:lang w:val="en-IE"/>
        </w:rPr>
        <w:t>amendment</w:t>
      </w:r>
      <w:r w:rsidR="00693E82">
        <w:rPr>
          <w:rFonts w:ascii="Times New Roman" w:hAnsi="Times New Roman" w:cs="Times New Roman"/>
          <w:noProof/>
          <w:lang w:val="en-IE"/>
        </w:rPr>
        <w:t>s</w:t>
      </w:r>
      <w:r w:rsidR="3C85C4C1" w:rsidRPr="5507AD98">
        <w:rPr>
          <w:rFonts w:ascii="Times New Roman" w:hAnsi="Times New Roman" w:cs="Times New Roman"/>
          <w:noProof/>
          <w:lang w:val="en-IE"/>
        </w:rPr>
        <w:t xml:space="preserve"> </w:t>
      </w:r>
      <w:r w:rsidR="00693E82">
        <w:rPr>
          <w:rFonts w:ascii="Times New Roman" w:hAnsi="Times New Roman" w:cs="Times New Roman"/>
          <w:noProof/>
          <w:lang w:val="en-IE"/>
        </w:rPr>
        <w:t>to</w:t>
      </w:r>
      <w:r w:rsidR="3C85C4C1" w:rsidRPr="5507AD98">
        <w:rPr>
          <w:rFonts w:ascii="Times New Roman" w:hAnsi="Times New Roman" w:cs="Times New Roman"/>
          <w:noProof/>
          <w:lang w:val="en-IE"/>
        </w:rPr>
        <w:t xml:space="preserve"> the ADR directive as well as a recommendation addressed to online marketplaces and EU trade associations which are providing dispute resolutions systems. </w:t>
      </w:r>
    </w:p>
    <w:p w14:paraId="7EAF34F9" w14:textId="01068FD9" w:rsidR="00DC67A1" w:rsidRDefault="00DC67A1" w:rsidP="007F2F92">
      <w:pPr>
        <w:jc w:val="both"/>
        <w:rPr>
          <w:rFonts w:ascii="Times New Roman" w:hAnsi="Times New Roman" w:cs="Times New Roman"/>
          <w:noProof/>
          <w:lang w:val="en-IE"/>
        </w:rPr>
      </w:pPr>
      <w:r w:rsidRPr="00BF0471">
        <w:rPr>
          <w:rFonts w:ascii="Times New Roman" w:hAnsi="Times New Roman" w:cs="Times New Roman"/>
          <w:b/>
          <w:bCs/>
          <w:noProof/>
          <w:lang w:val="en-IE"/>
        </w:rPr>
        <w:t xml:space="preserve">The ODR </w:t>
      </w:r>
      <w:r w:rsidR="00BF0471">
        <w:rPr>
          <w:rFonts w:ascii="Times New Roman" w:hAnsi="Times New Roman" w:cs="Times New Roman"/>
          <w:b/>
          <w:bCs/>
          <w:noProof/>
          <w:lang w:val="en-IE"/>
        </w:rPr>
        <w:t xml:space="preserve">Regulation and </w:t>
      </w:r>
      <w:r w:rsidRPr="00BF0471">
        <w:rPr>
          <w:rFonts w:ascii="Times New Roman" w:hAnsi="Times New Roman" w:cs="Times New Roman"/>
          <w:b/>
          <w:bCs/>
          <w:noProof/>
          <w:lang w:val="en-IE"/>
        </w:rPr>
        <w:t>Platform</w:t>
      </w:r>
      <w:r w:rsidRPr="00DC67A1">
        <w:rPr>
          <w:rFonts w:ascii="Times New Roman" w:hAnsi="Times New Roman" w:cs="Times New Roman"/>
          <w:noProof/>
          <w:lang w:val="en-IE"/>
        </w:rPr>
        <w:t xml:space="preserve"> w</w:t>
      </w:r>
      <w:r w:rsidR="00BF0471">
        <w:rPr>
          <w:rFonts w:ascii="Times New Roman" w:hAnsi="Times New Roman" w:cs="Times New Roman"/>
          <w:noProof/>
          <w:lang w:val="en-IE"/>
        </w:rPr>
        <w:t>ere</w:t>
      </w:r>
      <w:r w:rsidRPr="00DC67A1">
        <w:rPr>
          <w:rFonts w:ascii="Times New Roman" w:hAnsi="Times New Roman" w:cs="Times New Roman"/>
          <w:noProof/>
          <w:lang w:val="en-IE"/>
        </w:rPr>
        <w:t xml:space="preserve"> conceived at a time when digital markets were still </w:t>
      </w:r>
      <w:r w:rsidR="00BD68E0" w:rsidRPr="00DC67A1">
        <w:rPr>
          <w:rFonts w:ascii="Times New Roman" w:hAnsi="Times New Roman" w:cs="Times New Roman"/>
          <w:noProof/>
          <w:lang w:val="en-IE"/>
        </w:rPr>
        <w:t>developing,</w:t>
      </w:r>
      <w:r w:rsidRPr="00DC67A1">
        <w:rPr>
          <w:rFonts w:ascii="Times New Roman" w:hAnsi="Times New Roman" w:cs="Times New Roman"/>
          <w:noProof/>
          <w:lang w:val="en-IE"/>
        </w:rPr>
        <w:t xml:space="preserve"> and it was unclear whether adequate private or public tools would be </w:t>
      </w:r>
      <w:r w:rsidR="004F36E9">
        <w:rPr>
          <w:rFonts w:ascii="Times New Roman" w:hAnsi="Times New Roman" w:cs="Times New Roman"/>
          <w:noProof/>
          <w:lang w:val="en-IE"/>
        </w:rPr>
        <w:t>implemented</w:t>
      </w:r>
      <w:r w:rsidR="004F36E9" w:rsidRPr="00DC67A1">
        <w:rPr>
          <w:rFonts w:ascii="Times New Roman" w:hAnsi="Times New Roman" w:cs="Times New Roman"/>
          <w:noProof/>
          <w:lang w:val="en-IE"/>
        </w:rPr>
        <w:t xml:space="preserve"> </w:t>
      </w:r>
      <w:r w:rsidRPr="00DC67A1">
        <w:rPr>
          <w:rFonts w:ascii="Times New Roman" w:hAnsi="Times New Roman" w:cs="Times New Roman"/>
          <w:noProof/>
          <w:lang w:val="en-IE"/>
        </w:rPr>
        <w:t xml:space="preserve">to assist online traders </w:t>
      </w:r>
      <w:r w:rsidR="00BF0471">
        <w:rPr>
          <w:rFonts w:ascii="Times New Roman" w:hAnsi="Times New Roman" w:cs="Times New Roman"/>
          <w:noProof/>
          <w:lang w:val="en-IE"/>
        </w:rPr>
        <w:t xml:space="preserve">and consumers use quality </w:t>
      </w:r>
      <w:r w:rsidRPr="00DC67A1">
        <w:rPr>
          <w:rFonts w:ascii="Times New Roman" w:hAnsi="Times New Roman" w:cs="Times New Roman"/>
          <w:noProof/>
          <w:lang w:val="en-IE"/>
        </w:rPr>
        <w:t>ADR entities.</w:t>
      </w:r>
      <w:r w:rsidR="00BF0471">
        <w:rPr>
          <w:rFonts w:ascii="Times New Roman" w:hAnsi="Times New Roman" w:cs="Times New Roman"/>
          <w:noProof/>
          <w:lang w:val="en-IE"/>
        </w:rPr>
        <w:t xml:space="preserve"> T</w:t>
      </w:r>
      <w:r w:rsidRPr="00DC67A1">
        <w:rPr>
          <w:rFonts w:ascii="Times New Roman" w:hAnsi="Times New Roman" w:cs="Times New Roman"/>
          <w:noProof/>
          <w:lang w:val="en-IE"/>
        </w:rPr>
        <w:t xml:space="preserve">he rapid development of online complaint-handling systems of digital marketplaces, </w:t>
      </w:r>
      <w:r w:rsidR="004F36E9">
        <w:rPr>
          <w:rFonts w:ascii="Times New Roman" w:hAnsi="Times New Roman" w:cs="Times New Roman"/>
          <w:noProof/>
          <w:lang w:val="en-IE"/>
        </w:rPr>
        <w:t>however,</w:t>
      </w:r>
      <w:r w:rsidR="00BF0471">
        <w:rPr>
          <w:rFonts w:ascii="Times New Roman" w:hAnsi="Times New Roman" w:cs="Times New Roman"/>
          <w:noProof/>
          <w:lang w:val="en-IE"/>
        </w:rPr>
        <w:t xml:space="preserve"> </w:t>
      </w:r>
      <w:r w:rsidRPr="00DC67A1">
        <w:rPr>
          <w:rFonts w:ascii="Times New Roman" w:hAnsi="Times New Roman" w:cs="Times New Roman"/>
          <w:noProof/>
          <w:lang w:val="en-IE"/>
        </w:rPr>
        <w:t>became one of the main dispute resolution channels for SMEs</w:t>
      </w:r>
      <w:r w:rsidR="00BF0471">
        <w:rPr>
          <w:rFonts w:ascii="Times New Roman" w:hAnsi="Times New Roman" w:cs="Times New Roman"/>
          <w:noProof/>
          <w:lang w:val="en-IE"/>
        </w:rPr>
        <w:t xml:space="preserve"> selling online, making the ODR platform redundant</w:t>
      </w:r>
      <w:r w:rsidRPr="00DC67A1">
        <w:rPr>
          <w:rFonts w:ascii="Times New Roman" w:hAnsi="Times New Roman" w:cs="Times New Roman"/>
          <w:noProof/>
          <w:lang w:val="en-IE"/>
        </w:rPr>
        <w:t xml:space="preserve">. The </w:t>
      </w:r>
      <w:r w:rsidR="00BF0471">
        <w:rPr>
          <w:rFonts w:ascii="Times New Roman" w:hAnsi="Times New Roman" w:cs="Times New Roman"/>
          <w:noProof/>
          <w:lang w:val="en-IE"/>
        </w:rPr>
        <w:t>limited use of the platform exposed above therefore warrants that it is discontinued and therefore the Commission is proposing to repeal the ODR Regulation</w:t>
      </w:r>
      <w:r>
        <w:rPr>
          <w:rFonts w:ascii="Times New Roman" w:hAnsi="Times New Roman" w:cs="Times New Roman"/>
          <w:noProof/>
          <w:lang w:val="en-IE"/>
        </w:rPr>
        <w:t>.</w:t>
      </w:r>
    </w:p>
    <w:p w14:paraId="6CCC4EE6" w14:textId="3F0B1C04" w:rsidR="00AC092A" w:rsidRDefault="00AC092A" w:rsidP="00AC092A">
      <w:pPr>
        <w:rPr>
          <w:noProof/>
          <w:lang w:val="en-IE"/>
        </w:rPr>
      </w:pPr>
      <w:r>
        <w:rPr>
          <w:noProof/>
          <w:lang w:val="en-IE"/>
        </w:rPr>
        <w:br w:type="page"/>
      </w:r>
    </w:p>
    <w:p w14:paraId="283EA66A" w14:textId="155AE92A" w:rsidR="00AC092A" w:rsidRDefault="00AC092A" w:rsidP="00AC092A">
      <w:pPr>
        <w:pStyle w:val="Heading2"/>
        <w:rPr>
          <w:noProof/>
          <w:lang w:val="en-IE"/>
        </w:rPr>
      </w:pPr>
      <w:r>
        <w:rPr>
          <w:noProof/>
          <w:lang w:val="en-IE"/>
        </w:rPr>
        <w:t>Annex: sources of information to this Report</w:t>
      </w:r>
    </w:p>
    <w:p w14:paraId="5BAFB557" w14:textId="74C2EBA0" w:rsidR="00AC092A" w:rsidRDefault="00AC092A" w:rsidP="00AC092A">
      <w:pPr>
        <w:rPr>
          <w:noProof/>
          <w:lang w:val="en-IE"/>
        </w:rPr>
      </w:pPr>
    </w:p>
    <w:p w14:paraId="6D1EF305" w14:textId="0D024010" w:rsidR="00AC092A" w:rsidRPr="007F2F92" w:rsidRDefault="00AC092A" w:rsidP="00693E82">
      <w:pPr>
        <w:ind w:left="426" w:hanging="426"/>
        <w:jc w:val="both"/>
        <w:rPr>
          <w:rFonts w:ascii="Times New Roman" w:hAnsi="Times New Roman" w:cs="Times New Roman"/>
          <w:noProof/>
          <w:lang w:val="en-IE"/>
        </w:rPr>
      </w:pPr>
      <w:r w:rsidRPr="00AC092A">
        <w:rPr>
          <w:noProof/>
          <w:lang w:val="en-IE"/>
        </w:rPr>
        <w:t>•</w:t>
      </w:r>
      <w:r w:rsidRPr="007F2F92">
        <w:rPr>
          <w:rFonts w:ascii="Times New Roman" w:hAnsi="Times New Roman" w:cs="Times New Roman"/>
          <w:noProof/>
          <w:lang w:val="en-IE"/>
        </w:rPr>
        <w:tab/>
        <w:t>National legislation implementing the ADR Directive;</w:t>
      </w:r>
    </w:p>
    <w:p w14:paraId="4A8B5BCE" w14:textId="77777777" w:rsidR="00AC092A" w:rsidRPr="007F2F92" w:rsidRDefault="00AC092A" w:rsidP="00693E82">
      <w:pPr>
        <w:ind w:left="426" w:hanging="426"/>
        <w:jc w:val="both"/>
        <w:rPr>
          <w:rFonts w:ascii="Times New Roman" w:hAnsi="Times New Roman" w:cs="Times New Roman"/>
          <w:noProof/>
          <w:lang w:val="en-IE"/>
        </w:rPr>
      </w:pPr>
      <w:r w:rsidRPr="007F2F92">
        <w:rPr>
          <w:rFonts w:ascii="Times New Roman" w:hAnsi="Times New Roman" w:cs="Times New Roman"/>
          <w:noProof/>
          <w:lang w:val="en-IE"/>
        </w:rPr>
        <w:t>•</w:t>
      </w:r>
      <w:r w:rsidRPr="007F2F92">
        <w:rPr>
          <w:rFonts w:ascii="Times New Roman" w:hAnsi="Times New Roman" w:cs="Times New Roman"/>
          <w:noProof/>
          <w:lang w:val="en-IE"/>
        </w:rPr>
        <w:tab/>
        <w:t>Reports by Member States’ national competent authorities for consumer ADR (‘national competent authorities’) on the development and functioning of ADR entities, submitted in 2022 in accordance with Article 20(6) of the ADR Directive;</w:t>
      </w:r>
    </w:p>
    <w:p w14:paraId="5F4DD0E4" w14:textId="06487E77" w:rsidR="00AC092A" w:rsidRPr="007F2F92" w:rsidRDefault="00AC092A" w:rsidP="00693E82">
      <w:pPr>
        <w:ind w:left="426" w:hanging="426"/>
        <w:jc w:val="both"/>
        <w:rPr>
          <w:rFonts w:ascii="Times New Roman" w:hAnsi="Times New Roman" w:cs="Times New Roman"/>
          <w:noProof/>
          <w:lang w:val="en-IE"/>
        </w:rPr>
      </w:pPr>
      <w:r w:rsidRPr="007F2F92">
        <w:rPr>
          <w:rFonts w:ascii="Times New Roman" w:hAnsi="Times New Roman" w:cs="Times New Roman"/>
          <w:noProof/>
          <w:lang w:val="en-IE"/>
        </w:rPr>
        <w:t>•</w:t>
      </w:r>
      <w:r w:rsidRPr="007F2F92">
        <w:rPr>
          <w:rFonts w:ascii="Times New Roman" w:hAnsi="Times New Roman" w:cs="Times New Roman"/>
          <w:noProof/>
          <w:lang w:val="en-IE"/>
        </w:rPr>
        <w:tab/>
        <w:t>Dedicated studies: ADR data collection study (comprising desk research, surveys and interviews with the authorities, ADR entities and other stakeholderd, the ADR behavioural study and the mini-legal study)</w:t>
      </w:r>
      <w:r w:rsidR="00693E82">
        <w:rPr>
          <w:rFonts w:ascii="Times New Roman" w:hAnsi="Times New Roman" w:cs="Times New Roman"/>
          <w:noProof/>
          <w:lang w:val="en-IE"/>
        </w:rPr>
        <w:t xml:space="preserve"> found </w:t>
      </w:r>
      <w:hyperlink r:id="rId19" w:history="1">
        <w:r w:rsidR="00693E82" w:rsidRPr="00693E82">
          <w:rPr>
            <w:rStyle w:val="Hyperlink"/>
            <w:rFonts w:ascii="Times New Roman" w:hAnsi="Times New Roman" w:cs="Times New Roman"/>
            <w:noProof/>
            <w:lang w:val="en-IE"/>
          </w:rPr>
          <w:t>here</w:t>
        </w:r>
      </w:hyperlink>
      <w:r w:rsidR="00693E82">
        <w:rPr>
          <w:rFonts w:ascii="Times New Roman" w:hAnsi="Times New Roman" w:cs="Times New Roman"/>
          <w:noProof/>
          <w:lang w:val="en-IE"/>
        </w:rPr>
        <w:t>;</w:t>
      </w:r>
    </w:p>
    <w:p w14:paraId="4753999D" w14:textId="26F1FB4D" w:rsidR="00AC092A" w:rsidRPr="007F2F92" w:rsidRDefault="00AC092A" w:rsidP="00693E82">
      <w:pPr>
        <w:ind w:left="426" w:hanging="426"/>
        <w:jc w:val="both"/>
        <w:rPr>
          <w:rFonts w:ascii="Times New Roman" w:hAnsi="Times New Roman" w:cs="Times New Roman"/>
          <w:noProof/>
          <w:lang w:val="en-IE"/>
        </w:rPr>
      </w:pPr>
      <w:r w:rsidRPr="007F2F92">
        <w:rPr>
          <w:rFonts w:ascii="Times New Roman" w:hAnsi="Times New Roman" w:cs="Times New Roman"/>
          <w:noProof/>
          <w:lang w:val="en-IE"/>
        </w:rPr>
        <w:t>•</w:t>
      </w:r>
      <w:r w:rsidRPr="007F2F92">
        <w:rPr>
          <w:rFonts w:ascii="Times New Roman" w:hAnsi="Times New Roman" w:cs="Times New Roman"/>
          <w:noProof/>
          <w:lang w:val="en-IE"/>
        </w:rPr>
        <w:tab/>
        <w:t>Meeting with national competent authorities</w:t>
      </w:r>
      <w:r w:rsidR="007F2F92">
        <w:rPr>
          <w:rFonts w:ascii="Times New Roman" w:hAnsi="Times New Roman" w:cs="Times New Roman"/>
          <w:noProof/>
          <w:lang w:val="en-IE"/>
        </w:rPr>
        <w:t xml:space="preserve"> (2022)</w:t>
      </w:r>
      <w:r w:rsidRPr="007F2F92">
        <w:rPr>
          <w:rFonts w:ascii="Times New Roman" w:hAnsi="Times New Roman" w:cs="Times New Roman"/>
          <w:noProof/>
          <w:lang w:val="en-IE"/>
        </w:rPr>
        <w:t>;</w:t>
      </w:r>
    </w:p>
    <w:p w14:paraId="6D38ED41" w14:textId="77777777" w:rsidR="00AC092A" w:rsidRPr="007F2F92" w:rsidRDefault="00AC092A" w:rsidP="00693E82">
      <w:pPr>
        <w:ind w:left="426" w:hanging="426"/>
        <w:jc w:val="both"/>
        <w:rPr>
          <w:rFonts w:ascii="Times New Roman" w:hAnsi="Times New Roman" w:cs="Times New Roman"/>
          <w:noProof/>
          <w:lang w:val="en-IE"/>
        </w:rPr>
      </w:pPr>
      <w:r w:rsidRPr="007F2F92">
        <w:rPr>
          <w:rFonts w:ascii="Times New Roman" w:hAnsi="Times New Roman" w:cs="Times New Roman"/>
          <w:noProof/>
          <w:lang w:val="en-IE"/>
        </w:rPr>
        <w:t>•</w:t>
      </w:r>
      <w:r w:rsidRPr="007F2F92">
        <w:rPr>
          <w:rFonts w:ascii="Times New Roman" w:hAnsi="Times New Roman" w:cs="Times New Roman"/>
          <w:noProof/>
          <w:lang w:val="en-IE"/>
        </w:rPr>
        <w:tab/>
        <w:t xml:space="preserve">Results of the 2012 ADR Assembly and other stakeholder events hosted by the Commission; </w:t>
      </w:r>
    </w:p>
    <w:p w14:paraId="3BF2D2EB" w14:textId="77777777" w:rsidR="00AC092A" w:rsidRPr="007F2F92" w:rsidRDefault="00AC092A" w:rsidP="00693E82">
      <w:pPr>
        <w:ind w:left="426" w:hanging="426"/>
        <w:jc w:val="both"/>
        <w:rPr>
          <w:rFonts w:ascii="Times New Roman" w:hAnsi="Times New Roman" w:cs="Times New Roman"/>
          <w:noProof/>
          <w:lang w:val="en-IE"/>
        </w:rPr>
      </w:pPr>
      <w:r w:rsidRPr="007F2F92">
        <w:rPr>
          <w:rFonts w:ascii="Times New Roman" w:hAnsi="Times New Roman" w:cs="Times New Roman"/>
          <w:noProof/>
          <w:lang w:val="en-IE"/>
        </w:rPr>
        <w:t>•</w:t>
      </w:r>
      <w:r w:rsidRPr="007F2F92">
        <w:rPr>
          <w:rFonts w:ascii="Times New Roman" w:hAnsi="Times New Roman" w:cs="Times New Roman"/>
          <w:noProof/>
          <w:lang w:val="en-IE"/>
        </w:rPr>
        <w:tab/>
        <w:t>Statistical data from the ODR platform and the reports on the functioning of the European ODR platform (‘ODR Reports’), submitted in accordance with Article 21(1) of the ODR Regulation;</w:t>
      </w:r>
    </w:p>
    <w:p w14:paraId="6D926865" w14:textId="77777777" w:rsidR="00AC092A" w:rsidRPr="007F2F92" w:rsidRDefault="00AC092A" w:rsidP="00693E82">
      <w:pPr>
        <w:ind w:left="426" w:hanging="426"/>
        <w:jc w:val="both"/>
        <w:rPr>
          <w:rFonts w:ascii="Times New Roman" w:hAnsi="Times New Roman" w:cs="Times New Roman"/>
          <w:noProof/>
          <w:lang w:val="en-IE"/>
        </w:rPr>
      </w:pPr>
      <w:r w:rsidRPr="007F2F92">
        <w:rPr>
          <w:rFonts w:ascii="Times New Roman" w:hAnsi="Times New Roman" w:cs="Times New Roman"/>
          <w:noProof/>
          <w:lang w:val="en-IE"/>
        </w:rPr>
        <w:t>•</w:t>
      </w:r>
      <w:r w:rsidRPr="007F2F92">
        <w:rPr>
          <w:rFonts w:ascii="Times New Roman" w:hAnsi="Times New Roman" w:cs="Times New Roman"/>
          <w:noProof/>
          <w:lang w:val="en-IE"/>
        </w:rPr>
        <w:tab/>
        <w:t>Activity reports by Member States’ ODR contact points, submitted in 2020 and in 2022 in accordance with Article 7(2)(b) of the ODR Regulation;</w:t>
      </w:r>
    </w:p>
    <w:p w14:paraId="24BBE188" w14:textId="77777777" w:rsidR="00AC092A" w:rsidRPr="007F2F92" w:rsidRDefault="00AC092A" w:rsidP="00693E82">
      <w:pPr>
        <w:ind w:left="426" w:hanging="426"/>
        <w:jc w:val="both"/>
        <w:rPr>
          <w:rFonts w:ascii="Times New Roman" w:hAnsi="Times New Roman" w:cs="Times New Roman"/>
          <w:noProof/>
          <w:lang w:val="en-IE"/>
        </w:rPr>
      </w:pPr>
      <w:r w:rsidRPr="007F2F92">
        <w:rPr>
          <w:rFonts w:ascii="Times New Roman" w:hAnsi="Times New Roman" w:cs="Times New Roman"/>
          <w:noProof/>
          <w:lang w:val="en-IE"/>
        </w:rPr>
        <w:t>•</w:t>
      </w:r>
      <w:r w:rsidRPr="007F2F92">
        <w:rPr>
          <w:rFonts w:ascii="Times New Roman" w:hAnsi="Times New Roman" w:cs="Times New Roman"/>
          <w:noProof/>
          <w:lang w:val="en-IE"/>
        </w:rPr>
        <w:tab/>
        <w:t xml:space="preserve">Meetings with the ODR contact points network; </w:t>
      </w:r>
    </w:p>
    <w:p w14:paraId="56C7D52E" w14:textId="4B517AE1" w:rsidR="00AC092A" w:rsidRPr="007F2F92" w:rsidRDefault="00AC092A" w:rsidP="00693E82">
      <w:pPr>
        <w:ind w:left="426" w:hanging="426"/>
        <w:jc w:val="both"/>
        <w:rPr>
          <w:rFonts w:ascii="Times New Roman" w:hAnsi="Times New Roman" w:cs="Times New Roman"/>
          <w:noProof/>
          <w:lang w:val="en-IE"/>
        </w:rPr>
      </w:pPr>
      <w:r w:rsidRPr="007F2F92">
        <w:rPr>
          <w:rFonts w:ascii="Times New Roman" w:hAnsi="Times New Roman" w:cs="Times New Roman"/>
          <w:noProof/>
          <w:lang w:val="en-IE"/>
        </w:rPr>
        <w:t>•</w:t>
      </w:r>
      <w:r w:rsidRPr="007F2F92">
        <w:rPr>
          <w:rFonts w:ascii="Times New Roman" w:hAnsi="Times New Roman" w:cs="Times New Roman"/>
          <w:noProof/>
          <w:lang w:val="en-IE"/>
        </w:rPr>
        <w:tab/>
        <w:t>Evaluation of the ADR Directive and Impact Assessment</w:t>
      </w:r>
      <w:r w:rsidR="00BD68E0">
        <w:rPr>
          <w:rFonts w:ascii="Times New Roman" w:hAnsi="Times New Roman" w:cs="Times New Roman"/>
          <w:noProof/>
          <w:lang w:val="en-IE"/>
        </w:rPr>
        <w:t>.</w:t>
      </w:r>
      <w:r w:rsidRPr="007F2F92">
        <w:rPr>
          <w:rFonts w:ascii="Times New Roman" w:hAnsi="Times New Roman" w:cs="Times New Roman"/>
          <w:noProof/>
          <w:lang w:val="en-IE"/>
        </w:rPr>
        <w:t xml:space="preserve"> </w:t>
      </w:r>
    </w:p>
    <w:p w14:paraId="74D64B2A" w14:textId="15B5B50A" w:rsidR="00AC092A" w:rsidRPr="007F2F92" w:rsidRDefault="00AC092A" w:rsidP="00693E82">
      <w:pPr>
        <w:jc w:val="both"/>
        <w:rPr>
          <w:rFonts w:ascii="Times New Roman" w:hAnsi="Times New Roman" w:cs="Times New Roman"/>
          <w:noProof/>
          <w:lang w:val="en-IE"/>
        </w:rPr>
      </w:pPr>
    </w:p>
    <w:sectPr w:rsidR="00AC092A" w:rsidRPr="007F2F92" w:rsidSect="004D10F7">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985F5" w14:textId="77777777" w:rsidR="00C93215" w:rsidRDefault="00C93215" w:rsidP="004D10F7">
      <w:pPr>
        <w:spacing w:after="0" w:line="240" w:lineRule="auto"/>
      </w:pPr>
      <w:r>
        <w:separator/>
      </w:r>
    </w:p>
  </w:endnote>
  <w:endnote w:type="continuationSeparator" w:id="0">
    <w:p w14:paraId="621A178F" w14:textId="77777777" w:rsidR="00C93215" w:rsidRDefault="00C93215" w:rsidP="004D10F7">
      <w:pPr>
        <w:spacing w:after="0" w:line="240" w:lineRule="auto"/>
      </w:pPr>
      <w:r>
        <w:continuationSeparator/>
      </w:r>
    </w:p>
  </w:endnote>
  <w:endnote w:type="continuationNotice" w:id="1">
    <w:p w14:paraId="00ED620F" w14:textId="77777777" w:rsidR="00C93215" w:rsidRDefault="00C932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88DD2" w14:textId="6F70C3BD" w:rsidR="00846717" w:rsidRPr="00D25F0F" w:rsidRDefault="00846717" w:rsidP="00D25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03777" w14:textId="1F9BB3CF" w:rsidR="00846717" w:rsidRPr="00D25F0F" w:rsidRDefault="00D25F0F" w:rsidP="00D25F0F">
    <w:pPr>
      <w:pStyle w:val="FooterCoverPage"/>
      <w:rPr>
        <w:rFonts w:ascii="Arial" w:hAnsi="Arial" w:cs="Arial"/>
        <w:b/>
        <w:sz w:val="48"/>
      </w:rPr>
    </w:pPr>
    <w:r w:rsidRPr="00D25F0F">
      <w:rPr>
        <w:rFonts w:ascii="Arial" w:hAnsi="Arial" w:cs="Arial"/>
        <w:b/>
        <w:sz w:val="48"/>
      </w:rPr>
      <w:t>EN</w:t>
    </w:r>
    <w:r w:rsidRPr="00D25F0F">
      <w:rPr>
        <w:rFonts w:ascii="Arial" w:hAnsi="Arial" w:cs="Arial"/>
        <w:b/>
        <w:sz w:val="48"/>
      </w:rPr>
      <w:tab/>
    </w:r>
    <w:r w:rsidRPr="00D25F0F">
      <w:rPr>
        <w:rFonts w:ascii="Arial" w:hAnsi="Arial" w:cs="Arial"/>
        <w:b/>
        <w:sz w:val="48"/>
      </w:rPr>
      <w:tab/>
    </w:r>
    <w:r w:rsidRPr="00D25F0F">
      <w:tab/>
    </w:r>
    <w:r w:rsidRPr="00D25F0F">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FCE20" w14:textId="77777777" w:rsidR="00D25F0F" w:rsidRPr="00D25F0F" w:rsidRDefault="00D25F0F" w:rsidP="00D25F0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F3DE0" w14:textId="77777777" w:rsidR="00332C16" w:rsidRDefault="00332C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672536"/>
      <w:docPartObj>
        <w:docPartGallery w:val="Page Numbers (Bottom of Page)"/>
        <w:docPartUnique/>
      </w:docPartObj>
    </w:sdtPr>
    <w:sdtEndPr>
      <w:rPr>
        <w:noProof/>
      </w:rPr>
    </w:sdtEndPr>
    <w:sdtContent>
      <w:p w14:paraId="575D1F7A" w14:textId="35876F22" w:rsidR="00332C16" w:rsidRDefault="00332C16">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D25F0F">
          <w:rPr>
            <w:noProof/>
          </w:rPr>
          <w:t>1</w:t>
        </w:r>
        <w:r>
          <w:rPr>
            <w:color w:val="2B579A"/>
            <w:shd w:val="clear" w:color="auto" w:fill="E6E6E6"/>
          </w:rPr>
          <w:fldChar w:fldCharType="end"/>
        </w:r>
      </w:p>
    </w:sdtContent>
  </w:sdt>
  <w:p w14:paraId="2A8D82C2" w14:textId="77777777" w:rsidR="00332C16" w:rsidRDefault="00332C1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3B2ED" w14:textId="77777777" w:rsidR="00332C16" w:rsidRDefault="00332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C2454" w14:textId="77777777" w:rsidR="00C93215" w:rsidRDefault="00C93215" w:rsidP="004D10F7">
      <w:pPr>
        <w:spacing w:after="0" w:line="240" w:lineRule="auto"/>
      </w:pPr>
      <w:r>
        <w:separator/>
      </w:r>
    </w:p>
  </w:footnote>
  <w:footnote w:type="continuationSeparator" w:id="0">
    <w:p w14:paraId="2F390875" w14:textId="77777777" w:rsidR="00C93215" w:rsidRDefault="00C93215" w:rsidP="004D10F7">
      <w:pPr>
        <w:spacing w:after="0" w:line="240" w:lineRule="auto"/>
      </w:pPr>
      <w:r>
        <w:continuationSeparator/>
      </w:r>
    </w:p>
  </w:footnote>
  <w:footnote w:type="continuationNotice" w:id="1">
    <w:p w14:paraId="1C147E07" w14:textId="77777777" w:rsidR="00C93215" w:rsidRDefault="00C93215">
      <w:pPr>
        <w:spacing w:after="0" w:line="240" w:lineRule="auto"/>
      </w:pPr>
    </w:p>
  </w:footnote>
  <w:footnote w:id="2">
    <w:p w14:paraId="6725033B" w14:textId="533D2D92" w:rsidR="00C923FE" w:rsidRPr="00B25AC3" w:rsidRDefault="00C923FE" w:rsidP="009D220F">
      <w:pPr>
        <w:pStyle w:val="FootnoteText"/>
        <w:rPr>
          <w:rFonts w:ascii="Times New Roman" w:hAnsi="Times New Roman" w:cs="Times New Roman"/>
          <w:sz w:val="16"/>
          <w:szCs w:val="16"/>
          <w:lang w:val="en-IE"/>
        </w:rPr>
      </w:pPr>
      <w:r w:rsidRPr="00B25AC3">
        <w:rPr>
          <w:rStyle w:val="FootnoteReference"/>
          <w:rFonts w:ascii="Times New Roman" w:hAnsi="Times New Roman" w:cs="Times New Roman"/>
          <w:sz w:val="16"/>
          <w:szCs w:val="16"/>
        </w:rPr>
        <w:footnoteRef/>
      </w:r>
      <w:r w:rsidRPr="00B25AC3">
        <w:rPr>
          <w:rFonts w:ascii="Times New Roman" w:hAnsi="Times New Roman" w:cs="Times New Roman"/>
          <w:sz w:val="16"/>
          <w:szCs w:val="16"/>
          <w:vertAlign w:val="superscript"/>
          <w:lang w:val="en-IE"/>
        </w:rPr>
        <w:t xml:space="preserve"> </w:t>
      </w:r>
      <w:r w:rsidRPr="00B25AC3">
        <w:rPr>
          <w:rFonts w:ascii="Times New Roman" w:hAnsi="Times New Roman" w:cs="Times New Roman"/>
          <w:sz w:val="16"/>
          <w:szCs w:val="16"/>
          <w:lang w:val="en-IE"/>
        </w:rPr>
        <w:t xml:space="preserve"> Directive 2013/11/EU of the European Parliament and of the Council on alternative dispute resolution for consumer disputes and amending Regulation (EC) No 2006/2004 and Directive 2009/22/EC (Directive on consumer ADR)</w:t>
      </w:r>
    </w:p>
  </w:footnote>
  <w:footnote w:id="3">
    <w:p w14:paraId="50DB26CF" w14:textId="47E87ABB" w:rsidR="00C923FE" w:rsidRPr="00B25AC3" w:rsidRDefault="00C923FE" w:rsidP="009D220F">
      <w:pPr>
        <w:pStyle w:val="FootnoteText"/>
        <w:rPr>
          <w:rFonts w:ascii="Times New Roman" w:hAnsi="Times New Roman" w:cs="Times New Roman"/>
          <w:sz w:val="16"/>
          <w:szCs w:val="16"/>
          <w:lang w:val="en-IE"/>
        </w:rPr>
      </w:pPr>
      <w:r w:rsidRPr="00B25AC3">
        <w:rPr>
          <w:rStyle w:val="FootnoteReference"/>
          <w:rFonts w:ascii="Times New Roman" w:hAnsi="Times New Roman" w:cs="Times New Roman"/>
          <w:sz w:val="16"/>
          <w:szCs w:val="16"/>
        </w:rPr>
        <w:footnoteRef/>
      </w:r>
      <w:r w:rsidRPr="00B25AC3">
        <w:rPr>
          <w:rFonts w:ascii="Times New Roman" w:hAnsi="Times New Roman" w:cs="Times New Roman"/>
          <w:sz w:val="16"/>
          <w:szCs w:val="16"/>
          <w:vertAlign w:val="superscript"/>
          <w:lang w:val="en-IE"/>
        </w:rPr>
        <w:t xml:space="preserve"> </w:t>
      </w:r>
      <w:r w:rsidRPr="00B25AC3">
        <w:rPr>
          <w:rFonts w:ascii="Times New Roman" w:hAnsi="Times New Roman" w:cs="Times New Roman"/>
          <w:sz w:val="16"/>
          <w:szCs w:val="16"/>
          <w:lang w:val="en-IE"/>
        </w:rPr>
        <w:t>Regulation (EU) No 524/2013 of the European Parliament and of the Council on online dispute resolution for consumer disputes and amending Regulation (EC) No 2006/2004 and Directive 2009/22/EC (Regulation on consumer ODR)</w:t>
      </w:r>
    </w:p>
  </w:footnote>
  <w:footnote w:id="4">
    <w:p w14:paraId="6E0B6EEA" w14:textId="77777777" w:rsidR="00B72A25" w:rsidRPr="00B25AC3" w:rsidRDefault="00B72A25" w:rsidP="009D220F">
      <w:pPr>
        <w:pStyle w:val="FootnoteText"/>
        <w:rPr>
          <w:rFonts w:ascii="Times New Roman" w:hAnsi="Times New Roman" w:cs="Times New Roman"/>
          <w:sz w:val="16"/>
          <w:szCs w:val="16"/>
          <w:lang w:val="en-IE"/>
        </w:rPr>
      </w:pPr>
      <w:r w:rsidRPr="00B25AC3">
        <w:rPr>
          <w:rStyle w:val="FootnoteReference"/>
          <w:rFonts w:ascii="Times New Roman" w:hAnsi="Times New Roman" w:cs="Times New Roman"/>
          <w:sz w:val="16"/>
          <w:szCs w:val="16"/>
        </w:rPr>
        <w:footnoteRef/>
      </w:r>
      <w:r w:rsidRPr="00B25AC3">
        <w:rPr>
          <w:rFonts w:ascii="Times New Roman" w:hAnsi="Times New Roman" w:cs="Times New Roman"/>
          <w:sz w:val="16"/>
          <w:szCs w:val="16"/>
          <w:vertAlign w:val="superscript"/>
          <w:lang w:val="en-IE"/>
        </w:rPr>
        <w:t xml:space="preserve"> </w:t>
      </w:r>
      <w:r w:rsidRPr="00B25AC3">
        <w:rPr>
          <w:rFonts w:ascii="Times New Roman" w:hAnsi="Times New Roman" w:cs="Times New Roman"/>
          <w:sz w:val="16"/>
          <w:szCs w:val="16"/>
          <w:lang w:val="en-IE"/>
        </w:rPr>
        <w:t>Directive (EU) 2020/1828 of the European Parliament and of the Council of 25 November 2020 on representative actions for the protection of the collective interests of consumers</w:t>
      </w:r>
    </w:p>
  </w:footnote>
  <w:footnote w:id="5">
    <w:p w14:paraId="0B40068A" w14:textId="2168A738" w:rsidR="005E77AD" w:rsidRPr="00B25AC3" w:rsidRDefault="005E77AD" w:rsidP="009D220F">
      <w:pPr>
        <w:pStyle w:val="FootnoteText"/>
        <w:rPr>
          <w:rFonts w:ascii="Times New Roman" w:hAnsi="Times New Roman" w:cs="Times New Roman"/>
          <w:sz w:val="16"/>
          <w:szCs w:val="16"/>
          <w:lang w:val="en-IE"/>
        </w:rPr>
      </w:pPr>
      <w:r w:rsidRPr="00B25AC3">
        <w:rPr>
          <w:rStyle w:val="FootnoteReference"/>
          <w:rFonts w:ascii="Times New Roman" w:hAnsi="Times New Roman" w:cs="Times New Roman"/>
          <w:sz w:val="16"/>
          <w:szCs w:val="16"/>
        </w:rPr>
        <w:footnoteRef/>
      </w:r>
      <w:r w:rsidRPr="00B25AC3">
        <w:rPr>
          <w:rFonts w:ascii="Times New Roman" w:hAnsi="Times New Roman" w:cs="Times New Roman"/>
          <w:sz w:val="16"/>
          <w:szCs w:val="16"/>
          <w:vertAlign w:val="superscript"/>
          <w:lang w:val="en-IE"/>
        </w:rPr>
        <w:t xml:space="preserve"> </w:t>
      </w:r>
      <w:r w:rsidR="009D220F" w:rsidRPr="00B25AC3">
        <w:rPr>
          <w:rFonts w:ascii="Times New Roman" w:hAnsi="Times New Roman" w:cs="Times New Roman"/>
          <w:sz w:val="16"/>
          <w:szCs w:val="16"/>
          <w:lang w:val="en-IE"/>
        </w:rPr>
        <w:t>R</w:t>
      </w:r>
      <w:r w:rsidR="00B25AC3" w:rsidRPr="00B25AC3">
        <w:rPr>
          <w:rFonts w:ascii="Times New Roman" w:hAnsi="Times New Roman" w:cs="Times New Roman"/>
          <w:sz w:val="16"/>
          <w:szCs w:val="16"/>
          <w:lang w:val="en-IE"/>
        </w:rPr>
        <w:t xml:space="preserve">eport from the Commission to the European Parliament, the Council and the European Economic and Social Committee </w:t>
      </w:r>
      <w:r w:rsidR="009D220F" w:rsidRPr="00B25AC3">
        <w:rPr>
          <w:rFonts w:ascii="Times New Roman" w:hAnsi="Times New Roman" w:cs="Times New Roman"/>
          <w:sz w:val="16"/>
          <w:szCs w:val="16"/>
          <w:lang w:val="en-IE"/>
        </w:rPr>
        <w:t>on the application of Directive 2013/11/EU of the European Parliament and of the Council on alternative dispute resolution for consumer disputes and Regulation (EU) No 524/2013 of the European Parliament and of the Council on online dispute resolution for consumer disputes, COM(2019) 425 final</w:t>
      </w:r>
    </w:p>
  </w:footnote>
  <w:footnote w:id="6">
    <w:p w14:paraId="7C5D4FEA" w14:textId="50A15080" w:rsidR="002274CC" w:rsidRPr="00B25AC3" w:rsidRDefault="002274CC" w:rsidP="009D220F">
      <w:pPr>
        <w:pStyle w:val="FootnoteText"/>
        <w:rPr>
          <w:rFonts w:ascii="Times New Roman" w:hAnsi="Times New Roman" w:cs="Times New Roman"/>
          <w:sz w:val="16"/>
          <w:szCs w:val="16"/>
          <w:lang w:val="en-IE"/>
        </w:rPr>
      </w:pPr>
      <w:r w:rsidRPr="00B25AC3">
        <w:rPr>
          <w:rStyle w:val="FootnoteReference"/>
          <w:rFonts w:ascii="Times New Roman" w:hAnsi="Times New Roman" w:cs="Times New Roman"/>
          <w:sz w:val="16"/>
          <w:szCs w:val="16"/>
        </w:rPr>
        <w:footnoteRef/>
      </w:r>
      <w:r w:rsidRPr="00B25AC3">
        <w:rPr>
          <w:rFonts w:ascii="Times New Roman" w:hAnsi="Times New Roman" w:cs="Times New Roman"/>
          <w:sz w:val="16"/>
          <w:szCs w:val="16"/>
          <w:vertAlign w:val="superscript"/>
          <w:lang w:val="en-IE"/>
        </w:rPr>
        <w:t xml:space="preserve"> </w:t>
      </w:r>
      <w:r w:rsidRPr="00B25AC3">
        <w:rPr>
          <w:rFonts w:ascii="Times New Roman" w:hAnsi="Times New Roman" w:cs="Times New Roman"/>
          <w:sz w:val="16"/>
          <w:szCs w:val="16"/>
          <w:lang w:val="en-IE"/>
        </w:rPr>
        <w:t>Exceptions in Article 2(2): non-economic services of general interest, healthcare and public education</w:t>
      </w:r>
    </w:p>
  </w:footnote>
  <w:footnote w:id="7">
    <w:p w14:paraId="6A2106F0" w14:textId="29696FC7" w:rsidR="00C63FE8" w:rsidRPr="00B25AC3" w:rsidRDefault="00C63FE8" w:rsidP="009D220F">
      <w:pPr>
        <w:pStyle w:val="FootnoteText"/>
        <w:rPr>
          <w:rFonts w:ascii="Times New Roman" w:hAnsi="Times New Roman" w:cs="Times New Roman"/>
          <w:sz w:val="16"/>
          <w:szCs w:val="16"/>
          <w:lang w:val="en-IE"/>
        </w:rPr>
      </w:pPr>
      <w:r w:rsidRPr="00B25AC3">
        <w:rPr>
          <w:rStyle w:val="FootnoteReference"/>
          <w:rFonts w:ascii="Times New Roman" w:hAnsi="Times New Roman" w:cs="Times New Roman"/>
          <w:sz w:val="16"/>
          <w:szCs w:val="16"/>
        </w:rPr>
        <w:footnoteRef/>
      </w:r>
      <w:r w:rsidRPr="00B25AC3">
        <w:rPr>
          <w:rFonts w:ascii="Times New Roman" w:hAnsi="Times New Roman" w:cs="Times New Roman"/>
          <w:sz w:val="16"/>
          <w:szCs w:val="16"/>
          <w:vertAlign w:val="superscript"/>
          <w:lang w:val="en-IE"/>
        </w:rPr>
        <w:t xml:space="preserve"> </w:t>
      </w:r>
      <w:r w:rsidRPr="00B25AC3">
        <w:rPr>
          <w:rFonts w:ascii="Times New Roman" w:hAnsi="Times New Roman" w:cs="Times New Roman"/>
          <w:sz w:val="16"/>
          <w:szCs w:val="16"/>
          <w:lang w:val="en-IE"/>
        </w:rPr>
        <w:t xml:space="preserve">Article 1 </w:t>
      </w:r>
    </w:p>
  </w:footnote>
  <w:footnote w:id="8">
    <w:p w14:paraId="4B2AFE34" w14:textId="0877AD5A" w:rsidR="00291DEA" w:rsidRPr="00B25AC3" w:rsidRDefault="00291DEA">
      <w:pPr>
        <w:pStyle w:val="FootnoteText"/>
        <w:rPr>
          <w:rFonts w:ascii="Times New Roman" w:hAnsi="Times New Roman" w:cs="Times New Roman"/>
          <w:sz w:val="16"/>
          <w:szCs w:val="16"/>
          <w:lang w:val="en-IE"/>
        </w:rPr>
      </w:pPr>
      <w:r w:rsidRPr="00B25AC3">
        <w:rPr>
          <w:rStyle w:val="FootnoteReference"/>
          <w:rFonts w:ascii="Times New Roman" w:hAnsi="Times New Roman" w:cs="Times New Roman"/>
          <w:sz w:val="16"/>
          <w:szCs w:val="16"/>
        </w:rPr>
        <w:footnoteRef/>
      </w:r>
      <w:r w:rsidRPr="00B25AC3">
        <w:rPr>
          <w:rFonts w:ascii="Times New Roman" w:hAnsi="Times New Roman" w:cs="Times New Roman"/>
          <w:sz w:val="16"/>
          <w:szCs w:val="16"/>
          <w:lang w:val="en-IE"/>
        </w:rPr>
        <w:t xml:space="preserve"> Chapter II of the ADR Directive: </w:t>
      </w:r>
      <w:r w:rsidR="00AF2221" w:rsidRPr="00B25AC3">
        <w:rPr>
          <w:rFonts w:ascii="Times New Roman" w:hAnsi="Times New Roman" w:cs="Times New Roman"/>
          <w:sz w:val="16"/>
          <w:szCs w:val="16"/>
          <w:lang w:val="en-IE"/>
        </w:rPr>
        <w:t xml:space="preserve">expertise, independence and impartiality; </w:t>
      </w:r>
      <w:r w:rsidR="001201EA" w:rsidRPr="00B25AC3">
        <w:rPr>
          <w:rFonts w:ascii="Times New Roman" w:hAnsi="Times New Roman" w:cs="Times New Roman"/>
          <w:sz w:val="16"/>
          <w:szCs w:val="16"/>
          <w:lang w:val="en-IE"/>
        </w:rPr>
        <w:t xml:space="preserve">transparency, </w:t>
      </w:r>
      <w:r w:rsidR="00AF2221" w:rsidRPr="00B25AC3">
        <w:rPr>
          <w:rFonts w:ascii="Times New Roman" w:hAnsi="Times New Roman" w:cs="Times New Roman"/>
          <w:sz w:val="16"/>
          <w:szCs w:val="16"/>
          <w:lang w:val="en-IE"/>
        </w:rPr>
        <w:t>effectiveness</w:t>
      </w:r>
      <w:r w:rsidR="001201EA" w:rsidRPr="00B25AC3">
        <w:rPr>
          <w:rFonts w:ascii="Times New Roman" w:hAnsi="Times New Roman" w:cs="Times New Roman"/>
          <w:sz w:val="16"/>
          <w:szCs w:val="16"/>
          <w:lang w:val="en-IE"/>
        </w:rPr>
        <w:t>, fairness, liberty and legality</w:t>
      </w:r>
    </w:p>
  </w:footnote>
  <w:footnote w:id="9">
    <w:p w14:paraId="10E82E4D" w14:textId="1E139F7A" w:rsidR="009703DF" w:rsidRPr="00B25AC3" w:rsidRDefault="009703DF" w:rsidP="000F7092">
      <w:pPr>
        <w:pStyle w:val="FootnoteText"/>
        <w:jc w:val="both"/>
        <w:rPr>
          <w:rFonts w:ascii="Times New Roman" w:hAnsi="Times New Roman" w:cs="Times New Roman"/>
          <w:sz w:val="16"/>
          <w:szCs w:val="16"/>
          <w:lang w:val="en-IE"/>
        </w:rPr>
      </w:pPr>
      <w:r w:rsidRPr="00B25AC3">
        <w:rPr>
          <w:rStyle w:val="FootnoteReference"/>
          <w:rFonts w:ascii="Times New Roman" w:hAnsi="Times New Roman" w:cs="Times New Roman"/>
          <w:sz w:val="16"/>
          <w:szCs w:val="16"/>
        </w:rPr>
        <w:footnoteRef/>
      </w:r>
      <w:r w:rsidRPr="00B25AC3">
        <w:rPr>
          <w:rFonts w:ascii="Times New Roman" w:hAnsi="Times New Roman" w:cs="Times New Roman"/>
          <w:sz w:val="16"/>
          <w:szCs w:val="16"/>
          <w:lang w:val="en-IE"/>
        </w:rPr>
        <w:t xml:space="preserve"> </w:t>
      </w:r>
      <w:r w:rsidR="00DA1878" w:rsidRPr="00B25AC3">
        <w:rPr>
          <w:rFonts w:ascii="Times New Roman" w:hAnsi="Times New Roman" w:cs="Times New Roman"/>
          <w:sz w:val="16"/>
          <w:szCs w:val="16"/>
          <w:lang w:val="en-IE"/>
        </w:rPr>
        <w:t xml:space="preserve">Article 9(2) and 9(3) of the ADR Directive set out </w:t>
      </w:r>
      <w:r w:rsidR="00C433C2" w:rsidRPr="00B25AC3">
        <w:rPr>
          <w:rFonts w:ascii="Times New Roman" w:hAnsi="Times New Roman" w:cs="Times New Roman"/>
          <w:sz w:val="16"/>
          <w:szCs w:val="16"/>
          <w:lang w:val="en-IE"/>
        </w:rPr>
        <w:t xml:space="preserve">additional guarantees of fairness for the </w:t>
      </w:r>
      <w:r w:rsidR="00792A49" w:rsidRPr="00B25AC3">
        <w:rPr>
          <w:rFonts w:ascii="Times New Roman" w:hAnsi="Times New Roman" w:cs="Times New Roman"/>
          <w:sz w:val="16"/>
          <w:szCs w:val="16"/>
          <w:lang w:val="en-IE"/>
        </w:rPr>
        <w:t xml:space="preserve">outcomes that may become binding, i.e. </w:t>
      </w:r>
      <w:r w:rsidR="005C7D94" w:rsidRPr="00B25AC3">
        <w:rPr>
          <w:rFonts w:ascii="Times New Roman" w:hAnsi="Times New Roman" w:cs="Times New Roman"/>
          <w:sz w:val="16"/>
          <w:szCs w:val="16"/>
          <w:lang w:val="en-IE"/>
        </w:rPr>
        <w:t>prior information and reasonable time to reflec</w:t>
      </w:r>
      <w:r w:rsidR="004546FA" w:rsidRPr="00B25AC3">
        <w:rPr>
          <w:rFonts w:ascii="Times New Roman" w:hAnsi="Times New Roman" w:cs="Times New Roman"/>
          <w:sz w:val="16"/>
          <w:szCs w:val="16"/>
          <w:lang w:val="en-IE"/>
        </w:rPr>
        <w:t>t, while allowing national</w:t>
      </w:r>
      <w:r w:rsidR="003864C7" w:rsidRPr="00B25AC3">
        <w:rPr>
          <w:rFonts w:ascii="Times New Roman" w:hAnsi="Times New Roman" w:cs="Times New Roman"/>
          <w:sz w:val="16"/>
          <w:szCs w:val="16"/>
          <w:lang w:val="en-IE"/>
        </w:rPr>
        <w:t xml:space="preserve"> legislation that makes outcomes binding upon a trader once a consumer accepted the outcome.</w:t>
      </w:r>
    </w:p>
  </w:footnote>
  <w:footnote w:id="10">
    <w:p w14:paraId="025E51CE" w14:textId="05EAD632" w:rsidR="004C00FF" w:rsidRPr="00B25AC3" w:rsidRDefault="004C00FF" w:rsidP="000F7092">
      <w:pPr>
        <w:pStyle w:val="FootnoteText"/>
        <w:jc w:val="both"/>
        <w:rPr>
          <w:rFonts w:ascii="Times New Roman" w:hAnsi="Times New Roman" w:cs="Times New Roman"/>
          <w:sz w:val="16"/>
          <w:szCs w:val="16"/>
          <w:lang w:val="en-IE"/>
        </w:rPr>
      </w:pPr>
      <w:r w:rsidRPr="00B25AC3">
        <w:rPr>
          <w:rStyle w:val="FootnoteReference"/>
          <w:rFonts w:ascii="Times New Roman" w:hAnsi="Times New Roman" w:cs="Times New Roman"/>
          <w:sz w:val="16"/>
          <w:szCs w:val="16"/>
        </w:rPr>
        <w:footnoteRef/>
      </w:r>
      <w:r w:rsidRPr="00B25AC3">
        <w:rPr>
          <w:rFonts w:ascii="Times New Roman" w:hAnsi="Times New Roman" w:cs="Times New Roman"/>
          <w:sz w:val="16"/>
          <w:szCs w:val="16"/>
          <w:lang w:val="en-IE"/>
        </w:rPr>
        <w:t xml:space="preserve"> https://ec.europa.eu/consumers/odr/main/?event=main.adr.show2</w:t>
      </w:r>
    </w:p>
  </w:footnote>
  <w:footnote w:id="11">
    <w:p w14:paraId="628D0577" w14:textId="5534FB72" w:rsidR="005D41FE" w:rsidRPr="00B25AC3" w:rsidRDefault="005D41FE" w:rsidP="000F7092">
      <w:pPr>
        <w:pStyle w:val="FootnoteText"/>
        <w:jc w:val="both"/>
        <w:rPr>
          <w:rFonts w:ascii="Times New Roman" w:hAnsi="Times New Roman" w:cs="Times New Roman"/>
          <w:sz w:val="16"/>
          <w:szCs w:val="16"/>
          <w:lang w:val="en-IE"/>
        </w:rPr>
      </w:pPr>
      <w:r w:rsidRPr="00B25AC3">
        <w:rPr>
          <w:rStyle w:val="FootnoteReference"/>
          <w:rFonts w:ascii="Times New Roman" w:hAnsi="Times New Roman" w:cs="Times New Roman"/>
          <w:sz w:val="16"/>
          <w:szCs w:val="16"/>
        </w:rPr>
        <w:footnoteRef/>
      </w:r>
      <w:r w:rsidRPr="00B25AC3">
        <w:rPr>
          <w:rFonts w:ascii="Times New Roman" w:hAnsi="Times New Roman" w:cs="Times New Roman"/>
          <w:sz w:val="16"/>
          <w:szCs w:val="16"/>
          <w:lang w:val="en-IE"/>
        </w:rPr>
        <w:t xml:space="preserve"> While transposition in Iceland was delayed, the necessary legislation was adopted and ADR entities communicated to the Commission in 2020.</w:t>
      </w:r>
    </w:p>
  </w:footnote>
  <w:footnote w:id="12">
    <w:p w14:paraId="75EC3493" w14:textId="4F6A6785" w:rsidR="001F3F31" w:rsidRPr="00B25AC3" w:rsidRDefault="001F3F31" w:rsidP="000F7092">
      <w:pPr>
        <w:pStyle w:val="FootnoteText"/>
        <w:jc w:val="both"/>
        <w:rPr>
          <w:rFonts w:ascii="Times New Roman" w:hAnsi="Times New Roman" w:cs="Times New Roman"/>
          <w:sz w:val="16"/>
          <w:szCs w:val="16"/>
          <w:lang w:val="en-IE"/>
        </w:rPr>
      </w:pPr>
      <w:r w:rsidRPr="00B25AC3">
        <w:rPr>
          <w:rStyle w:val="FootnoteReference"/>
          <w:rFonts w:ascii="Times New Roman" w:hAnsi="Times New Roman" w:cs="Times New Roman"/>
          <w:sz w:val="16"/>
          <w:szCs w:val="16"/>
        </w:rPr>
        <w:footnoteRef/>
      </w:r>
      <w:r w:rsidRPr="00B25AC3">
        <w:rPr>
          <w:rFonts w:ascii="Times New Roman" w:hAnsi="Times New Roman" w:cs="Times New Roman"/>
          <w:sz w:val="16"/>
          <w:szCs w:val="16"/>
          <w:vertAlign w:val="superscript"/>
          <w:lang w:val="en-IE"/>
        </w:rPr>
        <w:t xml:space="preserve"> </w:t>
      </w:r>
      <w:r w:rsidRPr="00B25AC3">
        <w:rPr>
          <w:rFonts w:ascii="Times New Roman" w:hAnsi="Times New Roman" w:cs="Times New Roman"/>
          <w:sz w:val="16"/>
          <w:szCs w:val="16"/>
          <w:lang w:val="en-IE"/>
        </w:rPr>
        <w:t>ADR Directive provides for additional independence safeguards, such as separate budget, for the entities r</w:t>
      </w:r>
      <w:r w:rsidR="000F7092" w:rsidRPr="00B25AC3">
        <w:rPr>
          <w:rFonts w:ascii="Times New Roman" w:hAnsi="Times New Roman" w:cs="Times New Roman"/>
          <w:sz w:val="16"/>
          <w:szCs w:val="16"/>
          <w:lang w:val="en-IE"/>
        </w:rPr>
        <w:t>u</w:t>
      </w:r>
      <w:r w:rsidRPr="00B25AC3">
        <w:rPr>
          <w:rFonts w:ascii="Times New Roman" w:hAnsi="Times New Roman" w:cs="Times New Roman"/>
          <w:sz w:val="16"/>
          <w:szCs w:val="16"/>
          <w:lang w:val="en-IE"/>
        </w:rPr>
        <w:t>n by traders or their organisations</w:t>
      </w:r>
    </w:p>
  </w:footnote>
  <w:footnote w:id="13">
    <w:p w14:paraId="09BD2D76" w14:textId="5B060BF1" w:rsidR="00574CE3" w:rsidRPr="00B25AC3" w:rsidRDefault="00574CE3" w:rsidP="009D220F">
      <w:pPr>
        <w:pStyle w:val="FootnoteText"/>
        <w:rPr>
          <w:rFonts w:ascii="Times New Roman" w:hAnsi="Times New Roman" w:cs="Times New Roman"/>
          <w:sz w:val="16"/>
          <w:szCs w:val="16"/>
          <w:lang w:val="en-IE"/>
        </w:rPr>
      </w:pPr>
      <w:r w:rsidRPr="00B25AC3">
        <w:rPr>
          <w:rStyle w:val="FootnoteReference"/>
          <w:rFonts w:ascii="Times New Roman" w:hAnsi="Times New Roman" w:cs="Times New Roman"/>
          <w:sz w:val="16"/>
          <w:szCs w:val="16"/>
        </w:rPr>
        <w:footnoteRef/>
      </w:r>
      <w:r w:rsidRPr="00B25AC3">
        <w:rPr>
          <w:rFonts w:ascii="Times New Roman" w:hAnsi="Times New Roman" w:cs="Times New Roman"/>
          <w:sz w:val="16"/>
          <w:szCs w:val="16"/>
          <w:vertAlign w:val="superscript"/>
          <w:lang w:val="en-IE"/>
        </w:rPr>
        <w:t xml:space="preserve"> </w:t>
      </w:r>
      <w:r w:rsidRPr="00B25AC3">
        <w:rPr>
          <w:rFonts w:ascii="Times New Roman" w:hAnsi="Times New Roman" w:cs="Times New Roman"/>
          <w:sz w:val="16"/>
          <w:szCs w:val="16"/>
          <w:lang w:val="en-IE"/>
        </w:rPr>
        <w:t xml:space="preserve">Source: official procedural information notified on the ODR platform. </w:t>
      </w:r>
    </w:p>
  </w:footnote>
  <w:footnote w:id="14">
    <w:p w14:paraId="03790E95" w14:textId="0E56CF8A" w:rsidR="00C574CF" w:rsidRPr="00B25AC3" w:rsidRDefault="00C574CF">
      <w:pPr>
        <w:pStyle w:val="FootnoteText"/>
        <w:rPr>
          <w:rFonts w:ascii="Times New Roman" w:hAnsi="Times New Roman" w:cs="Times New Roman"/>
          <w:sz w:val="16"/>
          <w:szCs w:val="16"/>
          <w:lang w:val="en-IE"/>
        </w:rPr>
      </w:pPr>
      <w:r w:rsidRPr="00B25AC3">
        <w:rPr>
          <w:rStyle w:val="FootnoteReference"/>
          <w:rFonts w:ascii="Times New Roman" w:hAnsi="Times New Roman" w:cs="Times New Roman"/>
          <w:sz w:val="16"/>
          <w:szCs w:val="16"/>
        </w:rPr>
        <w:footnoteRef/>
      </w:r>
      <w:r w:rsidRPr="00B25AC3">
        <w:rPr>
          <w:rFonts w:ascii="Times New Roman" w:hAnsi="Times New Roman" w:cs="Times New Roman"/>
          <w:sz w:val="16"/>
          <w:szCs w:val="16"/>
          <w:lang w:val="en-IE"/>
        </w:rPr>
        <w:t xml:space="preserve"> </w:t>
      </w:r>
      <w:r w:rsidR="00A510BF" w:rsidRPr="00B25AC3">
        <w:rPr>
          <w:rFonts w:ascii="Times New Roman" w:hAnsi="Times New Roman" w:cs="Times New Roman"/>
          <w:sz w:val="16"/>
          <w:szCs w:val="16"/>
          <w:lang w:val="en-IE"/>
        </w:rPr>
        <w:t xml:space="preserve">See section </w:t>
      </w:r>
      <w:r w:rsidR="004F1D42" w:rsidRPr="00B25AC3">
        <w:rPr>
          <w:rFonts w:ascii="Times New Roman" w:hAnsi="Times New Roman" w:cs="Times New Roman"/>
          <w:sz w:val="16"/>
          <w:szCs w:val="16"/>
          <w:lang w:val="en-IE"/>
        </w:rPr>
        <w:t>4.1.2 of the Evaluation Report</w:t>
      </w:r>
      <w:r w:rsidR="000F7092" w:rsidRPr="00B25AC3">
        <w:rPr>
          <w:rFonts w:ascii="Times New Roman" w:hAnsi="Times New Roman" w:cs="Times New Roman"/>
          <w:sz w:val="16"/>
          <w:szCs w:val="16"/>
          <w:lang w:val="en-IE"/>
        </w:rPr>
        <w:t>.</w:t>
      </w:r>
    </w:p>
  </w:footnote>
  <w:footnote w:id="15">
    <w:p w14:paraId="07653F6E" w14:textId="58F6AE4E" w:rsidR="00927259" w:rsidRPr="00B25AC3" w:rsidRDefault="00927259" w:rsidP="009D220F">
      <w:pPr>
        <w:pStyle w:val="FootnoteText"/>
        <w:rPr>
          <w:rFonts w:ascii="Times New Roman" w:hAnsi="Times New Roman" w:cs="Times New Roman"/>
          <w:sz w:val="16"/>
          <w:szCs w:val="16"/>
          <w:lang w:val="en-IE"/>
        </w:rPr>
      </w:pPr>
      <w:r w:rsidRPr="00B25AC3">
        <w:rPr>
          <w:rStyle w:val="FootnoteReference"/>
          <w:rFonts w:ascii="Times New Roman" w:hAnsi="Times New Roman" w:cs="Times New Roman"/>
          <w:sz w:val="16"/>
          <w:szCs w:val="16"/>
        </w:rPr>
        <w:footnoteRef/>
      </w:r>
      <w:r w:rsidRPr="00B25AC3">
        <w:rPr>
          <w:rFonts w:ascii="Times New Roman" w:hAnsi="Times New Roman" w:cs="Times New Roman"/>
          <w:sz w:val="16"/>
          <w:szCs w:val="16"/>
          <w:lang w:val="en-IE"/>
        </w:rPr>
        <w:t xml:space="preserve"> Consumer Conditions Scoreboard – Consumers at home in the Single Market, 2019, </w:t>
      </w:r>
      <w:r w:rsidR="00813A72" w:rsidRPr="00B25AC3">
        <w:rPr>
          <w:rFonts w:ascii="Times New Roman" w:hAnsi="Times New Roman" w:cs="Times New Roman"/>
          <w:sz w:val="16"/>
          <w:szCs w:val="16"/>
          <w:lang w:val="en-IE"/>
        </w:rPr>
        <w:t>https://commission.europa.eu/system/files/2020-07/consumers-conditions-scoreboard-2019_pdf_en.pdf</w:t>
      </w:r>
    </w:p>
  </w:footnote>
  <w:footnote w:id="16">
    <w:p w14:paraId="4EB583C1" w14:textId="33649895" w:rsidR="00562D44" w:rsidRPr="00B25AC3" w:rsidRDefault="00562D44" w:rsidP="00562D44">
      <w:pPr>
        <w:pStyle w:val="FootnoteText"/>
        <w:rPr>
          <w:rFonts w:ascii="Times New Roman" w:hAnsi="Times New Roman" w:cs="Times New Roman"/>
          <w:sz w:val="16"/>
          <w:szCs w:val="16"/>
          <w:lang w:val="en-IE"/>
        </w:rPr>
      </w:pPr>
      <w:r w:rsidRPr="00B25AC3">
        <w:rPr>
          <w:rStyle w:val="FootnoteReference"/>
          <w:rFonts w:ascii="Times New Roman" w:hAnsi="Times New Roman" w:cs="Times New Roman"/>
          <w:sz w:val="16"/>
          <w:szCs w:val="16"/>
        </w:rPr>
        <w:footnoteRef/>
      </w:r>
      <w:r w:rsidRPr="00B25AC3">
        <w:rPr>
          <w:rFonts w:ascii="Times New Roman" w:hAnsi="Times New Roman" w:cs="Times New Roman"/>
          <w:sz w:val="16"/>
          <w:szCs w:val="16"/>
          <w:lang w:val="en-IE"/>
        </w:rPr>
        <w:t xml:space="preserve"> See </w:t>
      </w:r>
      <w:r w:rsidR="007832F5" w:rsidRPr="00B25AC3">
        <w:rPr>
          <w:rFonts w:ascii="Times New Roman" w:hAnsi="Times New Roman" w:cs="Times New Roman"/>
          <w:sz w:val="16"/>
          <w:szCs w:val="16"/>
          <w:lang w:val="en-IE"/>
        </w:rPr>
        <w:t>S</w:t>
      </w:r>
      <w:r w:rsidRPr="00B25AC3">
        <w:rPr>
          <w:rFonts w:ascii="Times New Roman" w:hAnsi="Times New Roman" w:cs="Times New Roman"/>
          <w:sz w:val="16"/>
          <w:szCs w:val="16"/>
          <w:lang w:val="en-IE"/>
        </w:rPr>
        <w:t>ection 3 of the Evaluation Report</w:t>
      </w:r>
      <w:r w:rsidR="000F7092" w:rsidRPr="00B25AC3">
        <w:rPr>
          <w:rFonts w:ascii="Times New Roman" w:hAnsi="Times New Roman" w:cs="Times New Roman"/>
          <w:sz w:val="16"/>
          <w:szCs w:val="16"/>
          <w:lang w:val="en-IE"/>
        </w:rPr>
        <w:t>.</w:t>
      </w:r>
    </w:p>
  </w:footnote>
  <w:footnote w:id="17">
    <w:p w14:paraId="7D985AC8" w14:textId="2CBC5C11" w:rsidR="006D5D68" w:rsidRPr="00B25AC3" w:rsidRDefault="006D5D68" w:rsidP="009D220F">
      <w:pPr>
        <w:pStyle w:val="FootnoteText"/>
        <w:rPr>
          <w:rFonts w:ascii="Times New Roman" w:hAnsi="Times New Roman" w:cs="Times New Roman"/>
          <w:sz w:val="16"/>
          <w:szCs w:val="16"/>
          <w:lang w:val="en-IE"/>
        </w:rPr>
      </w:pPr>
      <w:r w:rsidRPr="00B25AC3">
        <w:rPr>
          <w:rStyle w:val="FootnoteReference"/>
          <w:rFonts w:ascii="Times New Roman" w:hAnsi="Times New Roman" w:cs="Times New Roman"/>
          <w:sz w:val="16"/>
          <w:szCs w:val="16"/>
        </w:rPr>
        <w:footnoteRef/>
      </w:r>
      <w:r w:rsidRPr="00B25AC3">
        <w:rPr>
          <w:rFonts w:ascii="Times New Roman" w:hAnsi="Times New Roman" w:cs="Times New Roman"/>
          <w:sz w:val="16"/>
          <w:szCs w:val="16"/>
          <w:vertAlign w:val="superscript"/>
          <w:lang w:val="en-IE"/>
        </w:rPr>
        <w:t xml:space="preserve"> </w:t>
      </w:r>
      <w:r w:rsidRPr="00B25AC3">
        <w:rPr>
          <w:rFonts w:ascii="Times New Roman" w:hAnsi="Times New Roman" w:cs="Times New Roman"/>
          <w:sz w:val="16"/>
          <w:szCs w:val="16"/>
          <w:lang w:val="en-IE"/>
        </w:rPr>
        <w:t>2023 Justice Scoreboard, Figure 26 https://commission.europa.eu/system/files/2023-06/Justice%20Scoreboard%202023_0.pdf</w:t>
      </w:r>
    </w:p>
  </w:footnote>
  <w:footnote w:id="18">
    <w:p w14:paraId="59724DA9" w14:textId="3AA7863D" w:rsidR="001427AC" w:rsidRPr="00B25AC3" w:rsidRDefault="001427AC" w:rsidP="009D220F">
      <w:pPr>
        <w:pStyle w:val="FootnoteText"/>
        <w:rPr>
          <w:rFonts w:ascii="Times New Roman" w:hAnsi="Times New Roman" w:cs="Times New Roman"/>
          <w:sz w:val="16"/>
          <w:szCs w:val="16"/>
          <w:lang w:val="en-IE"/>
        </w:rPr>
      </w:pPr>
      <w:r w:rsidRPr="00B25AC3">
        <w:rPr>
          <w:rStyle w:val="FootnoteReference"/>
          <w:rFonts w:ascii="Times New Roman" w:hAnsi="Times New Roman" w:cs="Times New Roman"/>
          <w:sz w:val="16"/>
          <w:szCs w:val="16"/>
        </w:rPr>
        <w:footnoteRef/>
      </w:r>
      <w:r w:rsidRPr="00B25AC3">
        <w:rPr>
          <w:rFonts w:ascii="Times New Roman" w:hAnsi="Times New Roman" w:cs="Times New Roman"/>
          <w:sz w:val="16"/>
          <w:szCs w:val="16"/>
          <w:lang w:val="en-IE"/>
        </w:rPr>
        <w:t xml:space="preserve"> Survey of Consumers’ Attitudes Towards Cross-border Trade and Consumer-related Issues 2023, European Commission, </w:t>
      </w:r>
      <w:hyperlink r:id="rId1" w:history="1">
        <w:r w:rsidRPr="00B25AC3">
          <w:rPr>
            <w:rStyle w:val="Hyperlink"/>
            <w:rFonts w:ascii="Times New Roman" w:hAnsi="Times New Roman" w:cs="Times New Roman"/>
            <w:color w:val="auto"/>
            <w:sz w:val="16"/>
            <w:szCs w:val="16"/>
            <w:u w:val="none"/>
            <w:lang w:val="en-IE"/>
          </w:rPr>
          <w:t>https://commission.europa.eu/system/files/2023-03/ccs_2022_executive_summary.pdf</w:t>
        </w:r>
      </w:hyperlink>
      <w:r w:rsidRPr="00B25AC3">
        <w:rPr>
          <w:rFonts w:ascii="Times New Roman" w:hAnsi="Times New Roman" w:cs="Times New Roman"/>
          <w:sz w:val="16"/>
          <w:szCs w:val="16"/>
          <w:lang w:val="en-IE"/>
        </w:rPr>
        <w:t>.</w:t>
      </w:r>
      <w:r w:rsidR="00B266C8" w:rsidRPr="00B25AC3">
        <w:rPr>
          <w:rFonts w:ascii="Times New Roman" w:hAnsi="Times New Roman" w:cs="Times New Roman"/>
          <w:sz w:val="16"/>
          <w:szCs w:val="16"/>
          <w:lang w:val="en-IE"/>
        </w:rPr>
        <w:t xml:space="preserve"> This number shows only a modest increase of 0,7% compared to 2022 data quoted in the Impact Assessment.</w:t>
      </w:r>
    </w:p>
  </w:footnote>
  <w:footnote w:id="19">
    <w:p w14:paraId="688B570E" w14:textId="6D29F04C" w:rsidR="00737974" w:rsidRPr="00B25AC3" w:rsidRDefault="00737974" w:rsidP="009D220F">
      <w:pPr>
        <w:pStyle w:val="FootnoteText"/>
        <w:rPr>
          <w:rFonts w:ascii="Times New Roman" w:hAnsi="Times New Roman" w:cs="Times New Roman"/>
          <w:sz w:val="16"/>
          <w:szCs w:val="16"/>
          <w:lang w:val="en-IE"/>
        </w:rPr>
      </w:pPr>
      <w:r w:rsidRPr="00B25AC3">
        <w:rPr>
          <w:rStyle w:val="FootnoteReference"/>
          <w:rFonts w:ascii="Times New Roman" w:hAnsi="Times New Roman" w:cs="Times New Roman"/>
          <w:sz w:val="16"/>
          <w:szCs w:val="16"/>
        </w:rPr>
        <w:footnoteRef/>
      </w:r>
      <w:r w:rsidRPr="00B25AC3">
        <w:rPr>
          <w:rFonts w:ascii="Times New Roman" w:hAnsi="Times New Roman" w:cs="Times New Roman"/>
          <w:sz w:val="16"/>
          <w:szCs w:val="16"/>
          <w:lang w:val="en-IE"/>
        </w:rPr>
        <w:t xml:space="preserve"> Commission Implementing Regulation (EU) 2015/1051 of 1 July 2015 on the modalities for the exercise of the functions of the online dispute resolution platform, on the modalities of the electronic complaint form and on the modalities of the cooperation between contact points provided for in Regulation (EU) No 524/2013 of the European Parliament and of the Council on online dispute resolution for consumer </w:t>
      </w:r>
      <w:r w:rsidR="00BD68E0" w:rsidRPr="00B25AC3">
        <w:rPr>
          <w:rFonts w:ascii="Times New Roman" w:hAnsi="Times New Roman" w:cs="Times New Roman"/>
          <w:sz w:val="16"/>
          <w:szCs w:val="16"/>
          <w:lang w:val="en-IE"/>
        </w:rPr>
        <w:t>disputes.</w:t>
      </w:r>
    </w:p>
  </w:footnote>
  <w:footnote w:id="20">
    <w:p w14:paraId="49EBCC04" w14:textId="34C5619A" w:rsidR="00CC5F27" w:rsidRPr="00B25AC3" w:rsidRDefault="00CC5F27">
      <w:pPr>
        <w:pStyle w:val="FootnoteText"/>
        <w:rPr>
          <w:rFonts w:ascii="Times New Roman" w:hAnsi="Times New Roman" w:cs="Times New Roman"/>
          <w:sz w:val="16"/>
          <w:szCs w:val="16"/>
          <w:lang w:val="en-IE"/>
        </w:rPr>
      </w:pPr>
      <w:r w:rsidRPr="00B25AC3">
        <w:rPr>
          <w:rStyle w:val="FootnoteReference"/>
          <w:rFonts w:ascii="Times New Roman" w:hAnsi="Times New Roman" w:cs="Times New Roman"/>
          <w:sz w:val="16"/>
          <w:szCs w:val="16"/>
        </w:rPr>
        <w:footnoteRef/>
      </w:r>
      <w:r w:rsidRPr="00B25AC3">
        <w:rPr>
          <w:rFonts w:ascii="Times New Roman" w:hAnsi="Times New Roman" w:cs="Times New Roman"/>
          <w:sz w:val="16"/>
          <w:szCs w:val="16"/>
          <w:lang w:val="en-IE"/>
        </w:rPr>
        <w:t xml:space="preserve"> Lithuania, Slovenia, Poland</w:t>
      </w:r>
    </w:p>
  </w:footnote>
  <w:footnote w:id="21">
    <w:p w14:paraId="4602805C" w14:textId="5087E0DC" w:rsidR="00662B1F" w:rsidRPr="00B25AC3" w:rsidRDefault="00662B1F" w:rsidP="009D220F">
      <w:pPr>
        <w:pStyle w:val="FootnoteText"/>
        <w:rPr>
          <w:rFonts w:ascii="Times New Roman" w:hAnsi="Times New Roman" w:cs="Times New Roman"/>
          <w:sz w:val="16"/>
          <w:szCs w:val="16"/>
          <w:lang w:val="en-IE"/>
        </w:rPr>
      </w:pPr>
      <w:r w:rsidRPr="00B25AC3">
        <w:rPr>
          <w:rStyle w:val="FootnoteReference"/>
          <w:rFonts w:ascii="Times New Roman" w:hAnsi="Times New Roman" w:cs="Times New Roman"/>
          <w:sz w:val="16"/>
          <w:szCs w:val="16"/>
        </w:rPr>
        <w:footnoteRef/>
      </w:r>
      <w:r w:rsidRPr="00B25AC3">
        <w:rPr>
          <w:rFonts w:ascii="Times New Roman" w:hAnsi="Times New Roman" w:cs="Times New Roman"/>
          <w:sz w:val="16"/>
          <w:szCs w:val="16"/>
          <w:lang w:val="en-IE"/>
        </w:rPr>
        <w:t xml:space="preserve"> Consumers and traders receive a different survey link, with slightly different questions.</w:t>
      </w:r>
    </w:p>
  </w:footnote>
  <w:footnote w:id="22">
    <w:p w14:paraId="7A6DE956" w14:textId="77F3B216" w:rsidR="00662B1F" w:rsidRPr="00B25AC3" w:rsidRDefault="00662B1F" w:rsidP="009D220F">
      <w:pPr>
        <w:pStyle w:val="FootnoteText"/>
        <w:rPr>
          <w:rFonts w:ascii="Times New Roman" w:hAnsi="Times New Roman" w:cs="Times New Roman"/>
          <w:sz w:val="16"/>
          <w:szCs w:val="16"/>
          <w:lang w:val="en-IE"/>
        </w:rPr>
      </w:pPr>
      <w:r w:rsidRPr="00B25AC3">
        <w:rPr>
          <w:rStyle w:val="FootnoteReference"/>
          <w:rFonts w:ascii="Times New Roman" w:hAnsi="Times New Roman" w:cs="Times New Roman"/>
          <w:sz w:val="16"/>
          <w:szCs w:val="16"/>
        </w:rPr>
        <w:footnoteRef/>
      </w:r>
      <w:r w:rsidRPr="00B25AC3">
        <w:rPr>
          <w:rFonts w:ascii="Times New Roman" w:hAnsi="Times New Roman" w:cs="Times New Roman"/>
          <w:sz w:val="16"/>
          <w:szCs w:val="16"/>
          <w:vertAlign w:val="superscript"/>
          <w:lang w:val="en-IE"/>
        </w:rPr>
        <w:t xml:space="preserve"> </w:t>
      </w:r>
      <w:r w:rsidR="00083F61" w:rsidRPr="00B25AC3">
        <w:rPr>
          <w:rFonts w:ascii="Times New Roman" w:hAnsi="Times New Roman" w:cs="Times New Roman"/>
          <w:sz w:val="16"/>
          <w:szCs w:val="16"/>
          <w:lang w:val="en-IE"/>
        </w:rPr>
        <w:t xml:space="preserve">When asked if the site was easy to use, 36% consumers answered very easy or easy, while further 34% found the site neither easy nor difficult. 51% consumers found the complaint form very easy or easy to use, while further 30% considered it neither easy nor difficult.  </w:t>
      </w:r>
    </w:p>
  </w:footnote>
  <w:footnote w:id="23">
    <w:p w14:paraId="0172A267" w14:textId="3A41925D" w:rsidR="00FD53C6" w:rsidRPr="00B25AC3" w:rsidRDefault="00FD53C6">
      <w:pPr>
        <w:pStyle w:val="FootnoteText"/>
        <w:rPr>
          <w:rFonts w:ascii="Times New Roman" w:hAnsi="Times New Roman" w:cs="Times New Roman"/>
          <w:sz w:val="16"/>
          <w:szCs w:val="16"/>
          <w:lang w:val="en-IE"/>
        </w:rPr>
      </w:pPr>
      <w:r w:rsidRPr="00B25AC3">
        <w:rPr>
          <w:rStyle w:val="FootnoteReference"/>
          <w:rFonts w:ascii="Times New Roman" w:hAnsi="Times New Roman" w:cs="Times New Roman"/>
          <w:sz w:val="16"/>
          <w:szCs w:val="16"/>
        </w:rPr>
        <w:footnoteRef/>
      </w:r>
      <w:r w:rsidRPr="00B25AC3">
        <w:rPr>
          <w:rFonts w:ascii="Times New Roman" w:hAnsi="Times New Roman" w:cs="Times New Roman"/>
          <w:sz w:val="16"/>
          <w:szCs w:val="16"/>
          <w:lang w:val="en-IE"/>
        </w:rPr>
        <w:t xml:space="preserve"> For detailed information, please see Annex </w:t>
      </w:r>
      <w:r w:rsidR="00693E82">
        <w:rPr>
          <w:rFonts w:ascii="Times New Roman" w:hAnsi="Times New Roman" w:cs="Times New Roman"/>
          <w:sz w:val="16"/>
          <w:szCs w:val="16"/>
          <w:lang w:val="en-IE"/>
        </w:rPr>
        <w:t>6</w:t>
      </w:r>
      <w:r w:rsidRPr="00B25AC3">
        <w:rPr>
          <w:rFonts w:ascii="Times New Roman" w:hAnsi="Times New Roman" w:cs="Times New Roman"/>
          <w:sz w:val="16"/>
          <w:szCs w:val="16"/>
          <w:lang w:val="en-IE"/>
        </w:rPr>
        <w:t xml:space="preserve"> to the Impact Assessment</w:t>
      </w:r>
      <w:r w:rsidR="00F31795" w:rsidRPr="00B25AC3">
        <w:rPr>
          <w:rFonts w:ascii="Times New Roman" w:hAnsi="Times New Roman" w:cs="Times New Roman"/>
          <w:sz w:val="16"/>
          <w:szCs w:val="16"/>
          <w:lang w:val="en-IE"/>
        </w:rPr>
        <w:t>.</w:t>
      </w:r>
    </w:p>
  </w:footnote>
  <w:footnote w:id="24">
    <w:p w14:paraId="4EBED6E6" w14:textId="3000D3F7" w:rsidR="00F3056D" w:rsidRPr="00B25AC3" w:rsidRDefault="00F3056D">
      <w:pPr>
        <w:pStyle w:val="FootnoteText"/>
        <w:rPr>
          <w:rFonts w:ascii="Times New Roman" w:hAnsi="Times New Roman" w:cs="Times New Roman"/>
          <w:sz w:val="16"/>
          <w:szCs w:val="16"/>
          <w:lang w:val="en-IE"/>
        </w:rPr>
      </w:pPr>
      <w:r w:rsidRPr="00B25AC3">
        <w:rPr>
          <w:rStyle w:val="FootnoteReference"/>
          <w:rFonts w:ascii="Times New Roman" w:hAnsi="Times New Roman" w:cs="Times New Roman"/>
          <w:sz w:val="16"/>
          <w:szCs w:val="16"/>
        </w:rPr>
        <w:footnoteRef/>
      </w:r>
      <w:r w:rsidRPr="00B25AC3">
        <w:rPr>
          <w:rFonts w:ascii="Times New Roman" w:hAnsi="Times New Roman" w:cs="Times New Roman"/>
          <w:sz w:val="16"/>
          <w:szCs w:val="16"/>
          <w:lang w:val="en-IE"/>
        </w:rPr>
        <w:t xml:space="preserve"> </w:t>
      </w:r>
      <w:r w:rsidR="00513717" w:rsidRPr="00B25AC3">
        <w:rPr>
          <w:rFonts w:ascii="Times New Roman" w:hAnsi="Times New Roman" w:cs="Times New Roman"/>
          <w:sz w:val="16"/>
          <w:szCs w:val="16"/>
          <w:lang w:val="en-IE"/>
        </w:rPr>
        <w:t xml:space="preserve">See Section </w:t>
      </w:r>
      <w:r w:rsidR="001375D1" w:rsidRPr="00B25AC3">
        <w:rPr>
          <w:rFonts w:ascii="Times New Roman" w:hAnsi="Times New Roman" w:cs="Times New Roman"/>
          <w:sz w:val="16"/>
          <w:szCs w:val="16"/>
          <w:lang w:val="en-IE"/>
        </w:rPr>
        <w:t>5.3 of the Impact Assessment</w:t>
      </w:r>
      <w:r w:rsidR="00F31795" w:rsidRPr="00B25AC3">
        <w:rPr>
          <w:rFonts w:ascii="Times New Roman" w:hAnsi="Times New Roman" w:cs="Times New Roman"/>
          <w:sz w:val="16"/>
          <w:szCs w:val="16"/>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1AB2D" w14:textId="77777777" w:rsidR="00D25F0F" w:rsidRPr="00D25F0F" w:rsidRDefault="00D25F0F" w:rsidP="00D25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3623B" w14:textId="77777777" w:rsidR="00D25F0F" w:rsidRPr="00D25F0F" w:rsidRDefault="00D25F0F" w:rsidP="00D25F0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35D6C" w14:textId="77777777" w:rsidR="00D25F0F" w:rsidRPr="00D25F0F" w:rsidRDefault="00D25F0F" w:rsidP="00D25F0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65585" w14:textId="77777777" w:rsidR="00332C16" w:rsidRDefault="00332C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B8E2D" w14:textId="77777777" w:rsidR="00332C16" w:rsidRDefault="00332C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4A1E1" w14:textId="77777777" w:rsidR="00332C16" w:rsidRDefault="00332C16">
    <w:pPr>
      <w:pStyle w:val="Header"/>
    </w:pPr>
  </w:p>
</w:hdr>
</file>

<file path=word/intelligence2.xml><?xml version="1.0" encoding="utf-8"?>
<int2:intelligence xmlns:int2="http://schemas.microsoft.com/office/intelligence/2020/intelligence" xmlns:oel="http://schemas.microsoft.com/office/2019/extlst">
  <int2:observations>
    <int2:textHash int2:hashCode="yxtx4GihBl3h7y" int2:id="4MkxFU3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E6EDAAA"/>
    <w:lvl w:ilvl="0">
      <w:start w:val="1"/>
      <w:numFmt w:val="bullet"/>
      <w:pStyle w:val="ListBullet2"/>
      <w:lvlText w:val="-"/>
      <w:lvlJc w:val="left"/>
      <w:pPr>
        <w:ind w:left="1701" w:hanging="360"/>
      </w:pPr>
      <w:rPr>
        <w:rFonts w:ascii="Courier New" w:hAnsi="Courier New" w:hint="default"/>
        <w:color w:val="16622E"/>
      </w:rPr>
    </w:lvl>
  </w:abstractNum>
  <w:abstractNum w:abstractNumId="1" w15:restartNumberingAfterBreak="0">
    <w:nsid w:val="FFFFFF88"/>
    <w:multiLevelType w:val="singleLevel"/>
    <w:tmpl w:val="543865C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203056C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5A2A5E"/>
    <w:multiLevelType w:val="multilevel"/>
    <w:tmpl w:val="CC267C86"/>
    <w:lvl w:ilvl="0">
      <w:start w:val="3"/>
      <w:numFmt w:val="decimal"/>
      <w:lvlText w:val="%1."/>
      <w:lvlJc w:val="left"/>
      <w:pPr>
        <w:ind w:left="720" w:hanging="360"/>
      </w:pPr>
      <w:rPr>
        <w:rFonts w:hint="default"/>
      </w:r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BB437A6"/>
    <w:multiLevelType w:val="hybridMultilevel"/>
    <w:tmpl w:val="1CCABD4A"/>
    <w:lvl w:ilvl="0" w:tplc="0C42ADCC">
      <w:start w:val="1"/>
      <w:numFmt w:val="decimal"/>
      <w:lvlText w:val="(%1)"/>
      <w:lvlJc w:val="left"/>
      <w:pPr>
        <w:ind w:left="768" w:hanging="408"/>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3AD0295"/>
    <w:multiLevelType w:val="hybridMultilevel"/>
    <w:tmpl w:val="5810ECD6"/>
    <w:lvl w:ilvl="0" w:tplc="03A8C7E6">
      <w:start w:val="2"/>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75E35F9"/>
    <w:multiLevelType w:val="multilevel"/>
    <w:tmpl w:val="A8F2C6BC"/>
    <w:lvl w:ilvl="0">
      <w:start w:val="2"/>
      <w:numFmt w:val="decimal"/>
      <w:lvlText w:val="%1."/>
      <w:lvlJc w:val="left"/>
      <w:pPr>
        <w:ind w:left="380" w:hanging="3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A264D0"/>
    <w:multiLevelType w:val="multilevel"/>
    <w:tmpl w:val="FB7EA5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4A0601"/>
    <w:multiLevelType w:val="hybridMultilevel"/>
    <w:tmpl w:val="267482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AD87C3E"/>
    <w:multiLevelType w:val="multilevel"/>
    <w:tmpl w:val="FB7EA5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ED3225"/>
    <w:multiLevelType w:val="hybridMultilevel"/>
    <w:tmpl w:val="AC2A5F14"/>
    <w:lvl w:ilvl="0" w:tplc="7028469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D8A72B4"/>
    <w:multiLevelType w:val="hybridMultilevel"/>
    <w:tmpl w:val="26308082"/>
    <w:lvl w:ilvl="0" w:tplc="9C026AA8">
      <w:start w:val="1"/>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E3875DE"/>
    <w:multiLevelType w:val="hybridMultilevel"/>
    <w:tmpl w:val="B6043E4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2A443264"/>
    <w:multiLevelType w:val="hybridMultilevel"/>
    <w:tmpl w:val="C464BEC0"/>
    <w:lvl w:ilvl="0" w:tplc="441A0E9A">
      <w:start w:val="4"/>
      <w:numFmt w:val="bullet"/>
      <w:lvlText w:val="•"/>
      <w:lvlJc w:val="left"/>
      <w:pPr>
        <w:ind w:left="1068" w:hanging="708"/>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BD018A7"/>
    <w:multiLevelType w:val="hybridMultilevel"/>
    <w:tmpl w:val="8536016C"/>
    <w:lvl w:ilvl="0" w:tplc="7E02AC82">
      <w:start w:val="1"/>
      <w:numFmt w:val="bullet"/>
      <w:lvlText w:val="-"/>
      <w:lvlJc w:val="left"/>
      <w:pPr>
        <w:ind w:left="720" w:hanging="360"/>
      </w:pPr>
      <w:rPr>
        <w:rFonts w:ascii="Times New Roman" w:eastAsiaTheme="minorHAnsi" w:hAnsi="Times New Roman" w:cs="Times New Roma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D5263E1"/>
    <w:multiLevelType w:val="hybridMultilevel"/>
    <w:tmpl w:val="E67EF2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DA2353D"/>
    <w:multiLevelType w:val="hybridMultilevel"/>
    <w:tmpl w:val="734A6DE0"/>
    <w:lvl w:ilvl="0" w:tplc="441A0E9A">
      <w:start w:val="4"/>
      <w:numFmt w:val="bullet"/>
      <w:lvlText w:val="•"/>
      <w:lvlJc w:val="left"/>
      <w:pPr>
        <w:ind w:left="1068" w:hanging="708"/>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FD458B9"/>
    <w:multiLevelType w:val="hybridMultilevel"/>
    <w:tmpl w:val="D02A59B2"/>
    <w:lvl w:ilvl="0" w:tplc="9C026AA8">
      <w:start w:val="1"/>
      <w:numFmt w:val="bullet"/>
      <w:lvlText w:val="-"/>
      <w:lvlJc w:val="left"/>
      <w:pPr>
        <w:ind w:left="1080" w:hanging="360"/>
      </w:pPr>
      <w:rPr>
        <w:rFonts w:ascii="Times New Roman" w:eastAsia="Calibr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445E2E4D"/>
    <w:multiLevelType w:val="hybridMultilevel"/>
    <w:tmpl w:val="A254164C"/>
    <w:lvl w:ilvl="0" w:tplc="D16E0F2C">
      <w:start w:val="1"/>
      <w:numFmt w:val="bullet"/>
      <w:lvlText w:val=""/>
      <w:lvlJc w:val="left"/>
      <w:pPr>
        <w:ind w:left="720" w:hanging="360"/>
      </w:pPr>
      <w:rPr>
        <w:rFonts w:ascii="Symbol" w:hAnsi="Symbol" w:hint="default"/>
      </w:rPr>
    </w:lvl>
    <w:lvl w:ilvl="1" w:tplc="590EF408">
      <w:start w:val="1"/>
      <w:numFmt w:val="bullet"/>
      <w:lvlText w:val="o"/>
      <w:lvlJc w:val="left"/>
      <w:pPr>
        <w:ind w:left="1440" w:hanging="360"/>
      </w:pPr>
      <w:rPr>
        <w:rFonts w:ascii="Courier New" w:hAnsi="Courier New" w:hint="default"/>
      </w:rPr>
    </w:lvl>
    <w:lvl w:ilvl="2" w:tplc="607A9CCA">
      <w:start w:val="1"/>
      <w:numFmt w:val="bullet"/>
      <w:lvlText w:val=""/>
      <w:lvlJc w:val="left"/>
      <w:pPr>
        <w:ind w:left="2160" w:hanging="360"/>
      </w:pPr>
      <w:rPr>
        <w:rFonts w:ascii="Wingdings" w:hAnsi="Wingdings" w:hint="default"/>
      </w:rPr>
    </w:lvl>
    <w:lvl w:ilvl="3" w:tplc="781AE79C">
      <w:start w:val="1"/>
      <w:numFmt w:val="bullet"/>
      <w:lvlText w:val=""/>
      <w:lvlJc w:val="left"/>
      <w:pPr>
        <w:ind w:left="2880" w:hanging="360"/>
      </w:pPr>
      <w:rPr>
        <w:rFonts w:ascii="Symbol" w:hAnsi="Symbol" w:hint="default"/>
      </w:rPr>
    </w:lvl>
    <w:lvl w:ilvl="4" w:tplc="D018B0C2">
      <w:start w:val="1"/>
      <w:numFmt w:val="bullet"/>
      <w:lvlText w:val="o"/>
      <w:lvlJc w:val="left"/>
      <w:pPr>
        <w:ind w:left="3600" w:hanging="360"/>
      </w:pPr>
      <w:rPr>
        <w:rFonts w:ascii="Courier New" w:hAnsi="Courier New" w:hint="default"/>
      </w:rPr>
    </w:lvl>
    <w:lvl w:ilvl="5" w:tplc="AED6B496">
      <w:start w:val="1"/>
      <w:numFmt w:val="bullet"/>
      <w:lvlText w:val=""/>
      <w:lvlJc w:val="left"/>
      <w:pPr>
        <w:ind w:left="4320" w:hanging="360"/>
      </w:pPr>
      <w:rPr>
        <w:rFonts w:ascii="Wingdings" w:hAnsi="Wingdings" w:hint="default"/>
      </w:rPr>
    </w:lvl>
    <w:lvl w:ilvl="6" w:tplc="908029B0">
      <w:start w:val="1"/>
      <w:numFmt w:val="bullet"/>
      <w:lvlText w:val=""/>
      <w:lvlJc w:val="left"/>
      <w:pPr>
        <w:ind w:left="5040" w:hanging="360"/>
      </w:pPr>
      <w:rPr>
        <w:rFonts w:ascii="Symbol" w:hAnsi="Symbol" w:hint="default"/>
      </w:rPr>
    </w:lvl>
    <w:lvl w:ilvl="7" w:tplc="CCFA514E">
      <w:start w:val="1"/>
      <w:numFmt w:val="bullet"/>
      <w:lvlText w:val="o"/>
      <w:lvlJc w:val="left"/>
      <w:pPr>
        <w:ind w:left="5760" w:hanging="360"/>
      </w:pPr>
      <w:rPr>
        <w:rFonts w:ascii="Courier New" w:hAnsi="Courier New" w:hint="default"/>
      </w:rPr>
    </w:lvl>
    <w:lvl w:ilvl="8" w:tplc="747EA8BA">
      <w:start w:val="1"/>
      <w:numFmt w:val="bullet"/>
      <w:lvlText w:val=""/>
      <w:lvlJc w:val="left"/>
      <w:pPr>
        <w:ind w:left="6480" w:hanging="360"/>
      </w:pPr>
      <w:rPr>
        <w:rFonts w:ascii="Wingdings" w:hAnsi="Wingdings" w:hint="default"/>
      </w:rPr>
    </w:lvl>
  </w:abstractNum>
  <w:abstractNum w:abstractNumId="19" w15:restartNumberingAfterBreak="0">
    <w:nsid w:val="508715A4"/>
    <w:multiLevelType w:val="hybridMultilevel"/>
    <w:tmpl w:val="11BEF886"/>
    <w:lvl w:ilvl="0" w:tplc="D5AE24D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2443A40"/>
    <w:multiLevelType w:val="multilevel"/>
    <w:tmpl w:val="59DA6236"/>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39F47C6"/>
    <w:multiLevelType w:val="hybridMultilevel"/>
    <w:tmpl w:val="905C8E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2A22BEE"/>
    <w:multiLevelType w:val="hybridMultilevel"/>
    <w:tmpl w:val="F5D0D1C2"/>
    <w:lvl w:ilvl="0" w:tplc="464E9198">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63953A8"/>
    <w:multiLevelType w:val="hybridMultilevel"/>
    <w:tmpl w:val="8C506310"/>
    <w:lvl w:ilvl="0" w:tplc="EC62154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E0D44C3"/>
    <w:multiLevelType w:val="hybridMultilevel"/>
    <w:tmpl w:val="5D16970A"/>
    <w:lvl w:ilvl="0" w:tplc="18090001">
      <w:start w:val="1"/>
      <w:numFmt w:val="bullet"/>
      <w:lvlText w:val=""/>
      <w:lvlJc w:val="left"/>
      <w:pPr>
        <w:ind w:left="1140" w:hanging="360"/>
      </w:pPr>
      <w:rPr>
        <w:rFonts w:ascii="Symbol" w:hAnsi="Symbol" w:hint="default"/>
      </w:rPr>
    </w:lvl>
    <w:lvl w:ilvl="1" w:tplc="18090003" w:tentative="1">
      <w:start w:val="1"/>
      <w:numFmt w:val="bullet"/>
      <w:lvlText w:val="o"/>
      <w:lvlJc w:val="left"/>
      <w:pPr>
        <w:ind w:left="1860" w:hanging="360"/>
      </w:pPr>
      <w:rPr>
        <w:rFonts w:ascii="Courier New" w:hAnsi="Courier New" w:cs="Courier New" w:hint="default"/>
      </w:rPr>
    </w:lvl>
    <w:lvl w:ilvl="2" w:tplc="18090005" w:tentative="1">
      <w:start w:val="1"/>
      <w:numFmt w:val="bullet"/>
      <w:lvlText w:val=""/>
      <w:lvlJc w:val="left"/>
      <w:pPr>
        <w:ind w:left="2580" w:hanging="360"/>
      </w:pPr>
      <w:rPr>
        <w:rFonts w:ascii="Wingdings" w:hAnsi="Wingdings" w:hint="default"/>
      </w:rPr>
    </w:lvl>
    <w:lvl w:ilvl="3" w:tplc="18090001" w:tentative="1">
      <w:start w:val="1"/>
      <w:numFmt w:val="bullet"/>
      <w:lvlText w:val=""/>
      <w:lvlJc w:val="left"/>
      <w:pPr>
        <w:ind w:left="3300" w:hanging="360"/>
      </w:pPr>
      <w:rPr>
        <w:rFonts w:ascii="Symbol" w:hAnsi="Symbol" w:hint="default"/>
      </w:rPr>
    </w:lvl>
    <w:lvl w:ilvl="4" w:tplc="18090003" w:tentative="1">
      <w:start w:val="1"/>
      <w:numFmt w:val="bullet"/>
      <w:lvlText w:val="o"/>
      <w:lvlJc w:val="left"/>
      <w:pPr>
        <w:ind w:left="4020" w:hanging="360"/>
      </w:pPr>
      <w:rPr>
        <w:rFonts w:ascii="Courier New" w:hAnsi="Courier New" w:cs="Courier New" w:hint="default"/>
      </w:rPr>
    </w:lvl>
    <w:lvl w:ilvl="5" w:tplc="18090005" w:tentative="1">
      <w:start w:val="1"/>
      <w:numFmt w:val="bullet"/>
      <w:lvlText w:val=""/>
      <w:lvlJc w:val="left"/>
      <w:pPr>
        <w:ind w:left="4740" w:hanging="360"/>
      </w:pPr>
      <w:rPr>
        <w:rFonts w:ascii="Wingdings" w:hAnsi="Wingdings" w:hint="default"/>
      </w:rPr>
    </w:lvl>
    <w:lvl w:ilvl="6" w:tplc="18090001" w:tentative="1">
      <w:start w:val="1"/>
      <w:numFmt w:val="bullet"/>
      <w:lvlText w:val=""/>
      <w:lvlJc w:val="left"/>
      <w:pPr>
        <w:ind w:left="5460" w:hanging="360"/>
      </w:pPr>
      <w:rPr>
        <w:rFonts w:ascii="Symbol" w:hAnsi="Symbol" w:hint="default"/>
      </w:rPr>
    </w:lvl>
    <w:lvl w:ilvl="7" w:tplc="18090003" w:tentative="1">
      <w:start w:val="1"/>
      <w:numFmt w:val="bullet"/>
      <w:lvlText w:val="o"/>
      <w:lvlJc w:val="left"/>
      <w:pPr>
        <w:ind w:left="6180" w:hanging="360"/>
      </w:pPr>
      <w:rPr>
        <w:rFonts w:ascii="Courier New" w:hAnsi="Courier New" w:cs="Courier New" w:hint="default"/>
      </w:rPr>
    </w:lvl>
    <w:lvl w:ilvl="8" w:tplc="18090005" w:tentative="1">
      <w:start w:val="1"/>
      <w:numFmt w:val="bullet"/>
      <w:lvlText w:val=""/>
      <w:lvlJc w:val="left"/>
      <w:pPr>
        <w:ind w:left="6900" w:hanging="360"/>
      </w:pPr>
      <w:rPr>
        <w:rFonts w:ascii="Wingdings" w:hAnsi="Wingdings" w:hint="default"/>
      </w:rPr>
    </w:lvl>
  </w:abstractNum>
  <w:abstractNum w:abstractNumId="25" w15:restartNumberingAfterBreak="0">
    <w:nsid w:val="71A77295"/>
    <w:multiLevelType w:val="hybridMultilevel"/>
    <w:tmpl w:val="11D6B7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5BD244B"/>
    <w:multiLevelType w:val="hybridMultilevel"/>
    <w:tmpl w:val="3224F4D0"/>
    <w:lvl w:ilvl="0" w:tplc="080C0001">
      <w:start w:val="1"/>
      <w:numFmt w:val="bullet"/>
      <w:lvlText w:val=""/>
      <w:lvlJc w:val="left"/>
      <w:pPr>
        <w:ind w:left="779" w:hanging="360"/>
      </w:pPr>
      <w:rPr>
        <w:rFonts w:ascii="Symbol" w:hAnsi="Symbol" w:hint="default"/>
      </w:rPr>
    </w:lvl>
    <w:lvl w:ilvl="1" w:tplc="080C0003" w:tentative="1">
      <w:start w:val="1"/>
      <w:numFmt w:val="bullet"/>
      <w:lvlText w:val="o"/>
      <w:lvlJc w:val="left"/>
      <w:pPr>
        <w:ind w:left="1499" w:hanging="360"/>
      </w:pPr>
      <w:rPr>
        <w:rFonts w:ascii="Courier New" w:hAnsi="Courier New" w:cs="Courier New" w:hint="default"/>
      </w:rPr>
    </w:lvl>
    <w:lvl w:ilvl="2" w:tplc="080C0005" w:tentative="1">
      <w:start w:val="1"/>
      <w:numFmt w:val="bullet"/>
      <w:lvlText w:val=""/>
      <w:lvlJc w:val="left"/>
      <w:pPr>
        <w:ind w:left="2219" w:hanging="360"/>
      </w:pPr>
      <w:rPr>
        <w:rFonts w:ascii="Wingdings" w:hAnsi="Wingdings" w:hint="default"/>
      </w:rPr>
    </w:lvl>
    <w:lvl w:ilvl="3" w:tplc="080C0001" w:tentative="1">
      <w:start w:val="1"/>
      <w:numFmt w:val="bullet"/>
      <w:lvlText w:val=""/>
      <w:lvlJc w:val="left"/>
      <w:pPr>
        <w:ind w:left="2939" w:hanging="360"/>
      </w:pPr>
      <w:rPr>
        <w:rFonts w:ascii="Symbol" w:hAnsi="Symbol" w:hint="default"/>
      </w:rPr>
    </w:lvl>
    <w:lvl w:ilvl="4" w:tplc="080C0003" w:tentative="1">
      <w:start w:val="1"/>
      <w:numFmt w:val="bullet"/>
      <w:lvlText w:val="o"/>
      <w:lvlJc w:val="left"/>
      <w:pPr>
        <w:ind w:left="3659" w:hanging="360"/>
      </w:pPr>
      <w:rPr>
        <w:rFonts w:ascii="Courier New" w:hAnsi="Courier New" w:cs="Courier New" w:hint="default"/>
      </w:rPr>
    </w:lvl>
    <w:lvl w:ilvl="5" w:tplc="080C0005" w:tentative="1">
      <w:start w:val="1"/>
      <w:numFmt w:val="bullet"/>
      <w:lvlText w:val=""/>
      <w:lvlJc w:val="left"/>
      <w:pPr>
        <w:ind w:left="4379" w:hanging="360"/>
      </w:pPr>
      <w:rPr>
        <w:rFonts w:ascii="Wingdings" w:hAnsi="Wingdings" w:hint="default"/>
      </w:rPr>
    </w:lvl>
    <w:lvl w:ilvl="6" w:tplc="080C0001" w:tentative="1">
      <w:start w:val="1"/>
      <w:numFmt w:val="bullet"/>
      <w:lvlText w:val=""/>
      <w:lvlJc w:val="left"/>
      <w:pPr>
        <w:ind w:left="5099" w:hanging="360"/>
      </w:pPr>
      <w:rPr>
        <w:rFonts w:ascii="Symbol" w:hAnsi="Symbol" w:hint="default"/>
      </w:rPr>
    </w:lvl>
    <w:lvl w:ilvl="7" w:tplc="080C0003" w:tentative="1">
      <w:start w:val="1"/>
      <w:numFmt w:val="bullet"/>
      <w:lvlText w:val="o"/>
      <w:lvlJc w:val="left"/>
      <w:pPr>
        <w:ind w:left="5819" w:hanging="360"/>
      </w:pPr>
      <w:rPr>
        <w:rFonts w:ascii="Courier New" w:hAnsi="Courier New" w:cs="Courier New" w:hint="default"/>
      </w:rPr>
    </w:lvl>
    <w:lvl w:ilvl="8" w:tplc="080C0005" w:tentative="1">
      <w:start w:val="1"/>
      <w:numFmt w:val="bullet"/>
      <w:lvlText w:val=""/>
      <w:lvlJc w:val="left"/>
      <w:pPr>
        <w:ind w:left="6539" w:hanging="360"/>
      </w:pPr>
      <w:rPr>
        <w:rFonts w:ascii="Wingdings" w:hAnsi="Wingdings" w:hint="default"/>
      </w:rPr>
    </w:lvl>
  </w:abstractNum>
  <w:abstractNum w:abstractNumId="27" w15:restartNumberingAfterBreak="0">
    <w:nsid w:val="7E5A14F1"/>
    <w:multiLevelType w:val="multilevel"/>
    <w:tmpl w:val="AAAC315C"/>
    <w:lvl w:ilvl="0">
      <w:start w:val="1"/>
      <w:numFmt w:val="decimal"/>
      <w:lvlText w:val="%1."/>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7"/>
  </w:num>
  <w:num w:numId="2">
    <w:abstractNumId w:val="0"/>
  </w:num>
  <w:num w:numId="3">
    <w:abstractNumId w:val="1"/>
    <w:lvlOverride w:ilvl="0">
      <w:startOverride w:val="1"/>
    </w:lvlOverride>
  </w:num>
  <w:num w:numId="4">
    <w:abstractNumId w:val="1"/>
  </w:num>
  <w:num w:numId="5">
    <w:abstractNumId w:val="14"/>
  </w:num>
  <w:num w:numId="6">
    <w:abstractNumId w:val="12"/>
  </w:num>
  <w:num w:numId="7">
    <w:abstractNumId w:val="2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6"/>
  </w:num>
  <w:num w:numId="11">
    <w:abstractNumId w:val="5"/>
  </w:num>
  <w:num w:numId="12">
    <w:abstractNumId w:val="9"/>
  </w:num>
  <w:num w:numId="13">
    <w:abstractNumId w:val="6"/>
  </w:num>
  <w:num w:numId="14">
    <w:abstractNumId w:val="3"/>
  </w:num>
  <w:num w:numId="15">
    <w:abstractNumId w:val="18"/>
  </w:num>
  <w:num w:numId="16">
    <w:abstractNumId w:val="21"/>
  </w:num>
  <w:num w:numId="17">
    <w:abstractNumId w:val="8"/>
  </w:num>
  <w:num w:numId="18">
    <w:abstractNumId w:val="19"/>
  </w:num>
  <w:num w:numId="19">
    <w:abstractNumId w:val="24"/>
  </w:num>
  <w:num w:numId="20">
    <w:abstractNumId w:val="11"/>
  </w:num>
  <w:num w:numId="21">
    <w:abstractNumId w:val="17"/>
  </w:num>
  <w:num w:numId="22">
    <w:abstractNumId w:val="4"/>
  </w:num>
  <w:num w:numId="23">
    <w:abstractNumId w:val="25"/>
  </w:num>
  <w:num w:numId="24">
    <w:abstractNumId w:val="16"/>
  </w:num>
  <w:num w:numId="25">
    <w:abstractNumId w:val="13"/>
  </w:num>
  <w:num w:numId="26">
    <w:abstractNumId w:val="15"/>
  </w:num>
  <w:num w:numId="27">
    <w:abstractNumId w:val="27"/>
  </w:num>
  <w:num w:numId="28">
    <w:abstractNumId w:val="22"/>
  </w:num>
  <w:num w:numId="29">
    <w:abstractNumId w:val="1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revisionView w:markup="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1C07AA06-E47E-4882-9734-B0C8A8EDCE8E"/>
    <w:docVar w:name="LW_COVERPAGE_TYPE" w:val="1"/>
    <w:docVar w:name="LW_CROSSREFERENCE" w:val="&lt;UNUSED&gt;"/>
    <w:docVar w:name="LW_DocType" w:val="NORMAL"/>
    <w:docVar w:name="LW_EMISSION" w:val="17.10.2023"/>
    <w:docVar w:name="LW_EMISSION_ISODATE" w:val="2023-10-17"/>
    <w:docVar w:name="LW_EMISSION_LOCATION" w:val="BRX"/>
    <w:docVar w:name="LW_EMISSION_PREFIX" w:val="Brussels, "/>
    <w:docVar w:name="LW_EMISSION_SUFFIX" w:val=" "/>
    <w:docVar w:name="LW_ID_DOCTYPE_NONLW" w:val="CP-007"/>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3) 64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on the application of Directive 2013/11/EU of the European Parliament and of the Council on alternative dispute resolution for consumer disputes and Regulation (EU) No 524/2013 of the European Parliament and of the Council on online dispute resolution for consumer disputes&lt;/FMT&gt;"/>
    <w:docVar w:name="LW_TYPE.DOC.CP" w:val="REPORT FROM THE COMMISSION TO THE EUROPEAN PARLIAMENT, THE COUNCIL AND THE EUROPEAN ECONOMIC AND SOCIAL COMMITTEE"/>
    <w:docVar w:name="LwApiVersions" w:val="LW4CoDe 1.23.2.0; LW 8.0, Build 20211117"/>
  </w:docVars>
  <w:rsids>
    <w:rsidRoot w:val="004D10F7"/>
    <w:rsid w:val="000052EC"/>
    <w:rsid w:val="000059D9"/>
    <w:rsid w:val="00010B7F"/>
    <w:rsid w:val="0001226B"/>
    <w:rsid w:val="00021387"/>
    <w:rsid w:val="0002145B"/>
    <w:rsid w:val="00024A1B"/>
    <w:rsid w:val="00025945"/>
    <w:rsid w:val="00030082"/>
    <w:rsid w:val="00031C08"/>
    <w:rsid w:val="00032BAD"/>
    <w:rsid w:val="0003476D"/>
    <w:rsid w:val="000352D4"/>
    <w:rsid w:val="00036D58"/>
    <w:rsid w:val="00040AB6"/>
    <w:rsid w:val="0004174B"/>
    <w:rsid w:val="00041D34"/>
    <w:rsid w:val="00042C4F"/>
    <w:rsid w:val="000547D1"/>
    <w:rsid w:val="00054A75"/>
    <w:rsid w:val="00055949"/>
    <w:rsid w:val="00056247"/>
    <w:rsid w:val="000578B7"/>
    <w:rsid w:val="0006196E"/>
    <w:rsid w:val="00065285"/>
    <w:rsid w:val="000672FA"/>
    <w:rsid w:val="00071618"/>
    <w:rsid w:val="0007195A"/>
    <w:rsid w:val="00073488"/>
    <w:rsid w:val="00073E3E"/>
    <w:rsid w:val="0008295A"/>
    <w:rsid w:val="00083F61"/>
    <w:rsid w:val="000850BE"/>
    <w:rsid w:val="000859CC"/>
    <w:rsid w:val="00085EB4"/>
    <w:rsid w:val="000913B6"/>
    <w:rsid w:val="0009144B"/>
    <w:rsid w:val="00091F1B"/>
    <w:rsid w:val="0009740D"/>
    <w:rsid w:val="000A0608"/>
    <w:rsid w:val="000A1ADB"/>
    <w:rsid w:val="000A4145"/>
    <w:rsid w:val="000A6743"/>
    <w:rsid w:val="000B2BCC"/>
    <w:rsid w:val="000B31D4"/>
    <w:rsid w:val="000B4828"/>
    <w:rsid w:val="000B57D0"/>
    <w:rsid w:val="000B675F"/>
    <w:rsid w:val="000B6AF9"/>
    <w:rsid w:val="000B6DCA"/>
    <w:rsid w:val="000B72DE"/>
    <w:rsid w:val="000C7314"/>
    <w:rsid w:val="000D751D"/>
    <w:rsid w:val="000E339F"/>
    <w:rsid w:val="000E3A4E"/>
    <w:rsid w:val="000E3C30"/>
    <w:rsid w:val="000E5634"/>
    <w:rsid w:val="000E7015"/>
    <w:rsid w:val="000E7048"/>
    <w:rsid w:val="000F1EC9"/>
    <w:rsid w:val="000F7092"/>
    <w:rsid w:val="001129AB"/>
    <w:rsid w:val="0011746E"/>
    <w:rsid w:val="001201EA"/>
    <w:rsid w:val="001207B0"/>
    <w:rsid w:val="0012697E"/>
    <w:rsid w:val="00126D1A"/>
    <w:rsid w:val="00132A95"/>
    <w:rsid w:val="001353B6"/>
    <w:rsid w:val="001375D1"/>
    <w:rsid w:val="001427AC"/>
    <w:rsid w:val="00146BB8"/>
    <w:rsid w:val="00146BEA"/>
    <w:rsid w:val="0015372B"/>
    <w:rsid w:val="001549DD"/>
    <w:rsid w:val="00162332"/>
    <w:rsid w:val="00162842"/>
    <w:rsid w:val="001635BE"/>
    <w:rsid w:val="00167331"/>
    <w:rsid w:val="00170839"/>
    <w:rsid w:val="00170995"/>
    <w:rsid w:val="0017431C"/>
    <w:rsid w:val="00177A9F"/>
    <w:rsid w:val="0018204C"/>
    <w:rsid w:val="00185F8C"/>
    <w:rsid w:val="00187A80"/>
    <w:rsid w:val="00192FD1"/>
    <w:rsid w:val="001A318F"/>
    <w:rsid w:val="001A5C0E"/>
    <w:rsid w:val="001A77D6"/>
    <w:rsid w:val="001B0445"/>
    <w:rsid w:val="001B24BE"/>
    <w:rsid w:val="001B2FB6"/>
    <w:rsid w:val="001B39F5"/>
    <w:rsid w:val="001C2FB7"/>
    <w:rsid w:val="001C483B"/>
    <w:rsid w:val="001C4FB9"/>
    <w:rsid w:val="001D034B"/>
    <w:rsid w:val="001D0A2F"/>
    <w:rsid w:val="001D0E19"/>
    <w:rsid w:val="001D31F0"/>
    <w:rsid w:val="001D3C2A"/>
    <w:rsid w:val="001D3EE8"/>
    <w:rsid w:val="001D4C39"/>
    <w:rsid w:val="001E459F"/>
    <w:rsid w:val="001E65DA"/>
    <w:rsid w:val="001E72BB"/>
    <w:rsid w:val="001E7731"/>
    <w:rsid w:val="001E7AD8"/>
    <w:rsid w:val="001F0858"/>
    <w:rsid w:val="001F3F31"/>
    <w:rsid w:val="001F66D3"/>
    <w:rsid w:val="001F6D2A"/>
    <w:rsid w:val="001F6EFD"/>
    <w:rsid w:val="001F6FC0"/>
    <w:rsid w:val="0020098C"/>
    <w:rsid w:val="00200BE9"/>
    <w:rsid w:val="002027E6"/>
    <w:rsid w:val="002035C2"/>
    <w:rsid w:val="00206F2A"/>
    <w:rsid w:val="00210387"/>
    <w:rsid w:val="0021738E"/>
    <w:rsid w:val="00217E1B"/>
    <w:rsid w:val="00220603"/>
    <w:rsid w:val="002219C5"/>
    <w:rsid w:val="00221E74"/>
    <w:rsid w:val="00224611"/>
    <w:rsid w:val="00224ED4"/>
    <w:rsid w:val="002274CC"/>
    <w:rsid w:val="002303B3"/>
    <w:rsid w:val="00231E40"/>
    <w:rsid w:val="00232964"/>
    <w:rsid w:val="00236123"/>
    <w:rsid w:val="00237EE9"/>
    <w:rsid w:val="00244447"/>
    <w:rsid w:val="00247119"/>
    <w:rsid w:val="00247BBD"/>
    <w:rsid w:val="00247CA6"/>
    <w:rsid w:val="00260EE8"/>
    <w:rsid w:val="00261360"/>
    <w:rsid w:val="00263E23"/>
    <w:rsid w:val="002713BC"/>
    <w:rsid w:val="00272983"/>
    <w:rsid w:val="00273C28"/>
    <w:rsid w:val="00276FFC"/>
    <w:rsid w:val="00281CA4"/>
    <w:rsid w:val="0028539F"/>
    <w:rsid w:val="00290B97"/>
    <w:rsid w:val="00291DEA"/>
    <w:rsid w:val="00297E0E"/>
    <w:rsid w:val="002A152B"/>
    <w:rsid w:val="002A26C3"/>
    <w:rsid w:val="002A2A62"/>
    <w:rsid w:val="002A6693"/>
    <w:rsid w:val="002B4CFC"/>
    <w:rsid w:val="002B735D"/>
    <w:rsid w:val="002C0D2A"/>
    <w:rsid w:val="002C10B5"/>
    <w:rsid w:val="002C227E"/>
    <w:rsid w:val="002C26AA"/>
    <w:rsid w:val="002C49B0"/>
    <w:rsid w:val="002C6D24"/>
    <w:rsid w:val="002D072A"/>
    <w:rsid w:val="002D124D"/>
    <w:rsid w:val="002D27DE"/>
    <w:rsid w:val="002D3372"/>
    <w:rsid w:val="002D43AD"/>
    <w:rsid w:val="002D5A61"/>
    <w:rsid w:val="002F3D91"/>
    <w:rsid w:val="002F4A3C"/>
    <w:rsid w:val="002F7390"/>
    <w:rsid w:val="00303ED6"/>
    <w:rsid w:val="00305122"/>
    <w:rsid w:val="0030605E"/>
    <w:rsid w:val="0031040B"/>
    <w:rsid w:val="003111EA"/>
    <w:rsid w:val="003173F2"/>
    <w:rsid w:val="003175D8"/>
    <w:rsid w:val="00317E66"/>
    <w:rsid w:val="00322266"/>
    <w:rsid w:val="00325631"/>
    <w:rsid w:val="0033018E"/>
    <w:rsid w:val="00332C16"/>
    <w:rsid w:val="0033556B"/>
    <w:rsid w:val="00335B53"/>
    <w:rsid w:val="00337D89"/>
    <w:rsid w:val="00357101"/>
    <w:rsid w:val="00362897"/>
    <w:rsid w:val="00363430"/>
    <w:rsid w:val="003649FD"/>
    <w:rsid w:val="00366506"/>
    <w:rsid w:val="0036690C"/>
    <w:rsid w:val="00372C4A"/>
    <w:rsid w:val="003736A8"/>
    <w:rsid w:val="00377C9E"/>
    <w:rsid w:val="00381263"/>
    <w:rsid w:val="00381FBB"/>
    <w:rsid w:val="003847A6"/>
    <w:rsid w:val="003864C7"/>
    <w:rsid w:val="00387B60"/>
    <w:rsid w:val="0039030A"/>
    <w:rsid w:val="0039078B"/>
    <w:rsid w:val="00391EE4"/>
    <w:rsid w:val="003A2302"/>
    <w:rsid w:val="003A6112"/>
    <w:rsid w:val="003A7C0C"/>
    <w:rsid w:val="003B03DC"/>
    <w:rsid w:val="003C26A5"/>
    <w:rsid w:val="003C2C7D"/>
    <w:rsid w:val="003C67AF"/>
    <w:rsid w:val="003C70EA"/>
    <w:rsid w:val="003D164C"/>
    <w:rsid w:val="003D20FE"/>
    <w:rsid w:val="003D3D84"/>
    <w:rsid w:val="003D46F0"/>
    <w:rsid w:val="003D4B31"/>
    <w:rsid w:val="003E0996"/>
    <w:rsid w:val="003E2FFF"/>
    <w:rsid w:val="003E3D1F"/>
    <w:rsid w:val="003E59C5"/>
    <w:rsid w:val="003E62AE"/>
    <w:rsid w:val="003E7FDB"/>
    <w:rsid w:val="003F7B81"/>
    <w:rsid w:val="00402BC1"/>
    <w:rsid w:val="00404AC1"/>
    <w:rsid w:val="0041012C"/>
    <w:rsid w:val="0041267C"/>
    <w:rsid w:val="004149DB"/>
    <w:rsid w:val="00414A57"/>
    <w:rsid w:val="0041575C"/>
    <w:rsid w:val="00420049"/>
    <w:rsid w:val="00421670"/>
    <w:rsid w:val="00426D9F"/>
    <w:rsid w:val="00427008"/>
    <w:rsid w:val="00432CF9"/>
    <w:rsid w:val="00435927"/>
    <w:rsid w:val="00444E18"/>
    <w:rsid w:val="0044514B"/>
    <w:rsid w:val="00451235"/>
    <w:rsid w:val="00454654"/>
    <w:rsid w:val="004546FA"/>
    <w:rsid w:val="004554C0"/>
    <w:rsid w:val="00456193"/>
    <w:rsid w:val="004568B8"/>
    <w:rsid w:val="00456F37"/>
    <w:rsid w:val="00457058"/>
    <w:rsid w:val="00462550"/>
    <w:rsid w:val="004625B4"/>
    <w:rsid w:val="004712CB"/>
    <w:rsid w:val="004756E2"/>
    <w:rsid w:val="004756F2"/>
    <w:rsid w:val="00482100"/>
    <w:rsid w:val="004861F3"/>
    <w:rsid w:val="00487985"/>
    <w:rsid w:val="0049270D"/>
    <w:rsid w:val="00493279"/>
    <w:rsid w:val="004A0FE6"/>
    <w:rsid w:val="004A2E96"/>
    <w:rsid w:val="004A31A3"/>
    <w:rsid w:val="004A48E3"/>
    <w:rsid w:val="004B0F98"/>
    <w:rsid w:val="004C00FF"/>
    <w:rsid w:val="004C244B"/>
    <w:rsid w:val="004C24D7"/>
    <w:rsid w:val="004C4278"/>
    <w:rsid w:val="004C5524"/>
    <w:rsid w:val="004C5748"/>
    <w:rsid w:val="004C6060"/>
    <w:rsid w:val="004D0376"/>
    <w:rsid w:val="004D10F7"/>
    <w:rsid w:val="004D4727"/>
    <w:rsid w:val="004D5893"/>
    <w:rsid w:val="004D5C6E"/>
    <w:rsid w:val="004D7BDE"/>
    <w:rsid w:val="004E25F0"/>
    <w:rsid w:val="004E3C33"/>
    <w:rsid w:val="004E4BBD"/>
    <w:rsid w:val="004E7336"/>
    <w:rsid w:val="004F1D42"/>
    <w:rsid w:val="004F22BD"/>
    <w:rsid w:val="004F36E9"/>
    <w:rsid w:val="004F3809"/>
    <w:rsid w:val="004F4A6B"/>
    <w:rsid w:val="004F5C74"/>
    <w:rsid w:val="004F6883"/>
    <w:rsid w:val="004F7193"/>
    <w:rsid w:val="0050220B"/>
    <w:rsid w:val="00503406"/>
    <w:rsid w:val="005075EA"/>
    <w:rsid w:val="00512ABE"/>
    <w:rsid w:val="00513717"/>
    <w:rsid w:val="00516443"/>
    <w:rsid w:val="00520A41"/>
    <w:rsid w:val="005245AE"/>
    <w:rsid w:val="00526347"/>
    <w:rsid w:val="00530839"/>
    <w:rsid w:val="005314EA"/>
    <w:rsid w:val="00541317"/>
    <w:rsid w:val="00542301"/>
    <w:rsid w:val="005427AD"/>
    <w:rsid w:val="00542EBA"/>
    <w:rsid w:val="00546266"/>
    <w:rsid w:val="0055159E"/>
    <w:rsid w:val="005547D9"/>
    <w:rsid w:val="005552F8"/>
    <w:rsid w:val="005567B0"/>
    <w:rsid w:val="005569EA"/>
    <w:rsid w:val="00556E0B"/>
    <w:rsid w:val="005614B0"/>
    <w:rsid w:val="0056183C"/>
    <w:rsid w:val="00562D44"/>
    <w:rsid w:val="005661AE"/>
    <w:rsid w:val="005663BD"/>
    <w:rsid w:val="00566910"/>
    <w:rsid w:val="0057069D"/>
    <w:rsid w:val="00571C52"/>
    <w:rsid w:val="005744C5"/>
    <w:rsid w:val="00574CE3"/>
    <w:rsid w:val="0057529B"/>
    <w:rsid w:val="00577E02"/>
    <w:rsid w:val="00591D07"/>
    <w:rsid w:val="00593932"/>
    <w:rsid w:val="00593A68"/>
    <w:rsid w:val="005A2E47"/>
    <w:rsid w:val="005B09FC"/>
    <w:rsid w:val="005B2700"/>
    <w:rsid w:val="005B757B"/>
    <w:rsid w:val="005C216A"/>
    <w:rsid w:val="005C6B7B"/>
    <w:rsid w:val="005C7669"/>
    <w:rsid w:val="005C7D94"/>
    <w:rsid w:val="005D04EF"/>
    <w:rsid w:val="005D1809"/>
    <w:rsid w:val="005D1FD2"/>
    <w:rsid w:val="005D41FE"/>
    <w:rsid w:val="005D56F7"/>
    <w:rsid w:val="005D6B0D"/>
    <w:rsid w:val="005D6FCD"/>
    <w:rsid w:val="005E29EE"/>
    <w:rsid w:val="005E4C56"/>
    <w:rsid w:val="005E5FF0"/>
    <w:rsid w:val="005E77AD"/>
    <w:rsid w:val="005F0187"/>
    <w:rsid w:val="005F21E3"/>
    <w:rsid w:val="005F547E"/>
    <w:rsid w:val="006030D7"/>
    <w:rsid w:val="006057A6"/>
    <w:rsid w:val="00610681"/>
    <w:rsid w:val="00612B1E"/>
    <w:rsid w:val="00615FD3"/>
    <w:rsid w:val="006250E7"/>
    <w:rsid w:val="00631954"/>
    <w:rsid w:val="00640C8D"/>
    <w:rsid w:val="00640D97"/>
    <w:rsid w:val="00641027"/>
    <w:rsid w:val="00643906"/>
    <w:rsid w:val="00644625"/>
    <w:rsid w:val="006449B2"/>
    <w:rsid w:val="00650FA0"/>
    <w:rsid w:val="006524EB"/>
    <w:rsid w:val="00654B45"/>
    <w:rsid w:val="00656CF1"/>
    <w:rsid w:val="00657D2A"/>
    <w:rsid w:val="00660012"/>
    <w:rsid w:val="00660D0F"/>
    <w:rsid w:val="00662427"/>
    <w:rsid w:val="00662861"/>
    <w:rsid w:val="00662B1F"/>
    <w:rsid w:val="00662B50"/>
    <w:rsid w:val="00662D7D"/>
    <w:rsid w:val="00663675"/>
    <w:rsid w:val="006660E2"/>
    <w:rsid w:val="006717B9"/>
    <w:rsid w:val="006736E9"/>
    <w:rsid w:val="006753F8"/>
    <w:rsid w:val="006804F0"/>
    <w:rsid w:val="006855C3"/>
    <w:rsid w:val="00686383"/>
    <w:rsid w:val="00690234"/>
    <w:rsid w:val="006929D5"/>
    <w:rsid w:val="00693E82"/>
    <w:rsid w:val="00695EC3"/>
    <w:rsid w:val="00696A12"/>
    <w:rsid w:val="006A2C4F"/>
    <w:rsid w:val="006A3436"/>
    <w:rsid w:val="006A52A7"/>
    <w:rsid w:val="006B321E"/>
    <w:rsid w:val="006B40E7"/>
    <w:rsid w:val="006B59D3"/>
    <w:rsid w:val="006B5D43"/>
    <w:rsid w:val="006B7E2A"/>
    <w:rsid w:val="006B7EAF"/>
    <w:rsid w:val="006C37B2"/>
    <w:rsid w:val="006C39EA"/>
    <w:rsid w:val="006C5078"/>
    <w:rsid w:val="006C6326"/>
    <w:rsid w:val="006D5D68"/>
    <w:rsid w:val="006D76C3"/>
    <w:rsid w:val="006E0197"/>
    <w:rsid w:val="006E0D3C"/>
    <w:rsid w:val="006E36F5"/>
    <w:rsid w:val="006E44CF"/>
    <w:rsid w:val="006F7FAF"/>
    <w:rsid w:val="007055D9"/>
    <w:rsid w:val="00710EE0"/>
    <w:rsid w:val="00712684"/>
    <w:rsid w:val="00713518"/>
    <w:rsid w:val="00713BBC"/>
    <w:rsid w:val="00713DAB"/>
    <w:rsid w:val="0071418A"/>
    <w:rsid w:val="00715A29"/>
    <w:rsid w:val="00722742"/>
    <w:rsid w:val="0072381D"/>
    <w:rsid w:val="0073160E"/>
    <w:rsid w:val="007335D3"/>
    <w:rsid w:val="00737974"/>
    <w:rsid w:val="007379BC"/>
    <w:rsid w:val="00740822"/>
    <w:rsid w:val="007500DA"/>
    <w:rsid w:val="007515CE"/>
    <w:rsid w:val="00752926"/>
    <w:rsid w:val="00753878"/>
    <w:rsid w:val="007569C2"/>
    <w:rsid w:val="00760CB8"/>
    <w:rsid w:val="007612A7"/>
    <w:rsid w:val="00762139"/>
    <w:rsid w:val="00764587"/>
    <w:rsid w:val="00774DB9"/>
    <w:rsid w:val="00775302"/>
    <w:rsid w:val="00776504"/>
    <w:rsid w:val="00780C1C"/>
    <w:rsid w:val="007832F5"/>
    <w:rsid w:val="00792A49"/>
    <w:rsid w:val="007931EB"/>
    <w:rsid w:val="00794BBA"/>
    <w:rsid w:val="007A2222"/>
    <w:rsid w:val="007A2C16"/>
    <w:rsid w:val="007A3540"/>
    <w:rsid w:val="007A463F"/>
    <w:rsid w:val="007A62EF"/>
    <w:rsid w:val="007B3394"/>
    <w:rsid w:val="007B53BE"/>
    <w:rsid w:val="007C13DF"/>
    <w:rsid w:val="007C1F85"/>
    <w:rsid w:val="007C58E1"/>
    <w:rsid w:val="007C67E5"/>
    <w:rsid w:val="007C7165"/>
    <w:rsid w:val="007D1A94"/>
    <w:rsid w:val="007D68C4"/>
    <w:rsid w:val="007D7FDF"/>
    <w:rsid w:val="007E0362"/>
    <w:rsid w:val="007F2F92"/>
    <w:rsid w:val="007F405F"/>
    <w:rsid w:val="007F520E"/>
    <w:rsid w:val="007F5AEF"/>
    <w:rsid w:val="007F6C5C"/>
    <w:rsid w:val="007F7241"/>
    <w:rsid w:val="00801682"/>
    <w:rsid w:val="00805865"/>
    <w:rsid w:val="008113F9"/>
    <w:rsid w:val="00813A72"/>
    <w:rsid w:val="00817A45"/>
    <w:rsid w:val="0082450F"/>
    <w:rsid w:val="0082472B"/>
    <w:rsid w:val="008276A6"/>
    <w:rsid w:val="00830568"/>
    <w:rsid w:val="008326C2"/>
    <w:rsid w:val="008375ED"/>
    <w:rsid w:val="00837CBF"/>
    <w:rsid w:val="00840BA8"/>
    <w:rsid w:val="008426A9"/>
    <w:rsid w:val="00846717"/>
    <w:rsid w:val="008520DE"/>
    <w:rsid w:val="00855ABE"/>
    <w:rsid w:val="00856CF8"/>
    <w:rsid w:val="0086592B"/>
    <w:rsid w:val="00866678"/>
    <w:rsid w:val="00867676"/>
    <w:rsid w:val="00870214"/>
    <w:rsid w:val="00870C67"/>
    <w:rsid w:val="00872C73"/>
    <w:rsid w:val="0087389B"/>
    <w:rsid w:val="008756E2"/>
    <w:rsid w:val="00882707"/>
    <w:rsid w:val="00882AB2"/>
    <w:rsid w:val="00887A43"/>
    <w:rsid w:val="008910A0"/>
    <w:rsid w:val="00894CE9"/>
    <w:rsid w:val="00897B67"/>
    <w:rsid w:val="00897C08"/>
    <w:rsid w:val="008A14A4"/>
    <w:rsid w:val="008A1EBA"/>
    <w:rsid w:val="008A53B2"/>
    <w:rsid w:val="008A6287"/>
    <w:rsid w:val="008B3C26"/>
    <w:rsid w:val="008C1D26"/>
    <w:rsid w:val="008C4716"/>
    <w:rsid w:val="008C51B3"/>
    <w:rsid w:val="008D1AB4"/>
    <w:rsid w:val="008D3CE3"/>
    <w:rsid w:val="008D795E"/>
    <w:rsid w:val="008E0B89"/>
    <w:rsid w:val="008E1558"/>
    <w:rsid w:val="008E1E10"/>
    <w:rsid w:val="008E498C"/>
    <w:rsid w:val="008E75FC"/>
    <w:rsid w:val="008F08BF"/>
    <w:rsid w:val="008F44CF"/>
    <w:rsid w:val="008F6714"/>
    <w:rsid w:val="0090569A"/>
    <w:rsid w:val="00905DB7"/>
    <w:rsid w:val="00905FEF"/>
    <w:rsid w:val="00910A0E"/>
    <w:rsid w:val="00910F77"/>
    <w:rsid w:val="00912871"/>
    <w:rsid w:val="00923856"/>
    <w:rsid w:val="009246E5"/>
    <w:rsid w:val="00927259"/>
    <w:rsid w:val="009372D8"/>
    <w:rsid w:val="00943E03"/>
    <w:rsid w:val="0094709B"/>
    <w:rsid w:val="00954965"/>
    <w:rsid w:val="009569D6"/>
    <w:rsid w:val="00962C5C"/>
    <w:rsid w:val="009703DF"/>
    <w:rsid w:val="00975444"/>
    <w:rsid w:val="00975C8B"/>
    <w:rsid w:val="0097793A"/>
    <w:rsid w:val="0098016C"/>
    <w:rsid w:val="00980CAF"/>
    <w:rsid w:val="00983035"/>
    <w:rsid w:val="00983906"/>
    <w:rsid w:val="00983F62"/>
    <w:rsid w:val="0098503E"/>
    <w:rsid w:val="0098540A"/>
    <w:rsid w:val="0098621C"/>
    <w:rsid w:val="0098717E"/>
    <w:rsid w:val="0099083A"/>
    <w:rsid w:val="009949A2"/>
    <w:rsid w:val="0099565E"/>
    <w:rsid w:val="0099773C"/>
    <w:rsid w:val="009A1752"/>
    <w:rsid w:val="009A5C9D"/>
    <w:rsid w:val="009B01BA"/>
    <w:rsid w:val="009B212E"/>
    <w:rsid w:val="009D1697"/>
    <w:rsid w:val="009D220F"/>
    <w:rsid w:val="009D2A84"/>
    <w:rsid w:val="009D59DC"/>
    <w:rsid w:val="009D5DB9"/>
    <w:rsid w:val="009E15E7"/>
    <w:rsid w:val="009E290E"/>
    <w:rsid w:val="009E381A"/>
    <w:rsid w:val="009F38B3"/>
    <w:rsid w:val="009F49F2"/>
    <w:rsid w:val="009F4A8C"/>
    <w:rsid w:val="00A011AA"/>
    <w:rsid w:val="00A0225D"/>
    <w:rsid w:val="00A028F3"/>
    <w:rsid w:val="00A12F08"/>
    <w:rsid w:val="00A17624"/>
    <w:rsid w:val="00A202C1"/>
    <w:rsid w:val="00A21253"/>
    <w:rsid w:val="00A22D65"/>
    <w:rsid w:val="00A23550"/>
    <w:rsid w:val="00A26DA8"/>
    <w:rsid w:val="00A32CC6"/>
    <w:rsid w:val="00A41705"/>
    <w:rsid w:val="00A45BE6"/>
    <w:rsid w:val="00A4772D"/>
    <w:rsid w:val="00A510BF"/>
    <w:rsid w:val="00A52DCB"/>
    <w:rsid w:val="00A556BF"/>
    <w:rsid w:val="00A56FA1"/>
    <w:rsid w:val="00A60FDE"/>
    <w:rsid w:val="00A63A71"/>
    <w:rsid w:val="00A65BF5"/>
    <w:rsid w:val="00A65E23"/>
    <w:rsid w:val="00A667C8"/>
    <w:rsid w:val="00A677BB"/>
    <w:rsid w:val="00A67987"/>
    <w:rsid w:val="00A7195E"/>
    <w:rsid w:val="00A719F3"/>
    <w:rsid w:val="00A733BA"/>
    <w:rsid w:val="00A738E8"/>
    <w:rsid w:val="00A74477"/>
    <w:rsid w:val="00A7774B"/>
    <w:rsid w:val="00A77E89"/>
    <w:rsid w:val="00A820E0"/>
    <w:rsid w:val="00A84D7C"/>
    <w:rsid w:val="00A87AD8"/>
    <w:rsid w:val="00A914E4"/>
    <w:rsid w:val="00A920E6"/>
    <w:rsid w:val="00A9570F"/>
    <w:rsid w:val="00AA2936"/>
    <w:rsid w:val="00AA4411"/>
    <w:rsid w:val="00AA4F6F"/>
    <w:rsid w:val="00AA6A13"/>
    <w:rsid w:val="00AB3110"/>
    <w:rsid w:val="00AB5710"/>
    <w:rsid w:val="00AB62AF"/>
    <w:rsid w:val="00AB6C84"/>
    <w:rsid w:val="00AC092A"/>
    <w:rsid w:val="00AC0FEC"/>
    <w:rsid w:val="00AC14FF"/>
    <w:rsid w:val="00AC32CF"/>
    <w:rsid w:val="00AC5633"/>
    <w:rsid w:val="00AC682C"/>
    <w:rsid w:val="00AC7604"/>
    <w:rsid w:val="00AD2508"/>
    <w:rsid w:val="00AD6568"/>
    <w:rsid w:val="00AD7641"/>
    <w:rsid w:val="00AE0FFD"/>
    <w:rsid w:val="00AE2E21"/>
    <w:rsid w:val="00AE450E"/>
    <w:rsid w:val="00AE6002"/>
    <w:rsid w:val="00AF2221"/>
    <w:rsid w:val="00AF3F66"/>
    <w:rsid w:val="00AF6461"/>
    <w:rsid w:val="00B04177"/>
    <w:rsid w:val="00B07315"/>
    <w:rsid w:val="00B21A89"/>
    <w:rsid w:val="00B22E4A"/>
    <w:rsid w:val="00B23767"/>
    <w:rsid w:val="00B23A28"/>
    <w:rsid w:val="00B25AC3"/>
    <w:rsid w:val="00B266C8"/>
    <w:rsid w:val="00B33517"/>
    <w:rsid w:val="00B405EE"/>
    <w:rsid w:val="00B43108"/>
    <w:rsid w:val="00B44E8E"/>
    <w:rsid w:val="00B47D68"/>
    <w:rsid w:val="00B5766C"/>
    <w:rsid w:val="00B57D72"/>
    <w:rsid w:val="00B63B1D"/>
    <w:rsid w:val="00B64D33"/>
    <w:rsid w:val="00B72A25"/>
    <w:rsid w:val="00B73BFA"/>
    <w:rsid w:val="00B73E78"/>
    <w:rsid w:val="00B75897"/>
    <w:rsid w:val="00B81998"/>
    <w:rsid w:val="00B90279"/>
    <w:rsid w:val="00B95C2A"/>
    <w:rsid w:val="00B965D8"/>
    <w:rsid w:val="00BA254F"/>
    <w:rsid w:val="00BA5375"/>
    <w:rsid w:val="00BB0F92"/>
    <w:rsid w:val="00BC4E62"/>
    <w:rsid w:val="00BC5791"/>
    <w:rsid w:val="00BC5C20"/>
    <w:rsid w:val="00BC7D6D"/>
    <w:rsid w:val="00BD15F5"/>
    <w:rsid w:val="00BD5F96"/>
    <w:rsid w:val="00BD68E0"/>
    <w:rsid w:val="00BD6B08"/>
    <w:rsid w:val="00BD70A3"/>
    <w:rsid w:val="00BD74C7"/>
    <w:rsid w:val="00BE0C39"/>
    <w:rsid w:val="00BE623E"/>
    <w:rsid w:val="00BE6B94"/>
    <w:rsid w:val="00BF0471"/>
    <w:rsid w:val="00BF0A5D"/>
    <w:rsid w:val="00BF11A7"/>
    <w:rsid w:val="00BF2D8A"/>
    <w:rsid w:val="00BF46C8"/>
    <w:rsid w:val="00BF6D4E"/>
    <w:rsid w:val="00BF7B7D"/>
    <w:rsid w:val="00C007A8"/>
    <w:rsid w:val="00C010BA"/>
    <w:rsid w:val="00C02152"/>
    <w:rsid w:val="00C02AB3"/>
    <w:rsid w:val="00C065CA"/>
    <w:rsid w:val="00C10A0B"/>
    <w:rsid w:val="00C164E3"/>
    <w:rsid w:val="00C171B3"/>
    <w:rsid w:val="00C17E12"/>
    <w:rsid w:val="00C2012B"/>
    <w:rsid w:val="00C214B7"/>
    <w:rsid w:val="00C237C4"/>
    <w:rsid w:val="00C2775F"/>
    <w:rsid w:val="00C3096C"/>
    <w:rsid w:val="00C30B38"/>
    <w:rsid w:val="00C3249A"/>
    <w:rsid w:val="00C3256C"/>
    <w:rsid w:val="00C354DC"/>
    <w:rsid w:val="00C36B33"/>
    <w:rsid w:val="00C4099E"/>
    <w:rsid w:val="00C40BD9"/>
    <w:rsid w:val="00C433C2"/>
    <w:rsid w:val="00C4352E"/>
    <w:rsid w:val="00C440ED"/>
    <w:rsid w:val="00C47C92"/>
    <w:rsid w:val="00C5143B"/>
    <w:rsid w:val="00C5143D"/>
    <w:rsid w:val="00C529A6"/>
    <w:rsid w:val="00C529B9"/>
    <w:rsid w:val="00C53121"/>
    <w:rsid w:val="00C53583"/>
    <w:rsid w:val="00C54C92"/>
    <w:rsid w:val="00C574CF"/>
    <w:rsid w:val="00C60597"/>
    <w:rsid w:val="00C63818"/>
    <w:rsid w:val="00C63FE8"/>
    <w:rsid w:val="00C66BDC"/>
    <w:rsid w:val="00C722F9"/>
    <w:rsid w:val="00C753A1"/>
    <w:rsid w:val="00C77EB4"/>
    <w:rsid w:val="00C8042F"/>
    <w:rsid w:val="00C860BB"/>
    <w:rsid w:val="00C86F9A"/>
    <w:rsid w:val="00C87048"/>
    <w:rsid w:val="00C901B0"/>
    <w:rsid w:val="00C923FE"/>
    <w:rsid w:val="00C93215"/>
    <w:rsid w:val="00C951C9"/>
    <w:rsid w:val="00C95721"/>
    <w:rsid w:val="00C9732E"/>
    <w:rsid w:val="00CA0214"/>
    <w:rsid w:val="00CA6404"/>
    <w:rsid w:val="00CA67FD"/>
    <w:rsid w:val="00CC10A4"/>
    <w:rsid w:val="00CC5F27"/>
    <w:rsid w:val="00CC7845"/>
    <w:rsid w:val="00CD5DEF"/>
    <w:rsid w:val="00CD5F6D"/>
    <w:rsid w:val="00CE0B1E"/>
    <w:rsid w:val="00CE0ED0"/>
    <w:rsid w:val="00CE2F45"/>
    <w:rsid w:val="00CE37E1"/>
    <w:rsid w:val="00CE5C7A"/>
    <w:rsid w:val="00CE735E"/>
    <w:rsid w:val="00CF2542"/>
    <w:rsid w:val="00CF4058"/>
    <w:rsid w:val="00D00940"/>
    <w:rsid w:val="00D00A2B"/>
    <w:rsid w:val="00D01C51"/>
    <w:rsid w:val="00D05E7F"/>
    <w:rsid w:val="00D05F1E"/>
    <w:rsid w:val="00D1081B"/>
    <w:rsid w:val="00D155FF"/>
    <w:rsid w:val="00D21985"/>
    <w:rsid w:val="00D21C5A"/>
    <w:rsid w:val="00D23B7E"/>
    <w:rsid w:val="00D25F0F"/>
    <w:rsid w:val="00D26122"/>
    <w:rsid w:val="00D3044D"/>
    <w:rsid w:val="00D31638"/>
    <w:rsid w:val="00D31F7D"/>
    <w:rsid w:val="00D321E4"/>
    <w:rsid w:val="00D32528"/>
    <w:rsid w:val="00D328A9"/>
    <w:rsid w:val="00D3352C"/>
    <w:rsid w:val="00D33CB3"/>
    <w:rsid w:val="00D3416B"/>
    <w:rsid w:val="00D34B3F"/>
    <w:rsid w:val="00D35A60"/>
    <w:rsid w:val="00D53BA5"/>
    <w:rsid w:val="00D55D20"/>
    <w:rsid w:val="00D60BA8"/>
    <w:rsid w:val="00D63226"/>
    <w:rsid w:val="00D65DB5"/>
    <w:rsid w:val="00D70714"/>
    <w:rsid w:val="00D70EF9"/>
    <w:rsid w:val="00D755C3"/>
    <w:rsid w:val="00D75FF6"/>
    <w:rsid w:val="00D77CEA"/>
    <w:rsid w:val="00D8294D"/>
    <w:rsid w:val="00D839EE"/>
    <w:rsid w:val="00D83FBB"/>
    <w:rsid w:val="00D85A18"/>
    <w:rsid w:val="00D85DFC"/>
    <w:rsid w:val="00D87365"/>
    <w:rsid w:val="00D87B6B"/>
    <w:rsid w:val="00DA1878"/>
    <w:rsid w:val="00DA2098"/>
    <w:rsid w:val="00DA5B50"/>
    <w:rsid w:val="00DA5BDA"/>
    <w:rsid w:val="00DB1C07"/>
    <w:rsid w:val="00DB24B8"/>
    <w:rsid w:val="00DB281F"/>
    <w:rsid w:val="00DB6178"/>
    <w:rsid w:val="00DC09EE"/>
    <w:rsid w:val="00DC2841"/>
    <w:rsid w:val="00DC54D8"/>
    <w:rsid w:val="00DC67A1"/>
    <w:rsid w:val="00DC6B94"/>
    <w:rsid w:val="00DE332F"/>
    <w:rsid w:val="00DE3FF4"/>
    <w:rsid w:val="00DE421A"/>
    <w:rsid w:val="00DF1B9F"/>
    <w:rsid w:val="00DF2F86"/>
    <w:rsid w:val="00DF32FF"/>
    <w:rsid w:val="00DF5C70"/>
    <w:rsid w:val="00DF5D68"/>
    <w:rsid w:val="00E009E8"/>
    <w:rsid w:val="00E00EEC"/>
    <w:rsid w:val="00E15E8E"/>
    <w:rsid w:val="00E211BC"/>
    <w:rsid w:val="00E212F8"/>
    <w:rsid w:val="00E218F0"/>
    <w:rsid w:val="00E270DD"/>
    <w:rsid w:val="00E303BA"/>
    <w:rsid w:val="00E30F07"/>
    <w:rsid w:val="00E32A91"/>
    <w:rsid w:val="00E4388F"/>
    <w:rsid w:val="00E52F26"/>
    <w:rsid w:val="00E5398D"/>
    <w:rsid w:val="00E54B92"/>
    <w:rsid w:val="00E57BA1"/>
    <w:rsid w:val="00E60DEA"/>
    <w:rsid w:val="00E612BF"/>
    <w:rsid w:val="00E63298"/>
    <w:rsid w:val="00E63C55"/>
    <w:rsid w:val="00E64A29"/>
    <w:rsid w:val="00E72721"/>
    <w:rsid w:val="00E72878"/>
    <w:rsid w:val="00E72AE3"/>
    <w:rsid w:val="00E80DB8"/>
    <w:rsid w:val="00E876C7"/>
    <w:rsid w:val="00E92D9C"/>
    <w:rsid w:val="00E94792"/>
    <w:rsid w:val="00E958FB"/>
    <w:rsid w:val="00E96D9A"/>
    <w:rsid w:val="00E97428"/>
    <w:rsid w:val="00E97993"/>
    <w:rsid w:val="00EA2820"/>
    <w:rsid w:val="00EA7031"/>
    <w:rsid w:val="00EB32E2"/>
    <w:rsid w:val="00EB6FB4"/>
    <w:rsid w:val="00EB7BE7"/>
    <w:rsid w:val="00EC5297"/>
    <w:rsid w:val="00EC72CC"/>
    <w:rsid w:val="00EC74BA"/>
    <w:rsid w:val="00ED28FC"/>
    <w:rsid w:val="00ED55C7"/>
    <w:rsid w:val="00ED5E81"/>
    <w:rsid w:val="00EE5C71"/>
    <w:rsid w:val="00EE5E29"/>
    <w:rsid w:val="00EF3C85"/>
    <w:rsid w:val="00EF7B29"/>
    <w:rsid w:val="00F02170"/>
    <w:rsid w:val="00F07507"/>
    <w:rsid w:val="00F114D6"/>
    <w:rsid w:val="00F254D6"/>
    <w:rsid w:val="00F272D0"/>
    <w:rsid w:val="00F3056D"/>
    <w:rsid w:val="00F31795"/>
    <w:rsid w:val="00F32845"/>
    <w:rsid w:val="00F46BF4"/>
    <w:rsid w:val="00F470C4"/>
    <w:rsid w:val="00F52BB0"/>
    <w:rsid w:val="00F63EF9"/>
    <w:rsid w:val="00F64A5D"/>
    <w:rsid w:val="00F651CE"/>
    <w:rsid w:val="00F66174"/>
    <w:rsid w:val="00F676D4"/>
    <w:rsid w:val="00F72820"/>
    <w:rsid w:val="00F7552F"/>
    <w:rsid w:val="00F821FE"/>
    <w:rsid w:val="00F8238B"/>
    <w:rsid w:val="00F834CF"/>
    <w:rsid w:val="00F84ECB"/>
    <w:rsid w:val="00F869BC"/>
    <w:rsid w:val="00F87D01"/>
    <w:rsid w:val="00F918D0"/>
    <w:rsid w:val="00F91E28"/>
    <w:rsid w:val="00FA2B86"/>
    <w:rsid w:val="00FA6184"/>
    <w:rsid w:val="00FB0CD1"/>
    <w:rsid w:val="00FB196C"/>
    <w:rsid w:val="00FB1A01"/>
    <w:rsid w:val="00FB3F75"/>
    <w:rsid w:val="00FC03A0"/>
    <w:rsid w:val="00FC72E2"/>
    <w:rsid w:val="00FD0795"/>
    <w:rsid w:val="00FD53C6"/>
    <w:rsid w:val="00FE3616"/>
    <w:rsid w:val="00FF11E6"/>
    <w:rsid w:val="00FF1F13"/>
    <w:rsid w:val="00FF38B5"/>
    <w:rsid w:val="00FF56F7"/>
    <w:rsid w:val="0166D35F"/>
    <w:rsid w:val="01758A13"/>
    <w:rsid w:val="019D3558"/>
    <w:rsid w:val="03115A74"/>
    <w:rsid w:val="0346420E"/>
    <w:rsid w:val="0457E862"/>
    <w:rsid w:val="04AD8F7C"/>
    <w:rsid w:val="05136C9F"/>
    <w:rsid w:val="05E5A653"/>
    <w:rsid w:val="05FA3237"/>
    <w:rsid w:val="06079439"/>
    <w:rsid w:val="06693D49"/>
    <w:rsid w:val="074B9C33"/>
    <w:rsid w:val="0FFD4E1A"/>
    <w:rsid w:val="1090259D"/>
    <w:rsid w:val="113F5648"/>
    <w:rsid w:val="11BB3F32"/>
    <w:rsid w:val="13009C47"/>
    <w:rsid w:val="14AA8AE9"/>
    <w:rsid w:val="14E23878"/>
    <w:rsid w:val="14FB3221"/>
    <w:rsid w:val="15304EFF"/>
    <w:rsid w:val="15F5D318"/>
    <w:rsid w:val="17159A26"/>
    <w:rsid w:val="19BD8B8E"/>
    <w:rsid w:val="1A3B5050"/>
    <w:rsid w:val="1A51EFDC"/>
    <w:rsid w:val="1AD79C22"/>
    <w:rsid w:val="1DA45CFB"/>
    <w:rsid w:val="1F23F27F"/>
    <w:rsid w:val="20BC8B21"/>
    <w:rsid w:val="21E7642B"/>
    <w:rsid w:val="22ED9665"/>
    <w:rsid w:val="232CCBD8"/>
    <w:rsid w:val="254B0CCB"/>
    <w:rsid w:val="27341ED2"/>
    <w:rsid w:val="296E3AF9"/>
    <w:rsid w:val="2A2FB24A"/>
    <w:rsid w:val="2CDC8676"/>
    <w:rsid w:val="2D50E4B2"/>
    <w:rsid w:val="2D6559D3"/>
    <w:rsid w:val="2DB826E7"/>
    <w:rsid w:val="2DCA9C5C"/>
    <w:rsid w:val="2E78A09D"/>
    <w:rsid w:val="317BD161"/>
    <w:rsid w:val="31C4F9FD"/>
    <w:rsid w:val="32566EB0"/>
    <w:rsid w:val="36434877"/>
    <w:rsid w:val="368C6B30"/>
    <w:rsid w:val="38B9484C"/>
    <w:rsid w:val="39672134"/>
    <w:rsid w:val="397AE939"/>
    <w:rsid w:val="397EABFC"/>
    <w:rsid w:val="39A9B33E"/>
    <w:rsid w:val="3A0F37CD"/>
    <w:rsid w:val="3A14B44A"/>
    <w:rsid w:val="3A2D452F"/>
    <w:rsid w:val="3BEB4D24"/>
    <w:rsid w:val="3C3805F4"/>
    <w:rsid w:val="3C5A26AB"/>
    <w:rsid w:val="3C85C4C1"/>
    <w:rsid w:val="3F89309B"/>
    <w:rsid w:val="401AA54E"/>
    <w:rsid w:val="41DE2B89"/>
    <w:rsid w:val="41E2DFE7"/>
    <w:rsid w:val="41FFF9FE"/>
    <w:rsid w:val="422C04BB"/>
    <w:rsid w:val="43C9AEFA"/>
    <w:rsid w:val="4579D882"/>
    <w:rsid w:val="462E91CA"/>
    <w:rsid w:val="4952319F"/>
    <w:rsid w:val="49599CDD"/>
    <w:rsid w:val="49E06A43"/>
    <w:rsid w:val="4A89C729"/>
    <w:rsid w:val="4B08243C"/>
    <w:rsid w:val="4C58D448"/>
    <w:rsid w:val="4CA35FA1"/>
    <w:rsid w:val="4CD71B7D"/>
    <w:rsid w:val="4EA22324"/>
    <w:rsid w:val="5045AE3A"/>
    <w:rsid w:val="51B30789"/>
    <w:rsid w:val="51FD75D0"/>
    <w:rsid w:val="54571094"/>
    <w:rsid w:val="5507AD98"/>
    <w:rsid w:val="55252B18"/>
    <w:rsid w:val="55D654FC"/>
    <w:rsid w:val="5603CCEC"/>
    <w:rsid w:val="56BB620E"/>
    <w:rsid w:val="58560E3F"/>
    <w:rsid w:val="59F7DD85"/>
    <w:rsid w:val="5C72A2B7"/>
    <w:rsid w:val="5D836F4A"/>
    <w:rsid w:val="5DC13172"/>
    <w:rsid w:val="5DC9343B"/>
    <w:rsid w:val="5F41D025"/>
    <w:rsid w:val="5FDD6E94"/>
    <w:rsid w:val="61C627C4"/>
    <w:rsid w:val="6265AF13"/>
    <w:rsid w:val="634B1323"/>
    <w:rsid w:val="6365D38C"/>
    <w:rsid w:val="63AA5AFA"/>
    <w:rsid w:val="644F8FA0"/>
    <w:rsid w:val="64F239BE"/>
    <w:rsid w:val="658F15CC"/>
    <w:rsid w:val="669F18A0"/>
    <w:rsid w:val="67FBB4E0"/>
    <w:rsid w:val="68667F42"/>
    <w:rsid w:val="6890B620"/>
    <w:rsid w:val="69BAFAD4"/>
    <w:rsid w:val="69FFF1C3"/>
    <w:rsid w:val="6A6920AB"/>
    <w:rsid w:val="6C69694C"/>
    <w:rsid w:val="6F1E3F6D"/>
    <w:rsid w:val="6F421905"/>
    <w:rsid w:val="6FBBA861"/>
    <w:rsid w:val="71DDD450"/>
    <w:rsid w:val="71E361F2"/>
    <w:rsid w:val="72F3ACAA"/>
    <w:rsid w:val="740EA130"/>
    <w:rsid w:val="754B8E0F"/>
    <w:rsid w:val="7659EC04"/>
    <w:rsid w:val="79C17B5B"/>
    <w:rsid w:val="7DAA2056"/>
    <w:rsid w:val="7EC73423"/>
    <w:rsid w:val="7EE19A2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4037815"/>
  <w15:chartTrackingRefBased/>
  <w15:docId w15:val="{E78E800C-4C84-412C-8E9E-84C9791B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D74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07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BodyText"/>
    <w:link w:val="Heading3Char"/>
    <w:uiPriority w:val="9"/>
    <w:unhideWhenUsed/>
    <w:qFormat/>
    <w:rsid w:val="00260EE8"/>
    <w:pPr>
      <w:keepNext/>
      <w:keepLines/>
      <w:spacing w:before="240"/>
      <w:ind w:left="794" w:hanging="794"/>
      <w:outlineLvl w:val="2"/>
    </w:pPr>
    <w:rPr>
      <w:rFonts w:ascii="Arial" w:eastAsiaTheme="majorEastAsia" w:hAnsi="Arial" w:cstheme="majorBidi"/>
      <w:b/>
      <w:color w:val="5B9BD5" w:themeColor="accent1"/>
      <w:kern w:val="18"/>
      <w:sz w:val="28"/>
      <w:szCs w:val="24"/>
      <w:lang w:val="en-GB"/>
    </w:rPr>
  </w:style>
  <w:style w:type="paragraph" w:styleId="Heading4">
    <w:name w:val="heading 4"/>
    <w:basedOn w:val="Normal"/>
    <w:next w:val="BodyText"/>
    <w:link w:val="Heading4Char"/>
    <w:uiPriority w:val="9"/>
    <w:unhideWhenUsed/>
    <w:qFormat/>
    <w:rsid w:val="00260EE8"/>
    <w:pPr>
      <w:keepNext/>
      <w:keepLines/>
      <w:spacing w:before="80" w:after="80"/>
      <w:ind w:left="964" w:hanging="964"/>
      <w:outlineLvl w:val="3"/>
    </w:pPr>
    <w:rPr>
      <w:rFonts w:ascii="Arial" w:eastAsiaTheme="majorEastAsia" w:hAnsi="Arial" w:cstheme="majorBidi"/>
      <w:b/>
      <w:iCs/>
      <w:color w:val="5B9BD5" w:themeColor="accent1"/>
      <w:kern w:val="18"/>
      <w:sz w:val="24"/>
      <w:lang w:val="en-GB"/>
    </w:rPr>
  </w:style>
  <w:style w:type="paragraph" w:styleId="Heading5">
    <w:name w:val="heading 5"/>
    <w:basedOn w:val="Normal"/>
    <w:next w:val="Normal"/>
    <w:link w:val="Heading5Char"/>
    <w:uiPriority w:val="9"/>
    <w:semiHidden/>
    <w:qFormat/>
    <w:rsid w:val="00260EE8"/>
    <w:pPr>
      <w:keepNext/>
      <w:keepLines/>
      <w:spacing w:before="40" w:after="0"/>
      <w:ind w:left="2232" w:hanging="792"/>
      <w:outlineLvl w:val="4"/>
    </w:pPr>
    <w:rPr>
      <w:rFonts w:asciiTheme="majorHAnsi" w:eastAsiaTheme="majorEastAsia" w:hAnsiTheme="majorHAnsi" w:cstheme="majorBidi"/>
      <w:color w:val="2E74B5" w:themeColor="accent1" w:themeShade="BF"/>
      <w:kern w:val="18"/>
      <w:lang w:val="en-GB"/>
    </w:rPr>
  </w:style>
  <w:style w:type="paragraph" w:styleId="Heading6">
    <w:name w:val="heading 6"/>
    <w:aliases w:val="Appendix"/>
    <w:basedOn w:val="Normal"/>
    <w:next w:val="Normal"/>
    <w:link w:val="Heading6Char"/>
    <w:uiPriority w:val="9"/>
    <w:unhideWhenUsed/>
    <w:qFormat/>
    <w:rsid w:val="00260EE8"/>
    <w:pPr>
      <w:keepNext/>
      <w:keepLines/>
      <w:spacing w:before="40" w:after="0"/>
      <w:ind w:left="2736" w:hanging="936"/>
      <w:outlineLvl w:val="5"/>
    </w:pPr>
    <w:rPr>
      <w:rFonts w:asciiTheme="majorHAnsi" w:eastAsiaTheme="majorEastAsia" w:hAnsiTheme="majorHAnsi" w:cstheme="majorBidi"/>
      <w:color w:val="1F4D78" w:themeColor="accent1" w:themeShade="7F"/>
      <w:kern w:val="18"/>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4D10F7"/>
    <w:rPr>
      <w:color w:val="0000FF"/>
      <w:shd w:val="clear" w:color="auto" w:fill="auto"/>
    </w:rPr>
  </w:style>
  <w:style w:type="paragraph" w:styleId="Header">
    <w:name w:val="header"/>
    <w:basedOn w:val="Normal"/>
    <w:link w:val="HeaderChar"/>
    <w:uiPriority w:val="99"/>
    <w:unhideWhenUsed/>
    <w:rsid w:val="004D1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0F7"/>
  </w:style>
  <w:style w:type="paragraph" w:styleId="Footer">
    <w:name w:val="footer"/>
    <w:basedOn w:val="Normal"/>
    <w:link w:val="FooterChar"/>
    <w:uiPriority w:val="99"/>
    <w:unhideWhenUsed/>
    <w:rsid w:val="004D10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0F7"/>
  </w:style>
  <w:style w:type="paragraph" w:customStyle="1" w:styleId="Pagedecouverture">
    <w:name w:val="Page de couverture"/>
    <w:basedOn w:val="Normal"/>
    <w:next w:val="Normal"/>
    <w:rsid w:val="004D10F7"/>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4D10F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4D10F7"/>
    <w:rPr>
      <w:rFonts w:ascii="Times New Roman" w:hAnsi="Times New Roman" w:cs="Times New Roman"/>
      <w:sz w:val="24"/>
    </w:rPr>
  </w:style>
  <w:style w:type="paragraph" w:customStyle="1" w:styleId="FooterSensitivity">
    <w:name w:val="Footer Sensitivity"/>
    <w:basedOn w:val="Normal"/>
    <w:link w:val="FooterSensitivityChar"/>
    <w:rsid w:val="004D10F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4D10F7"/>
    <w:rPr>
      <w:rFonts w:ascii="Times New Roman" w:hAnsi="Times New Roman" w:cs="Times New Roman"/>
      <w:b/>
      <w:sz w:val="32"/>
    </w:rPr>
  </w:style>
  <w:style w:type="paragraph" w:customStyle="1" w:styleId="HeaderCoverPage">
    <w:name w:val="Header Cover Page"/>
    <w:basedOn w:val="Normal"/>
    <w:link w:val="HeaderCoverPageChar"/>
    <w:rsid w:val="004D10F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4D10F7"/>
    <w:rPr>
      <w:rFonts w:ascii="Times New Roman" w:hAnsi="Times New Roman" w:cs="Times New Roman"/>
      <w:sz w:val="24"/>
    </w:rPr>
  </w:style>
  <w:style w:type="paragraph" w:customStyle="1" w:styleId="HeaderSensitivity">
    <w:name w:val="Header Sensitivity"/>
    <w:basedOn w:val="Normal"/>
    <w:link w:val="HeaderSensitivityChar"/>
    <w:rsid w:val="004D10F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4D10F7"/>
    <w:rPr>
      <w:rFonts w:ascii="Times New Roman" w:hAnsi="Times New Roman" w:cs="Times New Roman"/>
      <w:b/>
      <w:sz w:val="32"/>
    </w:rPr>
  </w:style>
  <w:style w:type="paragraph" w:customStyle="1" w:styleId="HeaderSensitivityRight">
    <w:name w:val="Header Sensitivity Right"/>
    <w:basedOn w:val="Normal"/>
    <w:link w:val="HeaderSensitivityRightChar"/>
    <w:rsid w:val="004D10F7"/>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4D10F7"/>
    <w:rPr>
      <w:rFonts w:ascii="Times New Roman" w:hAnsi="Times New Roman" w:cs="Times New Roman"/>
      <w:sz w:val="28"/>
    </w:rPr>
  </w:style>
  <w:style w:type="character" w:customStyle="1" w:styleId="Heading1Char">
    <w:name w:val="Heading 1 Char"/>
    <w:basedOn w:val="DefaultParagraphFont"/>
    <w:link w:val="Heading1"/>
    <w:uiPriority w:val="9"/>
    <w:rsid w:val="00BD74C7"/>
    <w:rPr>
      <w:rFonts w:asciiTheme="majorHAnsi" w:eastAsiaTheme="majorEastAsia" w:hAnsiTheme="majorHAnsi" w:cstheme="majorBidi"/>
      <w:color w:val="2E74B5" w:themeColor="accent1" w:themeShade="BF"/>
      <w:sz w:val="32"/>
      <w:szCs w:val="32"/>
    </w:rPr>
  </w:style>
  <w:style w:type="paragraph" w:styleId="FootnoteText">
    <w:name w:val="footnote text"/>
    <w:aliases w:val="single space,Fußnotentextf,Footnote text,fn,Schriftart: 9 pt,Schriftart: 10 pt,Schriftart: 8 pt,WB-Fußnotentext,footnote text,Footnote Text2,Footnote Text11,ALTS FOOTNOTE11,Footnote Text Char111,ALTS FOOTNOTE2,Fußnote,o,stile 1,Reference,f"/>
    <w:basedOn w:val="Normal"/>
    <w:link w:val="FootnoteTextChar"/>
    <w:uiPriority w:val="99"/>
    <w:unhideWhenUsed/>
    <w:qFormat/>
    <w:rsid w:val="00F07507"/>
    <w:pPr>
      <w:spacing w:after="0" w:line="240" w:lineRule="auto"/>
    </w:pPr>
    <w:rPr>
      <w:sz w:val="20"/>
      <w:szCs w:val="20"/>
    </w:rPr>
  </w:style>
  <w:style w:type="character" w:customStyle="1" w:styleId="FootnoteTextChar">
    <w:name w:val="Footnote Text Char"/>
    <w:aliases w:val="single space Char,Fußnotentextf Char,Footnote text Char,fn Char,Schriftart: 9 pt Char,Schriftart: 10 pt Char,Schriftart: 8 pt Char,WB-Fußnotentext Char,footnote text Char,Footnote Text2 Char,Footnote Text11 Char,ALTS FOOTNOTE11 Char"/>
    <w:basedOn w:val="DefaultParagraphFont"/>
    <w:link w:val="FootnoteText"/>
    <w:uiPriority w:val="99"/>
    <w:qFormat/>
    <w:rsid w:val="00F07507"/>
    <w:rPr>
      <w:sz w:val="20"/>
      <w:szCs w:val="20"/>
    </w:rPr>
  </w:style>
  <w:style w:type="character" w:styleId="FootnoteReference">
    <w:name w:val="footnote reference"/>
    <w:aliases w:val="Footnote Reference Char,Footnote symbol,Footnote,BVI fnr,Voetnootverwijzing,Times 10 Point,Exposant 3 Point,Appel note de bas de p,Footnote reference number,note TESI,SUPERS,EN Footnote Reference,Ref,de nota al pie, BVI fnr,fr,Nota"/>
    <w:basedOn w:val="DefaultParagraphFont"/>
    <w:link w:val="FootnoteReferenceSuperscript"/>
    <w:uiPriority w:val="99"/>
    <w:unhideWhenUsed/>
    <w:qFormat/>
    <w:rsid w:val="00F07507"/>
    <w:rPr>
      <w:vertAlign w:val="superscript"/>
    </w:rPr>
  </w:style>
  <w:style w:type="paragraph" w:customStyle="1" w:styleId="title-bold">
    <w:name w:val="title-bold"/>
    <w:basedOn w:val="Normal"/>
    <w:rsid w:val="00F07507"/>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unhideWhenUsed/>
    <w:rsid w:val="00F0750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Emphasis">
    <w:name w:val="Emphasis"/>
    <w:basedOn w:val="DefaultParagraphFont"/>
    <w:uiPriority w:val="20"/>
    <w:qFormat/>
    <w:rsid w:val="00F07507"/>
    <w:rPr>
      <w:i/>
      <w:iCs/>
    </w:rPr>
  </w:style>
  <w:style w:type="paragraph" w:styleId="ListParagraph">
    <w:name w:val="List Paragraph"/>
    <w:basedOn w:val="Normal"/>
    <w:uiPriority w:val="34"/>
    <w:qFormat/>
    <w:rsid w:val="002A26C3"/>
    <w:pPr>
      <w:ind w:left="720"/>
      <w:contextualSpacing/>
    </w:pPr>
  </w:style>
  <w:style w:type="character" w:customStyle="1" w:styleId="Heading2Char">
    <w:name w:val="Heading 2 Char"/>
    <w:basedOn w:val="DefaultParagraphFont"/>
    <w:link w:val="Heading2"/>
    <w:uiPriority w:val="9"/>
    <w:rsid w:val="0039078B"/>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qFormat/>
    <w:rsid w:val="00615FD3"/>
    <w:pPr>
      <w:spacing w:after="120" w:line="240" w:lineRule="auto"/>
      <w:jc w:val="both"/>
    </w:pPr>
    <w:rPr>
      <w:rFonts w:ascii="Arial" w:hAnsi="Arial"/>
      <w:kern w:val="18"/>
      <w:lang w:val="en-GB"/>
    </w:rPr>
  </w:style>
  <w:style w:type="character" w:customStyle="1" w:styleId="BodyTextChar">
    <w:name w:val="Body Text Char"/>
    <w:basedOn w:val="DefaultParagraphFont"/>
    <w:link w:val="BodyText"/>
    <w:rsid w:val="00615FD3"/>
    <w:rPr>
      <w:rFonts w:ascii="Arial" w:hAnsi="Arial"/>
      <w:kern w:val="18"/>
      <w:lang w:val="en-GB"/>
    </w:rPr>
  </w:style>
  <w:style w:type="paragraph" w:styleId="ListBullet2">
    <w:name w:val="List Bullet 2"/>
    <w:basedOn w:val="BodyText"/>
    <w:uiPriority w:val="39"/>
    <w:qFormat/>
    <w:rsid w:val="00615FD3"/>
    <w:pPr>
      <w:numPr>
        <w:numId w:val="2"/>
      </w:numPr>
      <w:contextualSpacing/>
    </w:pPr>
  </w:style>
  <w:style w:type="paragraph" w:styleId="ListNumber">
    <w:name w:val="List Number"/>
    <w:basedOn w:val="BodyText"/>
    <w:uiPriority w:val="40"/>
    <w:qFormat/>
    <w:rsid w:val="00615FD3"/>
    <w:pPr>
      <w:numPr>
        <w:numId w:val="3"/>
      </w:numPr>
      <w:contextualSpacing/>
    </w:pPr>
  </w:style>
  <w:style w:type="paragraph" w:customStyle="1" w:styleId="Subheading">
    <w:name w:val="Subheading"/>
    <w:basedOn w:val="BodyText"/>
    <w:next w:val="BodyText"/>
    <w:link w:val="SubheadingChar"/>
    <w:uiPriority w:val="10"/>
    <w:qFormat/>
    <w:rsid w:val="000052EC"/>
    <w:pPr>
      <w:keepNext/>
      <w:keepLines/>
    </w:pPr>
    <w:rPr>
      <w:b/>
      <w:i/>
      <w:color w:val="5B9BD5" w:themeColor="accent1"/>
    </w:rPr>
  </w:style>
  <w:style w:type="character" w:customStyle="1" w:styleId="SubheadingChar">
    <w:name w:val="Subheading Char"/>
    <w:basedOn w:val="BodyTextChar"/>
    <w:link w:val="Subheading"/>
    <w:uiPriority w:val="10"/>
    <w:rsid w:val="000052EC"/>
    <w:rPr>
      <w:rFonts w:ascii="Arial" w:hAnsi="Arial"/>
      <w:b/>
      <w:i/>
      <w:color w:val="5B9BD5" w:themeColor="accent1"/>
      <w:kern w:val="18"/>
      <w:lang w:val="en-GB"/>
    </w:rPr>
  </w:style>
  <w:style w:type="character" w:customStyle="1" w:styleId="Heading3Char">
    <w:name w:val="Heading 3 Char"/>
    <w:basedOn w:val="DefaultParagraphFont"/>
    <w:link w:val="Heading3"/>
    <w:uiPriority w:val="9"/>
    <w:rsid w:val="00260EE8"/>
    <w:rPr>
      <w:rFonts w:ascii="Arial" w:eastAsiaTheme="majorEastAsia" w:hAnsi="Arial" w:cstheme="majorBidi"/>
      <w:b/>
      <w:color w:val="5B9BD5" w:themeColor="accent1"/>
      <w:kern w:val="18"/>
      <w:sz w:val="28"/>
      <w:szCs w:val="24"/>
      <w:lang w:val="en-GB"/>
    </w:rPr>
  </w:style>
  <w:style w:type="character" w:customStyle="1" w:styleId="Heading4Char">
    <w:name w:val="Heading 4 Char"/>
    <w:basedOn w:val="DefaultParagraphFont"/>
    <w:link w:val="Heading4"/>
    <w:uiPriority w:val="9"/>
    <w:rsid w:val="00260EE8"/>
    <w:rPr>
      <w:rFonts w:ascii="Arial" w:eastAsiaTheme="majorEastAsia" w:hAnsi="Arial" w:cstheme="majorBidi"/>
      <w:b/>
      <w:iCs/>
      <w:color w:val="5B9BD5" w:themeColor="accent1"/>
      <w:kern w:val="18"/>
      <w:sz w:val="24"/>
      <w:lang w:val="en-GB"/>
    </w:rPr>
  </w:style>
  <w:style w:type="character" w:customStyle="1" w:styleId="Heading5Char">
    <w:name w:val="Heading 5 Char"/>
    <w:basedOn w:val="DefaultParagraphFont"/>
    <w:link w:val="Heading5"/>
    <w:uiPriority w:val="9"/>
    <w:semiHidden/>
    <w:rsid w:val="00260EE8"/>
    <w:rPr>
      <w:rFonts w:asciiTheme="majorHAnsi" w:eastAsiaTheme="majorEastAsia" w:hAnsiTheme="majorHAnsi" w:cstheme="majorBidi"/>
      <w:color w:val="2E74B5" w:themeColor="accent1" w:themeShade="BF"/>
      <w:kern w:val="18"/>
      <w:lang w:val="en-GB"/>
    </w:rPr>
  </w:style>
  <w:style w:type="character" w:customStyle="1" w:styleId="Heading6Char">
    <w:name w:val="Heading 6 Char"/>
    <w:aliases w:val="Appendix Char"/>
    <w:basedOn w:val="DefaultParagraphFont"/>
    <w:link w:val="Heading6"/>
    <w:uiPriority w:val="9"/>
    <w:rsid w:val="00260EE8"/>
    <w:rPr>
      <w:rFonts w:asciiTheme="majorHAnsi" w:eastAsiaTheme="majorEastAsia" w:hAnsiTheme="majorHAnsi" w:cstheme="majorBidi"/>
      <w:color w:val="1F4D78" w:themeColor="accent1" w:themeShade="7F"/>
      <w:kern w:val="18"/>
      <w:lang w:val="en-GB"/>
    </w:rPr>
  </w:style>
  <w:style w:type="paragraph" w:customStyle="1" w:styleId="FootnoteReferenceSuperscript">
    <w:name w:val="Footnote Reference Superscript"/>
    <w:basedOn w:val="Normal"/>
    <w:link w:val="FootnoteReference"/>
    <w:uiPriority w:val="99"/>
    <w:qFormat/>
    <w:rsid w:val="00260EE8"/>
    <w:pPr>
      <w:spacing w:line="240" w:lineRule="exact"/>
    </w:pPr>
    <w:rPr>
      <w:vertAlign w:val="superscript"/>
    </w:rPr>
  </w:style>
  <w:style w:type="character" w:styleId="Hyperlink">
    <w:name w:val="Hyperlink"/>
    <w:basedOn w:val="DefaultParagraphFont"/>
    <w:uiPriority w:val="99"/>
    <w:unhideWhenUsed/>
    <w:rsid w:val="00B44E8E"/>
    <w:rPr>
      <w:color w:val="0000FF"/>
      <w:u w:val="single"/>
    </w:rPr>
  </w:style>
  <w:style w:type="paragraph" w:styleId="ListBullet">
    <w:name w:val="List Bullet"/>
    <w:basedOn w:val="Normal"/>
    <w:uiPriority w:val="99"/>
    <w:unhideWhenUsed/>
    <w:rsid w:val="00C722F9"/>
    <w:pPr>
      <w:numPr>
        <w:numId w:val="9"/>
      </w:numPr>
      <w:contextualSpacing/>
    </w:pPr>
  </w:style>
  <w:style w:type="character" w:styleId="CommentReference">
    <w:name w:val="annotation reference"/>
    <w:basedOn w:val="DefaultParagraphFont"/>
    <w:uiPriority w:val="99"/>
    <w:semiHidden/>
    <w:unhideWhenUsed/>
    <w:rsid w:val="008326C2"/>
    <w:rPr>
      <w:sz w:val="16"/>
      <w:szCs w:val="16"/>
    </w:rPr>
  </w:style>
  <w:style w:type="paragraph" w:styleId="CommentText">
    <w:name w:val="annotation text"/>
    <w:basedOn w:val="Normal"/>
    <w:link w:val="CommentTextChar"/>
    <w:uiPriority w:val="99"/>
    <w:unhideWhenUsed/>
    <w:rsid w:val="008326C2"/>
    <w:pPr>
      <w:spacing w:line="240" w:lineRule="auto"/>
    </w:pPr>
    <w:rPr>
      <w:sz w:val="20"/>
      <w:szCs w:val="20"/>
    </w:rPr>
  </w:style>
  <w:style w:type="character" w:customStyle="1" w:styleId="CommentTextChar">
    <w:name w:val="Comment Text Char"/>
    <w:basedOn w:val="DefaultParagraphFont"/>
    <w:link w:val="CommentText"/>
    <w:uiPriority w:val="99"/>
    <w:rsid w:val="008326C2"/>
    <w:rPr>
      <w:sz w:val="20"/>
      <w:szCs w:val="20"/>
    </w:rPr>
  </w:style>
  <w:style w:type="paragraph" w:styleId="CommentSubject">
    <w:name w:val="annotation subject"/>
    <w:basedOn w:val="CommentText"/>
    <w:next w:val="CommentText"/>
    <w:link w:val="CommentSubjectChar"/>
    <w:uiPriority w:val="99"/>
    <w:semiHidden/>
    <w:unhideWhenUsed/>
    <w:rsid w:val="008326C2"/>
    <w:rPr>
      <w:b/>
      <w:bCs/>
    </w:rPr>
  </w:style>
  <w:style w:type="character" w:customStyle="1" w:styleId="CommentSubjectChar">
    <w:name w:val="Comment Subject Char"/>
    <w:basedOn w:val="CommentTextChar"/>
    <w:link w:val="CommentSubject"/>
    <w:uiPriority w:val="99"/>
    <w:semiHidden/>
    <w:rsid w:val="008326C2"/>
    <w:rPr>
      <w:b/>
      <w:bCs/>
      <w:sz w:val="20"/>
      <w:szCs w:val="20"/>
    </w:rPr>
  </w:style>
  <w:style w:type="paragraph" w:styleId="BalloonText">
    <w:name w:val="Balloon Text"/>
    <w:basedOn w:val="Normal"/>
    <w:link w:val="BalloonTextChar"/>
    <w:uiPriority w:val="99"/>
    <w:semiHidden/>
    <w:unhideWhenUsed/>
    <w:rsid w:val="008326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6C2"/>
    <w:rPr>
      <w:rFonts w:ascii="Segoe UI" w:hAnsi="Segoe UI" w:cs="Segoe UI"/>
      <w:sz w:val="18"/>
      <w:szCs w:val="18"/>
    </w:rPr>
  </w:style>
  <w:style w:type="paragraph" w:styleId="Subtitle">
    <w:name w:val="Subtitle"/>
    <w:basedOn w:val="Title"/>
    <w:next w:val="BodyText"/>
    <w:link w:val="SubtitleChar"/>
    <w:uiPriority w:val="11"/>
    <w:qFormat/>
    <w:rsid w:val="00BA5375"/>
    <w:pPr>
      <w:numPr>
        <w:ilvl w:val="1"/>
      </w:numPr>
      <w:spacing w:after="480"/>
      <w:jc w:val="center"/>
    </w:pPr>
    <w:rPr>
      <w:rFonts w:ascii="Arial" w:eastAsiaTheme="minorEastAsia" w:hAnsi="Arial"/>
      <w:b/>
      <w:spacing w:val="15"/>
      <w:kern w:val="18"/>
      <w:sz w:val="32"/>
      <w:lang w:val="en-GB"/>
    </w:rPr>
  </w:style>
  <w:style w:type="character" w:customStyle="1" w:styleId="SubtitleChar">
    <w:name w:val="Subtitle Char"/>
    <w:basedOn w:val="DefaultParagraphFont"/>
    <w:link w:val="Subtitle"/>
    <w:uiPriority w:val="11"/>
    <w:rsid w:val="00BA5375"/>
    <w:rPr>
      <w:rFonts w:ascii="Arial" w:eastAsiaTheme="minorEastAsia" w:hAnsi="Arial" w:cstheme="majorBidi"/>
      <w:b/>
      <w:spacing w:val="15"/>
      <w:kern w:val="18"/>
      <w:sz w:val="32"/>
      <w:szCs w:val="56"/>
      <w:lang w:val="en-GB"/>
    </w:rPr>
  </w:style>
  <w:style w:type="paragraph" w:styleId="Title">
    <w:name w:val="Title"/>
    <w:basedOn w:val="Normal"/>
    <w:next w:val="Normal"/>
    <w:link w:val="TitleChar"/>
    <w:uiPriority w:val="10"/>
    <w:qFormat/>
    <w:rsid w:val="00BA53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375"/>
    <w:rPr>
      <w:rFonts w:asciiTheme="majorHAnsi" w:eastAsiaTheme="majorEastAsia" w:hAnsiTheme="majorHAnsi" w:cstheme="majorBidi"/>
      <w:spacing w:val="-10"/>
      <w:kern w:val="28"/>
      <w:sz w:val="56"/>
      <w:szCs w:val="56"/>
    </w:rPr>
  </w:style>
  <w:style w:type="character" w:customStyle="1" w:styleId="BodytextChar0">
    <w:name w:val="Body text Char"/>
    <w:link w:val="BodyText1"/>
    <w:locked/>
    <w:rsid w:val="00801682"/>
    <w:rPr>
      <w:rFonts w:ascii="Arial" w:hAnsi="Arial" w:cs="Arial"/>
      <w:noProof/>
      <w:lang w:val="en-GB"/>
    </w:rPr>
  </w:style>
  <w:style w:type="paragraph" w:customStyle="1" w:styleId="BodyText1">
    <w:name w:val="Body Text1"/>
    <w:basedOn w:val="Normal"/>
    <w:link w:val="BodytextChar0"/>
    <w:qFormat/>
    <w:rsid w:val="00801682"/>
    <w:pPr>
      <w:spacing w:before="120" w:after="120" w:line="240" w:lineRule="auto"/>
      <w:jc w:val="both"/>
    </w:pPr>
    <w:rPr>
      <w:rFonts w:ascii="Arial" w:hAnsi="Arial" w:cs="Arial"/>
      <w:noProof/>
      <w:lang w:val="en-GB"/>
    </w:rPr>
  </w:style>
  <w:style w:type="paragraph" w:styleId="Revision">
    <w:name w:val="Revision"/>
    <w:hidden/>
    <w:uiPriority w:val="99"/>
    <w:semiHidden/>
    <w:rsid w:val="00B72A25"/>
    <w:pPr>
      <w:spacing w:after="0" w:line="240" w:lineRule="auto"/>
    </w:pPr>
  </w:style>
  <w:style w:type="character" w:customStyle="1" w:styleId="UnresolvedMention">
    <w:name w:val="Unresolved Mention"/>
    <w:basedOn w:val="DefaultParagraphFont"/>
    <w:uiPriority w:val="99"/>
    <w:semiHidden/>
    <w:unhideWhenUsed/>
    <w:rsid w:val="001427AC"/>
    <w:rPr>
      <w:color w:val="605E5C"/>
      <w:shd w:val="clear" w:color="auto" w:fill="E1DFDD"/>
    </w:rPr>
  </w:style>
  <w:style w:type="paragraph" w:customStyle="1" w:styleId="CharCharChar1">
    <w:name w:val="Char Char Char1"/>
    <w:basedOn w:val="Normal"/>
    <w:uiPriority w:val="99"/>
    <w:rsid w:val="00813A72"/>
    <w:pPr>
      <w:spacing w:line="240" w:lineRule="exact"/>
      <w:jc w:val="both"/>
    </w:pPr>
    <w:rPr>
      <w:rFonts w:ascii="Times New Roman" w:hAnsi="Times New Roman" w:cs="Times New Roman"/>
      <w:sz w:val="24"/>
      <w:szCs w:val="24"/>
      <w:vertAlign w:val="superscript"/>
      <w:lang w:val="en-GB"/>
    </w:rPr>
  </w:style>
  <w:style w:type="table" w:customStyle="1" w:styleId="TableGrid3">
    <w:name w:val="Table Grid3"/>
    <w:basedOn w:val="TableNormal"/>
    <w:next w:val="TableGrid"/>
    <w:uiPriority w:val="59"/>
    <w:rsid w:val="00B576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57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DefaultParagraphFont"/>
    <w:uiPriority w:val="99"/>
    <w:unhideWhenUsed/>
    <w:rsid w:val="0086592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52936">
      <w:bodyDiv w:val="1"/>
      <w:marLeft w:val="0"/>
      <w:marRight w:val="0"/>
      <w:marTop w:val="0"/>
      <w:marBottom w:val="0"/>
      <w:divBdr>
        <w:top w:val="none" w:sz="0" w:space="0" w:color="auto"/>
        <w:left w:val="none" w:sz="0" w:space="0" w:color="auto"/>
        <w:bottom w:val="none" w:sz="0" w:space="0" w:color="auto"/>
        <w:right w:val="none" w:sz="0" w:space="0" w:color="auto"/>
      </w:divBdr>
    </w:div>
    <w:div w:id="419721347">
      <w:bodyDiv w:val="1"/>
      <w:marLeft w:val="0"/>
      <w:marRight w:val="0"/>
      <w:marTop w:val="0"/>
      <w:marBottom w:val="0"/>
      <w:divBdr>
        <w:top w:val="none" w:sz="0" w:space="0" w:color="auto"/>
        <w:left w:val="none" w:sz="0" w:space="0" w:color="auto"/>
        <w:bottom w:val="none" w:sz="0" w:space="0" w:color="auto"/>
        <w:right w:val="none" w:sz="0" w:space="0" w:color="auto"/>
      </w:divBdr>
    </w:div>
    <w:div w:id="529687248">
      <w:bodyDiv w:val="1"/>
      <w:marLeft w:val="0"/>
      <w:marRight w:val="0"/>
      <w:marTop w:val="0"/>
      <w:marBottom w:val="0"/>
      <w:divBdr>
        <w:top w:val="none" w:sz="0" w:space="0" w:color="auto"/>
        <w:left w:val="none" w:sz="0" w:space="0" w:color="auto"/>
        <w:bottom w:val="none" w:sz="0" w:space="0" w:color="auto"/>
        <w:right w:val="none" w:sz="0" w:space="0" w:color="auto"/>
      </w:divBdr>
    </w:div>
    <w:div w:id="617876224">
      <w:bodyDiv w:val="1"/>
      <w:marLeft w:val="0"/>
      <w:marRight w:val="0"/>
      <w:marTop w:val="0"/>
      <w:marBottom w:val="0"/>
      <w:divBdr>
        <w:top w:val="none" w:sz="0" w:space="0" w:color="auto"/>
        <w:left w:val="none" w:sz="0" w:space="0" w:color="auto"/>
        <w:bottom w:val="none" w:sz="0" w:space="0" w:color="auto"/>
        <w:right w:val="none" w:sz="0" w:space="0" w:color="auto"/>
      </w:divBdr>
    </w:div>
    <w:div w:id="948468309">
      <w:bodyDiv w:val="1"/>
      <w:marLeft w:val="0"/>
      <w:marRight w:val="0"/>
      <w:marTop w:val="0"/>
      <w:marBottom w:val="0"/>
      <w:divBdr>
        <w:top w:val="none" w:sz="0" w:space="0" w:color="auto"/>
        <w:left w:val="none" w:sz="0" w:space="0" w:color="auto"/>
        <w:bottom w:val="none" w:sz="0" w:space="0" w:color="auto"/>
        <w:right w:val="none" w:sz="0" w:space="0" w:color="auto"/>
      </w:divBdr>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80179298">
      <w:bodyDiv w:val="1"/>
      <w:marLeft w:val="0"/>
      <w:marRight w:val="0"/>
      <w:marTop w:val="0"/>
      <w:marBottom w:val="0"/>
      <w:divBdr>
        <w:top w:val="none" w:sz="0" w:space="0" w:color="auto"/>
        <w:left w:val="none" w:sz="0" w:space="0" w:color="auto"/>
        <w:bottom w:val="none" w:sz="0" w:space="0" w:color="auto"/>
        <w:right w:val="none" w:sz="0" w:space="0" w:color="auto"/>
      </w:divBdr>
    </w:div>
    <w:div w:id="108287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data.europa.eu/doi/10.2838/767183"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ata.europa.eu/doi/10.2838/15448" TargetMode="External"/><Relationship Id="rId23" Type="http://schemas.openxmlformats.org/officeDocument/2006/relationships/footer" Target="footer5.xml"/><Relationship Id="rId28" Type="http://schemas.microsoft.com/office/2020/10/relationships/intelligence" Target="intelligence2.xml"/><Relationship Id="rId10" Type="http://schemas.openxmlformats.org/officeDocument/2006/relationships/header" Target="header2.xml"/><Relationship Id="rId19" Type="http://schemas.openxmlformats.org/officeDocument/2006/relationships/hyperlink" Target="https://commission.europa.eu/live-work-travel-eu/consumer-rights-and-complaints/resolve-your-consumer-complaint/alternative-dispute-resolution-consumers_e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system/files/2023-03/ccs_2022_executive_summary.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net1.cec.eu.int\Homes\03\tuchtma\My%20Documents\ADR_stats_20230310-analys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User engagement:</a:t>
            </a:r>
            <a:r>
              <a:rPr lang="en-GB" baseline="0"/>
              <a:t> self-test results vs. submissions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1"/>
          <c:order val="0"/>
          <c:tx>
            <c:strRef>
              <c:f>Sheet1!$B$80</c:f>
              <c:strCache>
                <c:ptCount val="1"/>
                <c:pt idx="0">
                  <c:v>Complaints</c:v>
                </c:pt>
              </c:strCache>
            </c:strRef>
          </c:tx>
          <c:spPr>
            <a:solidFill>
              <a:schemeClr val="accent2"/>
            </a:solidFill>
            <a:ln>
              <a:noFill/>
            </a:ln>
            <a:effectLst/>
          </c:spPr>
          <c:invertIfNegative val="0"/>
          <c:cat>
            <c:numRef>
              <c:f>Sheet1!$A$81:$A$87</c:f>
              <c:numCache>
                <c:formatCode>General</c:formatCode>
                <c:ptCount val="7"/>
                <c:pt idx="0">
                  <c:v>2016</c:v>
                </c:pt>
                <c:pt idx="1">
                  <c:v>2017</c:v>
                </c:pt>
                <c:pt idx="2">
                  <c:v>2018</c:v>
                </c:pt>
                <c:pt idx="3">
                  <c:v>2019</c:v>
                </c:pt>
                <c:pt idx="4">
                  <c:v>2020</c:v>
                </c:pt>
                <c:pt idx="5">
                  <c:v>2021</c:v>
                </c:pt>
                <c:pt idx="6">
                  <c:v>2022</c:v>
                </c:pt>
              </c:numCache>
            </c:numRef>
          </c:cat>
          <c:val>
            <c:numRef>
              <c:f>Sheet1!$B$81:$B$87</c:f>
              <c:numCache>
                <c:formatCode>_-* #,##0_-;\-* #,##0_-;_-* "-"??_-;_-@_-</c:formatCode>
                <c:ptCount val="7"/>
                <c:pt idx="0">
                  <c:v>20176</c:v>
                </c:pt>
                <c:pt idx="1">
                  <c:v>32559</c:v>
                </c:pt>
                <c:pt idx="2">
                  <c:v>44979</c:v>
                </c:pt>
                <c:pt idx="3">
                  <c:v>31694</c:v>
                </c:pt>
                <c:pt idx="4">
                  <c:v>17461</c:v>
                </c:pt>
                <c:pt idx="5">
                  <c:v>13246</c:v>
                </c:pt>
                <c:pt idx="6">
                  <c:v>17012</c:v>
                </c:pt>
              </c:numCache>
            </c:numRef>
          </c:val>
          <c:extLst>
            <c:ext xmlns:c16="http://schemas.microsoft.com/office/drawing/2014/chart" uri="{C3380CC4-5D6E-409C-BE32-E72D297353CC}">
              <c16:uniqueId val="{00000000-4923-4AB5-9832-1E4375061260}"/>
            </c:ext>
          </c:extLst>
        </c:ser>
        <c:ser>
          <c:idx val="2"/>
          <c:order val="1"/>
          <c:tx>
            <c:strRef>
              <c:f>Sheet1!$C$80</c:f>
              <c:strCache>
                <c:ptCount val="1"/>
                <c:pt idx="0">
                  <c:v>Direct talks</c:v>
                </c:pt>
              </c:strCache>
            </c:strRef>
          </c:tx>
          <c:spPr>
            <a:solidFill>
              <a:schemeClr val="accent3"/>
            </a:solidFill>
            <a:ln>
              <a:noFill/>
            </a:ln>
            <a:effectLst/>
          </c:spPr>
          <c:invertIfNegative val="0"/>
          <c:val>
            <c:numRef>
              <c:f>Sheet1!$C$81:$C$87</c:f>
              <c:numCache>
                <c:formatCode>_-* #,##0_-;\-* #,##0_-;_-* "-"??_-;_-@_-</c:formatCode>
                <c:ptCount val="7"/>
                <c:pt idx="0">
                  <c:v>0</c:v>
                </c:pt>
                <c:pt idx="1">
                  <c:v>0</c:v>
                </c:pt>
                <c:pt idx="2">
                  <c:v>0</c:v>
                </c:pt>
                <c:pt idx="3" formatCode="General">
                  <c:v>5970</c:v>
                </c:pt>
                <c:pt idx="4" formatCode="General">
                  <c:v>24217</c:v>
                </c:pt>
                <c:pt idx="5" formatCode="General">
                  <c:v>21946</c:v>
                </c:pt>
                <c:pt idx="6" formatCode="General">
                  <c:v>28111</c:v>
                </c:pt>
              </c:numCache>
            </c:numRef>
          </c:val>
          <c:extLst>
            <c:ext xmlns:c16="http://schemas.microsoft.com/office/drawing/2014/chart" uri="{C3380CC4-5D6E-409C-BE32-E72D297353CC}">
              <c16:uniqueId val="{00000001-4923-4AB5-9832-1E4375061260}"/>
            </c:ext>
          </c:extLst>
        </c:ser>
        <c:dLbls>
          <c:showLegendKey val="0"/>
          <c:showVal val="0"/>
          <c:showCatName val="0"/>
          <c:showSerName val="0"/>
          <c:showPercent val="0"/>
          <c:showBubbleSize val="0"/>
        </c:dLbls>
        <c:gapWidth val="219"/>
        <c:overlap val="100"/>
        <c:axId val="885054968"/>
        <c:axId val="885052672"/>
      </c:barChart>
      <c:lineChart>
        <c:grouping val="standard"/>
        <c:varyColors val="0"/>
        <c:ser>
          <c:idx val="3"/>
          <c:order val="2"/>
          <c:tx>
            <c:strRef>
              <c:f>Sheet1!$D$80</c:f>
              <c:strCache>
                <c:ptCount val="1"/>
                <c:pt idx="0">
                  <c:v>Self test</c:v>
                </c:pt>
              </c:strCache>
            </c:strRef>
          </c:tx>
          <c:spPr>
            <a:ln w="28575" cap="rnd">
              <a:solidFill>
                <a:schemeClr val="accent4"/>
              </a:solidFill>
              <a:round/>
            </a:ln>
            <a:effectLst/>
          </c:spPr>
          <c:marker>
            <c:symbol val="none"/>
          </c:marker>
          <c:val>
            <c:numRef>
              <c:f>Sheet1!$D$81:$D$87</c:f>
              <c:numCache>
                <c:formatCode>_-* #,##0_-;\-* #,##0_-;_-* "-"??_-;_-@_-</c:formatCode>
                <c:ptCount val="7"/>
                <c:pt idx="0">
                  <c:v>0</c:v>
                </c:pt>
                <c:pt idx="1">
                  <c:v>0</c:v>
                </c:pt>
                <c:pt idx="2">
                  <c:v>0</c:v>
                </c:pt>
                <c:pt idx="3">
                  <c:v>100710</c:v>
                </c:pt>
                <c:pt idx="4">
                  <c:v>219378</c:v>
                </c:pt>
                <c:pt idx="5">
                  <c:v>155434</c:v>
                </c:pt>
                <c:pt idx="6">
                  <c:v>203129</c:v>
                </c:pt>
              </c:numCache>
            </c:numRef>
          </c:val>
          <c:smooth val="0"/>
          <c:extLst>
            <c:ext xmlns:c16="http://schemas.microsoft.com/office/drawing/2014/chart" uri="{C3380CC4-5D6E-409C-BE32-E72D297353CC}">
              <c16:uniqueId val="{00000002-4923-4AB5-9832-1E4375061260}"/>
            </c:ext>
          </c:extLst>
        </c:ser>
        <c:dLbls>
          <c:showLegendKey val="0"/>
          <c:showVal val="0"/>
          <c:showCatName val="0"/>
          <c:showSerName val="0"/>
          <c:showPercent val="0"/>
          <c:showBubbleSize val="0"/>
        </c:dLbls>
        <c:marker val="1"/>
        <c:smooth val="0"/>
        <c:axId val="885054968"/>
        <c:axId val="885052672"/>
      </c:lineChart>
      <c:catAx>
        <c:axId val="885054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5052672"/>
        <c:crosses val="autoZero"/>
        <c:auto val="1"/>
        <c:lblAlgn val="ctr"/>
        <c:lblOffset val="100"/>
        <c:noMultiLvlLbl val="0"/>
      </c:catAx>
      <c:valAx>
        <c:axId val="885052672"/>
        <c:scaling>
          <c:orientation val="minMax"/>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5054968"/>
        <c:crosses val="autoZero"/>
        <c:crossBetween val="between"/>
        <c:minorUnit val="1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CF9C3-AC7F-4B7E-BCDE-7B2A285D2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3558</Words>
  <Characters>19107</Characters>
  <Application>Microsoft Office Word</Application>
  <DocSecurity>0</DocSecurity>
  <Lines>454</Lines>
  <Paragraphs>233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26</cp:revision>
  <cp:lastPrinted>2023-07-21T00:28:00Z</cp:lastPrinted>
  <dcterms:created xsi:type="dcterms:W3CDTF">2023-10-13T07:22:00Z</dcterms:created>
  <dcterms:modified xsi:type="dcterms:W3CDTF">2023-10-13T08:46:00Z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CP-007</vt:lpwstr>
  </property>
  <property fmtid="{D5CDD505-2E9C-101B-9397-08002B2CF9AE}" pid="7" name="Last edited using">
    <vt:lpwstr>LW 9.0, Build 20230317</vt:lpwstr>
  </property>
  <property fmtid="{D5CDD505-2E9C-101B-9397-08002B2CF9AE}" pid="8" name="Created using">
    <vt:lpwstr>LW 8.1, Build 20220902</vt:lpwstr>
  </property>
  <property fmtid="{D5CDD505-2E9C-101B-9397-08002B2CF9AE}" pid="9" name="MSIP_Label_6bd9ddd1-4d20-43f6-abfa-fc3c07406f94_Enabled">
    <vt:lpwstr>true</vt:lpwstr>
  </property>
  <property fmtid="{D5CDD505-2E9C-101B-9397-08002B2CF9AE}" pid="10" name="MSIP_Label_6bd9ddd1-4d20-43f6-abfa-fc3c07406f94_SetDate">
    <vt:lpwstr>2023-04-12T09:19:20Z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04c9d926-1c6d-499e-b1fc-a556e2e2584b</vt:lpwstr>
  </property>
  <property fmtid="{D5CDD505-2E9C-101B-9397-08002B2CF9AE}" pid="15" name="MSIP_Label_6bd9ddd1-4d20-43f6-abfa-fc3c07406f94_ContentBits">
    <vt:lpwstr>0</vt:lpwstr>
  </property>
</Properties>
</file>