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27708" w14:textId="5922377F" w:rsidR="00112030" w:rsidRPr="00AD38E8" w:rsidRDefault="00C444F2" w:rsidP="00C444F2">
      <w:pPr>
        <w:pStyle w:val="Pagedecouverture"/>
        <w:rPr>
          <w:noProof/>
        </w:rPr>
      </w:pPr>
      <w:r>
        <w:rPr>
          <w:noProof/>
        </w:rPr>
        <w:pict w14:anchorId="63876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CFD44F0-A403-4B0D-993E-8324390051F0" style="width:455.25pt;height:468.75pt">
            <v:imagedata r:id="rId7" o:title=""/>
          </v:shape>
        </w:pict>
      </w:r>
    </w:p>
    <w:p w14:paraId="52ED2C2C" w14:textId="77777777" w:rsidR="00112030" w:rsidRPr="00AD38E8" w:rsidRDefault="00112030" w:rsidP="00112030">
      <w:pPr>
        <w:rPr>
          <w:noProof/>
        </w:rPr>
        <w:sectPr w:rsidR="00112030" w:rsidRPr="00AD38E8" w:rsidSect="00C444F2">
          <w:footerReference w:type="default" r:id="rId8"/>
          <w:pgSz w:w="11907" w:h="16839"/>
          <w:pgMar w:top="1134" w:right="1417" w:bottom="1134" w:left="1417" w:header="709" w:footer="709" w:gutter="0"/>
          <w:pgNumType w:start="0"/>
          <w:cols w:space="720"/>
          <w:docGrid w:linePitch="360"/>
        </w:sectPr>
      </w:pPr>
    </w:p>
    <w:p w14:paraId="6FC46BA6" w14:textId="77777777" w:rsidR="00112030" w:rsidRPr="00AD38E8" w:rsidRDefault="00112030" w:rsidP="00BB6B30">
      <w:pPr>
        <w:pStyle w:val="Exposdesmotifstitre"/>
        <w:rPr>
          <w:noProof/>
        </w:rPr>
      </w:pPr>
      <w:bookmarkStart w:id="0" w:name="_GoBack"/>
      <w:bookmarkEnd w:id="0"/>
      <w:r w:rsidRPr="00AD38E8">
        <w:rPr>
          <w:noProof/>
        </w:rPr>
        <w:lastRenderedPageBreak/>
        <w:t>BEGRÜNDUNG</w:t>
      </w:r>
    </w:p>
    <w:p w14:paraId="5D62AD13" w14:textId="77777777" w:rsidR="00112030" w:rsidRPr="00AD38E8" w:rsidRDefault="00112030" w:rsidP="00BB7C00">
      <w:pPr>
        <w:pStyle w:val="Heading"/>
        <w:numPr>
          <w:ilvl w:val="0"/>
          <w:numId w:val="1"/>
        </w:numPr>
        <w:rPr>
          <w:noProof/>
        </w:rPr>
      </w:pPr>
      <w:r w:rsidRPr="00AD38E8">
        <w:rPr>
          <w:noProof/>
        </w:rPr>
        <w:t>Gegenstand des Vorschlags</w:t>
      </w:r>
    </w:p>
    <w:p w14:paraId="2D968FCA" w14:textId="77777777" w:rsidR="00112030" w:rsidRPr="00AD38E8" w:rsidRDefault="00112030" w:rsidP="00112030">
      <w:pPr>
        <w:pStyle w:val="Body"/>
        <w:rPr>
          <w:noProof/>
        </w:rPr>
      </w:pPr>
      <w:r w:rsidRPr="00AD38E8">
        <w:rPr>
          <w:noProof/>
        </w:rPr>
        <w:t>Vorgeschlagen wird ein Beschluss zur Festlegung des Standpunkts, der im Namen der Union im Gemeinsamen EWR-Ausschuss im Zusammenhang mit der geplanten Annahme des Beschlusses des Gemeinsamen Ausschusses zur Änderung von Anhang XIII (Verkehr) des EWR-Abkommens zu vertreten ist.</w:t>
      </w:r>
    </w:p>
    <w:p w14:paraId="041702B7" w14:textId="77777777" w:rsidR="00112030" w:rsidRPr="00AD38E8" w:rsidRDefault="00112030" w:rsidP="00BB7C00">
      <w:pPr>
        <w:pStyle w:val="Heading"/>
        <w:numPr>
          <w:ilvl w:val="0"/>
          <w:numId w:val="1"/>
        </w:numPr>
        <w:rPr>
          <w:noProof/>
        </w:rPr>
      </w:pPr>
      <w:r w:rsidRPr="00AD38E8">
        <w:rPr>
          <w:noProof/>
        </w:rPr>
        <w:t>Kontext des Vorschlags</w:t>
      </w:r>
    </w:p>
    <w:p w14:paraId="01CFE127" w14:textId="50271DA0" w:rsidR="00112030" w:rsidRPr="00AD38E8" w:rsidRDefault="00D770BA" w:rsidP="00D770BA">
      <w:pPr>
        <w:pStyle w:val="ManualHeading2"/>
        <w:rPr>
          <w:noProof/>
        </w:rPr>
      </w:pPr>
      <w:r w:rsidRPr="00D770BA">
        <w:t>2.1.</w:t>
      </w:r>
      <w:r w:rsidRPr="00D770BA">
        <w:tab/>
      </w:r>
      <w:r w:rsidR="00112030" w:rsidRPr="00AD38E8">
        <w:rPr>
          <w:noProof/>
        </w:rPr>
        <w:t>EWR-Abkommen</w:t>
      </w:r>
    </w:p>
    <w:p w14:paraId="1EFD5143" w14:textId="77777777" w:rsidR="00112030" w:rsidRPr="00AD38E8" w:rsidRDefault="00112030" w:rsidP="00112030">
      <w:pPr>
        <w:pStyle w:val="Body"/>
        <w:rPr>
          <w:noProof/>
        </w:rPr>
      </w:pPr>
      <w:r w:rsidRPr="00AD38E8">
        <w:rPr>
          <w:noProof/>
        </w:rPr>
        <w:t>Das Abkommen über den Europäischen Wirtschaftsraum (im Folgenden „EWR-Abkommen“) garantiert den Bürgerinnen und Bürgern und den Marktteilnehmern im EWR gleiche Rechte und Pflichten im Binnenmarkt. Es sieht vor, dass die EU-Rechtsvorschriften, die die vier Freiheiten regeln, in allen 30 EWR-Staaten – den EU-Mitgliedstaaten, Norwegen, Island und Liechtenstein – Anwendung finden. Darüber hinaus betrifft das EWR-Abkommen die Zusammenarbeit in anderen wichtigen Bereichen wie Forschung und Entwicklung, Bildung, Sozialpolitik, Umwelt, Verbraucherschutz, Tourismus und Kultur, die zusammen als „begleitende und horizontale“ Politikbereiche bezeichnet werden. Das EWR-Abkommen trat am 1. Januar 1994 in Kraft. Die Union ist gemeinsam mit ihren Mitgliedstaaten Vertragspartei des EWR-Abkommens.</w:t>
      </w:r>
    </w:p>
    <w:p w14:paraId="772344BD" w14:textId="5659DAAE" w:rsidR="00112030" w:rsidRPr="00AD38E8" w:rsidRDefault="00D770BA" w:rsidP="00D770BA">
      <w:pPr>
        <w:pStyle w:val="ManualHeading2"/>
        <w:rPr>
          <w:noProof/>
        </w:rPr>
      </w:pPr>
      <w:r w:rsidRPr="00D770BA">
        <w:t>2.2.</w:t>
      </w:r>
      <w:r w:rsidRPr="00D770BA">
        <w:tab/>
      </w:r>
      <w:r w:rsidR="00112030" w:rsidRPr="00AD38E8">
        <w:rPr>
          <w:noProof/>
        </w:rPr>
        <w:t>Gemeinsamer EWR-Ausschuss</w:t>
      </w:r>
    </w:p>
    <w:p w14:paraId="1F110FDB" w14:textId="77777777" w:rsidR="00112030" w:rsidRPr="00AD38E8" w:rsidRDefault="00112030" w:rsidP="00112030">
      <w:pPr>
        <w:pStyle w:val="Body"/>
        <w:rPr>
          <w:noProof/>
        </w:rPr>
      </w:pPr>
      <w:r w:rsidRPr="00AD38E8">
        <w:rPr>
          <w:noProof/>
        </w:rPr>
        <w:t>Der Gemeinsame EWR-Ausschuss ist für die Verwaltung des EWR-Abkommens zuständig. Er bildet ein Forum für den Meinungsaustausch im Zusammenhang mit dem Funktionieren des EWR-Abkommens. Seine Beschlüsse werden einvernehmlich gefasst und sind für die Vertragsparteien verbindlich. Für die Koordinierung von EWR-Angelegenheiten aufseiten der EU ist das Generalsekretariat der Europäischen Kommission zuständig. </w:t>
      </w:r>
    </w:p>
    <w:p w14:paraId="6C9A0E83" w14:textId="09211CC8" w:rsidR="00112030" w:rsidRPr="00AD38E8" w:rsidRDefault="00D770BA" w:rsidP="00D770BA">
      <w:pPr>
        <w:pStyle w:val="ManualHeading2"/>
        <w:rPr>
          <w:noProof/>
        </w:rPr>
      </w:pPr>
      <w:r w:rsidRPr="00D770BA">
        <w:t>2.3.</w:t>
      </w:r>
      <w:r w:rsidRPr="00D770BA">
        <w:tab/>
      </w:r>
      <w:r w:rsidR="00112030" w:rsidRPr="00AD38E8">
        <w:rPr>
          <w:noProof/>
        </w:rPr>
        <w:t>Vorgesehener Akt des Gemeinsamen EWR-Ausschusses</w:t>
      </w:r>
    </w:p>
    <w:p w14:paraId="6D2B9C24" w14:textId="77777777" w:rsidR="00112030" w:rsidRPr="00AD38E8" w:rsidRDefault="00112030" w:rsidP="00112030">
      <w:pPr>
        <w:pStyle w:val="Body"/>
        <w:rPr>
          <w:noProof/>
        </w:rPr>
      </w:pPr>
      <w:r w:rsidRPr="00AD38E8">
        <w:rPr>
          <w:noProof/>
        </w:rPr>
        <w:t>Der Gemeinsame EWR-Ausschuss soll einen Beschluss (im Folgenden „vorgesehener Akt“) zur Änderung von Anhang XIII (Verkehr) des EWR-Abkommens annehmen.</w:t>
      </w:r>
    </w:p>
    <w:p w14:paraId="3D12084A" w14:textId="77777777" w:rsidR="00112030" w:rsidRPr="00AD38E8" w:rsidRDefault="00112030" w:rsidP="00112030">
      <w:pPr>
        <w:pStyle w:val="Body"/>
        <w:rPr>
          <w:noProof/>
        </w:rPr>
      </w:pPr>
      <w:r w:rsidRPr="00AD38E8">
        <w:rPr>
          <w:noProof/>
        </w:rPr>
        <w:t>Mit dem vorgesehenen Akt soll die Verordnung zur Errichtung einer Europäischen Agentur für die Sicherheit des Seeverkehrs</w:t>
      </w:r>
      <w:r w:rsidRPr="00AD38E8">
        <w:rPr>
          <w:rStyle w:val="FootnoteReference"/>
          <w:noProof/>
        </w:rPr>
        <w:footnoteReference w:id="1"/>
      </w:r>
      <w:r w:rsidRPr="00AD38E8">
        <w:rPr>
          <w:noProof/>
        </w:rPr>
        <w:t xml:space="preserve"> (im Folgenden „EMSA-Verordnung“) in das EWR-Abkommen aufgenommen werden. </w:t>
      </w:r>
    </w:p>
    <w:p w14:paraId="77D4D86B" w14:textId="77777777" w:rsidR="00AB72F8" w:rsidRPr="00AD38E8" w:rsidRDefault="00AB72F8" w:rsidP="00AB72F8">
      <w:pPr>
        <w:pStyle w:val="Body"/>
        <w:rPr>
          <w:rFonts w:eastAsia="Arial Unicode MS" w:cs="Arial Unicode MS"/>
          <w:noProof/>
        </w:rPr>
      </w:pPr>
      <w:r w:rsidRPr="00AD38E8">
        <w:rPr>
          <w:noProof/>
        </w:rPr>
        <w:t xml:space="preserve">Im Einklang mit den Artikeln 103 und 104 des EWR-Abkommens wird der vorgesehene Akt für die Vertragsparteien verbindlich sein. </w:t>
      </w:r>
    </w:p>
    <w:p w14:paraId="3B7F8366" w14:textId="77777777" w:rsidR="00112030" w:rsidRPr="00AD38E8" w:rsidRDefault="00112030" w:rsidP="00BB7C00">
      <w:pPr>
        <w:pStyle w:val="Heading"/>
        <w:numPr>
          <w:ilvl w:val="0"/>
          <w:numId w:val="1"/>
        </w:numPr>
        <w:rPr>
          <w:noProof/>
        </w:rPr>
      </w:pPr>
      <w:r w:rsidRPr="00AD38E8">
        <w:rPr>
          <w:noProof/>
        </w:rPr>
        <w:t>Im Namen der Union zu vertretender Standpunkt</w:t>
      </w:r>
    </w:p>
    <w:p w14:paraId="25E0A3B8" w14:textId="77777777" w:rsidR="00112030" w:rsidRPr="00AD38E8" w:rsidRDefault="00112030" w:rsidP="00112030">
      <w:pPr>
        <w:pStyle w:val="Body"/>
        <w:rPr>
          <w:noProof/>
        </w:rPr>
      </w:pPr>
      <w:r w:rsidRPr="00AD38E8">
        <w:rPr>
          <w:noProof/>
        </w:rPr>
        <w:t>Die Kommission legt dem Rat den im Entwurf beigefügten Beschluss des Gemeinsamen EWR-Ausschusses zur Annahme als Standpunkt der Union vor. Der Standpunkt sollte nach seiner Annahme baldmöglichst dem Gemeinsamen EWR-Ausschuss unterbreitet werden.</w:t>
      </w:r>
    </w:p>
    <w:p w14:paraId="35F57E25" w14:textId="77777777" w:rsidR="00112030" w:rsidRPr="00AD38E8" w:rsidRDefault="00112030" w:rsidP="00112030">
      <w:pPr>
        <w:pStyle w:val="Body"/>
        <w:rPr>
          <w:noProof/>
        </w:rPr>
      </w:pPr>
      <w:r w:rsidRPr="00AD38E8">
        <w:rPr>
          <w:noProof/>
        </w:rPr>
        <w:lastRenderedPageBreak/>
        <w:t>Mit dem beigefügten Entwurf des Beschlusses des Gemeinsamen EWR-Ausschusses werden Beteiligungsrechte der EWR-EFTA-Staaten an der Europäischen Agentur für die Sicherheit des Seeverkehrs eingeführt, was über das hinausgeht, was als rein technische Anpassungen im Sinne der Verordnung (EG) Nr. 2894/94 des Rates angesehen werden kann. Der Standpunkt der Union ist daher vom Rat festzulegen.</w:t>
      </w:r>
    </w:p>
    <w:p w14:paraId="25F5230A" w14:textId="77777777" w:rsidR="00112030" w:rsidRPr="00AD38E8" w:rsidRDefault="00112030" w:rsidP="00BB7C00">
      <w:pPr>
        <w:pStyle w:val="Heading"/>
        <w:numPr>
          <w:ilvl w:val="0"/>
          <w:numId w:val="1"/>
        </w:numPr>
        <w:rPr>
          <w:noProof/>
        </w:rPr>
      </w:pPr>
      <w:r w:rsidRPr="00AD38E8">
        <w:rPr>
          <w:noProof/>
        </w:rPr>
        <w:t>Rechtsgrundlage</w:t>
      </w:r>
    </w:p>
    <w:p w14:paraId="484E090E" w14:textId="208AD52F" w:rsidR="00112030" w:rsidRPr="00AD38E8" w:rsidRDefault="00D770BA" w:rsidP="00D770BA">
      <w:pPr>
        <w:pStyle w:val="ManualHeading2"/>
        <w:rPr>
          <w:noProof/>
        </w:rPr>
      </w:pPr>
      <w:r w:rsidRPr="00D770BA">
        <w:t>4.1.</w:t>
      </w:r>
      <w:r w:rsidRPr="00D770BA">
        <w:tab/>
      </w:r>
      <w:r w:rsidR="00112030" w:rsidRPr="00AD38E8">
        <w:rPr>
          <w:noProof/>
        </w:rPr>
        <w:t>Verfahrensrechtliche Grundlage</w:t>
      </w:r>
    </w:p>
    <w:p w14:paraId="74BE306E" w14:textId="03CE687A" w:rsidR="00112030" w:rsidRPr="00AD38E8" w:rsidRDefault="00D770BA" w:rsidP="00D770BA">
      <w:pPr>
        <w:pStyle w:val="ManualHeading3"/>
        <w:rPr>
          <w:noProof/>
        </w:rPr>
      </w:pPr>
      <w:r w:rsidRPr="00D770BA">
        <w:t>4.1.1.</w:t>
      </w:r>
      <w:r w:rsidRPr="00D770BA">
        <w:tab/>
      </w:r>
      <w:r w:rsidR="00112030" w:rsidRPr="00AD38E8">
        <w:rPr>
          <w:noProof/>
        </w:rPr>
        <w:t>Grundsätze</w:t>
      </w:r>
    </w:p>
    <w:p w14:paraId="3F54DDB4" w14:textId="77777777" w:rsidR="00112030" w:rsidRPr="00AD38E8" w:rsidRDefault="00112030" w:rsidP="00112030">
      <w:pPr>
        <w:pStyle w:val="Body"/>
        <w:rPr>
          <w:noProof/>
        </w:rPr>
      </w:pPr>
      <w:r w:rsidRPr="00AD38E8">
        <w:rPr>
          <w:noProof/>
        </w:rPr>
        <w:t>Artikel 218 Absatz 9 des Vertrags über die Arbeitsweise der Europäischen Union (AEUV) sieht Beschlüsse vor „zur Festlegung der 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w:t>
      </w:r>
    </w:p>
    <w:p w14:paraId="35CA120A" w14:textId="77777777" w:rsidR="00112030" w:rsidRPr="00AD38E8" w:rsidRDefault="00112030" w:rsidP="00112030">
      <w:pPr>
        <w:pStyle w:val="Body"/>
        <w:rPr>
          <w:noProof/>
        </w:rPr>
      </w:pPr>
      <w:r w:rsidRPr="00AD38E8">
        <w:rPr>
          <w:noProof/>
        </w:rPr>
        <w:t>Der Begriff „rechtswirksame Akte“ erfasst auch Akte, die kraft völkerrechtlicher Regelungen, denen das betreffende Gremium unterliegt, Rechtswirkung entfalten. Darunter fallen auch Instrumente, die völkerrechtlich nicht bindend, aber „geeignet [sind], den Inhalt der vom Unionsgesetzgeber … erlassenen Regelung maßgeblich zu beeinflussen“</w:t>
      </w:r>
      <w:r w:rsidRPr="00AD38E8">
        <w:rPr>
          <w:rStyle w:val="FootnoteReference"/>
          <w:noProof/>
        </w:rPr>
        <w:footnoteReference w:id="2"/>
      </w:r>
      <w:r w:rsidRPr="00AD38E8">
        <w:rPr>
          <w:noProof/>
        </w:rPr>
        <w:t>.</w:t>
      </w:r>
    </w:p>
    <w:p w14:paraId="2422E6B2" w14:textId="6F75586E" w:rsidR="00112030" w:rsidRPr="00AD38E8" w:rsidRDefault="00D770BA" w:rsidP="00D770BA">
      <w:pPr>
        <w:pStyle w:val="ManualHeading3"/>
        <w:rPr>
          <w:noProof/>
        </w:rPr>
      </w:pPr>
      <w:r w:rsidRPr="00D770BA">
        <w:t>4.1.2.</w:t>
      </w:r>
      <w:r w:rsidRPr="00D770BA">
        <w:tab/>
      </w:r>
      <w:r w:rsidR="00112030" w:rsidRPr="00AD38E8">
        <w:rPr>
          <w:noProof/>
        </w:rPr>
        <w:t>Anwendung auf den vorliegenden Fall</w:t>
      </w:r>
    </w:p>
    <w:p w14:paraId="69F90511" w14:textId="77777777" w:rsidR="00112030" w:rsidRPr="00F77B64" w:rsidRDefault="00112030" w:rsidP="00112030">
      <w:pPr>
        <w:pStyle w:val="Body"/>
      </w:pPr>
      <w:r w:rsidRPr="00AD38E8">
        <w:rPr>
          <w:noProof/>
        </w:rPr>
        <w:t xml:space="preserve">Der Gemeinsame EWR-Ausschuss ist ein durch eine Übereinkunft, nämlich das EWR-Abkommen, eingesetztes Gremium. Bei dem Akt, den der Gemeinsame EWR-Ausschuss annehmen soll, handelt es sich um einen rechtswirksamen Akt. Der vorgesehene Akt wird nach den Artikeln 103 und 104 des EWR-Abkommens völkerrechtlich bindend sein. </w:t>
      </w:r>
    </w:p>
    <w:p w14:paraId="1144452E" w14:textId="77777777" w:rsidR="00112030" w:rsidRPr="00AD38E8" w:rsidRDefault="00112030" w:rsidP="00112030">
      <w:pPr>
        <w:pStyle w:val="Body"/>
        <w:rPr>
          <w:noProof/>
        </w:rPr>
      </w:pPr>
      <w:r w:rsidRPr="00AD38E8">
        <w:rPr>
          <w:noProof/>
        </w:rPr>
        <w:t>Mit dem vorgesehenen Akt wird der institutionelle Rahmen des Abkommens weder ergänzt noch geändert. Die verfahrensrechtliche Grundlage für den vorgeschlagenen Beschluss ist daher Artikel 218 Absatz 9 AEUV in Verbindung mit Artikel 1 Absatz 3 der Verordnung (EG) Nr. 2894/94 des Rates mit Durchführungsvorschriften zum Abkommen über den Europäischen Wirtschaftsraum.</w:t>
      </w:r>
    </w:p>
    <w:p w14:paraId="031EADB0" w14:textId="142F2399" w:rsidR="00112030" w:rsidRPr="00AD38E8" w:rsidRDefault="00D770BA" w:rsidP="00D770BA">
      <w:pPr>
        <w:pStyle w:val="ManualHeading2"/>
        <w:rPr>
          <w:noProof/>
        </w:rPr>
      </w:pPr>
      <w:r w:rsidRPr="00D770BA">
        <w:t>4.2.</w:t>
      </w:r>
      <w:r w:rsidRPr="00D770BA">
        <w:tab/>
      </w:r>
      <w:r w:rsidR="00112030" w:rsidRPr="00AD38E8">
        <w:rPr>
          <w:noProof/>
        </w:rPr>
        <w:t>Materiellrechtliche Grundlage</w:t>
      </w:r>
    </w:p>
    <w:p w14:paraId="4AF9E059" w14:textId="15CA7D21" w:rsidR="00112030" w:rsidRPr="00AD38E8" w:rsidRDefault="00D770BA" w:rsidP="00D770BA">
      <w:pPr>
        <w:pStyle w:val="ManualHeading3"/>
        <w:rPr>
          <w:noProof/>
        </w:rPr>
      </w:pPr>
      <w:r w:rsidRPr="00D770BA">
        <w:t>4.2.1.</w:t>
      </w:r>
      <w:r w:rsidRPr="00D770BA">
        <w:tab/>
      </w:r>
      <w:r w:rsidR="00112030" w:rsidRPr="00AD38E8">
        <w:rPr>
          <w:noProof/>
        </w:rPr>
        <w:t>Grundsätze</w:t>
      </w:r>
    </w:p>
    <w:p w14:paraId="6F20A500" w14:textId="77777777" w:rsidR="00112030" w:rsidRPr="00AD38E8" w:rsidRDefault="00112030" w:rsidP="00112030">
      <w:pPr>
        <w:pStyle w:val="Body"/>
        <w:rPr>
          <w:noProof/>
        </w:rPr>
      </w:pPr>
      <w:r w:rsidRPr="00AD38E8">
        <w:rPr>
          <w:noProof/>
        </w:rPr>
        <w:t xml:space="preserve">Die materielle Rechtsgrundlage für einen Beschluss nach Artikel 218 Absatz 9 AEUV in Verbindung mit Artikel 1 Absatz 3 der Verordnung (EG) Nr. 2894/94 des Rates hängt in erster Linie von der materiellen Rechtsgrundlage des in das EWR-Abkommen aufzunehmenden Rechtsakts der EU ab. </w:t>
      </w:r>
    </w:p>
    <w:p w14:paraId="5266ECB5" w14:textId="77777777" w:rsidR="00112030" w:rsidRPr="00AD38E8" w:rsidRDefault="00112030" w:rsidP="00112030">
      <w:pPr>
        <w:pStyle w:val="Body"/>
        <w:rPr>
          <w:noProof/>
        </w:rPr>
      </w:pPr>
      <w:r w:rsidRPr="00AD38E8">
        <w:rPr>
          <w:noProof/>
        </w:rPr>
        <w:t>Liegt dem vorgesehenen Akt ein doppelter Zweck oder Gegenstand zugrunde und ist einer davon der wesentliche und der andere von untergeordneter Bedeutung, so muss der Beschluss nach Artikel 218 Absatz 9 AEUV auf eine einzige materielle Rechtsgrundlage gestützt werden, nämlich auf diejenige, die der wesentliche oder vorrangige Zweck oder Gegenstand verlangt.</w:t>
      </w:r>
    </w:p>
    <w:p w14:paraId="5193B165" w14:textId="6D8155EE" w:rsidR="00112030" w:rsidRPr="00AD38E8" w:rsidRDefault="00D770BA" w:rsidP="00D770BA">
      <w:pPr>
        <w:pStyle w:val="ManualHeading3"/>
        <w:rPr>
          <w:noProof/>
        </w:rPr>
      </w:pPr>
      <w:r w:rsidRPr="00D770BA">
        <w:t>4.2.2.</w:t>
      </w:r>
      <w:r w:rsidRPr="00D770BA">
        <w:tab/>
      </w:r>
      <w:r w:rsidR="00112030" w:rsidRPr="00AD38E8">
        <w:rPr>
          <w:noProof/>
        </w:rPr>
        <w:t>Anwendung auf den vorliegenden Fall</w:t>
      </w:r>
    </w:p>
    <w:p w14:paraId="2A096122" w14:textId="77777777" w:rsidR="00112030" w:rsidRPr="00AD38E8" w:rsidRDefault="00112030" w:rsidP="00187FAB">
      <w:pPr>
        <w:pStyle w:val="Body"/>
        <w:rPr>
          <w:noProof/>
        </w:rPr>
      </w:pPr>
      <w:r w:rsidRPr="00AD38E8">
        <w:rPr>
          <w:noProof/>
        </w:rPr>
        <w:t>Da mit dem Beschluss des Gemeinsamen Ausschusses die Verordnung (EU) Nr. 100/2013 des Europäischen Parlaments und des Rates vom 15. Januar 2013 zur Änderung der Verordnung (EG) Nr. 1406/2002 (ABl. L 39 vom 9.2.2013, S. 30) in das EWR-Abkommen aufgenommen wird, sollte sich der vorgeschlagene Beschluss des Rates auf dieselbe materielle Rechtsgrundlage stützen wie der aufzunehmende Rechtsakt. Somit ist Artikel 100 Absatz 2 AEUV die materielle Rechtsgrundlage für den vorgeschlagenen Beschluss.</w:t>
      </w:r>
    </w:p>
    <w:p w14:paraId="44E02F57" w14:textId="24C67B9F" w:rsidR="00112030" w:rsidRPr="00AD38E8" w:rsidRDefault="00D770BA" w:rsidP="00D770BA">
      <w:pPr>
        <w:pStyle w:val="ManualHeading2"/>
        <w:rPr>
          <w:noProof/>
        </w:rPr>
      </w:pPr>
      <w:r w:rsidRPr="00D770BA">
        <w:t>4.3.</w:t>
      </w:r>
      <w:r w:rsidRPr="00D770BA">
        <w:tab/>
      </w:r>
      <w:r w:rsidR="00112030" w:rsidRPr="00AD38E8">
        <w:rPr>
          <w:noProof/>
        </w:rPr>
        <w:t>Schlussfolgerung</w:t>
      </w:r>
    </w:p>
    <w:p w14:paraId="6784FC36" w14:textId="77777777" w:rsidR="00112030" w:rsidRPr="00AD38E8" w:rsidRDefault="00112030" w:rsidP="00112030">
      <w:pPr>
        <w:pStyle w:val="Body"/>
        <w:rPr>
          <w:noProof/>
        </w:rPr>
      </w:pPr>
      <w:r w:rsidRPr="00AD38E8">
        <w:rPr>
          <w:noProof/>
        </w:rPr>
        <w:t>Die Rechtsgrundlage für den vorgeschlagenen Beschluss sollte Artikel 100 Absatz 2 AEUV in Verbindung mit Artikel 218 Absatz 9 AEUV und Artikel 1 Absatz 3 der Verordnung (EG) Nr. 2894/94 des Rates mit Durchführungsvorschriften zum EWR-Abkommen sein.</w:t>
      </w:r>
    </w:p>
    <w:p w14:paraId="73CC9B20" w14:textId="77777777" w:rsidR="00112030" w:rsidRPr="00AD38E8" w:rsidRDefault="00112030" w:rsidP="00BB7C00">
      <w:pPr>
        <w:pStyle w:val="Heading"/>
        <w:numPr>
          <w:ilvl w:val="0"/>
          <w:numId w:val="1"/>
        </w:numPr>
        <w:rPr>
          <w:noProof/>
        </w:rPr>
      </w:pPr>
      <w:r w:rsidRPr="00AD38E8">
        <w:rPr>
          <w:noProof/>
        </w:rPr>
        <w:t>Veröffentlichung des vorgesehenen Aktes</w:t>
      </w:r>
    </w:p>
    <w:p w14:paraId="0B680FF7" w14:textId="77777777" w:rsidR="00112030" w:rsidRPr="00AD38E8" w:rsidRDefault="00112030" w:rsidP="00112030">
      <w:pPr>
        <w:pStyle w:val="Body"/>
        <w:rPr>
          <w:noProof/>
        </w:rPr>
      </w:pPr>
      <w:r w:rsidRPr="00AD38E8">
        <w:rPr>
          <w:noProof/>
        </w:rPr>
        <w:t xml:space="preserve">Da mit dem Akt des Gemeinsamen EWR-Ausschusses Anhang XIII (Verkehr) des EWR-Abkommens geändert wird, sollte er nach seiner Annahme im </w:t>
      </w:r>
      <w:r w:rsidRPr="00AD38E8">
        <w:rPr>
          <w:i/>
          <w:iCs/>
          <w:noProof/>
        </w:rPr>
        <w:t>Amtsblatt der Europäischen Union</w:t>
      </w:r>
      <w:r w:rsidRPr="00AD38E8">
        <w:rPr>
          <w:noProof/>
        </w:rPr>
        <w:t xml:space="preserve"> veröffentlicht werden.</w:t>
      </w:r>
    </w:p>
    <w:p w14:paraId="32393B97" w14:textId="77777777" w:rsidR="00112030" w:rsidRPr="00AD38E8" w:rsidRDefault="00112030" w:rsidP="00112030">
      <w:pPr>
        <w:pStyle w:val="ManualHeading1"/>
        <w:rPr>
          <w:i/>
          <w:iCs/>
          <w:noProof/>
        </w:rPr>
      </w:pPr>
    </w:p>
    <w:p w14:paraId="58AFE6EC" w14:textId="77777777" w:rsidR="00112030" w:rsidRPr="00AD38E8" w:rsidRDefault="00112030" w:rsidP="00112030">
      <w:pPr>
        <w:pStyle w:val="BodyText2"/>
        <w:jc w:val="both"/>
        <w:rPr>
          <w:i w:val="0"/>
          <w:iCs w:val="0"/>
          <w:noProof/>
        </w:rPr>
      </w:pPr>
    </w:p>
    <w:p w14:paraId="6F3AC81E" w14:textId="77777777" w:rsidR="00112030" w:rsidRPr="00AD38E8" w:rsidRDefault="00112030" w:rsidP="00112030">
      <w:pPr>
        <w:pStyle w:val="Body"/>
        <w:rPr>
          <w:noProof/>
        </w:rPr>
        <w:sectPr w:rsidR="00112030" w:rsidRPr="00AD38E8" w:rsidSect="00C444F2">
          <w:footerReference w:type="default" r:id="rId9"/>
          <w:footerReference w:type="first" r:id="rId10"/>
          <w:pgSz w:w="11900" w:h="16840"/>
          <w:pgMar w:top="1134" w:right="1417" w:bottom="1134" w:left="1417" w:header="709" w:footer="709" w:gutter="0"/>
          <w:pgNumType w:start="1"/>
          <w:cols w:space="720"/>
          <w:docGrid w:linePitch="326"/>
        </w:sectPr>
      </w:pPr>
    </w:p>
    <w:p w14:paraId="0864FA17" w14:textId="244D92D9" w:rsidR="002E6545" w:rsidRDefault="002E6545" w:rsidP="002E6545">
      <w:pPr>
        <w:pStyle w:val="Rfrenceinterinstitutionnelle"/>
        <w:rPr>
          <w:noProof/>
        </w:rPr>
      </w:pPr>
      <w:r w:rsidRPr="002E6545">
        <w:t>2023/0366 (NLE)</w:t>
      </w:r>
    </w:p>
    <w:p w14:paraId="3D1C25AD" w14:textId="08AA4D52" w:rsidR="00112030" w:rsidRPr="00AD38E8" w:rsidRDefault="00AD38E8" w:rsidP="00AD38E8">
      <w:pPr>
        <w:pStyle w:val="Statut"/>
        <w:rPr>
          <w:noProof/>
        </w:rPr>
      </w:pPr>
      <w:r w:rsidRPr="00AD38E8">
        <w:rPr>
          <w:noProof/>
        </w:rPr>
        <w:t>Vorschlag für einen</w:t>
      </w:r>
    </w:p>
    <w:p w14:paraId="7BDE4492" w14:textId="11E10728" w:rsidR="00112030" w:rsidRPr="00AD38E8" w:rsidRDefault="00AD38E8" w:rsidP="00AD38E8">
      <w:pPr>
        <w:pStyle w:val="Typedudocument"/>
        <w:rPr>
          <w:noProof/>
        </w:rPr>
      </w:pPr>
      <w:r w:rsidRPr="00AD38E8">
        <w:rPr>
          <w:noProof/>
        </w:rPr>
        <w:t>BESCHLUSS DES RATES</w:t>
      </w:r>
    </w:p>
    <w:p w14:paraId="18F9965E" w14:textId="1B5D5D80" w:rsidR="00112030" w:rsidRPr="00AD38E8" w:rsidRDefault="00AD38E8" w:rsidP="00AD38E8">
      <w:pPr>
        <w:pStyle w:val="Titreobjet"/>
        <w:rPr>
          <w:noProof/>
        </w:rPr>
      </w:pPr>
      <w:r w:rsidRPr="00AD38E8">
        <w:rPr>
          <w:noProof/>
        </w:rPr>
        <w:t xml:space="preserve">über den Standpunkt, der im Namen der Europäischen Union im Gemeinsamen EWR-Ausschuss zur Änderung von Anhang XIII (Verkehr) des EWR-Abkommens zu vertreten ist </w:t>
      </w:r>
      <w:r w:rsidRPr="00AD38E8">
        <w:rPr>
          <w:noProof/>
        </w:rPr>
        <w:br/>
        <w:t xml:space="preserve"> </w:t>
      </w:r>
      <w:r w:rsidRPr="00AD38E8">
        <w:rPr>
          <w:noProof/>
        </w:rPr>
        <w:br/>
        <w:t xml:space="preserve">(EMSA-Verordnung) </w:t>
      </w:r>
      <w:r w:rsidRPr="00AD38E8">
        <w:rPr>
          <w:noProof/>
        </w:rPr>
        <w:br/>
        <w:t xml:space="preserve"> </w:t>
      </w:r>
      <w:r w:rsidRPr="00AD38E8">
        <w:rPr>
          <w:noProof/>
        </w:rPr>
        <w:br/>
      </w:r>
    </w:p>
    <w:p w14:paraId="3A0A5B68" w14:textId="02097D9F" w:rsidR="00112030" w:rsidRPr="00AD38E8" w:rsidRDefault="00AD38E8" w:rsidP="00AD38E8">
      <w:pPr>
        <w:pStyle w:val="IntrtEEE"/>
        <w:rPr>
          <w:noProof/>
        </w:rPr>
      </w:pPr>
      <w:r w:rsidRPr="00AD38E8">
        <w:rPr>
          <w:noProof/>
        </w:rPr>
        <w:t>(Text von Bedeutung für den EWR)</w:t>
      </w:r>
    </w:p>
    <w:p w14:paraId="3A6174A8" w14:textId="77777777" w:rsidR="00112030" w:rsidRPr="00AD38E8" w:rsidRDefault="00112030" w:rsidP="00112030">
      <w:pPr>
        <w:pStyle w:val="Institutionquiagit"/>
        <w:rPr>
          <w:noProof/>
        </w:rPr>
      </w:pPr>
      <w:r w:rsidRPr="00AD38E8">
        <w:rPr>
          <w:noProof/>
        </w:rPr>
        <w:t>DER RAT DER EUROPÄISCHEN UNION —</w:t>
      </w:r>
    </w:p>
    <w:p w14:paraId="47C51CA2" w14:textId="77777777" w:rsidR="00112030" w:rsidRPr="00AD38E8" w:rsidRDefault="00112030" w:rsidP="00112030">
      <w:pPr>
        <w:rPr>
          <w:noProof/>
        </w:rPr>
      </w:pPr>
      <w:r w:rsidRPr="00AD38E8">
        <w:rPr>
          <w:noProof/>
        </w:rPr>
        <w:t>gestützt auf den Vertrag über die Arbeitsweise der Europäischen Union, insbesondere auf Artikel 100 Absatz 2 AEUV in Verbindung mit Artikel 218 Absatz 9,</w:t>
      </w:r>
    </w:p>
    <w:p w14:paraId="6FE85741" w14:textId="77777777" w:rsidR="00112030" w:rsidRPr="00AD38E8" w:rsidRDefault="00112030" w:rsidP="00112030">
      <w:pPr>
        <w:rPr>
          <w:noProof/>
        </w:rPr>
      </w:pPr>
      <w:r w:rsidRPr="00AD38E8">
        <w:rPr>
          <w:noProof/>
        </w:rPr>
        <w:t>gestützt auf die Verordnung (EG) Nr. 2894/94 des Rates vom 28. November 1994 mit Durchführungsvorschriften zum Abkommen über den Europäischen Wirtschaftsraum</w:t>
      </w:r>
      <w:r w:rsidRPr="00AD38E8">
        <w:rPr>
          <w:rStyle w:val="FootnoteReference"/>
          <w:noProof/>
        </w:rPr>
        <w:footnoteReference w:id="3"/>
      </w:r>
      <w:r w:rsidRPr="00AD38E8">
        <w:rPr>
          <w:noProof/>
        </w:rPr>
        <w:t>, insbesondere auf Artikel 1 Absatz 3,</w:t>
      </w:r>
    </w:p>
    <w:p w14:paraId="3F6841BD" w14:textId="77777777" w:rsidR="00112030" w:rsidRPr="00AD38E8" w:rsidRDefault="00112030" w:rsidP="00112030">
      <w:pPr>
        <w:rPr>
          <w:noProof/>
        </w:rPr>
      </w:pPr>
      <w:r w:rsidRPr="00AD38E8">
        <w:rPr>
          <w:noProof/>
        </w:rPr>
        <w:t>auf Vorschlag der Europäischen Kommission,</w:t>
      </w:r>
    </w:p>
    <w:p w14:paraId="1DAEC382" w14:textId="77777777" w:rsidR="00112030" w:rsidRPr="00AD38E8" w:rsidRDefault="00112030" w:rsidP="00112030">
      <w:pPr>
        <w:rPr>
          <w:noProof/>
        </w:rPr>
      </w:pPr>
      <w:r w:rsidRPr="00AD38E8">
        <w:rPr>
          <w:noProof/>
        </w:rPr>
        <w:t>in Erwägung nachstehender Gründe:</w:t>
      </w:r>
    </w:p>
    <w:p w14:paraId="548F0F84" w14:textId="57604F13" w:rsidR="00112030" w:rsidRPr="00AD38E8" w:rsidRDefault="00D770BA" w:rsidP="00D770BA">
      <w:pPr>
        <w:pStyle w:val="ManualConsidrant"/>
        <w:rPr>
          <w:noProof/>
        </w:rPr>
      </w:pPr>
      <w:r w:rsidRPr="00D770BA">
        <w:t>(1)</w:t>
      </w:r>
      <w:r w:rsidRPr="00D770BA">
        <w:tab/>
      </w:r>
      <w:r w:rsidR="00112030" w:rsidRPr="00AD38E8">
        <w:rPr>
          <w:noProof/>
        </w:rPr>
        <w:t>Das Abkommen über den Europäischen Wirtschaftsraum</w:t>
      </w:r>
      <w:r w:rsidR="00112030" w:rsidRPr="00AD38E8">
        <w:rPr>
          <w:rStyle w:val="FootnoteReference"/>
          <w:rFonts w:eastAsia="Times New Roman"/>
          <w:noProof/>
        </w:rPr>
        <w:footnoteReference w:id="4"/>
      </w:r>
      <w:r w:rsidR="00112030" w:rsidRPr="00AD38E8">
        <w:rPr>
          <w:noProof/>
        </w:rPr>
        <w:t xml:space="preserve"> (im Folgenden „EWR-Abkommen“) trat am 1. Januar 1994 in Kraft.</w:t>
      </w:r>
    </w:p>
    <w:p w14:paraId="0F532B20" w14:textId="5A8264C2" w:rsidR="00112030" w:rsidRPr="00AD38E8" w:rsidRDefault="00D770BA" w:rsidP="00D770BA">
      <w:pPr>
        <w:pStyle w:val="ManualConsidrant"/>
        <w:rPr>
          <w:noProof/>
        </w:rPr>
      </w:pPr>
      <w:r w:rsidRPr="00D770BA">
        <w:t>(2)</w:t>
      </w:r>
      <w:r w:rsidRPr="00D770BA">
        <w:tab/>
      </w:r>
      <w:r w:rsidR="00112030" w:rsidRPr="00AD38E8">
        <w:rPr>
          <w:noProof/>
        </w:rPr>
        <w:t>Gemäß Artikel 98 des EWR-Abkommens kann der Gemeinsame EWR-Ausschuss beschließen, unter anderem Anhang XIII (Verkehr) des EWR-Abkommens zu ändern.</w:t>
      </w:r>
    </w:p>
    <w:p w14:paraId="04AA1AE2" w14:textId="0617CF8F" w:rsidR="00112030" w:rsidRPr="00AD38E8" w:rsidRDefault="00D770BA" w:rsidP="00D770BA">
      <w:pPr>
        <w:pStyle w:val="ManualConsidrant"/>
        <w:rPr>
          <w:noProof/>
        </w:rPr>
      </w:pPr>
      <w:r w:rsidRPr="00D770BA">
        <w:t>(3)</w:t>
      </w:r>
      <w:r w:rsidRPr="00D770BA">
        <w:tab/>
      </w:r>
      <w:r w:rsidR="00187FAB" w:rsidRPr="00AD38E8">
        <w:rPr>
          <w:noProof/>
        </w:rPr>
        <w:t>Die Verordnung (EU) Nr. 100/2013 des Europäischen Parlaments und des Rates vom 15. Januar 2013 zur Änderung der Verordnung (EG) Nr. 1406/2002</w:t>
      </w:r>
      <w:r w:rsidR="00187FAB" w:rsidRPr="00AD38E8">
        <w:rPr>
          <w:rStyle w:val="FootnoteReference"/>
          <w:rFonts w:eastAsia="Times New Roman"/>
          <w:noProof/>
        </w:rPr>
        <w:footnoteReference w:id="5"/>
      </w:r>
      <w:r w:rsidR="00187FAB" w:rsidRPr="00AD38E8">
        <w:rPr>
          <w:noProof/>
        </w:rPr>
        <w:t xml:space="preserve"> sollte in das EWR-Abkommen aufgenommen werden.</w:t>
      </w:r>
    </w:p>
    <w:p w14:paraId="0CD602AE" w14:textId="1D05E466" w:rsidR="00112030" w:rsidRPr="00AD38E8" w:rsidRDefault="00D770BA" w:rsidP="00D770BA">
      <w:pPr>
        <w:pStyle w:val="ManualConsidrant"/>
        <w:rPr>
          <w:noProof/>
        </w:rPr>
      </w:pPr>
      <w:r w:rsidRPr="00D770BA">
        <w:t>(4)</w:t>
      </w:r>
      <w:r w:rsidRPr="00D770BA">
        <w:tab/>
      </w:r>
      <w:r w:rsidR="00112030" w:rsidRPr="00AD38E8">
        <w:rPr>
          <w:noProof/>
        </w:rPr>
        <w:t>Anhang XIII (Verkehr) des EWR-Abkommens sollte daher entsprechend geändert werden.</w:t>
      </w:r>
    </w:p>
    <w:p w14:paraId="093197FE" w14:textId="61FC0983" w:rsidR="00112030" w:rsidRPr="00AD38E8" w:rsidRDefault="00D770BA" w:rsidP="00D770BA">
      <w:pPr>
        <w:pStyle w:val="ManualConsidrant"/>
        <w:rPr>
          <w:noProof/>
        </w:rPr>
      </w:pPr>
      <w:r w:rsidRPr="00D770BA">
        <w:t>(5)</w:t>
      </w:r>
      <w:r w:rsidRPr="00D770BA">
        <w:tab/>
      </w:r>
      <w:r w:rsidR="00112030" w:rsidRPr="00AD38E8">
        <w:rPr>
          <w:noProof/>
        </w:rPr>
        <w:t>Der von der Union im Gemeinsamen EWR-Ausschuss zu vertretende Standpunkt sollte daher auf dem im Entwurf beigefügten Beschluss beruhen —</w:t>
      </w:r>
    </w:p>
    <w:p w14:paraId="4EA0A963" w14:textId="77777777" w:rsidR="00112030" w:rsidRPr="00AD38E8" w:rsidRDefault="00112030" w:rsidP="00112030">
      <w:pPr>
        <w:pStyle w:val="Formuledadoption"/>
        <w:rPr>
          <w:noProof/>
        </w:rPr>
      </w:pPr>
      <w:r w:rsidRPr="00AD38E8">
        <w:rPr>
          <w:noProof/>
        </w:rPr>
        <w:t xml:space="preserve">HAT FOLGENDEN BESCHLUSS ERLASSEN: </w:t>
      </w:r>
    </w:p>
    <w:p w14:paraId="048F2B10" w14:textId="77777777" w:rsidR="00112030" w:rsidRPr="00AD38E8" w:rsidRDefault="00112030" w:rsidP="00112030">
      <w:pPr>
        <w:pStyle w:val="Titrearticle"/>
        <w:rPr>
          <w:noProof/>
        </w:rPr>
      </w:pPr>
      <w:r w:rsidRPr="00AD38E8">
        <w:rPr>
          <w:noProof/>
        </w:rPr>
        <w:t>Artikel 1</w:t>
      </w:r>
    </w:p>
    <w:p w14:paraId="0373AE1A" w14:textId="77777777" w:rsidR="00112030" w:rsidRPr="00AD38E8" w:rsidRDefault="00112030" w:rsidP="00112030">
      <w:pPr>
        <w:pStyle w:val="Body"/>
        <w:rPr>
          <w:noProof/>
        </w:rPr>
      </w:pPr>
      <w:r w:rsidRPr="00AD38E8">
        <w:rPr>
          <w:noProof/>
        </w:rPr>
        <w:t>Der Standpunkt, der im Namen der Union im Gemeinsamen EWR-Ausschuss zur vorgeschlagenen Änderung von Anhang XIII (Verkehr) des EWR-Abkommens zu vertreten ist, beruht auf dem Entwurf des Beschlusses des Gemeinsamen EWR-Ausschusses, der dem vorliegenden Beschluss beigefügt ist.</w:t>
      </w:r>
    </w:p>
    <w:p w14:paraId="07EAD226" w14:textId="77777777" w:rsidR="00112030" w:rsidRPr="00AD38E8" w:rsidRDefault="00112030" w:rsidP="00EF487D">
      <w:pPr>
        <w:pStyle w:val="Titrearticle"/>
        <w:rPr>
          <w:noProof/>
        </w:rPr>
      </w:pPr>
      <w:r w:rsidRPr="00AD38E8">
        <w:rPr>
          <w:noProof/>
        </w:rPr>
        <w:t>Artikel 2</w:t>
      </w:r>
    </w:p>
    <w:p w14:paraId="568C9FD8" w14:textId="77777777" w:rsidR="00112030" w:rsidRPr="00AD38E8" w:rsidRDefault="00112030" w:rsidP="00112030">
      <w:pPr>
        <w:pStyle w:val="Body"/>
        <w:keepLines/>
        <w:rPr>
          <w:noProof/>
        </w:rPr>
      </w:pPr>
      <w:r w:rsidRPr="00AD38E8">
        <w:rPr>
          <w:noProof/>
        </w:rPr>
        <w:t>Dieser Beschluss tritt am Tag seines Erlasses in Kraft.</w:t>
      </w:r>
    </w:p>
    <w:p w14:paraId="6BDD0978" w14:textId="303C7BFA" w:rsidR="00112030" w:rsidRPr="00AD38E8" w:rsidRDefault="00640AEE" w:rsidP="00EF487D">
      <w:pPr>
        <w:pStyle w:val="Fait"/>
        <w:rPr>
          <w:noProof/>
        </w:rPr>
      </w:pPr>
      <w:r w:rsidRPr="00640AEE">
        <w:t xml:space="preserve">Geschehen zu Brüssel am </w:t>
      </w:r>
      <w:r w:rsidRPr="00640AEE">
        <w:rPr>
          <w:rStyle w:val="Marker"/>
        </w:rPr>
        <w:t>[…]</w:t>
      </w:r>
    </w:p>
    <w:p w14:paraId="19C11EEE" w14:textId="77777777" w:rsidR="00112030" w:rsidRPr="00AD38E8" w:rsidRDefault="00112030" w:rsidP="00EF487D">
      <w:pPr>
        <w:pStyle w:val="Institutionquisigne"/>
        <w:rPr>
          <w:noProof/>
        </w:rPr>
      </w:pPr>
      <w:r w:rsidRPr="00AD38E8">
        <w:rPr>
          <w:noProof/>
        </w:rPr>
        <w:tab/>
        <w:t>Im Namen des Rates</w:t>
      </w:r>
    </w:p>
    <w:p w14:paraId="20CC5E50" w14:textId="77777777" w:rsidR="00112030" w:rsidRPr="00AD38E8" w:rsidRDefault="00112030" w:rsidP="00112030">
      <w:pPr>
        <w:pStyle w:val="Personnequisigne"/>
        <w:rPr>
          <w:noProof/>
        </w:rPr>
      </w:pPr>
      <w:r w:rsidRPr="00AD38E8">
        <w:rPr>
          <w:noProof/>
        </w:rPr>
        <w:tab/>
        <w:t>Der Präsident /// Die Präsidentin</w:t>
      </w:r>
    </w:p>
    <w:sectPr w:rsidR="00112030" w:rsidRPr="00AD38E8" w:rsidSect="00C444F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69507" w14:textId="77777777" w:rsidR="00112030" w:rsidRDefault="00112030" w:rsidP="00112030">
      <w:pPr>
        <w:spacing w:before="0" w:after="0"/>
      </w:pPr>
      <w:r>
        <w:separator/>
      </w:r>
    </w:p>
  </w:endnote>
  <w:endnote w:type="continuationSeparator" w:id="0">
    <w:p w14:paraId="17BB2836" w14:textId="77777777" w:rsidR="00112030" w:rsidRDefault="00112030" w:rsidP="001120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65F2" w14:textId="6C1647FE" w:rsidR="00F7391F" w:rsidRPr="00C444F2" w:rsidRDefault="00C444F2" w:rsidP="00C444F2">
    <w:pPr>
      <w:pStyle w:val="Footer"/>
      <w:rPr>
        <w:rFonts w:ascii="Arial" w:hAnsi="Arial" w:cs="Arial"/>
        <w:b/>
        <w:sz w:val="48"/>
      </w:rPr>
    </w:pPr>
    <w:r w:rsidRPr="00C444F2">
      <w:rPr>
        <w:rFonts w:ascii="Arial" w:hAnsi="Arial" w:cs="Arial"/>
        <w:b/>
        <w:sz w:val="48"/>
      </w:rPr>
      <w:t>DE</w:t>
    </w:r>
    <w:r w:rsidRPr="00C444F2">
      <w:rPr>
        <w:rFonts w:ascii="Arial" w:hAnsi="Arial" w:cs="Arial"/>
        <w:b/>
        <w:sz w:val="48"/>
      </w:rPr>
      <w:tab/>
    </w:r>
    <w:r w:rsidRPr="00C444F2">
      <w:rPr>
        <w:rFonts w:ascii="Arial" w:hAnsi="Arial" w:cs="Arial"/>
        <w:b/>
        <w:sz w:val="48"/>
      </w:rPr>
      <w:tab/>
    </w:r>
    <w:r w:rsidRPr="00C444F2">
      <w:tab/>
    </w:r>
    <w:r w:rsidRPr="00C444F2">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1FB3E" w14:textId="620A6801" w:rsidR="00C444F2" w:rsidRPr="00C444F2" w:rsidRDefault="00C444F2" w:rsidP="00C444F2">
    <w:pPr>
      <w:pStyle w:val="Footer"/>
      <w:rPr>
        <w:rFonts w:ascii="Arial" w:hAnsi="Arial" w:cs="Arial"/>
        <w:b/>
        <w:sz w:val="48"/>
      </w:rPr>
    </w:pPr>
    <w:r w:rsidRPr="00C444F2">
      <w:rPr>
        <w:rFonts w:ascii="Arial" w:hAnsi="Arial" w:cs="Arial"/>
        <w:b/>
        <w:sz w:val="48"/>
      </w:rPr>
      <w:t>DE</w:t>
    </w:r>
    <w:r w:rsidRPr="00C444F2">
      <w:rPr>
        <w:rFonts w:ascii="Arial" w:hAnsi="Arial" w:cs="Arial"/>
        <w:b/>
        <w:sz w:val="48"/>
      </w:rPr>
      <w:tab/>
    </w:r>
    <w:r>
      <w:fldChar w:fldCharType="begin"/>
    </w:r>
    <w:r>
      <w:instrText xml:space="preserve"> PAGE  \* MERGEFORMAT </w:instrText>
    </w:r>
    <w:r>
      <w:fldChar w:fldCharType="separate"/>
    </w:r>
    <w:r w:rsidR="00EF487D">
      <w:rPr>
        <w:noProof/>
      </w:rPr>
      <w:t>5</w:t>
    </w:r>
    <w:r>
      <w:fldChar w:fldCharType="end"/>
    </w:r>
    <w:r>
      <w:tab/>
    </w:r>
    <w:r w:rsidRPr="00C444F2">
      <w:tab/>
    </w:r>
    <w:r w:rsidRPr="00C444F2">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A56C" w14:textId="77777777" w:rsidR="00C444F2" w:rsidRPr="00C444F2" w:rsidRDefault="00C444F2" w:rsidP="00C44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C56A9" w14:textId="77777777" w:rsidR="00112030" w:rsidRDefault="00112030" w:rsidP="00112030">
      <w:pPr>
        <w:spacing w:before="0" w:after="0"/>
      </w:pPr>
      <w:r>
        <w:separator/>
      </w:r>
    </w:p>
  </w:footnote>
  <w:footnote w:type="continuationSeparator" w:id="0">
    <w:p w14:paraId="66171942" w14:textId="77777777" w:rsidR="00112030" w:rsidRDefault="00112030" w:rsidP="00112030">
      <w:pPr>
        <w:spacing w:before="0" w:after="0"/>
      </w:pPr>
      <w:r>
        <w:continuationSeparator/>
      </w:r>
    </w:p>
  </w:footnote>
  <w:footnote w:id="1">
    <w:p w14:paraId="7218C13E" w14:textId="77777777" w:rsidR="00187FAB" w:rsidRDefault="00112030" w:rsidP="00112030">
      <w:pPr>
        <w:pStyle w:val="FootnoteText"/>
        <w:rPr>
          <w:rFonts w:eastAsia="Arial Unicode MS" w:cs="Arial Unicode MS"/>
        </w:rPr>
      </w:pPr>
      <w:r>
        <w:rPr>
          <w:rStyle w:val="FootnoteReference"/>
        </w:rPr>
        <w:footnoteRef/>
      </w:r>
      <w:r>
        <w:tab/>
        <w:t>Verordnung (EU) Nr. 100/2013 des Europäischen Parlaments und des Rates vom 15. Januar 2013 zur Änderung der Verordnung (EG) Nr. 1406/2002 zur Errichtung einer Europäischen Agentur für die Sicherheit des Seeverkehrs (ABl. L 39 vom 9.2.2013, S. 30).</w:t>
      </w:r>
    </w:p>
    <w:p w14:paraId="3ABA6D1F" w14:textId="77777777" w:rsidR="00187FAB" w:rsidRDefault="00187FAB" w:rsidP="00112030">
      <w:pPr>
        <w:pStyle w:val="FootnoteText"/>
        <w:rPr>
          <w:rFonts w:eastAsia="Arial Unicode MS" w:cs="Arial Unicode MS"/>
        </w:rPr>
      </w:pPr>
    </w:p>
    <w:p w14:paraId="1CF91302" w14:textId="77777777" w:rsidR="00112030" w:rsidRDefault="00112030" w:rsidP="00112030">
      <w:pPr>
        <w:pStyle w:val="FootnoteText"/>
      </w:pPr>
    </w:p>
  </w:footnote>
  <w:footnote w:id="2">
    <w:p w14:paraId="1A5AF7EA" w14:textId="77777777" w:rsidR="00112030" w:rsidRDefault="00112030" w:rsidP="00112030">
      <w:pPr>
        <w:pStyle w:val="FootnoteText"/>
      </w:pPr>
      <w:r>
        <w:rPr>
          <w:rStyle w:val="FootnoteReference"/>
        </w:rPr>
        <w:footnoteRef/>
      </w:r>
      <w:r>
        <w:tab/>
        <w:t xml:space="preserve">Urteil des Gerichtshofs vom 7. Oktober 2014, Deutschland/Rat, C-399/12, ECLI:EU:C:2014:2258, Rn. 61 bis 64. </w:t>
      </w:r>
    </w:p>
  </w:footnote>
  <w:footnote w:id="3">
    <w:p w14:paraId="2EE58AB9" w14:textId="77777777" w:rsidR="00112030" w:rsidRDefault="00112030" w:rsidP="00112030">
      <w:pPr>
        <w:pStyle w:val="FootnoteText"/>
      </w:pPr>
      <w:r>
        <w:rPr>
          <w:rStyle w:val="FootnoteReference"/>
        </w:rPr>
        <w:footnoteRef/>
      </w:r>
      <w:r>
        <w:tab/>
        <w:t>ABl. L 305 vom 30.11.1994, S. 6.</w:t>
      </w:r>
    </w:p>
  </w:footnote>
  <w:footnote w:id="4">
    <w:p w14:paraId="3707B652" w14:textId="77777777" w:rsidR="00112030" w:rsidRDefault="00112030" w:rsidP="00112030">
      <w:pPr>
        <w:pStyle w:val="FootnoteText"/>
      </w:pPr>
      <w:r>
        <w:rPr>
          <w:rStyle w:val="FootnoteReference"/>
        </w:rPr>
        <w:footnoteRef/>
      </w:r>
      <w:r>
        <w:tab/>
        <w:t>ABl. L 1 vom 3.1.1994, S. 3.</w:t>
      </w:r>
    </w:p>
  </w:footnote>
  <w:footnote w:id="5">
    <w:p w14:paraId="3DEA3CD5" w14:textId="77777777" w:rsidR="00112030" w:rsidRDefault="00112030" w:rsidP="00112030">
      <w:pPr>
        <w:pStyle w:val="FootnoteText"/>
      </w:pPr>
      <w:r>
        <w:rPr>
          <w:rStyle w:val="FootnoteReference"/>
        </w:rPr>
        <w:footnoteRef/>
      </w:r>
      <w:r>
        <w:tab/>
        <w:t>Verordnung (EU) Nr. 100/2013 des Europäischen Parlaments und des Rates vom 15. Januar 2013 zur Änderung der Verordnung (EG) Nr. 1406/2002 zur Errichtung einer Europäischen Agentur für die Sicherheit des Seeverkehrs (ABl. L 39 vom 9.2.2013, S.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D48F54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0BC1CC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B6C3D8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8528C7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CF866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49277D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6C22A8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B2A37C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10-11 08:42:5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CFD44F0-A403-4B0D-993E-8324390051F0"/>
    <w:docVar w:name="LW_COVERPAGE_TYPE" w:val="1"/>
    <w:docVar w:name="LW_CROSSREFERENCE" w:val="&lt;UNUSED&gt;"/>
    <w:docVar w:name="LW_DocType" w:val="COM"/>
    <w:docVar w:name="LW_EMISSION" w:val="18.10.2023"/>
    <w:docVar w:name="LW_EMISSION_ISODATE" w:val="2023-10-18"/>
    <w:docVar w:name="LW_EMISSION_LOCATION" w:val="BRX"/>
    <w:docVar w:name="LW_EMISSION_PREFIX" w:val="Brüssel, den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366"/>
    <w:docVar w:name="LW_REF.II.NEW.CP_YEAR" w:val="2023"/>
    <w:docVar w:name="LW_REF.INST.NEW" w:val="COM"/>
    <w:docVar w:name="LW_REF.INST.NEW_ADOPTED" w:val="final"/>
    <w:docVar w:name="LW_REF.INST.NEW_TEXT" w:val="(2023) 59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über den Standpunkt, der im Namen der Europäischen Union im Gemeinsamen EWR-Ausschuss zur Änderung von Anhang XIII (Verkehr) des EWR-Abkommens zu vertreten ist _x000b_ _x000b_(EMSA-Verordnung) _x000b_ _x000b_"/>
    <w:docVar w:name="LW_TYPE.DOC.CP" w:val="BESCHLUSS DES RATES"/>
    <w:docVar w:name="LwApiVersions" w:val="LW4CoDe 1.23.2.0; LW 8.0, Build 20211117"/>
  </w:docVars>
  <w:rsids>
    <w:rsidRoot w:val="00112030"/>
    <w:rsid w:val="00090B2C"/>
    <w:rsid w:val="000B7A7D"/>
    <w:rsid w:val="00112030"/>
    <w:rsid w:val="00152894"/>
    <w:rsid w:val="00160597"/>
    <w:rsid w:val="00187FAB"/>
    <w:rsid w:val="002A3F52"/>
    <w:rsid w:val="002E6545"/>
    <w:rsid w:val="002F6CF8"/>
    <w:rsid w:val="00396ACD"/>
    <w:rsid w:val="003C1FA8"/>
    <w:rsid w:val="004167ED"/>
    <w:rsid w:val="00437AA5"/>
    <w:rsid w:val="00492396"/>
    <w:rsid w:val="004E19F9"/>
    <w:rsid w:val="00513350"/>
    <w:rsid w:val="00517205"/>
    <w:rsid w:val="00542487"/>
    <w:rsid w:val="00561015"/>
    <w:rsid w:val="00582810"/>
    <w:rsid w:val="00595540"/>
    <w:rsid w:val="005B5FA6"/>
    <w:rsid w:val="00640AEE"/>
    <w:rsid w:val="006654AB"/>
    <w:rsid w:val="00694013"/>
    <w:rsid w:val="006F01B4"/>
    <w:rsid w:val="006F7EFE"/>
    <w:rsid w:val="0070711A"/>
    <w:rsid w:val="00712B4C"/>
    <w:rsid w:val="007339F2"/>
    <w:rsid w:val="00745EAD"/>
    <w:rsid w:val="0079095A"/>
    <w:rsid w:val="007D0861"/>
    <w:rsid w:val="007E010B"/>
    <w:rsid w:val="00802FC2"/>
    <w:rsid w:val="008E2694"/>
    <w:rsid w:val="00906DC3"/>
    <w:rsid w:val="009134FD"/>
    <w:rsid w:val="00940731"/>
    <w:rsid w:val="009957C5"/>
    <w:rsid w:val="00A32D68"/>
    <w:rsid w:val="00A565C7"/>
    <w:rsid w:val="00AB72F8"/>
    <w:rsid w:val="00AC56F8"/>
    <w:rsid w:val="00AD38E8"/>
    <w:rsid w:val="00B361CC"/>
    <w:rsid w:val="00BB7C00"/>
    <w:rsid w:val="00C23CF4"/>
    <w:rsid w:val="00C3731F"/>
    <w:rsid w:val="00C444F2"/>
    <w:rsid w:val="00C51F04"/>
    <w:rsid w:val="00CA3D0F"/>
    <w:rsid w:val="00D770BA"/>
    <w:rsid w:val="00D83F23"/>
    <w:rsid w:val="00DA4F00"/>
    <w:rsid w:val="00DB4B20"/>
    <w:rsid w:val="00E07235"/>
    <w:rsid w:val="00E33C9F"/>
    <w:rsid w:val="00E51D95"/>
    <w:rsid w:val="00E944A8"/>
    <w:rsid w:val="00E979AB"/>
    <w:rsid w:val="00EB1A04"/>
    <w:rsid w:val="00EC39BC"/>
    <w:rsid w:val="00EE140B"/>
    <w:rsid w:val="00EF487D"/>
    <w:rsid w:val="00F044F0"/>
    <w:rsid w:val="00F45CD1"/>
    <w:rsid w:val="00F72EAB"/>
    <w:rsid w:val="00F7391F"/>
    <w:rsid w:val="00F77B64"/>
    <w:rsid w:val="00FC2396"/>
    <w:rsid w:val="00FF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FA53EC4"/>
  <w15:docId w15:val="{C3EBD551-65C4-406D-A249-2F37AC1A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12030"/>
    <w:pPr>
      <w:autoSpaceDE w:val="0"/>
      <w:autoSpaceDN w:val="0"/>
      <w:adjustRightInd w:val="0"/>
      <w:spacing w:before="0" w:after="0"/>
      <w:jc w:val="center"/>
    </w:pPr>
    <w:rPr>
      <w:rFonts w:eastAsia="Times New Roman"/>
      <w:i/>
      <w:iCs/>
      <w:szCs w:val="19"/>
    </w:rPr>
  </w:style>
  <w:style w:type="character" w:customStyle="1" w:styleId="BodyText2Char">
    <w:name w:val="Body Text 2 Char"/>
    <w:basedOn w:val="DefaultParagraphFont"/>
    <w:link w:val="BodyText2"/>
    <w:rsid w:val="00112030"/>
    <w:rPr>
      <w:rFonts w:ascii="Times New Roman" w:eastAsia="Times New Roman" w:hAnsi="Times New Roman" w:cs="Times New Roman"/>
      <w:i/>
      <w:iCs/>
      <w:sz w:val="24"/>
      <w:szCs w:val="19"/>
    </w:rPr>
  </w:style>
  <w:style w:type="paragraph" w:customStyle="1" w:styleId="Body">
    <w:name w:val="Body"/>
    <w:rsid w:val="00112030"/>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Heading">
    <w:name w:val="Heading"/>
    <w:rsid w:val="00112030"/>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paragraph" w:styleId="Caption">
    <w:name w:val="caption"/>
    <w:basedOn w:val="Normal"/>
    <w:next w:val="Normal"/>
    <w:uiPriority w:val="35"/>
    <w:semiHidden/>
    <w:unhideWhenUsed/>
    <w:qFormat/>
    <w:rsid w:val="0070711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70711A"/>
    <w:pPr>
      <w:spacing w:after="0"/>
    </w:pPr>
  </w:style>
  <w:style w:type="paragraph" w:styleId="ListBullet">
    <w:name w:val="List Bullet"/>
    <w:basedOn w:val="Normal"/>
    <w:uiPriority w:val="99"/>
    <w:semiHidden/>
    <w:unhideWhenUsed/>
    <w:rsid w:val="0070711A"/>
    <w:pPr>
      <w:numPr>
        <w:numId w:val="3"/>
      </w:numPr>
      <w:contextualSpacing/>
    </w:pPr>
  </w:style>
  <w:style w:type="paragraph" w:styleId="ListBullet2">
    <w:name w:val="List Bullet 2"/>
    <w:basedOn w:val="Normal"/>
    <w:uiPriority w:val="99"/>
    <w:semiHidden/>
    <w:unhideWhenUsed/>
    <w:rsid w:val="0070711A"/>
    <w:pPr>
      <w:numPr>
        <w:numId w:val="4"/>
      </w:numPr>
      <w:contextualSpacing/>
    </w:pPr>
  </w:style>
  <w:style w:type="paragraph" w:styleId="ListBullet3">
    <w:name w:val="List Bullet 3"/>
    <w:basedOn w:val="Normal"/>
    <w:uiPriority w:val="99"/>
    <w:semiHidden/>
    <w:unhideWhenUsed/>
    <w:rsid w:val="0070711A"/>
    <w:pPr>
      <w:numPr>
        <w:numId w:val="5"/>
      </w:numPr>
      <w:contextualSpacing/>
    </w:pPr>
  </w:style>
  <w:style w:type="paragraph" w:styleId="ListBullet4">
    <w:name w:val="List Bullet 4"/>
    <w:basedOn w:val="Normal"/>
    <w:uiPriority w:val="99"/>
    <w:semiHidden/>
    <w:unhideWhenUsed/>
    <w:rsid w:val="0070711A"/>
    <w:pPr>
      <w:numPr>
        <w:numId w:val="6"/>
      </w:numPr>
      <w:contextualSpacing/>
    </w:pPr>
  </w:style>
  <w:style w:type="paragraph" w:styleId="ListNumber">
    <w:name w:val="List Number"/>
    <w:basedOn w:val="Normal"/>
    <w:uiPriority w:val="99"/>
    <w:semiHidden/>
    <w:unhideWhenUsed/>
    <w:rsid w:val="0070711A"/>
    <w:pPr>
      <w:numPr>
        <w:numId w:val="7"/>
      </w:numPr>
      <w:contextualSpacing/>
    </w:pPr>
  </w:style>
  <w:style w:type="paragraph" w:styleId="ListNumber2">
    <w:name w:val="List Number 2"/>
    <w:basedOn w:val="Normal"/>
    <w:uiPriority w:val="99"/>
    <w:semiHidden/>
    <w:unhideWhenUsed/>
    <w:rsid w:val="0070711A"/>
    <w:pPr>
      <w:numPr>
        <w:numId w:val="8"/>
      </w:numPr>
      <w:contextualSpacing/>
    </w:pPr>
  </w:style>
  <w:style w:type="paragraph" w:styleId="ListNumber3">
    <w:name w:val="List Number 3"/>
    <w:basedOn w:val="Normal"/>
    <w:uiPriority w:val="99"/>
    <w:semiHidden/>
    <w:unhideWhenUsed/>
    <w:rsid w:val="0070711A"/>
    <w:pPr>
      <w:numPr>
        <w:numId w:val="9"/>
      </w:numPr>
      <w:contextualSpacing/>
    </w:pPr>
  </w:style>
  <w:style w:type="paragraph" w:styleId="ListNumber4">
    <w:name w:val="List Number 4"/>
    <w:basedOn w:val="Normal"/>
    <w:uiPriority w:val="99"/>
    <w:semiHidden/>
    <w:unhideWhenUsed/>
    <w:rsid w:val="0070711A"/>
    <w:pPr>
      <w:numPr>
        <w:numId w:val="10"/>
      </w:numPr>
      <w:contextualSpacing/>
    </w:pPr>
  </w:style>
  <w:style w:type="paragraph" w:customStyle="1" w:styleId="Normal1">
    <w:name w:val="Normal1"/>
    <w:basedOn w:val="Normal"/>
    <w:rsid w:val="00AB72F8"/>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C444F2"/>
    <w:pPr>
      <w:tabs>
        <w:tab w:val="center" w:pos="4535"/>
        <w:tab w:val="right" w:pos="9071"/>
      </w:tabs>
      <w:spacing w:before="0"/>
    </w:pPr>
  </w:style>
  <w:style w:type="character" w:customStyle="1" w:styleId="HeaderChar">
    <w:name w:val="Header Char"/>
    <w:basedOn w:val="DefaultParagraphFont"/>
    <w:link w:val="Header"/>
    <w:uiPriority w:val="99"/>
    <w:rsid w:val="00C444F2"/>
    <w:rPr>
      <w:rFonts w:ascii="Times New Roman" w:hAnsi="Times New Roman" w:cs="Times New Roman"/>
      <w:sz w:val="24"/>
      <w:lang w:val="de-DE"/>
    </w:rPr>
  </w:style>
  <w:style w:type="paragraph" w:styleId="Footer">
    <w:name w:val="footer"/>
    <w:basedOn w:val="Normal"/>
    <w:link w:val="FooterChar"/>
    <w:uiPriority w:val="99"/>
    <w:unhideWhenUsed/>
    <w:rsid w:val="00C444F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444F2"/>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C444F2"/>
    <w:pPr>
      <w:tabs>
        <w:tab w:val="center" w:pos="7285"/>
        <w:tab w:val="right" w:pos="14003"/>
      </w:tabs>
      <w:spacing w:before="0"/>
    </w:pPr>
  </w:style>
  <w:style w:type="paragraph" w:customStyle="1" w:styleId="FooterLandscape">
    <w:name w:val="FooterLandscape"/>
    <w:basedOn w:val="Normal"/>
    <w:rsid w:val="00C444F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444F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444F2"/>
    <w:pPr>
      <w:spacing w:before="0"/>
      <w:jc w:val="right"/>
    </w:pPr>
    <w:rPr>
      <w:sz w:val="28"/>
    </w:rPr>
  </w:style>
  <w:style w:type="paragraph" w:customStyle="1" w:styleId="FooterSensitivity">
    <w:name w:val="Footer Sensitivity"/>
    <w:basedOn w:val="Normal"/>
    <w:rsid w:val="00C444F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F77B64"/>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1083</Words>
  <Characters>6906</Characters>
  <Application>Microsoft Office Word</Application>
  <DocSecurity>0</DocSecurity>
  <Lines>135</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56</cp:revision>
  <dcterms:created xsi:type="dcterms:W3CDTF">2022-10-25T08:42:00Z</dcterms:created>
  <dcterms:modified xsi:type="dcterms:W3CDTF">2023-10-11T06:42:00Z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2023-09-06T13:15:39Z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1899eb24-1926-4243-ab9b-63487b2f956a</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